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rPr>
      </w:pPr>
      <w:r>
        <w:rPr>
          <w:rFonts w:hint="eastAsia" w:ascii="仿宋" w:hAnsi="仿宋" w:eastAsia="仿宋" w:cs="仿宋"/>
        </w:rPr>
        <w:t xml:space="preserve">  </w:t>
      </w:r>
    </w:p>
    <w:p>
      <w:pPr>
        <w:tabs>
          <w:tab w:val="left" w:pos="1134"/>
          <w:tab w:val="left" w:pos="5481"/>
          <w:tab w:val="left" w:pos="5859"/>
        </w:tabs>
        <w:jc w:val="center"/>
        <w:rPr>
          <w:rFonts w:ascii="仿宋" w:hAnsi="仿宋" w:eastAsia="仿宋" w:cs="仿宋"/>
          <w:b/>
          <w:sz w:val="72"/>
          <w:szCs w:val="72"/>
        </w:rPr>
      </w:pPr>
      <w:r>
        <w:rPr>
          <w:rFonts w:hint="eastAsia" w:ascii="仿宋" w:hAnsi="仿宋" w:eastAsia="仿宋" w:cs="仿宋"/>
          <w:b/>
          <w:sz w:val="72"/>
          <w:szCs w:val="72"/>
        </w:rPr>
        <w:t xml:space="preserve">新疆生产建设兵团     </w:t>
      </w:r>
    </w:p>
    <w:p>
      <w:pPr>
        <w:tabs>
          <w:tab w:val="left" w:pos="1134"/>
          <w:tab w:val="left" w:pos="5481"/>
          <w:tab w:val="left" w:pos="5859"/>
        </w:tabs>
        <w:jc w:val="center"/>
        <w:rPr>
          <w:rFonts w:ascii="仿宋" w:hAnsi="仿宋" w:eastAsia="仿宋" w:cs="仿宋"/>
          <w:b/>
          <w:sz w:val="72"/>
          <w:szCs w:val="72"/>
        </w:rPr>
      </w:pPr>
      <w:r>
        <w:rPr>
          <w:rFonts w:hint="eastAsia" w:ascii="仿宋" w:hAnsi="仿宋" w:eastAsia="仿宋" w:cs="仿宋"/>
          <w:b/>
          <w:sz w:val="72"/>
          <w:szCs w:val="72"/>
        </w:rPr>
        <w:t>政府采购</w:t>
      </w:r>
    </w:p>
    <w:p>
      <w:pPr>
        <w:tabs>
          <w:tab w:val="left" w:pos="1134"/>
          <w:tab w:val="left" w:pos="5481"/>
          <w:tab w:val="left" w:pos="5859"/>
        </w:tabs>
        <w:jc w:val="center"/>
        <w:rPr>
          <w:rFonts w:ascii="仿宋" w:hAnsi="仿宋" w:eastAsia="仿宋" w:cs="仿宋"/>
          <w:b/>
          <w:sz w:val="72"/>
          <w:szCs w:val="72"/>
        </w:rPr>
      </w:pPr>
      <w:r>
        <w:rPr>
          <w:rFonts w:hint="eastAsia" w:ascii="仿宋" w:hAnsi="仿宋" w:eastAsia="仿宋" w:cs="仿宋"/>
          <w:b/>
          <w:sz w:val="72"/>
          <w:szCs w:val="72"/>
        </w:rPr>
        <w:t>招标文件</w:t>
      </w:r>
    </w:p>
    <w:p>
      <w:pPr>
        <w:tabs>
          <w:tab w:val="left" w:pos="1134"/>
          <w:tab w:val="left" w:pos="5481"/>
          <w:tab w:val="left" w:pos="5859"/>
        </w:tabs>
        <w:jc w:val="center"/>
        <w:rPr>
          <w:rFonts w:ascii="仿宋" w:hAnsi="仿宋" w:eastAsia="仿宋" w:cs="仿宋"/>
          <w:b/>
          <w:sz w:val="36"/>
          <w:szCs w:val="36"/>
        </w:rPr>
      </w:pPr>
    </w:p>
    <w:p>
      <w:pPr>
        <w:tabs>
          <w:tab w:val="left" w:pos="1134"/>
          <w:tab w:val="left" w:pos="5481"/>
          <w:tab w:val="left" w:pos="5859"/>
        </w:tabs>
        <w:jc w:val="center"/>
        <w:rPr>
          <w:rFonts w:ascii="仿宋" w:hAnsi="仿宋" w:eastAsia="仿宋" w:cs="仿宋"/>
          <w:b/>
          <w:sz w:val="32"/>
        </w:rPr>
      </w:pPr>
    </w:p>
    <w:p>
      <w:pPr>
        <w:tabs>
          <w:tab w:val="left" w:pos="1134"/>
          <w:tab w:val="left" w:pos="5160"/>
        </w:tabs>
        <w:jc w:val="center"/>
        <w:rPr>
          <w:rFonts w:ascii="仿宋" w:hAnsi="仿宋" w:eastAsia="仿宋" w:cs="仿宋"/>
          <w:b/>
          <w:sz w:val="72"/>
          <w:szCs w:val="72"/>
        </w:rPr>
      </w:pPr>
      <w:r>
        <w:rPr>
          <w:rFonts w:hint="eastAsia" w:ascii="仿宋" w:hAnsi="仿宋" w:eastAsia="仿宋" w:cs="仿宋"/>
          <w:b/>
          <w:sz w:val="72"/>
          <w:szCs w:val="72"/>
        </w:rPr>
        <w:t>单一来源</w:t>
      </w:r>
    </w:p>
    <w:p>
      <w:pPr>
        <w:tabs>
          <w:tab w:val="left" w:pos="1134"/>
          <w:tab w:val="left" w:pos="5160"/>
        </w:tabs>
        <w:jc w:val="center"/>
        <w:rPr>
          <w:rFonts w:ascii="仿宋" w:hAnsi="仿宋" w:eastAsia="仿宋" w:cs="仿宋"/>
          <w:b/>
          <w:sz w:val="72"/>
          <w:szCs w:val="72"/>
        </w:rPr>
      </w:pPr>
    </w:p>
    <w:p>
      <w:pPr>
        <w:tabs>
          <w:tab w:val="left" w:pos="1134"/>
          <w:tab w:val="left" w:pos="5160"/>
        </w:tabs>
        <w:jc w:val="center"/>
        <w:rPr>
          <w:rFonts w:ascii="仿宋" w:hAnsi="仿宋" w:eastAsia="仿宋" w:cs="仿宋"/>
          <w:b/>
          <w:sz w:val="72"/>
          <w:szCs w:val="72"/>
        </w:rPr>
      </w:pPr>
      <w:r>
        <w:rPr>
          <w:rFonts w:hint="eastAsia" w:ascii="仿宋" w:hAnsi="仿宋" w:eastAsia="仿宋" w:cs="仿宋"/>
          <w:b/>
          <w:sz w:val="72"/>
          <w:szCs w:val="72"/>
        </w:rPr>
        <w:t>（服务类）</w:t>
      </w:r>
    </w:p>
    <w:p>
      <w:pPr>
        <w:pStyle w:val="19"/>
        <w:spacing w:line="240" w:lineRule="auto"/>
        <w:ind w:left="0" w:leftChars="0" w:firstLine="0" w:firstLineChars="0"/>
        <w:rPr>
          <w:rFonts w:ascii="仿宋" w:hAnsi="仿宋" w:eastAsia="仿宋" w:cs="仿宋"/>
          <w:b/>
          <w:sz w:val="32"/>
        </w:rPr>
      </w:pPr>
    </w:p>
    <w:p>
      <w:pPr>
        <w:pStyle w:val="19"/>
        <w:spacing w:line="240" w:lineRule="auto"/>
        <w:ind w:left="0" w:leftChars="0" w:firstLine="0" w:firstLineChars="0"/>
        <w:rPr>
          <w:rFonts w:ascii="仿宋" w:hAnsi="仿宋" w:eastAsia="仿宋" w:cs="仿宋"/>
          <w:b/>
          <w:sz w:val="32"/>
        </w:rPr>
      </w:pPr>
    </w:p>
    <w:p>
      <w:pPr>
        <w:pStyle w:val="19"/>
        <w:spacing w:line="240" w:lineRule="auto"/>
        <w:ind w:left="0" w:leftChars="0" w:firstLine="0" w:firstLineChars="0"/>
        <w:rPr>
          <w:rFonts w:ascii="仿宋" w:hAnsi="仿宋" w:eastAsia="仿宋" w:cs="仿宋"/>
          <w:b/>
          <w:sz w:val="32"/>
        </w:rPr>
      </w:pPr>
    </w:p>
    <w:p>
      <w:pPr>
        <w:pStyle w:val="19"/>
        <w:spacing w:line="240" w:lineRule="auto"/>
        <w:ind w:left="2494" w:leftChars="426" w:hanging="1600" w:hangingChars="500"/>
        <w:rPr>
          <w:rFonts w:ascii="微软雅黑" w:hAnsi="微软雅黑" w:eastAsia="微软雅黑" w:cs="微软雅黑"/>
          <w:sz w:val="32"/>
          <w:szCs w:val="32"/>
          <w:shd w:val="clear" w:color="auto" w:fill="FFFFFF"/>
        </w:rPr>
      </w:pPr>
      <w:r>
        <w:rPr>
          <w:rFonts w:hint="eastAsia" w:ascii="仿宋" w:hAnsi="仿宋" w:eastAsia="仿宋" w:cs="仿宋"/>
          <w:b/>
          <w:sz w:val="32"/>
          <w:szCs w:val="32"/>
        </w:rPr>
        <w:t>项目名称：第三师图木舒克市大数据产业园购买服务项目</w:t>
      </w:r>
    </w:p>
    <w:p>
      <w:pPr>
        <w:pStyle w:val="19"/>
        <w:spacing w:line="240" w:lineRule="auto"/>
        <w:ind w:left="0" w:leftChars="0" w:firstLine="960" w:firstLineChars="300"/>
        <w:rPr>
          <w:rFonts w:hint="eastAsia" w:ascii="仿宋" w:hAnsi="仿宋" w:eastAsia="仿宋" w:cs="仿宋"/>
          <w:b/>
          <w:sz w:val="32"/>
          <w:szCs w:val="32"/>
          <w:lang w:eastAsia="zh-CN"/>
        </w:rPr>
      </w:pPr>
      <w:r>
        <w:rPr>
          <w:rFonts w:hint="eastAsia" w:ascii="仿宋" w:hAnsi="仿宋" w:eastAsia="仿宋" w:cs="仿宋"/>
          <w:b/>
          <w:sz w:val="32"/>
          <w:szCs w:val="32"/>
        </w:rPr>
        <w:t>项目编号：</w:t>
      </w:r>
      <w:r>
        <w:rPr>
          <w:rFonts w:hint="eastAsia" w:ascii="仿宋" w:hAnsi="仿宋" w:eastAsia="仿宋" w:cs="仿宋"/>
          <w:b/>
          <w:sz w:val="32"/>
          <w:szCs w:val="32"/>
          <w:highlight w:val="none"/>
          <w:lang w:eastAsia="zh-CN"/>
        </w:rPr>
        <w:t>B3S[2022]321号</w:t>
      </w:r>
    </w:p>
    <w:p>
      <w:pPr>
        <w:pStyle w:val="19"/>
        <w:spacing w:line="240" w:lineRule="auto"/>
        <w:ind w:left="0" w:leftChars="0" w:firstLine="960" w:firstLineChars="300"/>
        <w:rPr>
          <w:rFonts w:ascii="仿宋" w:hAnsi="仿宋" w:eastAsia="仿宋" w:cs="仿宋"/>
          <w:b/>
          <w:sz w:val="32"/>
          <w:szCs w:val="32"/>
        </w:rPr>
      </w:pPr>
      <w:r>
        <w:rPr>
          <w:rFonts w:hint="eastAsia" w:ascii="仿宋" w:hAnsi="仿宋" w:eastAsia="仿宋" w:cs="仿宋"/>
          <w:b/>
          <w:sz w:val="32"/>
          <w:szCs w:val="32"/>
        </w:rPr>
        <w:t>采购代理机构：</w:t>
      </w:r>
      <w:bookmarkStart w:id="0" w:name="EBcb0878e322384cd0a66fff8323730c6e"/>
      <w:r>
        <w:rPr>
          <w:rFonts w:hint="eastAsia" w:ascii="仿宋" w:hAnsi="仿宋" w:eastAsia="仿宋" w:cs="仿宋"/>
          <w:b/>
          <w:sz w:val="32"/>
          <w:szCs w:val="32"/>
        </w:rPr>
        <w:t>新疆锦辰工程项目管理有限公司</w:t>
      </w:r>
      <w:bookmarkEnd w:id="0"/>
    </w:p>
    <w:p>
      <w:pPr>
        <w:pStyle w:val="19"/>
        <w:spacing w:line="240" w:lineRule="auto"/>
        <w:ind w:left="0" w:leftChars="0" w:firstLine="960" w:firstLineChars="300"/>
        <w:rPr>
          <w:rFonts w:ascii="仿宋" w:hAnsi="仿宋" w:eastAsia="仿宋" w:cs="仿宋"/>
          <w:b/>
          <w:sz w:val="32"/>
          <w:szCs w:val="32"/>
          <w:highlight w:val="yellow"/>
        </w:rPr>
      </w:pPr>
      <w:r>
        <w:rPr>
          <w:rFonts w:hint="eastAsia" w:ascii="仿宋" w:hAnsi="仿宋" w:eastAsia="仿宋" w:cs="仿宋"/>
          <w:b/>
          <w:sz w:val="32"/>
          <w:szCs w:val="32"/>
        </w:rPr>
        <w:t>日期：</w:t>
      </w:r>
      <w:bookmarkStart w:id="1" w:name="EBf5b10e9eaaa44041a117d717902a64e6"/>
      <w:bookmarkEnd w:id="1"/>
      <w:r>
        <w:rPr>
          <w:rFonts w:hint="eastAsia" w:ascii="仿宋" w:hAnsi="仿宋" w:eastAsia="仿宋" w:cs="仿宋"/>
          <w:b/>
          <w:sz w:val="32"/>
          <w:szCs w:val="32"/>
          <w:highlight w:val="none"/>
        </w:rPr>
        <w:t>2022年5月</w:t>
      </w:r>
      <w:r>
        <w:rPr>
          <w:rFonts w:hint="eastAsia" w:ascii="仿宋" w:hAnsi="仿宋" w:eastAsia="仿宋" w:cs="仿宋"/>
          <w:b/>
          <w:sz w:val="32"/>
          <w:szCs w:val="32"/>
          <w:highlight w:val="none"/>
          <w:lang w:val="en-US" w:eastAsia="zh-CN"/>
        </w:rPr>
        <w:t>25</w:t>
      </w:r>
      <w:r>
        <w:rPr>
          <w:rFonts w:hint="eastAsia" w:ascii="仿宋" w:hAnsi="仿宋" w:eastAsia="仿宋" w:cs="仿宋"/>
          <w:b/>
          <w:sz w:val="32"/>
          <w:szCs w:val="32"/>
          <w:highlight w:val="none"/>
        </w:rPr>
        <w:t>日</w:t>
      </w:r>
    </w:p>
    <w:p>
      <w:pPr>
        <w:jc w:val="center"/>
        <w:rPr>
          <w:rFonts w:ascii="仿宋" w:hAnsi="仿宋" w:eastAsia="仿宋" w:cs="仿宋"/>
        </w:rPr>
      </w:pPr>
    </w:p>
    <w:p>
      <w:pPr>
        <w:spacing w:line="360" w:lineRule="auto"/>
        <w:jc w:val="center"/>
        <w:rPr>
          <w:rFonts w:ascii="仿宋" w:hAnsi="仿宋" w:eastAsia="仿宋" w:cs="仿宋"/>
          <w:b/>
          <w:sz w:val="28"/>
        </w:rPr>
        <w:sectPr>
          <w:footerReference r:id="rId3" w:type="default"/>
          <w:pgSz w:w="11906" w:h="16838"/>
          <w:pgMar w:top="1440" w:right="1797" w:bottom="1440" w:left="1797" w:header="851" w:footer="799" w:gutter="284"/>
          <w:pgNumType w:start="36"/>
          <w:cols w:space="720" w:num="1"/>
          <w:docGrid w:type="linesAndChars" w:linePitch="326" w:charSpace="0"/>
        </w:sectPr>
      </w:pPr>
    </w:p>
    <w:p>
      <w:pPr>
        <w:spacing w:line="360" w:lineRule="auto"/>
        <w:jc w:val="center"/>
        <w:rPr>
          <w:rFonts w:ascii="仿宋" w:hAnsi="仿宋" w:eastAsia="仿宋" w:cs="仿宋"/>
          <w:b/>
          <w:sz w:val="28"/>
        </w:rPr>
      </w:pPr>
      <w:r>
        <w:rPr>
          <w:rFonts w:hint="eastAsia" w:ascii="仿宋" w:hAnsi="仿宋" w:eastAsia="仿宋" w:cs="仿宋"/>
          <w:b/>
          <w:sz w:val="28"/>
        </w:rPr>
        <w:t>目 录</w:t>
      </w:r>
    </w:p>
    <w:p>
      <w:pPr>
        <w:pStyle w:val="29"/>
        <w:tabs>
          <w:tab w:val="right" w:leader="dot" w:pos="8028"/>
        </w:tabs>
      </w:pP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r>
        <w:fldChar w:fldCharType="begin"/>
      </w:r>
      <w:r>
        <w:instrText xml:space="preserve"> HYPERLINK \l "_Toc1004" </w:instrText>
      </w:r>
      <w:r>
        <w:fldChar w:fldCharType="separate"/>
      </w:r>
      <w:r>
        <w:rPr>
          <w:rFonts w:hint="eastAsia" w:ascii="仿宋" w:hAnsi="仿宋" w:eastAsia="仿宋" w:cs="仿宋"/>
        </w:rPr>
        <w:t>第一部分 单一来源采购邀请函</w:t>
      </w:r>
      <w:r>
        <w:tab/>
      </w:r>
      <w:r>
        <w:fldChar w:fldCharType="begin"/>
      </w:r>
      <w:r>
        <w:instrText xml:space="preserve"> PAGEREF _Toc1004 \h </w:instrText>
      </w:r>
      <w:r>
        <w:fldChar w:fldCharType="separate"/>
      </w:r>
      <w:r>
        <w:t>3</w:t>
      </w:r>
      <w:r>
        <w:fldChar w:fldCharType="end"/>
      </w:r>
      <w:r>
        <w:fldChar w:fldCharType="end"/>
      </w:r>
    </w:p>
    <w:p>
      <w:pPr>
        <w:pStyle w:val="29"/>
        <w:tabs>
          <w:tab w:val="right" w:leader="dot" w:pos="8028"/>
        </w:tabs>
      </w:pPr>
      <w:r>
        <w:fldChar w:fldCharType="begin"/>
      </w:r>
      <w:r>
        <w:instrText xml:space="preserve"> HYPERLINK \l "_Toc30745" </w:instrText>
      </w:r>
      <w:r>
        <w:fldChar w:fldCharType="separate"/>
      </w:r>
      <w:r>
        <w:rPr>
          <w:rFonts w:hint="eastAsia" w:ascii="仿宋" w:hAnsi="仿宋" w:eastAsia="仿宋" w:cs="仿宋"/>
        </w:rPr>
        <w:t>第二部分 投标人须知</w:t>
      </w:r>
      <w:r>
        <w:tab/>
      </w:r>
      <w:r>
        <w:fldChar w:fldCharType="begin"/>
      </w:r>
      <w:r>
        <w:instrText xml:space="preserve"> PAGEREF _Toc30745 \h </w:instrText>
      </w:r>
      <w:r>
        <w:fldChar w:fldCharType="separate"/>
      </w:r>
      <w:r>
        <w:t>7</w:t>
      </w:r>
      <w:r>
        <w:fldChar w:fldCharType="end"/>
      </w:r>
      <w:r>
        <w:fldChar w:fldCharType="end"/>
      </w:r>
    </w:p>
    <w:p>
      <w:pPr>
        <w:pStyle w:val="29"/>
        <w:tabs>
          <w:tab w:val="right" w:leader="dot" w:pos="8028"/>
        </w:tabs>
      </w:pPr>
      <w:r>
        <w:fldChar w:fldCharType="begin"/>
      </w:r>
      <w:r>
        <w:instrText xml:space="preserve"> HYPERLINK \l "_Toc17805" </w:instrText>
      </w:r>
      <w:r>
        <w:fldChar w:fldCharType="separate"/>
      </w:r>
      <w:r>
        <w:rPr>
          <w:rFonts w:hint="eastAsia" w:ascii="仿宋" w:hAnsi="仿宋" w:eastAsia="仿宋" w:cs="仿宋"/>
        </w:rPr>
        <w:t>第三部分 采购需求</w:t>
      </w:r>
      <w:r>
        <w:tab/>
      </w:r>
      <w:r>
        <w:fldChar w:fldCharType="begin"/>
      </w:r>
      <w:r>
        <w:instrText xml:space="preserve"> PAGEREF _Toc17805 \h </w:instrText>
      </w:r>
      <w:r>
        <w:fldChar w:fldCharType="separate"/>
      </w:r>
      <w:r>
        <w:t>19</w:t>
      </w:r>
      <w:r>
        <w:fldChar w:fldCharType="end"/>
      </w:r>
      <w:r>
        <w:fldChar w:fldCharType="end"/>
      </w:r>
    </w:p>
    <w:p>
      <w:pPr>
        <w:pStyle w:val="29"/>
        <w:tabs>
          <w:tab w:val="right" w:leader="dot" w:pos="8028"/>
        </w:tabs>
      </w:pPr>
      <w:r>
        <w:fldChar w:fldCharType="begin"/>
      </w:r>
      <w:r>
        <w:instrText xml:space="preserve"> HYPERLINK \l "_Toc577" </w:instrText>
      </w:r>
      <w:r>
        <w:fldChar w:fldCharType="separate"/>
      </w:r>
      <w:r>
        <w:rPr>
          <w:rFonts w:hint="eastAsia" w:ascii="仿宋" w:hAnsi="仿宋" w:eastAsia="仿宋" w:cs="仿宋"/>
        </w:rPr>
        <w:t>第四部分 评审方法</w:t>
      </w:r>
      <w:r>
        <w:tab/>
      </w:r>
      <w:r>
        <w:fldChar w:fldCharType="begin"/>
      </w:r>
      <w:r>
        <w:instrText xml:space="preserve"> PAGEREF _Toc577 \h </w:instrText>
      </w:r>
      <w:r>
        <w:fldChar w:fldCharType="separate"/>
      </w:r>
      <w:r>
        <w:t>44</w:t>
      </w:r>
      <w:r>
        <w:fldChar w:fldCharType="end"/>
      </w:r>
      <w:r>
        <w:fldChar w:fldCharType="end"/>
      </w:r>
    </w:p>
    <w:p>
      <w:pPr>
        <w:pStyle w:val="29"/>
        <w:tabs>
          <w:tab w:val="right" w:leader="dot" w:pos="8028"/>
        </w:tabs>
      </w:pPr>
      <w:r>
        <w:fldChar w:fldCharType="begin"/>
      </w:r>
      <w:r>
        <w:instrText xml:space="preserve"> HYPERLINK \l "_Toc650" </w:instrText>
      </w:r>
      <w:r>
        <w:fldChar w:fldCharType="separate"/>
      </w:r>
      <w:r>
        <w:rPr>
          <w:rFonts w:hint="eastAsia" w:ascii="宋体" w:hAnsi="宋体" w:cs="宋体"/>
        </w:rPr>
        <w:t xml:space="preserve">第五部分  </w:t>
      </w:r>
      <w:r>
        <w:rPr>
          <w:rFonts w:hint="eastAsia" w:ascii="仿宋" w:hAnsi="仿宋" w:eastAsia="仿宋" w:cs="仿宋"/>
        </w:rPr>
        <w:t>政府采购合同</w:t>
      </w:r>
      <w:r>
        <w:tab/>
      </w:r>
      <w:r>
        <w:fldChar w:fldCharType="begin"/>
      </w:r>
      <w:r>
        <w:instrText xml:space="preserve"> PAGEREF _Toc650 \h </w:instrText>
      </w:r>
      <w:r>
        <w:fldChar w:fldCharType="separate"/>
      </w:r>
      <w:r>
        <w:t>46</w:t>
      </w:r>
      <w:r>
        <w:fldChar w:fldCharType="end"/>
      </w:r>
      <w:r>
        <w:fldChar w:fldCharType="end"/>
      </w:r>
    </w:p>
    <w:p>
      <w:pPr>
        <w:pStyle w:val="29"/>
        <w:tabs>
          <w:tab w:val="right" w:leader="dot" w:pos="8028"/>
        </w:tabs>
      </w:pPr>
      <w:r>
        <w:fldChar w:fldCharType="begin"/>
      </w:r>
      <w:r>
        <w:instrText xml:space="preserve"> HYPERLINK \l "_Toc24427" </w:instrText>
      </w:r>
      <w:r>
        <w:fldChar w:fldCharType="separate"/>
      </w:r>
      <w:r>
        <w:rPr>
          <w:rFonts w:hint="eastAsia" w:ascii="仿宋" w:hAnsi="仿宋" w:eastAsia="仿宋" w:cs="仿宋"/>
        </w:rPr>
        <w:t>第六部分  投标响应文件格式</w:t>
      </w:r>
      <w:r>
        <w:tab/>
      </w:r>
      <w:r>
        <w:fldChar w:fldCharType="begin"/>
      </w:r>
      <w:r>
        <w:instrText xml:space="preserve"> PAGEREF _Toc24427 \h </w:instrText>
      </w:r>
      <w:r>
        <w:fldChar w:fldCharType="separate"/>
      </w:r>
      <w:r>
        <w:t>51</w:t>
      </w:r>
      <w:r>
        <w:fldChar w:fldCharType="end"/>
      </w:r>
      <w:r>
        <w:fldChar w:fldCharType="end"/>
      </w:r>
    </w:p>
    <w:p>
      <w:pPr>
        <w:pStyle w:val="29"/>
        <w:tabs>
          <w:tab w:val="right" w:leader="dot" w:pos="8028"/>
        </w:tabs>
      </w:pPr>
    </w:p>
    <w:p>
      <w:pPr>
        <w:rPr>
          <w:rFonts w:ascii="仿宋" w:hAnsi="仿宋" w:eastAsia="仿宋" w:cs="仿宋"/>
        </w:rPr>
      </w:pPr>
      <w:r>
        <w:rPr>
          <w:rFonts w:hint="eastAsia" w:ascii="仿宋" w:hAnsi="仿宋" w:eastAsia="仿宋" w:cs="仿宋"/>
        </w:rPr>
        <w:fldChar w:fldCharType="end"/>
      </w:r>
    </w:p>
    <w:p>
      <w:pPr>
        <w:pStyle w:val="19"/>
        <w:tabs>
          <w:tab w:val="left" w:pos="0"/>
        </w:tabs>
        <w:spacing w:line="240" w:lineRule="auto"/>
        <w:ind w:left="0" w:leftChars="0" w:firstLine="0" w:firstLineChars="0"/>
        <w:jc w:val="center"/>
        <w:outlineLvl w:val="0"/>
        <w:rPr>
          <w:rFonts w:ascii="仿宋" w:hAnsi="仿宋" w:eastAsia="仿宋" w:cs="仿宋"/>
          <w:b/>
          <w:sz w:val="36"/>
        </w:rPr>
        <w:sectPr>
          <w:footerReference r:id="rId4" w:type="default"/>
          <w:pgSz w:w="11906" w:h="16838"/>
          <w:pgMar w:top="1440" w:right="1797" w:bottom="1440" w:left="1797" w:header="851" w:footer="799" w:gutter="284"/>
          <w:pgNumType w:start="1"/>
          <w:cols w:space="720" w:num="1"/>
          <w:docGrid w:type="linesAndChars" w:linePitch="326" w:charSpace="0"/>
        </w:sectPr>
      </w:pPr>
      <w:bookmarkStart w:id="2" w:name="_Toc1004"/>
    </w:p>
    <w:p>
      <w:pPr>
        <w:pStyle w:val="19"/>
        <w:tabs>
          <w:tab w:val="left" w:pos="0"/>
        </w:tabs>
        <w:spacing w:line="240" w:lineRule="auto"/>
        <w:ind w:left="0" w:leftChars="0" w:firstLine="0" w:firstLineChars="0"/>
        <w:jc w:val="center"/>
        <w:outlineLvl w:val="0"/>
        <w:rPr>
          <w:rFonts w:ascii="仿宋" w:hAnsi="仿宋" w:eastAsia="仿宋" w:cs="仿宋"/>
          <w:b/>
          <w:sz w:val="36"/>
        </w:rPr>
      </w:pPr>
      <w:r>
        <w:rPr>
          <w:rFonts w:hint="eastAsia" w:ascii="仿宋" w:hAnsi="仿宋" w:eastAsia="仿宋" w:cs="仿宋"/>
          <w:b/>
          <w:sz w:val="36"/>
        </w:rPr>
        <w:t>第一部分 单一来源采购邀请函</w:t>
      </w:r>
      <w:bookmarkEnd w:id="2"/>
    </w:p>
    <w:p>
      <w:pPr>
        <w:rPr>
          <w:rFonts w:ascii="仿宋" w:hAnsi="仿宋" w:eastAsia="仿宋" w:cs="仿宋"/>
        </w:rPr>
      </w:pPr>
      <w:bookmarkStart w:id="3" w:name="EB16419e769fee41b994357ba70e1d0689"/>
    </w:p>
    <w:bookmarkEnd w:id="3"/>
    <w:p>
      <w:pPr>
        <w:rPr>
          <w:rFonts w:ascii="仿宋" w:hAnsi="仿宋" w:eastAsia="仿宋" w:cs="仿宋"/>
        </w:rPr>
      </w:pPr>
    </w:p>
    <w:tbl>
      <w:tblPr>
        <w:tblStyle w:val="39"/>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620" w:type="dxa"/>
          </w:tcPr>
          <w:p>
            <w:pPr>
              <w:pStyle w:val="34"/>
              <w:widowControl/>
              <w:spacing w:before="75" w:after="75"/>
              <w:rPr>
                <w:rFonts w:ascii="仿宋" w:hAnsi="仿宋" w:eastAsia="仿宋" w:cs="仿宋"/>
                <w:color w:val="000000"/>
                <w:sz w:val="21"/>
                <w:szCs w:val="21"/>
              </w:rPr>
            </w:pPr>
            <w:r>
              <w:rPr>
                <w:rFonts w:hint="eastAsia" w:ascii="仿宋" w:hAnsi="仿宋" w:eastAsia="仿宋" w:cs="仿宋"/>
                <w:color w:val="000000"/>
                <w:szCs w:val="24"/>
              </w:rPr>
              <w:t>项目概况</w:t>
            </w:r>
          </w:p>
          <w:p>
            <w:pPr>
              <w:pStyle w:val="19"/>
              <w:spacing w:line="240" w:lineRule="auto"/>
              <w:ind w:left="0" w:leftChars="0" w:firstLine="480" w:firstLineChars="200"/>
              <w:rPr>
                <w:rFonts w:ascii="仿宋" w:hAnsi="仿宋" w:eastAsia="仿宋" w:cs="仿宋"/>
                <w:color w:val="000000"/>
                <w:szCs w:val="24"/>
              </w:rPr>
            </w:pPr>
            <w:r>
              <w:rPr>
                <w:rFonts w:hint="eastAsia" w:ascii="仿宋" w:hAnsi="仿宋" w:eastAsia="仿宋" w:cs="仿宋"/>
                <w:color w:val="000000"/>
                <w:kern w:val="0"/>
                <w:szCs w:val="24"/>
                <w:lang w:bidi="ar"/>
              </w:rPr>
              <w:t>第三师图木舒克市大数据产业园购买服务项目</w:t>
            </w:r>
            <w:r>
              <w:rPr>
                <w:rFonts w:hint="eastAsia" w:ascii="仿宋" w:hAnsi="仿宋" w:eastAsia="仿宋" w:cs="仿宋"/>
                <w:szCs w:val="24"/>
                <w:lang w:bidi="en-US"/>
              </w:rPr>
              <w:t>的潜在供应商应在新疆兵团政府采购网政采云平台：https://www.zcygov.cn获取采购文件，并</w:t>
            </w:r>
            <w:r>
              <w:rPr>
                <w:rFonts w:hint="eastAsia" w:ascii="仿宋" w:hAnsi="仿宋" w:eastAsia="仿宋" w:cs="仿宋"/>
                <w:szCs w:val="24"/>
                <w:highlight w:val="none"/>
                <w:lang w:bidi="en-US"/>
              </w:rPr>
              <w:t>于2022年6月</w:t>
            </w:r>
            <w:r>
              <w:rPr>
                <w:rFonts w:hint="eastAsia" w:ascii="仿宋" w:hAnsi="仿宋" w:eastAsia="仿宋" w:cs="仿宋"/>
                <w:szCs w:val="24"/>
                <w:highlight w:val="none"/>
                <w:lang w:val="en-US" w:eastAsia="zh-CN" w:bidi="en-US"/>
              </w:rPr>
              <w:t>2</w:t>
            </w:r>
            <w:r>
              <w:rPr>
                <w:rFonts w:hint="eastAsia" w:ascii="仿宋" w:hAnsi="仿宋" w:eastAsia="仿宋" w:cs="仿宋"/>
                <w:szCs w:val="24"/>
                <w:highlight w:val="none"/>
                <w:lang w:bidi="en-US"/>
              </w:rPr>
              <w:t>日</w:t>
            </w:r>
            <w:r>
              <w:rPr>
                <w:rFonts w:hint="eastAsia" w:ascii="仿宋" w:hAnsi="仿宋" w:eastAsia="仿宋" w:cs="仿宋"/>
                <w:szCs w:val="24"/>
                <w:highlight w:val="none"/>
                <w:lang w:val="en-US" w:eastAsia="zh-CN" w:bidi="en-US"/>
              </w:rPr>
              <w:t>16</w:t>
            </w:r>
            <w:r>
              <w:rPr>
                <w:rFonts w:hint="eastAsia" w:ascii="仿宋" w:hAnsi="仿宋" w:eastAsia="仿宋" w:cs="仿宋"/>
                <w:szCs w:val="24"/>
                <w:highlight w:val="none"/>
                <w:lang w:bidi="en-US"/>
              </w:rPr>
              <w:t>:</w:t>
            </w:r>
            <w:r>
              <w:rPr>
                <w:rFonts w:hint="eastAsia" w:ascii="仿宋" w:hAnsi="仿宋" w:eastAsia="仿宋" w:cs="仿宋"/>
                <w:szCs w:val="24"/>
                <w:highlight w:val="none"/>
                <w:lang w:val="en-US" w:eastAsia="zh-CN" w:bidi="en-US"/>
              </w:rPr>
              <w:t>3</w:t>
            </w:r>
            <w:r>
              <w:rPr>
                <w:rFonts w:hint="eastAsia" w:ascii="仿宋" w:hAnsi="仿宋" w:eastAsia="仿宋" w:cs="仿宋"/>
                <w:szCs w:val="24"/>
                <w:highlight w:val="none"/>
                <w:lang w:bidi="en-US"/>
              </w:rPr>
              <w:t>0时（北京时间）前递交响应文件。</w:t>
            </w:r>
          </w:p>
        </w:tc>
      </w:tr>
    </w:tbl>
    <w:p>
      <w:pPr>
        <w:pStyle w:val="34"/>
        <w:widowControl/>
        <w:numPr>
          <w:ilvl w:val="0"/>
          <w:numId w:val="3"/>
        </w:numPr>
        <w:spacing w:before="255" w:after="255" w:line="450" w:lineRule="atLeast"/>
        <w:rPr>
          <w:rStyle w:val="41"/>
          <w:rFonts w:ascii="仿宋" w:hAnsi="仿宋" w:eastAsia="仿宋" w:cs="仿宋"/>
          <w:color w:val="000000"/>
          <w:szCs w:val="24"/>
        </w:rPr>
      </w:pPr>
      <w:r>
        <w:rPr>
          <w:rStyle w:val="41"/>
          <w:rFonts w:hint="eastAsia" w:ascii="仿宋" w:hAnsi="仿宋" w:eastAsia="仿宋" w:cs="仿宋"/>
          <w:color w:val="000000"/>
          <w:szCs w:val="24"/>
        </w:rPr>
        <w:t>项目基本情况</w:t>
      </w:r>
    </w:p>
    <w:p>
      <w:pPr>
        <w:pStyle w:val="34"/>
        <w:widowControl/>
        <w:spacing w:before="75" w:after="75" w:line="300" w:lineRule="atLeast"/>
        <w:ind w:firstLine="240" w:firstLineChars="100"/>
        <w:jc w:val="left"/>
        <w:rPr>
          <w:rFonts w:ascii="仿宋" w:hAnsi="仿宋" w:eastAsia="仿宋" w:cs="仿宋"/>
          <w:szCs w:val="24"/>
        </w:rPr>
      </w:pPr>
      <w:r>
        <w:rPr>
          <w:rFonts w:hint="eastAsia" w:ascii="仿宋" w:hAnsi="仿宋" w:eastAsia="仿宋" w:cs="仿宋"/>
          <w:szCs w:val="24"/>
        </w:rPr>
        <w:t>项目编号：</w:t>
      </w:r>
      <w:r>
        <w:rPr>
          <w:rFonts w:hint="eastAsia" w:ascii="仿宋" w:hAnsi="仿宋" w:eastAsia="仿宋" w:cs="仿宋"/>
          <w:szCs w:val="24"/>
          <w:highlight w:val="none"/>
          <w:lang w:eastAsia="zh-CN" w:bidi="en-US"/>
        </w:rPr>
        <w:t>B3S[2022]321号</w:t>
      </w:r>
      <w:r>
        <w:rPr>
          <w:rFonts w:hint="eastAsia" w:ascii="仿宋" w:hAnsi="仿宋" w:eastAsia="仿宋" w:cs="仿宋"/>
          <w:szCs w:val="24"/>
          <w:highlight w:val="none"/>
          <w:lang w:bidi="en-US"/>
        </w:rPr>
        <w:t xml:space="preserve"> </w:t>
      </w:r>
      <w:r>
        <w:rPr>
          <w:rFonts w:hint="eastAsia" w:ascii="仿宋" w:hAnsi="仿宋" w:eastAsia="仿宋" w:cs="仿宋"/>
          <w:szCs w:val="24"/>
          <w:highlight w:val="none"/>
        </w:rPr>
        <w:t xml:space="preserve"> </w:t>
      </w:r>
    </w:p>
    <w:p>
      <w:pPr>
        <w:pStyle w:val="34"/>
        <w:widowControl/>
        <w:spacing w:before="75" w:after="75" w:line="300" w:lineRule="atLeast"/>
        <w:ind w:firstLine="240" w:firstLineChars="100"/>
        <w:jc w:val="left"/>
        <w:rPr>
          <w:rFonts w:ascii="仿宋" w:hAnsi="仿宋" w:eastAsia="仿宋" w:cs="仿宋"/>
          <w:szCs w:val="24"/>
        </w:rPr>
      </w:pPr>
      <w:r>
        <w:rPr>
          <w:rFonts w:hint="eastAsia" w:ascii="仿宋" w:hAnsi="仿宋" w:eastAsia="仿宋" w:cs="仿宋"/>
          <w:szCs w:val="24"/>
        </w:rPr>
        <w:t>项目名称：单一来源</w:t>
      </w:r>
    </w:p>
    <w:p>
      <w:pPr>
        <w:pStyle w:val="34"/>
        <w:widowControl/>
        <w:spacing w:before="75" w:after="75" w:line="300" w:lineRule="atLeast"/>
        <w:ind w:firstLine="240" w:firstLineChars="100"/>
        <w:jc w:val="left"/>
        <w:rPr>
          <w:rFonts w:ascii="宋体" w:hAnsi="宋体" w:cs="宋体"/>
          <w:color w:val="000000"/>
          <w:szCs w:val="24"/>
        </w:rPr>
      </w:pPr>
      <w:r>
        <w:rPr>
          <w:rFonts w:hint="eastAsia" w:ascii="仿宋" w:hAnsi="仿宋" w:eastAsia="仿宋" w:cs="仿宋"/>
          <w:szCs w:val="24"/>
        </w:rPr>
        <w:t>预算金额（元）：10000000.00</w:t>
      </w:r>
    </w:p>
    <w:p>
      <w:pPr>
        <w:pStyle w:val="34"/>
        <w:widowControl/>
        <w:spacing w:before="75" w:after="75" w:line="300" w:lineRule="atLeast"/>
        <w:ind w:firstLine="240" w:firstLineChars="100"/>
        <w:jc w:val="left"/>
        <w:rPr>
          <w:rFonts w:ascii="仿宋" w:hAnsi="仿宋" w:eastAsia="仿宋" w:cs="仿宋"/>
          <w:szCs w:val="24"/>
        </w:rPr>
      </w:pPr>
      <w:r>
        <w:rPr>
          <w:rFonts w:hint="eastAsia" w:ascii="仿宋" w:hAnsi="仿宋" w:eastAsia="仿宋" w:cs="仿宋"/>
          <w:szCs w:val="24"/>
        </w:rPr>
        <w:t>最高限价（元）：10000000.00</w:t>
      </w:r>
    </w:p>
    <w:p>
      <w:pPr>
        <w:pStyle w:val="34"/>
        <w:widowControl/>
        <w:spacing w:before="75" w:after="75" w:line="300" w:lineRule="atLeast"/>
        <w:rPr>
          <w:rFonts w:ascii="仿宋" w:hAnsi="仿宋" w:eastAsia="仿宋" w:cs="仿宋"/>
          <w:szCs w:val="24"/>
        </w:rPr>
      </w:pPr>
      <w:r>
        <w:rPr>
          <w:rFonts w:hint="eastAsia" w:ascii="仿宋" w:hAnsi="仿宋" w:eastAsia="仿宋" w:cs="仿宋"/>
          <w:color w:val="000000"/>
          <w:szCs w:val="24"/>
        </w:rPr>
        <w:t>   采购需求：</w:t>
      </w:r>
      <w:r>
        <w:rPr>
          <w:rFonts w:hint="eastAsia" w:ascii="仿宋" w:hAnsi="仿宋" w:eastAsia="仿宋" w:cs="仿宋"/>
          <w:szCs w:val="24"/>
          <w:lang w:bidi="en-US"/>
        </w:rPr>
        <w:t>第三师图木舒克市大数据产业园购买服务项目</w:t>
      </w:r>
      <w:r>
        <w:rPr>
          <w:rFonts w:hint="eastAsia" w:ascii="仿宋" w:hAnsi="仿宋" w:eastAsia="仿宋" w:cs="仿宋"/>
          <w:szCs w:val="24"/>
        </w:rPr>
        <w:t>详见招标文件第三部分“采购需求”。</w:t>
      </w:r>
    </w:p>
    <w:p>
      <w:pPr>
        <w:widowControl/>
        <w:spacing w:line="300" w:lineRule="atLeast"/>
        <w:jc w:val="left"/>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p>
      <w:pPr>
        <w:pStyle w:val="34"/>
        <w:widowControl/>
        <w:spacing w:before="75" w:after="75" w:line="300" w:lineRule="atLeast"/>
        <w:rPr>
          <w:rFonts w:ascii="仿宋" w:hAnsi="仿宋" w:eastAsia="仿宋" w:cs="仿宋"/>
          <w:szCs w:val="24"/>
        </w:rPr>
      </w:pPr>
      <w:r>
        <w:rPr>
          <w:rFonts w:hint="eastAsia" w:ascii="仿宋" w:hAnsi="仿宋" w:eastAsia="仿宋" w:cs="仿宋"/>
          <w:color w:val="000000"/>
          <w:szCs w:val="24"/>
        </w:rPr>
        <w:t>   标项名称：</w:t>
      </w:r>
      <w:r>
        <w:rPr>
          <w:rFonts w:hint="eastAsia" w:ascii="仿宋" w:hAnsi="仿宋" w:eastAsia="仿宋" w:cs="仿宋"/>
          <w:szCs w:val="24"/>
        </w:rPr>
        <w:t>第三师图木舒克市大数据产业园购买服务项目</w:t>
      </w:r>
      <w:r>
        <w:rPr>
          <w:rFonts w:hint="eastAsia" w:ascii="仿宋" w:hAnsi="仿宋" w:eastAsia="仿宋" w:cs="仿宋"/>
          <w:color w:val="000000"/>
          <w:szCs w:val="24"/>
        </w:rPr>
        <w:t>   数量： 不限 </w:t>
      </w:r>
    </w:p>
    <w:p>
      <w:pPr>
        <w:pStyle w:val="34"/>
        <w:widowControl/>
        <w:spacing w:before="75" w:after="75" w:line="300" w:lineRule="atLeast"/>
        <w:ind w:firstLine="240" w:firstLineChars="100"/>
        <w:jc w:val="left"/>
        <w:rPr>
          <w:rFonts w:ascii="仿宋" w:hAnsi="仿宋" w:eastAsia="仿宋" w:cs="仿宋"/>
          <w:szCs w:val="24"/>
        </w:rPr>
      </w:pPr>
      <w:r>
        <w:rPr>
          <w:rFonts w:hint="eastAsia" w:ascii="仿宋" w:hAnsi="仿宋" w:eastAsia="仿宋" w:cs="仿宋"/>
          <w:color w:val="000000"/>
          <w:szCs w:val="24"/>
        </w:rPr>
        <w:t> 预算金额（元）：</w:t>
      </w:r>
      <w:r>
        <w:rPr>
          <w:rFonts w:hint="eastAsia" w:ascii="仿宋" w:hAnsi="仿宋" w:eastAsia="仿宋" w:cs="仿宋"/>
          <w:szCs w:val="24"/>
        </w:rPr>
        <w:t>10000000.00</w:t>
      </w:r>
    </w:p>
    <w:p>
      <w:pPr>
        <w:pStyle w:val="34"/>
        <w:widowControl/>
        <w:spacing w:before="75" w:after="75" w:line="300" w:lineRule="atLeast"/>
        <w:rPr>
          <w:rFonts w:ascii="仿宋" w:hAnsi="仿宋" w:eastAsia="仿宋" w:cs="仿宋"/>
          <w:color w:val="000000"/>
          <w:szCs w:val="24"/>
        </w:rPr>
      </w:pPr>
    </w:p>
    <w:p>
      <w:pPr>
        <w:pStyle w:val="34"/>
        <w:widowControl/>
        <w:spacing w:before="75" w:after="75" w:line="300" w:lineRule="atLeast"/>
        <w:ind w:firstLine="240" w:firstLineChars="100"/>
        <w:rPr>
          <w:rFonts w:ascii="仿宋" w:hAnsi="仿宋" w:eastAsia="仿宋" w:cs="仿宋"/>
          <w:szCs w:val="24"/>
        </w:rPr>
      </w:pPr>
      <w:r>
        <w:rPr>
          <w:rFonts w:hint="eastAsia" w:ascii="仿宋" w:hAnsi="仿宋" w:eastAsia="仿宋" w:cs="仿宋"/>
          <w:color w:val="000000"/>
          <w:szCs w:val="24"/>
        </w:rPr>
        <w:t>单位：批 </w:t>
      </w:r>
    </w:p>
    <w:p>
      <w:pPr>
        <w:pStyle w:val="34"/>
        <w:widowControl/>
        <w:spacing w:before="75" w:after="75" w:line="300" w:lineRule="atLeast"/>
        <w:rPr>
          <w:rFonts w:ascii="仿宋" w:hAnsi="仿宋" w:eastAsia="仿宋" w:cs="仿宋"/>
          <w:color w:val="000000"/>
          <w:szCs w:val="24"/>
        </w:rPr>
      </w:pPr>
      <w:r>
        <w:rPr>
          <w:rFonts w:hint="eastAsia" w:ascii="仿宋" w:hAnsi="仿宋" w:eastAsia="仿宋" w:cs="仿宋"/>
          <w:color w:val="000000"/>
          <w:szCs w:val="24"/>
        </w:rPr>
        <w:t>   简要规格描述：</w:t>
      </w:r>
      <w:r>
        <w:rPr>
          <w:rFonts w:hint="eastAsia" w:ascii="仿宋" w:hAnsi="仿宋" w:eastAsia="仿宋" w:cs="仿宋"/>
          <w:szCs w:val="24"/>
          <w:lang w:bidi="en-US"/>
        </w:rPr>
        <w:t>第三师图木舒克市大数据产业园购买服务项目</w:t>
      </w:r>
      <w:r>
        <w:rPr>
          <w:rFonts w:hint="eastAsia" w:ascii="仿宋" w:hAnsi="仿宋" w:eastAsia="仿宋" w:cs="仿宋"/>
          <w:szCs w:val="24"/>
        </w:rPr>
        <w:t>详见招标文件第三部分“采购需求”。</w:t>
      </w:r>
    </w:p>
    <w:p>
      <w:pPr>
        <w:pStyle w:val="34"/>
        <w:widowControl/>
        <w:spacing w:before="75" w:after="75" w:line="300" w:lineRule="atLeast"/>
        <w:rPr>
          <w:rFonts w:ascii="仿宋" w:hAnsi="仿宋" w:eastAsia="仿宋" w:cs="仿宋"/>
          <w:color w:val="000000"/>
          <w:szCs w:val="24"/>
        </w:rPr>
      </w:pPr>
    </w:p>
    <w:p>
      <w:pPr>
        <w:pStyle w:val="34"/>
        <w:widowControl/>
        <w:spacing w:before="75" w:after="75" w:line="300" w:lineRule="atLeast"/>
        <w:ind w:firstLine="240" w:firstLineChars="100"/>
        <w:rPr>
          <w:rFonts w:ascii="仿宋" w:hAnsi="仿宋" w:eastAsia="仿宋" w:cs="仿宋"/>
          <w:szCs w:val="24"/>
        </w:rPr>
      </w:pPr>
      <w:r>
        <w:rPr>
          <w:rFonts w:hint="eastAsia" w:ascii="仿宋" w:hAnsi="仿宋" w:eastAsia="仿宋" w:cs="仿宋"/>
          <w:color w:val="000000"/>
          <w:szCs w:val="24"/>
        </w:rPr>
        <w:t>合同履约期限</w:t>
      </w:r>
      <w:r>
        <w:rPr>
          <w:rFonts w:hint="eastAsia" w:ascii="仿宋" w:hAnsi="仿宋" w:eastAsia="仿宋" w:cs="仿宋"/>
          <w:color w:val="000000"/>
          <w:szCs w:val="24"/>
          <w:highlight w:val="none"/>
        </w:rPr>
        <w:t>：</w:t>
      </w:r>
      <w:r>
        <w:rPr>
          <w:rFonts w:hint="eastAsia" w:ascii="仿宋" w:hAnsi="仿宋" w:eastAsia="仿宋" w:cs="仿宋"/>
          <w:szCs w:val="24"/>
          <w:highlight w:val="none"/>
        </w:rPr>
        <w:t>自合同签订之日起1年</w:t>
      </w:r>
    </w:p>
    <w:p>
      <w:pPr>
        <w:pStyle w:val="34"/>
        <w:widowControl/>
        <w:spacing w:before="75" w:after="75" w:line="300" w:lineRule="atLeast"/>
        <w:ind w:firstLine="240" w:firstLineChars="100"/>
        <w:rPr>
          <w:rFonts w:ascii="仿宋" w:hAnsi="仿宋" w:eastAsia="仿宋" w:cs="仿宋"/>
          <w:szCs w:val="24"/>
        </w:rPr>
      </w:pPr>
      <w:r>
        <w:rPr>
          <w:rFonts w:hint="eastAsia" w:ascii="仿宋" w:hAnsi="仿宋" w:eastAsia="仿宋" w:cs="仿宋"/>
          <w:color w:val="000000"/>
          <w:szCs w:val="24"/>
        </w:rPr>
        <w:t>本项目（否）接受联合体投标。  </w:t>
      </w:r>
    </w:p>
    <w:p>
      <w:pPr>
        <w:pStyle w:val="34"/>
        <w:widowControl/>
        <w:spacing w:before="255" w:after="255" w:line="450" w:lineRule="atLeast"/>
        <w:rPr>
          <w:rFonts w:ascii="仿宋" w:hAnsi="仿宋" w:eastAsia="仿宋" w:cs="仿宋"/>
          <w:color w:val="000000"/>
          <w:szCs w:val="24"/>
        </w:rPr>
      </w:pPr>
      <w:r>
        <w:rPr>
          <w:rStyle w:val="41"/>
          <w:rFonts w:hint="eastAsia" w:ascii="仿宋" w:hAnsi="仿宋" w:eastAsia="仿宋" w:cs="仿宋"/>
          <w:color w:val="000000"/>
          <w:szCs w:val="24"/>
        </w:rPr>
        <w:t>二、申请人的资格要求</w:t>
      </w:r>
    </w:p>
    <w:p>
      <w:pPr>
        <w:pStyle w:val="175"/>
        <w:snapToGrid w:val="0"/>
        <w:spacing w:line="360" w:lineRule="auto"/>
        <w:ind w:firstLine="480" w:firstLineChars="200"/>
        <w:rPr>
          <w:rFonts w:ascii="仿宋" w:hAnsi="仿宋" w:eastAsia="仿宋" w:cs="仿宋"/>
          <w:sz w:val="24"/>
        </w:rPr>
      </w:pPr>
      <w:r>
        <w:rPr>
          <w:rFonts w:hint="eastAsia" w:ascii="仿宋" w:hAnsi="仿宋" w:eastAsia="仿宋" w:cs="仿宋"/>
          <w:sz w:val="24"/>
        </w:rPr>
        <w:t>1、符合《政府采购法》第二十二条规定、《中华人民共和国政府采购法实施条例》第十七条规定。</w:t>
      </w:r>
    </w:p>
    <w:p>
      <w:pPr>
        <w:pStyle w:val="175"/>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2、采购项目需要落实的政府采购政策:</w:t>
      </w:r>
    </w:p>
    <w:p>
      <w:pPr>
        <w:pStyle w:val="175"/>
        <w:snapToGrid w:val="0"/>
        <w:spacing w:line="360" w:lineRule="auto"/>
        <w:ind w:firstLine="480" w:firstLineChars="200"/>
        <w:rPr>
          <w:rFonts w:ascii="仿宋" w:hAnsi="仿宋" w:eastAsia="仿宋" w:cs="仿宋"/>
          <w:sz w:val="24"/>
        </w:rPr>
      </w:pPr>
      <w:r>
        <w:rPr>
          <w:rFonts w:hint="eastAsia" w:ascii="仿宋" w:hAnsi="仿宋" w:eastAsia="仿宋" w:cs="仿宋"/>
          <w:sz w:val="24"/>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pPr>
        <w:pStyle w:val="175"/>
        <w:snapToGrid w:val="0"/>
        <w:spacing w:line="360" w:lineRule="auto"/>
        <w:ind w:firstLine="480" w:firstLineChars="200"/>
        <w:rPr>
          <w:rFonts w:ascii="仿宋" w:hAnsi="仿宋" w:eastAsia="仿宋" w:cs="仿宋"/>
          <w:sz w:val="24"/>
        </w:rPr>
      </w:pPr>
      <w:r>
        <w:rPr>
          <w:rFonts w:hint="eastAsia" w:ascii="仿宋" w:hAnsi="仿宋" w:eastAsia="仿宋" w:cs="仿宋"/>
          <w:sz w:val="24"/>
        </w:rPr>
        <w:t> （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pPr>
        <w:pStyle w:val="175"/>
        <w:snapToGrid w:val="0"/>
        <w:spacing w:line="360" w:lineRule="auto"/>
        <w:ind w:firstLine="480" w:firstLineChars="200"/>
        <w:rPr>
          <w:rFonts w:ascii="仿宋" w:hAnsi="仿宋" w:eastAsia="仿宋" w:cs="仿宋"/>
          <w:sz w:val="24"/>
        </w:rPr>
      </w:pPr>
      <w:r>
        <w:rPr>
          <w:rFonts w:hint="eastAsia" w:ascii="仿宋" w:hAnsi="仿宋" w:eastAsia="仿宋" w:cs="仿宋"/>
          <w:sz w:val="24"/>
        </w:rPr>
        <w:t>（3）财政部、工业和信息化部文件关于印发《政府采购促进中小企业发展管理办法》（财库[2020]46号文）；</w:t>
      </w:r>
    </w:p>
    <w:p>
      <w:pPr>
        <w:pStyle w:val="175"/>
        <w:snapToGrid w:val="0"/>
        <w:spacing w:line="360" w:lineRule="auto"/>
        <w:ind w:firstLine="480" w:firstLineChars="200"/>
        <w:rPr>
          <w:rFonts w:ascii="仿宋" w:hAnsi="仿宋" w:eastAsia="仿宋" w:cs="仿宋"/>
          <w:sz w:val="24"/>
        </w:rPr>
      </w:pPr>
      <w:r>
        <w:rPr>
          <w:rFonts w:hint="eastAsia" w:ascii="仿宋" w:hAnsi="仿宋" w:eastAsia="仿宋" w:cs="仿宋"/>
          <w:sz w:val="24"/>
        </w:rPr>
        <w:t>（4）财政部、司法部《关于政府采购支持监狱企业发展有关问题的通知》（财库〔2014〕68 号）；</w:t>
      </w:r>
    </w:p>
    <w:p>
      <w:pPr>
        <w:pStyle w:val="175"/>
        <w:snapToGrid w:val="0"/>
        <w:spacing w:line="360" w:lineRule="auto"/>
        <w:ind w:firstLine="480" w:firstLineChars="200"/>
        <w:rPr>
          <w:rFonts w:ascii="仿宋" w:hAnsi="仿宋" w:eastAsia="仿宋" w:cs="仿宋"/>
          <w:sz w:val="24"/>
        </w:rPr>
      </w:pPr>
      <w:r>
        <w:rPr>
          <w:rFonts w:hint="eastAsia" w:ascii="仿宋" w:hAnsi="仿宋" w:eastAsia="仿宋" w:cs="仿宋"/>
          <w:sz w:val="24"/>
        </w:rPr>
        <w:t>（5）财政部、民政部、中国残疾人联合会文件《关于促进残疾人就业政府采购政策的通知》（财库[2017]141号）；监狱企业、残疾人福利性单位视同小型、微型企业,享受小型、微型企业评审中价格扣除的政府采购政策。</w:t>
      </w:r>
    </w:p>
    <w:p>
      <w:pPr>
        <w:pStyle w:val="175"/>
        <w:snapToGrid w:val="0"/>
        <w:spacing w:line="360" w:lineRule="auto"/>
        <w:ind w:firstLine="480" w:firstLineChars="200"/>
        <w:rPr>
          <w:rFonts w:ascii="仿宋" w:hAnsi="仿宋" w:eastAsia="仿宋" w:cs="仿宋"/>
          <w:sz w:val="24"/>
        </w:rPr>
      </w:pPr>
      <w:r>
        <w:rPr>
          <w:rFonts w:hint="eastAsia" w:ascii="仿宋" w:hAnsi="仿宋" w:eastAsia="仿宋" w:cs="仿宋"/>
          <w:sz w:val="24"/>
        </w:rPr>
        <w:t>3、法定代表人或者负责人为同一人或者存在控股、管理关系的两个以上投标人,不得参加同一项目的投标；除单一来源采购项目外,为采购项目提供整体设计、规范编制或者项目管理、监理、检测等服务的投标人,不得再参加该采购项目的其他采购活动。</w:t>
      </w:r>
    </w:p>
    <w:p>
      <w:pPr>
        <w:pStyle w:val="178"/>
        <w:spacing w:line="360" w:lineRule="auto"/>
        <w:ind w:firstLine="480" w:firstLineChars="200"/>
        <w:rPr>
          <w:rFonts w:ascii="仿宋" w:hAnsi="仿宋" w:eastAsia="仿宋" w:cs="仿宋"/>
          <w:sz w:val="24"/>
          <w:szCs w:val="24"/>
          <w:highlight w:val="cyan"/>
        </w:rPr>
      </w:pPr>
      <w:r>
        <w:rPr>
          <w:rFonts w:hint="eastAsia" w:ascii="仿宋" w:hAnsi="仿宋" w:eastAsia="仿宋" w:cs="仿宋"/>
          <w:sz w:val="24"/>
          <w:szCs w:val="24"/>
        </w:rPr>
        <w:t xml:space="preserve">4、投标人必须为前三年内（2019 年1 月 1 日至投标截止时间(开标时间)）未被列入“信用中国”网站（www.creditchina.gov.cn）、中国政府采购网（www.ccgp.gov.cn）信用记录失信被执行人、税收违法黑名单、政府采购严重违法失信行为记录名单的；（查询的时间以采购人或采购代理机构开标当日查询记录为准）。 </w:t>
      </w:r>
    </w:p>
    <w:p>
      <w:pPr>
        <w:pStyle w:val="175"/>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pPr>
        <w:pStyle w:val="34"/>
        <w:widowControl/>
        <w:spacing w:before="75" w:after="75" w:line="300" w:lineRule="atLeast"/>
        <w:jc w:val="left"/>
        <w:rPr>
          <w:rFonts w:ascii="仿宋" w:hAnsi="仿宋" w:eastAsia="仿宋" w:cs="仿宋"/>
          <w:color w:val="000000"/>
          <w:szCs w:val="24"/>
        </w:rPr>
      </w:pPr>
      <w:r>
        <w:rPr>
          <w:rStyle w:val="41"/>
          <w:rFonts w:hint="eastAsia" w:ascii="仿宋" w:hAnsi="仿宋" w:eastAsia="仿宋" w:cs="仿宋"/>
          <w:color w:val="000000"/>
          <w:szCs w:val="24"/>
        </w:rPr>
        <w:t>三、获取采购文件</w:t>
      </w:r>
    </w:p>
    <w:p>
      <w:pPr>
        <w:pStyle w:val="34"/>
        <w:widowControl/>
        <w:spacing w:before="75" w:after="75" w:line="300" w:lineRule="atLeast"/>
        <w:rPr>
          <w:rFonts w:ascii="仿宋" w:hAnsi="仿宋" w:eastAsia="仿宋" w:cs="仿宋"/>
          <w:szCs w:val="24"/>
        </w:rPr>
      </w:pPr>
      <w:r>
        <w:rPr>
          <w:rFonts w:hint="eastAsia" w:ascii="仿宋" w:hAnsi="仿宋" w:eastAsia="仿宋" w:cs="仿宋"/>
          <w:color w:val="000000"/>
          <w:szCs w:val="24"/>
        </w:rPr>
        <w:t>    时间</w:t>
      </w:r>
      <w:r>
        <w:rPr>
          <w:rFonts w:hint="eastAsia" w:ascii="仿宋" w:hAnsi="仿宋" w:eastAsia="仿宋" w:cs="仿宋"/>
          <w:color w:val="000000"/>
          <w:szCs w:val="24"/>
          <w:highlight w:val="none"/>
          <w:u w:val="none"/>
        </w:rPr>
        <w:t>：2022年5月</w:t>
      </w:r>
      <w:r>
        <w:rPr>
          <w:rFonts w:hint="eastAsia" w:ascii="仿宋" w:hAnsi="仿宋" w:eastAsia="仿宋" w:cs="仿宋"/>
          <w:color w:val="000000"/>
          <w:szCs w:val="24"/>
          <w:highlight w:val="none"/>
          <w:u w:val="none"/>
          <w:lang w:val="en-US" w:eastAsia="zh-CN"/>
        </w:rPr>
        <w:t>26</w:t>
      </w:r>
      <w:r>
        <w:rPr>
          <w:rFonts w:hint="eastAsia" w:ascii="仿宋" w:hAnsi="仿宋" w:eastAsia="仿宋" w:cs="仿宋"/>
          <w:color w:val="000000"/>
          <w:szCs w:val="24"/>
          <w:highlight w:val="none"/>
          <w:u w:val="none"/>
        </w:rPr>
        <w:t>日至2022年6月1日，每</w:t>
      </w:r>
      <w:r>
        <w:rPr>
          <w:rFonts w:hint="eastAsia" w:ascii="仿宋" w:hAnsi="仿宋" w:eastAsia="仿宋" w:cs="仿宋"/>
          <w:color w:val="000000"/>
          <w:szCs w:val="24"/>
        </w:rPr>
        <w:t>天上午00:00至12:00，下午12:00至00:00（北京时间，法定节假日除外）</w:t>
      </w:r>
    </w:p>
    <w:p>
      <w:pPr>
        <w:pStyle w:val="34"/>
        <w:widowControl/>
        <w:spacing w:before="75" w:after="75" w:line="300" w:lineRule="atLeast"/>
        <w:rPr>
          <w:rFonts w:ascii="仿宋" w:hAnsi="仿宋" w:eastAsia="仿宋" w:cs="仿宋"/>
          <w:szCs w:val="24"/>
        </w:rPr>
      </w:pPr>
      <w:r>
        <w:rPr>
          <w:rFonts w:hint="eastAsia" w:ascii="仿宋" w:hAnsi="仿宋" w:eastAsia="仿宋" w:cs="仿宋"/>
          <w:color w:val="000000"/>
          <w:szCs w:val="24"/>
        </w:rPr>
        <w:t>    地点：登陆政采云平台http://www.zcygov.cn/在线申请获取  </w:t>
      </w:r>
    </w:p>
    <w:p>
      <w:pPr>
        <w:pStyle w:val="34"/>
        <w:widowControl/>
        <w:spacing w:before="75" w:after="75" w:line="300" w:lineRule="atLeast"/>
        <w:rPr>
          <w:rFonts w:ascii="仿宋" w:hAnsi="仿宋" w:eastAsia="仿宋" w:cs="仿宋"/>
          <w:szCs w:val="24"/>
        </w:rPr>
      </w:pPr>
      <w:r>
        <w:rPr>
          <w:rFonts w:hint="eastAsia" w:ascii="仿宋" w:hAnsi="仿宋" w:eastAsia="仿宋" w:cs="仿宋"/>
          <w:color w:val="000000"/>
          <w:szCs w:val="24"/>
        </w:rPr>
        <w:t>    方式：供应商登录政采云平台https://www.zcygov.cn/在线申请获取采购文件（进入“项目采购”应用，在获取采购文件菜单中选择项目，申请获取采购文件） </w:t>
      </w:r>
    </w:p>
    <w:p>
      <w:pPr>
        <w:pStyle w:val="34"/>
        <w:widowControl/>
        <w:spacing w:before="255" w:after="255" w:line="450" w:lineRule="atLeast"/>
        <w:rPr>
          <w:rFonts w:ascii="仿宋" w:hAnsi="仿宋" w:eastAsia="仿宋" w:cs="仿宋"/>
          <w:color w:val="000000"/>
          <w:szCs w:val="24"/>
        </w:rPr>
      </w:pPr>
      <w:r>
        <w:rPr>
          <w:rStyle w:val="41"/>
          <w:rFonts w:hint="eastAsia" w:ascii="仿宋" w:hAnsi="仿宋" w:eastAsia="仿宋" w:cs="仿宋"/>
          <w:color w:val="000000"/>
          <w:szCs w:val="24"/>
        </w:rPr>
        <w:t>四、响应文件提交</w:t>
      </w:r>
      <w:r>
        <w:rPr>
          <w:rFonts w:hint="eastAsia" w:ascii="仿宋" w:hAnsi="仿宋" w:eastAsia="仿宋" w:cs="仿宋"/>
          <w:color w:val="000000"/>
          <w:szCs w:val="24"/>
        </w:rPr>
        <w:t> </w:t>
      </w:r>
    </w:p>
    <w:p>
      <w:pPr>
        <w:pStyle w:val="34"/>
        <w:widowControl/>
        <w:spacing w:before="75" w:after="75" w:line="300" w:lineRule="atLeast"/>
        <w:rPr>
          <w:rFonts w:ascii="仿宋" w:hAnsi="仿宋" w:eastAsia="仿宋" w:cs="仿宋"/>
          <w:szCs w:val="24"/>
          <w:highlight w:val="none"/>
        </w:rPr>
      </w:pPr>
      <w:r>
        <w:rPr>
          <w:rFonts w:hint="eastAsia" w:ascii="仿宋" w:hAnsi="仿宋" w:eastAsia="仿宋" w:cs="仿宋"/>
          <w:color w:val="000000"/>
          <w:szCs w:val="24"/>
        </w:rPr>
        <w:t>    截止时间</w:t>
      </w:r>
      <w:r>
        <w:rPr>
          <w:rFonts w:hint="eastAsia" w:ascii="仿宋" w:hAnsi="仿宋" w:eastAsia="仿宋" w:cs="仿宋"/>
          <w:color w:val="000000"/>
          <w:szCs w:val="24"/>
          <w:highlight w:val="none"/>
        </w:rPr>
        <w:t>：2022年6月2日</w:t>
      </w:r>
      <w:r>
        <w:rPr>
          <w:rFonts w:hint="eastAsia" w:ascii="仿宋" w:hAnsi="仿宋" w:eastAsia="仿宋" w:cs="仿宋"/>
          <w:color w:val="000000"/>
          <w:szCs w:val="24"/>
          <w:highlight w:val="none"/>
          <w:lang w:val="en-US" w:eastAsia="zh-CN"/>
        </w:rPr>
        <w:t>16</w:t>
      </w:r>
      <w:r>
        <w:rPr>
          <w:rFonts w:hint="eastAsia" w:ascii="仿宋" w:hAnsi="仿宋" w:eastAsia="仿宋" w:cs="仿宋"/>
          <w:color w:val="000000"/>
          <w:szCs w:val="24"/>
          <w:highlight w:val="none"/>
        </w:rPr>
        <w:t>:</w:t>
      </w:r>
      <w:r>
        <w:rPr>
          <w:rFonts w:hint="eastAsia" w:ascii="仿宋" w:hAnsi="仿宋" w:eastAsia="仿宋" w:cs="仿宋"/>
          <w:color w:val="000000"/>
          <w:szCs w:val="24"/>
          <w:highlight w:val="none"/>
          <w:lang w:val="en-US" w:eastAsia="zh-CN"/>
        </w:rPr>
        <w:t>3</w:t>
      </w:r>
      <w:r>
        <w:rPr>
          <w:rFonts w:hint="eastAsia" w:ascii="仿宋" w:hAnsi="仿宋" w:eastAsia="仿宋" w:cs="仿宋"/>
          <w:color w:val="000000"/>
          <w:szCs w:val="24"/>
          <w:highlight w:val="none"/>
        </w:rPr>
        <w:t>0（北京时间）</w:t>
      </w:r>
    </w:p>
    <w:p>
      <w:pPr>
        <w:pStyle w:val="34"/>
        <w:widowControl/>
        <w:spacing w:before="75" w:after="75" w:line="300" w:lineRule="atLeast"/>
        <w:rPr>
          <w:rFonts w:ascii="仿宋" w:hAnsi="仿宋" w:eastAsia="仿宋" w:cs="仿宋"/>
          <w:szCs w:val="24"/>
        </w:rPr>
      </w:pPr>
      <w:r>
        <w:rPr>
          <w:rFonts w:hint="eastAsia" w:ascii="仿宋" w:hAnsi="仿宋" w:eastAsia="仿宋" w:cs="仿宋"/>
          <w:color w:val="000000"/>
          <w:szCs w:val="24"/>
        </w:rPr>
        <w:t>    地点：供应商应将加密的电子响应文件（文件后缀.jmbs）上传到政采云平台https://www.zcygov.cn对应位置或点击链接：https://www.zcygov.cn/bidding-entrust/#/bidFile/upload/list。（逾期未上传的或不符合规定的响应文件将被拒绝接收）  </w:t>
      </w:r>
    </w:p>
    <w:p>
      <w:pPr>
        <w:pStyle w:val="34"/>
        <w:widowControl/>
        <w:spacing w:before="255" w:after="255" w:line="450" w:lineRule="atLeast"/>
        <w:rPr>
          <w:rFonts w:ascii="仿宋" w:hAnsi="仿宋" w:eastAsia="仿宋" w:cs="仿宋"/>
          <w:color w:val="000000"/>
          <w:szCs w:val="24"/>
        </w:rPr>
      </w:pPr>
      <w:r>
        <w:rPr>
          <w:rStyle w:val="41"/>
          <w:rFonts w:hint="eastAsia" w:ascii="仿宋" w:hAnsi="仿宋" w:eastAsia="仿宋" w:cs="仿宋"/>
          <w:color w:val="000000"/>
          <w:szCs w:val="24"/>
        </w:rPr>
        <w:t>五、响应文件开启</w:t>
      </w:r>
      <w:r>
        <w:rPr>
          <w:rFonts w:hint="eastAsia" w:ascii="仿宋" w:hAnsi="仿宋" w:eastAsia="仿宋" w:cs="仿宋"/>
          <w:color w:val="000000"/>
          <w:szCs w:val="24"/>
        </w:rPr>
        <w:t> </w:t>
      </w:r>
    </w:p>
    <w:p>
      <w:pPr>
        <w:pStyle w:val="34"/>
        <w:widowControl/>
        <w:spacing w:before="75" w:after="75" w:line="300" w:lineRule="atLeast"/>
        <w:rPr>
          <w:rFonts w:ascii="仿宋" w:hAnsi="仿宋" w:eastAsia="仿宋" w:cs="仿宋"/>
          <w:szCs w:val="24"/>
        </w:rPr>
      </w:pPr>
      <w:r>
        <w:rPr>
          <w:rFonts w:hint="eastAsia" w:ascii="仿宋" w:hAnsi="仿宋" w:eastAsia="仿宋" w:cs="仿宋"/>
          <w:color w:val="000000"/>
          <w:szCs w:val="24"/>
        </w:rPr>
        <w:t>    开启时间：</w:t>
      </w:r>
      <w:r>
        <w:rPr>
          <w:rFonts w:hint="eastAsia" w:ascii="仿宋" w:hAnsi="仿宋" w:eastAsia="仿宋" w:cs="仿宋"/>
          <w:color w:val="000000"/>
          <w:szCs w:val="24"/>
          <w:highlight w:val="none"/>
        </w:rPr>
        <w:t>2022年6月2日1</w:t>
      </w:r>
      <w:r>
        <w:rPr>
          <w:rFonts w:hint="eastAsia" w:ascii="仿宋" w:hAnsi="仿宋" w:eastAsia="仿宋" w:cs="仿宋"/>
          <w:color w:val="000000"/>
          <w:szCs w:val="24"/>
          <w:highlight w:val="none"/>
          <w:lang w:val="en-US" w:eastAsia="zh-CN"/>
        </w:rPr>
        <w:t>6</w:t>
      </w:r>
      <w:r>
        <w:rPr>
          <w:rFonts w:hint="eastAsia" w:ascii="仿宋" w:hAnsi="仿宋" w:eastAsia="仿宋" w:cs="仿宋"/>
          <w:color w:val="000000"/>
          <w:szCs w:val="24"/>
          <w:highlight w:val="none"/>
        </w:rPr>
        <w:t>:</w:t>
      </w:r>
      <w:r>
        <w:rPr>
          <w:rFonts w:hint="eastAsia" w:ascii="仿宋" w:hAnsi="仿宋" w:eastAsia="仿宋" w:cs="仿宋"/>
          <w:color w:val="000000"/>
          <w:szCs w:val="24"/>
          <w:highlight w:val="none"/>
          <w:lang w:val="en-US" w:eastAsia="zh-CN"/>
        </w:rPr>
        <w:t>3</w:t>
      </w:r>
      <w:r>
        <w:rPr>
          <w:rFonts w:hint="eastAsia" w:ascii="仿宋" w:hAnsi="仿宋" w:eastAsia="仿宋" w:cs="仿宋"/>
          <w:color w:val="000000"/>
          <w:szCs w:val="24"/>
          <w:highlight w:val="none"/>
        </w:rPr>
        <w:t>0 （北京</w:t>
      </w:r>
      <w:r>
        <w:rPr>
          <w:rFonts w:hint="eastAsia" w:ascii="仿宋" w:hAnsi="仿宋" w:eastAsia="仿宋" w:cs="仿宋"/>
          <w:color w:val="000000"/>
          <w:szCs w:val="24"/>
        </w:rPr>
        <w:t>时间）</w:t>
      </w:r>
    </w:p>
    <w:p>
      <w:pPr>
        <w:pStyle w:val="133"/>
        <w:spacing w:line="540" w:lineRule="exact"/>
        <w:ind w:right="144" w:rightChars="69" w:firstLine="240" w:firstLineChars="100"/>
        <w:rPr>
          <w:rFonts w:ascii="仿宋" w:hAnsi="仿宋" w:eastAsia="仿宋" w:cs="仿宋"/>
          <w:color w:val="000000"/>
          <w:kern w:val="0"/>
          <w:sz w:val="24"/>
          <w:szCs w:val="24"/>
          <w:lang w:bidi="ar"/>
        </w:rPr>
      </w:pPr>
      <w:r>
        <w:rPr>
          <w:rFonts w:hint="eastAsia" w:ascii="仿宋" w:hAnsi="仿宋" w:eastAsia="仿宋" w:cs="仿宋"/>
          <w:color w:val="000000"/>
          <w:sz w:val="24"/>
          <w:szCs w:val="24"/>
        </w:rPr>
        <w:t>地点：</w:t>
      </w:r>
      <w:r>
        <w:rPr>
          <w:rFonts w:hint="eastAsia" w:ascii="仿宋" w:hAnsi="仿宋" w:eastAsia="仿宋" w:cs="仿宋"/>
          <w:color w:val="000000"/>
          <w:kern w:val="0"/>
          <w:sz w:val="24"/>
          <w:szCs w:val="24"/>
          <w:lang w:bidi="ar"/>
        </w:rPr>
        <w:t>新疆图木舒克市前海东街17号翠景园小区3号楼2层2－2</w:t>
      </w:r>
    </w:p>
    <w:p>
      <w:pPr>
        <w:pStyle w:val="34"/>
        <w:widowControl/>
        <w:spacing w:before="255" w:after="255" w:line="450" w:lineRule="atLeast"/>
        <w:rPr>
          <w:rFonts w:ascii="仿宋" w:hAnsi="仿宋" w:eastAsia="仿宋" w:cs="仿宋"/>
          <w:color w:val="000000"/>
          <w:szCs w:val="24"/>
        </w:rPr>
      </w:pPr>
      <w:r>
        <w:rPr>
          <w:rStyle w:val="41"/>
          <w:rFonts w:hint="eastAsia" w:ascii="仿宋" w:hAnsi="仿宋" w:eastAsia="仿宋" w:cs="仿宋"/>
          <w:color w:val="000000"/>
          <w:szCs w:val="24"/>
        </w:rPr>
        <w:t>六、公告期限</w:t>
      </w:r>
    </w:p>
    <w:p>
      <w:pPr>
        <w:pStyle w:val="34"/>
        <w:widowControl/>
        <w:spacing w:before="75" w:after="75"/>
        <w:rPr>
          <w:rFonts w:ascii="仿宋" w:hAnsi="仿宋" w:eastAsia="仿宋" w:cs="仿宋"/>
          <w:color w:val="000000"/>
          <w:szCs w:val="24"/>
        </w:rPr>
      </w:pPr>
      <w:r>
        <w:rPr>
          <w:rFonts w:hint="eastAsia" w:ascii="仿宋" w:hAnsi="仿宋" w:eastAsia="仿宋" w:cs="仿宋"/>
          <w:color w:val="000000"/>
          <w:szCs w:val="24"/>
        </w:rPr>
        <w:t>    自本公告发布之日起5个工作日。</w:t>
      </w:r>
    </w:p>
    <w:p>
      <w:pPr>
        <w:pStyle w:val="34"/>
        <w:widowControl/>
        <w:spacing w:before="255" w:after="255" w:line="450" w:lineRule="atLeast"/>
        <w:rPr>
          <w:rFonts w:ascii="仿宋" w:hAnsi="仿宋" w:eastAsia="仿宋" w:cs="仿宋"/>
          <w:color w:val="000000"/>
          <w:szCs w:val="24"/>
        </w:rPr>
      </w:pPr>
      <w:r>
        <w:rPr>
          <w:rStyle w:val="41"/>
          <w:rFonts w:hint="eastAsia" w:ascii="仿宋" w:hAnsi="仿宋" w:eastAsia="仿宋" w:cs="仿宋"/>
          <w:color w:val="000000"/>
          <w:szCs w:val="24"/>
        </w:rPr>
        <w:t>七、其他补充事宜</w:t>
      </w:r>
      <w:r>
        <w:rPr>
          <w:rFonts w:hint="eastAsia" w:ascii="仿宋" w:hAnsi="仿宋" w:eastAsia="仿宋" w:cs="仿宋"/>
          <w:color w:val="000000"/>
          <w:szCs w:val="24"/>
        </w:rPr>
        <w:t> </w:t>
      </w:r>
    </w:p>
    <w:p>
      <w:pPr>
        <w:pStyle w:val="34"/>
        <w:widowControl/>
        <w:spacing w:before="75" w:after="75" w:line="315" w:lineRule="atLeast"/>
        <w:ind w:firstLine="420"/>
        <w:rPr>
          <w:rFonts w:ascii="仿宋" w:hAnsi="仿宋" w:eastAsia="仿宋" w:cs="仿宋"/>
          <w:color w:val="000000"/>
          <w:szCs w:val="24"/>
        </w:rPr>
      </w:pPr>
      <w:r>
        <w:rPr>
          <w:rFonts w:hint="eastAsia" w:ascii="仿宋" w:hAnsi="仿宋" w:eastAsia="仿宋" w:cs="仿宋"/>
          <w:color w:val="000000"/>
          <w:szCs w:val="24"/>
        </w:rPr>
        <w:t>1、本项目实行网上投标，采用电子投标文件；</w:t>
      </w:r>
    </w:p>
    <w:p>
      <w:pPr>
        <w:pStyle w:val="34"/>
        <w:widowControl/>
        <w:spacing w:before="75" w:after="75" w:line="315" w:lineRule="atLeast"/>
        <w:ind w:firstLine="420"/>
        <w:rPr>
          <w:rFonts w:ascii="仿宋" w:hAnsi="仿宋" w:eastAsia="仿宋" w:cs="仿宋"/>
          <w:color w:val="000000"/>
          <w:szCs w:val="24"/>
        </w:rPr>
      </w:pPr>
      <w:r>
        <w:rPr>
          <w:rFonts w:hint="eastAsia" w:ascii="仿宋" w:hAnsi="仿宋" w:eastAsia="仿宋" w:cs="仿宋"/>
          <w:color w:val="000000"/>
          <w:szCs w:val="24"/>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34"/>
        <w:widowControl/>
        <w:spacing w:before="75" w:after="75" w:line="315" w:lineRule="atLeast"/>
        <w:ind w:firstLine="420"/>
        <w:rPr>
          <w:rFonts w:ascii="仿宋" w:hAnsi="仿宋" w:eastAsia="仿宋" w:cs="仿宋"/>
          <w:color w:val="000000"/>
          <w:szCs w:val="24"/>
        </w:rPr>
      </w:pPr>
      <w:r>
        <w:rPr>
          <w:rFonts w:hint="eastAsia" w:ascii="仿宋" w:hAnsi="仿宋" w:eastAsia="仿宋" w:cs="仿宋"/>
          <w:color w:val="000000"/>
          <w:szCs w:val="24"/>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34"/>
        <w:widowControl/>
        <w:spacing w:before="75" w:after="75" w:line="315" w:lineRule="atLeast"/>
        <w:ind w:firstLine="420"/>
        <w:rPr>
          <w:rFonts w:ascii="仿宋" w:hAnsi="仿宋" w:eastAsia="仿宋" w:cs="仿宋"/>
          <w:color w:val="000000"/>
          <w:szCs w:val="24"/>
        </w:rPr>
      </w:pPr>
    </w:p>
    <w:p>
      <w:pPr>
        <w:pStyle w:val="175"/>
        <w:snapToGrid w:val="0"/>
        <w:spacing w:line="360" w:lineRule="auto"/>
        <w:rPr>
          <w:rFonts w:ascii="仿宋" w:hAnsi="仿宋" w:eastAsia="仿宋" w:cs="仿宋"/>
          <w:b/>
          <w:bCs/>
          <w:sz w:val="24"/>
        </w:rPr>
      </w:pPr>
      <w:r>
        <w:rPr>
          <w:rFonts w:hint="eastAsia" w:ascii="仿宋" w:hAnsi="仿宋" w:eastAsia="仿宋" w:cs="仿宋"/>
          <w:b/>
          <w:bCs/>
          <w:sz w:val="24"/>
        </w:rPr>
        <w:t>八、凡对本次招标提出询问，请按以下方式联系</w:t>
      </w:r>
    </w:p>
    <w:p>
      <w:pPr>
        <w:rPr>
          <w:rFonts w:ascii="仿宋" w:hAnsi="仿宋" w:eastAsia="仿宋" w:cs="仿宋"/>
          <w:color w:val="000000"/>
          <w:sz w:val="24"/>
          <w:szCs w:val="24"/>
        </w:rPr>
      </w:pPr>
      <w:r>
        <w:rPr>
          <w:rFonts w:hint="eastAsia" w:ascii="仿宋" w:hAnsi="仿宋" w:eastAsia="仿宋" w:cs="仿宋"/>
          <w:color w:val="000000"/>
          <w:sz w:val="24"/>
          <w:szCs w:val="24"/>
        </w:rPr>
        <w:t>本项目招标人：中共新疆生产建设兵团第三师委员会网络安全和信息化委员会办公室  </w:t>
      </w:r>
    </w:p>
    <w:p>
      <w:pPr>
        <w:rPr>
          <w:rFonts w:ascii="仿宋" w:hAnsi="仿宋" w:eastAsia="仿宋" w:cs="仿宋"/>
          <w:color w:val="000000"/>
          <w:sz w:val="24"/>
          <w:szCs w:val="24"/>
        </w:rPr>
      </w:pPr>
      <w:r>
        <w:rPr>
          <w:rFonts w:hint="eastAsia" w:ascii="仿宋" w:hAnsi="仿宋" w:eastAsia="仿宋" w:cs="仿宋"/>
          <w:color w:val="000000"/>
          <w:sz w:val="24"/>
          <w:szCs w:val="24"/>
        </w:rPr>
        <w:t>地址： 新疆图木舒克市东莞北路2号 </w:t>
      </w:r>
    </w:p>
    <w:p>
      <w:pPr>
        <w:rPr>
          <w:rFonts w:ascii="仿宋" w:hAnsi="仿宋" w:eastAsia="仿宋" w:cs="仿宋"/>
          <w:color w:val="000000"/>
          <w:sz w:val="24"/>
          <w:szCs w:val="24"/>
        </w:rPr>
      </w:pPr>
      <w:r>
        <w:rPr>
          <w:rFonts w:hint="eastAsia" w:ascii="仿宋" w:hAnsi="仿宋" w:eastAsia="仿宋" w:cs="仿宋"/>
          <w:color w:val="000000"/>
          <w:sz w:val="24"/>
          <w:szCs w:val="24"/>
        </w:rPr>
        <w:t>联系人姓名： 朱继荣   联系电话： 18709059220</w:t>
      </w:r>
    </w:p>
    <w:p>
      <w:pPr>
        <w:rPr>
          <w:rFonts w:ascii="仿宋" w:hAnsi="仿宋" w:eastAsia="仿宋" w:cs="仿宋"/>
          <w:color w:val="000000"/>
          <w:sz w:val="24"/>
          <w:szCs w:val="24"/>
        </w:rPr>
      </w:pPr>
      <w:r>
        <w:rPr>
          <w:rFonts w:hint="eastAsia" w:ascii="仿宋" w:hAnsi="仿宋" w:eastAsia="仿宋" w:cs="仿宋"/>
          <w:color w:val="000000"/>
          <w:sz w:val="24"/>
          <w:szCs w:val="24"/>
        </w:rPr>
        <w:t>招标代理机构：新疆锦辰工程项目管理有限公司</w:t>
      </w:r>
    </w:p>
    <w:p>
      <w:pPr>
        <w:rPr>
          <w:rFonts w:ascii="仿宋" w:hAnsi="仿宋" w:eastAsia="仿宋" w:cs="仿宋"/>
          <w:color w:val="000000"/>
          <w:sz w:val="24"/>
          <w:szCs w:val="24"/>
        </w:rPr>
      </w:pPr>
      <w:r>
        <w:rPr>
          <w:rFonts w:hint="eastAsia" w:ascii="仿宋" w:hAnsi="仿宋" w:eastAsia="仿宋" w:cs="仿宋"/>
          <w:color w:val="000000"/>
          <w:sz w:val="24"/>
          <w:szCs w:val="24"/>
        </w:rPr>
        <w:t>地址： 新疆图木舒克市前海东街17号翠景园小区3号楼2层2－2</w:t>
      </w:r>
    </w:p>
    <w:p>
      <w:pPr>
        <w:rPr>
          <w:rFonts w:ascii="仿宋" w:hAnsi="仿宋" w:eastAsia="仿宋" w:cs="仿宋"/>
          <w:color w:val="000000"/>
          <w:sz w:val="24"/>
          <w:szCs w:val="24"/>
        </w:rPr>
      </w:pPr>
      <w:r>
        <w:rPr>
          <w:rFonts w:hint="eastAsia" w:ascii="仿宋" w:hAnsi="仿宋" w:eastAsia="仿宋" w:cs="仿宋"/>
          <w:color w:val="000000"/>
          <w:sz w:val="24"/>
          <w:szCs w:val="24"/>
        </w:rPr>
        <w:t xml:space="preserve">项目联系人： 贾智俊、安晓杰 </w:t>
      </w:r>
    </w:p>
    <w:p>
      <w:pPr>
        <w:rPr>
          <w:rFonts w:ascii="仿宋" w:hAnsi="仿宋" w:eastAsia="仿宋" w:cs="仿宋"/>
          <w:color w:val="000000"/>
          <w:sz w:val="24"/>
          <w:szCs w:val="24"/>
        </w:rPr>
      </w:pPr>
      <w:r>
        <w:rPr>
          <w:rFonts w:hint="eastAsia" w:ascii="仿宋" w:hAnsi="仿宋" w:eastAsia="仿宋" w:cs="仿宋"/>
          <w:color w:val="000000"/>
          <w:sz w:val="24"/>
          <w:szCs w:val="24"/>
        </w:rPr>
        <w:t>联系电话： 13319859131、 15739965524</w:t>
      </w:r>
    </w:p>
    <w:p>
      <w:pPr>
        <w:rPr>
          <w:rFonts w:ascii="仿宋" w:hAnsi="仿宋" w:eastAsia="仿宋" w:cs="仿宋"/>
        </w:rPr>
      </w:pPr>
      <w:r>
        <w:rPr>
          <w:rFonts w:hint="eastAsia" w:ascii="仿宋" w:hAnsi="仿宋" w:eastAsia="仿宋" w:cs="仿宋"/>
        </w:rPr>
        <w:br w:type="page"/>
      </w:r>
    </w:p>
    <w:p>
      <w:pPr>
        <w:pStyle w:val="19"/>
        <w:numPr>
          <w:ilvl w:val="0"/>
          <w:numId w:val="4"/>
        </w:numPr>
        <w:tabs>
          <w:tab w:val="left" w:pos="0"/>
        </w:tabs>
        <w:spacing w:line="240" w:lineRule="auto"/>
        <w:ind w:left="0" w:leftChars="0" w:firstLine="0" w:firstLineChars="0"/>
        <w:jc w:val="center"/>
        <w:outlineLvl w:val="0"/>
        <w:rPr>
          <w:rFonts w:ascii="仿宋" w:hAnsi="仿宋" w:eastAsia="仿宋" w:cs="仿宋"/>
          <w:b/>
          <w:sz w:val="36"/>
        </w:rPr>
      </w:pPr>
      <w:r>
        <w:rPr>
          <w:rFonts w:hint="eastAsia" w:ascii="仿宋" w:hAnsi="仿宋" w:eastAsia="仿宋" w:cs="仿宋"/>
          <w:b/>
          <w:sz w:val="36"/>
        </w:rPr>
        <w:t xml:space="preserve">  </w:t>
      </w:r>
      <w:bookmarkStart w:id="4" w:name="_Toc30745"/>
      <w:r>
        <w:rPr>
          <w:rFonts w:hint="eastAsia" w:ascii="仿宋" w:hAnsi="仿宋" w:eastAsia="仿宋" w:cs="仿宋"/>
          <w:b/>
          <w:sz w:val="36"/>
        </w:rPr>
        <w:t>投标人须知</w:t>
      </w:r>
      <w:bookmarkEnd w:id="4"/>
    </w:p>
    <w:p>
      <w:pPr>
        <w:pStyle w:val="84"/>
        <w:widowControl/>
        <w:spacing w:line="312" w:lineRule="auto"/>
        <w:jc w:val="left"/>
        <w:rPr>
          <w:rFonts w:ascii="仿宋" w:hAnsi="仿宋" w:eastAsia="仿宋" w:cs="仿宋"/>
          <w:b/>
          <w:color w:val="000000"/>
          <w:kern w:val="0"/>
          <w:sz w:val="24"/>
          <w:szCs w:val="24"/>
          <w:lang w:bidi="ar"/>
        </w:rPr>
      </w:pPr>
      <w:bookmarkStart w:id="5" w:name="_Hlk40023338"/>
      <w:bookmarkStart w:id="6" w:name="_Hlk40113437"/>
      <w:r>
        <w:rPr>
          <w:rFonts w:hint="eastAsia" w:ascii="仿宋" w:hAnsi="仿宋" w:eastAsia="仿宋" w:cs="仿宋"/>
          <w:b/>
          <w:color w:val="000000"/>
          <w:kern w:val="0"/>
          <w:sz w:val="24"/>
          <w:szCs w:val="24"/>
          <w:lang w:bidi="ar"/>
        </w:rPr>
        <w:t>注意：</w:t>
      </w:r>
      <w:bookmarkEnd w:id="5"/>
    </w:p>
    <w:p>
      <w:pPr>
        <w:pStyle w:val="84"/>
        <w:widowControl/>
        <w:spacing w:line="312" w:lineRule="auto"/>
        <w:jc w:val="left"/>
        <w:rPr>
          <w:rFonts w:ascii="仿宋" w:hAnsi="仿宋" w:eastAsia="仿宋" w:cs="仿宋"/>
          <w:color w:val="333333"/>
          <w:kern w:val="0"/>
          <w:sz w:val="24"/>
          <w:szCs w:val="24"/>
          <w:lang w:bidi="ar"/>
        </w:rPr>
      </w:pPr>
      <w:r>
        <w:rPr>
          <w:rFonts w:hint="eastAsia" w:ascii="仿宋" w:hAnsi="仿宋" w:eastAsia="仿宋" w:cs="仿宋"/>
          <w:color w:val="333333"/>
          <w:kern w:val="0"/>
          <w:sz w:val="24"/>
          <w:szCs w:val="24"/>
          <w:lang w:bidi="ar"/>
        </w:rPr>
        <w:t>1、本项目实行网上投标，采用电子投标文件；</w:t>
      </w:r>
    </w:p>
    <w:p>
      <w:pPr>
        <w:pStyle w:val="84"/>
        <w:widowControl/>
        <w:spacing w:line="312" w:lineRule="auto"/>
        <w:jc w:val="left"/>
        <w:rPr>
          <w:rFonts w:ascii="仿宋" w:hAnsi="仿宋" w:eastAsia="仿宋" w:cs="仿宋"/>
          <w:color w:val="333333"/>
          <w:kern w:val="0"/>
          <w:sz w:val="24"/>
          <w:szCs w:val="24"/>
          <w:lang w:bidi="ar"/>
        </w:rPr>
      </w:pPr>
      <w:r>
        <w:rPr>
          <w:rFonts w:hint="eastAsia" w:ascii="仿宋" w:hAnsi="仿宋" w:eastAsia="仿宋" w:cs="仿宋"/>
          <w:color w:val="333333"/>
          <w:kern w:val="0"/>
          <w:sz w:val="24"/>
          <w:szCs w:val="24"/>
          <w:lang w:bidi="ar"/>
        </w:rPr>
        <w:t>2、各投标人应在开标前应确保成为新疆生产建设兵团政府采购网正式注册入库投标人，并完成CA数字证书（符合国密标准）申领。因未注册入库、未办理CA数字证书等原因造成无法投标或投标失败等后果由投标人自行承担。有意向参与兵团区域电子开评标的投标人，可访问新疆数字证书认证中心官方网站（https://www.xjca.com.cn/）或下载“新疆政务通”APP自行进行申领。如需咨询，请联系新疆CA服务热线0991-2819290；</w:t>
      </w:r>
    </w:p>
    <w:p>
      <w:pPr>
        <w:pStyle w:val="84"/>
        <w:widowControl/>
        <w:spacing w:line="312" w:lineRule="auto"/>
        <w:jc w:val="left"/>
        <w:rPr>
          <w:rFonts w:ascii="仿宋" w:hAnsi="仿宋" w:eastAsia="仿宋" w:cs="仿宋"/>
          <w:color w:val="333333"/>
          <w:kern w:val="0"/>
          <w:sz w:val="24"/>
          <w:szCs w:val="24"/>
          <w:lang w:bidi="ar"/>
        </w:rPr>
      </w:pPr>
      <w:r>
        <w:rPr>
          <w:rFonts w:hint="eastAsia" w:ascii="仿宋" w:hAnsi="仿宋" w:eastAsia="仿宋" w:cs="仿宋"/>
          <w:color w:val="333333"/>
          <w:kern w:val="0"/>
          <w:sz w:val="24"/>
          <w:szCs w:val="24"/>
          <w:lang w:bidi="ar"/>
        </w:rPr>
        <w:t>3、投标人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系统操作问题请咨询技术支持电话0991-2899144，CA办理问题请咨询新疆CA服务电话0991-2819290，或加QQ号800175577。如因投标人自身原因导致在规定时间内无法正常解密的（如：浏览器故障、未安装相关驱动、网络故障、加密CA与解密CA不一致等），采购中心/代理机构不予异常处理，视为投标人自动弃标。</w:t>
      </w:r>
    </w:p>
    <w:p>
      <w:pPr>
        <w:pStyle w:val="84"/>
        <w:widowControl/>
        <w:spacing w:line="312" w:lineRule="auto"/>
        <w:jc w:val="left"/>
        <w:rPr>
          <w:rFonts w:ascii="仿宋" w:hAnsi="仿宋" w:eastAsia="仿宋" w:cs="仿宋"/>
          <w:color w:val="333333"/>
          <w:kern w:val="0"/>
          <w:sz w:val="24"/>
          <w:szCs w:val="24"/>
          <w:lang w:bidi="ar"/>
        </w:rPr>
      </w:pPr>
      <w:r>
        <w:rPr>
          <w:rFonts w:hint="eastAsia" w:ascii="仿宋" w:hAnsi="仿宋" w:eastAsia="仿宋" w:cs="仿宋"/>
          <w:color w:val="333333"/>
          <w:kern w:val="0"/>
          <w:sz w:val="24"/>
          <w:szCs w:val="24"/>
          <w:lang w:bidi="ar"/>
        </w:rPr>
        <w:t>4、本项目实行网上投标，采用电子投标文件；</w:t>
      </w:r>
    </w:p>
    <w:p>
      <w:pPr>
        <w:pStyle w:val="84"/>
        <w:widowControl/>
        <w:spacing w:line="312" w:lineRule="auto"/>
        <w:jc w:val="left"/>
        <w:rPr>
          <w:rFonts w:ascii="仿宋" w:hAnsi="仿宋" w:eastAsia="仿宋" w:cs="仿宋"/>
          <w:color w:val="333333"/>
          <w:kern w:val="0"/>
          <w:sz w:val="24"/>
          <w:szCs w:val="24"/>
          <w:lang w:bidi="ar"/>
        </w:rPr>
      </w:pPr>
      <w:r>
        <w:rPr>
          <w:rFonts w:hint="eastAsia" w:ascii="仿宋" w:hAnsi="仿宋" w:eastAsia="仿宋" w:cs="仿宋"/>
          <w:color w:val="333333"/>
          <w:kern w:val="0"/>
          <w:sz w:val="24"/>
          <w:szCs w:val="24"/>
          <w:lang w:bidi="ar"/>
        </w:rPr>
        <w:t xml:space="preserve">5、投标人操作指南详见兵团政府采购网（ccgp-bingtuan.gov.cn）—办事指南—操作指南。 </w:t>
      </w:r>
    </w:p>
    <w:p>
      <w:pPr>
        <w:pStyle w:val="19"/>
        <w:tabs>
          <w:tab w:val="left" w:pos="0"/>
        </w:tabs>
        <w:spacing w:line="240" w:lineRule="auto"/>
        <w:ind w:left="0" w:leftChars="0" w:firstLine="0" w:firstLineChars="0"/>
        <w:jc w:val="left"/>
        <w:rPr>
          <w:rFonts w:ascii="仿宋" w:hAnsi="仿宋" w:eastAsia="仿宋" w:cs="仿宋"/>
        </w:rPr>
      </w:pPr>
      <w:r>
        <w:rPr>
          <w:rFonts w:hint="eastAsia" w:ascii="仿宋" w:hAnsi="仿宋" w:eastAsia="仿宋" w:cs="仿宋"/>
          <w:color w:val="333333"/>
          <w:kern w:val="0"/>
          <w:szCs w:val="24"/>
          <w:lang w:bidi="ar"/>
        </w:rPr>
        <w:t>6、关于政采云平台投标人相关培训指导请加钉钉群35948845。</w:t>
      </w:r>
      <w:bookmarkEnd w:id="6"/>
      <w:r>
        <w:rPr>
          <w:rFonts w:hint="eastAsia" w:ascii="仿宋" w:hAnsi="仿宋" w:eastAsia="仿宋" w:cs="仿宋"/>
          <w:b/>
          <w:bCs/>
          <w:sz w:val="28"/>
          <w:szCs w:val="28"/>
        </w:rPr>
        <w:br w:type="page"/>
      </w:r>
      <w:bookmarkStart w:id="7" w:name="EB4a528d207f8648b79fa72ae1a59328aa"/>
    </w:p>
    <w:p>
      <w:pPr>
        <w:pStyle w:val="175"/>
        <w:snapToGrid w:val="0"/>
        <w:spacing w:line="360" w:lineRule="auto"/>
        <w:jc w:val="center"/>
        <w:rPr>
          <w:rFonts w:ascii="仿宋" w:hAnsi="仿宋" w:eastAsia="仿宋" w:cs="仿宋"/>
          <w:b/>
          <w:szCs w:val="28"/>
        </w:rPr>
      </w:pPr>
      <w:bookmarkStart w:id="8" w:name="_Toc256000002"/>
      <w:r>
        <w:rPr>
          <w:rFonts w:hint="eastAsia" w:ascii="仿宋" w:hAnsi="仿宋" w:eastAsia="仿宋" w:cs="仿宋"/>
          <w:b/>
          <w:szCs w:val="28"/>
        </w:rPr>
        <w:t>投标人须知前附表</w:t>
      </w:r>
      <w:bookmarkEnd w:id="8"/>
    </w:p>
    <w:tbl>
      <w:tblPr>
        <w:tblStyle w:val="3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40"/>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内容</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adjustRightInd w:val="0"/>
              <w:spacing w:line="360" w:lineRule="auto"/>
              <w:jc w:val="center"/>
              <w:outlineLvl w:val="3"/>
              <w:rPr>
                <w:rFonts w:ascii="仿宋" w:hAnsi="仿宋" w:eastAsia="仿宋" w:cs="仿宋"/>
                <w:b/>
                <w:kern w:val="0"/>
                <w:sz w:val="24"/>
              </w:rPr>
            </w:pPr>
            <w:r>
              <w:rPr>
                <w:rFonts w:hint="eastAsia" w:ascii="仿宋" w:hAnsi="仿宋" w:eastAsia="仿宋" w:cs="仿宋"/>
                <w:b/>
                <w:kern w:val="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adjustRightInd w:val="0"/>
              <w:spacing w:line="360" w:lineRule="auto"/>
              <w:jc w:val="center"/>
              <w:outlineLvl w:val="3"/>
              <w:rPr>
                <w:rFonts w:ascii="仿宋" w:hAnsi="仿宋" w:eastAsia="仿宋" w:cs="仿宋"/>
                <w:b/>
                <w:kern w:val="0"/>
                <w:sz w:val="24"/>
              </w:rPr>
            </w:pPr>
            <w:r>
              <w:rPr>
                <w:rFonts w:hint="eastAsia" w:ascii="仿宋" w:hAnsi="仿宋" w:eastAsia="仿宋" w:cs="仿宋"/>
                <w:b/>
                <w:kern w:val="0"/>
                <w:sz w:val="24"/>
              </w:rPr>
              <w:t>项目名称</w:t>
            </w:r>
          </w:p>
        </w:tc>
        <w:tc>
          <w:tcPr>
            <w:tcW w:w="6826" w:type="dxa"/>
            <w:tcBorders>
              <w:top w:val="single" w:color="auto" w:sz="4" w:space="0"/>
              <w:left w:val="single" w:color="auto" w:sz="4" w:space="0"/>
              <w:bottom w:val="single" w:color="auto" w:sz="4" w:space="0"/>
              <w:right w:val="single" w:color="auto" w:sz="4" w:space="0"/>
            </w:tcBorders>
            <w:vAlign w:val="center"/>
          </w:tcPr>
          <w:p>
            <w:pPr>
              <w:pStyle w:val="103"/>
              <w:spacing w:line="360" w:lineRule="auto"/>
              <w:rPr>
                <w:rFonts w:ascii="仿宋" w:hAnsi="仿宋" w:eastAsia="仿宋" w:cs="仿宋"/>
                <w:sz w:val="24"/>
                <w:szCs w:val="24"/>
              </w:rPr>
            </w:pPr>
            <w:r>
              <w:rPr>
                <w:rFonts w:hint="eastAsia" w:ascii="仿宋" w:hAnsi="仿宋" w:eastAsia="仿宋" w:cs="仿宋"/>
                <w:sz w:val="24"/>
                <w:szCs w:val="24"/>
                <w:lang w:bidi="en-US"/>
              </w:rPr>
              <w:t>第三师图木舒克市大数据产业园购买服务项目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adjustRightInd w:val="0"/>
              <w:spacing w:line="360" w:lineRule="auto"/>
              <w:jc w:val="center"/>
              <w:outlineLvl w:val="3"/>
              <w:rPr>
                <w:rFonts w:ascii="仿宋" w:hAnsi="仿宋" w:eastAsia="仿宋" w:cs="仿宋"/>
                <w:b/>
                <w:kern w:val="0"/>
                <w:sz w:val="24"/>
              </w:rPr>
            </w:pPr>
            <w:r>
              <w:rPr>
                <w:rFonts w:hint="eastAsia" w:ascii="仿宋" w:hAnsi="仿宋" w:eastAsia="仿宋" w:cs="仿宋"/>
                <w:b/>
                <w:kern w:val="0"/>
                <w:sz w:val="24"/>
              </w:rPr>
              <w:t>采购人</w:t>
            </w:r>
          </w:p>
        </w:tc>
        <w:tc>
          <w:tcPr>
            <w:tcW w:w="6826" w:type="dxa"/>
            <w:tcBorders>
              <w:top w:val="single" w:color="auto" w:sz="4" w:space="0"/>
              <w:left w:val="single" w:color="auto" w:sz="4" w:space="0"/>
              <w:bottom w:val="single" w:color="auto" w:sz="4" w:space="0"/>
              <w:right w:val="single" w:color="auto" w:sz="4" w:space="0"/>
            </w:tcBorders>
            <w:vAlign w:val="center"/>
          </w:tcPr>
          <w:p>
            <w:pPr>
              <w:pStyle w:val="142"/>
              <w:spacing w:line="360" w:lineRule="auto"/>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color w:val="000000"/>
                <w:sz w:val="24"/>
                <w:szCs w:val="24"/>
              </w:rPr>
              <w:t>中共新疆生产建设兵团第三师委员会网络安全和信息化委员会办公室</w:t>
            </w:r>
          </w:p>
          <w:p>
            <w:pPr>
              <w:pStyle w:val="93"/>
              <w:spacing w:line="360" w:lineRule="auto"/>
              <w:rPr>
                <w:rFonts w:ascii="仿宋" w:hAnsi="仿宋" w:eastAsia="仿宋" w:cs="仿宋"/>
                <w:color w:val="000000"/>
                <w:sz w:val="24"/>
              </w:rPr>
            </w:pPr>
            <w:r>
              <w:rPr>
                <w:rFonts w:hint="eastAsia" w:ascii="仿宋" w:hAnsi="仿宋" w:eastAsia="仿宋" w:cs="仿宋"/>
                <w:sz w:val="24"/>
              </w:rPr>
              <w:t>地    址：</w:t>
            </w:r>
            <w:bookmarkStart w:id="9" w:name="EBb50dba763ba049ce955d277a99e63990"/>
            <w:bookmarkEnd w:id="9"/>
            <w:r>
              <w:rPr>
                <w:rFonts w:hint="eastAsia" w:ascii="仿宋" w:hAnsi="仿宋" w:eastAsia="仿宋" w:cs="仿宋"/>
                <w:color w:val="000000"/>
                <w:sz w:val="24"/>
              </w:rPr>
              <w:t>新疆图木舒克市东莞北路2号 </w:t>
            </w:r>
          </w:p>
          <w:p>
            <w:pPr>
              <w:pStyle w:val="93"/>
              <w:spacing w:line="360" w:lineRule="auto"/>
              <w:rPr>
                <w:rFonts w:ascii="仿宋" w:hAnsi="仿宋" w:eastAsia="仿宋" w:cs="仿宋"/>
                <w:sz w:val="24"/>
                <w:u w:val="single"/>
              </w:rPr>
            </w:pPr>
            <w:r>
              <w:rPr>
                <w:rFonts w:hint="eastAsia" w:ascii="仿宋" w:hAnsi="仿宋" w:eastAsia="仿宋" w:cs="仿宋"/>
                <w:sz w:val="24"/>
              </w:rPr>
              <w:t>联 系 人：</w:t>
            </w:r>
            <w:bookmarkStart w:id="10" w:name="EBdc46765b8496439baac9487bf5cb2605"/>
            <w:bookmarkEnd w:id="10"/>
            <w:r>
              <w:rPr>
                <w:rFonts w:hint="eastAsia" w:ascii="仿宋" w:hAnsi="仿宋" w:eastAsia="仿宋" w:cs="仿宋"/>
                <w:sz w:val="24"/>
              </w:rPr>
              <w:t>朱继荣</w:t>
            </w:r>
          </w:p>
          <w:p>
            <w:pPr>
              <w:pStyle w:val="93"/>
              <w:spacing w:line="360" w:lineRule="auto"/>
              <w:rPr>
                <w:rFonts w:ascii="仿宋" w:hAnsi="仿宋" w:eastAsia="仿宋" w:cs="仿宋"/>
                <w:kern w:val="0"/>
                <w:sz w:val="24"/>
              </w:rPr>
            </w:pPr>
            <w:r>
              <w:rPr>
                <w:rFonts w:hint="eastAsia" w:ascii="仿宋" w:hAnsi="仿宋" w:eastAsia="仿宋" w:cs="仿宋"/>
                <w:sz w:val="24"/>
              </w:rPr>
              <w:t>联系电话：</w:t>
            </w:r>
            <w:bookmarkStart w:id="11" w:name="EBb02062c7f213427390e93f40bb6fd07d"/>
            <w:bookmarkEnd w:id="11"/>
            <w:r>
              <w:rPr>
                <w:rFonts w:hint="eastAsia" w:ascii="仿宋" w:hAnsi="仿宋" w:eastAsia="仿宋" w:cs="仿宋"/>
                <w:sz w:val="24"/>
              </w:rPr>
              <w:t xml:space="preserve">18709059220 </w:t>
            </w:r>
            <w:r>
              <w:rPr>
                <w:rFonts w:hint="eastAsia" w:ascii="仿宋" w:hAnsi="仿宋" w:eastAsia="仿宋" w:cs="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3</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采购代理机构</w:t>
            </w:r>
          </w:p>
        </w:tc>
        <w:tc>
          <w:tcPr>
            <w:tcW w:w="6826" w:type="dxa"/>
            <w:tcBorders>
              <w:top w:val="single" w:color="auto" w:sz="4" w:space="0"/>
              <w:left w:val="single" w:color="auto" w:sz="4" w:space="0"/>
              <w:bottom w:val="single" w:color="auto" w:sz="4" w:space="0"/>
              <w:right w:val="single" w:color="auto" w:sz="4" w:space="0"/>
            </w:tcBorders>
            <w:vAlign w:val="center"/>
          </w:tcPr>
          <w:p>
            <w:pPr>
              <w:pStyle w:val="142"/>
              <w:spacing w:line="360" w:lineRule="auto"/>
              <w:rPr>
                <w:rFonts w:ascii="仿宋" w:hAnsi="仿宋" w:eastAsia="仿宋" w:cs="仿宋"/>
                <w:sz w:val="24"/>
                <w:szCs w:val="24"/>
                <w:lang w:bidi="ug-CN"/>
              </w:rPr>
            </w:pPr>
            <w:r>
              <w:rPr>
                <w:rFonts w:hint="eastAsia" w:ascii="仿宋" w:hAnsi="仿宋" w:eastAsia="仿宋" w:cs="仿宋"/>
                <w:sz w:val="24"/>
                <w:szCs w:val="24"/>
              </w:rPr>
              <w:t>名    称：</w:t>
            </w:r>
            <w:r>
              <w:rPr>
                <w:rFonts w:hint="eastAsia" w:ascii="仿宋" w:hAnsi="仿宋" w:eastAsia="仿宋" w:cs="仿宋"/>
                <w:sz w:val="24"/>
                <w:szCs w:val="24"/>
                <w:lang w:bidi="ug-CN"/>
              </w:rPr>
              <w:t xml:space="preserve"> 新疆锦辰工程项目管理有限公司</w:t>
            </w:r>
          </w:p>
          <w:p>
            <w:pPr>
              <w:pStyle w:val="142"/>
              <w:spacing w:line="360" w:lineRule="auto"/>
              <w:rPr>
                <w:rFonts w:ascii="仿宋" w:hAnsi="仿宋" w:eastAsia="仿宋" w:cs="仿宋"/>
                <w:sz w:val="24"/>
                <w:szCs w:val="24"/>
                <w:lang w:bidi="ug-CN"/>
              </w:rPr>
            </w:pPr>
            <w:r>
              <w:rPr>
                <w:rFonts w:hint="eastAsia" w:ascii="仿宋" w:hAnsi="仿宋" w:eastAsia="仿宋" w:cs="仿宋"/>
                <w:sz w:val="24"/>
                <w:szCs w:val="24"/>
                <w:lang w:bidi="ug-CN"/>
              </w:rPr>
              <w:t>地    址： 新疆图木舒克市前海东街17号翠景园小区3号楼2层2－2</w:t>
            </w:r>
          </w:p>
          <w:p>
            <w:pPr>
              <w:pStyle w:val="142"/>
              <w:spacing w:line="360" w:lineRule="auto"/>
              <w:rPr>
                <w:rFonts w:ascii="仿宋" w:hAnsi="仿宋" w:eastAsia="仿宋" w:cs="仿宋"/>
                <w:sz w:val="24"/>
                <w:szCs w:val="24"/>
              </w:rPr>
            </w:pPr>
            <w:r>
              <w:rPr>
                <w:rFonts w:hint="eastAsia" w:ascii="仿宋" w:hAnsi="仿宋" w:eastAsia="仿宋" w:cs="仿宋"/>
                <w:sz w:val="24"/>
                <w:szCs w:val="24"/>
                <w:lang w:bidi="ug-CN"/>
              </w:rPr>
              <w:t>联 系人：  贾智俊、</w:t>
            </w:r>
            <w:r>
              <w:rPr>
                <w:rFonts w:hint="eastAsia" w:ascii="仿宋" w:hAnsi="仿宋" w:eastAsia="仿宋" w:cs="仿宋"/>
                <w:sz w:val="24"/>
                <w:szCs w:val="24"/>
              </w:rPr>
              <w:t>安晓杰</w:t>
            </w:r>
          </w:p>
          <w:p>
            <w:pPr>
              <w:pStyle w:val="142"/>
              <w:spacing w:line="360" w:lineRule="auto"/>
              <w:rPr>
                <w:rFonts w:ascii="仿宋" w:hAnsi="仿宋" w:eastAsia="仿宋" w:cs="仿宋"/>
                <w:sz w:val="24"/>
                <w:szCs w:val="24"/>
                <w:lang w:bidi="ug-CN"/>
              </w:rPr>
            </w:pPr>
            <w:r>
              <w:rPr>
                <w:rFonts w:hint="eastAsia" w:ascii="仿宋" w:hAnsi="仿宋" w:eastAsia="仿宋" w:cs="仿宋"/>
                <w:sz w:val="24"/>
                <w:szCs w:val="24"/>
                <w:lang w:bidi="ug-CN"/>
              </w:rPr>
              <w:t>联系电话： 13319859131、</w:t>
            </w:r>
            <w:r>
              <w:rPr>
                <w:rFonts w:hint="eastAsia" w:ascii="仿宋" w:hAnsi="仿宋" w:eastAsia="仿宋" w:cs="仿宋"/>
                <w:sz w:val="24"/>
                <w:szCs w:val="24"/>
              </w:rPr>
              <w:t>15739965524</w:t>
            </w:r>
          </w:p>
          <w:p>
            <w:pPr>
              <w:pStyle w:val="103"/>
              <w:spacing w:line="360" w:lineRule="auto"/>
              <w:rPr>
                <w:rFonts w:ascii="仿宋" w:hAnsi="仿宋" w:eastAsia="仿宋" w:cs="仿宋"/>
                <w:sz w:val="24"/>
                <w:szCs w:val="24"/>
              </w:rPr>
            </w:pPr>
            <w:r>
              <w:rPr>
                <w:rFonts w:hint="eastAsia" w:ascii="仿宋" w:hAnsi="仿宋" w:eastAsia="仿宋" w:cs="仿宋"/>
                <w:sz w:val="24"/>
                <w:szCs w:val="24"/>
                <w:lang w:bidi="ug-CN"/>
              </w:rPr>
              <w:t>电子邮件：2776263237@qq.com</w:t>
            </w:r>
            <w:r>
              <w:rPr>
                <w:rFonts w:hint="eastAsia" w:ascii="仿宋" w:hAnsi="仿宋" w:eastAsia="仿宋" w:cs="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4</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采购内容</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widowControl/>
              <w:spacing w:line="360" w:lineRule="auto"/>
              <w:rPr>
                <w:rFonts w:ascii="仿宋" w:hAnsi="仿宋" w:eastAsia="仿宋" w:cs="仿宋"/>
                <w:sz w:val="24"/>
              </w:rPr>
            </w:pPr>
            <w:r>
              <w:rPr>
                <w:rFonts w:hint="eastAsia" w:ascii="仿宋" w:hAnsi="仿宋" w:eastAsia="仿宋" w:cs="仿宋"/>
                <w:sz w:val="24"/>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5</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投标人资格要求</w:t>
            </w:r>
          </w:p>
        </w:tc>
        <w:tc>
          <w:tcPr>
            <w:tcW w:w="6826" w:type="dxa"/>
            <w:tcBorders>
              <w:top w:val="single" w:color="auto" w:sz="4" w:space="0"/>
              <w:left w:val="single" w:color="auto" w:sz="4" w:space="0"/>
              <w:bottom w:val="single" w:color="auto" w:sz="4" w:space="0"/>
              <w:right w:val="single" w:color="auto" w:sz="4" w:space="0"/>
            </w:tcBorders>
            <w:vAlign w:val="center"/>
          </w:tcPr>
          <w:p>
            <w:pPr>
              <w:pStyle w:val="104"/>
              <w:autoSpaceDE w:val="0"/>
              <w:autoSpaceDN w:val="0"/>
              <w:spacing w:line="360" w:lineRule="exact"/>
              <w:rPr>
                <w:rFonts w:ascii="仿宋" w:hAnsi="仿宋" w:eastAsia="仿宋" w:cs="仿宋"/>
                <w:b/>
                <w:sz w:val="24"/>
                <w:szCs w:val="24"/>
              </w:rPr>
            </w:pPr>
            <w:bookmarkStart w:id="12" w:name="EBd77b448698ab48f2a21fe1279362a7db"/>
            <w:bookmarkEnd w:id="12"/>
            <w:r>
              <w:rPr>
                <w:rFonts w:hint="eastAsia" w:ascii="仿宋" w:hAnsi="仿宋" w:eastAsia="仿宋" w:cs="仿宋"/>
                <w:b/>
                <w:sz w:val="24"/>
                <w:szCs w:val="24"/>
                <w:lang w:val="zh-CN"/>
              </w:rPr>
              <w:t>1、投标人资格要求</w:t>
            </w:r>
          </w:p>
          <w:p>
            <w:pPr>
              <w:pStyle w:val="175"/>
              <w:snapToGrid w:val="0"/>
              <w:spacing w:line="360" w:lineRule="auto"/>
              <w:rPr>
                <w:rFonts w:ascii="仿宋" w:hAnsi="仿宋" w:eastAsia="仿宋" w:cs="仿宋"/>
                <w:sz w:val="24"/>
              </w:rPr>
            </w:pPr>
            <w:r>
              <w:rPr>
                <w:rFonts w:hint="eastAsia" w:ascii="仿宋" w:hAnsi="仿宋" w:eastAsia="仿宋" w:cs="仿宋"/>
                <w:sz w:val="24"/>
              </w:rPr>
              <w:t>符合《政府采购法》第二十二条规定、《中华人民共和国政府采购法实施条例》第十七条规定。</w:t>
            </w:r>
          </w:p>
          <w:p>
            <w:pPr>
              <w:pStyle w:val="175"/>
              <w:snapToGrid w:val="0"/>
              <w:spacing w:line="360" w:lineRule="auto"/>
              <w:rPr>
                <w:rFonts w:ascii="仿宋" w:hAnsi="仿宋" w:eastAsia="仿宋" w:cs="仿宋"/>
                <w:b/>
                <w:bCs/>
                <w:sz w:val="24"/>
              </w:rPr>
            </w:pPr>
            <w:r>
              <w:rPr>
                <w:rFonts w:hint="eastAsia" w:ascii="仿宋" w:hAnsi="仿宋" w:eastAsia="仿宋" w:cs="仿宋"/>
                <w:b/>
                <w:bCs/>
                <w:sz w:val="24"/>
              </w:rPr>
              <w:t>2、供应商参加政府采购活动应当具备下列条件:</w:t>
            </w:r>
          </w:p>
          <w:p>
            <w:pPr>
              <w:pStyle w:val="175"/>
              <w:snapToGrid w:val="0"/>
              <w:spacing w:line="360" w:lineRule="auto"/>
              <w:rPr>
                <w:rFonts w:ascii="仿宋" w:hAnsi="仿宋" w:eastAsia="仿宋" w:cs="仿宋"/>
                <w:sz w:val="24"/>
              </w:rPr>
            </w:pPr>
            <w:r>
              <w:rPr>
                <w:rFonts w:hint="eastAsia" w:ascii="仿宋" w:hAnsi="仿宋" w:eastAsia="仿宋" w:cs="仿宋"/>
                <w:sz w:val="24"/>
              </w:rPr>
              <w:t>（一）具有独立承担民事责任的能力；</w:t>
            </w:r>
          </w:p>
          <w:p>
            <w:pPr>
              <w:pStyle w:val="175"/>
              <w:snapToGrid w:val="0"/>
              <w:spacing w:line="360" w:lineRule="auto"/>
              <w:rPr>
                <w:rFonts w:ascii="仿宋" w:hAnsi="仿宋" w:eastAsia="仿宋" w:cs="仿宋"/>
                <w:sz w:val="24"/>
              </w:rPr>
            </w:pPr>
            <w:r>
              <w:rPr>
                <w:rFonts w:hint="eastAsia" w:ascii="仿宋" w:hAnsi="仿宋" w:eastAsia="仿宋" w:cs="仿宋"/>
                <w:sz w:val="24"/>
              </w:rPr>
              <w:t>（二）具有良好的商业信誉和健全的财务会计制度；</w:t>
            </w:r>
          </w:p>
          <w:p>
            <w:pPr>
              <w:pStyle w:val="175"/>
              <w:snapToGrid w:val="0"/>
              <w:spacing w:line="360" w:lineRule="auto"/>
              <w:rPr>
                <w:rFonts w:ascii="仿宋" w:hAnsi="仿宋" w:eastAsia="仿宋" w:cs="仿宋"/>
                <w:sz w:val="24"/>
              </w:rPr>
            </w:pPr>
            <w:r>
              <w:rPr>
                <w:rFonts w:hint="eastAsia" w:ascii="仿宋" w:hAnsi="仿宋" w:eastAsia="仿宋" w:cs="仿宋"/>
                <w:sz w:val="24"/>
              </w:rPr>
              <w:t>（三）具有履行合同所必需的设备和专业技术能力；</w:t>
            </w:r>
          </w:p>
          <w:p>
            <w:pPr>
              <w:pStyle w:val="175"/>
              <w:snapToGrid w:val="0"/>
              <w:spacing w:line="360" w:lineRule="auto"/>
              <w:rPr>
                <w:rFonts w:ascii="仿宋" w:hAnsi="仿宋" w:eastAsia="仿宋" w:cs="仿宋"/>
                <w:sz w:val="24"/>
              </w:rPr>
            </w:pPr>
            <w:r>
              <w:rPr>
                <w:rFonts w:hint="eastAsia" w:ascii="仿宋" w:hAnsi="仿宋" w:eastAsia="仿宋" w:cs="仿宋"/>
                <w:sz w:val="24"/>
              </w:rPr>
              <w:t>（四）有依法缴纳税收和社会保障资金的良好记录；</w:t>
            </w:r>
          </w:p>
          <w:p>
            <w:pPr>
              <w:pStyle w:val="175"/>
              <w:snapToGrid w:val="0"/>
              <w:spacing w:line="360" w:lineRule="auto"/>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pPr>
              <w:pStyle w:val="175"/>
              <w:snapToGrid w:val="0"/>
              <w:spacing w:line="360" w:lineRule="auto"/>
              <w:rPr>
                <w:rFonts w:eastAsia="仿宋"/>
                <w:sz w:val="24"/>
              </w:rPr>
            </w:pPr>
            <w:r>
              <w:rPr>
                <w:rFonts w:hint="eastAsia" w:ascii="仿宋" w:hAnsi="仿宋" w:eastAsia="仿宋" w:cs="仿宋"/>
                <w:sz w:val="24"/>
              </w:rPr>
              <w:t>（六）法律、行政法规规定的其他条件。</w:t>
            </w:r>
          </w:p>
          <w:p>
            <w:pPr>
              <w:pStyle w:val="104"/>
              <w:widowControl/>
              <w:spacing w:line="360" w:lineRule="exact"/>
              <w:jc w:val="left"/>
              <w:rPr>
                <w:rFonts w:ascii="仿宋" w:hAnsi="仿宋" w:eastAsia="仿宋" w:cs="仿宋"/>
                <w:b/>
                <w:bCs/>
                <w:sz w:val="24"/>
                <w:szCs w:val="24"/>
              </w:rPr>
            </w:pPr>
            <w:r>
              <w:rPr>
                <w:rFonts w:hint="eastAsia" w:ascii="仿宋" w:hAnsi="仿宋" w:eastAsia="仿宋" w:cs="仿宋"/>
                <w:b/>
                <w:bCs/>
                <w:sz w:val="24"/>
                <w:szCs w:val="24"/>
              </w:rPr>
              <w:t>3、其他</w:t>
            </w:r>
          </w:p>
          <w:p>
            <w:pPr>
              <w:pStyle w:val="104"/>
              <w:widowControl/>
              <w:spacing w:line="360" w:lineRule="exact"/>
              <w:jc w:val="left"/>
              <w:rPr>
                <w:rFonts w:ascii="仿宋" w:hAnsi="仿宋" w:eastAsia="仿宋" w:cs="仿宋"/>
                <w:sz w:val="24"/>
                <w:szCs w:val="24"/>
              </w:rPr>
            </w:pPr>
            <w:r>
              <w:rPr>
                <w:rFonts w:hint="eastAsia" w:ascii="仿宋" w:hAnsi="仿宋" w:eastAsia="仿宋" w:cs="仿宋"/>
                <w:sz w:val="24"/>
                <w:szCs w:val="24"/>
              </w:rPr>
              <w:t>法定代表人或者负责人为同一人或者存在控股、管理关系的两个以上投标人,不得参加同一项目的投标；除单一来源采购项目外,为采购项目提供整体设计、规范编制或者项目管理、监理、检测等服务的投标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6</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sz w:val="24"/>
              </w:rPr>
            </w:pPr>
            <w:r>
              <w:rPr>
                <w:rFonts w:hint="eastAsia" w:ascii="仿宋" w:hAnsi="仿宋" w:eastAsia="仿宋" w:cs="仿宋"/>
                <w:b/>
                <w:sz w:val="24"/>
              </w:rPr>
              <w:t>是否允许联合体投标</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autoSpaceDE w:val="0"/>
              <w:autoSpaceDN w:val="0"/>
              <w:adjustRightInd w:val="0"/>
              <w:spacing w:line="360" w:lineRule="auto"/>
              <w:rPr>
                <w:rFonts w:ascii="仿宋" w:hAnsi="仿宋" w:eastAsia="仿宋" w:cs="仿宋"/>
                <w:kern w:val="0"/>
                <w:sz w:val="24"/>
              </w:rPr>
            </w:pPr>
            <w:bookmarkStart w:id="13" w:name="EB0f86f5f9a6b44b37825cf035703cfc15"/>
            <w:bookmarkEnd w:id="13"/>
            <w:r>
              <w:rPr>
                <w:rFonts w:hint="eastAsia" w:ascii="仿宋" w:hAnsi="仿宋" w:eastAsia="仿宋" w:cs="仿宋"/>
                <w:kern w:val="0"/>
                <w:sz w:val="24"/>
              </w:rPr>
              <w:t>☐是。</w:t>
            </w:r>
          </w:p>
          <w:p>
            <w:pPr>
              <w:pStyle w:val="175"/>
              <w:autoSpaceDE w:val="0"/>
              <w:autoSpaceDN w:val="0"/>
              <w:adjustRightInd w:val="0"/>
              <w:spacing w:line="360" w:lineRule="auto"/>
              <w:rPr>
                <w:rFonts w:ascii="仿宋" w:hAnsi="仿宋" w:eastAsia="仿宋" w:cs="仿宋"/>
                <w:kern w:val="0"/>
                <w:sz w:val="24"/>
              </w:rPr>
            </w:pPr>
            <w:r>
              <w:rPr>
                <w:rFonts w:hint="eastAsia" w:ascii="仿宋" w:hAnsi="仿宋" w:eastAsia="仿宋" w:cs="仿宋"/>
                <w:kern w:val="0"/>
                <w:sz w:val="24"/>
              </w:rPr>
              <w:t>应满足要求：</w:t>
            </w:r>
            <w:r>
              <w:rPr>
                <w:rFonts w:hint="eastAsia" w:ascii="仿宋" w:hAnsi="仿宋" w:eastAsia="仿宋" w:cs="仿宋"/>
                <w:kern w:val="0"/>
                <w:sz w:val="24"/>
                <w:u w:val="single"/>
              </w:rPr>
              <w:t xml:space="preserve">    /   </w:t>
            </w:r>
          </w:p>
          <w:p>
            <w:pPr>
              <w:pStyle w:val="175"/>
              <w:autoSpaceDE w:val="0"/>
              <w:autoSpaceDN w:val="0"/>
              <w:adjustRightInd w:val="0"/>
              <w:spacing w:line="360" w:lineRule="auto"/>
              <w:rPr>
                <w:rFonts w:ascii="仿宋" w:hAnsi="仿宋" w:eastAsia="仿宋" w:cs="仿宋"/>
                <w:kern w:val="0"/>
                <w:sz w:val="24"/>
              </w:rPr>
            </w:pPr>
            <w:bookmarkStart w:id="14" w:name="EBbabddb5118a847b6bdf4b49ae8647b6b"/>
            <w:bookmarkEnd w:id="14"/>
            <w:r>
              <w:rPr>
                <w:rFonts w:hint="eastAsia" w:ascii="仿宋" w:hAnsi="仿宋" w:eastAsia="仿宋" w:cs="仿宋"/>
                <w:kern w:val="0"/>
                <w:sz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7</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sz w:val="24"/>
              </w:rPr>
            </w:pPr>
            <w:r>
              <w:rPr>
                <w:rFonts w:hint="eastAsia" w:ascii="仿宋" w:hAnsi="仿宋" w:eastAsia="仿宋" w:cs="仿宋"/>
                <w:b/>
                <w:sz w:val="24"/>
              </w:rPr>
              <w:t>是否允许投标人将项目非主体、非关键性工作交由他人完成</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kern w:val="0"/>
                <w:sz w:val="24"/>
              </w:rPr>
            </w:pPr>
            <w:bookmarkStart w:id="15" w:name="EB46de3bf2b5e44d249096c9a68bd8cf71"/>
            <w:bookmarkEnd w:id="15"/>
            <w:r>
              <w:rPr>
                <w:rFonts w:hint="eastAsia" w:ascii="仿宋" w:hAnsi="仿宋" w:eastAsia="仿宋" w:cs="仿宋"/>
                <w:kern w:val="0"/>
                <w:sz w:val="24"/>
              </w:rPr>
              <w:t>☑ 否。</w:t>
            </w:r>
          </w:p>
          <w:p>
            <w:pPr>
              <w:pStyle w:val="175"/>
              <w:spacing w:line="360" w:lineRule="auto"/>
              <w:rPr>
                <w:rFonts w:ascii="仿宋" w:hAnsi="仿宋" w:eastAsia="仿宋" w:cs="仿宋"/>
                <w:kern w:val="0"/>
                <w:sz w:val="24"/>
              </w:rPr>
            </w:pPr>
            <w:bookmarkStart w:id="16" w:name="EB65a901bb2d1e4b94a96b402959e5078f"/>
            <w:bookmarkEnd w:id="16"/>
            <w:r>
              <w:rPr>
                <w:rFonts w:hint="eastAsia" w:ascii="仿宋" w:hAnsi="仿宋" w:eastAsia="仿宋" w:cs="仿宋"/>
                <w:kern w:val="0"/>
                <w:sz w:val="24"/>
              </w:rPr>
              <w:t>☐是。中标人按照合同约定或者经采购人同意，可以将项目非主体、非关键性工作分包交由他人完成。此时，接受分包的人应当具备相应的资格条件，并不得再次分包。</w:t>
            </w:r>
          </w:p>
          <w:p>
            <w:pPr>
              <w:pStyle w:val="175"/>
              <w:spacing w:line="360" w:lineRule="auto"/>
              <w:rPr>
                <w:rFonts w:ascii="仿宋" w:hAnsi="仿宋" w:eastAsia="仿宋" w:cs="仿宋"/>
                <w:kern w:val="0"/>
                <w:sz w:val="24"/>
              </w:rPr>
            </w:pPr>
            <w:r>
              <w:rPr>
                <w:rFonts w:hint="eastAsia" w:ascii="仿宋" w:hAnsi="仿宋" w:eastAsia="仿宋" w:cs="仿宋"/>
                <w:kern w:val="0"/>
                <w:sz w:val="24"/>
              </w:rPr>
              <w:t>分包内容要求：</w:t>
            </w:r>
            <w:bookmarkStart w:id="17" w:name="EBa69c75a77835476bbdcb8c909a4a812c"/>
            <w:bookmarkEnd w:id="17"/>
            <w:r>
              <w:rPr>
                <w:rFonts w:hint="eastAsia" w:ascii="仿宋" w:hAnsi="仿宋" w:eastAsia="仿宋" w:cs="仿宋"/>
                <w:kern w:val="0"/>
                <w:sz w:val="24"/>
                <w:u w:val="single"/>
              </w:rPr>
              <w:t xml:space="preserve">      /           </w:t>
            </w:r>
          </w:p>
          <w:p>
            <w:pPr>
              <w:pStyle w:val="175"/>
              <w:spacing w:line="360" w:lineRule="auto"/>
              <w:rPr>
                <w:rFonts w:ascii="仿宋" w:hAnsi="仿宋" w:eastAsia="仿宋" w:cs="仿宋"/>
                <w:kern w:val="0"/>
                <w:sz w:val="24"/>
              </w:rPr>
            </w:pPr>
            <w:r>
              <w:rPr>
                <w:rFonts w:hint="eastAsia" w:ascii="仿宋" w:hAnsi="仿宋" w:eastAsia="仿宋" w:cs="仿宋"/>
                <w:kern w:val="0"/>
                <w:sz w:val="24"/>
              </w:rPr>
              <w:t>分包金额要求：</w:t>
            </w:r>
            <w:bookmarkStart w:id="18" w:name="EBd3f56592b2054e50ad44ad4ca7d3f5c2"/>
            <w:bookmarkEnd w:id="18"/>
            <w:r>
              <w:rPr>
                <w:rFonts w:hint="eastAsia" w:ascii="仿宋" w:hAnsi="仿宋" w:eastAsia="仿宋" w:cs="仿宋"/>
                <w:kern w:val="0"/>
                <w:sz w:val="24"/>
                <w:u w:val="single"/>
              </w:rPr>
              <w:t xml:space="preserve">      /           </w:t>
            </w:r>
          </w:p>
          <w:p>
            <w:pPr>
              <w:pStyle w:val="175"/>
              <w:autoSpaceDE w:val="0"/>
              <w:autoSpaceDN w:val="0"/>
              <w:adjustRightInd w:val="0"/>
              <w:spacing w:line="360" w:lineRule="auto"/>
              <w:rPr>
                <w:rFonts w:ascii="仿宋" w:hAnsi="仿宋" w:eastAsia="仿宋" w:cs="仿宋"/>
                <w:sz w:val="24"/>
                <w:u w:val="single"/>
              </w:rPr>
            </w:pPr>
            <w:r>
              <w:rPr>
                <w:rFonts w:hint="eastAsia" w:ascii="仿宋" w:hAnsi="仿宋" w:eastAsia="仿宋" w:cs="仿宋"/>
                <w:kern w:val="0"/>
                <w:sz w:val="24"/>
              </w:rPr>
              <w:t>接受分包的第三人资质要求：</w:t>
            </w:r>
          </w:p>
          <w:p>
            <w:pPr>
              <w:pStyle w:val="175"/>
              <w:autoSpaceDE w:val="0"/>
              <w:autoSpaceDN w:val="0"/>
              <w:adjustRightInd w:val="0"/>
              <w:spacing w:line="360" w:lineRule="auto"/>
              <w:rPr>
                <w:rFonts w:ascii="仿宋" w:hAnsi="仿宋" w:eastAsia="仿宋" w:cs="仿宋"/>
                <w:kern w:val="0"/>
                <w:sz w:val="24"/>
              </w:rPr>
            </w:pPr>
            <w:bookmarkStart w:id="19" w:name="EB5f6d947066154c69b5501788367db129"/>
            <w:bookmarkEnd w:id="19"/>
            <w:r>
              <w:rPr>
                <w:rFonts w:hint="eastAsia" w:ascii="仿宋" w:hAnsi="仿宋" w:eastAsia="仿宋" w:cs="仿宋"/>
                <w:kern w:val="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8</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sz w:val="24"/>
              </w:rPr>
            </w:pPr>
            <w:r>
              <w:rPr>
                <w:rFonts w:hint="eastAsia" w:ascii="仿宋" w:hAnsi="仿宋" w:eastAsia="仿宋" w:cs="仿宋"/>
                <w:b/>
                <w:sz w:val="24"/>
              </w:rPr>
              <w:t>踏勘现场</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kern w:val="0"/>
                <w:sz w:val="24"/>
              </w:rPr>
            </w:pPr>
            <w:bookmarkStart w:id="20" w:name="EB3654e13cae20475eac84fa83364d7833"/>
            <w:bookmarkEnd w:id="20"/>
            <w:r>
              <w:rPr>
                <w:rFonts w:hint="eastAsia" w:ascii="仿宋" w:hAnsi="仿宋" w:eastAsia="仿宋" w:cs="仿宋"/>
                <w:kern w:val="0"/>
                <w:sz w:val="24"/>
                <w:lang w:bidi="zh-CN"/>
              </w:rPr>
              <w:t>不组织，由供应商自行对项目现场和其周围环境进行考察，如因供应商未到现场进行考察锁造成的一切后果由供应商自付。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9</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sz w:val="24"/>
              </w:rPr>
            </w:pPr>
            <w:r>
              <w:rPr>
                <w:rFonts w:hint="eastAsia" w:ascii="仿宋" w:hAnsi="仿宋" w:eastAsia="仿宋" w:cs="仿宋"/>
                <w:b/>
                <w:sz w:val="24"/>
              </w:rPr>
              <w:t>答疑接受时间</w:t>
            </w:r>
          </w:p>
        </w:tc>
        <w:tc>
          <w:tcPr>
            <w:tcW w:w="6826" w:type="dxa"/>
            <w:tcBorders>
              <w:top w:val="single" w:color="auto" w:sz="4" w:space="0"/>
              <w:left w:val="single" w:color="auto" w:sz="4" w:space="0"/>
              <w:bottom w:val="single" w:color="auto" w:sz="4" w:space="0"/>
              <w:right w:val="single" w:color="auto" w:sz="4" w:space="0"/>
            </w:tcBorders>
            <w:vAlign w:val="center"/>
          </w:tcPr>
          <w:p>
            <w:pPr>
              <w:pStyle w:val="114"/>
              <w:spacing w:line="360" w:lineRule="auto"/>
              <w:rPr>
                <w:rFonts w:ascii="仿宋" w:hAnsi="仿宋" w:eastAsia="仿宋" w:cs="仿宋"/>
                <w:sz w:val="24"/>
                <w:lang w:val="en-US"/>
              </w:rPr>
            </w:pPr>
            <w:bookmarkStart w:id="21" w:name="EB17a0b1178f4e475ebd3db773a983cd6b"/>
            <w:bookmarkEnd w:id="21"/>
            <w:r>
              <w:rPr>
                <w:rFonts w:hint="eastAsia" w:ascii="仿宋" w:hAnsi="仿宋" w:eastAsia="仿宋" w:cs="仿宋"/>
                <w:sz w:val="24"/>
                <w:lang w:val="en-US"/>
              </w:rPr>
              <w:t>1.投标人认为招标文件、招标过程和中标结果使自己的权益受到损害的,可以根据《中华人民共和国政府采购法实施条例》和《政府采购质疑和投诉办法》的有关规定,依法向采购人或其委托的采购代理机构提出质疑。</w:t>
            </w:r>
          </w:p>
          <w:p>
            <w:pPr>
              <w:pStyle w:val="114"/>
              <w:spacing w:line="360" w:lineRule="auto"/>
              <w:rPr>
                <w:rFonts w:ascii="仿宋" w:hAnsi="仿宋" w:eastAsia="仿宋" w:cs="仿宋"/>
                <w:sz w:val="24"/>
                <w:lang w:val="en-US"/>
              </w:rPr>
            </w:pPr>
            <w:r>
              <w:rPr>
                <w:rFonts w:hint="eastAsia" w:ascii="仿宋" w:hAnsi="仿宋" w:eastAsia="仿宋" w:cs="仿宋"/>
                <w:sz w:val="24"/>
                <w:lang w:val="en-US"/>
              </w:rPr>
              <w:t>2.质疑投标人应按照财政部制定的《政府采购质疑函范本》格式（可从财政部官方网站下载）和《政府采购质疑和投诉办法》的要求,在法定质疑期内以书面形式提出质疑,针对同一采购程序环节的质疑次数应一次性提供。</w:t>
            </w:r>
          </w:p>
          <w:p>
            <w:pPr>
              <w:pStyle w:val="114"/>
              <w:spacing w:line="360" w:lineRule="auto"/>
              <w:rPr>
                <w:rFonts w:ascii="仿宋" w:hAnsi="仿宋" w:eastAsia="仿宋" w:cs="仿宋"/>
                <w:sz w:val="24"/>
                <w:lang w:val="en-US"/>
              </w:rPr>
            </w:pPr>
            <w:r>
              <w:rPr>
                <w:rFonts w:hint="eastAsia" w:ascii="仿宋" w:hAnsi="仿宋" w:eastAsia="仿宋" w:cs="仿宋"/>
                <w:sz w:val="24"/>
                <w:lang w:val="en-US"/>
              </w:rPr>
              <w:t>3.超出法定质疑期提交的质疑将被拒绝。重复或分次提出的、内容或形式不符合《政府采购质疑和投诉办法》的,质疑投标人将依法承担不利后果。</w:t>
            </w:r>
          </w:p>
          <w:p>
            <w:pPr>
              <w:pStyle w:val="114"/>
              <w:spacing w:line="360" w:lineRule="auto"/>
              <w:rPr>
                <w:rFonts w:ascii="仿宋" w:hAnsi="仿宋" w:eastAsia="仿宋" w:cs="仿宋"/>
                <w:sz w:val="24"/>
                <w:lang w:val="en-US"/>
              </w:rPr>
            </w:pPr>
            <w:r>
              <w:rPr>
                <w:rFonts w:hint="eastAsia" w:ascii="仿宋" w:hAnsi="仿宋" w:eastAsia="仿宋" w:cs="仿宋"/>
                <w:sz w:val="24"/>
                <w:lang w:val="en-US"/>
              </w:rPr>
              <w:t>4.采购代理机构质疑函接收部门、联系电话</w:t>
            </w:r>
          </w:p>
          <w:p>
            <w:pPr>
              <w:pStyle w:val="114"/>
              <w:spacing w:line="360" w:lineRule="auto"/>
              <w:rPr>
                <w:rFonts w:ascii="仿宋" w:hAnsi="仿宋" w:eastAsia="仿宋" w:cs="仿宋"/>
                <w:sz w:val="24"/>
                <w:lang w:val="en-US"/>
              </w:rPr>
            </w:pPr>
            <w:r>
              <w:rPr>
                <w:rFonts w:hint="eastAsia" w:ascii="仿宋" w:hAnsi="仿宋" w:eastAsia="仿宋" w:cs="仿宋"/>
                <w:sz w:val="24"/>
                <w:lang w:val="en-US"/>
              </w:rPr>
              <w:t>接收部门:</w:t>
            </w:r>
            <w:r>
              <w:rPr>
                <w:rFonts w:hint="eastAsia" w:ascii="仿宋" w:hAnsi="仿宋" w:eastAsia="仿宋" w:cs="仿宋"/>
                <w:kern w:val="2"/>
                <w:sz w:val="24"/>
                <w:lang w:val="en-US" w:bidi="ug-CN"/>
              </w:rPr>
              <w:t>新疆锦辰工程项目管理有限公司</w:t>
            </w:r>
          </w:p>
          <w:p>
            <w:pPr>
              <w:pStyle w:val="114"/>
              <w:spacing w:line="360" w:lineRule="auto"/>
              <w:rPr>
                <w:rFonts w:ascii="仿宋" w:hAnsi="仿宋" w:eastAsia="仿宋" w:cs="仿宋"/>
                <w:sz w:val="24"/>
                <w:lang w:val="en-US"/>
              </w:rPr>
            </w:pPr>
            <w:r>
              <w:rPr>
                <w:rFonts w:hint="eastAsia" w:ascii="仿宋" w:hAnsi="仿宋" w:eastAsia="仿宋" w:cs="仿宋"/>
                <w:sz w:val="24"/>
              </w:rPr>
              <w:t>联系人:</w:t>
            </w:r>
            <w:r>
              <w:rPr>
                <w:rFonts w:hint="eastAsia" w:ascii="仿宋" w:hAnsi="仿宋" w:eastAsia="仿宋" w:cs="仿宋"/>
                <w:sz w:val="24"/>
                <w:lang w:val="en-US"/>
              </w:rPr>
              <w:t xml:space="preserve">贾智俊             </w:t>
            </w:r>
            <w:r>
              <w:rPr>
                <w:rFonts w:hint="eastAsia" w:ascii="仿宋" w:hAnsi="仿宋" w:eastAsia="仿宋" w:cs="仿宋"/>
                <w:sz w:val="24"/>
              </w:rPr>
              <w:t>联系电话:</w:t>
            </w:r>
            <w:r>
              <w:rPr>
                <w:rFonts w:hint="eastAsia" w:ascii="仿宋" w:hAnsi="仿宋" w:eastAsia="仿宋" w:cs="仿宋"/>
                <w:sz w:val="24"/>
                <w:lang w:val="en-US"/>
              </w:rPr>
              <w:t>13319859131</w:t>
            </w:r>
          </w:p>
          <w:p>
            <w:pPr>
              <w:pStyle w:val="114"/>
              <w:spacing w:line="360" w:lineRule="auto"/>
              <w:rPr>
                <w:rFonts w:ascii="仿宋" w:hAnsi="仿宋" w:eastAsia="仿宋" w:cs="仿宋"/>
                <w:sz w:val="24"/>
                <w:lang w:val="en-US"/>
              </w:rPr>
            </w:pPr>
            <w:r>
              <w:rPr>
                <w:rFonts w:hint="eastAsia" w:ascii="仿宋" w:hAnsi="仿宋" w:eastAsia="仿宋" w:cs="仿宋"/>
                <w:sz w:val="24"/>
                <w:lang w:val="en-US"/>
              </w:rPr>
              <w:t>地址:图木舒克市前海东街17号翠景园小区3号楼2层2－2</w:t>
            </w:r>
          </w:p>
          <w:p>
            <w:pPr>
              <w:pStyle w:val="114"/>
              <w:spacing w:line="360" w:lineRule="auto"/>
              <w:jc w:val="both"/>
              <w:rPr>
                <w:rFonts w:ascii="仿宋" w:hAnsi="仿宋" w:eastAsia="仿宋" w:cs="仿宋"/>
                <w:sz w:val="24"/>
                <w:lang w:val="en-US"/>
              </w:rPr>
            </w:pPr>
            <w:r>
              <w:rPr>
                <w:rFonts w:hint="eastAsia" w:ascii="仿宋" w:hAnsi="仿宋" w:eastAsia="仿宋" w:cs="仿宋"/>
                <w:sz w:val="24"/>
                <w:lang w:val="en-US"/>
              </w:rPr>
              <w:t xml:space="preserve">提交方式:将投标人疑问文件电子版（须为可编辑的WORD文档）与盖章的纸质版原件扫描件PDF版本发送1274758216@qq.com；如WORD文档内容与盖章的纸质版原件扫描件PDF内容不一致的,以盖章的纸质版原件扫描件PDF内容为准。 </w:t>
            </w:r>
          </w:p>
          <w:p>
            <w:pPr>
              <w:pStyle w:val="93"/>
              <w:spacing w:line="360" w:lineRule="auto"/>
              <w:rPr>
                <w:rFonts w:ascii="仿宋" w:hAnsi="仿宋" w:eastAsia="仿宋" w:cs="仿宋"/>
                <w:kern w:val="0"/>
                <w:sz w:val="24"/>
              </w:rPr>
            </w:pPr>
            <w:r>
              <w:rPr>
                <w:rFonts w:hint="eastAsia" w:ascii="仿宋" w:hAnsi="仿宋" w:eastAsia="仿宋" w:cs="仿宋"/>
                <w:b/>
                <w:bCs/>
                <w:sz w:val="24"/>
              </w:rPr>
              <w:t>5、澄清、修改文件发出后（若有）,投标人必须使用最新的澄清文件制作电子投标文件。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10</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sz w:val="24"/>
              </w:rPr>
            </w:pPr>
            <w:r>
              <w:rPr>
                <w:rFonts w:hint="eastAsia" w:ascii="仿宋" w:hAnsi="仿宋" w:eastAsia="仿宋" w:cs="仿宋"/>
                <w:b/>
                <w:sz w:val="24"/>
              </w:rPr>
              <w:t>投标有效期</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b/>
                <w:bCs/>
                <w:sz w:val="24"/>
              </w:rPr>
            </w:pPr>
            <w:r>
              <w:rPr>
                <w:rFonts w:hint="eastAsia" w:ascii="仿宋" w:hAnsi="仿宋" w:eastAsia="仿宋" w:cs="仿宋"/>
                <w:sz w:val="24"/>
                <w:lang w:val="zh-CN"/>
              </w:rPr>
              <w:t>自投标截止之日起</w:t>
            </w:r>
            <w:bookmarkStart w:id="22" w:name="EB8c89669a7b2d4e7d97b13873e077b2f7"/>
            <w:bookmarkEnd w:id="22"/>
            <w:r>
              <w:rPr>
                <w:rFonts w:hint="eastAsia" w:ascii="仿宋" w:hAnsi="仿宋" w:eastAsia="仿宋" w:cs="仿宋"/>
                <w:kern w:val="0"/>
                <w:sz w:val="24"/>
                <w:u w:val="single"/>
              </w:rPr>
              <w:t xml:space="preserve">   90   </w:t>
            </w:r>
            <w:r>
              <w:rPr>
                <w:rFonts w:hint="eastAsia" w:ascii="仿宋" w:hAnsi="仿宋" w:eastAsia="仿宋" w:cs="仿宋"/>
                <w:sz w:val="24"/>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11</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bCs/>
                <w:kern w:val="0"/>
                <w:sz w:val="24"/>
              </w:rPr>
              <w:t>投标截止时间（开标时间）</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sz w:val="24"/>
                <w:highlight w:val="yellow"/>
              </w:rPr>
            </w:pPr>
            <w:r>
              <w:rPr>
                <w:rFonts w:hint="eastAsia" w:ascii="仿宋" w:hAnsi="仿宋" w:eastAsia="仿宋" w:cs="仿宋"/>
                <w:sz w:val="24"/>
              </w:rPr>
              <w:t>截止时间</w:t>
            </w:r>
            <w:bookmarkStart w:id="23" w:name="EB63b5c568556649b2bb3803aea9efb797"/>
            <w:bookmarkEnd w:id="23"/>
            <w:r>
              <w:rPr>
                <w:rFonts w:hint="eastAsia" w:ascii="仿宋" w:hAnsi="仿宋" w:eastAsia="仿宋" w:cs="仿宋"/>
                <w:sz w:val="24"/>
                <w:highlight w:val="none"/>
              </w:rPr>
              <w:t>:2022年6月2日1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0（北京时间）</w:t>
            </w:r>
          </w:p>
          <w:p>
            <w:pPr>
              <w:pStyle w:val="175"/>
              <w:spacing w:line="360" w:lineRule="auto"/>
              <w:rPr>
                <w:rFonts w:ascii="仿宋" w:hAnsi="仿宋" w:eastAsia="仿宋" w:cs="仿宋"/>
                <w:sz w:val="24"/>
              </w:rPr>
            </w:pPr>
            <w:r>
              <w:rPr>
                <w:rFonts w:hint="eastAsia" w:ascii="仿宋" w:hAnsi="仿宋" w:eastAsia="仿宋" w:cs="仿宋"/>
                <w:sz w:val="24"/>
                <w:highlight w:val="none"/>
              </w:rPr>
              <w:t>响应文件递电子响应文件解密时长：30分钟。请投标单位在开标截止时间至少半小时前提前登录不见面开标大厅确保电脑、网络、浏览器正常，若发生因供应商自身网络、设备的问题造成的响应文件无法解密等情况，后果由投标单位自行承担。</w:t>
            </w:r>
            <w:bookmarkStart w:id="268" w:name="_GoBack"/>
            <w:bookmarkEnd w:id="2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12</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开标时间及地点</w:t>
            </w:r>
          </w:p>
        </w:tc>
        <w:tc>
          <w:tcPr>
            <w:tcW w:w="6826" w:type="dxa"/>
            <w:tcBorders>
              <w:top w:val="single" w:color="auto" w:sz="4" w:space="0"/>
              <w:left w:val="single" w:color="auto" w:sz="4" w:space="0"/>
              <w:bottom w:val="single" w:color="auto" w:sz="4" w:space="0"/>
              <w:right w:val="single" w:color="auto" w:sz="4" w:space="0"/>
            </w:tcBorders>
            <w:vAlign w:val="center"/>
          </w:tcPr>
          <w:p>
            <w:pPr>
              <w:pStyle w:val="104"/>
              <w:spacing w:line="360" w:lineRule="exact"/>
              <w:rPr>
                <w:rFonts w:ascii="仿宋" w:hAnsi="仿宋" w:eastAsia="仿宋" w:cs="仿宋"/>
                <w:sz w:val="22"/>
                <w:highlight w:val="yellow"/>
              </w:rPr>
            </w:pPr>
            <w:r>
              <w:rPr>
                <w:rFonts w:hint="eastAsia" w:ascii="仿宋" w:hAnsi="仿宋" w:eastAsia="仿宋" w:cs="仿宋"/>
                <w:sz w:val="22"/>
              </w:rPr>
              <w:t>磋商时间:2022年6月2日1</w:t>
            </w:r>
            <w:r>
              <w:rPr>
                <w:rFonts w:hint="eastAsia" w:ascii="仿宋" w:hAnsi="仿宋" w:eastAsia="仿宋" w:cs="仿宋"/>
                <w:sz w:val="22"/>
                <w:lang w:val="en-US" w:eastAsia="zh-CN"/>
              </w:rPr>
              <w:t>6</w:t>
            </w:r>
            <w:r>
              <w:rPr>
                <w:rFonts w:hint="eastAsia" w:ascii="仿宋" w:hAnsi="仿宋" w:eastAsia="仿宋" w:cs="仿宋"/>
                <w:sz w:val="22"/>
              </w:rPr>
              <w:t>:</w:t>
            </w:r>
            <w:r>
              <w:rPr>
                <w:rFonts w:hint="eastAsia" w:ascii="仿宋" w:hAnsi="仿宋" w:eastAsia="仿宋" w:cs="仿宋"/>
                <w:sz w:val="22"/>
                <w:lang w:val="en-US" w:eastAsia="zh-CN"/>
              </w:rPr>
              <w:t>3</w:t>
            </w:r>
            <w:r>
              <w:rPr>
                <w:rFonts w:hint="eastAsia" w:ascii="仿宋" w:hAnsi="仿宋" w:eastAsia="仿宋" w:cs="仿宋"/>
                <w:sz w:val="22"/>
              </w:rPr>
              <w:t>0（北京时间）</w:t>
            </w:r>
          </w:p>
          <w:p>
            <w:pPr>
              <w:pStyle w:val="175"/>
              <w:spacing w:line="360" w:lineRule="auto"/>
              <w:ind w:leftChars="-1" w:hanging="2" w:hangingChars="1"/>
              <w:rPr>
                <w:rFonts w:ascii="仿宋" w:hAnsi="仿宋" w:eastAsia="仿宋" w:cs="仿宋"/>
                <w:sz w:val="24"/>
                <w:u w:val="single"/>
              </w:rPr>
            </w:pPr>
            <w:r>
              <w:rPr>
                <w:rFonts w:hint="eastAsia" w:ascii="仿宋" w:hAnsi="仿宋" w:eastAsia="仿宋" w:cs="仿宋"/>
                <w:sz w:val="22"/>
                <w:szCs w:val="22"/>
              </w:rPr>
              <w:t>磋商地点:兵团政采云平台电子交易平台开标大厅（兵团政采云平台https://www.zcygov.cn/）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13</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评标委员会的组成</w:t>
            </w:r>
          </w:p>
        </w:tc>
        <w:tc>
          <w:tcPr>
            <w:tcW w:w="6826" w:type="dxa"/>
            <w:tcBorders>
              <w:top w:val="single" w:color="auto" w:sz="4" w:space="0"/>
              <w:left w:val="single" w:color="auto" w:sz="4" w:space="0"/>
              <w:bottom w:val="single" w:color="auto" w:sz="4" w:space="0"/>
              <w:right w:val="single" w:color="auto" w:sz="4" w:space="0"/>
            </w:tcBorders>
            <w:vAlign w:val="center"/>
          </w:tcPr>
          <w:p>
            <w:pPr>
              <w:pStyle w:val="93"/>
              <w:spacing w:line="360" w:lineRule="auto"/>
              <w:rPr>
                <w:rFonts w:ascii="仿宋" w:hAnsi="仿宋" w:eastAsia="仿宋" w:cs="仿宋"/>
                <w:sz w:val="24"/>
              </w:rPr>
            </w:pPr>
            <w:r>
              <w:rPr>
                <w:rFonts w:hint="eastAsia" w:ascii="仿宋" w:hAnsi="仿宋" w:eastAsia="仿宋" w:cs="仿宋"/>
                <w:sz w:val="24"/>
              </w:rPr>
              <w:t>评标委员会</w:t>
            </w:r>
            <w:r>
              <w:rPr>
                <w:rFonts w:hint="eastAsia" w:ascii="仿宋" w:hAnsi="仿宋" w:eastAsia="仿宋" w:cs="仿宋"/>
                <w:sz w:val="24"/>
                <w:highlight w:val="none"/>
              </w:rPr>
              <w:t>构成：</w:t>
            </w:r>
            <w:bookmarkStart w:id="24" w:name="EB3f0c29cb8f8242048d3ab4e38d30f235"/>
            <w:bookmarkEnd w:id="24"/>
            <w:r>
              <w:rPr>
                <w:rFonts w:hint="eastAsia" w:ascii="仿宋" w:hAnsi="仿宋" w:eastAsia="仿宋" w:cs="仿宋"/>
                <w:kern w:val="0"/>
                <w:sz w:val="24"/>
                <w:highlight w:val="none"/>
                <w:u w:val="single"/>
              </w:rPr>
              <w:t xml:space="preserve">7 </w:t>
            </w:r>
            <w:r>
              <w:rPr>
                <w:rFonts w:hint="eastAsia" w:ascii="仿宋" w:hAnsi="仿宋" w:eastAsia="仿宋" w:cs="仿宋"/>
                <w:sz w:val="24"/>
                <w:highlight w:val="none"/>
              </w:rPr>
              <w:t>人，其中采购代表</w:t>
            </w:r>
            <w:bookmarkStart w:id="25" w:name="EB2a6ee956a7614937981c4694c7a0091e"/>
            <w:bookmarkEnd w:id="25"/>
            <w:r>
              <w:rPr>
                <w:rFonts w:hint="eastAsia" w:ascii="仿宋" w:hAnsi="仿宋" w:eastAsia="仿宋" w:cs="仿宋"/>
                <w:sz w:val="24"/>
                <w:highlight w:val="none"/>
                <w:u w:val="single"/>
              </w:rPr>
              <w:t>1</w:t>
            </w:r>
            <w:r>
              <w:rPr>
                <w:rFonts w:hint="eastAsia" w:ascii="仿宋" w:hAnsi="仿宋" w:eastAsia="仿宋" w:cs="仿宋"/>
                <w:sz w:val="24"/>
                <w:highlight w:val="none"/>
              </w:rPr>
              <w:t xml:space="preserve">人和专家评委 </w:t>
            </w:r>
            <w:r>
              <w:rPr>
                <w:rFonts w:hint="eastAsia" w:ascii="仿宋" w:hAnsi="仿宋" w:eastAsia="仿宋" w:cs="仿宋"/>
                <w:sz w:val="24"/>
                <w:highlight w:val="none"/>
                <w:u w:val="single"/>
              </w:rPr>
              <w:t xml:space="preserve">6 </w:t>
            </w:r>
            <w:r>
              <w:rPr>
                <w:rFonts w:hint="eastAsia" w:ascii="仿宋" w:hAnsi="仿宋" w:eastAsia="仿宋" w:cs="仿宋"/>
                <w:sz w:val="24"/>
                <w:highlight w:val="none"/>
              </w:rPr>
              <w:t>人。</w:t>
            </w:r>
          </w:p>
          <w:p>
            <w:pPr>
              <w:pStyle w:val="175"/>
              <w:spacing w:line="360" w:lineRule="auto"/>
              <w:rPr>
                <w:rFonts w:ascii="仿宋" w:hAnsi="仿宋" w:eastAsia="仿宋" w:cs="仿宋"/>
                <w:sz w:val="24"/>
              </w:rPr>
            </w:pPr>
            <w:r>
              <w:rPr>
                <w:rFonts w:hint="eastAsia" w:ascii="仿宋" w:hAnsi="仿宋" w:eastAsia="仿宋" w:cs="仿宋"/>
                <w:sz w:val="24"/>
              </w:rPr>
              <w:t>评委确定方式：</w:t>
            </w:r>
            <w:bookmarkStart w:id="26" w:name="EBa6c2783a0e5147c8b3ec5246f7ef3cfa"/>
            <w:bookmarkEnd w:id="26"/>
            <w:r>
              <w:rPr>
                <w:rFonts w:hint="eastAsia" w:ascii="仿宋" w:hAnsi="仿宋" w:eastAsia="仿宋" w:cs="仿宋"/>
                <w:kern w:val="0"/>
                <w:sz w:val="24"/>
                <w:u w:val="single"/>
              </w:rPr>
              <w:t xml:space="preserve"> 政采云平台专家库中系统自行抽取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vMerge w:val="restart"/>
            <w:tcBorders>
              <w:top w:val="single" w:color="auto" w:sz="4" w:space="0"/>
              <w:left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14</w:t>
            </w:r>
          </w:p>
        </w:tc>
        <w:tc>
          <w:tcPr>
            <w:tcW w:w="1240" w:type="dxa"/>
            <w:vMerge w:val="restart"/>
            <w:tcBorders>
              <w:top w:val="single" w:color="auto" w:sz="4" w:space="0"/>
              <w:left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投标保证金</w:t>
            </w:r>
          </w:p>
        </w:tc>
        <w:tc>
          <w:tcPr>
            <w:tcW w:w="6826" w:type="dxa"/>
            <w:tcBorders>
              <w:top w:val="single" w:color="auto" w:sz="4" w:space="0"/>
              <w:left w:val="single" w:color="auto" w:sz="4" w:space="0"/>
              <w:bottom w:val="single" w:color="auto" w:sz="4" w:space="0"/>
              <w:right w:val="single" w:color="auto" w:sz="4" w:space="0"/>
            </w:tcBorders>
            <w:vAlign w:val="center"/>
          </w:tcPr>
          <w:p>
            <w:pPr>
              <w:pStyle w:val="93"/>
              <w:spacing w:line="360" w:lineRule="auto"/>
              <w:rPr>
                <w:rFonts w:ascii="仿宋" w:hAnsi="仿宋" w:eastAsia="仿宋" w:cs="仿宋"/>
                <w:kern w:val="0"/>
                <w:sz w:val="24"/>
              </w:rPr>
            </w:pPr>
            <w:r>
              <w:rPr>
                <w:rFonts w:hint="eastAsia" w:ascii="仿宋" w:hAnsi="仿宋" w:eastAsia="仿宋" w:cs="仿宋"/>
                <w:sz w:val="24"/>
              </w:rPr>
              <w:t>缴纳方式:以支票、汇票、本票或者金融机构、担保机构出具的保函、电汇、网银转账等非现金形式提交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93" w:type="dxa"/>
            <w:vMerge w:val="continue"/>
            <w:tcBorders>
              <w:left w:val="single" w:color="auto" w:sz="4" w:space="0"/>
              <w:right w:val="single" w:color="auto" w:sz="4" w:space="0"/>
            </w:tcBorders>
            <w:vAlign w:val="center"/>
          </w:tcPr>
          <w:p>
            <w:pPr>
              <w:pStyle w:val="175"/>
              <w:spacing w:line="360" w:lineRule="auto"/>
            </w:pPr>
          </w:p>
        </w:tc>
        <w:tc>
          <w:tcPr>
            <w:tcW w:w="1240" w:type="dxa"/>
            <w:vMerge w:val="continue"/>
            <w:tcBorders>
              <w:left w:val="single" w:color="auto" w:sz="4" w:space="0"/>
              <w:right w:val="single" w:color="auto" w:sz="4" w:space="0"/>
            </w:tcBorders>
            <w:vAlign w:val="center"/>
          </w:tcPr>
          <w:p>
            <w:pPr>
              <w:pStyle w:val="175"/>
              <w:spacing w:line="360" w:lineRule="auto"/>
            </w:pPr>
          </w:p>
        </w:tc>
        <w:tc>
          <w:tcPr>
            <w:tcW w:w="6826" w:type="dxa"/>
            <w:tcBorders>
              <w:top w:val="single" w:color="auto" w:sz="4" w:space="0"/>
              <w:left w:val="single" w:color="auto" w:sz="4" w:space="0"/>
              <w:bottom w:val="single" w:color="auto" w:sz="4" w:space="0"/>
              <w:right w:val="single" w:color="auto" w:sz="4" w:space="0"/>
            </w:tcBorders>
            <w:vAlign w:val="center"/>
          </w:tcPr>
          <w:p>
            <w:pPr>
              <w:pStyle w:val="93"/>
              <w:spacing w:line="360" w:lineRule="auto"/>
              <w:rPr>
                <w:rFonts w:ascii="仿宋" w:hAnsi="仿宋" w:eastAsia="仿宋" w:cs="仿宋"/>
                <w:sz w:val="24"/>
                <w:u w:val="single"/>
              </w:rPr>
            </w:pPr>
            <w:r>
              <w:rPr>
                <w:rFonts w:hint="eastAsia" w:ascii="仿宋" w:hAnsi="仿宋" w:eastAsia="仿宋" w:cs="仿宋"/>
                <w:kern w:val="0"/>
                <w:sz w:val="24"/>
              </w:rPr>
              <w:t>金额（小写）：</w:t>
            </w:r>
            <w:r>
              <w:rPr>
                <w:rFonts w:hint="eastAsia" w:ascii="仿宋" w:hAnsi="仿宋" w:eastAsia="仿宋" w:cs="仿宋"/>
                <w:kern w:val="0"/>
                <w:sz w:val="24"/>
                <w:u w:val="single"/>
              </w:rPr>
              <w:t>￥200000.00</w:t>
            </w:r>
            <w:r>
              <w:rPr>
                <w:rFonts w:hint="eastAsia" w:ascii="仿宋" w:hAnsi="仿宋" w:eastAsia="仿宋" w:cs="仿宋"/>
                <w:sz w:val="24"/>
                <w:u w:val="single"/>
              </w:rPr>
              <w:t>元</w:t>
            </w:r>
          </w:p>
          <w:p>
            <w:pPr>
              <w:pStyle w:val="93"/>
              <w:spacing w:line="360" w:lineRule="auto"/>
              <w:rPr>
                <w:rFonts w:ascii="仿宋_GB2312" w:hAnsi="仿宋_GB2312" w:cs="仿宋_GB2312"/>
                <w:kern w:val="0"/>
                <w:sz w:val="22"/>
                <w:szCs w:val="22"/>
              </w:rPr>
            </w:pPr>
            <w:r>
              <w:rPr>
                <w:rFonts w:hint="eastAsia" w:ascii="仿宋" w:hAnsi="仿宋" w:eastAsia="仿宋" w:cs="仿宋"/>
                <w:kern w:val="0"/>
                <w:sz w:val="24"/>
              </w:rPr>
              <w:t>金额（大写）：</w:t>
            </w:r>
            <w:r>
              <w:rPr>
                <w:rFonts w:hint="eastAsia" w:ascii="仿宋" w:hAnsi="仿宋" w:eastAsia="仿宋" w:cs="仿宋"/>
                <w:kern w:val="0"/>
                <w:sz w:val="24"/>
                <w:u w:val="single"/>
              </w:rPr>
              <w:t xml:space="preserve"> 贰拾万元整 </w:t>
            </w:r>
            <w:r>
              <w:rPr>
                <w:rFonts w:hint="eastAsia" w:ascii="仿宋_GB2312" w:hAnsi="仿宋_GB2312" w:cs="仿宋_GB2312"/>
                <w:kern w:val="0"/>
                <w:sz w:val="22"/>
                <w:szCs w:val="22"/>
              </w:rPr>
              <w:t xml:space="preserve">  </w:t>
            </w:r>
          </w:p>
          <w:p>
            <w:pPr>
              <w:pStyle w:val="93"/>
              <w:spacing w:line="360" w:lineRule="auto"/>
              <w:rPr>
                <w:rFonts w:ascii="仿宋" w:hAnsi="仿宋" w:eastAsia="仿宋" w:cs="仿宋"/>
                <w:kern w:val="0"/>
                <w:sz w:val="24"/>
              </w:rPr>
            </w:pPr>
            <w:r>
              <w:rPr>
                <w:rFonts w:hint="eastAsia" w:ascii="仿宋" w:hAnsi="仿宋" w:eastAsia="仿宋" w:cs="仿宋"/>
                <w:kern w:val="0"/>
                <w:sz w:val="24"/>
              </w:rPr>
              <w:t>投标保证金有效期：应在投标有效期截止日后(90)个日历天有效。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93" w:type="dxa"/>
            <w:vMerge w:val="continue"/>
            <w:tcBorders>
              <w:left w:val="single" w:color="auto" w:sz="4" w:space="0"/>
              <w:right w:val="single" w:color="auto" w:sz="4" w:space="0"/>
            </w:tcBorders>
            <w:vAlign w:val="center"/>
          </w:tcPr>
          <w:p>
            <w:pPr>
              <w:pStyle w:val="175"/>
              <w:spacing w:line="360" w:lineRule="auto"/>
              <w:rPr>
                <w:rFonts w:ascii="仿宋" w:hAnsi="仿宋" w:eastAsia="仿宋" w:cs="仿宋"/>
                <w:kern w:val="0"/>
                <w:sz w:val="24"/>
              </w:rPr>
            </w:pPr>
          </w:p>
        </w:tc>
        <w:tc>
          <w:tcPr>
            <w:tcW w:w="1240" w:type="dxa"/>
            <w:vMerge w:val="continue"/>
            <w:tcBorders>
              <w:left w:val="single" w:color="auto" w:sz="4" w:space="0"/>
              <w:right w:val="single" w:color="auto" w:sz="4" w:space="0"/>
            </w:tcBorders>
            <w:vAlign w:val="center"/>
          </w:tcPr>
          <w:p>
            <w:pPr>
              <w:pStyle w:val="175"/>
              <w:spacing w:line="360" w:lineRule="auto"/>
              <w:rPr>
                <w:rFonts w:ascii="仿宋" w:hAnsi="仿宋" w:eastAsia="仿宋" w:cs="仿宋"/>
                <w:kern w:val="0"/>
                <w:sz w:val="24"/>
              </w:rPr>
            </w:pPr>
          </w:p>
        </w:tc>
        <w:tc>
          <w:tcPr>
            <w:tcW w:w="6826" w:type="dxa"/>
            <w:tcBorders>
              <w:top w:val="single" w:color="auto" w:sz="4" w:space="0"/>
              <w:left w:val="single" w:color="auto" w:sz="4" w:space="0"/>
              <w:bottom w:val="single" w:color="auto" w:sz="4" w:space="0"/>
              <w:right w:val="single" w:color="auto" w:sz="4" w:space="0"/>
            </w:tcBorders>
            <w:vAlign w:val="center"/>
          </w:tcPr>
          <w:p>
            <w:pPr>
              <w:pStyle w:val="104"/>
              <w:widowControl/>
              <w:autoSpaceDE w:val="0"/>
              <w:autoSpaceDN w:val="0"/>
              <w:spacing w:line="360" w:lineRule="exact"/>
              <w:rPr>
                <w:rFonts w:ascii="仿宋" w:hAnsi="仿宋" w:eastAsia="仿宋" w:cs="仿宋"/>
                <w:kern w:val="0"/>
                <w:sz w:val="24"/>
                <w:szCs w:val="24"/>
                <w:lang w:bidi="ug-CN"/>
              </w:rPr>
            </w:pPr>
            <w:r>
              <w:rPr>
                <w:rFonts w:hint="eastAsia" w:ascii="仿宋" w:hAnsi="仿宋" w:eastAsia="仿宋" w:cs="仿宋"/>
                <w:kern w:val="0"/>
                <w:sz w:val="24"/>
                <w:szCs w:val="24"/>
                <w:lang w:bidi="ug-CN"/>
              </w:rPr>
              <w:t>招标人指定的开户银行及账号如下：</w:t>
            </w:r>
          </w:p>
          <w:p>
            <w:pPr>
              <w:pStyle w:val="104"/>
              <w:widowControl/>
              <w:autoSpaceDE w:val="0"/>
              <w:autoSpaceDN w:val="0"/>
              <w:spacing w:line="360" w:lineRule="exact"/>
              <w:rPr>
                <w:rFonts w:ascii="仿宋" w:hAnsi="仿宋" w:eastAsia="仿宋" w:cs="仿宋"/>
                <w:kern w:val="0"/>
                <w:sz w:val="24"/>
                <w:szCs w:val="24"/>
                <w:lang w:bidi="ug-CN"/>
              </w:rPr>
            </w:pPr>
            <w:r>
              <w:rPr>
                <w:rFonts w:hint="eastAsia" w:ascii="仿宋" w:hAnsi="仿宋" w:eastAsia="仿宋" w:cs="仿宋"/>
                <w:kern w:val="0"/>
                <w:sz w:val="24"/>
                <w:szCs w:val="24"/>
                <w:lang w:bidi="ug-CN"/>
              </w:rPr>
              <w:t>开户名称:新疆锦辰工程项目管理有限公司</w:t>
            </w:r>
          </w:p>
          <w:p>
            <w:pPr>
              <w:pStyle w:val="104"/>
              <w:widowControl/>
              <w:autoSpaceDE w:val="0"/>
              <w:autoSpaceDN w:val="0"/>
              <w:spacing w:line="360" w:lineRule="exact"/>
              <w:rPr>
                <w:rFonts w:ascii="仿宋" w:hAnsi="仿宋" w:eastAsia="仿宋" w:cs="仿宋"/>
                <w:kern w:val="0"/>
                <w:sz w:val="24"/>
                <w:szCs w:val="24"/>
                <w:lang w:bidi="ug-CN"/>
              </w:rPr>
            </w:pPr>
            <w:r>
              <w:rPr>
                <w:rFonts w:hint="eastAsia" w:ascii="仿宋" w:hAnsi="仿宋" w:eastAsia="仿宋" w:cs="仿宋"/>
                <w:kern w:val="0"/>
                <w:sz w:val="24"/>
                <w:szCs w:val="24"/>
                <w:lang w:bidi="ug-CN"/>
              </w:rPr>
              <w:t>银行名称:中国银行股份有限公司喀什市解放南路支行</w:t>
            </w:r>
          </w:p>
          <w:p>
            <w:pPr>
              <w:pStyle w:val="104"/>
              <w:widowControl/>
              <w:autoSpaceDE w:val="0"/>
              <w:autoSpaceDN w:val="0"/>
              <w:spacing w:line="360" w:lineRule="exact"/>
              <w:rPr>
                <w:rFonts w:ascii="仿宋" w:hAnsi="仿宋" w:eastAsia="仿宋" w:cs="仿宋"/>
                <w:kern w:val="0"/>
                <w:sz w:val="24"/>
                <w:szCs w:val="24"/>
                <w:lang w:bidi="ug-CN"/>
              </w:rPr>
            </w:pPr>
            <w:r>
              <w:rPr>
                <w:rFonts w:hint="eastAsia" w:ascii="仿宋" w:hAnsi="仿宋" w:eastAsia="仿宋" w:cs="仿宋"/>
                <w:kern w:val="0"/>
                <w:sz w:val="24"/>
                <w:szCs w:val="24"/>
                <w:lang w:bidi="ug-CN"/>
              </w:rPr>
              <w:t>行    号:104894001046</w:t>
            </w:r>
          </w:p>
          <w:p>
            <w:pPr>
              <w:pStyle w:val="104"/>
              <w:widowControl/>
              <w:autoSpaceDE w:val="0"/>
              <w:autoSpaceDN w:val="0"/>
              <w:spacing w:line="360" w:lineRule="exact"/>
              <w:rPr>
                <w:rFonts w:ascii="仿宋" w:hAnsi="仿宋" w:eastAsia="仿宋" w:cs="仿宋"/>
                <w:kern w:val="0"/>
                <w:sz w:val="24"/>
                <w:szCs w:val="24"/>
                <w:lang w:bidi="ug-CN"/>
              </w:rPr>
            </w:pPr>
            <w:r>
              <w:rPr>
                <w:rFonts w:hint="eastAsia" w:ascii="仿宋" w:hAnsi="仿宋" w:eastAsia="仿宋" w:cs="仿宋"/>
                <w:kern w:val="0"/>
                <w:sz w:val="24"/>
                <w:szCs w:val="24"/>
                <w:lang w:bidi="ug-CN"/>
              </w:rPr>
              <w:t>开户银行地址:中国银行股份有限公司喀什市解放南路支行</w:t>
            </w:r>
          </w:p>
          <w:p>
            <w:pPr>
              <w:pStyle w:val="104"/>
              <w:widowControl/>
              <w:autoSpaceDE w:val="0"/>
              <w:autoSpaceDN w:val="0"/>
              <w:spacing w:line="360" w:lineRule="exact"/>
              <w:rPr>
                <w:rFonts w:ascii="仿宋" w:hAnsi="仿宋" w:eastAsia="仿宋" w:cs="仿宋"/>
                <w:sz w:val="24"/>
                <w:szCs w:val="24"/>
              </w:rPr>
            </w:pPr>
            <w:r>
              <w:rPr>
                <w:rFonts w:hint="eastAsia" w:ascii="仿宋" w:hAnsi="仿宋" w:eastAsia="仿宋" w:cs="仿宋"/>
                <w:kern w:val="0"/>
                <w:sz w:val="24"/>
                <w:szCs w:val="24"/>
                <w:lang w:bidi="ug-CN"/>
              </w:rPr>
              <w:t>银行账号:107081419960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3" w:type="dxa"/>
            <w:vMerge w:val="continue"/>
            <w:tcBorders>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kern w:val="0"/>
                <w:sz w:val="24"/>
              </w:rPr>
            </w:pPr>
          </w:p>
        </w:tc>
        <w:tc>
          <w:tcPr>
            <w:tcW w:w="1240" w:type="dxa"/>
            <w:vMerge w:val="continue"/>
            <w:tcBorders>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kern w:val="0"/>
                <w:sz w:val="24"/>
              </w:rPr>
            </w:pPr>
          </w:p>
        </w:tc>
        <w:tc>
          <w:tcPr>
            <w:tcW w:w="6826" w:type="dxa"/>
            <w:tcBorders>
              <w:top w:val="single" w:color="auto" w:sz="4" w:space="0"/>
              <w:left w:val="single" w:color="auto" w:sz="4" w:space="0"/>
              <w:bottom w:val="single" w:color="auto" w:sz="4" w:space="0"/>
              <w:right w:val="single" w:color="auto" w:sz="4" w:space="0"/>
            </w:tcBorders>
            <w:vAlign w:val="center"/>
          </w:tcPr>
          <w:p>
            <w:pPr>
              <w:pStyle w:val="114"/>
              <w:spacing w:line="362" w:lineRule="auto"/>
              <w:ind w:right="76"/>
              <w:rPr>
                <w:rFonts w:ascii="仿宋" w:hAnsi="仿宋" w:eastAsia="仿宋" w:cs="仿宋"/>
                <w:sz w:val="24"/>
                <w:lang w:val="en-US"/>
              </w:rPr>
            </w:pPr>
            <w:r>
              <w:rPr>
                <w:rFonts w:hint="eastAsia" w:ascii="仿宋" w:hAnsi="仿宋" w:eastAsia="仿宋" w:cs="仿宋"/>
                <w:sz w:val="24"/>
                <w:lang w:val="en-US"/>
              </w:rPr>
              <w:t>供应商</w:t>
            </w:r>
            <w:r>
              <w:rPr>
                <w:rFonts w:hint="eastAsia" w:ascii="仿宋" w:hAnsi="仿宋" w:eastAsia="仿宋" w:cs="仿宋"/>
                <w:sz w:val="24"/>
              </w:rPr>
              <w:t>以支票、汇票、本票或者金融机构、担保机构出具的保函、电汇、网银转账等非现金形式提交</w:t>
            </w:r>
            <w:r>
              <w:rPr>
                <w:rFonts w:hint="eastAsia" w:ascii="仿宋" w:hAnsi="仿宋" w:eastAsia="仿宋" w:cs="仿宋"/>
                <w:sz w:val="24"/>
                <w:lang w:val="en-US"/>
              </w:rPr>
              <w:t>磋商</w:t>
            </w:r>
            <w:r>
              <w:rPr>
                <w:rFonts w:hint="eastAsia" w:ascii="仿宋" w:hAnsi="仿宋" w:eastAsia="仿宋" w:cs="仿宋"/>
                <w:sz w:val="24"/>
              </w:rPr>
              <w:t>保证金</w:t>
            </w:r>
            <w:r>
              <w:rPr>
                <w:rFonts w:hint="eastAsia" w:ascii="仿宋" w:hAnsi="仿宋" w:eastAsia="仿宋" w:cs="仿宋"/>
                <w:sz w:val="24"/>
                <w:lang w:val="en-US"/>
              </w:rPr>
              <w:t>的注意事项如下：</w:t>
            </w:r>
          </w:p>
          <w:p>
            <w:pPr>
              <w:pStyle w:val="114"/>
              <w:spacing w:line="362" w:lineRule="auto"/>
              <w:ind w:right="76"/>
              <w:rPr>
                <w:rFonts w:ascii="仿宋" w:hAnsi="仿宋" w:eastAsia="仿宋" w:cs="仿宋"/>
                <w:b/>
                <w:bCs/>
                <w:sz w:val="24"/>
                <w:u w:val="single"/>
              </w:rPr>
            </w:pPr>
            <w:r>
              <w:rPr>
                <w:rFonts w:hint="eastAsia" w:ascii="仿宋" w:hAnsi="仿宋" w:eastAsia="仿宋" w:cs="仿宋"/>
                <w:sz w:val="24"/>
                <w:lang w:val="en-US"/>
              </w:rPr>
              <w:t>（1）磋商保证金单位名称必须与投标人登记的单位名称一致,不得以分公司、办事处或其或其他机构名义交纳,否则其投标将被拒绝。</w:t>
            </w:r>
          </w:p>
          <w:p>
            <w:pPr>
              <w:pStyle w:val="114"/>
              <w:spacing w:line="362" w:lineRule="auto"/>
              <w:ind w:left="112" w:right="76"/>
              <w:rPr>
                <w:rFonts w:ascii="仿宋" w:hAnsi="仿宋" w:eastAsia="仿宋" w:cs="仿宋"/>
                <w:sz w:val="24"/>
                <w:lang w:val="en-US"/>
              </w:rPr>
            </w:pPr>
            <w:r>
              <w:rPr>
                <w:rFonts w:hint="eastAsia" w:ascii="仿宋" w:hAnsi="仿宋" w:eastAsia="仿宋" w:cs="仿宋"/>
                <w:sz w:val="24"/>
                <w:lang w:val="en-US"/>
              </w:rPr>
              <w:t>(2)投标人须在投标截止时间前由投标单位账户一次性汇入招标文件指定帐号（以新疆锦辰工程项目管理有限公司保证金账户到账时间为准）,投标人须自行评估因异地、跨行、公休日等因素造成的投标保证金到账延迟风险,并承担相应责任。</w:t>
            </w:r>
          </w:p>
          <w:p>
            <w:pPr>
              <w:pStyle w:val="114"/>
              <w:spacing w:line="362" w:lineRule="auto"/>
              <w:ind w:left="112" w:right="76"/>
              <w:rPr>
                <w:rFonts w:ascii="仿宋" w:hAnsi="仿宋" w:eastAsia="仿宋" w:cs="仿宋"/>
                <w:sz w:val="24"/>
                <w:lang w:val="en-US"/>
              </w:rPr>
            </w:pPr>
            <w:r>
              <w:rPr>
                <w:rFonts w:hint="eastAsia" w:ascii="仿宋" w:hAnsi="仿宋" w:eastAsia="仿宋" w:cs="仿宋"/>
                <w:sz w:val="24"/>
                <w:lang w:val="en-US"/>
              </w:rPr>
              <w:t>（3）</w:t>
            </w:r>
            <w:r>
              <w:rPr>
                <w:rFonts w:hint="eastAsia" w:ascii="仿宋" w:hAnsi="仿宋" w:eastAsia="仿宋" w:cs="仿宋"/>
                <w:b/>
                <w:bCs/>
                <w:sz w:val="24"/>
                <w:lang w:val="en-US"/>
              </w:rPr>
              <w:t>投标人请自行查询是否到账,投标人以网银转账、电汇汇款方式缴纳磋商</w:t>
            </w:r>
            <w:r>
              <w:rPr>
                <w:rFonts w:hint="eastAsia" w:ascii="仿宋" w:hAnsi="仿宋" w:eastAsia="仿宋" w:cs="仿宋"/>
                <w:b/>
                <w:bCs/>
                <w:sz w:val="24"/>
              </w:rPr>
              <w:t>保证金</w:t>
            </w:r>
            <w:r>
              <w:rPr>
                <w:rFonts w:hint="eastAsia" w:ascii="仿宋" w:hAnsi="仿宋" w:eastAsia="仿宋" w:cs="仿宋"/>
                <w:b/>
                <w:bCs/>
                <w:sz w:val="24"/>
                <w:lang w:val="en-US"/>
              </w:rPr>
              <w:t>的须从投标人基本账户转出,请备注项目名称或项目编号并提供银行汇款凭证及投标人基本账户开户许可证或基本存款账户信息。</w:t>
            </w:r>
          </w:p>
          <w:p>
            <w:pPr>
              <w:pStyle w:val="114"/>
              <w:spacing w:line="362" w:lineRule="auto"/>
              <w:ind w:left="112" w:right="76"/>
              <w:rPr>
                <w:rFonts w:ascii="仿宋" w:hAnsi="仿宋" w:eastAsia="仿宋" w:cs="仿宋"/>
                <w:sz w:val="24"/>
                <w:lang w:val="en-US"/>
              </w:rPr>
            </w:pPr>
            <w:r>
              <w:rPr>
                <w:rFonts w:hint="eastAsia" w:ascii="仿宋" w:hAnsi="仿宋" w:eastAsia="仿宋" w:cs="仿宋"/>
                <w:sz w:val="24"/>
                <w:lang w:val="en-US"/>
              </w:rPr>
              <w:t>（4）</w:t>
            </w:r>
            <w:r>
              <w:rPr>
                <w:rFonts w:hint="eastAsia" w:ascii="仿宋" w:hAnsi="仿宋" w:eastAsia="仿宋" w:cs="仿宋"/>
                <w:b/>
                <w:bCs/>
                <w:sz w:val="24"/>
                <w:lang w:val="en-US"/>
              </w:rPr>
              <w:t>采用银行保函缴纳的，应出具保函的银行级别（应为国有商业银行或股份制商业银行的支行及其以上的银行）及保函的有效期。</w:t>
            </w:r>
            <w:r>
              <w:rPr>
                <w:rFonts w:hint="eastAsia" w:ascii="仿宋" w:hAnsi="仿宋" w:eastAsia="仿宋" w:cs="仿宋"/>
                <w:sz w:val="24"/>
                <w:lang w:val="en-US"/>
              </w:rPr>
              <w:t xml:space="preserve"> </w:t>
            </w:r>
          </w:p>
          <w:p>
            <w:pPr>
              <w:pStyle w:val="104"/>
              <w:widowControl/>
              <w:autoSpaceDE w:val="0"/>
              <w:autoSpaceDN w:val="0"/>
              <w:spacing w:line="360" w:lineRule="auto"/>
              <w:rPr>
                <w:rFonts w:ascii="仿宋" w:hAnsi="仿宋" w:eastAsia="仿宋" w:cs="仿宋"/>
                <w:b/>
                <w:bCs/>
                <w:sz w:val="24"/>
                <w:szCs w:val="24"/>
                <w:u w:val="single"/>
              </w:rPr>
            </w:pPr>
            <w:r>
              <w:rPr>
                <w:rFonts w:hint="eastAsia" w:ascii="仿宋" w:hAnsi="仿宋" w:eastAsia="仿宋" w:cs="仿宋"/>
                <w:b/>
                <w:bCs/>
                <w:kern w:val="0"/>
                <w:sz w:val="24"/>
                <w:szCs w:val="24"/>
                <w:u w:val="single"/>
              </w:rPr>
              <w:t>☆注:投标人未按照招标文件上述要求提交磋商保证金的,投标将被否决。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15</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bCs/>
                <w:sz w:val="24"/>
              </w:rPr>
              <w:t>采购项目需要落实的政府采购政策</w:t>
            </w:r>
          </w:p>
        </w:tc>
        <w:tc>
          <w:tcPr>
            <w:tcW w:w="6826" w:type="dxa"/>
            <w:tcBorders>
              <w:top w:val="single" w:color="auto" w:sz="4" w:space="0"/>
              <w:left w:val="single" w:color="auto" w:sz="4" w:space="0"/>
              <w:bottom w:val="single" w:color="auto" w:sz="4" w:space="0"/>
              <w:right w:val="single" w:color="auto" w:sz="4" w:space="0"/>
            </w:tcBorders>
            <w:vAlign w:val="center"/>
          </w:tcPr>
          <w:p>
            <w:pPr>
              <w:pStyle w:val="103"/>
              <w:numPr>
                <w:ilvl w:val="0"/>
                <w:numId w:val="5"/>
              </w:numPr>
              <w:spacing w:line="360" w:lineRule="auto"/>
              <w:rPr>
                <w:rFonts w:ascii="仿宋" w:hAnsi="仿宋" w:eastAsia="仿宋" w:cs="仿宋"/>
                <w:kern w:val="0"/>
                <w:sz w:val="24"/>
                <w:szCs w:val="24"/>
              </w:rPr>
            </w:pPr>
            <w:r>
              <w:rPr>
                <w:rFonts w:hint="eastAsia" w:ascii="仿宋" w:hAnsi="仿宋" w:eastAsia="仿宋" w:cs="仿宋"/>
                <w:kern w:val="0"/>
                <w:sz w:val="24"/>
                <w:szCs w:val="24"/>
              </w:rPr>
              <w:t>促进中小企业发展政策：根据《政府采购促进中小企业发展管理办法》（财库[2020]46号文）规定，本项目投标人所投服务全部由小型或微型企业承接的。投标人应出具招标文件中要求的《中小企业声明函》，否则评审时不予认可。投标人应对提交的中小企业声明函的真实性负责，提交的中小企业声明函不真实的，应承担相应的法律责任。</w:t>
            </w:r>
          </w:p>
          <w:p>
            <w:pPr>
              <w:pStyle w:val="103"/>
              <w:spacing w:line="360" w:lineRule="auto"/>
              <w:rPr>
                <w:rFonts w:ascii="仿宋" w:hAnsi="仿宋" w:eastAsia="仿宋" w:cs="仿宋"/>
                <w:kern w:val="0"/>
                <w:sz w:val="24"/>
                <w:szCs w:val="24"/>
              </w:rPr>
            </w:pPr>
            <w:r>
              <w:rPr>
                <w:rFonts w:hint="eastAsia" w:ascii="仿宋" w:hAnsi="仿宋" w:eastAsia="仿宋" w:cs="仿宋"/>
                <w:kern w:val="0"/>
                <w:sz w:val="24"/>
                <w:szCs w:val="24"/>
              </w:rPr>
              <w:t>注：价格扣除办法：本项目对小型和微型企业服务的价格给予</w:t>
            </w:r>
            <w:r>
              <w:rPr>
                <w:rFonts w:hint="eastAsia" w:ascii="仿宋" w:hAnsi="仿宋" w:eastAsia="仿宋" w:cs="仿宋"/>
                <w:kern w:val="0"/>
                <w:sz w:val="24"/>
                <w:szCs w:val="24"/>
                <w:u w:val="single"/>
              </w:rPr>
              <w:t>6%</w:t>
            </w:r>
            <w:r>
              <w:rPr>
                <w:rFonts w:hint="eastAsia" w:ascii="仿宋" w:hAnsi="仿宋" w:eastAsia="仿宋" w:cs="仿宋"/>
                <w:kern w:val="0"/>
                <w:sz w:val="24"/>
                <w:szCs w:val="24"/>
              </w:rPr>
              <w:t>的扣除，用扣除后的价格参与价格分的评审。</w:t>
            </w:r>
          </w:p>
          <w:p>
            <w:pPr>
              <w:pStyle w:val="103"/>
              <w:spacing w:line="360" w:lineRule="auto"/>
              <w:rPr>
                <w:rFonts w:ascii="仿宋" w:hAnsi="仿宋" w:eastAsia="仿宋" w:cs="仿宋"/>
                <w:kern w:val="0"/>
                <w:sz w:val="24"/>
                <w:szCs w:val="24"/>
              </w:rPr>
            </w:pPr>
            <w:r>
              <w:rPr>
                <w:rFonts w:hint="eastAsia" w:ascii="仿宋" w:hAnsi="仿宋" w:eastAsia="仿宋" w:cs="仿宋"/>
                <w:kern w:val="0"/>
                <w:sz w:val="24"/>
                <w:szCs w:val="24"/>
              </w:rPr>
              <w:t>（2）监狱企业扶持政策：依据财政部 司法部《关于政府采购支持监狱企业发展有关问题的通知》（财库[2014]68号）的规定，监狱企业视同小型、微型企业，享受预留份额、评审中价格扣除等促进中小企业发展的政府采购政策。监狱企业应当提供由省级以上监狱管理局、戒毒管理局(含新疆生产建设兵团)出具的属于监狱企业的证明文件。</w:t>
            </w:r>
          </w:p>
          <w:p>
            <w:pPr>
              <w:pStyle w:val="103"/>
              <w:spacing w:line="360" w:lineRule="auto"/>
              <w:rPr>
                <w:rFonts w:ascii="仿宋" w:hAnsi="仿宋" w:eastAsia="仿宋" w:cs="仿宋"/>
                <w:kern w:val="0"/>
                <w:sz w:val="24"/>
                <w:szCs w:val="24"/>
              </w:rPr>
            </w:pPr>
            <w:r>
              <w:rPr>
                <w:rFonts w:hint="eastAsia" w:ascii="仿宋" w:hAnsi="仿宋" w:eastAsia="仿宋" w:cs="仿宋"/>
                <w:kern w:val="0"/>
                <w:sz w:val="24"/>
                <w:szCs w:val="24"/>
              </w:rPr>
              <w:t>（3）促进残疾人就业政府采购政策：依据财政部 民政部 中国残疾人联合会《关于促进残疾人就业政府采购政策的通知》（财库[2017]141号）的规定，残疾人福利性单位视同小型、微型企业，享受预留份额、评审中价格扣除等促进中小企业发展的政府采购政策。</w:t>
            </w:r>
          </w:p>
          <w:p>
            <w:pPr>
              <w:pStyle w:val="103"/>
              <w:spacing w:line="360" w:lineRule="auto"/>
              <w:rPr>
                <w:rFonts w:ascii="仿宋" w:hAnsi="仿宋" w:eastAsia="仿宋" w:cs="仿宋"/>
                <w:kern w:val="0"/>
                <w:sz w:val="24"/>
                <w:szCs w:val="24"/>
              </w:rPr>
            </w:pPr>
            <w:r>
              <w:rPr>
                <w:rFonts w:hint="eastAsia" w:ascii="仿宋" w:hAnsi="仿宋" w:eastAsia="仿宋" w:cs="仿宋"/>
                <w:kern w:val="0"/>
                <w:sz w:val="24"/>
                <w:szCs w:val="24"/>
              </w:rPr>
              <w:t>注：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5"/>
              <w:snapToGrid w:val="0"/>
              <w:spacing w:line="360" w:lineRule="auto"/>
              <w:rPr>
                <w:rFonts w:ascii="仿宋" w:hAnsi="仿宋" w:eastAsia="仿宋" w:cs="仿宋"/>
                <w:sz w:val="24"/>
              </w:rPr>
            </w:pPr>
            <w:r>
              <w:rPr>
                <w:rFonts w:hint="eastAsia" w:ascii="仿宋" w:hAnsi="仿宋" w:eastAsia="仿宋" w:cs="仿宋"/>
                <w:sz w:val="24"/>
              </w:rPr>
              <w:t>（4）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pPr>
              <w:pStyle w:val="175"/>
              <w:snapToGrid w:val="0"/>
              <w:spacing w:line="360" w:lineRule="auto"/>
              <w:rPr>
                <w:rFonts w:ascii="仿宋" w:hAnsi="仿宋" w:eastAsia="仿宋" w:cs="仿宋"/>
                <w:kern w:val="0"/>
                <w:sz w:val="24"/>
              </w:rPr>
            </w:pPr>
            <w:r>
              <w:rPr>
                <w:rFonts w:hint="eastAsia" w:ascii="仿宋" w:hAnsi="仿宋" w:eastAsia="仿宋" w:cs="仿宋"/>
                <w:sz w:val="24"/>
              </w:rPr>
              <w:t>（5）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16</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技术部分是否采用</w:t>
            </w:r>
          </w:p>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“暗标”评审方式</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kern w:val="0"/>
                <w:sz w:val="24"/>
              </w:rPr>
            </w:pPr>
            <w:bookmarkStart w:id="27" w:name="EB6b9b19d6907e432b9afa43d195c134f7"/>
            <w:bookmarkEnd w:id="27"/>
            <w:r>
              <w:rPr>
                <w:rFonts w:hint="eastAsia" w:ascii="仿宋" w:hAnsi="仿宋" w:eastAsia="仿宋" w:cs="仿宋"/>
                <w:kern w:val="0"/>
                <w:sz w:val="24"/>
              </w:rPr>
              <w:t>☑ 否</w:t>
            </w:r>
          </w:p>
          <w:p>
            <w:pPr>
              <w:pStyle w:val="175"/>
              <w:spacing w:line="360" w:lineRule="auto"/>
              <w:rPr>
                <w:rFonts w:ascii="仿宋" w:hAnsi="仿宋" w:eastAsia="仿宋" w:cs="仿宋"/>
                <w:kern w:val="0"/>
                <w:sz w:val="24"/>
              </w:rPr>
            </w:pPr>
            <w:r>
              <w:rPr>
                <w:rFonts w:hint="eastAsia" w:ascii="仿宋" w:hAnsi="仿宋" w:eastAsia="仿宋" w:cs="仿宋"/>
                <w:kern w:val="0"/>
                <w:sz w:val="24"/>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17</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评审方法</w:t>
            </w:r>
          </w:p>
        </w:tc>
        <w:tc>
          <w:tcPr>
            <w:tcW w:w="6826" w:type="dxa"/>
            <w:tcBorders>
              <w:top w:val="single" w:color="auto" w:sz="4" w:space="0"/>
              <w:left w:val="single" w:color="auto" w:sz="4" w:space="0"/>
              <w:bottom w:val="single" w:color="auto" w:sz="4" w:space="0"/>
              <w:right w:val="single" w:color="auto" w:sz="4" w:space="0"/>
            </w:tcBorders>
            <w:vAlign w:val="center"/>
          </w:tcPr>
          <w:p>
            <w:pPr>
              <w:pStyle w:val="103"/>
              <w:spacing w:line="360" w:lineRule="auto"/>
              <w:rPr>
                <w:rFonts w:hint="eastAsia" w:ascii="仿宋" w:hAnsi="仿宋" w:eastAsia="仿宋" w:cs="仿宋"/>
                <w:kern w:val="0"/>
                <w:sz w:val="24"/>
                <w:szCs w:val="24"/>
                <w:lang w:val="zh-CN" w:eastAsia="zh-CN" w:bidi="zh-CN"/>
              </w:rPr>
            </w:pPr>
            <w:bookmarkStart w:id="28" w:name="EB2e2814636ed449638e31aec0b86a9c79"/>
            <w:bookmarkEnd w:id="28"/>
            <w:r>
              <w:rPr>
                <w:rFonts w:hint="eastAsia" w:ascii="仿宋" w:hAnsi="仿宋" w:eastAsia="仿宋" w:cs="仿宋"/>
                <w:kern w:val="0"/>
                <w:sz w:val="24"/>
                <w:szCs w:val="24"/>
                <w:lang w:val="zh-CN" w:eastAsia="zh-CN" w:bidi="zh-CN"/>
              </w:rPr>
              <w:sym w:font="Wingdings 2" w:char="0052"/>
            </w:r>
            <w:r>
              <w:rPr>
                <w:rFonts w:hint="eastAsia" w:ascii="仿宋" w:hAnsi="仿宋" w:eastAsia="仿宋" w:cs="仿宋"/>
                <w:kern w:val="0"/>
                <w:sz w:val="24"/>
                <w:szCs w:val="24"/>
                <w:lang w:val="zh-CN" w:eastAsia="zh-CN" w:bidi="zh-CN"/>
              </w:rPr>
              <w:t xml:space="preserve"> 资格后审         </w:t>
            </w:r>
            <w:bookmarkStart w:id="29" w:name="EB5195853e4e84408dabe7b38250913457"/>
            <w:bookmarkEnd w:id="29"/>
            <w:r>
              <w:rPr>
                <w:rFonts w:hint="eastAsia" w:ascii="仿宋" w:hAnsi="仿宋" w:eastAsia="仿宋" w:cs="仿宋"/>
                <w:kern w:val="0"/>
                <w:sz w:val="24"/>
                <w:szCs w:val="24"/>
                <w:lang w:val="zh-CN" w:eastAsia="zh-CN" w:bidi="zh-CN"/>
              </w:rPr>
              <w:t>☐资格预审</w:t>
            </w:r>
          </w:p>
          <w:p>
            <w:pPr>
              <w:pStyle w:val="103"/>
              <w:spacing w:line="360" w:lineRule="auto"/>
              <w:rPr>
                <w:rFonts w:hint="eastAsia" w:ascii="仿宋" w:hAnsi="仿宋" w:eastAsia="仿宋" w:cs="仿宋"/>
                <w:kern w:val="0"/>
                <w:sz w:val="24"/>
                <w:szCs w:val="24"/>
                <w:lang w:val="zh-CN" w:eastAsia="zh-CN" w:bidi="zh-CN"/>
              </w:rPr>
            </w:pPr>
            <w:bookmarkStart w:id="30" w:name="EB5c39ed08c4e342aeacec8cbe6387f2ef"/>
            <w:bookmarkEnd w:id="30"/>
            <w:r>
              <w:rPr>
                <w:rFonts w:hint="eastAsia" w:ascii="仿宋" w:hAnsi="仿宋" w:eastAsia="仿宋" w:cs="仿宋"/>
                <w:kern w:val="0"/>
                <w:sz w:val="24"/>
                <w:szCs w:val="24"/>
                <w:lang w:val="zh-CN" w:eastAsia="zh-CN" w:bidi="zh-CN"/>
              </w:rPr>
              <w:sym w:font="Wingdings 2" w:char="00A3"/>
            </w:r>
            <w:r>
              <w:rPr>
                <w:rFonts w:hint="eastAsia" w:ascii="仿宋" w:hAnsi="仿宋" w:eastAsia="仿宋" w:cs="仿宋"/>
                <w:kern w:val="0"/>
                <w:sz w:val="24"/>
                <w:szCs w:val="24"/>
                <w:lang w:val="zh-CN" w:eastAsia="zh-CN" w:bidi="zh-CN"/>
              </w:rPr>
              <w:t xml:space="preserve"> 综合评分法       </w:t>
            </w:r>
            <w:bookmarkStart w:id="31" w:name="EB133c7794490f47f2984bbb8eeafc51a9"/>
            <w:bookmarkEnd w:id="31"/>
            <w:r>
              <w:rPr>
                <w:rFonts w:hint="eastAsia" w:ascii="仿宋" w:hAnsi="仿宋" w:eastAsia="仿宋" w:cs="仿宋"/>
                <w:kern w:val="0"/>
                <w:sz w:val="24"/>
                <w:szCs w:val="24"/>
                <w:lang w:val="zh-CN" w:eastAsia="zh-CN" w:bidi="zh-CN"/>
              </w:rPr>
              <w:sym w:font="Wingdings 2" w:char="00A3"/>
            </w:r>
            <w:r>
              <w:rPr>
                <w:rFonts w:hint="eastAsia" w:ascii="仿宋" w:hAnsi="仿宋" w:eastAsia="仿宋" w:cs="仿宋"/>
                <w:kern w:val="0"/>
                <w:sz w:val="24"/>
                <w:szCs w:val="24"/>
                <w:lang w:val="zh-CN" w:eastAsia="zh-CN" w:bidi="zh-CN"/>
              </w:rPr>
              <w:t>最低评标价法</w:t>
            </w:r>
          </w:p>
          <w:p>
            <w:pPr>
              <w:pStyle w:val="91"/>
              <w:rPr>
                <w:rFonts w:hint="default" w:eastAsia="仿宋"/>
                <w:lang w:val="en-US" w:eastAsia="zh-CN"/>
              </w:rPr>
            </w:pPr>
            <w:r>
              <w:rPr>
                <w:rFonts w:hint="eastAsia" w:ascii="仿宋" w:hAnsi="仿宋" w:eastAsia="仿宋" w:cs="仿宋"/>
                <w:kern w:val="0"/>
                <w:sz w:val="24"/>
                <w:szCs w:val="24"/>
                <w:lang w:val="zh-CN" w:eastAsia="zh-CN" w:bidi="zh-CN"/>
              </w:rPr>
              <w:sym w:font="Wingdings 2" w:char="0052"/>
            </w:r>
            <w:r>
              <w:rPr>
                <w:rFonts w:hint="eastAsia" w:ascii="仿宋" w:hAnsi="仿宋" w:eastAsia="仿宋" w:cs="仿宋"/>
                <w:kern w:val="0"/>
                <w:sz w:val="24"/>
                <w:szCs w:val="24"/>
                <w:lang w:val="en-US" w:eastAsia="zh-CN" w:bidi="zh-CN"/>
              </w:rPr>
              <w:t>单一来源协商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93" w:type="dxa"/>
            <w:vMerge w:val="restart"/>
            <w:tcBorders>
              <w:top w:val="single" w:color="auto" w:sz="4" w:space="0"/>
              <w:left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18</w:t>
            </w:r>
          </w:p>
        </w:tc>
        <w:tc>
          <w:tcPr>
            <w:tcW w:w="1240" w:type="dxa"/>
            <w:vMerge w:val="restart"/>
            <w:tcBorders>
              <w:top w:val="single" w:color="auto" w:sz="4" w:space="0"/>
              <w:left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履约保证金</w:t>
            </w:r>
          </w:p>
        </w:tc>
        <w:tc>
          <w:tcPr>
            <w:tcW w:w="6826" w:type="dxa"/>
            <w:tcBorders>
              <w:top w:val="single" w:color="auto" w:sz="4" w:space="0"/>
              <w:left w:val="single" w:color="auto" w:sz="4" w:space="0"/>
              <w:bottom w:val="single" w:color="auto" w:sz="4" w:space="0"/>
              <w:right w:val="single" w:color="auto" w:sz="4" w:space="0"/>
            </w:tcBorders>
          </w:tcPr>
          <w:p>
            <w:pPr>
              <w:pStyle w:val="114"/>
              <w:spacing w:line="360" w:lineRule="auto"/>
              <w:rPr>
                <w:rFonts w:ascii="仿宋" w:hAnsi="仿宋" w:eastAsia="仿宋" w:cs="仿宋"/>
                <w:sz w:val="24"/>
              </w:rPr>
            </w:pPr>
            <w:r>
              <w:rPr>
                <w:rFonts w:hint="eastAsia" w:ascii="仿宋" w:hAnsi="仿宋" w:eastAsia="仿宋" w:cs="仿宋"/>
                <w:sz w:val="24"/>
              </w:rPr>
              <w:t>履约保证金的交纳必须以公对公账户进行支票、汇票、本票或者金融机构、担保机构出具的保函、电汇、网银转账等非现金形式提交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93" w:type="dxa"/>
            <w:vMerge w:val="continue"/>
            <w:tcBorders>
              <w:left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p>
        </w:tc>
        <w:tc>
          <w:tcPr>
            <w:tcW w:w="1240" w:type="dxa"/>
            <w:vMerge w:val="continue"/>
            <w:tcBorders>
              <w:left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p>
        </w:tc>
        <w:tc>
          <w:tcPr>
            <w:tcW w:w="6826" w:type="dxa"/>
            <w:tcBorders>
              <w:top w:val="single" w:color="auto" w:sz="4" w:space="0"/>
              <w:left w:val="single" w:color="auto" w:sz="4" w:space="0"/>
              <w:bottom w:val="single" w:color="auto" w:sz="4" w:space="0"/>
              <w:right w:val="single" w:color="auto" w:sz="4" w:space="0"/>
            </w:tcBorders>
          </w:tcPr>
          <w:p>
            <w:pPr>
              <w:pStyle w:val="114"/>
              <w:spacing w:line="360" w:lineRule="auto"/>
              <w:rPr>
                <w:rFonts w:ascii="仿宋" w:hAnsi="仿宋" w:eastAsia="仿宋" w:cs="仿宋"/>
                <w:sz w:val="24"/>
              </w:rPr>
            </w:pPr>
            <w:r>
              <w:rPr>
                <w:rFonts w:hint="eastAsia" w:ascii="仿宋" w:hAnsi="仿宋" w:eastAsia="仿宋" w:cs="仿宋"/>
                <w:sz w:val="24"/>
              </w:rPr>
              <w:t>交纳时</w:t>
            </w:r>
            <w:r>
              <w:rPr>
                <w:rFonts w:hint="eastAsia" w:ascii="仿宋" w:hAnsi="仿宋" w:eastAsia="仿宋" w:cs="仿宋"/>
                <w:sz w:val="24"/>
                <w:lang w:val="en-US"/>
              </w:rPr>
              <w:t>间：中标投标人收到中标成交通知书后（签订合同前）向采购人缴纳。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Merge w:val="continue"/>
            <w:tcBorders>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p>
        </w:tc>
        <w:tc>
          <w:tcPr>
            <w:tcW w:w="1240" w:type="dxa"/>
            <w:vMerge w:val="continue"/>
            <w:tcBorders>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p>
        </w:tc>
        <w:tc>
          <w:tcPr>
            <w:tcW w:w="6826" w:type="dxa"/>
            <w:tcBorders>
              <w:top w:val="single" w:color="auto" w:sz="4" w:space="0"/>
              <w:left w:val="single" w:color="auto" w:sz="4" w:space="0"/>
              <w:bottom w:val="single" w:color="auto" w:sz="4" w:space="0"/>
              <w:right w:val="single" w:color="auto" w:sz="4" w:space="0"/>
            </w:tcBorders>
          </w:tcPr>
          <w:p>
            <w:pPr>
              <w:pStyle w:val="114"/>
              <w:spacing w:line="360" w:lineRule="auto"/>
              <w:rPr>
                <w:rFonts w:ascii="仿宋" w:hAnsi="仿宋" w:eastAsia="仿宋" w:cs="仿宋"/>
                <w:sz w:val="24"/>
                <w:u w:val="single"/>
                <w:lang w:val="en-US"/>
              </w:rPr>
            </w:pPr>
            <w:r>
              <w:rPr>
                <w:rFonts w:hint="eastAsia" w:ascii="仿宋" w:hAnsi="仿宋" w:eastAsia="仿宋" w:cs="仿宋"/>
                <w:sz w:val="24"/>
                <w:lang w:val="en-US"/>
              </w:rPr>
              <w:t>交纳金额：</w:t>
            </w:r>
            <w:r>
              <w:rPr>
                <w:rFonts w:hint="eastAsia" w:ascii="仿宋" w:hAnsi="仿宋" w:eastAsia="仿宋" w:cs="仿宋"/>
                <w:sz w:val="24"/>
                <w:highlight w:val="none"/>
                <w:u w:val="single"/>
                <w:lang w:val="en-US"/>
              </w:rPr>
              <w:t xml:space="preserve">合同总金额的5% </w:t>
            </w:r>
          </w:p>
          <w:p>
            <w:pPr>
              <w:pStyle w:val="93"/>
              <w:spacing w:line="360" w:lineRule="auto"/>
              <w:rPr>
                <w:rFonts w:ascii="仿宋" w:hAnsi="仿宋" w:eastAsia="仿宋" w:cs="仿宋"/>
                <w:sz w:val="24"/>
              </w:rPr>
            </w:pPr>
            <w:r>
              <w:rPr>
                <w:rFonts w:hint="eastAsia" w:ascii="仿宋" w:hAnsi="仿宋" w:eastAsia="仿宋" w:cs="仿宋"/>
                <w:sz w:val="24"/>
              </w:rPr>
              <w:t>收款单位：</w:t>
            </w:r>
            <w:r>
              <w:rPr>
                <w:rFonts w:hint="eastAsia" w:ascii="仿宋" w:hAnsi="仿宋" w:eastAsia="仿宋" w:cs="仿宋"/>
                <w:sz w:val="24"/>
                <w:u w:val="single"/>
              </w:rPr>
              <w:t>签订合同前采购人提供</w:t>
            </w:r>
          </w:p>
          <w:p>
            <w:pPr>
              <w:pStyle w:val="83"/>
              <w:spacing w:after="0" w:line="360" w:lineRule="auto"/>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签订合同前采购人提供</w:t>
            </w:r>
          </w:p>
          <w:p>
            <w:pPr>
              <w:pStyle w:val="114"/>
              <w:spacing w:line="360" w:lineRule="auto"/>
              <w:rPr>
                <w:rFonts w:ascii="仿宋" w:hAnsi="仿宋" w:eastAsia="仿宋" w:cs="仿宋"/>
                <w:sz w:val="24"/>
                <w:u w:val="single"/>
                <w:lang w:val="en-US"/>
              </w:rPr>
            </w:pPr>
            <w:r>
              <w:rPr>
                <w:rFonts w:hint="eastAsia" w:ascii="仿宋" w:hAnsi="仿宋" w:eastAsia="仿宋" w:cs="仿宋"/>
                <w:sz w:val="24"/>
                <w:lang w:val="en-US"/>
              </w:rPr>
              <w:t>银行账号：</w:t>
            </w:r>
            <w:r>
              <w:rPr>
                <w:rFonts w:hint="eastAsia" w:ascii="仿宋" w:hAnsi="仿宋" w:eastAsia="仿宋" w:cs="仿宋"/>
                <w:sz w:val="24"/>
                <w:u w:val="single"/>
                <w:lang w:val="en-US"/>
              </w:rPr>
              <w:t>签订合同前采购人提供</w:t>
            </w:r>
          </w:p>
          <w:p>
            <w:pPr>
              <w:pStyle w:val="114"/>
              <w:spacing w:line="360" w:lineRule="auto"/>
              <w:rPr>
                <w:rFonts w:ascii="仿宋" w:hAnsi="仿宋" w:eastAsia="仿宋" w:cs="仿宋"/>
                <w:sz w:val="24"/>
                <w:u w:val="single"/>
                <w:lang w:val="en-US"/>
              </w:rPr>
            </w:pPr>
            <w:r>
              <w:rPr>
                <w:rFonts w:hint="eastAsia" w:ascii="仿宋" w:hAnsi="仿宋" w:eastAsia="仿宋" w:cs="仿宋"/>
                <w:sz w:val="24"/>
              </w:rPr>
              <w:t>项目完成验收合格后退还。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19</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代理服务费</w:t>
            </w:r>
          </w:p>
        </w:tc>
        <w:tc>
          <w:tcPr>
            <w:tcW w:w="6826" w:type="dxa"/>
            <w:tcBorders>
              <w:top w:val="single" w:color="auto" w:sz="4" w:space="0"/>
              <w:left w:val="single" w:color="auto" w:sz="4" w:space="0"/>
              <w:bottom w:val="single" w:color="auto" w:sz="4" w:space="0"/>
              <w:right w:val="single" w:color="auto" w:sz="4" w:space="0"/>
            </w:tcBorders>
            <w:vAlign w:val="center"/>
          </w:tcPr>
          <w:p>
            <w:pPr>
              <w:pStyle w:val="103"/>
              <w:spacing w:line="360" w:lineRule="auto"/>
              <w:rPr>
                <w:rFonts w:ascii="仿宋" w:hAnsi="仿宋" w:eastAsia="仿宋" w:cs="仿宋"/>
                <w:kern w:val="0"/>
                <w:sz w:val="24"/>
                <w:szCs w:val="24"/>
                <w:lang w:val="zh-CN" w:bidi="zh-CN"/>
              </w:rPr>
            </w:pPr>
            <w:bookmarkStart w:id="32" w:name="EBab54cac318db41e28e6dac8386188fc3"/>
            <w:bookmarkEnd w:id="32"/>
            <w:r>
              <w:rPr>
                <w:rFonts w:hint="eastAsia" w:ascii="仿宋" w:hAnsi="仿宋" w:eastAsia="仿宋" w:cs="仿宋"/>
                <w:kern w:val="0"/>
                <w:sz w:val="24"/>
                <w:szCs w:val="24"/>
                <w:lang w:val="zh-CN" w:bidi="zh-CN"/>
              </w:rPr>
              <w:t>是否由中标投标人缴纳招标代理费:</w:t>
            </w:r>
            <w:r>
              <w:rPr>
                <w:rFonts w:hint="eastAsia" w:ascii="仿宋" w:hAnsi="仿宋" w:eastAsia="仿宋" w:cs="仿宋"/>
                <w:kern w:val="0"/>
                <w:sz w:val="24"/>
                <w:szCs w:val="24"/>
                <w:u w:val="single"/>
                <w:lang w:val="zh-CN" w:bidi="zh-CN"/>
              </w:rPr>
              <w:t xml:space="preserve">  是  </w:t>
            </w:r>
            <w:r>
              <w:rPr>
                <w:rFonts w:hint="eastAsia" w:ascii="仿宋" w:hAnsi="仿宋" w:eastAsia="仿宋" w:cs="仿宋"/>
                <w:kern w:val="0"/>
                <w:sz w:val="24"/>
                <w:szCs w:val="24"/>
                <w:lang w:val="zh-CN" w:bidi="zh-CN"/>
              </w:rPr>
              <w:t>（是、否）</w:t>
            </w:r>
          </w:p>
          <w:p>
            <w:pPr>
              <w:pStyle w:val="114"/>
              <w:spacing w:line="367" w:lineRule="auto"/>
              <w:rPr>
                <w:rFonts w:ascii="仿宋" w:hAnsi="仿宋" w:eastAsia="仿宋" w:cs="仿宋"/>
                <w:sz w:val="24"/>
              </w:rPr>
            </w:pPr>
            <w:r>
              <w:rPr>
                <w:rFonts w:hint="eastAsia" w:ascii="仿宋" w:hAnsi="仿宋" w:eastAsia="仿宋" w:cs="仿宋"/>
                <w:sz w:val="24"/>
              </w:rPr>
              <w:t>交纳时间:中标单位在领取中标通知书</w:t>
            </w:r>
            <w:r>
              <w:rPr>
                <w:rFonts w:hint="eastAsia" w:ascii="仿宋" w:hAnsi="仿宋" w:eastAsia="仿宋" w:cs="仿宋"/>
                <w:sz w:val="24"/>
                <w:lang w:val="en-US"/>
              </w:rPr>
              <w:t>前</w:t>
            </w:r>
            <w:r>
              <w:rPr>
                <w:rFonts w:hint="eastAsia" w:ascii="仿宋" w:hAnsi="仿宋" w:eastAsia="仿宋" w:cs="仿宋"/>
                <w:sz w:val="24"/>
              </w:rPr>
              <w:t>,向招标代理机构一次性缴纳招标代理服务费,招标代理服务费计费基价按照项目</w:t>
            </w:r>
            <w:r>
              <w:rPr>
                <w:rFonts w:hint="eastAsia" w:ascii="仿宋" w:hAnsi="仿宋" w:eastAsia="仿宋" w:cs="仿宋"/>
                <w:b/>
                <w:bCs/>
                <w:sz w:val="24"/>
              </w:rPr>
              <w:t>中标金额</w:t>
            </w:r>
            <w:r>
              <w:rPr>
                <w:rFonts w:hint="eastAsia" w:ascii="仿宋" w:hAnsi="仿宋" w:eastAsia="仿宋" w:cs="仿宋"/>
                <w:sz w:val="24"/>
              </w:rPr>
              <w:t>为准,由中标单位支付。</w:t>
            </w:r>
          </w:p>
          <w:p>
            <w:pPr>
              <w:pStyle w:val="114"/>
              <w:spacing w:line="364" w:lineRule="auto"/>
              <w:rPr>
                <w:rFonts w:ascii="仿宋" w:hAnsi="仿宋" w:eastAsia="仿宋" w:cs="仿宋"/>
                <w:kern w:val="2"/>
                <w:sz w:val="24"/>
                <w:lang w:val="en-US" w:bidi="ar-SA"/>
              </w:rPr>
            </w:pPr>
            <w:r>
              <w:rPr>
                <w:rFonts w:hint="eastAsia" w:ascii="仿宋" w:hAnsi="仿宋" w:eastAsia="仿宋" w:cs="仿宋"/>
                <w:sz w:val="24"/>
              </w:rPr>
              <w:t>本项目招标代理服务收费标准:参</w:t>
            </w:r>
            <w:r>
              <w:rPr>
                <w:rFonts w:hint="eastAsia" w:ascii="仿宋" w:hAnsi="仿宋" w:eastAsia="仿宋" w:cs="仿宋"/>
                <w:kern w:val="2"/>
                <w:sz w:val="24"/>
                <w:lang w:val="en-US" w:bidi="ar-SA"/>
              </w:rPr>
              <w:t>照发改价格〔2015〕299号文件。</w:t>
            </w:r>
          </w:p>
          <w:p>
            <w:pPr>
              <w:pStyle w:val="114"/>
              <w:spacing w:line="364" w:lineRule="auto"/>
              <w:rPr>
                <w:rFonts w:ascii="仿宋" w:hAnsi="仿宋" w:eastAsia="仿宋" w:cs="仿宋"/>
                <w:sz w:val="24"/>
              </w:rPr>
            </w:pPr>
            <w:r>
              <w:rPr>
                <w:rFonts w:hint="eastAsia" w:ascii="仿宋" w:hAnsi="仿宋" w:eastAsia="仿宋" w:cs="仿宋"/>
                <w:sz w:val="24"/>
              </w:rPr>
              <w:t>交纳金额</w:t>
            </w:r>
            <w:r>
              <w:rPr>
                <w:rFonts w:hint="eastAsia" w:ascii="仿宋" w:hAnsi="仿宋" w:eastAsia="仿宋" w:cs="仿宋"/>
                <w:sz w:val="24"/>
                <w:lang w:eastAsia="zh-CN"/>
              </w:rPr>
              <w:t>：</w:t>
            </w:r>
            <w:r>
              <w:rPr>
                <w:rFonts w:hint="eastAsia" w:ascii="仿宋" w:hAnsi="仿宋" w:eastAsia="仿宋" w:cs="仿宋"/>
                <w:sz w:val="24"/>
                <w:lang w:val="en-US" w:eastAsia="zh-CN"/>
              </w:rPr>
              <w:t>小写:</w:t>
            </w:r>
            <w:r>
              <w:rPr>
                <w:rFonts w:hint="eastAsia" w:ascii="仿宋" w:hAnsi="仿宋" w:eastAsia="仿宋" w:cs="仿宋"/>
                <w:sz w:val="24"/>
                <w:u w:val="none"/>
                <w:lang w:val="en-US" w:eastAsia="zh-CN"/>
              </w:rPr>
              <w:t>69500.00元  大写:</w:t>
            </w:r>
            <w:r>
              <w:rPr>
                <w:rFonts w:hint="eastAsia" w:ascii="仿宋" w:hAnsi="仿宋" w:eastAsia="仿宋" w:cs="仿宋"/>
                <w:sz w:val="24"/>
                <w:lang w:val="en-US"/>
              </w:rPr>
              <w:t>陆万玖仟伍佰元整</w:t>
            </w:r>
            <w:r>
              <w:rPr>
                <w:rFonts w:hint="eastAsia" w:ascii="仿宋" w:hAnsi="仿宋" w:eastAsia="仿宋" w:cs="仿宋"/>
                <w:sz w:val="24"/>
              </w:rPr>
              <w:t>。</w:t>
            </w:r>
          </w:p>
          <w:p>
            <w:pPr>
              <w:pStyle w:val="104"/>
              <w:widowControl/>
              <w:autoSpaceDE w:val="0"/>
              <w:autoSpaceDN w:val="0"/>
              <w:spacing w:line="360" w:lineRule="exact"/>
              <w:rPr>
                <w:rFonts w:ascii="仿宋" w:hAnsi="仿宋" w:eastAsia="仿宋" w:cs="仿宋"/>
                <w:sz w:val="24"/>
                <w:szCs w:val="24"/>
              </w:rPr>
            </w:pPr>
            <w:r>
              <w:rPr>
                <w:rFonts w:hint="eastAsia" w:ascii="仿宋" w:hAnsi="仿宋" w:eastAsia="仿宋" w:cs="仿宋"/>
                <w:sz w:val="24"/>
                <w:szCs w:val="24"/>
              </w:rPr>
              <w:t>收款单位:新疆锦辰工程项目管理有限公司</w:t>
            </w:r>
          </w:p>
          <w:p>
            <w:pPr>
              <w:pStyle w:val="93"/>
              <w:spacing w:line="360" w:lineRule="auto"/>
              <w:rPr>
                <w:rFonts w:ascii="仿宋" w:hAnsi="仿宋" w:eastAsia="仿宋" w:cs="仿宋"/>
                <w:sz w:val="24"/>
              </w:rPr>
            </w:pPr>
            <w:r>
              <w:rPr>
                <w:rFonts w:hint="eastAsia" w:ascii="仿宋" w:hAnsi="仿宋" w:eastAsia="仿宋" w:cs="仿宋"/>
                <w:sz w:val="24"/>
              </w:rPr>
              <w:t>银行账号:107081419960</w:t>
            </w:r>
          </w:p>
          <w:p>
            <w:pPr>
              <w:pStyle w:val="93"/>
              <w:spacing w:line="360" w:lineRule="auto"/>
              <w:rPr>
                <w:rFonts w:ascii="仿宋" w:hAnsi="仿宋" w:eastAsia="仿宋" w:cs="仿宋"/>
                <w:sz w:val="24"/>
              </w:rPr>
            </w:pPr>
            <w:r>
              <w:rPr>
                <w:rFonts w:hint="eastAsia" w:ascii="仿宋" w:hAnsi="仿宋" w:eastAsia="仿宋" w:cs="仿宋"/>
                <w:sz w:val="24"/>
              </w:rPr>
              <w:t>开户银行:中国银行股份有限公司喀什市解放南路支行</w:t>
            </w:r>
          </w:p>
          <w:p>
            <w:pPr>
              <w:pStyle w:val="175"/>
              <w:spacing w:line="360" w:lineRule="auto"/>
              <w:rPr>
                <w:rFonts w:ascii="仿宋" w:hAnsi="仿宋" w:eastAsia="仿宋" w:cs="仿宋"/>
                <w:sz w:val="24"/>
              </w:rPr>
            </w:pPr>
            <w:r>
              <w:rPr>
                <w:rFonts w:hint="eastAsia" w:ascii="仿宋" w:hAnsi="仿宋" w:eastAsia="仿宋" w:cs="仿宋"/>
                <w:sz w:val="24"/>
              </w:rPr>
              <w:t>行号:104894001046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20</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场地服务费</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sz w:val="24"/>
              </w:rPr>
            </w:pPr>
            <w:bookmarkStart w:id="33" w:name="EB7dfe3b1190d64d418e01d0e21f4920d5"/>
            <w:bookmarkEnd w:id="33"/>
            <w:r>
              <w:rPr>
                <w:rFonts w:hint="eastAsia" w:ascii="仿宋" w:hAnsi="仿宋" w:eastAsia="仿宋" w:cs="仿宋"/>
                <w:sz w:val="24"/>
              </w:rPr>
              <w:t>☑ 不缴纳</w:t>
            </w:r>
          </w:p>
          <w:p>
            <w:pPr>
              <w:pStyle w:val="175"/>
              <w:spacing w:line="360" w:lineRule="auto"/>
              <w:rPr>
                <w:rFonts w:ascii="仿宋" w:hAnsi="仿宋" w:eastAsia="仿宋" w:cs="仿宋"/>
                <w:sz w:val="24"/>
              </w:rPr>
            </w:pPr>
            <w:bookmarkStart w:id="34" w:name="EBd65399319f7a40bbb8fb3e004ca97d66"/>
            <w:bookmarkEnd w:id="34"/>
            <w:r>
              <w:rPr>
                <w:rFonts w:hint="eastAsia" w:ascii="仿宋" w:hAnsi="仿宋" w:eastAsia="仿宋" w:cs="仿宋"/>
                <w:sz w:val="24"/>
              </w:rPr>
              <w:t>☐ 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21</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争议的解决</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sz w:val="24"/>
              </w:rPr>
            </w:pPr>
            <w:bookmarkStart w:id="35" w:name="EB99761000dd4b46ac86a3f3daaf46418a"/>
            <w:bookmarkEnd w:id="35"/>
            <w:r>
              <w:rPr>
                <w:rFonts w:hint="eastAsia" w:ascii="仿宋" w:hAnsi="仿宋" w:eastAsia="仿宋" w:cs="仿宋"/>
                <w:sz w:val="24"/>
              </w:rPr>
              <w:t>如发生争议由双方协商解决，协商不成向需方所在人民法院提请诉讼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22</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现场陈述</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rPr>
                <w:rFonts w:ascii="仿宋" w:hAnsi="仿宋" w:eastAsia="仿宋" w:cs="仿宋"/>
                <w:sz w:val="24"/>
              </w:rPr>
            </w:pPr>
            <w:bookmarkStart w:id="36" w:name="EBb04aba7a60c0423082f0862a0509ef85"/>
            <w:bookmarkEnd w:id="36"/>
            <w:r>
              <w:rPr>
                <w:rFonts w:hint="eastAsia" w:ascii="仿宋" w:hAnsi="仿宋" w:eastAsia="仿宋" w:cs="仿宋"/>
                <w:sz w:val="24"/>
              </w:rPr>
              <w:t>☑ 不需要</w:t>
            </w:r>
          </w:p>
          <w:p>
            <w:pPr>
              <w:pStyle w:val="175"/>
              <w:spacing w:line="360" w:lineRule="auto"/>
              <w:rPr>
                <w:rFonts w:ascii="仿宋" w:hAnsi="仿宋" w:eastAsia="仿宋" w:cs="仿宋"/>
                <w:sz w:val="24"/>
              </w:rPr>
            </w:pPr>
            <w:r>
              <w:rPr>
                <w:rFonts w:hint="eastAsia" w:ascii="仿宋" w:hAnsi="仿宋" w:eastAsia="仿宋" w:cs="仿宋"/>
                <w:sz w:val="24"/>
              </w:rPr>
              <w:t>☐ 需要,陈述要求如下：</w:t>
            </w:r>
          </w:p>
          <w:p>
            <w:pPr>
              <w:pStyle w:val="175"/>
              <w:autoSpaceDE w:val="0"/>
              <w:autoSpaceDN w:val="0"/>
              <w:adjustRightInd w:val="0"/>
              <w:spacing w:line="360" w:lineRule="auto"/>
              <w:rPr>
                <w:rFonts w:ascii="仿宋" w:hAnsi="仿宋" w:eastAsia="仿宋" w:cs="仿宋"/>
                <w:sz w:val="24"/>
                <w:lang w:val="zh-CN"/>
              </w:rPr>
            </w:pPr>
            <w:r>
              <w:rPr>
                <w:rFonts w:hint="eastAsia" w:ascii="仿宋" w:hAnsi="仿宋" w:eastAsia="仿宋" w:cs="仿宋"/>
                <w:sz w:val="24"/>
                <w:lang w:val="zh-CN"/>
              </w:rPr>
              <w:t>1、陈述内容：</w:t>
            </w:r>
            <w:bookmarkStart w:id="37" w:name="EB6c95caea33e547a589927e2dd5ae55fd"/>
            <w:bookmarkEnd w:id="37"/>
            <w:r>
              <w:rPr>
                <w:rFonts w:hint="eastAsia" w:ascii="仿宋" w:hAnsi="仿宋" w:eastAsia="仿宋" w:cs="仿宋"/>
                <w:kern w:val="0"/>
                <w:sz w:val="24"/>
                <w:u w:val="single"/>
              </w:rPr>
              <w:t xml:space="preserve">                             </w:t>
            </w:r>
          </w:p>
          <w:p>
            <w:pPr>
              <w:pStyle w:val="175"/>
              <w:autoSpaceDE w:val="0"/>
              <w:autoSpaceDN w:val="0"/>
              <w:adjustRightInd w:val="0"/>
              <w:spacing w:line="360" w:lineRule="auto"/>
              <w:rPr>
                <w:rFonts w:ascii="仿宋" w:hAnsi="仿宋" w:eastAsia="仿宋" w:cs="仿宋"/>
                <w:sz w:val="24"/>
                <w:lang w:val="zh-CN"/>
              </w:rPr>
            </w:pPr>
            <w:r>
              <w:rPr>
                <w:rFonts w:hint="eastAsia" w:ascii="仿宋" w:hAnsi="仿宋" w:eastAsia="仿宋" w:cs="仿宋"/>
                <w:sz w:val="24"/>
                <w:lang w:val="zh-CN"/>
              </w:rPr>
              <w:t>2、陈述人员：</w:t>
            </w:r>
            <w:bookmarkStart w:id="38" w:name="EBa27f1c313730476694c9ea5ce6c46000"/>
            <w:bookmarkEnd w:id="38"/>
            <w:r>
              <w:rPr>
                <w:rFonts w:hint="eastAsia" w:ascii="仿宋" w:hAnsi="仿宋" w:eastAsia="仿宋" w:cs="仿宋"/>
                <w:kern w:val="0"/>
                <w:sz w:val="24"/>
                <w:u w:val="single"/>
              </w:rPr>
              <w:t xml:space="preserve">                             </w:t>
            </w:r>
          </w:p>
          <w:p>
            <w:pPr>
              <w:pStyle w:val="175"/>
              <w:autoSpaceDE w:val="0"/>
              <w:autoSpaceDN w:val="0"/>
              <w:adjustRightInd w:val="0"/>
              <w:spacing w:line="360" w:lineRule="auto"/>
              <w:rPr>
                <w:rFonts w:ascii="仿宋" w:hAnsi="仿宋" w:eastAsia="仿宋" w:cs="仿宋"/>
                <w:sz w:val="24"/>
                <w:lang w:val="zh-CN"/>
              </w:rPr>
            </w:pPr>
            <w:r>
              <w:rPr>
                <w:rFonts w:hint="eastAsia" w:ascii="仿宋" w:hAnsi="仿宋" w:eastAsia="仿宋" w:cs="仿宋"/>
                <w:sz w:val="24"/>
                <w:lang w:val="zh-CN"/>
              </w:rPr>
              <w:t>3、陈述时限：</w:t>
            </w:r>
            <w:bookmarkStart w:id="39" w:name="EB8e002186df5a41cc8dccc91c8be5ff9e"/>
            <w:bookmarkEnd w:id="39"/>
            <w:r>
              <w:rPr>
                <w:rFonts w:hint="eastAsia" w:ascii="仿宋" w:hAnsi="仿宋" w:eastAsia="仿宋" w:cs="仿宋"/>
                <w:kern w:val="0"/>
                <w:sz w:val="24"/>
                <w:u w:val="single"/>
              </w:rPr>
              <w:t xml:space="preserve">     </w:t>
            </w:r>
            <w:r>
              <w:rPr>
                <w:rFonts w:hint="eastAsia" w:ascii="仿宋" w:hAnsi="仿宋" w:eastAsia="仿宋" w:cs="仿宋"/>
                <w:sz w:val="24"/>
                <w:lang w:val="zh-CN"/>
              </w:rPr>
              <w:t>分钟。</w:t>
            </w:r>
          </w:p>
          <w:p>
            <w:pPr>
              <w:pStyle w:val="175"/>
              <w:autoSpaceDE w:val="0"/>
              <w:autoSpaceDN w:val="0"/>
              <w:adjustRightInd w:val="0"/>
              <w:spacing w:line="360" w:lineRule="auto"/>
              <w:rPr>
                <w:rFonts w:ascii="仿宋" w:hAnsi="仿宋" w:eastAsia="仿宋" w:cs="仿宋"/>
                <w:sz w:val="24"/>
                <w:lang w:val="zh-CN"/>
              </w:rPr>
            </w:pPr>
            <w:r>
              <w:rPr>
                <w:rFonts w:hint="eastAsia" w:ascii="仿宋" w:hAnsi="仿宋" w:eastAsia="仿宋" w:cs="仿宋"/>
                <w:sz w:val="24"/>
                <w:lang w:val="zh-CN"/>
              </w:rPr>
              <w:t>4、陈述形式：</w:t>
            </w:r>
            <w:bookmarkStart w:id="40" w:name="EB3b477031c8e448868dc45629f84f0896"/>
            <w:bookmarkEnd w:id="40"/>
            <w:r>
              <w:rPr>
                <w:rFonts w:hint="eastAsia" w:ascii="仿宋" w:hAnsi="仿宋" w:eastAsia="仿宋" w:cs="仿宋"/>
                <w:kern w:val="0"/>
                <w:sz w:val="24"/>
                <w:u w:val="single"/>
              </w:rPr>
              <w:t xml:space="preserve">                             </w:t>
            </w:r>
          </w:p>
          <w:p>
            <w:pPr>
              <w:pStyle w:val="175"/>
              <w:spacing w:line="360" w:lineRule="auto"/>
              <w:rPr>
                <w:rFonts w:ascii="仿宋" w:hAnsi="仿宋" w:eastAsia="仿宋" w:cs="仿宋"/>
                <w:sz w:val="24"/>
              </w:rPr>
            </w:pPr>
            <w:r>
              <w:rPr>
                <w:rFonts w:hint="eastAsia" w:ascii="仿宋" w:hAnsi="仿宋" w:eastAsia="仿宋" w:cs="仿宋"/>
                <w:sz w:val="24"/>
                <w:lang w:val="zh-CN"/>
              </w:rPr>
              <w:t>5、其他：(1)依照签到顺序依次进行；(2)投标人可放弃陈述，但需要签字确认。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23</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autoSpaceDE w:val="0"/>
              <w:autoSpaceDN w:val="0"/>
              <w:adjustRightInd w:val="0"/>
              <w:spacing w:line="360" w:lineRule="auto"/>
              <w:jc w:val="center"/>
              <w:rPr>
                <w:rFonts w:ascii="仿宋" w:hAnsi="仿宋" w:eastAsia="仿宋" w:cs="仿宋"/>
                <w:b/>
                <w:kern w:val="0"/>
                <w:sz w:val="24"/>
              </w:rPr>
            </w:pPr>
            <w:r>
              <w:rPr>
                <w:rFonts w:hint="eastAsia" w:ascii="仿宋" w:hAnsi="仿宋" w:eastAsia="仿宋" w:cs="仿宋"/>
                <w:b/>
                <w:kern w:val="0"/>
                <w:sz w:val="24"/>
              </w:rPr>
              <w:t>项目预算</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autoSpaceDE w:val="0"/>
              <w:autoSpaceDN w:val="0"/>
              <w:adjustRightInd w:val="0"/>
              <w:spacing w:line="360" w:lineRule="auto"/>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本项目</w:t>
            </w:r>
            <w:r>
              <w:rPr>
                <w:rFonts w:hint="eastAsia" w:ascii="仿宋" w:hAnsi="仿宋" w:eastAsia="仿宋" w:cs="仿宋"/>
                <w:sz w:val="24"/>
              </w:rPr>
              <w:t>预算金额为</w:t>
            </w:r>
            <w:r>
              <w:rPr>
                <w:rFonts w:hint="eastAsia" w:ascii="仿宋" w:hAnsi="仿宋" w:eastAsia="仿宋" w:cs="仿宋"/>
                <w:sz w:val="24"/>
                <w:u w:val="single"/>
              </w:rPr>
              <w:t>10000000.00</w:t>
            </w:r>
            <w:r>
              <w:rPr>
                <w:rFonts w:hint="eastAsia" w:ascii="仿宋" w:hAnsi="仿宋" w:eastAsia="仿宋" w:cs="仿宋"/>
                <w:sz w:val="24"/>
              </w:rPr>
              <w:t>元 大写：</w:t>
            </w:r>
            <w:r>
              <w:rPr>
                <w:rFonts w:hint="eastAsia" w:ascii="仿宋" w:hAnsi="仿宋" w:eastAsia="仿宋" w:cs="仿宋"/>
                <w:sz w:val="24"/>
                <w:u w:val="single"/>
              </w:rPr>
              <w:t>壹仟万元整</w:t>
            </w:r>
            <w:r>
              <w:rPr>
                <w:rFonts w:hint="eastAsia" w:ascii="仿宋" w:hAnsi="仿宋" w:eastAsia="仿宋" w:cs="仿宋"/>
                <w:sz w:val="24"/>
              </w:rPr>
              <w:t>，</w:t>
            </w:r>
            <w:r>
              <w:rPr>
                <w:rFonts w:hint="eastAsia" w:ascii="仿宋" w:hAnsi="仿宋" w:eastAsia="仿宋" w:cs="仿宋"/>
                <w:sz w:val="24"/>
                <w:lang w:val="zh-CN"/>
              </w:rPr>
              <w:t>投标人投标报价超过项目预算的按无效投标处理。</w:t>
            </w:r>
          </w:p>
          <w:p>
            <w:pPr>
              <w:pStyle w:val="175"/>
              <w:autoSpaceDE w:val="0"/>
              <w:autoSpaceDN w:val="0"/>
              <w:adjustRightInd w:val="0"/>
              <w:spacing w:line="360" w:lineRule="auto"/>
              <w:rPr>
                <w:rFonts w:ascii="仿宋" w:hAnsi="仿宋" w:eastAsia="仿宋" w:cs="仿宋"/>
                <w:sz w:val="24"/>
              </w:rPr>
            </w:pPr>
            <w:r>
              <w:rPr>
                <w:rFonts w:hint="eastAsia" w:ascii="仿宋" w:hAnsi="仿宋" w:eastAsia="仿宋" w:cs="仿宋"/>
                <w:sz w:val="24"/>
              </w:rPr>
              <w:t>2、投标人投标报价为本采购项目的包干价，招标人不再支付任何关于本项目的费用。</w:t>
            </w:r>
          </w:p>
          <w:p>
            <w:pPr>
              <w:pStyle w:val="175"/>
              <w:autoSpaceDE w:val="0"/>
              <w:autoSpaceDN w:val="0"/>
              <w:adjustRightInd w:val="0"/>
              <w:spacing w:line="360" w:lineRule="auto"/>
              <w:rPr>
                <w:rFonts w:ascii="仿宋" w:hAnsi="仿宋" w:eastAsia="仿宋" w:cs="仿宋"/>
                <w:sz w:val="24"/>
              </w:rPr>
            </w:pPr>
            <w:r>
              <w:rPr>
                <w:rFonts w:hint="eastAsia" w:ascii="仿宋" w:hAnsi="仿宋" w:eastAsia="仿宋" w:cs="仿宋"/>
                <w:sz w:val="24"/>
              </w:rPr>
              <w:t>3、报价中应考虑招标文件中要求投标人承担的风险范围以及相关的费用。</w:t>
            </w:r>
          </w:p>
          <w:p>
            <w:pPr>
              <w:pStyle w:val="175"/>
              <w:autoSpaceDE w:val="0"/>
              <w:autoSpaceDN w:val="0"/>
              <w:adjustRightInd w:val="0"/>
              <w:spacing w:line="360" w:lineRule="auto"/>
              <w:rPr>
                <w:rFonts w:ascii="仿宋" w:hAnsi="仿宋" w:eastAsia="仿宋" w:cs="仿宋"/>
                <w:sz w:val="24"/>
              </w:rPr>
            </w:pPr>
            <w:r>
              <w:rPr>
                <w:rFonts w:hint="eastAsia" w:ascii="仿宋" w:hAnsi="仿宋" w:eastAsia="仿宋" w:cs="仿宋"/>
                <w:sz w:val="24"/>
              </w:rPr>
              <w:t>4、本项目总价为投标人在投标文件中提出的各项支付金额的总和,包括实施、完成招标内容并修补缺陷以及履行招标文件中约定的风险范围内的所有责任和义务所发生的全部费用。</w:t>
            </w:r>
          </w:p>
          <w:p>
            <w:pPr>
              <w:pStyle w:val="199"/>
              <w:ind w:firstLine="0" w:firstLineChars="0"/>
              <w:rPr>
                <w:rFonts w:hint="eastAsia" w:ascii="仿宋" w:hAnsi="仿宋" w:eastAsia="仿宋" w:cs="仿宋"/>
                <w:szCs w:val="24"/>
              </w:rPr>
            </w:pPr>
            <w:r>
              <w:rPr>
                <w:rFonts w:hint="eastAsia" w:ascii="仿宋" w:hAnsi="仿宋" w:eastAsia="仿宋" w:cs="仿宋"/>
              </w:rPr>
              <w:t>5、</w:t>
            </w:r>
            <w:r>
              <w:rPr>
                <w:rFonts w:hint="eastAsia" w:ascii="仿宋" w:hAnsi="仿宋" w:eastAsia="仿宋" w:cs="仿宋"/>
                <w:szCs w:val="24"/>
              </w:rPr>
              <w:t>本项目所要求提供的招标服务内容，在投标人中标后，招标人可根据项目实际情况对服务内容和数量进行调整，总体服务金额不超过中标服务金额。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24</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autoSpaceDE w:val="0"/>
              <w:autoSpaceDN w:val="0"/>
              <w:adjustRightInd w:val="0"/>
              <w:spacing w:line="360" w:lineRule="auto"/>
              <w:jc w:val="center"/>
              <w:rPr>
                <w:rFonts w:ascii="仿宋" w:hAnsi="仿宋" w:eastAsia="仿宋" w:cs="仿宋"/>
                <w:b/>
                <w:kern w:val="0"/>
                <w:sz w:val="24"/>
              </w:rPr>
            </w:pPr>
            <w:r>
              <w:rPr>
                <w:rFonts w:hint="eastAsia" w:ascii="仿宋" w:hAnsi="仿宋" w:eastAsia="仿宋" w:cs="仿宋"/>
                <w:b/>
                <w:kern w:val="0"/>
                <w:sz w:val="24"/>
              </w:rPr>
              <w:t>其他</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autoSpaceDE w:val="0"/>
              <w:autoSpaceDN w:val="0"/>
              <w:adjustRightInd w:val="0"/>
              <w:spacing w:line="360" w:lineRule="auto"/>
              <w:rPr>
                <w:rFonts w:ascii="仿宋" w:hAnsi="仿宋" w:eastAsia="仿宋" w:cs="仿宋"/>
                <w:sz w:val="24"/>
              </w:rPr>
            </w:pPr>
            <w:r>
              <w:rPr>
                <w:rFonts w:hint="eastAsia" w:ascii="仿宋" w:hAnsi="仿宋" w:eastAsia="仿宋" w:cs="仿宋"/>
                <w:sz w:val="24"/>
              </w:rPr>
              <w:t xml:space="preserve">1、各投标人必须针对本项目制作投标文件并报价，投标文件均必须满足招标文件份数与制作等要求，否则将导致投标被拒绝。 </w:t>
            </w:r>
          </w:p>
          <w:p>
            <w:pPr>
              <w:pStyle w:val="175"/>
              <w:autoSpaceDE w:val="0"/>
              <w:autoSpaceDN w:val="0"/>
              <w:adjustRightInd w:val="0"/>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本项目的招标投标活动以及相关当事人须接受财政监督部门依法实施的监督。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25</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autoSpaceDE w:val="0"/>
              <w:autoSpaceDN w:val="0"/>
              <w:adjustRightInd w:val="0"/>
              <w:spacing w:line="360" w:lineRule="auto"/>
              <w:jc w:val="center"/>
              <w:rPr>
                <w:rFonts w:ascii="仿宋" w:hAnsi="仿宋" w:eastAsia="仿宋" w:cs="仿宋"/>
                <w:b/>
                <w:kern w:val="0"/>
                <w:sz w:val="24"/>
              </w:rPr>
            </w:pPr>
            <w:r>
              <w:rPr>
                <w:rFonts w:hint="eastAsia" w:ascii="仿宋" w:hAnsi="仿宋" w:eastAsia="仿宋" w:cs="仿宋"/>
                <w:b/>
                <w:kern w:val="0"/>
                <w:sz w:val="24"/>
              </w:rPr>
              <w:t>服务期</w:t>
            </w:r>
          </w:p>
        </w:tc>
        <w:tc>
          <w:tcPr>
            <w:tcW w:w="6826" w:type="dxa"/>
            <w:tcBorders>
              <w:top w:val="single" w:color="auto" w:sz="4" w:space="0"/>
              <w:left w:val="single" w:color="auto" w:sz="4" w:space="0"/>
              <w:bottom w:val="single" w:color="auto" w:sz="4" w:space="0"/>
              <w:right w:val="single" w:color="auto" w:sz="4" w:space="0"/>
            </w:tcBorders>
            <w:vAlign w:val="center"/>
          </w:tcPr>
          <w:p>
            <w:pPr>
              <w:adjustRightInd w:val="0"/>
              <w:spacing w:before="156" w:after="156"/>
              <w:rPr>
                <w:rFonts w:ascii="仿宋" w:hAnsi="仿宋" w:eastAsia="仿宋" w:cs="仿宋"/>
                <w:sz w:val="24"/>
                <w:szCs w:val="24"/>
              </w:rPr>
            </w:pPr>
            <w:r>
              <w:rPr>
                <w:rFonts w:hint="eastAsia" w:ascii="仿宋" w:hAnsi="仿宋" w:eastAsia="仿宋" w:cs="仿宋"/>
                <w:sz w:val="24"/>
                <w:szCs w:val="24"/>
              </w:rPr>
              <w:t>自合同签订之日起1年内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26</w:t>
            </w:r>
          </w:p>
        </w:tc>
        <w:tc>
          <w:tcPr>
            <w:tcW w:w="1240" w:type="dxa"/>
            <w:tcBorders>
              <w:top w:val="single" w:color="auto" w:sz="4" w:space="0"/>
              <w:left w:val="single" w:color="auto" w:sz="4" w:space="0"/>
              <w:bottom w:val="single" w:color="auto" w:sz="4" w:space="0"/>
              <w:right w:val="single" w:color="auto" w:sz="4" w:space="0"/>
            </w:tcBorders>
            <w:vAlign w:val="center"/>
          </w:tcPr>
          <w:p>
            <w:pPr>
              <w:pStyle w:val="103"/>
              <w:autoSpaceDE w:val="0"/>
              <w:autoSpaceDN w:val="0"/>
              <w:adjustRightInd w:val="0"/>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服务地点</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autoSpaceDE w:val="0"/>
              <w:autoSpaceDN w:val="0"/>
              <w:adjustRightInd w:val="0"/>
              <w:spacing w:line="360" w:lineRule="auto"/>
              <w:rPr>
                <w:rFonts w:hint="eastAsia" w:ascii="仿宋" w:hAnsi="仿宋" w:eastAsia="仿宋" w:cs="仿宋"/>
                <w:sz w:val="24"/>
                <w:lang w:eastAsia="zh-CN"/>
              </w:rPr>
            </w:pPr>
            <w:r>
              <w:rPr>
                <w:rFonts w:hint="eastAsia" w:ascii="仿宋" w:hAnsi="仿宋" w:eastAsia="仿宋" w:cs="仿宋"/>
                <w:sz w:val="24"/>
                <w:szCs w:val="24"/>
                <w:highlight w:val="none"/>
              </w:rPr>
              <w:t>图木舒克市央企产业园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27</w:t>
            </w:r>
          </w:p>
        </w:tc>
        <w:tc>
          <w:tcPr>
            <w:tcW w:w="1240" w:type="dxa"/>
            <w:tcBorders>
              <w:top w:val="single" w:color="auto" w:sz="4" w:space="0"/>
              <w:left w:val="single" w:color="auto" w:sz="4" w:space="0"/>
              <w:bottom w:val="single" w:color="auto" w:sz="4" w:space="0"/>
              <w:right w:val="single" w:color="auto" w:sz="4" w:space="0"/>
            </w:tcBorders>
            <w:vAlign w:val="center"/>
          </w:tcPr>
          <w:p>
            <w:pPr>
              <w:pStyle w:val="103"/>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付款方式</w:t>
            </w:r>
          </w:p>
        </w:tc>
        <w:tc>
          <w:tcPr>
            <w:tcW w:w="6826" w:type="dxa"/>
            <w:tcBorders>
              <w:top w:val="single" w:color="auto" w:sz="4" w:space="0"/>
              <w:left w:val="single" w:color="auto" w:sz="4" w:space="0"/>
              <w:bottom w:val="single" w:color="auto" w:sz="4" w:space="0"/>
              <w:right w:val="single" w:color="auto" w:sz="4" w:space="0"/>
            </w:tcBorders>
            <w:vAlign w:val="center"/>
          </w:tcPr>
          <w:p>
            <w:pPr>
              <w:pStyle w:val="175"/>
              <w:autoSpaceDE w:val="0"/>
              <w:autoSpaceDN w:val="0"/>
              <w:adjustRightInd w:val="0"/>
              <w:spacing w:line="360" w:lineRule="auto"/>
              <w:rPr>
                <w:rFonts w:ascii="仿宋" w:hAnsi="仿宋" w:eastAsia="仿宋" w:cs="仿宋"/>
                <w:sz w:val="24"/>
              </w:rPr>
            </w:pPr>
            <w:r>
              <w:rPr>
                <w:rFonts w:hint="eastAsia" w:ascii="仿宋" w:hAnsi="仿宋" w:eastAsia="仿宋" w:cs="仿宋"/>
                <w:sz w:val="24"/>
              </w:rPr>
              <w:t>具体付款方式以合同签订为准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b/>
                <w:kern w:val="0"/>
                <w:sz w:val="24"/>
              </w:rPr>
            </w:pPr>
            <w:r>
              <w:rPr>
                <w:rFonts w:hint="eastAsia" w:ascii="仿宋" w:hAnsi="仿宋" w:eastAsia="仿宋" w:cs="仿宋"/>
                <w:b/>
                <w:kern w:val="0"/>
                <w:sz w:val="24"/>
              </w:rPr>
              <w:t>28</w:t>
            </w:r>
          </w:p>
        </w:tc>
        <w:tc>
          <w:tcPr>
            <w:tcW w:w="1240" w:type="dxa"/>
            <w:tcBorders>
              <w:top w:val="single" w:color="auto" w:sz="4" w:space="0"/>
              <w:left w:val="single" w:color="auto" w:sz="4" w:space="0"/>
              <w:bottom w:val="single" w:color="auto" w:sz="4" w:space="0"/>
              <w:right w:val="single" w:color="auto" w:sz="4" w:space="0"/>
            </w:tcBorders>
            <w:vAlign w:val="center"/>
          </w:tcPr>
          <w:p>
            <w:pPr>
              <w:pStyle w:val="175"/>
              <w:autoSpaceDE w:val="0"/>
              <w:autoSpaceDN w:val="0"/>
              <w:adjustRightInd w:val="0"/>
              <w:spacing w:line="360" w:lineRule="auto"/>
              <w:jc w:val="center"/>
              <w:rPr>
                <w:rFonts w:ascii="仿宋" w:hAnsi="仿宋" w:eastAsia="仿宋" w:cs="仿宋"/>
                <w:kern w:val="0"/>
                <w:sz w:val="24"/>
              </w:rPr>
            </w:pPr>
            <w:r>
              <w:rPr>
                <w:rFonts w:hint="eastAsia" w:ascii="仿宋" w:hAnsi="仿宋" w:eastAsia="仿宋" w:cs="仿宋"/>
                <w:b/>
                <w:bCs/>
                <w:kern w:val="0"/>
                <w:sz w:val="24"/>
              </w:rPr>
              <w:t>注意事项</w:t>
            </w:r>
          </w:p>
        </w:tc>
        <w:tc>
          <w:tcPr>
            <w:tcW w:w="6826" w:type="dxa"/>
            <w:tcBorders>
              <w:top w:val="single" w:color="auto" w:sz="4" w:space="0"/>
              <w:left w:val="single" w:color="auto" w:sz="4" w:space="0"/>
              <w:bottom w:val="single" w:color="auto" w:sz="4" w:space="0"/>
              <w:right w:val="single" w:color="auto" w:sz="4" w:space="0"/>
            </w:tcBorders>
          </w:tcPr>
          <w:p>
            <w:pPr>
              <w:pStyle w:val="134"/>
              <w:rPr>
                <w:rFonts w:ascii="仿宋" w:hAnsi="仿宋" w:eastAsia="仿宋" w:cs="仿宋"/>
                <w:b/>
                <w:bCs/>
                <w:kern w:val="0"/>
                <w:sz w:val="24"/>
                <w:szCs w:val="24"/>
                <w:lang w:bidi="ug-CN"/>
              </w:rPr>
            </w:pPr>
            <w:bookmarkStart w:id="41" w:name="EB41dfe38d81d947088300a87cef519167"/>
            <w:bookmarkEnd w:id="41"/>
            <w:r>
              <w:rPr>
                <w:rFonts w:hint="eastAsia" w:ascii="仿宋" w:hAnsi="仿宋" w:eastAsia="仿宋" w:cs="仿宋"/>
                <w:b/>
                <w:bCs/>
                <w:kern w:val="0"/>
                <w:sz w:val="24"/>
                <w:szCs w:val="24"/>
                <w:lang w:bidi="ug-CN"/>
              </w:rPr>
              <w:t>1、本项目的招标投标活动以及相关当事人须接受财政监督部门依法实施的监督。</w:t>
            </w:r>
          </w:p>
          <w:p>
            <w:pPr>
              <w:pStyle w:val="134"/>
              <w:rPr>
                <w:rFonts w:ascii="仿宋" w:hAnsi="仿宋" w:eastAsia="仿宋" w:cs="仿宋"/>
                <w:b/>
                <w:bCs/>
                <w:sz w:val="24"/>
                <w:szCs w:val="24"/>
              </w:rPr>
            </w:pPr>
            <w:r>
              <w:rPr>
                <w:rFonts w:hint="eastAsia" w:ascii="仿宋" w:hAnsi="仿宋" w:eastAsia="仿宋" w:cs="仿宋"/>
                <w:b/>
                <w:bCs/>
                <w:kern w:val="0"/>
                <w:sz w:val="24"/>
                <w:szCs w:val="24"/>
                <w:lang w:bidi="ug-CN"/>
              </w:rPr>
              <w:t>2、各投标人必须针对本项目制作投标文件并报价，投标文件均必须满足招标文件份数与制作等要求，否则将导致投标被拒绝。</w:t>
            </w:r>
          </w:p>
          <w:p>
            <w:pPr>
              <w:pStyle w:val="134"/>
              <w:rPr>
                <w:rFonts w:ascii="仿宋" w:hAnsi="仿宋" w:eastAsia="仿宋" w:cs="仿宋"/>
                <w:b/>
                <w:bCs/>
                <w:sz w:val="24"/>
                <w:szCs w:val="24"/>
              </w:rPr>
            </w:pPr>
            <w:r>
              <w:rPr>
                <w:rFonts w:hint="eastAsia" w:ascii="仿宋" w:hAnsi="仿宋" w:eastAsia="仿宋" w:cs="仿宋"/>
                <w:b/>
                <w:bCs/>
                <w:sz w:val="24"/>
                <w:szCs w:val="24"/>
              </w:rPr>
              <w:t>3、本项目所述时间以政采云平台服务器时间为准。</w:t>
            </w:r>
          </w:p>
          <w:p>
            <w:pPr>
              <w:pStyle w:val="134"/>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 xml:space="preserve">其他：若招标文件其他部分描述与前附表不一致的，以前附表为准。 </w:t>
            </w:r>
          </w:p>
          <w:p>
            <w:pPr>
              <w:pStyle w:val="134"/>
              <w:rPr>
                <w:rFonts w:ascii="仿宋" w:hAnsi="仿宋" w:eastAsia="仿宋" w:cs="仿宋"/>
                <w:b/>
                <w:bCs/>
                <w:sz w:val="24"/>
                <w:szCs w:val="24"/>
              </w:rPr>
            </w:pPr>
            <w:r>
              <w:rPr>
                <w:rFonts w:hint="eastAsia" w:ascii="仿宋" w:hAnsi="仿宋" w:eastAsia="仿宋" w:cs="仿宋"/>
                <w:b/>
                <w:bCs/>
                <w:sz w:val="24"/>
                <w:szCs w:val="24"/>
              </w:rPr>
              <w:t>5、中标单位在合同签订前将投标文件打印（正本一份，副本两份）胶装及盖章、格式为PDF的电子响应文件一份（U盘存储）、三份光盘，交由招标代理公司领取中标通知书。签订合同后2日内将合同原件扫描件交由招标代理公司，由招标代理公司上传至政采云网站，经中标单位审核发布政采云网站后给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175"/>
              <w:spacing w:line="360" w:lineRule="auto"/>
              <w:jc w:val="center"/>
              <w:rPr>
                <w:rFonts w:ascii="仿宋" w:hAnsi="仿宋" w:eastAsia="仿宋" w:cs="仿宋"/>
                <w:kern w:val="0"/>
                <w:sz w:val="24"/>
              </w:rPr>
            </w:pPr>
            <w:r>
              <w:rPr>
                <w:rFonts w:hint="eastAsia" w:ascii="仿宋" w:hAnsi="仿宋" w:eastAsia="仿宋" w:cs="仿宋"/>
                <w:kern w:val="0"/>
                <w:sz w:val="24"/>
              </w:rPr>
              <w:t>备注</w:t>
            </w:r>
          </w:p>
        </w:tc>
        <w:tc>
          <w:tcPr>
            <w:tcW w:w="8066" w:type="dxa"/>
            <w:gridSpan w:val="2"/>
            <w:tcBorders>
              <w:top w:val="single" w:color="auto" w:sz="4" w:space="0"/>
              <w:left w:val="single" w:color="auto" w:sz="4" w:space="0"/>
              <w:bottom w:val="single" w:color="auto" w:sz="4" w:space="0"/>
              <w:right w:val="single" w:color="auto" w:sz="4" w:space="0"/>
            </w:tcBorders>
            <w:vAlign w:val="center"/>
          </w:tcPr>
          <w:p>
            <w:pPr>
              <w:pStyle w:val="175"/>
              <w:widowControl/>
              <w:numPr>
                <w:ilvl w:val="0"/>
                <w:numId w:val="6"/>
              </w:numPr>
              <w:wordWrap w:val="0"/>
              <w:rPr>
                <w:rFonts w:ascii="仿宋" w:hAnsi="仿宋" w:eastAsia="仿宋" w:cs="仿宋"/>
                <w:sz w:val="24"/>
              </w:rPr>
            </w:pPr>
            <w:r>
              <w:rPr>
                <w:rFonts w:hint="eastAsia" w:ascii="仿宋" w:hAnsi="仿宋" w:eastAsia="仿宋" w:cs="仿宋"/>
                <w:sz w:val="24"/>
              </w:rPr>
              <w:t>本项目实行网上投标，采用电子投标文件。若供应商参与投标，自行承担投标一切费用。</w:t>
            </w:r>
          </w:p>
          <w:p>
            <w:pPr>
              <w:pStyle w:val="175"/>
              <w:widowControl/>
              <w:numPr>
                <w:ilvl w:val="0"/>
                <w:numId w:val="6"/>
              </w:numPr>
              <w:wordWrap w:val="0"/>
              <w:rPr>
                <w:rFonts w:ascii="仿宋" w:hAnsi="仿宋" w:eastAsia="仿宋" w:cs="仿宋"/>
                <w:kern w:val="0"/>
                <w:sz w:val="24"/>
              </w:rPr>
            </w:pPr>
            <w:r>
              <w:rPr>
                <w:rFonts w:hint="eastAsia" w:ascii="仿宋" w:hAnsi="仿宋" w:eastAsia="仿宋" w:cs="仿宋"/>
                <w:sz w:val="24"/>
              </w:rPr>
              <w:t>各供应商应在开标前确保成为新疆生产建设兵团政府采购网正式注册入库供应商，并完成CA数字证书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175"/>
              <w:widowControl/>
              <w:numPr>
                <w:ilvl w:val="0"/>
                <w:numId w:val="6"/>
              </w:numPr>
              <w:wordWrap w:val="0"/>
              <w:rPr>
                <w:rFonts w:ascii="仿宋" w:hAnsi="仿宋" w:eastAsia="仿宋" w:cs="仿宋"/>
                <w:kern w:val="0"/>
                <w:sz w:val="24"/>
              </w:rPr>
            </w:pPr>
            <w:r>
              <w:rPr>
                <w:rFonts w:hint="eastAsia" w:ascii="仿宋" w:hAnsi="仿宋" w:eastAsia="仿宋" w:cs="仿宋"/>
                <w:sz w:val="24"/>
              </w:rPr>
              <w:t>供应商将政采云电子交易客户端下载、安装完成后，可通过账号密码或CA登陆客户端进行投标文件的制作。在使用政采云投标客户端时，建议使用WIN7及以上操作系统。客户端请至兵团政府采购网（https://ccqp-binqtuan.gov.cn/）下载专区查看，如有问题可拨打政采云客户服务热线400-881-7190进行咨询，如因供应商自身原因导致在规定时间内无法正常解密的（如：浏览器故障、未安装相关驱动、网络故障、加密CA与解密CA不一致等），采购人/采购代理机构予异常处理，视为供应商自动放弃投标资格）</w:t>
            </w:r>
          </w:p>
        </w:tc>
      </w:tr>
    </w:tbl>
    <w:p>
      <w:pPr>
        <w:pStyle w:val="19"/>
        <w:tabs>
          <w:tab w:val="left" w:pos="0"/>
        </w:tabs>
        <w:spacing w:line="240" w:lineRule="auto"/>
        <w:ind w:left="0" w:leftChars="0" w:firstLine="0" w:firstLineChars="0"/>
        <w:jc w:val="left"/>
        <w:rPr>
          <w:rFonts w:ascii="仿宋" w:hAnsi="仿宋" w:eastAsia="仿宋" w:cs="仿宋"/>
          <w:sz w:val="21"/>
        </w:rPr>
      </w:pPr>
    </w:p>
    <w:p>
      <w:pPr>
        <w:pStyle w:val="19"/>
        <w:tabs>
          <w:tab w:val="left" w:pos="0"/>
        </w:tabs>
        <w:spacing w:line="240" w:lineRule="auto"/>
        <w:ind w:left="0" w:leftChars="0" w:firstLine="0" w:firstLineChars="0"/>
        <w:jc w:val="left"/>
        <w:rPr>
          <w:rFonts w:ascii="仿宋" w:hAnsi="仿宋" w:eastAsia="仿宋" w:cs="仿宋"/>
          <w:sz w:val="21"/>
        </w:rPr>
      </w:pPr>
    </w:p>
    <w:p>
      <w:pPr>
        <w:pStyle w:val="19"/>
        <w:tabs>
          <w:tab w:val="left" w:pos="0"/>
        </w:tabs>
        <w:spacing w:line="240" w:lineRule="auto"/>
        <w:ind w:left="0" w:leftChars="0" w:firstLine="0" w:firstLineChars="0"/>
        <w:jc w:val="left"/>
        <w:rPr>
          <w:rFonts w:hint="eastAsia" w:ascii="仿宋" w:hAnsi="仿宋" w:eastAsia="仿宋" w:cs="仿宋"/>
          <w:sz w:val="21"/>
        </w:rPr>
      </w:pPr>
      <w:bookmarkStart w:id="42" w:name="_Toc18917"/>
    </w:p>
    <w:p>
      <w:pPr>
        <w:pStyle w:val="19"/>
        <w:tabs>
          <w:tab w:val="left" w:pos="0"/>
        </w:tabs>
        <w:spacing w:line="240" w:lineRule="auto"/>
        <w:ind w:left="0" w:leftChars="0" w:firstLine="0" w:firstLineChars="0"/>
        <w:jc w:val="left"/>
        <w:rPr>
          <w:rFonts w:hint="eastAsia" w:ascii="仿宋" w:hAnsi="仿宋" w:eastAsia="仿宋" w:cs="仿宋"/>
          <w:sz w:val="21"/>
        </w:rPr>
      </w:pPr>
    </w:p>
    <w:p>
      <w:pPr>
        <w:pStyle w:val="19"/>
        <w:tabs>
          <w:tab w:val="left" w:pos="0"/>
        </w:tabs>
        <w:spacing w:line="240" w:lineRule="auto"/>
        <w:ind w:left="0" w:leftChars="0" w:firstLine="0" w:firstLineChars="0"/>
        <w:jc w:val="left"/>
        <w:rPr>
          <w:rFonts w:hint="eastAsia" w:ascii="仿宋" w:hAnsi="仿宋" w:eastAsia="仿宋" w:cs="仿宋"/>
          <w:sz w:val="21"/>
        </w:rPr>
      </w:pPr>
    </w:p>
    <w:p>
      <w:pPr>
        <w:pStyle w:val="19"/>
        <w:tabs>
          <w:tab w:val="left" w:pos="0"/>
        </w:tabs>
        <w:spacing w:line="240" w:lineRule="auto"/>
        <w:ind w:left="0" w:leftChars="0" w:firstLine="0" w:firstLineChars="0"/>
        <w:jc w:val="left"/>
        <w:rPr>
          <w:rFonts w:hint="eastAsia" w:ascii="仿宋" w:hAnsi="仿宋" w:eastAsia="仿宋" w:cs="仿宋"/>
          <w:sz w:val="21"/>
        </w:rPr>
      </w:pPr>
    </w:p>
    <w:p>
      <w:pPr>
        <w:pStyle w:val="19"/>
        <w:tabs>
          <w:tab w:val="left" w:pos="0"/>
        </w:tabs>
        <w:spacing w:line="240" w:lineRule="auto"/>
        <w:ind w:left="0" w:leftChars="0" w:firstLine="0" w:firstLineChars="0"/>
        <w:jc w:val="left"/>
        <w:rPr>
          <w:rFonts w:hint="eastAsia" w:ascii="仿宋" w:hAnsi="仿宋" w:eastAsia="仿宋" w:cs="仿宋"/>
          <w:sz w:val="21"/>
        </w:rPr>
      </w:pPr>
    </w:p>
    <w:p>
      <w:pPr>
        <w:pStyle w:val="19"/>
        <w:tabs>
          <w:tab w:val="left" w:pos="0"/>
        </w:tabs>
        <w:spacing w:line="240" w:lineRule="auto"/>
        <w:ind w:left="0" w:leftChars="0" w:firstLine="0" w:firstLineChars="0"/>
        <w:jc w:val="left"/>
        <w:rPr>
          <w:rFonts w:hint="eastAsia" w:ascii="仿宋" w:hAnsi="仿宋" w:eastAsia="仿宋" w:cs="仿宋"/>
          <w:sz w:val="21"/>
        </w:rPr>
      </w:pPr>
    </w:p>
    <w:p>
      <w:pPr>
        <w:pStyle w:val="19"/>
        <w:tabs>
          <w:tab w:val="left" w:pos="0"/>
        </w:tabs>
        <w:spacing w:line="240" w:lineRule="auto"/>
        <w:ind w:left="0" w:leftChars="0" w:firstLine="0" w:firstLineChars="0"/>
        <w:jc w:val="left"/>
        <w:rPr>
          <w:rFonts w:hint="eastAsia" w:ascii="仿宋" w:hAnsi="仿宋" w:eastAsia="仿宋" w:cs="仿宋"/>
          <w:sz w:val="21"/>
        </w:rPr>
      </w:pPr>
    </w:p>
    <w:p>
      <w:pPr>
        <w:pStyle w:val="19"/>
        <w:tabs>
          <w:tab w:val="left" w:pos="0"/>
        </w:tabs>
        <w:spacing w:line="240" w:lineRule="auto"/>
        <w:ind w:left="0" w:leftChars="0" w:firstLine="0" w:firstLineChars="0"/>
        <w:jc w:val="left"/>
        <w:rPr>
          <w:rFonts w:ascii="仿宋" w:hAnsi="仿宋" w:eastAsia="仿宋" w:cs="仿宋"/>
          <w:sz w:val="21"/>
        </w:rPr>
      </w:pPr>
      <w:r>
        <w:rPr>
          <w:rFonts w:hint="eastAsia" w:ascii="仿宋" w:hAnsi="仿宋" w:eastAsia="仿宋" w:cs="仿宋"/>
          <w:sz w:val="21"/>
        </w:rPr>
        <w:t>一、总则</w:t>
      </w:r>
      <w:bookmarkEnd w:id="42"/>
    </w:p>
    <w:p>
      <w:pPr>
        <w:pStyle w:val="19"/>
        <w:tabs>
          <w:tab w:val="left" w:pos="0"/>
        </w:tabs>
        <w:spacing w:line="240" w:lineRule="auto"/>
        <w:ind w:left="0" w:leftChars="0" w:firstLine="0" w:firstLineChars="0"/>
        <w:jc w:val="left"/>
        <w:rPr>
          <w:rFonts w:ascii="仿宋" w:hAnsi="仿宋" w:eastAsia="仿宋" w:cs="仿宋"/>
          <w:sz w:val="21"/>
        </w:rPr>
      </w:pPr>
      <w:bookmarkStart w:id="43" w:name="_Toc14521"/>
      <w:r>
        <w:rPr>
          <w:rFonts w:hint="eastAsia" w:ascii="仿宋" w:hAnsi="仿宋" w:eastAsia="仿宋" w:cs="仿宋"/>
          <w:sz w:val="21"/>
        </w:rPr>
        <w:t>1.适用范围</w:t>
      </w:r>
      <w:bookmarkEnd w:id="43"/>
    </w:p>
    <w:p>
      <w:pPr>
        <w:pStyle w:val="19"/>
        <w:tabs>
          <w:tab w:val="left" w:pos="0"/>
        </w:tabs>
        <w:spacing w:line="240" w:lineRule="auto"/>
        <w:ind w:left="0" w:leftChars="0" w:firstLine="0" w:firstLineChars="0"/>
        <w:jc w:val="left"/>
        <w:rPr>
          <w:rFonts w:ascii="仿宋" w:hAnsi="仿宋" w:eastAsia="仿宋" w:cs="仿宋"/>
          <w:sz w:val="21"/>
        </w:rPr>
      </w:pPr>
      <w:bookmarkStart w:id="44" w:name="_Toc12800"/>
      <w:r>
        <w:rPr>
          <w:rFonts w:hint="eastAsia" w:ascii="仿宋" w:hAnsi="仿宋" w:eastAsia="仿宋" w:cs="仿宋"/>
          <w:sz w:val="21"/>
        </w:rPr>
        <w:t>1.1本采购文件适用于本采购邀请函中所述的货物、服务类政府采购项目。</w:t>
      </w:r>
      <w:bookmarkEnd w:id="44"/>
    </w:p>
    <w:p>
      <w:pPr>
        <w:pStyle w:val="19"/>
        <w:tabs>
          <w:tab w:val="left" w:pos="0"/>
        </w:tabs>
        <w:spacing w:line="240" w:lineRule="auto"/>
        <w:ind w:left="0" w:leftChars="0" w:firstLine="0" w:firstLineChars="0"/>
        <w:jc w:val="left"/>
        <w:rPr>
          <w:rFonts w:ascii="仿宋" w:hAnsi="仿宋" w:eastAsia="仿宋" w:cs="仿宋"/>
          <w:sz w:val="21"/>
        </w:rPr>
      </w:pPr>
      <w:bookmarkStart w:id="45" w:name="_Toc23956"/>
      <w:r>
        <w:rPr>
          <w:rFonts w:hint="eastAsia" w:ascii="仿宋" w:hAnsi="仿宋" w:eastAsia="仿宋" w:cs="仿宋"/>
          <w:sz w:val="21"/>
        </w:rPr>
        <w:t>2.定义</w:t>
      </w:r>
      <w:bookmarkEnd w:id="45"/>
    </w:p>
    <w:p>
      <w:pPr>
        <w:pStyle w:val="19"/>
        <w:tabs>
          <w:tab w:val="left" w:pos="0"/>
        </w:tabs>
        <w:spacing w:line="240" w:lineRule="auto"/>
        <w:ind w:left="0" w:leftChars="0" w:firstLine="0" w:firstLineChars="0"/>
        <w:jc w:val="left"/>
        <w:rPr>
          <w:rFonts w:ascii="仿宋" w:hAnsi="仿宋" w:eastAsia="仿宋" w:cs="仿宋"/>
          <w:sz w:val="21"/>
        </w:rPr>
      </w:pPr>
      <w:bookmarkStart w:id="46" w:name="_Toc6798"/>
      <w:r>
        <w:rPr>
          <w:rFonts w:hint="eastAsia" w:ascii="仿宋" w:hAnsi="仿宋" w:eastAsia="仿宋" w:cs="仿宋"/>
          <w:sz w:val="21"/>
        </w:rPr>
        <w:t>2.1“采购人”指： 中共新疆生产建设兵团第三师委员会网络安全和信息化委员会办公室 。</w:t>
      </w:r>
      <w:bookmarkEnd w:id="46"/>
    </w:p>
    <w:p>
      <w:pPr>
        <w:pStyle w:val="19"/>
        <w:tabs>
          <w:tab w:val="left" w:pos="0"/>
        </w:tabs>
        <w:spacing w:line="240" w:lineRule="auto"/>
        <w:ind w:left="0" w:leftChars="0" w:firstLine="0" w:firstLineChars="0"/>
        <w:jc w:val="left"/>
        <w:rPr>
          <w:rFonts w:ascii="仿宋" w:hAnsi="仿宋" w:eastAsia="仿宋" w:cs="仿宋"/>
          <w:sz w:val="21"/>
        </w:rPr>
      </w:pPr>
      <w:bookmarkStart w:id="47" w:name="_Toc21167"/>
      <w:r>
        <w:rPr>
          <w:rFonts w:hint="eastAsia" w:ascii="仿宋" w:hAnsi="仿宋" w:eastAsia="仿宋" w:cs="仿宋"/>
          <w:sz w:val="21"/>
        </w:rPr>
        <w:t>2.2“供应商”是指：符合本采购文件规定并参加本项目采购的供应商。</w:t>
      </w:r>
      <w:bookmarkEnd w:id="47"/>
    </w:p>
    <w:p>
      <w:pPr>
        <w:pStyle w:val="19"/>
        <w:tabs>
          <w:tab w:val="left" w:pos="0"/>
        </w:tabs>
        <w:spacing w:line="240" w:lineRule="auto"/>
        <w:ind w:left="0" w:leftChars="0" w:firstLine="0" w:firstLineChars="0"/>
        <w:jc w:val="left"/>
        <w:rPr>
          <w:rFonts w:ascii="仿宋" w:hAnsi="仿宋" w:eastAsia="仿宋" w:cs="仿宋"/>
          <w:sz w:val="21"/>
        </w:rPr>
      </w:pPr>
      <w:bookmarkStart w:id="48" w:name="_Toc4752"/>
      <w:r>
        <w:rPr>
          <w:rFonts w:hint="eastAsia" w:ascii="仿宋" w:hAnsi="仿宋" w:eastAsia="仿宋" w:cs="仿宋"/>
          <w:sz w:val="21"/>
        </w:rPr>
        <w:t>2.3 “监管部门”指： 第三师图木舒克市财政局 。</w:t>
      </w:r>
      <w:bookmarkEnd w:id="48"/>
    </w:p>
    <w:p>
      <w:pPr>
        <w:pStyle w:val="19"/>
        <w:tabs>
          <w:tab w:val="left" w:pos="0"/>
        </w:tabs>
        <w:spacing w:line="240" w:lineRule="auto"/>
        <w:ind w:left="0" w:leftChars="0" w:firstLine="0" w:firstLineChars="0"/>
        <w:jc w:val="left"/>
        <w:rPr>
          <w:rFonts w:ascii="仿宋" w:hAnsi="仿宋" w:eastAsia="仿宋" w:cs="仿宋"/>
          <w:sz w:val="21"/>
        </w:rPr>
      </w:pPr>
      <w:bookmarkStart w:id="49" w:name="_Toc14800"/>
      <w:r>
        <w:rPr>
          <w:rFonts w:hint="eastAsia" w:ascii="仿宋" w:hAnsi="仿宋" w:eastAsia="仿宋" w:cs="仿宋"/>
          <w:sz w:val="21"/>
        </w:rPr>
        <w:t>2.4 “采购代理机构”指： 新疆锦辰工程项目管理有限公司 。</w:t>
      </w:r>
      <w:bookmarkEnd w:id="49"/>
    </w:p>
    <w:p>
      <w:pPr>
        <w:pStyle w:val="19"/>
        <w:tabs>
          <w:tab w:val="left" w:pos="0"/>
        </w:tabs>
        <w:spacing w:line="240" w:lineRule="auto"/>
        <w:ind w:left="0" w:leftChars="0" w:firstLine="0" w:firstLineChars="0"/>
        <w:jc w:val="left"/>
        <w:rPr>
          <w:rFonts w:ascii="仿宋" w:hAnsi="仿宋" w:eastAsia="仿宋" w:cs="仿宋"/>
          <w:sz w:val="21"/>
        </w:rPr>
      </w:pPr>
      <w:bookmarkStart w:id="50" w:name="_Toc28757"/>
      <w:r>
        <w:rPr>
          <w:rFonts w:hint="eastAsia" w:ascii="仿宋" w:hAnsi="仿宋" w:eastAsia="仿宋" w:cs="仿宋"/>
          <w:sz w:val="21"/>
        </w:rPr>
        <w:t>2.5 “成交供应商”是指：经采购小组评审、推荐，采购人依法确定并授予合同的供应商。</w:t>
      </w:r>
      <w:bookmarkEnd w:id="50"/>
    </w:p>
    <w:p>
      <w:pPr>
        <w:pStyle w:val="19"/>
        <w:tabs>
          <w:tab w:val="left" w:pos="0"/>
        </w:tabs>
        <w:spacing w:line="240" w:lineRule="auto"/>
        <w:ind w:left="0" w:leftChars="0" w:firstLine="0" w:firstLineChars="0"/>
        <w:jc w:val="left"/>
        <w:rPr>
          <w:rFonts w:ascii="仿宋" w:hAnsi="仿宋" w:eastAsia="仿宋" w:cs="仿宋"/>
          <w:sz w:val="21"/>
        </w:rPr>
      </w:pPr>
      <w:bookmarkStart w:id="51" w:name="_Toc25895"/>
      <w:r>
        <w:rPr>
          <w:rFonts w:hint="eastAsia" w:ascii="仿宋" w:hAnsi="仿宋" w:eastAsia="仿宋" w:cs="仿宋"/>
          <w:sz w:val="21"/>
        </w:rPr>
        <w:t>2.6“货物”是指：各种形态和种类的物品，包括原材料、燃料、设备、产品等。</w:t>
      </w:r>
      <w:bookmarkEnd w:id="51"/>
    </w:p>
    <w:p>
      <w:pPr>
        <w:pStyle w:val="19"/>
        <w:tabs>
          <w:tab w:val="left" w:pos="0"/>
        </w:tabs>
        <w:spacing w:line="240" w:lineRule="auto"/>
        <w:ind w:left="0" w:leftChars="0" w:firstLine="0" w:firstLineChars="0"/>
        <w:jc w:val="left"/>
        <w:rPr>
          <w:rFonts w:ascii="仿宋" w:hAnsi="仿宋" w:eastAsia="仿宋" w:cs="仿宋"/>
          <w:sz w:val="21"/>
        </w:rPr>
      </w:pPr>
      <w:bookmarkStart w:id="52" w:name="_Toc9731"/>
      <w:r>
        <w:rPr>
          <w:rFonts w:hint="eastAsia" w:ascii="仿宋" w:hAnsi="仿宋" w:eastAsia="仿宋" w:cs="仿宋"/>
          <w:sz w:val="21"/>
        </w:rPr>
        <w:t>2.7“服务”是指：除货物和工程以外的其他政府采购对象。</w:t>
      </w:r>
      <w:bookmarkEnd w:id="52"/>
    </w:p>
    <w:p>
      <w:pPr>
        <w:pStyle w:val="19"/>
        <w:tabs>
          <w:tab w:val="left" w:pos="0"/>
        </w:tabs>
        <w:spacing w:line="240" w:lineRule="auto"/>
        <w:ind w:left="0" w:leftChars="0" w:firstLine="0" w:firstLineChars="0"/>
        <w:jc w:val="left"/>
        <w:rPr>
          <w:rFonts w:ascii="仿宋" w:hAnsi="仿宋" w:eastAsia="仿宋" w:cs="仿宋"/>
          <w:sz w:val="21"/>
        </w:rPr>
      </w:pPr>
      <w:bookmarkStart w:id="53" w:name="_Toc3113"/>
      <w:r>
        <w:rPr>
          <w:rFonts w:hint="eastAsia" w:ascii="仿宋" w:hAnsi="仿宋" w:eastAsia="仿宋" w:cs="仿宋"/>
          <w:sz w:val="21"/>
        </w:rPr>
        <w:t>2.8“响应文件”是指：供应商根据本文件要求，编制包含响应、技术和服务等所有内容的文件。</w:t>
      </w:r>
      <w:bookmarkEnd w:id="53"/>
    </w:p>
    <w:p>
      <w:pPr>
        <w:pStyle w:val="19"/>
        <w:tabs>
          <w:tab w:val="left" w:pos="0"/>
        </w:tabs>
        <w:spacing w:line="240" w:lineRule="auto"/>
        <w:ind w:left="0" w:leftChars="0" w:firstLine="0" w:firstLineChars="0"/>
        <w:jc w:val="left"/>
        <w:rPr>
          <w:rFonts w:ascii="仿宋" w:hAnsi="仿宋" w:eastAsia="仿宋" w:cs="仿宋"/>
          <w:sz w:val="21"/>
        </w:rPr>
      </w:pPr>
      <w:bookmarkStart w:id="54" w:name="_Toc2936"/>
      <w:r>
        <w:rPr>
          <w:rFonts w:hint="eastAsia" w:ascii="仿宋" w:hAnsi="仿宋" w:eastAsia="仿宋" w:cs="仿宋"/>
          <w:sz w:val="21"/>
        </w:rPr>
        <w:t>2.9：“电子响应文件”是指：利用新疆生产建设兵团政府采购网提供的“电子投标文件制作工具”编制加密的响应文件。</w:t>
      </w:r>
      <w:bookmarkEnd w:id="54"/>
    </w:p>
    <w:p>
      <w:pPr>
        <w:pStyle w:val="19"/>
        <w:tabs>
          <w:tab w:val="left" w:pos="0"/>
        </w:tabs>
        <w:spacing w:line="240" w:lineRule="auto"/>
        <w:ind w:left="0" w:leftChars="0" w:firstLine="0" w:firstLineChars="0"/>
        <w:jc w:val="left"/>
        <w:rPr>
          <w:rFonts w:ascii="仿宋" w:hAnsi="仿宋" w:eastAsia="仿宋" w:cs="仿宋"/>
          <w:sz w:val="21"/>
        </w:rPr>
      </w:pPr>
      <w:bookmarkStart w:id="55" w:name="_Toc13431"/>
      <w:r>
        <w:rPr>
          <w:rFonts w:hint="eastAsia" w:ascii="仿宋" w:hAnsi="仿宋" w:eastAsia="仿宋" w:cs="仿宋"/>
          <w:sz w:val="21"/>
        </w:rPr>
        <w:t>3.供应商必须具备的基本条件</w:t>
      </w:r>
      <w:bookmarkEnd w:id="55"/>
    </w:p>
    <w:p>
      <w:pPr>
        <w:pStyle w:val="19"/>
        <w:tabs>
          <w:tab w:val="left" w:pos="0"/>
        </w:tabs>
        <w:spacing w:line="240" w:lineRule="auto"/>
        <w:ind w:left="0" w:leftChars="0" w:firstLine="0" w:firstLineChars="0"/>
        <w:jc w:val="left"/>
        <w:rPr>
          <w:rFonts w:ascii="仿宋" w:hAnsi="仿宋" w:eastAsia="仿宋" w:cs="仿宋"/>
          <w:sz w:val="21"/>
        </w:rPr>
      </w:pPr>
      <w:bookmarkStart w:id="56" w:name="_Toc20519"/>
      <w:r>
        <w:rPr>
          <w:rFonts w:hint="eastAsia" w:ascii="仿宋" w:hAnsi="仿宋" w:eastAsia="仿宋" w:cs="仿宋"/>
          <w:sz w:val="21"/>
        </w:rPr>
        <w:t>3.1 符合采购文件“第一章 采购邀请函”第四条所规定的供应商资格要求，有能力提供本项目货物及相关服务的供应商。</w:t>
      </w:r>
      <w:bookmarkEnd w:id="56"/>
    </w:p>
    <w:p>
      <w:pPr>
        <w:pStyle w:val="19"/>
        <w:tabs>
          <w:tab w:val="left" w:pos="0"/>
        </w:tabs>
        <w:spacing w:line="240" w:lineRule="auto"/>
        <w:ind w:left="0" w:leftChars="0" w:firstLine="0" w:firstLineChars="0"/>
        <w:jc w:val="left"/>
        <w:rPr>
          <w:rFonts w:ascii="仿宋" w:hAnsi="仿宋" w:eastAsia="仿宋" w:cs="仿宋"/>
          <w:sz w:val="21"/>
        </w:rPr>
      </w:pPr>
      <w:bookmarkStart w:id="57" w:name="_Toc22211"/>
      <w:r>
        <w:rPr>
          <w:rFonts w:hint="eastAsia" w:ascii="仿宋" w:hAnsi="仿宋" w:eastAsia="仿宋" w:cs="仿宋"/>
          <w:sz w:val="21"/>
        </w:rPr>
        <w:t>4.响应费用</w:t>
      </w:r>
      <w:bookmarkEnd w:id="57"/>
    </w:p>
    <w:p>
      <w:pPr>
        <w:pStyle w:val="19"/>
        <w:tabs>
          <w:tab w:val="left" w:pos="0"/>
        </w:tabs>
        <w:spacing w:line="240" w:lineRule="auto"/>
        <w:ind w:left="0" w:leftChars="0" w:firstLine="0" w:firstLineChars="0"/>
        <w:jc w:val="left"/>
        <w:rPr>
          <w:rFonts w:ascii="仿宋" w:hAnsi="仿宋" w:eastAsia="仿宋" w:cs="仿宋"/>
          <w:sz w:val="21"/>
        </w:rPr>
      </w:pPr>
      <w:bookmarkStart w:id="58" w:name="_Toc7383"/>
      <w:r>
        <w:rPr>
          <w:rFonts w:hint="eastAsia" w:ascii="仿宋" w:hAnsi="仿宋" w:eastAsia="仿宋" w:cs="仿宋"/>
          <w:sz w:val="21"/>
        </w:rPr>
        <w:t>4.1 供应商应自行承担所有与编写和提交响应文件有关的费用，不论结果如何，采购人和采购代理机构在任何情况下无义务和责任承担此类费用。</w:t>
      </w:r>
      <w:bookmarkEnd w:id="58"/>
    </w:p>
    <w:p>
      <w:pPr>
        <w:pStyle w:val="19"/>
        <w:tabs>
          <w:tab w:val="left" w:pos="0"/>
        </w:tabs>
        <w:spacing w:line="240" w:lineRule="auto"/>
        <w:ind w:left="0" w:leftChars="0" w:firstLine="0" w:firstLineChars="0"/>
        <w:jc w:val="left"/>
        <w:rPr>
          <w:rFonts w:ascii="仿宋" w:hAnsi="仿宋" w:eastAsia="仿宋" w:cs="仿宋"/>
          <w:sz w:val="21"/>
        </w:rPr>
      </w:pPr>
    </w:p>
    <w:p>
      <w:pPr>
        <w:pStyle w:val="19"/>
        <w:tabs>
          <w:tab w:val="left" w:pos="0"/>
        </w:tabs>
        <w:spacing w:line="240" w:lineRule="auto"/>
        <w:ind w:left="0" w:leftChars="0" w:firstLine="0" w:firstLineChars="0"/>
        <w:jc w:val="left"/>
        <w:rPr>
          <w:rFonts w:ascii="仿宋" w:hAnsi="仿宋" w:eastAsia="仿宋" w:cs="仿宋"/>
          <w:sz w:val="21"/>
        </w:rPr>
      </w:pPr>
      <w:bookmarkStart w:id="59" w:name="_Toc18449"/>
      <w:r>
        <w:rPr>
          <w:rFonts w:hint="eastAsia" w:ascii="仿宋" w:hAnsi="仿宋" w:eastAsia="仿宋" w:cs="仿宋"/>
          <w:sz w:val="21"/>
        </w:rPr>
        <w:t>二、响应文件的编制</w:t>
      </w:r>
      <w:bookmarkEnd w:id="59"/>
    </w:p>
    <w:p>
      <w:pPr>
        <w:pStyle w:val="19"/>
        <w:tabs>
          <w:tab w:val="left" w:pos="0"/>
        </w:tabs>
        <w:spacing w:line="240" w:lineRule="auto"/>
        <w:ind w:left="0" w:leftChars="0" w:firstLine="0" w:firstLineChars="0"/>
        <w:jc w:val="left"/>
        <w:rPr>
          <w:rFonts w:ascii="仿宋" w:hAnsi="仿宋" w:eastAsia="仿宋" w:cs="仿宋"/>
          <w:sz w:val="21"/>
        </w:rPr>
      </w:pPr>
      <w:bookmarkStart w:id="60" w:name="_Toc27765"/>
      <w:r>
        <w:rPr>
          <w:rFonts w:hint="eastAsia" w:ascii="仿宋" w:hAnsi="仿宋" w:eastAsia="仿宋" w:cs="仿宋"/>
          <w:sz w:val="21"/>
        </w:rPr>
        <w:t>5.响应文件编制基本要求</w:t>
      </w:r>
      <w:bookmarkEnd w:id="60"/>
    </w:p>
    <w:p>
      <w:pPr>
        <w:pStyle w:val="19"/>
        <w:tabs>
          <w:tab w:val="left" w:pos="0"/>
        </w:tabs>
        <w:spacing w:line="240" w:lineRule="auto"/>
        <w:ind w:left="0" w:leftChars="0" w:firstLine="0" w:firstLineChars="0"/>
        <w:jc w:val="left"/>
        <w:rPr>
          <w:rFonts w:ascii="仿宋" w:hAnsi="仿宋" w:eastAsia="仿宋" w:cs="仿宋"/>
          <w:sz w:val="21"/>
        </w:rPr>
      </w:pPr>
      <w:bookmarkStart w:id="61" w:name="_Toc29123"/>
      <w:r>
        <w:rPr>
          <w:rFonts w:hint="eastAsia" w:ascii="仿宋" w:hAnsi="仿宋" w:eastAsia="仿宋" w:cs="仿宋"/>
          <w:sz w:val="21"/>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bookmarkEnd w:id="61"/>
    </w:p>
    <w:p>
      <w:pPr>
        <w:pStyle w:val="19"/>
        <w:tabs>
          <w:tab w:val="left" w:pos="0"/>
        </w:tabs>
        <w:spacing w:line="240" w:lineRule="auto"/>
        <w:ind w:left="0" w:leftChars="0" w:firstLine="0" w:firstLineChars="0"/>
        <w:jc w:val="left"/>
        <w:rPr>
          <w:rFonts w:ascii="仿宋" w:hAnsi="仿宋" w:eastAsia="仿宋" w:cs="仿宋"/>
          <w:sz w:val="21"/>
        </w:rPr>
      </w:pPr>
      <w:bookmarkStart w:id="62" w:name="_Toc7254"/>
      <w:r>
        <w:rPr>
          <w:rFonts w:hint="eastAsia" w:ascii="仿宋" w:hAnsi="仿宋" w:eastAsia="仿宋" w:cs="仿宋"/>
          <w:sz w:val="21"/>
        </w:rPr>
        <w:t>5.2供应商应认真阅读、并充分理解本文件的全部内容（包括所有的补充、修改内容），承诺并履行本文件中各项条款规定及要求。</w:t>
      </w:r>
      <w:bookmarkEnd w:id="62"/>
    </w:p>
    <w:p>
      <w:pPr>
        <w:pStyle w:val="19"/>
        <w:tabs>
          <w:tab w:val="left" w:pos="0"/>
        </w:tabs>
        <w:spacing w:line="240" w:lineRule="auto"/>
        <w:ind w:left="0" w:leftChars="0" w:firstLine="0" w:firstLineChars="0"/>
        <w:jc w:val="left"/>
        <w:rPr>
          <w:rFonts w:ascii="仿宋" w:hAnsi="仿宋" w:eastAsia="仿宋" w:cs="仿宋"/>
          <w:sz w:val="21"/>
        </w:rPr>
      </w:pPr>
      <w:bookmarkStart w:id="63" w:name="_Toc30551"/>
      <w:r>
        <w:rPr>
          <w:rFonts w:hint="eastAsia" w:ascii="仿宋" w:hAnsi="仿宋" w:eastAsia="仿宋" w:cs="仿宋"/>
          <w:sz w:val="21"/>
        </w:rPr>
        <w:t>5.3响应文件必须按本文件的全部内容，包括所有的补充通知及附件进行编制。</w:t>
      </w:r>
      <w:bookmarkEnd w:id="63"/>
    </w:p>
    <w:p>
      <w:pPr>
        <w:pStyle w:val="19"/>
        <w:tabs>
          <w:tab w:val="left" w:pos="0"/>
        </w:tabs>
        <w:spacing w:line="240" w:lineRule="auto"/>
        <w:ind w:left="0" w:leftChars="0" w:firstLine="0" w:firstLineChars="0"/>
        <w:jc w:val="left"/>
        <w:rPr>
          <w:rFonts w:ascii="仿宋" w:hAnsi="仿宋" w:eastAsia="仿宋" w:cs="仿宋"/>
          <w:sz w:val="21"/>
        </w:rPr>
      </w:pPr>
      <w:bookmarkStart w:id="64" w:name="_Toc30615"/>
      <w:r>
        <w:rPr>
          <w:rFonts w:hint="eastAsia" w:ascii="仿宋" w:hAnsi="仿宋" w:eastAsia="仿宋" w:cs="仿宋"/>
          <w:sz w:val="21"/>
        </w:rPr>
        <w:t>5.4如因供应商只填写和提供了本文件要求的部分内容和附件，而给评审造成困难，其可能导致的结果和责任由供应商自行承担。</w:t>
      </w:r>
      <w:bookmarkEnd w:id="64"/>
    </w:p>
    <w:p>
      <w:pPr>
        <w:pStyle w:val="19"/>
        <w:tabs>
          <w:tab w:val="left" w:pos="0"/>
        </w:tabs>
        <w:spacing w:line="240" w:lineRule="auto"/>
        <w:ind w:left="0" w:leftChars="0" w:firstLine="0" w:firstLineChars="0"/>
        <w:jc w:val="left"/>
        <w:rPr>
          <w:rFonts w:ascii="仿宋" w:hAnsi="仿宋" w:eastAsia="仿宋" w:cs="仿宋"/>
          <w:sz w:val="21"/>
        </w:rPr>
      </w:pPr>
      <w:bookmarkStart w:id="65" w:name="_Toc7871"/>
      <w:r>
        <w:rPr>
          <w:rFonts w:hint="eastAsia" w:ascii="仿宋" w:hAnsi="仿宋" w:eastAsia="仿宋" w:cs="仿宋"/>
          <w:sz w:val="21"/>
        </w:rPr>
        <w:t>6.响应文件的组成</w:t>
      </w:r>
      <w:bookmarkEnd w:id="65"/>
    </w:p>
    <w:p>
      <w:pPr>
        <w:pStyle w:val="19"/>
        <w:tabs>
          <w:tab w:val="left" w:pos="0"/>
        </w:tabs>
        <w:spacing w:line="240" w:lineRule="auto"/>
        <w:ind w:left="0" w:leftChars="0" w:firstLine="0" w:firstLineChars="0"/>
        <w:jc w:val="left"/>
        <w:rPr>
          <w:rFonts w:ascii="仿宋" w:hAnsi="仿宋" w:eastAsia="仿宋" w:cs="仿宋"/>
          <w:sz w:val="21"/>
        </w:rPr>
      </w:pPr>
      <w:bookmarkStart w:id="66" w:name="_Toc24195"/>
      <w:r>
        <w:rPr>
          <w:rFonts w:hint="eastAsia" w:ascii="仿宋" w:hAnsi="仿宋" w:eastAsia="仿宋" w:cs="仿宋"/>
          <w:sz w:val="21"/>
        </w:rPr>
        <w:t>6.1响应文件由以下内容组成：</w:t>
      </w:r>
      <w:bookmarkEnd w:id="66"/>
    </w:p>
    <w:p>
      <w:pPr>
        <w:pStyle w:val="19"/>
        <w:tabs>
          <w:tab w:val="left" w:pos="0"/>
        </w:tabs>
        <w:spacing w:line="240" w:lineRule="auto"/>
        <w:ind w:left="0" w:leftChars="0" w:firstLine="0" w:firstLineChars="0"/>
        <w:jc w:val="left"/>
        <w:rPr>
          <w:rFonts w:ascii="仿宋" w:hAnsi="仿宋" w:eastAsia="仿宋" w:cs="仿宋"/>
          <w:sz w:val="21"/>
        </w:rPr>
      </w:pPr>
      <w:bookmarkStart w:id="67" w:name="_Toc14513"/>
      <w:r>
        <w:rPr>
          <w:rFonts w:hint="eastAsia" w:ascii="仿宋" w:hAnsi="仿宋" w:eastAsia="仿宋" w:cs="仿宋"/>
          <w:sz w:val="21"/>
        </w:rPr>
        <w:t>6.1.1响应文件分为资格审查资料、商务文件、技术文件和服务文件。</w:t>
      </w:r>
      <w:bookmarkEnd w:id="67"/>
    </w:p>
    <w:p>
      <w:pPr>
        <w:pStyle w:val="19"/>
        <w:tabs>
          <w:tab w:val="left" w:pos="0"/>
        </w:tabs>
        <w:spacing w:line="240" w:lineRule="auto"/>
        <w:ind w:left="0" w:leftChars="0" w:firstLine="0" w:firstLineChars="0"/>
        <w:jc w:val="left"/>
        <w:rPr>
          <w:rFonts w:ascii="仿宋" w:hAnsi="仿宋" w:eastAsia="仿宋" w:cs="仿宋"/>
          <w:sz w:val="21"/>
        </w:rPr>
      </w:pPr>
      <w:r>
        <w:rPr>
          <w:rFonts w:hint="eastAsia" w:ascii="仿宋" w:hAnsi="仿宋" w:eastAsia="仿宋" w:cs="仿宋"/>
          <w:sz w:val="21"/>
        </w:rPr>
        <w:t xml:space="preserve">    </w:t>
      </w:r>
      <w:bookmarkStart w:id="68" w:name="_Toc29223"/>
      <w:r>
        <w:rPr>
          <w:rFonts w:hint="eastAsia" w:ascii="仿宋" w:hAnsi="仿宋" w:eastAsia="仿宋" w:cs="仿宋"/>
          <w:sz w:val="21"/>
        </w:rPr>
        <w:t>商务文件指投标人提交的证明其有资格参加投标和中标后有能力履行合同的文件。技术和服务文件指投标人提交的能够证明其提供的货物及服务符合招标文件规定的文件。本次招标，投标人须按招标文件第二章“投标人须知前附表”中第6项规定提交资格审查资料、商务文件、技术文件和服务文件，其中加★项目若有缺失或无效，将导致投标被拒绝且不允许在开标后补正。</w:t>
      </w:r>
      <w:bookmarkEnd w:id="68"/>
    </w:p>
    <w:p>
      <w:pPr>
        <w:pStyle w:val="19"/>
        <w:tabs>
          <w:tab w:val="left" w:pos="0"/>
        </w:tabs>
        <w:spacing w:line="240" w:lineRule="auto"/>
        <w:ind w:left="0" w:leftChars="0" w:firstLine="0" w:firstLineChars="0"/>
        <w:jc w:val="left"/>
        <w:rPr>
          <w:rFonts w:ascii="仿宋" w:hAnsi="仿宋" w:eastAsia="仿宋" w:cs="仿宋"/>
          <w:sz w:val="21"/>
        </w:rPr>
      </w:pPr>
      <w:bookmarkStart w:id="69" w:name="_Toc28786"/>
      <w:r>
        <w:rPr>
          <w:rFonts w:hint="eastAsia" w:ascii="仿宋" w:hAnsi="仿宋" w:eastAsia="仿宋" w:cs="仿宋"/>
          <w:sz w:val="21"/>
        </w:rPr>
        <w:t>注意事项：</w:t>
      </w:r>
      <w:bookmarkEnd w:id="69"/>
      <w:r>
        <w:rPr>
          <w:rFonts w:hint="eastAsia" w:ascii="仿宋" w:hAnsi="仿宋" w:eastAsia="仿宋" w:cs="仿宋"/>
          <w:sz w:val="21"/>
        </w:rPr>
        <w:t xml:space="preserve"> </w:t>
      </w:r>
    </w:p>
    <w:p>
      <w:pPr>
        <w:pStyle w:val="19"/>
        <w:tabs>
          <w:tab w:val="left" w:pos="0"/>
        </w:tabs>
        <w:spacing w:line="240" w:lineRule="auto"/>
        <w:ind w:left="0" w:leftChars="0" w:firstLine="0" w:firstLineChars="0"/>
        <w:jc w:val="left"/>
        <w:rPr>
          <w:rFonts w:ascii="仿宋" w:hAnsi="仿宋" w:eastAsia="仿宋" w:cs="仿宋"/>
          <w:sz w:val="21"/>
        </w:rPr>
      </w:pPr>
      <w:bookmarkStart w:id="70" w:name="_Toc11641"/>
      <w:r>
        <w:rPr>
          <w:rFonts w:hint="eastAsia" w:ascii="仿宋" w:hAnsi="仿宋" w:eastAsia="仿宋" w:cs="仿宋"/>
          <w:sz w:val="21"/>
        </w:rPr>
        <w:t>7.响应文件的编制</w:t>
      </w:r>
      <w:bookmarkEnd w:id="70"/>
    </w:p>
    <w:p>
      <w:pPr>
        <w:pStyle w:val="19"/>
        <w:tabs>
          <w:tab w:val="left" w:pos="0"/>
        </w:tabs>
        <w:spacing w:line="240" w:lineRule="auto"/>
        <w:ind w:left="0" w:leftChars="0" w:firstLine="0" w:firstLineChars="0"/>
        <w:jc w:val="left"/>
        <w:rPr>
          <w:rFonts w:ascii="仿宋" w:hAnsi="仿宋" w:eastAsia="仿宋" w:cs="仿宋"/>
          <w:sz w:val="21"/>
        </w:rPr>
      </w:pPr>
      <w:bookmarkStart w:id="71" w:name="_Toc26333"/>
      <w:r>
        <w:rPr>
          <w:rFonts w:hint="eastAsia" w:ascii="仿宋" w:hAnsi="仿宋" w:eastAsia="仿宋" w:cs="仿宋"/>
          <w:sz w:val="21"/>
        </w:rPr>
        <w:t>7.1电子响应文件的编制</w:t>
      </w:r>
      <w:bookmarkEnd w:id="71"/>
    </w:p>
    <w:p>
      <w:pPr>
        <w:pStyle w:val="19"/>
        <w:tabs>
          <w:tab w:val="left" w:pos="0"/>
        </w:tabs>
        <w:spacing w:line="240" w:lineRule="auto"/>
        <w:ind w:left="0" w:leftChars="0" w:firstLine="0" w:firstLineChars="0"/>
        <w:jc w:val="left"/>
        <w:rPr>
          <w:rFonts w:ascii="仿宋" w:hAnsi="仿宋" w:eastAsia="仿宋" w:cs="仿宋"/>
          <w:sz w:val="21"/>
        </w:rPr>
      </w:pPr>
      <w:bookmarkStart w:id="72" w:name="_Toc24762"/>
      <w:r>
        <w:rPr>
          <w:rFonts w:hint="eastAsia" w:ascii="仿宋" w:hAnsi="仿宋" w:eastAsia="仿宋" w:cs="仿宋"/>
          <w:sz w:val="21"/>
        </w:rPr>
        <w:t>1）电子响应文件应按照统一的“电子投标文件制作工具”以及采购文件要求进行制作编制，保证目录清晰、内容完整；</w:t>
      </w:r>
      <w:bookmarkEnd w:id="72"/>
    </w:p>
    <w:p>
      <w:pPr>
        <w:pStyle w:val="19"/>
        <w:tabs>
          <w:tab w:val="left" w:pos="0"/>
        </w:tabs>
        <w:spacing w:line="240" w:lineRule="auto"/>
        <w:ind w:left="0" w:leftChars="0" w:firstLine="0" w:firstLineChars="0"/>
        <w:jc w:val="left"/>
        <w:rPr>
          <w:rFonts w:ascii="仿宋" w:hAnsi="仿宋" w:eastAsia="仿宋" w:cs="仿宋"/>
          <w:sz w:val="21"/>
        </w:rPr>
      </w:pPr>
      <w:bookmarkStart w:id="73" w:name="_Toc23221"/>
      <w:r>
        <w:rPr>
          <w:rFonts w:hint="eastAsia" w:ascii="仿宋" w:hAnsi="仿宋" w:eastAsia="仿宋" w:cs="仿宋"/>
          <w:sz w:val="21"/>
        </w:rPr>
        <w:t>2）电子响应文件各类证件须与供应商注册登记资料相一致；</w:t>
      </w:r>
      <w:bookmarkEnd w:id="73"/>
    </w:p>
    <w:p>
      <w:pPr>
        <w:pStyle w:val="19"/>
        <w:tabs>
          <w:tab w:val="left" w:pos="0"/>
        </w:tabs>
        <w:spacing w:line="240" w:lineRule="auto"/>
        <w:ind w:left="0" w:leftChars="0" w:firstLine="0" w:firstLineChars="0"/>
        <w:jc w:val="left"/>
        <w:rPr>
          <w:rFonts w:ascii="仿宋" w:hAnsi="仿宋" w:eastAsia="仿宋" w:cs="仿宋"/>
          <w:sz w:val="21"/>
        </w:rPr>
      </w:pPr>
      <w:bookmarkStart w:id="74" w:name="_Toc26884"/>
      <w:r>
        <w:rPr>
          <w:rFonts w:hint="eastAsia" w:ascii="仿宋" w:hAnsi="仿宋" w:eastAsia="仿宋" w:cs="仿宋"/>
          <w:sz w:val="21"/>
        </w:rPr>
        <w:t>3）网上提交的电子响应文件（加密）为正本，评审现场提交的电子光盘(未加密的电子响应文件)为副本。当副本和正本不一致时，以正本为准。</w:t>
      </w:r>
      <w:bookmarkEnd w:id="74"/>
      <w:r>
        <w:rPr>
          <w:rFonts w:hint="eastAsia" w:ascii="仿宋" w:hAnsi="仿宋" w:eastAsia="仿宋" w:cs="仿宋"/>
          <w:sz w:val="21"/>
        </w:rPr>
        <w:t xml:space="preserve"> </w:t>
      </w:r>
    </w:p>
    <w:p>
      <w:pPr>
        <w:pStyle w:val="19"/>
        <w:tabs>
          <w:tab w:val="left" w:pos="0"/>
        </w:tabs>
        <w:spacing w:line="240" w:lineRule="auto"/>
        <w:ind w:left="0" w:leftChars="0" w:firstLine="0" w:firstLineChars="0"/>
        <w:jc w:val="left"/>
        <w:rPr>
          <w:rFonts w:ascii="仿宋" w:hAnsi="仿宋" w:eastAsia="仿宋" w:cs="仿宋"/>
          <w:sz w:val="21"/>
        </w:rPr>
      </w:pPr>
      <w:bookmarkStart w:id="75" w:name="_Toc28807"/>
      <w:r>
        <w:rPr>
          <w:rFonts w:hint="eastAsia" w:ascii="仿宋" w:hAnsi="仿宋" w:eastAsia="仿宋" w:cs="仿宋"/>
          <w:sz w:val="21"/>
        </w:rPr>
        <w:t>4）供应商因自身原因导致电子响应文件无法导入电子评标系统的，该响应文件视为无效文件。</w:t>
      </w:r>
      <w:bookmarkEnd w:id="75"/>
      <w:r>
        <w:rPr>
          <w:rFonts w:hint="eastAsia" w:ascii="仿宋" w:hAnsi="仿宋" w:eastAsia="仿宋" w:cs="仿宋"/>
          <w:sz w:val="21"/>
        </w:rPr>
        <w:t xml:space="preserve"> </w:t>
      </w:r>
    </w:p>
    <w:p>
      <w:pPr>
        <w:pStyle w:val="19"/>
        <w:tabs>
          <w:tab w:val="left" w:pos="0"/>
        </w:tabs>
        <w:spacing w:line="240" w:lineRule="auto"/>
        <w:ind w:left="0" w:leftChars="0" w:firstLine="0" w:firstLineChars="0"/>
        <w:jc w:val="left"/>
        <w:rPr>
          <w:rFonts w:ascii="仿宋" w:hAnsi="仿宋" w:eastAsia="仿宋" w:cs="仿宋"/>
          <w:sz w:val="21"/>
        </w:rPr>
      </w:pPr>
      <w:bookmarkStart w:id="76" w:name="_Toc3357"/>
      <w:r>
        <w:rPr>
          <w:rFonts w:hint="eastAsia" w:ascii="仿宋" w:hAnsi="仿宋" w:eastAsia="仿宋" w:cs="仿宋"/>
          <w:sz w:val="21"/>
        </w:rPr>
        <w:t>5）采购文件以及电子响应文件具有法律效力,与其他形式的采购文件以及电子响应文件在内容和格式上等同，若响应文件与采购文件要求不一致，其内容影响成交结果时，责任由供应商自行承担。</w:t>
      </w:r>
      <w:bookmarkEnd w:id="76"/>
      <w:r>
        <w:rPr>
          <w:rFonts w:hint="eastAsia" w:ascii="仿宋" w:hAnsi="仿宋" w:eastAsia="仿宋" w:cs="仿宋"/>
          <w:sz w:val="21"/>
        </w:rPr>
        <w:t xml:space="preserve"> </w:t>
      </w:r>
    </w:p>
    <w:p>
      <w:pPr>
        <w:pStyle w:val="19"/>
        <w:tabs>
          <w:tab w:val="left" w:pos="0"/>
        </w:tabs>
        <w:spacing w:line="240" w:lineRule="auto"/>
        <w:ind w:left="0" w:leftChars="0" w:firstLine="0" w:firstLineChars="0"/>
        <w:jc w:val="left"/>
        <w:rPr>
          <w:rFonts w:ascii="仿宋" w:hAnsi="仿宋" w:eastAsia="仿宋" w:cs="仿宋"/>
          <w:sz w:val="21"/>
        </w:rPr>
      </w:pPr>
      <w:bookmarkStart w:id="77" w:name="_Toc32427"/>
      <w:r>
        <w:rPr>
          <w:rFonts w:hint="eastAsia" w:ascii="仿宋" w:hAnsi="仿宋" w:eastAsia="仿宋" w:cs="仿宋"/>
          <w:sz w:val="21"/>
        </w:rPr>
        <w:t>6）为了保证电子响应文件的合法性、安全性和完整性，电子响应文件转换完成后，应在规定区域加盖单位CA印章。电子响应文件若无 CA电子签章，则视为无效文件。</w:t>
      </w:r>
      <w:bookmarkEnd w:id="77"/>
    </w:p>
    <w:p>
      <w:pPr>
        <w:pStyle w:val="19"/>
        <w:tabs>
          <w:tab w:val="left" w:pos="0"/>
        </w:tabs>
        <w:spacing w:line="240" w:lineRule="auto"/>
        <w:ind w:left="0" w:leftChars="0" w:firstLine="0" w:firstLineChars="0"/>
        <w:jc w:val="left"/>
        <w:rPr>
          <w:rFonts w:ascii="仿宋" w:hAnsi="仿宋" w:eastAsia="仿宋" w:cs="仿宋"/>
          <w:sz w:val="21"/>
        </w:rPr>
      </w:pPr>
      <w:bookmarkStart w:id="78" w:name="_Toc29189"/>
      <w:r>
        <w:rPr>
          <w:rFonts w:hint="eastAsia" w:ascii="仿宋" w:hAnsi="仿宋" w:eastAsia="仿宋" w:cs="仿宋"/>
          <w:sz w:val="21"/>
        </w:rPr>
        <w:t>7.2电子响应文件光盘由供应商自行将编制完成不加密的电子响应文件刻录成光盘。</w:t>
      </w:r>
      <w:bookmarkEnd w:id="78"/>
    </w:p>
    <w:p>
      <w:pPr>
        <w:pStyle w:val="19"/>
        <w:tabs>
          <w:tab w:val="left" w:pos="0"/>
        </w:tabs>
        <w:spacing w:line="240" w:lineRule="auto"/>
        <w:ind w:left="0" w:leftChars="0" w:firstLine="0" w:firstLineChars="0"/>
        <w:jc w:val="left"/>
        <w:rPr>
          <w:rFonts w:ascii="仿宋" w:hAnsi="仿宋" w:eastAsia="仿宋" w:cs="仿宋"/>
          <w:sz w:val="21"/>
        </w:rPr>
      </w:pPr>
      <w:bookmarkStart w:id="79" w:name="_Toc9754"/>
      <w:r>
        <w:rPr>
          <w:rFonts w:hint="eastAsia" w:ascii="仿宋" w:hAnsi="仿宋" w:eastAsia="仿宋" w:cs="仿宋"/>
          <w:sz w:val="21"/>
        </w:rPr>
        <w:t>8.计量单位</w:t>
      </w:r>
      <w:bookmarkEnd w:id="79"/>
    </w:p>
    <w:p>
      <w:pPr>
        <w:pStyle w:val="19"/>
        <w:tabs>
          <w:tab w:val="left" w:pos="0"/>
        </w:tabs>
        <w:spacing w:line="240" w:lineRule="auto"/>
        <w:ind w:left="0" w:leftChars="0" w:firstLine="0" w:firstLineChars="0"/>
        <w:jc w:val="left"/>
        <w:rPr>
          <w:rFonts w:ascii="仿宋" w:hAnsi="仿宋" w:eastAsia="仿宋" w:cs="仿宋"/>
          <w:sz w:val="21"/>
        </w:rPr>
      </w:pPr>
      <w:bookmarkStart w:id="80" w:name="_Toc27870"/>
      <w:r>
        <w:rPr>
          <w:rFonts w:hint="eastAsia" w:ascii="仿宋" w:hAnsi="仿宋" w:eastAsia="仿宋" w:cs="仿宋"/>
          <w:sz w:val="21"/>
        </w:rPr>
        <w:t>8.1除技术要求中另有规定外，本文件所要求使用的计量单位均应采用国家法定计量单位。</w:t>
      </w:r>
      <w:bookmarkEnd w:id="80"/>
    </w:p>
    <w:p>
      <w:pPr>
        <w:pStyle w:val="19"/>
        <w:tabs>
          <w:tab w:val="left" w:pos="0"/>
        </w:tabs>
        <w:spacing w:line="240" w:lineRule="auto"/>
        <w:ind w:left="0" w:leftChars="0" w:firstLine="0" w:firstLineChars="0"/>
        <w:jc w:val="left"/>
        <w:rPr>
          <w:rFonts w:ascii="仿宋" w:hAnsi="仿宋" w:eastAsia="仿宋" w:cs="仿宋"/>
          <w:sz w:val="21"/>
        </w:rPr>
      </w:pPr>
      <w:bookmarkStart w:id="81" w:name="_Toc1851"/>
      <w:r>
        <w:rPr>
          <w:rFonts w:hint="eastAsia" w:ascii="仿宋" w:hAnsi="仿宋" w:eastAsia="仿宋" w:cs="仿宋"/>
          <w:sz w:val="21"/>
        </w:rPr>
        <w:t>9.响应要求</w:t>
      </w:r>
      <w:bookmarkEnd w:id="81"/>
    </w:p>
    <w:p>
      <w:pPr>
        <w:pStyle w:val="19"/>
        <w:tabs>
          <w:tab w:val="left" w:pos="0"/>
        </w:tabs>
        <w:spacing w:line="240" w:lineRule="auto"/>
        <w:ind w:left="0" w:leftChars="0" w:firstLine="0" w:firstLineChars="0"/>
        <w:jc w:val="left"/>
        <w:rPr>
          <w:rFonts w:ascii="仿宋" w:hAnsi="仿宋" w:eastAsia="仿宋" w:cs="仿宋"/>
          <w:sz w:val="21"/>
        </w:rPr>
      </w:pPr>
      <w:bookmarkStart w:id="82" w:name="_Toc25880"/>
      <w:r>
        <w:rPr>
          <w:rFonts w:hint="eastAsia" w:ascii="仿宋" w:hAnsi="仿宋" w:eastAsia="仿宋" w:cs="仿宋"/>
          <w:sz w:val="21"/>
        </w:rPr>
        <w:t>9.1供应商所提供的货物和服务均以人民币为单位报价。</w:t>
      </w:r>
      <w:bookmarkEnd w:id="82"/>
    </w:p>
    <w:p>
      <w:pPr>
        <w:pStyle w:val="19"/>
        <w:tabs>
          <w:tab w:val="left" w:pos="0"/>
        </w:tabs>
        <w:spacing w:line="240" w:lineRule="auto"/>
        <w:ind w:left="0" w:leftChars="0" w:firstLine="0" w:firstLineChars="0"/>
        <w:jc w:val="left"/>
        <w:rPr>
          <w:rFonts w:ascii="仿宋" w:hAnsi="仿宋" w:eastAsia="仿宋" w:cs="仿宋"/>
          <w:sz w:val="21"/>
        </w:rPr>
      </w:pPr>
      <w:bookmarkStart w:id="83" w:name="_Toc6613"/>
      <w:r>
        <w:rPr>
          <w:rFonts w:hint="eastAsia" w:ascii="仿宋" w:hAnsi="仿宋" w:eastAsia="仿宋" w:cs="仿宋"/>
          <w:sz w:val="21"/>
        </w:rPr>
        <w:t>9.2总报价应是本项目范围内全部内容的价格体现,包括货款、包装费、运杂费、安装测试费、技术培训费、售后服务、税金、利润等各种应有费用。</w:t>
      </w:r>
      <w:bookmarkEnd w:id="83"/>
    </w:p>
    <w:p>
      <w:pPr>
        <w:pStyle w:val="19"/>
        <w:tabs>
          <w:tab w:val="left" w:pos="0"/>
        </w:tabs>
        <w:spacing w:line="240" w:lineRule="auto"/>
        <w:ind w:left="0" w:leftChars="0" w:firstLine="0" w:firstLineChars="0"/>
        <w:jc w:val="left"/>
        <w:rPr>
          <w:rFonts w:ascii="仿宋" w:hAnsi="仿宋" w:eastAsia="仿宋" w:cs="仿宋"/>
          <w:sz w:val="21"/>
        </w:rPr>
      </w:pPr>
      <w:bookmarkStart w:id="84" w:name="_Toc20750"/>
      <w:r>
        <w:rPr>
          <w:rFonts w:hint="eastAsia" w:ascii="仿宋" w:hAnsi="仿宋" w:eastAsia="仿宋" w:cs="仿宋"/>
          <w:sz w:val="21"/>
        </w:rPr>
        <w:t>9.3对于本文件中未列明，而供应商认为必需的费用也需列入总报价。在合同实施时，采购人将不予支付成交供应商没有列入的项目费用，并认为此项目的费用已包括在总报价中。</w:t>
      </w:r>
      <w:bookmarkEnd w:id="84"/>
    </w:p>
    <w:p>
      <w:pPr>
        <w:pStyle w:val="19"/>
        <w:tabs>
          <w:tab w:val="left" w:pos="0"/>
        </w:tabs>
        <w:spacing w:line="240" w:lineRule="auto"/>
        <w:ind w:left="0" w:leftChars="0" w:firstLine="0" w:firstLineChars="0"/>
        <w:jc w:val="left"/>
        <w:rPr>
          <w:rFonts w:ascii="仿宋" w:hAnsi="仿宋" w:eastAsia="仿宋" w:cs="仿宋"/>
          <w:sz w:val="21"/>
        </w:rPr>
      </w:pPr>
      <w:bookmarkStart w:id="85" w:name="_Toc10691"/>
      <w:r>
        <w:rPr>
          <w:rFonts w:hint="eastAsia" w:ascii="仿宋" w:hAnsi="仿宋" w:eastAsia="仿宋" w:cs="仿宋"/>
          <w:sz w:val="21"/>
        </w:rPr>
        <w:t>9.4供应商要详细填写“报价一览表”和“供货清单”中的内容，由法定代表人或授权代表签字确认，并加盖单位公章。电子响应文件须用供应商单位公章的CA电子签章以及法定代表人的CA电子签章。</w:t>
      </w:r>
      <w:bookmarkEnd w:id="85"/>
    </w:p>
    <w:p>
      <w:pPr>
        <w:pStyle w:val="19"/>
        <w:tabs>
          <w:tab w:val="left" w:pos="0"/>
        </w:tabs>
        <w:spacing w:line="240" w:lineRule="auto"/>
        <w:ind w:left="0" w:leftChars="0" w:firstLine="0" w:firstLineChars="0"/>
        <w:jc w:val="left"/>
        <w:rPr>
          <w:rFonts w:ascii="仿宋" w:hAnsi="仿宋" w:eastAsia="仿宋" w:cs="仿宋"/>
          <w:sz w:val="21"/>
        </w:rPr>
      </w:pPr>
    </w:p>
    <w:p>
      <w:pPr>
        <w:pStyle w:val="19"/>
        <w:tabs>
          <w:tab w:val="left" w:pos="0"/>
        </w:tabs>
        <w:spacing w:line="240" w:lineRule="auto"/>
        <w:ind w:left="0" w:leftChars="0" w:firstLine="0" w:firstLineChars="0"/>
        <w:jc w:val="left"/>
        <w:rPr>
          <w:rFonts w:ascii="仿宋" w:hAnsi="仿宋" w:eastAsia="仿宋" w:cs="仿宋"/>
          <w:sz w:val="21"/>
        </w:rPr>
      </w:pPr>
      <w:bookmarkStart w:id="86" w:name="_Toc26741"/>
      <w:r>
        <w:rPr>
          <w:rFonts w:hint="eastAsia" w:ascii="仿宋" w:hAnsi="仿宋" w:eastAsia="仿宋" w:cs="仿宋"/>
          <w:sz w:val="21"/>
        </w:rPr>
        <w:t>三、响应文件的份数、封装和递交</w:t>
      </w:r>
      <w:bookmarkEnd w:id="86"/>
    </w:p>
    <w:p>
      <w:pPr>
        <w:pStyle w:val="19"/>
        <w:tabs>
          <w:tab w:val="left" w:pos="0"/>
        </w:tabs>
        <w:spacing w:line="240" w:lineRule="auto"/>
        <w:ind w:left="0" w:leftChars="0" w:firstLine="0" w:firstLineChars="0"/>
        <w:jc w:val="left"/>
        <w:rPr>
          <w:rFonts w:ascii="仿宋" w:hAnsi="仿宋" w:eastAsia="仿宋" w:cs="仿宋"/>
          <w:sz w:val="21"/>
        </w:rPr>
      </w:pPr>
      <w:bookmarkStart w:id="87" w:name="_Toc17953"/>
      <w:r>
        <w:rPr>
          <w:rFonts w:hint="eastAsia" w:ascii="仿宋" w:hAnsi="仿宋" w:eastAsia="仿宋" w:cs="仿宋"/>
          <w:sz w:val="21"/>
        </w:rPr>
        <w:t>10.   响应文件的份数</w:t>
      </w:r>
      <w:bookmarkEnd w:id="87"/>
    </w:p>
    <w:p>
      <w:pPr>
        <w:pStyle w:val="19"/>
        <w:tabs>
          <w:tab w:val="left" w:pos="0"/>
        </w:tabs>
        <w:spacing w:line="240" w:lineRule="auto"/>
        <w:ind w:left="0" w:leftChars="0" w:firstLine="0" w:firstLineChars="0"/>
        <w:jc w:val="left"/>
        <w:rPr>
          <w:rFonts w:ascii="仿宋" w:hAnsi="仿宋" w:eastAsia="仿宋" w:cs="仿宋"/>
          <w:sz w:val="21"/>
        </w:rPr>
      </w:pPr>
      <w:bookmarkStart w:id="88" w:name="_Toc17222"/>
      <w:r>
        <w:rPr>
          <w:rFonts w:hint="eastAsia" w:ascii="仿宋" w:hAnsi="仿宋" w:eastAsia="仿宋" w:cs="仿宋"/>
          <w:sz w:val="21"/>
        </w:rPr>
        <w:t>10.1供应商应通过电子投标文件制作工具编制单一来源响应文件，将生成的加密的电子单一来源响应文件（文件格式为.bttf），在投标截止时间前通过兵团政采云平台上传，将未加密的电子单一来源响应文件（文件格式为.nbttf）3份（光盘介质），做好标示，密封提交；若未按规定的方式编制和份数提交单一来源响应文件的，采购代理机构不予受理。</w:t>
      </w:r>
      <w:bookmarkEnd w:id="88"/>
    </w:p>
    <w:p>
      <w:pPr>
        <w:pStyle w:val="19"/>
        <w:tabs>
          <w:tab w:val="left" w:pos="0"/>
        </w:tabs>
        <w:spacing w:line="240" w:lineRule="auto"/>
        <w:ind w:left="0" w:leftChars="0" w:firstLine="0" w:firstLineChars="0"/>
        <w:jc w:val="left"/>
        <w:rPr>
          <w:rFonts w:ascii="仿宋" w:hAnsi="仿宋" w:eastAsia="仿宋" w:cs="仿宋"/>
          <w:sz w:val="21"/>
        </w:rPr>
      </w:pPr>
      <w:bookmarkStart w:id="89" w:name="_Toc7946"/>
      <w:r>
        <w:rPr>
          <w:rFonts w:hint="eastAsia" w:ascii="仿宋" w:hAnsi="仿宋" w:eastAsia="仿宋" w:cs="仿宋"/>
          <w:sz w:val="21"/>
        </w:rPr>
        <w:t>11.   响应文件的密封和标记</w:t>
      </w:r>
      <w:bookmarkEnd w:id="89"/>
    </w:p>
    <w:p>
      <w:pPr>
        <w:pStyle w:val="19"/>
        <w:tabs>
          <w:tab w:val="left" w:pos="0"/>
        </w:tabs>
        <w:spacing w:line="240" w:lineRule="auto"/>
        <w:ind w:left="0" w:leftChars="0" w:firstLine="0" w:firstLineChars="0"/>
        <w:jc w:val="left"/>
        <w:rPr>
          <w:rFonts w:ascii="仿宋" w:hAnsi="仿宋" w:eastAsia="仿宋" w:cs="仿宋"/>
          <w:sz w:val="21"/>
        </w:rPr>
      </w:pPr>
      <w:bookmarkStart w:id="90" w:name="_Toc4372"/>
      <w:r>
        <w:rPr>
          <w:rFonts w:hint="eastAsia" w:ascii="仿宋" w:hAnsi="仿宋" w:eastAsia="仿宋" w:cs="仿宋"/>
          <w:sz w:val="21"/>
        </w:rPr>
        <w:t>11.1电子响应文件的密封和标记。电子响应文件的内容通过数字证书进行加密并签章。未按要求加密和数字证书认证的响应文件，电子开标软件将无法接受, 采购代理机构不予受理。</w:t>
      </w:r>
      <w:bookmarkEnd w:id="90"/>
    </w:p>
    <w:p>
      <w:pPr>
        <w:pStyle w:val="19"/>
        <w:tabs>
          <w:tab w:val="left" w:pos="0"/>
        </w:tabs>
        <w:spacing w:line="240" w:lineRule="auto"/>
        <w:ind w:left="0" w:leftChars="0" w:firstLine="0" w:firstLineChars="0"/>
        <w:jc w:val="left"/>
        <w:rPr>
          <w:rFonts w:ascii="仿宋" w:hAnsi="仿宋" w:eastAsia="仿宋" w:cs="仿宋"/>
          <w:sz w:val="21"/>
        </w:rPr>
      </w:pPr>
      <w:bookmarkStart w:id="91" w:name="_Toc28194"/>
      <w:r>
        <w:rPr>
          <w:rFonts w:hint="eastAsia" w:ascii="仿宋" w:hAnsi="仿宋" w:eastAsia="仿宋" w:cs="仿宋"/>
          <w:sz w:val="21"/>
        </w:rPr>
        <w:t>11.2电子响应文件光盘的密封和标记。电子响应文件光盘须用信封单独密封，并在信封上注明采购项目名称、项目编号、包号、供应商名称和有“在（采购文件中规定的响应日期和时间）之前不得启封”的字样，封口处加盖供应商印章。如果未按要求密封和标记，采购代理机构不予受理。</w:t>
      </w:r>
      <w:bookmarkEnd w:id="91"/>
    </w:p>
    <w:p>
      <w:pPr>
        <w:pStyle w:val="19"/>
        <w:tabs>
          <w:tab w:val="left" w:pos="0"/>
        </w:tabs>
        <w:spacing w:line="240" w:lineRule="auto"/>
        <w:ind w:left="0" w:leftChars="0" w:firstLine="0" w:firstLineChars="0"/>
        <w:jc w:val="left"/>
        <w:rPr>
          <w:rFonts w:ascii="仿宋" w:hAnsi="仿宋" w:eastAsia="仿宋" w:cs="仿宋"/>
          <w:sz w:val="21"/>
        </w:rPr>
      </w:pPr>
      <w:bookmarkStart w:id="92" w:name="_Toc13288"/>
      <w:r>
        <w:rPr>
          <w:rFonts w:hint="eastAsia" w:ascii="仿宋" w:hAnsi="仿宋" w:eastAsia="仿宋" w:cs="仿宋"/>
          <w:sz w:val="21"/>
        </w:rPr>
        <w:t>11.3是否采用不见面开标方式详见投标人须知前附表，若本项目采用不见面开标，无需提供电子投标文件U盘、纸质投标文件。</w:t>
      </w:r>
      <w:bookmarkEnd w:id="92"/>
    </w:p>
    <w:p>
      <w:pPr>
        <w:pStyle w:val="19"/>
        <w:tabs>
          <w:tab w:val="left" w:pos="0"/>
        </w:tabs>
        <w:spacing w:line="240" w:lineRule="auto"/>
        <w:ind w:left="0" w:leftChars="0" w:firstLine="0" w:firstLineChars="0"/>
        <w:jc w:val="left"/>
        <w:rPr>
          <w:rFonts w:ascii="仿宋" w:hAnsi="仿宋" w:eastAsia="仿宋" w:cs="仿宋"/>
          <w:sz w:val="21"/>
        </w:rPr>
      </w:pPr>
      <w:bookmarkStart w:id="93" w:name="_Toc10359"/>
      <w:r>
        <w:rPr>
          <w:rFonts w:hint="eastAsia" w:ascii="仿宋" w:hAnsi="仿宋" w:eastAsia="仿宋" w:cs="仿宋"/>
          <w:sz w:val="21"/>
        </w:rPr>
        <w:t>12.   响应文件的递交</w:t>
      </w:r>
      <w:bookmarkEnd w:id="93"/>
    </w:p>
    <w:p>
      <w:pPr>
        <w:pStyle w:val="19"/>
        <w:tabs>
          <w:tab w:val="left" w:pos="0"/>
        </w:tabs>
        <w:spacing w:line="240" w:lineRule="auto"/>
        <w:ind w:left="0" w:leftChars="0" w:firstLine="0" w:firstLineChars="0"/>
        <w:jc w:val="left"/>
        <w:rPr>
          <w:rFonts w:ascii="仿宋" w:hAnsi="仿宋" w:eastAsia="仿宋" w:cs="仿宋"/>
          <w:sz w:val="21"/>
        </w:rPr>
      </w:pPr>
      <w:bookmarkStart w:id="94" w:name="_Toc8981"/>
      <w:r>
        <w:rPr>
          <w:rFonts w:hint="eastAsia" w:ascii="仿宋" w:hAnsi="仿宋" w:eastAsia="仿宋" w:cs="仿宋"/>
          <w:sz w:val="21"/>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bookmarkEnd w:id="94"/>
    </w:p>
    <w:p>
      <w:pPr>
        <w:pStyle w:val="19"/>
        <w:tabs>
          <w:tab w:val="left" w:pos="0"/>
        </w:tabs>
        <w:spacing w:line="240" w:lineRule="auto"/>
        <w:ind w:left="0" w:leftChars="0" w:firstLine="0" w:firstLineChars="0"/>
        <w:jc w:val="left"/>
        <w:rPr>
          <w:rFonts w:ascii="仿宋" w:hAnsi="仿宋" w:eastAsia="仿宋" w:cs="仿宋"/>
          <w:sz w:val="21"/>
        </w:rPr>
      </w:pPr>
      <w:bookmarkStart w:id="95" w:name="_Toc27788"/>
      <w:r>
        <w:rPr>
          <w:rFonts w:hint="eastAsia" w:ascii="仿宋" w:hAnsi="仿宋" w:eastAsia="仿宋" w:cs="仿宋"/>
          <w:sz w:val="21"/>
        </w:rPr>
        <w:t>12.2电子响应文件光盘的递交。供应商应在规定的响应文件递交截止时间内递交电子响应文件光盘。逾期送达的，或者未送达指定地点，以及未按指定方式送达的响应文件，采购代理机构不予受理。</w:t>
      </w:r>
      <w:bookmarkEnd w:id="95"/>
    </w:p>
    <w:p>
      <w:pPr>
        <w:pStyle w:val="19"/>
        <w:tabs>
          <w:tab w:val="left" w:pos="0"/>
        </w:tabs>
        <w:spacing w:line="240" w:lineRule="auto"/>
        <w:ind w:left="0" w:leftChars="0" w:firstLine="0" w:firstLineChars="0"/>
        <w:jc w:val="left"/>
        <w:rPr>
          <w:rFonts w:ascii="仿宋" w:hAnsi="仿宋" w:eastAsia="仿宋" w:cs="仿宋"/>
          <w:sz w:val="21"/>
        </w:rPr>
      </w:pPr>
      <w:bookmarkStart w:id="96" w:name="_Toc23975"/>
      <w:r>
        <w:rPr>
          <w:rFonts w:hint="eastAsia" w:ascii="仿宋" w:hAnsi="仿宋" w:eastAsia="仿宋" w:cs="仿宋"/>
          <w:sz w:val="21"/>
        </w:rPr>
        <w:t>12.3是否采用不见面开标详见投标人须知前附表，若项目采用不见面开标。只需将加密电子投标文件在投标截止时间前通过兵团政采云平台上传完成。上传时必须得到电脑“上传成功”的确认回复后方为上传成功。逾期上传的或者未上传到平台的投标文件，采购人不予受理。</w:t>
      </w:r>
      <w:bookmarkEnd w:id="96"/>
    </w:p>
    <w:p>
      <w:pPr>
        <w:pStyle w:val="19"/>
        <w:tabs>
          <w:tab w:val="left" w:pos="0"/>
        </w:tabs>
        <w:spacing w:line="240" w:lineRule="auto"/>
        <w:ind w:left="0" w:leftChars="0" w:firstLine="0" w:firstLineChars="0"/>
        <w:jc w:val="left"/>
        <w:rPr>
          <w:rFonts w:ascii="仿宋" w:hAnsi="仿宋" w:eastAsia="仿宋" w:cs="仿宋"/>
          <w:sz w:val="21"/>
        </w:rPr>
      </w:pPr>
      <w:bookmarkStart w:id="97" w:name="_Toc30081"/>
      <w:r>
        <w:rPr>
          <w:rFonts w:hint="eastAsia" w:ascii="仿宋" w:hAnsi="仿宋" w:eastAsia="仿宋" w:cs="仿宋"/>
          <w:sz w:val="21"/>
        </w:rPr>
        <w:t>13.   迟交的响应文件</w:t>
      </w:r>
      <w:bookmarkEnd w:id="97"/>
    </w:p>
    <w:p>
      <w:pPr>
        <w:pStyle w:val="19"/>
        <w:tabs>
          <w:tab w:val="left" w:pos="0"/>
        </w:tabs>
        <w:spacing w:line="240" w:lineRule="auto"/>
        <w:ind w:left="0" w:leftChars="0" w:firstLine="0" w:firstLineChars="0"/>
        <w:jc w:val="left"/>
        <w:rPr>
          <w:rFonts w:ascii="仿宋" w:hAnsi="仿宋" w:eastAsia="仿宋" w:cs="仿宋"/>
          <w:sz w:val="21"/>
        </w:rPr>
      </w:pPr>
      <w:bookmarkStart w:id="98" w:name="_Toc12638"/>
      <w:r>
        <w:rPr>
          <w:rFonts w:hint="eastAsia" w:ascii="仿宋" w:hAnsi="仿宋" w:eastAsia="仿宋" w:cs="仿宋"/>
          <w:sz w:val="21"/>
        </w:rPr>
        <w:t>13.1采购代理机构将拒绝在其规定的递交响应文件截止时间之后送达的任何响应文件。由于对网上操作不熟悉或自身电脑、网络的原因导致不能在响应文件递交截止时间之前上传响应文件，建议于响应文件递交截止时间前1个工作日完成响应文件的制作与上传。</w:t>
      </w:r>
      <w:bookmarkEnd w:id="98"/>
      <w:r>
        <w:rPr>
          <w:rFonts w:hint="eastAsia" w:ascii="仿宋" w:hAnsi="仿宋" w:eastAsia="仿宋" w:cs="仿宋"/>
          <w:sz w:val="21"/>
        </w:rPr>
        <w:t xml:space="preserve"> </w:t>
      </w:r>
    </w:p>
    <w:p>
      <w:pPr>
        <w:pStyle w:val="19"/>
        <w:tabs>
          <w:tab w:val="left" w:pos="0"/>
        </w:tabs>
        <w:spacing w:line="240" w:lineRule="auto"/>
        <w:ind w:left="0" w:leftChars="0" w:firstLine="0" w:firstLineChars="0"/>
        <w:jc w:val="left"/>
        <w:rPr>
          <w:rFonts w:ascii="仿宋" w:hAnsi="仿宋" w:eastAsia="仿宋" w:cs="仿宋"/>
          <w:sz w:val="21"/>
        </w:rPr>
      </w:pPr>
      <w:bookmarkStart w:id="99" w:name="_Toc25784"/>
      <w:r>
        <w:rPr>
          <w:rFonts w:hint="eastAsia" w:ascii="仿宋" w:hAnsi="仿宋" w:eastAsia="仿宋" w:cs="仿宋"/>
          <w:sz w:val="21"/>
        </w:rPr>
        <w:t>四、协商步骤</w:t>
      </w:r>
      <w:bookmarkEnd w:id="99"/>
    </w:p>
    <w:p>
      <w:pPr>
        <w:pStyle w:val="19"/>
        <w:tabs>
          <w:tab w:val="left" w:pos="0"/>
        </w:tabs>
        <w:spacing w:line="240" w:lineRule="auto"/>
        <w:ind w:left="0" w:leftChars="0" w:firstLine="0" w:firstLineChars="0"/>
        <w:jc w:val="left"/>
        <w:rPr>
          <w:rFonts w:ascii="仿宋" w:hAnsi="仿宋" w:eastAsia="仿宋" w:cs="仿宋"/>
          <w:sz w:val="21"/>
        </w:rPr>
      </w:pPr>
      <w:bookmarkStart w:id="100" w:name="_Toc586"/>
      <w:r>
        <w:rPr>
          <w:rFonts w:hint="eastAsia" w:ascii="仿宋" w:hAnsi="仿宋" w:eastAsia="仿宋" w:cs="仿宋"/>
          <w:sz w:val="21"/>
        </w:rPr>
        <w:t>14.   成立采购小组</w:t>
      </w:r>
      <w:bookmarkEnd w:id="100"/>
    </w:p>
    <w:p>
      <w:pPr>
        <w:pStyle w:val="19"/>
        <w:tabs>
          <w:tab w:val="left" w:pos="0"/>
        </w:tabs>
        <w:spacing w:line="240" w:lineRule="auto"/>
        <w:ind w:left="0" w:leftChars="0" w:firstLine="0" w:firstLineChars="0"/>
        <w:jc w:val="left"/>
        <w:rPr>
          <w:rFonts w:ascii="仿宋" w:hAnsi="仿宋" w:eastAsia="仿宋" w:cs="仿宋"/>
          <w:sz w:val="21"/>
        </w:rPr>
      </w:pPr>
      <w:bookmarkStart w:id="101" w:name="_Toc32103"/>
      <w:r>
        <w:rPr>
          <w:rFonts w:hint="eastAsia" w:ascii="仿宋" w:hAnsi="仿宋" w:eastAsia="仿宋" w:cs="仿宋"/>
          <w:sz w:val="21"/>
        </w:rPr>
        <w:t>14.1采购小组由采购人代表和有关专家共3人以上的单数组成，其中专家的人数不少于采购小组成员总数的三分之二。专家成员依法从政府采购专家库中随机抽取。</w:t>
      </w:r>
      <w:bookmarkEnd w:id="101"/>
    </w:p>
    <w:p>
      <w:pPr>
        <w:pStyle w:val="19"/>
        <w:tabs>
          <w:tab w:val="left" w:pos="0"/>
        </w:tabs>
        <w:spacing w:line="240" w:lineRule="auto"/>
        <w:ind w:left="0" w:leftChars="0" w:firstLine="0" w:firstLineChars="0"/>
        <w:jc w:val="left"/>
        <w:rPr>
          <w:rFonts w:ascii="仿宋" w:hAnsi="仿宋" w:eastAsia="仿宋" w:cs="仿宋"/>
          <w:sz w:val="21"/>
        </w:rPr>
      </w:pPr>
      <w:bookmarkStart w:id="102" w:name="_Toc24710"/>
      <w:r>
        <w:rPr>
          <w:rFonts w:hint="eastAsia" w:ascii="仿宋" w:hAnsi="仿宋" w:eastAsia="仿宋" w:cs="仿宋"/>
          <w:sz w:val="21"/>
        </w:rPr>
        <w:t>15.   响应文件的审核</w:t>
      </w:r>
      <w:bookmarkEnd w:id="102"/>
    </w:p>
    <w:p>
      <w:pPr>
        <w:pStyle w:val="19"/>
        <w:tabs>
          <w:tab w:val="left" w:pos="0"/>
        </w:tabs>
        <w:spacing w:line="240" w:lineRule="auto"/>
        <w:ind w:left="0" w:leftChars="0" w:firstLine="0" w:firstLineChars="0"/>
        <w:jc w:val="left"/>
        <w:rPr>
          <w:rFonts w:ascii="仿宋" w:hAnsi="仿宋" w:eastAsia="仿宋" w:cs="仿宋"/>
          <w:sz w:val="21"/>
        </w:rPr>
      </w:pPr>
      <w:bookmarkStart w:id="103" w:name="_Toc2551"/>
      <w:r>
        <w:rPr>
          <w:rFonts w:hint="eastAsia" w:ascii="仿宋" w:hAnsi="仿宋" w:eastAsia="仿宋" w:cs="仿宋"/>
          <w:sz w:val="21"/>
        </w:rPr>
        <w:t>15.1供应商在规定的时间内解密上传的响应文件，采购代理机构对响应文件递交截止时间内递交的响应文件二次解密。若因网络等技术原因不能进行电子响应文件解密，则以电子响应文件光盘进行协商。</w:t>
      </w:r>
      <w:bookmarkEnd w:id="103"/>
    </w:p>
    <w:p>
      <w:pPr>
        <w:pStyle w:val="19"/>
        <w:tabs>
          <w:tab w:val="left" w:pos="0"/>
        </w:tabs>
        <w:spacing w:line="240" w:lineRule="auto"/>
        <w:ind w:left="0" w:leftChars="0" w:firstLine="0" w:firstLineChars="0"/>
        <w:jc w:val="left"/>
        <w:rPr>
          <w:rFonts w:ascii="仿宋" w:hAnsi="仿宋" w:eastAsia="仿宋" w:cs="仿宋"/>
          <w:sz w:val="21"/>
        </w:rPr>
      </w:pPr>
      <w:bookmarkStart w:id="104" w:name="_Toc25772"/>
      <w:r>
        <w:rPr>
          <w:rFonts w:hint="eastAsia" w:ascii="仿宋" w:hAnsi="仿宋" w:eastAsia="仿宋" w:cs="仿宋"/>
          <w:sz w:val="21"/>
        </w:rPr>
        <w:t>15.2电子响应文件凡具有下列情形之一者，均视为没有响应采购文件要求的无效文件：</w:t>
      </w:r>
      <w:bookmarkEnd w:id="104"/>
    </w:p>
    <w:p>
      <w:pPr>
        <w:pStyle w:val="19"/>
        <w:tabs>
          <w:tab w:val="left" w:pos="0"/>
        </w:tabs>
        <w:spacing w:line="240" w:lineRule="auto"/>
        <w:ind w:left="0" w:leftChars="0" w:firstLine="0" w:firstLineChars="0"/>
        <w:jc w:val="left"/>
        <w:rPr>
          <w:rFonts w:ascii="仿宋" w:hAnsi="仿宋" w:eastAsia="仿宋" w:cs="仿宋"/>
          <w:sz w:val="21"/>
        </w:rPr>
      </w:pPr>
      <w:bookmarkStart w:id="105" w:name="_Toc8481"/>
      <w:r>
        <w:rPr>
          <w:rFonts w:hint="eastAsia" w:ascii="仿宋" w:hAnsi="仿宋" w:eastAsia="仿宋" w:cs="仿宋"/>
          <w:sz w:val="21"/>
        </w:rPr>
        <w:t>1）未按照采购文件规定要求密封、签署、盖章的；</w:t>
      </w:r>
      <w:bookmarkEnd w:id="105"/>
    </w:p>
    <w:p>
      <w:pPr>
        <w:pStyle w:val="19"/>
        <w:tabs>
          <w:tab w:val="left" w:pos="0"/>
        </w:tabs>
        <w:spacing w:line="240" w:lineRule="auto"/>
        <w:ind w:left="0" w:leftChars="0" w:firstLine="0" w:firstLineChars="0"/>
        <w:jc w:val="left"/>
        <w:rPr>
          <w:rFonts w:ascii="仿宋" w:hAnsi="仿宋" w:eastAsia="仿宋" w:cs="仿宋"/>
          <w:sz w:val="21"/>
        </w:rPr>
      </w:pPr>
      <w:bookmarkStart w:id="106" w:name="_Toc20722"/>
      <w:r>
        <w:rPr>
          <w:rFonts w:hint="eastAsia" w:ascii="仿宋" w:hAnsi="仿宋" w:eastAsia="仿宋" w:cs="仿宋"/>
          <w:sz w:val="21"/>
        </w:rPr>
        <w:t>2）不具备采购文件中规定资格要求的；</w:t>
      </w:r>
      <w:bookmarkEnd w:id="106"/>
    </w:p>
    <w:p>
      <w:pPr>
        <w:pStyle w:val="19"/>
        <w:tabs>
          <w:tab w:val="left" w:pos="0"/>
        </w:tabs>
        <w:spacing w:line="240" w:lineRule="auto"/>
        <w:ind w:left="0" w:leftChars="0" w:firstLine="0" w:firstLineChars="0"/>
        <w:jc w:val="left"/>
        <w:rPr>
          <w:rFonts w:ascii="仿宋" w:hAnsi="仿宋" w:eastAsia="仿宋" w:cs="仿宋"/>
          <w:sz w:val="21"/>
        </w:rPr>
      </w:pPr>
      <w:bookmarkStart w:id="107" w:name="_Toc28966"/>
      <w:r>
        <w:rPr>
          <w:rFonts w:hint="eastAsia" w:ascii="仿宋" w:hAnsi="仿宋" w:eastAsia="仿宋" w:cs="仿宋"/>
          <w:sz w:val="21"/>
        </w:rPr>
        <w:t>3）不符合法律、法规和采购文件中规定的其他实质性要求的。</w:t>
      </w:r>
      <w:bookmarkEnd w:id="107"/>
    </w:p>
    <w:p>
      <w:pPr>
        <w:pStyle w:val="19"/>
        <w:tabs>
          <w:tab w:val="left" w:pos="0"/>
        </w:tabs>
        <w:spacing w:line="240" w:lineRule="auto"/>
        <w:ind w:left="0" w:leftChars="0" w:firstLine="0" w:firstLineChars="0"/>
        <w:jc w:val="left"/>
        <w:rPr>
          <w:rFonts w:ascii="仿宋" w:hAnsi="仿宋" w:eastAsia="仿宋" w:cs="仿宋"/>
          <w:sz w:val="21"/>
        </w:rPr>
      </w:pPr>
      <w:bookmarkStart w:id="108" w:name="_Toc9224"/>
      <w:r>
        <w:rPr>
          <w:rFonts w:hint="eastAsia" w:ascii="仿宋" w:hAnsi="仿宋" w:eastAsia="仿宋" w:cs="仿宋"/>
          <w:sz w:val="21"/>
        </w:rPr>
        <w:t>15.3响应文件被确认为无效文件后，该供应商即失去参加本次协商资格。</w:t>
      </w:r>
      <w:bookmarkEnd w:id="108"/>
    </w:p>
    <w:p>
      <w:pPr>
        <w:pStyle w:val="19"/>
        <w:tabs>
          <w:tab w:val="left" w:pos="0"/>
        </w:tabs>
        <w:spacing w:line="240" w:lineRule="auto"/>
        <w:ind w:left="0" w:leftChars="0" w:firstLine="0" w:firstLineChars="0"/>
        <w:jc w:val="left"/>
        <w:rPr>
          <w:rFonts w:ascii="仿宋" w:hAnsi="仿宋" w:eastAsia="仿宋" w:cs="仿宋"/>
          <w:sz w:val="21"/>
        </w:rPr>
      </w:pPr>
      <w:bookmarkStart w:id="109" w:name="_Toc10646"/>
      <w:r>
        <w:rPr>
          <w:rFonts w:hint="eastAsia" w:ascii="仿宋" w:hAnsi="仿宋" w:eastAsia="仿宋" w:cs="仿宋"/>
          <w:sz w:val="21"/>
        </w:rPr>
        <w:t>16.   协商</w:t>
      </w:r>
      <w:bookmarkEnd w:id="109"/>
    </w:p>
    <w:p>
      <w:pPr>
        <w:pStyle w:val="19"/>
        <w:tabs>
          <w:tab w:val="left" w:pos="0"/>
        </w:tabs>
        <w:spacing w:line="240" w:lineRule="auto"/>
        <w:ind w:left="0" w:leftChars="0" w:firstLine="0" w:firstLineChars="0"/>
        <w:jc w:val="left"/>
        <w:rPr>
          <w:rFonts w:ascii="仿宋" w:hAnsi="仿宋" w:eastAsia="仿宋" w:cs="仿宋"/>
          <w:sz w:val="21"/>
        </w:rPr>
      </w:pPr>
      <w:bookmarkStart w:id="110" w:name="_Toc29757"/>
      <w:r>
        <w:rPr>
          <w:rFonts w:hint="eastAsia" w:ascii="仿宋" w:hAnsi="仿宋" w:eastAsia="仿宋" w:cs="仿宋"/>
          <w:sz w:val="21"/>
        </w:rPr>
        <w:t>A．采用见面开标方式</w:t>
      </w:r>
      <w:bookmarkEnd w:id="110"/>
    </w:p>
    <w:p>
      <w:pPr>
        <w:pStyle w:val="19"/>
        <w:tabs>
          <w:tab w:val="left" w:pos="0"/>
        </w:tabs>
        <w:spacing w:line="240" w:lineRule="auto"/>
        <w:ind w:left="0" w:leftChars="0" w:firstLine="0" w:firstLineChars="0"/>
        <w:jc w:val="left"/>
        <w:rPr>
          <w:rFonts w:ascii="仿宋" w:hAnsi="仿宋" w:eastAsia="仿宋" w:cs="仿宋"/>
          <w:sz w:val="21"/>
        </w:rPr>
      </w:pPr>
      <w:bookmarkStart w:id="111" w:name="_Toc8322"/>
      <w:r>
        <w:rPr>
          <w:rFonts w:hint="eastAsia" w:ascii="仿宋" w:hAnsi="仿宋" w:eastAsia="仿宋" w:cs="仿宋"/>
          <w:sz w:val="21"/>
        </w:rPr>
        <w:t>16.1采购小组按已确定的协商程序，与单一供应商就商务、技术和价格等进行协商，并了解其响应文件组成情况。协商结束后，采购小组按照采购文件规定的方法和标准，对响应采购文件要求的响应文件进行综合评议，并视情况决定是否进行下一轮协商。</w:t>
      </w:r>
      <w:bookmarkEnd w:id="111"/>
    </w:p>
    <w:p>
      <w:pPr>
        <w:pStyle w:val="19"/>
        <w:tabs>
          <w:tab w:val="left" w:pos="0"/>
        </w:tabs>
        <w:spacing w:line="240" w:lineRule="auto"/>
        <w:ind w:left="0" w:leftChars="0" w:firstLine="0" w:firstLineChars="0"/>
        <w:jc w:val="left"/>
        <w:rPr>
          <w:rFonts w:ascii="仿宋" w:hAnsi="仿宋" w:eastAsia="仿宋" w:cs="仿宋"/>
          <w:sz w:val="21"/>
        </w:rPr>
      </w:pPr>
      <w:bookmarkStart w:id="112" w:name="_Toc23667"/>
      <w:r>
        <w:rPr>
          <w:rFonts w:hint="eastAsia" w:ascii="仿宋" w:hAnsi="仿宋" w:eastAsia="仿宋" w:cs="仿宋"/>
          <w:sz w:val="21"/>
        </w:rPr>
        <w:t>16.2协商过程中,若需修正采购文件或优化采购方案, 采购代理机构将通知供应商,并给供应商提供较充分的修正时间。供应商根据采购文件修改，对原响应文件进行修正，并将修正文件通过数字证书加密并签章后，上传到网站指定栏目。逾期不上传的，视同放弃协商。修正文件与响应文件同具法律效力。文件修正后，按照规定的时间继续进行协商。</w:t>
      </w:r>
      <w:bookmarkEnd w:id="112"/>
    </w:p>
    <w:p>
      <w:pPr>
        <w:pStyle w:val="19"/>
        <w:tabs>
          <w:tab w:val="left" w:pos="0"/>
        </w:tabs>
        <w:spacing w:line="240" w:lineRule="auto"/>
        <w:ind w:left="0" w:leftChars="0" w:firstLine="0" w:firstLineChars="0"/>
        <w:jc w:val="left"/>
        <w:rPr>
          <w:rFonts w:ascii="仿宋" w:hAnsi="仿宋" w:eastAsia="仿宋" w:cs="仿宋"/>
          <w:sz w:val="21"/>
        </w:rPr>
      </w:pPr>
      <w:bookmarkStart w:id="113" w:name="_Toc30223"/>
      <w:r>
        <w:rPr>
          <w:rFonts w:hint="eastAsia" w:ascii="仿宋" w:hAnsi="仿宋" w:eastAsia="仿宋" w:cs="仿宋"/>
          <w:sz w:val="21"/>
        </w:rPr>
        <w:t>16.3每一次协商结束后，参加协商的供应商均须根据采购小组的要求在规定的时间内进行网上响应，并作出有关承诺说明。</w:t>
      </w:r>
      <w:bookmarkEnd w:id="113"/>
    </w:p>
    <w:p>
      <w:pPr>
        <w:pStyle w:val="19"/>
        <w:tabs>
          <w:tab w:val="left" w:pos="0"/>
        </w:tabs>
        <w:spacing w:line="240" w:lineRule="auto"/>
        <w:ind w:left="0" w:leftChars="0" w:firstLine="0" w:firstLineChars="0"/>
        <w:jc w:val="left"/>
        <w:rPr>
          <w:rFonts w:ascii="仿宋" w:hAnsi="仿宋" w:eastAsia="仿宋" w:cs="仿宋"/>
          <w:sz w:val="21"/>
        </w:rPr>
      </w:pPr>
      <w:bookmarkStart w:id="114" w:name="_Toc20957"/>
      <w:r>
        <w:rPr>
          <w:rFonts w:hint="eastAsia" w:ascii="仿宋" w:hAnsi="仿宋" w:eastAsia="仿宋" w:cs="仿宋"/>
          <w:sz w:val="21"/>
        </w:rPr>
        <w:t>16.4供应商作最后报价，通过数字证书进行加密并签章后，传到网站指定栏目。采购小组按协商情况和最后响应情况综合评价比较，确定成交供应商名单，形成协商情况记录。</w:t>
      </w:r>
      <w:bookmarkEnd w:id="114"/>
    </w:p>
    <w:p>
      <w:pPr>
        <w:pStyle w:val="19"/>
        <w:tabs>
          <w:tab w:val="left" w:pos="0"/>
        </w:tabs>
        <w:spacing w:line="240" w:lineRule="auto"/>
        <w:ind w:left="0" w:leftChars="0" w:firstLine="0" w:firstLineChars="0"/>
        <w:jc w:val="left"/>
        <w:rPr>
          <w:rFonts w:ascii="仿宋" w:hAnsi="仿宋" w:eastAsia="仿宋" w:cs="仿宋"/>
          <w:sz w:val="21"/>
        </w:rPr>
      </w:pPr>
      <w:bookmarkStart w:id="115" w:name="_Toc20926"/>
      <w:r>
        <w:rPr>
          <w:rFonts w:hint="eastAsia" w:ascii="仿宋" w:hAnsi="仿宋" w:eastAsia="仿宋" w:cs="仿宋"/>
          <w:sz w:val="21"/>
        </w:rPr>
        <w:t>16.5供应商的响应均超过了政府采购预算，采购人不能支付的，协商活动终止；终止后，采购人需要采取调整采购预算或项目配置标准等，或采取其他采购方式的，应当在采购活动开始前获得政府采购监督管理部门批准。</w:t>
      </w:r>
      <w:bookmarkEnd w:id="115"/>
    </w:p>
    <w:p>
      <w:pPr>
        <w:pStyle w:val="19"/>
        <w:tabs>
          <w:tab w:val="left" w:pos="0"/>
        </w:tabs>
        <w:spacing w:line="240" w:lineRule="auto"/>
        <w:ind w:left="0" w:leftChars="0" w:firstLine="0" w:firstLineChars="0"/>
        <w:jc w:val="left"/>
        <w:rPr>
          <w:rFonts w:ascii="仿宋" w:hAnsi="仿宋" w:eastAsia="仿宋" w:cs="仿宋"/>
          <w:sz w:val="21"/>
        </w:rPr>
      </w:pPr>
      <w:bookmarkStart w:id="116" w:name="_Toc12458"/>
      <w:r>
        <w:rPr>
          <w:rFonts w:hint="eastAsia" w:ascii="仿宋" w:hAnsi="仿宋" w:eastAsia="仿宋" w:cs="仿宋"/>
          <w:sz w:val="21"/>
        </w:rPr>
        <w:t>B．采用不见面开标方式（是否采用详见投标人须知前附表）</w:t>
      </w:r>
      <w:bookmarkEnd w:id="116"/>
    </w:p>
    <w:p>
      <w:pPr>
        <w:pStyle w:val="19"/>
        <w:tabs>
          <w:tab w:val="left" w:pos="0"/>
        </w:tabs>
        <w:spacing w:line="240" w:lineRule="auto"/>
        <w:ind w:left="0" w:leftChars="0" w:firstLine="0" w:firstLineChars="0"/>
        <w:jc w:val="left"/>
        <w:rPr>
          <w:rFonts w:ascii="仿宋" w:hAnsi="仿宋" w:eastAsia="仿宋" w:cs="仿宋"/>
          <w:sz w:val="21"/>
        </w:rPr>
      </w:pPr>
      <w:bookmarkStart w:id="117" w:name="_Toc28396"/>
      <w:r>
        <w:rPr>
          <w:rFonts w:hint="eastAsia" w:ascii="仿宋" w:hAnsi="仿宋" w:eastAsia="仿宋" w:cs="仿宋"/>
          <w:sz w:val="21"/>
        </w:rPr>
        <w:t>招标人在规定的投标截止时间（开标时间）和投标人须知前附表规定的地点开标。投标人的法定代表人或其委托代理人无需到达开标现场，仅需在任意地点通过兵团政采云平台不见面开标大厅，使用CA密钥完成远程解密、提疑澄清、开标唱标、结果公布等交互环节。</w:t>
      </w:r>
      <w:bookmarkEnd w:id="117"/>
    </w:p>
    <w:p>
      <w:pPr>
        <w:pStyle w:val="19"/>
        <w:tabs>
          <w:tab w:val="left" w:pos="0"/>
        </w:tabs>
        <w:spacing w:line="240" w:lineRule="auto"/>
        <w:ind w:left="0" w:leftChars="0" w:firstLine="0" w:firstLineChars="0"/>
        <w:jc w:val="left"/>
        <w:rPr>
          <w:rFonts w:ascii="仿宋" w:hAnsi="仿宋" w:eastAsia="仿宋" w:cs="仿宋"/>
          <w:sz w:val="21"/>
        </w:rPr>
      </w:pPr>
      <w:bookmarkStart w:id="118" w:name="_Toc32516"/>
      <w:r>
        <w:rPr>
          <w:rFonts w:hint="eastAsia" w:ascii="仿宋" w:hAnsi="仿宋" w:eastAsia="仿宋" w:cs="仿宋"/>
          <w:sz w:val="21"/>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bookmarkEnd w:id="118"/>
    </w:p>
    <w:p>
      <w:pPr>
        <w:pStyle w:val="19"/>
        <w:tabs>
          <w:tab w:val="left" w:pos="0"/>
        </w:tabs>
        <w:spacing w:line="240" w:lineRule="auto"/>
        <w:ind w:left="0" w:leftChars="0" w:firstLine="0" w:firstLineChars="0"/>
        <w:jc w:val="left"/>
        <w:rPr>
          <w:rFonts w:ascii="仿宋" w:hAnsi="仿宋" w:eastAsia="仿宋" w:cs="仿宋"/>
          <w:sz w:val="21"/>
        </w:rPr>
      </w:pPr>
    </w:p>
    <w:p>
      <w:pPr>
        <w:pStyle w:val="19"/>
        <w:tabs>
          <w:tab w:val="left" w:pos="0"/>
        </w:tabs>
        <w:spacing w:line="240" w:lineRule="auto"/>
        <w:ind w:left="0" w:leftChars="0" w:firstLine="0" w:firstLineChars="0"/>
        <w:jc w:val="left"/>
        <w:rPr>
          <w:rFonts w:ascii="仿宋" w:hAnsi="仿宋" w:eastAsia="仿宋" w:cs="仿宋"/>
          <w:sz w:val="21"/>
        </w:rPr>
      </w:pPr>
    </w:p>
    <w:p>
      <w:pPr>
        <w:pStyle w:val="19"/>
        <w:tabs>
          <w:tab w:val="left" w:pos="0"/>
        </w:tabs>
        <w:spacing w:line="240" w:lineRule="auto"/>
        <w:ind w:left="0" w:leftChars="0" w:firstLine="0" w:firstLineChars="0"/>
        <w:jc w:val="left"/>
        <w:rPr>
          <w:rFonts w:ascii="仿宋" w:hAnsi="仿宋" w:eastAsia="仿宋" w:cs="仿宋"/>
          <w:sz w:val="21"/>
        </w:rPr>
      </w:pPr>
      <w:bookmarkStart w:id="119" w:name="_Toc6739"/>
      <w:r>
        <w:rPr>
          <w:rFonts w:hint="eastAsia" w:ascii="仿宋" w:hAnsi="仿宋" w:eastAsia="仿宋" w:cs="仿宋"/>
          <w:sz w:val="21"/>
        </w:rPr>
        <w:t>五、确定成交供应商办法</w:t>
      </w:r>
      <w:bookmarkEnd w:id="119"/>
    </w:p>
    <w:p>
      <w:pPr>
        <w:pStyle w:val="19"/>
        <w:tabs>
          <w:tab w:val="left" w:pos="0"/>
        </w:tabs>
        <w:spacing w:line="240" w:lineRule="auto"/>
        <w:ind w:left="0" w:leftChars="0" w:firstLine="0" w:firstLineChars="0"/>
        <w:jc w:val="left"/>
        <w:rPr>
          <w:rFonts w:ascii="仿宋" w:hAnsi="仿宋" w:eastAsia="仿宋" w:cs="仿宋"/>
          <w:sz w:val="21"/>
        </w:rPr>
      </w:pPr>
      <w:bookmarkStart w:id="120" w:name="_Toc8462"/>
      <w:r>
        <w:rPr>
          <w:rFonts w:hint="eastAsia" w:ascii="仿宋" w:hAnsi="仿宋" w:eastAsia="仿宋" w:cs="仿宋"/>
          <w:sz w:val="21"/>
        </w:rPr>
        <w:t>17.1采购小组根据符合采购需求、质量和服务且报价合理的原则确定成交供应商。</w:t>
      </w:r>
      <w:bookmarkEnd w:id="120"/>
    </w:p>
    <w:p>
      <w:pPr>
        <w:pStyle w:val="19"/>
        <w:tabs>
          <w:tab w:val="left" w:pos="0"/>
        </w:tabs>
        <w:spacing w:line="240" w:lineRule="auto"/>
        <w:ind w:left="0" w:leftChars="0" w:firstLine="0" w:firstLineChars="0"/>
        <w:jc w:val="left"/>
        <w:rPr>
          <w:rFonts w:ascii="仿宋" w:hAnsi="仿宋" w:eastAsia="仿宋" w:cs="仿宋"/>
          <w:sz w:val="21"/>
        </w:rPr>
      </w:pPr>
      <w:bookmarkStart w:id="121" w:name="_Toc4246"/>
      <w:r>
        <w:rPr>
          <w:rFonts w:hint="eastAsia" w:ascii="仿宋" w:hAnsi="仿宋" w:eastAsia="仿宋" w:cs="仿宋"/>
          <w:sz w:val="21"/>
        </w:rPr>
        <w:t>17.2成交供应商确定后两个工作日内，采购代理机构将在政府采购监管部门指定的媒体上发布成交公告，同时向成交供应商发出《成交通知书》。《成交通知书》是合同的组成部分,对成交供应商和采购人具有同等法律效力。</w:t>
      </w:r>
      <w:bookmarkEnd w:id="121"/>
    </w:p>
    <w:p>
      <w:pPr>
        <w:pStyle w:val="19"/>
        <w:tabs>
          <w:tab w:val="left" w:pos="0"/>
        </w:tabs>
        <w:spacing w:line="240" w:lineRule="auto"/>
        <w:ind w:left="0" w:leftChars="0" w:firstLine="0" w:firstLineChars="0"/>
        <w:jc w:val="left"/>
        <w:rPr>
          <w:rFonts w:ascii="仿宋" w:hAnsi="仿宋" w:eastAsia="仿宋" w:cs="仿宋"/>
          <w:sz w:val="21"/>
        </w:rPr>
      </w:pPr>
    </w:p>
    <w:p>
      <w:pPr>
        <w:pStyle w:val="19"/>
        <w:tabs>
          <w:tab w:val="left" w:pos="0"/>
        </w:tabs>
        <w:spacing w:line="240" w:lineRule="auto"/>
        <w:ind w:left="0" w:leftChars="0" w:firstLine="0" w:firstLineChars="0"/>
        <w:jc w:val="left"/>
        <w:rPr>
          <w:rFonts w:ascii="仿宋" w:hAnsi="仿宋" w:eastAsia="仿宋" w:cs="仿宋"/>
          <w:sz w:val="21"/>
        </w:rPr>
      </w:pPr>
      <w:bookmarkStart w:id="122" w:name="_Toc19909"/>
      <w:r>
        <w:rPr>
          <w:rFonts w:hint="eastAsia" w:ascii="仿宋" w:hAnsi="仿宋" w:eastAsia="仿宋" w:cs="仿宋"/>
          <w:sz w:val="21"/>
        </w:rPr>
        <w:t>六、签订合同</w:t>
      </w:r>
      <w:bookmarkEnd w:id="122"/>
    </w:p>
    <w:p>
      <w:pPr>
        <w:pStyle w:val="19"/>
        <w:tabs>
          <w:tab w:val="left" w:pos="0"/>
        </w:tabs>
        <w:spacing w:line="240" w:lineRule="auto"/>
        <w:ind w:left="0" w:leftChars="0" w:firstLine="0" w:firstLineChars="0"/>
        <w:jc w:val="left"/>
        <w:rPr>
          <w:rFonts w:ascii="仿宋" w:hAnsi="仿宋" w:eastAsia="仿宋" w:cs="仿宋"/>
          <w:sz w:val="21"/>
        </w:rPr>
      </w:pPr>
      <w:bookmarkStart w:id="123" w:name="_Toc28184"/>
      <w:r>
        <w:rPr>
          <w:rFonts w:hint="eastAsia" w:ascii="仿宋" w:hAnsi="仿宋" w:eastAsia="仿宋" w:cs="仿宋"/>
          <w:sz w:val="21"/>
        </w:rPr>
        <w:t>18.1成交供应商在收到《成交通知书》后30日内，按照采购文件确定的合同文本以及采购标的规格型号、采购金额、采购数量、技术和服务要求等事项与采购人签订供货合同。</w:t>
      </w:r>
      <w:bookmarkEnd w:id="123"/>
    </w:p>
    <w:p>
      <w:pPr>
        <w:pStyle w:val="19"/>
        <w:tabs>
          <w:tab w:val="left" w:pos="0"/>
        </w:tabs>
        <w:spacing w:line="240" w:lineRule="auto"/>
        <w:ind w:left="0" w:leftChars="0" w:firstLine="0" w:firstLineChars="0"/>
        <w:jc w:val="left"/>
        <w:rPr>
          <w:rFonts w:ascii="仿宋" w:hAnsi="仿宋" w:eastAsia="仿宋" w:cs="仿宋"/>
          <w:sz w:val="21"/>
        </w:rPr>
      </w:pPr>
      <w:bookmarkStart w:id="124" w:name="_Toc21485"/>
      <w:r>
        <w:rPr>
          <w:rFonts w:hint="eastAsia" w:ascii="仿宋" w:hAnsi="仿宋" w:eastAsia="仿宋" w:cs="仿宋"/>
          <w:sz w:val="21"/>
        </w:rPr>
        <w:t>18.2合同签订后7个工作日内，采购人应将政府采购合同副本报政府采购监管部门和采购代理机构备案。</w:t>
      </w:r>
      <w:bookmarkEnd w:id="124"/>
    </w:p>
    <w:p>
      <w:pPr>
        <w:pStyle w:val="19"/>
        <w:tabs>
          <w:tab w:val="left" w:pos="0"/>
        </w:tabs>
        <w:spacing w:line="240" w:lineRule="auto"/>
        <w:ind w:left="0" w:leftChars="0" w:firstLine="0" w:firstLineChars="0"/>
        <w:jc w:val="left"/>
        <w:rPr>
          <w:rFonts w:ascii="仿宋" w:hAnsi="仿宋" w:eastAsia="仿宋" w:cs="仿宋"/>
          <w:sz w:val="21"/>
        </w:rPr>
      </w:pPr>
      <w:bookmarkStart w:id="125" w:name="_Toc8884"/>
      <w:r>
        <w:rPr>
          <w:rFonts w:hint="eastAsia" w:ascii="仿宋" w:hAnsi="仿宋" w:eastAsia="仿宋" w:cs="仿宋"/>
          <w:sz w:val="21"/>
        </w:rPr>
        <w:t>18.3成交供应商不得向他人转让成交项目，如果成交供应商向他人转让成交项目或在履行合同时发生违约行为，政府采购监管部门或采购代理机构将视情节轻重，按《新疆生产建设兵团政府采购供应商诚信管理办法》的有关规定给予处罚。</w:t>
      </w:r>
      <w:bookmarkEnd w:id="125"/>
    </w:p>
    <w:p>
      <w:pPr>
        <w:pStyle w:val="19"/>
        <w:tabs>
          <w:tab w:val="left" w:pos="0"/>
        </w:tabs>
        <w:spacing w:line="240" w:lineRule="auto"/>
        <w:ind w:left="0" w:leftChars="0" w:firstLine="0" w:firstLineChars="0"/>
        <w:jc w:val="left"/>
        <w:rPr>
          <w:rFonts w:ascii="仿宋" w:hAnsi="仿宋" w:eastAsia="仿宋" w:cs="仿宋"/>
          <w:sz w:val="21"/>
        </w:rPr>
      </w:pPr>
    </w:p>
    <w:p>
      <w:pPr>
        <w:pStyle w:val="19"/>
        <w:tabs>
          <w:tab w:val="left" w:pos="0"/>
        </w:tabs>
        <w:spacing w:line="240" w:lineRule="auto"/>
        <w:ind w:left="0" w:leftChars="0" w:firstLine="0" w:firstLineChars="0"/>
        <w:jc w:val="left"/>
        <w:rPr>
          <w:rFonts w:ascii="仿宋" w:hAnsi="仿宋" w:eastAsia="仿宋" w:cs="仿宋"/>
          <w:sz w:val="21"/>
        </w:rPr>
      </w:pPr>
      <w:bookmarkStart w:id="126" w:name="_Toc30584"/>
      <w:r>
        <w:rPr>
          <w:rFonts w:hint="eastAsia" w:ascii="仿宋" w:hAnsi="仿宋" w:eastAsia="仿宋" w:cs="仿宋"/>
          <w:sz w:val="21"/>
        </w:rPr>
        <w:t>七、项目验收</w:t>
      </w:r>
      <w:bookmarkEnd w:id="126"/>
    </w:p>
    <w:p>
      <w:pPr>
        <w:pStyle w:val="19"/>
        <w:tabs>
          <w:tab w:val="left" w:pos="0"/>
        </w:tabs>
        <w:spacing w:line="240" w:lineRule="auto"/>
        <w:ind w:left="0" w:leftChars="0" w:firstLine="0" w:firstLineChars="0"/>
        <w:jc w:val="left"/>
        <w:rPr>
          <w:rFonts w:ascii="仿宋" w:hAnsi="仿宋" w:eastAsia="仿宋" w:cs="仿宋"/>
          <w:sz w:val="21"/>
        </w:rPr>
      </w:pPr>
      <w:bookmarkStart w:id="127" w:name="_Toc12306"/>
      <w:r>
        <w:rPr>
          <w:rFonts w:hint="eastAsia" w:ascii="仿宋" w:hAnsi="仿宋" w:eastAsia="仿宋" w:cs="仿宋"/>
          <w:sz w:val="21"/>
        </w:rPr>
        <w:t>19.1 项目实施完毕，采购人和采购代理机构组织对供应商履约的验收。</w:t>
      </w:r>
      <w:bookmarkEnd w:id="127"/>
    </w:p>
    <w:p>
      <w:pPr>
        <w:pStyle w:val="19"/>
        <w:tabs>
          <w:tab w:val="left" w:pos="0"/>
        </w:tabs>
        <w:spacing w:line="240" w:lineRule="auto"/>
        <w:ind w:left="0" w:leftChars="0" w:firstLine="0" w:firstLineChars="0"/>
        <w:jc w:val="left"/>
        <w:rPr>
          <w:rFonts w:ascii="仿宋" w:hAnsi="仿宋" w:eastAsia="仿宋" w:cs="仿宋"/>
          <w:sz w:val="21"/>
        </w:rPr>
      </w:pPr>
      <w:bookmarkStart w:id="128" w:name="_Toc13059"/>
      <w:r>
        <w:rPr>
          <w:rFonts w:hint="eastAsia" w:ascii="仿宋" w:hAnsi="仿宋" w:eastAsia="仿宋" w:cs="仿宋"/>
          <w:sz w:val="21"/>
        </w:rPr>
        <w:t>19.2 验收标准:采购文件、响应文件、政府采购合同规定的标准。</w:t>
      </w:r>
      <w:bookmarkEnd w:id="128"/>
    </w:p>
    <w:p>
      <w:pPr>
        <w:pStyle w:val="19"/>
        <w:tabs>
          <w:tab w:val="left" w:pos="0"/>
        </w:tabs>
        <w:spacing w:line="240" w:lineRule="auto"/>
        <w:ind w:left="0" w:leftChars="0" w:firstLine="0" w:firstLineChars="0"/>
        <w:jc w:val="left"/>
        <w:rPr>
          <w:rFonts w:ascii="仿宋" w:hAnsi="仿宋" w:eastAsia="仿宋" w:cs="仿宋"/>
          <w:sz w:val="21"/>
        </w:rPr>
      </w:pPr>
      <w:bookmarkStart w:id="129" w:name="_Toc28578"/>
      <w:r>
        <w:rPr>
          <w:rFonts w:hint="eastAsia" w:ascii="仿宋" w:hAnsi="仿宋" w:eastAsia="仿宋" w:cs="仿宋"/>
          <w:sz w:val="21"/>
        </w:rPr>
        <w:t>19.3 政府采购项目验收联系电话:                     。</w:t>
      </w:r>
      <w:bookmarkEnd w:id="129"/>
    </w:p>
    <w:p>
      <w:pPr>
        <w:pStyle w:val="19"/>
        <w:tabs>
          <w:tab w:val="left" w:pos="0"/>
        </w:tabs>
        <w:spacing w:line="240" w:lineRule="auto"/>
        <w:ind w:left="0" w:leftChars="0" w:firstLine="0" w:firstLineChars="0"/>
        <w:jc w:val="left"/>
        <w:rPr>
          <w:rFonts w:ascii="仿宋" w:hAnsi="仿宋" w:eastAsia="仿宋" w:cs="仿宋"/>
          <w:sz w:val="21"/>
        </w:rPr>
      </w:pPr>
    </w:p>
    <w:p>
      <w:pPr>
        <w:pStyle w:val="19"/>
        <w:tabs>
          <w:tab w:val="left" w:pos="0"/>
        </w:tabs>
        <w:spacing w:line="240" w:lineRule="auto"/>
        <w:ind w:left="0" w:leftChars="0" w:firstLine="0" w:firstLineChars="0"/>
        <w:jc w:val="left"/>
        <w:rPr>
          <w:rFonts w:ascii="仿宋" w:hAnsi="仿宋" w:eastAsia="仿宋" w:cs="仿宋"/>
          <w:sz w:val="21"/>
        </w:rPr>
      </w:pPr>
      <w:bookmarkStart w:id="130" w:name="_Toc18015"/>
      <w:r>
        <w:rPr>
          <w:rFonts w:hint="eastAsia" w:ascii="仿宋" w:hAnsi="仿宋" w:eastAsia="仿宋" w:cs="仿宋"/>
          <w:sz w:val="21"/>
        </w:rPr>
        <w:t>八、适用法律</w:t>
      </w:r>
      <w:bookmarkEnd w:id="130"/>
    </w:p>
    <w:p>
      <w:pPr>
        <w:pStyle w:val="19"/>
        <w:tabs>
          <w:tab w:val="left" w:pos="0"/>
        </w:tabs>
        <w:spacing w:line="240" w:lineRule="auto"/>
        <w:ind w:left="0" w:leftChars="0" w:firstLine="0" w:firstLineChars="0"/>
        <w:jc w:val="center"/>
        <w:outlineLvl w:val="0"/>
        <w:rPr>
          <w:rFonts w:ascii="仿宋" w:hAnsi="仿宋" w:eastAsia="仿宋" w:cs="仿宋"/>
          <w:b/>
          <w:sz w:val="36"/>
        </w:rPr>
      </w:pPr>
      <w:bookmarkStart w:id="131" w:name="_Toc17805"/>
      <w:r>
        <w:rPr>
          <w:rFonts w:hint="eastAsia" w:ascii="仿宋" w:hAnsi="仿宋" w:eastAsia="仿宋" w:cs="仿宋"/>
          <w:sz w:val="21"/>
        </w:rPr>
        <w:t>20. 采购当事人的一切活动均适用于《中华人民共和国政府采购法》及相关规定。</w:t>
      </w:r>
      <w:r>
        <w:rPr>
          <w:rFonts w:hint="eastAsia" w:ascii="仿宋" w:hAnsi="仿宋" w:eastAsia="仿宋" w:cs="仿宋"/>
          <w:sz w:val="21"/>
        </w:rPr>
        <w:br w:type="page"/>
      </w:r>
      <w:bookmarkStart w:id="132" w:name="EB11a03e6dfb6b43ec90cf33ea8d426078"/>
      <w:r>
        <w:rPr>
          <w:rFonts w:hint="eastAsia" w:ascii="仿宋" w:hAnsi="仿宋" w:eastAsia="仿宋" w:cs="仿宋"/>
          <w:b/>
          <w:sz w:val="36"/>
        </w:rPr>
        <w:t xml:space="preserve"> </w:t>
      </w:r>
      <w:bookmarkEnd w:id="7"/>
      <w:bookmarkEnd w:id="131"/>
      <w:bookmarkEnd w:id="132"/>
      <w:bookmarkStart w:id="133" w:name="EB24095aed30e8447c97a82272874e1305"/>
      <w:r>
        <w:rPr>
          <w:rFonts w:hint="eastAsia" w:ascii="仿宋" w:hAnsi="仿宋" w:eastAsia="仿宋" w:cs="仿宋"/>
          <w:b/>
          <w:sz w:val="36"/>
        </w:rPr>
        <w:t>第三部分 采购需求</w:t>
      </w:r>
    </w:p>
    <w:bookmarkEnd w:id="133"/>
    <w:p>
      <w:pPr>
        <w:spacing w:line="360" w:lineRule="auto"/>
        <w:rPr>
          <w:rFonts w:ascii="仿宋" w:hAnsi="仿宋" w:eastAsia="仿宋" w:cs="仿宋"/>
          <w:b/>
          <w:sz w:val="24"/>
          <w:szCs w:val="24"/>
        </w:rPr>
      </w:pPr>
      <w:bookmarkStart w:id="134" w:name="_Toc530650197"/>
      <w:bookmarkStart w:id="135" w:name="_Toc532328814"/>
      <w:bookmarkStart w:id="136" w:name="_Toc530462181"/>
      <w:r>
        <w:rPr>
          <w:rFonts w:hint="eastAsia" w:ascii="仿宋" w:hAnsi="仿宋" w:eastAsia="仿宋" w:cs="仿宋"/>
          <w:b/>
          <w:sz w:val="24"/>
          <w:szCs w:val="24"/>
        </w:rPr>
        <w:t>1.项目概况</w:t>
      </w:r>
    </w:p>
    <w:p>
      <w:pPr>
        <w:spacing w:line="360" w:lineRule="auto"/>
        <w:rPr>
          <w:rFonts w:ascii="仿宋" w:hAnsi="仿宋" w:eastAsia="仿宋" w:cs="仿宋"/>
          <w:b/>
          <w:sz w:val="24"/>
          <w:szCs w:val="24"/>
        </w:rPr>
      </w:pPr>
      <w:r>
        <w:rPr>
          <w:rFonts w:hint="eastAsia" w:ascii="仿宋" w:hAnsi="仿宋" w:eastAsia="仿宋" w:cs="仿宋"/>
          <w:b/>
          <w:sz w:val="24"/>
          <w:szCs w:val="24"/>
        </w:rPr>
        <w:t>1.1项目名称：第三师图木舒克市大数据产业园购买服务项目。</w:t>
      </w:r>
    </w:p>
    <w:p>
      <w:pPr>
        <w:spacing w:line="360" w:lineRule="auto"/>
        <w:rPr>
          <w:rFonts w:ascii="仿宋" w:hAnsi="仿宋" w:eastAsia="仿宋" w:cs="仿宋"/>
          <w:b/>
          <w:sz w:val="24"/>
          <w:szCs w:val="24"/>
        </w:rPr>
      </w:pPr>
      <w:r>
        <w:rPr>
          <w:rFonts w:hint="eastAsia" w:ascii="仿宋" w:hAnsi="仿宋" w:eastAsia="仿宋" w:cs="仿宋"/>
          <w:b/>
          <w:sz w:val="24"/>
          <w:szCs w:val="24"/>
        </w:rPr>
        <w:t>1.2采购人：中共新疆生产建设兵团第三师委员会网络安全和信息化委员会办公室。</w:t>
      </w:r>
    </w:p>
    <w:p>
      <w:pPr>
        <w:spacing w:line="360" w:lineRule="auto"/>
        <w:rPr>
          <w:rFonts w:ascii="仿宋" w:hAnsi="仿宋" w:eastAsia="仿宋" w:cs="仿宋"/>
          <w:b/>
          <w:sz w:val="24"/>
          <w:szCs w:val="24"/>
        </w:rPr>
      </w:pPr>
      <w:r>
        <w:rPr>
          <w:rFonts w:hint="eastAsia" w:ascii="仿宋" w:hAnsi="仿宋" w:eastAsia="仿宋" w:cs="仿宋"/>
          <w:b/>
          <w:sz w:val="24"/>
          <w:szCs w:val="24"/>
        </w:rPr>
        <w:t>1.3用户单位：第三师图木舒克市党政机关及企事业单位等。</w:t>
      </w:r>
    </w:p>
    <w:p>
      <w:pPr>
        <w:spacing w:line="360" w:lineRule="auto"/>
        <w:rPr>
          <w:rFonts w:ascii="仿宋" w:hAnsi="仿宋" w:eastAsia="仿宋" w:cs="仿宋"/>
          <w:b/>
          <w:sz w:val="24"/>
          <w:szCs w:val="24"/>
        </w:rPr>
      </w:pPr>
      <w:bookmarkStart w:id="137" w:name="_Toc76482663"/>
      <w:r>
        <w:rPr>
          <w:rFonts w:hint="eastAsia" w:ascii="仿宋" w:hAnsi="仿宋" w:eastAsia="仿宋" w:cs="仿宋"/>
          <w:b/>
          <w:sz w:val="24"/>
          <w:szCs w:val="24"/>
        </w:rPr>
        <w:t>1.4项目目标</w:t>
      </w:r>
      <w:bookmarkEnd w:id="137"/>
    </w:p>
    <w:p>
      <w:pPr>
        <w:pStyle w:val="140"/>
        <w:numPr>
          <w:ilvl w:val="0"/>
          <w:numId w:val="7"/>
        </w:numPr>
        <w:adjustRightInd w:val="0"/>
        <w:snapToGrid w:val="0"/>
        <w:spacing w:line="360" w:lineRule="auto"/>
        <w:ind w:firstLineChars="0"/>
        <w:jc w:val="left"/>
        <w:rPr>
          <w:rFonts w:ascii="仿宋" w:hAnsi="仿宋" w:eastAsia="仿宋" w:cs="仿宋"/>
          <w:b/>
          <w:sz w:val="24"/>
          <w:szCs w:val="24"/>
        </w:rPr>
      </w:pPr>
      <w:r>
        <w:rPr>
          <w:rFonts w:hint="eastAsia" w:ascii="仿宋" w:hAnsi="仿宋" w:eastAsia="仿宋" w:cs="仿宋"/>
          <w:b/>
          <w:sz w:val="24"/>
          <w:szCs w:val="24"/>
        </w:rPr>
        <w:t>图木舒克市大数据产业园购买服务目标</w:t>
      </w:r>
    </w:p>
    <w:p>
      <w:pPr>
        <w:ind w:firstLine="480"/>
        <w:rPr>
          <w:rFonts w:ascii="仿宋" w:hAnsi="仿宋" w:eastAsia="仿宋" w:cs="仿宋"/>
          <w:sz w:val="24"/>
          <w:szCs w:val="24"/>
        </w:rPr>
      </w:pPr>
      <w:r>
        <w:rPr>
          <w:rFonts w:hint="eastAsia" w:ascii="仿宋" w:hAnsi="仿宋" w:eastAsia="仿宋" w:cs="仿宋"/>
          <w:sz w:val="24"/>
          <w:szCs w:val="24"/>
        </w:rPr>
        <w:t>第三师图木舒克大数据产业园项目建设的核心第三师图木舒克市城市大脑数字底座，属于公共服务项目和政府关键基础设施（为社会公众参与社会经济、政治、文化活动等提供保障），其特殊性要求体现在业务集约性、高安全性、数据敏感性、政府服务性、运维本地化等方面，本项目将为全师市非涉密非敏感信息化系统购买云资源、备份、安全以及智能化运维、系统迁移上云等服务，进一步贯彻落实兵团“两地三中心”的工作部署，完善图木舒克市在兵团“数字政府”改革建设中的基础支撑能力，实现师市一体化的云网基础设施资源统筹管理、政务数据资源贯通承载、业务系统标准化管理运营、系统集约化部署，促进师市一体化的精细化管理。促使政府决策更科学、治理更有序、服务更便捷，助推政府智慧转型。</w:t>
      </w:r>
    </w:p>
    <w:p>
      <w:pPr>
        <w:spacing w:line="360" w:lineRule="auto"/>
        <w:rPr>
          <w:rFonts w:ascii="仿宋" w:hAnsi="仿宋" w:eastAsia="仿宋" w:cs="仿宋"/>
          <w:b/>
          <w:sz w:val="24"/>
          <w:szCs w:val="24"/>
        </w:rPr>
      </w:pPr>
      <w:bookmarkStart w:id="138" w:name="_Toc76482664"/>
      <w:r>
        <w:rPr>
          <w:rFonts w:hint="eastAsia" w:ascii="仿宋" w:hAnsi="仿宋" w:eastAsia="仿宋" w:cs="仿宋"/>
          <w:b/>
          <w:sz w:val="24"/>
          <w:szCs w:val="24"/>
        </w:rPr>
        <w:t>1.5服务地点</w:t>
      </w:r>
      <w:bookmarkEnd w:id="138"/>
    </w:p>
    <w:p>
      <w:pPr>
        <w:ind w:firstLine="480"/>
        <w:rPr>
          <w:rFonts w:ascii="仿宋" w:hAnsi="仿宋" w:eastAsia="仿宋" w:cs="仿宋"/>
          <w:sz w:val="24"/>
          <w:szCs w:val="24"/>
          <w:highlight w:val="none"/>
        </w:rPr>
      </w:pPr>
      <w:r>
        <w:rPr>
          <w:rFonts w:hint="eastAsia" w:ascii="仿宋" w:hAnsi="仿宋" w:eastAsia="仿宋" w:cs="仿宋"/>
          <w:sz w:val="24"/>
          <w:szCs w:val="24"/>
          <w:highlight w:val="none"/>
        </w:rPr>
        <w:t>图木舒克市央企产业园。</w:t>
      </w:r>
    </w:p>
    <w:p>
      <w:pPr>
        <w:spacing w:line="360" w:lineRule="auto"/>
        <w:rPr>
          <w:rFonts w:ascii="仿宋" w:hAnsi="仿宋" w:eastAsia="仿宋" w:cs="仿宋"/>
          <w:b/>
          <w:sz w:val="24"/>
          <w:szCs w:val="24"/>
        </w:rPr>
      </w:pPr>
      <w:bookmarkStart w:id="139" w:name="_Toc76482665"/>
      <w:r>
        <w:rPr>
          <w:rFonts w:hint="eastAsia" w:ascii="仿宋" w:hAnsi="仿宋" w:eastAsia="仿宋" w:cs="仿宋"/>
          <w:b/>
          <w:sz w:val="24"/>
          <w:szCs w:val="24"/>
        </w:rPr>
        <w:t>1.6项目背景</w:t>
      </w:r>
      <w:bookmarkEnd w:id="139"/>
    </w:p>
    <w:p>
      <w:pPr>
        <w:ind w:firstLine="480"/>
        <w:rPr>
          <w:rFonts w:ascii="仿宋" w:hAnsi="仿宋" w:eastAsia="仿宋" w:cs="仿宋"/>
          <w:bCs/>
          <w:sz w:val="24"/>
          <w:szCs w:val="24"/>
        </w:rPr>
      </w:pPr>
      <w:r>
        <w:rPr>
          <w:rFonts w:hint="eastAsia" w:ascii="仿宋" w:hAnsi="仿宋" w:eastAsia="仿宋" w:cs="仿宋"/>
          <w:bCs/>
          <w:sz w:val="24"/>
          <w:szCs w:val="24"/>
        </w:rPr>
        <w:t>第三师图木舒克市大数据产业园项目是师市贯彻落实《新疆生产建设兵团向南发展发展规划纲要》攻坚项目，是师市“十四五”期间重点发展项目，是推动师市经济社会高质量发展的重要举措。图木舒克大数据产业园项目位于滨河大道以南、夏可河以北，项目拟用地约50亩，总建筑面积57650平方米。项目总投资3.3亿元，其中由新疆唐辉高科发展有限公司自筹2亿元，主要用于土建及基础设施配套；新疆信科投资1.3亿元建设大数据产业园信息化设施配套。大数据产业园的建设，可以为师市提供大数据中心、城市大脑数字底座、综合决策指挥中心、信创适配中心，为师市构建大数据产业生态聚集打造良好的基础环境，是扩大有效投资、持续优化营商环境的有力举措，是深入实施“强工业、兴三产、优农业、扩投资、拓平台”发展战略的体现。</w:t>
      </w:r>
    </w:p>
    <w:p>
      <w:pPr>
        <w:ind w:firstLine="480"/>
        <w:rPr>
          <w:rFonts w:ascii="仿宋" w:hAnsi="仿宋" w:eastAsia="仿宋" w:cs="仿宋"/>
          <w:sz w:val="24"/>
          <w:szCs w:val="24"/>
        </w:rPr>
      </w:pPr>
      <w:r>
        <w:rPr>
          <w:rFonts w:hint="eastAsia" w:ascii="仿宋" w:hAnsi="仿宋" w:eastAsia="仿宋" w:cs="仿宋"/>
          <w:sz w:val="24"/>
          <w:szCs w:val="24"/>
        </w:rPr>
        <w:t>根据图木舒克经济技术开发区管理委员会与新疆信科签订的《第三师图木舒克大数据产业园合作意向书》, 该项目属于合作协议框架内的项目，协议中明确师市在同等条件下，优先选用新疆信科提供的服务。新疆信科是中国信息科技集团有限公司在第三师图木舒克市注册成立的全资控股的子公司，新疆信科在云计算产品与服务领域均具有业界一流水平，并参与“数字兵团”、“兵团智慧城市”等多个城市大脑项目，且双方签订的合作意向书内约定双方同意就第三师图木舒克大数据产业园项目进行合作，共同面向城市大脑底座建设需求，以信息化手段服务师市、带动信息化产业发展。为确保第三师图木舒克大数据产业园项目建设的整体性、延续性，避免重复开发、浪费投资，应参考“数字兵团”已有的成熟模式进行建设，按照统一部署和管理要求，采用原有技术架构和成熟方案，充分使用相关公共支撑能力，确保与“数字兵团”无缝对接。</w:t>
      </w:r>
    </w:p>
    <w:p>
      <w:pPr>
        <w:spacing w:line="360" w:lineRule="auto"/>
        <w:rPr>
          <w:rFonts w:ascii="仿宋" w:hAnsi="仿宋" w:eastAsia="仿宋" w:cs="仿宋"/>
          <w:b/>
          <w:sz w:val="24"/>
          <w:szCs w:val="24"/>
        </w:rPr>
      </w:pPr>
      <w:bookmarkStart w:id="140" w:name="_Toc76482666"/>
      <w:r>
        <w:rPr>
          <w:rFonts w:hint="eastAsia" w:ascii="仿宋" w:hAnsi="仿宋" w:eastAsia="仿宋" w:cs="仿宋"/>
          <w:b/>
          <w:sz w:val="24"/>
          <w:szCs w:val="24"/>
        </w:rPr>
        <w:t>1.7政策依据</w:t>
      </w:r>
      <w:bookmarkEnd w:id="140"/>
    </w:p>
    <w:p>
      <w:pPr>
        <w:pStyle w:val="198"/>
        <w:ind w:firstLine="426"/>
        <w:jc w:val="both"/>
        <w:rPr>
          <w:rFonts w:ascii="仿宋" w:hAnsi="仿宋" w:eastAsia="仿宋" w:cs="仿宋"/>
          <w:sz w:val="24"/>
          <w:szCs w:val="24"/>
        </w:rPr>
      </w:pPr>
      <w:r>
        <w:rPr>
          <w:rFonts w:hint="eastAsia" w:ascii="仿宋" w:hAnsi="仿宋" w:eastAsia="仿宋" w:cs="仿宋"/>
          <w:sz w:val="24"/>
          <w:szCs w:val="24"/>
        </w:rPr>
        <w:t>《中华人民共和国网络安全法》；</w:t>
      </w:r>
    </w:p>
    <w:p>
      <w:pPr>
        <w:pStyle w:val="198"/>
        <w:ind w:firstLine="426"/>
        <w:jc w:val="both"/>
        <w:rPr>
          <w:rFonts w:ascii="仿宋" w:hAnsi="仿宋" w:eastAsia="仿宋" w:cs="仿宋"/>
          <w:sz w:val="24"/>
          <w:szCs w:val="24"/>
        </w:rPr>
      </w:pPr>
      <w:r>
        <w:rPr>
          <w:rFonts w:hint="eastAsia" w:ascii="仿宋" w:hAnsi="仿宋" w:eastAsia="仿宋" w:cs="仿宋"/>
          <w:sz w:val="24"/>
          <w:szCs w:val="24"/>
        </w:rPr>
        <w:t>《国家信息化领导小组关于加强信息安全保障工作的意见》（中办发[2003]27号）；</w:t>
      </w:r>
    </w:p>
    <w:p>
      <w:pPr>
        <w:pStyle w:val="198"/>
        <w:ind w:firstLine="426"/>
        <w:jc w:val="both"/>
        <w:rPr>
          <w:rFonts w:ascii="仿宋" w:hAnsi="仿宋" w:eastAsia="仿宋" w:cs="仿宋"/>
          <w:sz w:val="24"/>
          <w:szCs w:val="24"/>
        </w:rPr>
      </w:pPr>
      <w:r>
        <w:rPr>
          <w:rFonts w:hint="eastAsia" w:ascii="仿宋" w:hAnsi="仿宋" w:eastAsia="仿宋" w:cs="仿宋"/>
          <w:sz w:val="24"/>
          <w:szCs w:val="24"/>
        </w:rPr>
        <w:t>2004年9月四部委局联合签发的《关于信息安全等级保护工作的实施意见》；</w:t>
      </w:r>
    </w:p>
    <w:p>
      <w:pPr>
        <w:pStyle w:val="198"/>
        <w:ind w:firstLine="426"/>
        <w:jc w:val="both"/>
        <w:rPr>
          <w:rFonts w:ascii="仿宋" w:hAnsi="仿宋" w:eastAsia="仿宋" w:cs="仿宋"/>
          <w:sz w:val="24"/>
          <w:szCs w:val="24"/>
        </w:rPr>
      </w:pPr>
      <w:r>
        <w:rPr>
          <w:rFonts w:hint="eastAsia" w:ascii="仿宋" w:hAnsi="仿宋" w:eastAsia="仿宋" w:cs="仿宋"/>
          <w:sz w:val="24"/>
          <w:szCs w:val="24"/>
        </w:rPr>
        <w:t>《关于加强国家电子政务工程建设项目信息安全风险评估工作的通知》（发改高技[2008]2071号）；</w:t>
      </w:r>
    </w:p>
    <w:p>
      <w:pPr>
        <w:pStyle w:val="198"/>
        <w:ind w:firstLine="426"/>
        <w:jc w:val="both"/>
        <w:rPr>
          <w:rFonts w:ascii="仿宋" w:hAnsi="仿宋" w:eastAsia="仿宋" w:cs="仿宋"/>
          <w:sz w:val="24"/>
          <w:szCs w:val="24"/>
        </w:rPr>
      </w:pPr>
      <w:r>
        <w:rPr>
          <w:rFonts w:hint="eastAsia" w:ascii="仿宋" w:hAnsi="仿宋" w:eastAsia="仿宋" w:cs="仿宋"/>
          <w:sz w:val="24"/>
          <w:szCs w:val="24"/>
        </w:rPr>
        <w:t>《关于加强党政部门云计算服务网络安全管理的意见》（中网办发文〔2014〕14号）；</w:t>
      </w:r>
    </w:p>
    <w:p>
      <w:pPr>
        <w:pStyle w:val="198"/>
        <w:ind w:firstLine="426"/>
        <w:jc w:val="both"/>
        <w:rPr>
          <w:rFonts w:ascii="仿宋" w:hAnsi="仿宋" w:eastAsia="仿宋" w:cs="仿宋"/>
          <w:sz w:val="24"/>
          <w:szCs w:val="24"/>
        </w:rPr>
      </w:pPr>
      <w:r>
        <w:rPr>
          <w:rFonts w:hint="eastAsia" w:ascii="仿宋" w:hAnsi="仿宋" w:eastAsia="仿宋" w:cs="仿宋"/>
          <w:sz w:val="24"/>
          <w:szCs w:val="24"/>
        </w:rPr>
        <w:t>《关于加快数字兵团建设的指导意见》（新兵发〔2019〕28号）；</w:t>
      </w:r>
    </w:p>
    <w:p>
      <w:pPr>
        <w:pStyle w:val="198"/>
        <w:ind w:firstLine="426"/>
        <w:jc w:val="both"/>
        <w:rPr>
          <w:rFonts w:ascii="仿宋" w:hAnsi="仿宋" w:eastAsia="仿宋" w:cs="仿宋"/>
          <w:sz w:val="24"/>
          <w:szCs w:val="24"/>
        </w:rPr>
      </w:pPr>
      <w:r>
        <w:rPr>
          <w:rFonts w:hint="eastAsia" w:ascii="仿宋" w:hAnsi="仿宋" w:eastAsia="仿宋" w:cs="仿宋"/>
          <w:sz w:val="24"/>
          <w:szCs w:val="24"/>
        </w:rPr>
        <w:t>《数字兵团建设三年行动方案》（2019-2021年）；</w:t>
      </w:r>
    </w:p>
    <w:p>
      <w:pPr>
        <w:pStyle w:val="198"/>
        <w:ind w:firstLine="426"/>
        <w:jc w:val="both"/>
        <w:rPr>
          <w:rFonts w:ascii="仿宋" w:hAnsi="仿宋" w:eastAsia="仿宋" w:cs="仿宋"/>
          <w:sz w:val="24"/>
          <w:szCs w:val="24"/>
        </w:rPr>
      </w:pPr>
      <w:r>
        <w:rPr>
          <w:rFonts w:hint="eastAsia" w:ascii="仿宋" w:hAnsi="仿宋" w:eastAsia="仿宋" w:cs="仿宋"/>
          <w:sz w:val="24"/>
          <w:szCs w:val="24"/>
        </w:rPr>
        <w:t>《数据中心设计规范》（GB50174 -2017）</w:t>
      </w:r>
    </w:p>
    <w:p>
      <w:pPr>
        <w:pStyle w:val="198"/>
        <w:ind w:firstLine="426"/>
        <w:jc w:val="both"/>
        <w:rPr>
          <w:rFonts w:ascii="仿宋" w:hAnsi="仿宋" w:eastAsia="仿宋" w:cs="仿宋"/>
          <w:sz w:val="24"/>
          <w:szCs w:val="24"/>
        </w:rPr>
      </w:pPr>
      <w:r>
        <w:rPr>
          <w:rFonts w:hint="eastAsia" w:ascii="仿宋" w:hAnsi="仿宋" w:eastAsia="仿宋" w:cs="仿宋"/>
          <w:sz w:val="24"/>
          <w:szCs w:val="24"/>
        </w:rPr>
        <w:t>《中华人民共和国计算机信息系统安全保护条例》（国务院147号令）；</w:t>
      </w:r>
    </w:p>
    <w:p>
      <w:pPr>
        <w:pStyle w:val="198"/>
        <w:ind w:firstLine="426"/>
        <w:jc w:val="both"/>
        <w:rPr>
          <w:rFonts w:ascii="仿宋" w:hAnsi="仿宋" w:eastAsia="仿宋" w:cs="仿宋"/>
          <w:sz w:val="24"/>
          <w:szCs w:val="24"/>
        </w:rPr>
      </w:pPr>
      <w:r>
        <w:rPr>
          <w:rFonts w:hint="eastAsia" w:ascii="仿宋" w:hAnsi="仿宋" w:eastAsia="仿宋" w:cs="仿宋"/>
          <w:sz w:val="24"/>
          <w:szCs w:val="24"/>
        </w:rPr>
        <w:t>《国务院办公厅关于加强政府信息系统安全和保密管理工作的通知》(国办发〔2008〕17号)；</w:t>
      </w:r>
    </w:p>
    <w:p>
      <w:pPr>
        <w:pStyle w:val="198"/>
        <w:ind w:firstLine="426"/>
        <w:jc w:val="both"/>
        <w:rPr>
          <w:rFonts w:ascii="仿宋" w:hAnsi="仿宋" w:eastAsia="仿宋" w:cs="仿宋"/>
          <w:sz w:val="24"/>
          <w:szCs w:val="24"/>
        </w:rPr>
      </w:pPr>
      <w:r>
        <w:rPr>
          <w:rFonts w:hint="eastAsia" w:ascii="仿宋" w:hAnsi="仿宋" w:eastAsia="仿宋" w:cs="仿宋"/>
          <w:sz w:val="24"/>
          <w:szCs w:val="24"/>
        </w:rPr>
        <w:t>《国家电子政务外网安全管理系统技术要求与接口规范》（GW0204-2014）；</w:t>
      </w:r>
    </w:p>
    <w:p>
      <w:pPr>
        <w:pStyle w:val="198"/>
        <w:ind w:firstLine="426"/>
        <w:jc w:val="both"/>
        <w:rPr>
          <w:rFonts w:ascii="仿宋" w:hAnsi="仿宋" w:eastAsia="仿宋" w:cs="仿宋"/>
          <w:sz w:val="24"/>
          <w:szCs w:val="24"/>
        </w:rPr>
      </w:pPr>
      <w:r>
        <w:rPr>
          <w:rFonts w:hint="eastAsia" w:ascii="仿宋" w:hAnsi="仿宋" w:eastAsia="仿宋" w:cs="仿宋"/>
          <w:sz w:val="24"/>
          <w:szCs w:val="24"/>
        </w:rPr>
        <w:t>《关于加强国家电子政务工程建设项目网络安全风险评估工作的通知》（发改高技[2008]2071号）；</w:t>
      </w:r>
    </w:p>
    <w:p>
      <w:pPr>
        <w:pStyle w:val="198"/>
        <w:ind w:firstLine="426"/>
        <w:jc w:val="both"/>
        <w:rPr>
          <w:rFonts w:ascii="仿宋" w:hAnsi="仿宋" w:eastAsia="仿宋" w:cs="仿宋"/>
          <w:sz w:val="24"/>
          <w:szCs w:val="24"/>
        </w:rPr>
      </w:pPr>
      <w:r>
        <w:rPr>
          <w:rFonts w:hint="eastAsia" w:ascii="仿宋" w:hAnsi="仿宋" w:eastAsia="仿宋" w:cs="仿宋"/>
          <w:sz w:val="24"/>
          <w:szCs w:val="24"/>
        </w:rPr>
        <w:t>《关于开展网络安全等级保护安全建设整改工作的指导意见》（公信安[2009]1429号）</w:t>
      </w:r>
    </w:p>
    <w:p>
      <w:pPr>
        <w:pStyle w:val="198"/>
        <w:ind w:firstLine="426"/>
        <w:jc w:val="both"/>
        <w:rPr>
          <w:rFonts w:ascii="仿宋" w:hAnsi="仿宋" w:eastAsia="仿宋" w:cs="仿宋"/>
          <w:sz w:val="24"/>
          <w:szCs w:val="24"/>
        </w:rPr>
      </w:pPr>
      <w:r>
        <w:rPr>
          <w:rFonts w:hint="eastAsia" w:ascii="仿宋" w:hAnsi="仿宋" w:eastAsia="仿宋" w:cs="仿宋"/>
          <w:sz w:val="24"/>
          <w:szCs w:val="24"/>
        </w:rPr>
        <w:t>《国家电子政务信息安全标准化工作规范》（GW0102-2014）；</w:t>
      </w:r>
    </w:p>
    <w:p>
      <w:pPr>
        <w:pStyle w:val="198"/>
        <w:ind w:firstLine="426"/>
        <w:jc w:val="both"/>
        <w:rPr>
          <w:rFonts w:ascii="仿宋" w:hAnsi="仿宋" w:eastAsia="仿宋" w:cs="仿宋"/>
          <w:sz w:val="24"/>
          <w:szCs w:val="24"/>
        </w:rPr>
      </w:pPr>
      <w:r>
        <w:rPr>
          <w:rFonts w:hint="eastAsia" w:ascii="仿宋" w:hAnsi="仿宋" w:eastAsia="仿宋" w:cs="仿宋"/>
          <w:sz w:val="24"/>
          <w:szCs w:val="24"/>
        </w:rPr>
        <w:t>《接入政务外网的局域网安全技术规范》（GW0206-2014）；</w:t>
      </w:r>
    </w:p>
    <w:p>
      <w:pPr>
        <w:pStyle w:val="198"/>
        <w:ind w:firstLine="426"/>
        <w:jc w:val="both"/>
        <w:rPr>
          <w:rFonts w:ascii="仿宋" w:hAnsi="仿宋" w:eastAsia="仿宋" w:cs="仿宋"/>
          <w:sz w:val="24"/>
          <w:szCs w:val="24"/>
        </w:rPr>
      </w:pPr>
      <w:r>
        <w:rPr>
          <w:rFonts w:hint="eastAsia" w:ascii="仿宋" w:hAnsi="仿宋" w:eastAsia="仿宋" w:cs="仿宋"/>
          <w:sz w:val="24"/>
          <w:szCs w:val="24"/>
        </w:rPr>
        <w:t>《信息安全技术信息系统安全等级保护基本要求》（GB/T 22239-2008）；</w:t>
      </w:r>
    </w:p>
    <w:p>
      <w:pPr>
        <w:pStyle w:val="198"/>
        <w:ind w:firstLine="426"/>
        <w:jc w:val="both"/>
        <w:rPr>
          <w:rFonts w:ascii="仿宋" w:hAnsi="仿宋" w:eastAsia="仿宋" w:cs="仿宋"/>
          <w:sz w:val="24"/>
          <w:szCs w:val="24"/>
        </w:rPr>
      </w:pPr>
      <w:r>
        <w:rPr>
          <w:rFonts w:hint="eastAsia" w:ascii="仿宋" w:hAnsi="仿宋" w:eastAsia="仿宋" w:cs="仿宋"/>
          <w:sz w:val="24"/>
          <w:szCs w:val="24"/>
        </w:rPr>
        <w:t>《信息安全技术 云计算服务安全指南》（GB/T 31167-2014 ）；</w:t>
      </w:r>
    </w:p>
    <w:p>
      <w:pPr>
        <w:pStyle w:val="198"/>
        <w:ind w:firstLine="426"/>
        <w:jc w:val="both"/>
        <w:rPr>
          <w:rFonts w:ascii="仿宋" w:hAnsi="仿宋" w:eastAsia="仿宋" w:cs="仿宋"/>
          <w:sz w:val="24"/>
          <w:szCs w:val="24"/>
        </w:rPr>
      </w:pPr>
      <w:r>
        <w:rPr>
          <w:rFonts w:hint="eastAsia" w:ascii="仿宋" w:hAnsi="仿宋" w:eastAsia="仿宋" w:cs="仿宋"/>
          <w:sz w:val="24"/>
          <w:szCs w:val="24"/>
        </w:rPr>
        <w:t>《信息安全技术 云计算服务安全能力要求》（GB/T 31168-2014 ）；</w:t>
      </w:r>
    </w:p>
    <w:p>
      <w:pPr>
        <w:pStyle w:val="198"/>
        <w:ind w:firstLine="426"/>
        <w:jc w:val="both"/>
        <w:rPr>
          <w:rFonts w:ascii="仿宋" w:hAnsi="仿宋" w:eastAsia="仿宋" w:cs="仿宋"/>
          <w:sz w:val="24"/>
          <w:szCs w:val="24"/>
        </w:rPr>
      </w:pPr>
      <w:r>
        <w:rPr>
          <w:rFonts w:hint="eastAsia" w:ascii="仿宋" w:hAnsi="仿宋" w:eastAsia="仿宋" w:cs="仿宋"/>
          <w:sz w:val="24"/>
          <w:szCs w:val="24"/>
        </w:rPr>
        <w:t>《信息技术服务 运行维护 第1部分:通用要求》（GB/T 28827.1-2012 ）；</w:t>
      </w:r>
    </w:p>
    <w:p>
      <w:pPr>
        <w:pStyle w:val="198"/>
        <w:ind w:firstLine="426"/>
        <w:jc w:val="both"/>
        <w:rPr>
          <w:rFonts w:ascii="仿宋" w:hAnsi="仿宋" w:eastAsia="仿宋" w:cs="仿宋"/>
          <w:sz w:val="24"/>
          <w:szCs w:val="24"/>
        </w:rPr>
      </w:pPr>
      <w:r>
        <w:rPr>
          <w:rFonts w:hint="eastAsia" w:ascii="仿宋" w:hAnsi="仿宋" w:eastAsia="仿宋" w:cs="仿宋"/>
          <w:sz w:val="24"/>
          <w:szCs w:val="24"/>
        </w:rPr>
        <w:t>《信息技术服务 运行维护 第2部分:交付规范》（GB/T 28827.2-2012 ）；</w:t>
      </w:r>
    </w:p>
    <w:p>
      <w:pPr>
        <w:pStyle w:val="198"/>
        <w:ind w:firstLine="426"/>
        <w:jc w:val="both"/>
        <w:rPr>
          <w:rFonts w:ascii="仿宋" w:hAnsi="仿宋" w:eastAsia="仿宋" w:cs="仿宋"/>
          <w:sz w:val="24"/>
          <w:szCs w:val="24"/>
        </w:rPr>
      </w:pPr>
      <w:r>
        <w:rPr>
          <w:rFonts w:hint="eastAsia" w:ascii="仿宋" w:hAnsi="仿宋" w:eastAsia="仿宋" w:cs="仿宋"/>
          <w:sz w:val="24"/>
          <w:szCs w:val="24"/>
        </w:rPr>
        <w:t>《信息技术服务 运行维护 第3部分:应急响应规范》（GB/T 28827.3-2012 ）；</w:t>
      </w:r>
    </w:p>
    <w:p>
      <w:pPr>
        <w:pStyle w:val="198"/>
        <w:ind w:firstLine="426"/>
        <w:jc w:val="both"/>
        <w:rPr>
          <w:rFonts w:ascii="仿宋" w:hAnsi="仿宋" w:eastAsia="仿宋" w:cs="仿宋"/>
          <w:sz w:val="24"/>
          <w:szCs w:val="24"/>
        </w:rPr>
      </w:pPr>
      <w:r>
        <w:rPr>
          <w:rFonts w:hint="eastAsia" w:ascii="仿宋" w:hAnsi="仿宋" w:eastAsia="仿宋" w:cs="仿宋"/>
          <w:sz w:val="24"/>
          <w:szCs w:val="24"/>
        </w:rPr>
        <w:t>《关于进一步推进兵团电子政务整合应用的通知》（新兵办发〔2015〕30号）；</w:t>
      </w:r>
    </w:p>
    <w:p>
      <w:pPr>
        <w:pStyle w:val="198"/>
        <w:ind w:firstLine="426"/>
        <w:jc w:val="both"/>
        <w:rPr>
          <w:rFonts w:ascii="仿宋" w:hAnsi="仿宋" w:eastAsia="仿宋" w:cs="仿宋"/>
          <w:sz w:val="24"/>
          <w:szCs w:val="24"/>
        </w:rPr>
      </w:pPr>
      <w:r>
        <w:rPr>
          <w:rFonts w:hint="eastAsia" w:ascii="仿宋" w:hAnsi="仿宋" w:eastAsia="仿宋" w:cs="仿宋"/>
          <w:sz w:val="24"/>
          <w:szCs w:val="24"/>
        </w:rPr>
        <w:t>《新疆生产建设兵团电子政务外网平台技术规范》；</w:t>
      </w:r>
    </w:p>
    <w:p>
      <w:pPr>
        <w:pStyle w:val="198"/>
        <w:ind w:firstLine="426"/>
        <w:jc w:val="both"/>
        <w:rPr>
          <w:rFonts w:ascii="仿宋" w:hAnsi="仿宋" w:eastAsia="仿宋" w:cs="仿宋"/>
          <w:sz w:val="24"/>
          <w:szCs w:val="24"/>
        </w:rPr>
      </w:pPr>
      <w:r>
        <w:rPr>
          <w:rFonts w:hint="eastAsia" w:ascii="仿宋" w:hAnsi="仿宋" w:eastAsia="仿宋" w:cs="仿宋"/>
          <w:sz w:val="24"/>
          <w:szCs w:val="24"/>
        </w:rPr>
        <w:t>《新疆生产建设兵团电子政务外网平台应用规范》；</w:t>
      </w:r>
    </w:p>
    <w:p>
      <w:pPr>
        <w:pStyle w:val="198"/>
        <w:ind w:firstLine="426"/>
        <w:jc w:val="both"/>
        <w:rPr>
          <w:rFonts w:ascii="仿宋" w:hAnsi="仿宋" w:eastAsia="仿宋" w:cs="仿宋"/>
          <w:sz w:val="24"/>
          <w:szCs w:val="24"/>
        </w:rPr>
      </w:pPr>
      <w:r>
        <w:rPr>
          <w:rFonts w:hint="eastAsia" w:ascii="仿宋" w:hAnsi="仿宋" w:eastAsia="仿宋" w:cs="仿宋"/>
          <w:sz w:val="24"/>
          <w:szCs w:val="24"/>
        </w:rPr>
        <w:t>《信息安全技术信息系统灾难恢复规范》（GB/T 20988-2007）。</w:t>
      </w:r>
    </w:p>
    <w:p>
      <w:pPr>
        <w:spacing w:line="360" w:lineRule="auto"/>
        <w:rPr>
          <w:rFonts w:ascii="仿宋" w:hAnsi="仿宋" w:eastAsia="仿宋" w:cs="仿宋"/>
          <w:b/>
          <w:sz w:val="24"/>
          <w:szCs w:val="24"/>
        </w:rPr>
      </w:pPr>
      <w:bookmarkStart w:id="141" w:name="_Toc76482667"/>
      <w:r>
        <w:rPr>
          <w:rFonts w:hint="eastAsia" w:ascii="仿宋" w:hAnsi="仿宋" w:eastAsia="仿宋" w:cs="仿宋"/>
          <w:b/>
          <w:sz w:val="24"/>
          <w:szCs w:val="24"/>
        </w:rPr>
        <w:t>2.项目采购预算</w:t>
      </w:r>
      <w:bookmarkEnd w:id="141"/>
    </w:p>
    <w:p>
      <w:pPr>
        <w:ind w:firstLine="480"/>
        <w:rPr>
          <w:rFonts w:ascii="仿宋" w:hAnsi="仿宋" w:eastAsia="仿宋" w:cs="仿宋"/>
          <w:sz w:val="24"/>
          <w:szCs w:val="24"/>
        </w:rPr>
      </w:pPr>
      <w:r>
        <w:rPr>
          <w:rFonts w:hint="eastAsia" w:ascii="仿宋" w:hAnsi="仿宋" w:eastAsia="仿宋" w:cs="仿宋"/>
          <w:sz w:val="24"/>
          <w:szCs w:val="24"/>
        </w:rPr>
        <w:t>本项目采购预算为1000万元，使用师市专项资金。</w:t>
      </w:r>
    </w:p>
    <w:p>
      <w:pPr>
        <w:spacing w:line="360" w:lineRule="auto"/>
        <w:rPr>
          <w:rFonts w:ascii="仿宋" w:hAnsi="仿宋" w:eastAsia="仿宋" w:cs="仿宋"/>
          <w:b/>
          <w:sz w:val="24"/>
          <w:szCs w:val="24"/>
        </w:rPr>
      </w:pPr>
      <w:bookmarkStart w:id="142" w:name="_Toc76482668"/>
      <w:r>
        <w:rPr>
          <w:rFonts w:hint="eastAsia" w:ascii="仿宋" w:hAnsi="仿宋" w:eastAsia="仿宋" w:cs="仿宋"/>
          <w:b/>
          <w:sz w:val="24"/>
          <w:szCs w:val="24"/>
        </w:rPr>
        <w:t>3.服务期限</w:t>
      </w:r>
      <w:bookmarkEnd w:id="142"/>
    </w:p>
    <w:p>
      <w:pPr>
        <w:ind w:firstLine="480"/>
        <w:rPr>
          <w:rFonts w:ascii="仿宋" w:hAnsi="仿宋" w:eastAsia="仿宋" w:cs="仿宋"/>
          <w:sz w:val="24"/>
          <w:szCs w:val="24"/>
        </w:rPr>
      </w:pPr>
      <w:r>
        <w:rPr>
          <w:rFonts w:hint="eastAsia" w:ascii="仿宋" w:hAnsi="仿宋" w:eastAsia="仿宋" w:cs="仿宋"/>
          <w:sz w:val="24"/>
          <w:szCs w:val="24"/>
        </w:rPr>
        <w:t>本项目的云服务部分，按采购人和成交供应商双方约定的时间起，至双方约定的时间为止。</w:t>
      </w:r>
    </w:p>
    <w:p>
      <w:pPr>
        <w:spacing w:line="360" w:lineRule="auto"/>
        <w:rPr>
          <w:rFonts w:hint="eastAsia" w:ascii="仿宋" w:hAnsi="仿宋" w:eastAsia="仿宋" w:cs="仿宋"/>
          <w:b/>
          <w:sz w:val="24"/>
          <w:szCs w:val="24"/>
        </w:rPr>
      </w:pPr>
      <w:bookmarkStart w:id="143" w:name="_Toc76482669"/>
      <w:bookmarkStart w:id="144" w:name="_Toc11785"/>
      <w:r>
        <w:rPr>
          <w:rFonts w:hint="eastAsia" w:ascii="仿宋" w:hAnsi="仿宋" w:eastAsia="仿宋" w:cs="仿宋"/>
          <w:b/>
          <w:sz w:val="24"/>
          <w:szCs w:val="24"/>
        </w:rPr>
        <w:t>4架构设计要求</w:t>
      </w:r>
      <w:bookmarkEnd w:id="143"/>
      <w:bookmarkEnd w:id="144"/>
    </w:p>
    <w:p>
      <w:pPr>
        <w:spacing w:line="360" w:lineRule="auto"/>
        <w:rPr>
          <w:rFonts w:ascii="仿宋" w:hAnsi="仿宋" w:eastAsia="仿宋" w:cs="仿宋"/>
          <w:b/>
          <w:sz w:val="24"/>
          <w:szCs w:val="24"/>
        </w:rPr>
      </w:pPr>
      <w:bookmarkStart w:id="145" w:name="_Toc6366"/>
      <w:bookmarkStart w:id="146" w:name="_Toc76482670"/>
      <w:r>
        <w:rPr>
          <w:rFonts w:hint="eastAsia" w:ascii="仿宋" w:hAnsi="仿宋" w:eastAsia="仿宋" w:cs="仿宋"/>
          <w:b/>
          <w:sz w:val="24"/>
          <w:szCs w:val="24"/>
        </w:rPr>
        <w:t>4.1云服务</w:t>
      </w:r>
      <w:bookmarkEnd w:id="145"/>
      <w:bookmarkEnd w:id="146"/>
    </w:p>
    <w:p>
      <w:pPr>
        <w:spacing w:line="360" w:lineRule="auto"/>
        <w:rPr>
          <w:rFonts w:ascii="仿宋" w:hAnsi="仿宋" w:eastAsia="仿宋" w:cs="仿宋"/>
          <w:b/>
          <w:sz w:val="24"/>
          <w:szCs w:val="24"/>
        </w:rPr>
      </w:pPr>
      <w:bookmarkStart w:id="147" w:name="_Toc76482671"/>
      <w:r>
        <w:rPr>
          <w:rFonts w:hint="eastAsia" w:ascii="仿宋" w:hAnsi="仿宋" w:eastAsia="仿宋" w:cs="仿宋"/>
          <w:b/>
          <w:sz w:val="24"/>
          <w:szCs w:val="24"/>
        </w:rPr>
        <w:t>4.1.1总体架构要求</w:t>
      </w:r>
      <w:bookmarkEnd w:id="147"/>
    </w:p>
    <w:p>
      <w:pPr>
        <w:ind w:firstLine="480" w:firstLineChars="200"/>
        <w:rPr>
          <w:rFonts w:ascii="仿宋" w:hAnsi="仿宋" w:eastAsia="仿宋" w:cs="仿宋"/>
          <w:sz w:val="24"/>
          <w:szCs w:val="24"/>
        </w:rPr>
      </w:pPr>
      <w:r>
        <w:rPr>
          <w:rFonts w:hint="eastAsia" w:ascii="仿宋" w:hAnsi="仿宋" w:eastAsia="仿宋" w:cs="仿宋"/>
          <w:sz w:val="24"/>
          <w:szCs w:val="24"/>
        </w:rPr>
        <w:t>从长远规划布局考虑，项目要能符合兵团“数字政府”政务云建设总体要求，充分利用云计算、分布式云存储等先进技术，按照集约高效、共享开放、安全可靠、按需使用的原则，构建“云网合一、云数联动、开放兼容”的“数字政府”统一政务云平台。</w:t>
      </w:r>
    </w:p>
    <w:p>
      <w:pPr>
        <w:jc w:val="center"/>
        <w:rPr>
          <w:rFonts w:ascii="仿宋" w:hAnsi="仿宋" w:eastAsia="仿宋" w:cs="仿宋"/>
          <w:sz w:val="24"/>
          <w:szCs w:val="24"/>
        </w:rPr>
      </w:pPr>
      <w:r>
        <w:rPr>
          <w:rFonts w:hint="eastAsia" w:ascii="仿宋" w:hAnsi="仿宋" w:eastAsia="仿宋" w:cs="仿宋"/>
          <w:sz w:val="24"/>
          <w:szCs w:val="24"/>
        </w:rPr>
        <w:drawing>
          <wp:inline distT="0" distB="0" distL="114300" distR="114300">
            <wp:extent cx="5273040" cy="5730240"/>
            <wp:effectExtent l="0" t="0" r="381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273040" cy="5730240"/>
                    </a:xfrm>
                    <a:prstGeom prst="rect">
                      <a:avLst/>
                    </a:prstGeom>
                    <a:noFill/>
                    <a:ln>
                      <a:noFill/>
                    </a:ln>
                  </pic:spPr>
                </pic:pic>
              </a:graphicData>
            </a:graphic>
          </wp:inline>
        </w:drawing>
      </w:r>
    </w:p>
    <w:p>
      <w:pPr>
        <w:pStyle w:val="13"/>
        <w:widowControl/>
        <w:numPr>
          <w:ilvl w:val="0"/>
          <w:numId w:val="8"/>
        </w:numPr>
        <w:spacing w:after="163" w:afterLines="50" w:line="360" w:lineRule="auto"/>
        <w:ind w:left="0" w:right="192" w:firstLine="480"/>
        <w:jc w:val="center"/>
        <w:rPr>
          <w:rFonts w:ascii="仿宋" w:hAnsi="仿宋" w:eastAsia="仿宋" w:cs="仿宋"/>
          <w:sz w:val="24"/>
          <w:szCs w:val="24"/>
        </w:rPr>
      </w:pPr>
      <w:r>
        <w:rPr>
          <w:rFonts w:hint="eastAsia" w:ascii="仿宋" w:hAnsi="仿宋" w:eastAsia="仿宋" w:cs="仿宋"/>
          <w:sz w:val="24"/>
          <w:szCs w:val="24"/>
        </w:rPr>
        <w:t>兵团“数字政府”政务云两地三中心总体架构</w:t>
      </w:r>
    </w:p>
    <w:p>
      <w:pPr>
        <w:spacing w:line="360" w:lineRule="auto"/>
        <w:rPr>
          <w:rFonts w:ascii="仿宋" w:hAnsi="仿宋" w:eastAsia="仿宋" w:cs="仿宋"/>
          <w:b/>
          <w:sz w:val="24"/>
          <w:szCs w:val="24"/>
        </w:rPr>
      </w:pPr>
      <w:bookmarkStart w:id="148" w:name="_Toc76482672"/>
      <w:r>
        <w:rPr>
          <w:rFonts w:hint="eastAsia" w:ascii="仿宋" w:hAnsi="仿宋" w:eastAsia="仿宋" w:cs="仿宋"/>
          <w:b/>
          <w:sz w:val="24"/>
          <w:szCs w:val="24"/>
        </w:rPr>
        <w:t>4.1.2技术架构要求</w:t>
      </w:r>
      <w:bookmarkEnd w:id="148"/>
    </w:p>
    <w:p>
      <w:pPr>
        <w:ind w:firstLine="480"/>
        <w:rPr>
          <w:rFonts w:ascii="仿宋" w:hAnsi="仿宋" w:eastAsia="仿宋" w:cs="仿宋"/>
          <w:sz w:val="24"/>
          <w:szCs w:val="24"/>
        </w:rPr>
      </w:pPr>
      <w:bookmarkStart w:id="149" w:name="_Toc8534"/>
      <w:r>
        <w:rPr>
          <w:rFonts w:hint="eastAsia" w:ascii="仿宋" w:hAnsi="仿宋" w:eastAsia="仿宋" w:cs="仿宋"/>
          <w:sz w:val="24"/>
          <w:szCs w:val="24"/>
        </w:rPr>
        <w:t>根据中国信科与图木舒克经济技术开发区签订的招商引资协议，通过企业的运营主体作用，推进师市信息化建设与运营模式创新。大数据中心采用购买服务的方式，为本师市提供云服务，技术架构将按照国家电子政务规范要求部署两套相互隔离的区域，互联网区和政务外网区，每个区有各自独立的云平台、计算资源池、存储资源池、网络资源池以及安全资源池。如下图所示：</w:t>
      </w:r>
    </w:p>
    <w:p>
      <w:pPr>
        <w:ind w:firstLine="480"/>
        <w:rPr>
          <w:rFonts w:ascii="仿宋" w:hAnsi="仿宋" w:eastAsia="仿宋" w:cs="仿宋"/>
          <w:sz w:val="24"/>
          <w:szCs w:val="24"/>
        </w:rPr>
      </w:pPr>
    </w:p>
    <w:p>
      <w:pPr>
        <w:ind w:firstLine="480"/>
        <w:rPr>
          <w:rFonts w:ascii="仿宋" w:hAnsi="仿宋" w:eastAsia="仿宋" w:cs="仿宋"/>
          <w:sz w:val="24"/>
          <w:szCs w:val="24"/>
        </w:rPr>
      </w:pPr>
    </w:p>
    <w:p>
      <w:pPr>
        <w:ind w:firstLine="480"/>
        <w:rPr>
          <w:rFonts w:ascii="仿宋" w:hAnsi="仿宋" w:eastAsia="仿宋" w:cs="仿宋"/>
          <w:sz w:val="24"/>
          <w:szCs w:val="24"/>
        </w:rPr>
        <w:sectPr>
          <w:footerReference r:id="rId5" w:type="default"/>
          <w:pgSz w:w="11906" w:h="16838"/>
          <w:pgMar w:top="1440" w:right="1797" w:bottom="1440" w:left="1797" w:header="851" w:footer="799" w:gutter="284"/>
          <w:pgNumType w:start="1"/>
          <w:cols w:space="720" w:num="1"/>
          <w:docGrid w:type="linesAndChars" w:linePitch="326" w:charSpace="0"/>
        </w:sectPr>
      </w:pPr>
    </w:p>
    <w:p>
      <w:pPr>
        <w:pStyle w:val="33"/>
        <w:tabs>
          <w:tab w:val="right" w:leader="dot" w:pos="8302"/>
        </w:tabs>
        <w:rPr>
          <w:rFonts w:ascii="仿宋" w:hAnsi="仿宋" w:eastAsia="仿宋" w:cs="仿宋"/>
          <w:sz w:val="24"/>
          <w:szCs w:val="24"/>
        </w:rPr>
      </w:pPr>
      <w:r>
        <w:rPr>
          <w:sz w:val="24"/>
          <w:szCs w:val="24"/>
        </w:rPr>
        <w:drawing>
          <wp:inline distT="0" distB="0" distL="0" distR="0">
            <wp:extent cx="8259445" cy="4658995"/>
            <wp:effectExtent l="0" t="0" r="825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8274103" cy="4667595"/>
                    </a:xfrm>
                    <a:prstGeom prst="rect">
                      <a:avLst/>
                    </a:prstGeom>
                  </pic:spPr>
                </pic:pic>
              </a:graphicData>
            </a:graphic>
          </wp:inline>
        </w:drawing>
      </w:r>
    </w:p>
    <w:p>
      <w:pPr>
        <w:pStyle w:val="13"/>
        <w:widowControl/>
        <w:numPr>
          <w:ilvl w:val="0"/>
          <w:numId w:val="8"/>
        </w:numPr>
        <w:spacing w:after="163" w:afterLines="50" w:line="360" w:lineRule="auto"/>
        <w:ind w:right="192" w:firstLine="480"/>
        <w:jc w:val="center"/>
        <w:rPr>
          <w:rFonts w:ascii="仿宋" w:hAnsi="仿宋" w:eastAsia="仿宋" w:cs="仿宋"/>
          <w:sz w:val="24"/>
          <w:szCs w:val="24"/>
        </w:rPr>
      </w:pPr>
      <w:r>
        <w:rPr>
          <w:rFonts w:hint="eastAsia" w:ascii="仿宋" w:hAnsi="仿宋" w:eastAsia="仿宋" w:cs="仿宋"/>
          <w:sz w:val="24"/>
          <w:szCs w:val="24"/>
        </w:rPr>
        <w:t>兵团“数字政府”政务云技术架构</w:t>
      </w:r>
    </w:p>
    <w:p>
      <w:pPr>
        <w:pStyle w:val="33"/>
        <w:tabs>
          <w:tab w:val="right" w:leader="dot" w:pos="8302"/>
        </w:tabs>
        <w:rPr>
          <w:rFonts w:ascii="仿宋" w:hAnsi="仿宋" w:eastAsia="仿宋" w:cs="仿宋"/>
          <w:sz w:val="24"/>
          <w:szCs w:val="24"/>
        </w:rPr>
        <w:sectPr>
          <w:headerReference r:id="rId6" w:type="default"/>
          <w:footerReference r:id="rId7" w:type="default"/>
          <w:pgSz w:w="16838" w:h="11906" w:orient="landscape"/>
          <w:pgMar w:top="1800" w:right="1440" w:bottom="1800" w:left="1440" w:header="851" w:footer="992" w:gutter="0"/>
          <w:cols w:space="720" w:num="1"/>
          <w:docGrid w:type="lines" w:linePitch="326" w:charSpace="0"/>
        </w:sectPr>
      </w:pPr>
    </w:p>
    <w:bookmarkEnd w:id="149"/>
    <w:p>
      <w:pPr>
        <w:spacing w:line="360" w:lineRule="auto"/>
        <w:rPr>
          <w:rFonts w:ascii="仿宋" w:hAnsi="仿宋" w:eastAsia="仿宋" w:cs="仿宋"/>
          <w:b/>
          <w:sz w:val="24"/>
          <w:szCs w:val="24"/>
        </w:rPr>
      </w:pPr>
      <w:bookmarkStart w:id="150" w:name="_Toc32759"/>
      <w:bookmarkStart w:id="151" w:name="_Toc76482676"/>
      <w:r>
        <w:rPr>
          <w:rFonts w:hint="eastAsia" w:ascii="仿宋" w:hAnsi="仿宋" w:eastAsia="仿宋" w:cs="仿宋"/>
          <w:b/>
          <w:sz w:val="24"/>
          <w:szCs w:val="24"/>
        </w:rPr>
        <w:t>5.服务内容</w:t>
      </w:r>
      <w:bookmarkEnd w:id="150"/>
      <w:r>
        <w:rPr>
          <w:rFonts w:hint="eastAsia" w:ascii="仿宋" w:hAnsi="仿宋" w:eastAsia="仿宋" w:cs="仿宋"/>
          <w:b/>
          <w:sz w:val="24"/>
          <w:szCs w:val="24"/>
        </w:rPr>
        <w:t>及要求</w:t>
      </w:r>
      <w:bookmarkEnd w:id="151"/>
    </w:p>
    <w:p>
      <w:pPr>
        <w:spacing w:line="360" w:lineRule="auto"/>
        <w:rPr>
          <w:rFonts w:ascii="仿宋" w:hAnsi="仿宋" w:eastAsia="仿宋" w:cs="仿宋"/>
          <w:b/>
          <w:sz w:val="24"/>
          <w:szCs w:val="24"/>
        </w:rPr>
      </w:pPr>
      <w:bookmarkStart w:id="152" w:name="_Toc17194"/>
      <w:bookmarkStart w:id="153" w:name="_Toc76482677"/>
      <w:r>
        <w:rPr>
          <w:rFonts w:hint="eastAsia" w:ascii="仿宋" w:hAnsi="仿宋" w:eastAsia="仿宋" w:cs="仿宋"/>
          <w:b/>
          <w:sz w:val="24"/>
          <w:szCs w:val="24"/>
        </w:rPr>
        <w:t>5.1云服务内容</w:t>
      </w:r>
      <w:bookmarkEnd w:id="152"/>
      <w:r>
        <w:rPr>
          <w:rFonts w:hint="eastAsia" w:ascii="仿宋" w:hAnsi="仿宋" w:eastAsia="仿宋" w:cs="仿宋"/>
          <w:b/>
          <w:sz w:val="24"/>
          <w:szCs w:val="24"/>
        </w:rPr>
        <w:t>及要求</w:t>
      </w:r>
      <w:bookmarkEnd w:id="153"/>
    </w:p>
    <w:p>
      <w:pPr>
        <w:ind w:firstLine="480"/>
        <w:rPr>
          <w:rFonts w:ascii="仿宋" w:hAnsi="仿宋" w:eastAsia="仿宋" w:cs="仿宋"/>
          <w:sz w:val="24"/>
          <w:szCs w:val="24"/>
        </w:rPr>
      </w:pPr>
      <w:r>
        <w:rPr>
          <w:rFonts w:hint="eastAsia" w:ascii="仿宋" w:hAnsi="仿宋" w:eastAsia="仿宋" w:cs="仿宋"/>
          <w:sz w:val="24"/>
          <w:szCs w:val="24"/>
        </w:rPr>
        <w:t>师市大数据中心为图木舒克市各部门提供高效、安全、可按需使用的云资源服务，并通过全兵团统一的云管平台，将师市大数据中心节点纳入兵团政务云体系中，实现“全兵团一片云”的集中监控与管理。本项目云平台为服务租用形式，将作为图木舒克市承载各部门的电子政务信息化系统的平台。本期主要面向图木舒克市党政机关及事业单位提供政务云服务。</w:t>
      </w:r>
    </w:p>
    <w:p>
      <w:pPr>
        <w:spacing w:line="360" w:lineRule="auto"/>
        <w:rPr>
          <w:rFonts w:ascii="仿宋" w:hAnsi="仿宋" w:eastAsia="仿宋" w:cs="仿宋"/>
          <w:b/>
          <w:sz w:val="24"/>
          <w:szCs w:val="24"/>
        </w:rPr>
      </w:pPr>
      <w:bookmarkStart w:id="154" w:name="_Toc512176361"/>
      <w:bookmarkStart w:id="155" w:name="_Toc43997732"/>
      <w:bookmarkStart w:id="156" w:name="_Toc518407387"/>
      <w:bookmarkStart w:id="157" w:name="_Toc18056805"/>
      <w:bookmarkStart w:id="158" w:name="_Toc35816231"/>
      <w:bookmarkStart w:id="159" w:name="_Toc1437121978"/>
      <w:bookmarkStart w:id="160" w:name="_Toc76482678"/>
      <w:r>
        <w:rPr>
          <w:rFonts w:hint="eastAsia" w:ascii="仿宋" w:hAnsi="仿宋" w:eastAsia="仿宋" w:cs="仿宋"/>
          <w:b/>
          <w:sz w:val="24"/>
          <w:szCs w:val="24"/>
        </w:rPr>
        <w:t>5.1.1IaaS云服务</w:t>
      </w:r>
      <w:bookmarkEnd w:id="154"/>
      <w:bookmarkEnd w:id="155"/>
      <w:bookmarkEnd w:id="156"/>
      <w:bookmarkEnd w:id="157"/>
      <w:bookmarkEnd w:id="158"/>
      <w:bookmarkEnd w:id="159"/>
      <w:bookmarkEnd w:id="160"/>
    </w:p>
    <w:p>
      <w:pPr>
        <w:ind w:firstLine="480"/>
        <w:rPr>
          <w:rFonts w:ascii="仿宋" w:hAnsi="仿宋" w:eastAsia="仿宋" w:cs="仿宋"/>
          <w:sz w:val="24"/>
          <w:szCs w:val="24"/>
        </w:rPr>
      </w:pPr>
      <w:r>
        <w:rPr>
          <w:rFonts w:hint="eastAsia" w:ascii="仿宋" w:hAnsi="仿宋" w:eastAsia="仿宋" w:cs="仿宋"/>
          <w:sz w:val="24"/>
          <w:szCs w:val="24"/>
        </w:rPr>
        <w:t>本次IaaS云服务包括基础设施运行维护服务和应用软件运维服务两部分。其中基础设施运行维护服务包括租用的云基础资源运行维护服务；软件系统运行维护服务包括应用系统软件的功能的性能调优、安全保障，以及常规的例行检查和状态监控、响应支持等技术服务。详细服务内容如下：</w:t>
      </w:r>
    </w:p>
    <w:p>
      <w:pPr>
        <w:ind w:firstLine="480"/>
        <w:rPr>
          <w:rFonts w:ascii="仿宋" w:hAnsi="仿宋" w:eastAsia="仿宋" w:cs="仿宋"/>
          <w:sz w:val="24"/>
          <w:szCs w:val="24"/>
        </w:rPr>
      </w:pPr>
      <w:r>
        <w:rPr>
          <w:rFonts w:hint="eastAsia" w:ascii="仿宋" w:hAnsi="仿宋" w:eastAsia="仿宋" w:cs="仿宋"/>
          <w:sz w:val="24"/>
          <w:szCs w:val="24"/>
        </w:rPr>
        <w:t>（1）云基础设施服务。包括机房资源、计算资源（云计算资源VCPU、云计算资源内存）、存储资源（分布式存储城市大脑数字底座系统资源）、备份资源等服务。</w:t>
      </w:r>
    </w:p>
    <w:p>
      <w:pPr>
        <w:ind w:firstLine="480"/>
        <w:rPr>
          <w:rFonts w:ascii="仿宋" w:hAnsi="仿宋" w:eastAsia="仿宋" w:cs="仿宋"/>
          <w:sz w:val="24"/>
          <w:szCs w:val="24"/>
        </w:rPr>
      </w:pPr>
      <w:r>
        <w:rPr>
          <w:rFonts w:hint="eastAsia" w:ascii="仿宋" w:hAnsi="仿宋" w:eastAsia="仿宋" w:cs="仿宋"/>
          <w:sz w:val="24"/>
          <w:szCs w:val="24"/>
        </w:rPr>
        <w:t>（2）应用软件安装服务。包括开源中间件安装(包含Apache、Tomcat、Jboss等)、开源数据库安装(包含Mysql、Postgres等)、商业中间件安装、商业数据库安装服务。</w:t>
      </w:r>
    </w:p>
    <w:p>
      <w:pPr>
        <w:ind w:firstLine="480"/>
        <w:rPr>
          <w:rFonts w:ascii="仿宋" w:hAnsi="仿宋" w:eastAsia="仿宋" w:cs="仿宋"/>
          <w:sz w:val="24"/>
          <w:szCs w:val="24"/>
        </w:rPr>
      </w:pPr>
      <w:r>
        <w:rPr>
          <w:rFonts w:hint="eastAsia" w:ascii="仿宋" w:hAnsi="仿宋" w:eastAsia="仿宋" w:cs="仿宋"/>
          <w:sz w:val="24"/>
          <w:szCs w:val="24"/>
        </w:rPr>
        <w:t>（3）提供应用软件维护服务。包括开源中间件运维(包含Apache、Tomcat、Jboss等)、开源数据库运维(包含Mysql、Postgres等)、商业中间件运维、商业数据库运维服务。</w:t>
      </w:r>
    </w:p>
    <w:p>
      <w:pPr>
        <w:ind w:firstLine="480"/>
        <w:rPr>
          <w:rFonts w:ascii="仿宋" w:hAnsi="仿宋" w:eastAsia="仿宋" w:cs="仿宋"/>
          <w:sz w:val="24"/>
          <w:szCs w:val="24"/>
        </w:rPr>
      </w:pPr>
      <w:r>
        <w:rPr>
          <w:rFonts w:hint="eastAsia" w:ascii="仿宋" w:hAnsi="仿宋" w:eastAsia="仿宋" w:cs="仿宋"/>
          <w:sz w:val="24"/>
          <w:szCs w:val="24"/>
        </w:rPr>
        <w:t>（4）提供基础安全服务。包括入侵检测服务（提供入侵检测系统对网络传输进行即时监视，在发现可疑传输时发出警报并采取主动反应措施）、入侵防御服务（提供入侵防御系统监视网络和网络设备的网络资料传输行为，能够及时的中断、调整或隔离一些不正常或是具有伤害性的网络资料传输行为）、在线 web 网站监测服务（监控Web站点多方面的可用性，可以监控Web站点的下载速度、返回码和响应时间）、web防篡改服务（部署网页防篡改系统,采用Web服务器核心内嵌技术,将篡改检测模块和应用防护模块内嵌于Web服务器内部,自定义相应的防篡改策略,实现网页和数据内容的实时监测和保护）、增强型DDoS云防护服务（搭建负载节点，把流量牵引到云节点上面，从而预防了源服务器被DDoS攻击）。</w:t>
      </w:r>
    </w:p>
    <w:p>
      <w:pPr>
        <w:ind w:firstLine="480"/>
        <w:rPr>
          <w:rFonts w:ascii="仿宋" w:hAnsi="仿宋" w:eastAsia="仿宋" w:cs="仿宋"/>
          <w:sz w:val="24"/>
          <w:szCs w:val="24"/>
        </w:rPr>
      </w:pPr>
      <w:r>
        <w:rPr>
          <w:rFonts w:hint="eastAsia" w:ascii="仿宋" w:hAnsi="仿宋" w:eastAsia="仿宋" w:cs="仿宋"/>
          <w:sz w:val="24"/>
          <w:szCs w:val="24"/>
        </w:rPr>
        <w:t>（5）提供安全评估服务。渗透测试服务（通过漏洞扫描器，以发现操作系统和任何网络服务，并检查这些网络服务有无漏洞）、安全漏洞扫描服务（通过扫描手段对指定的主机计算机系统的安全脆弱性进行检测，发现可利用漏洞）。</w:t>
      </w:r>
    </w:p>
    <w:p>
      <w:pPr>
        <w:ind w:firstLine="480"/>
        <w:rPr>
          <w:rFonts w:ascii="仿宋" w:hAnsi="仿宋" w:eastAsia="仿宋" w:cs="仿宋"/>
          <w:sz w:val="24"/>
          <w:szCs w:val="24"/>
        </w:rPr>
      </w:pPr>
      <w:r>
        <w:rPr>
          <w:rFonts w:hint="eastAsia" w:ascii="仿宋" w:hAnsi="仿宋" w:eastAsia="仿宋" w:cs="仿宋"/>
          <w:sz w:val="24"/>
          <w:szCs w:val="24"/>
        </w:rPr>
        <w:t>（6）提供数据安全防护服务。数据库审计服务（实时记录网络上的数据库活动，对数据库操作进行细粒度审计的合规性管理，对数据库遭受到的风险行为进行实时告警）、数据库防火墙服务（基于主动防御机制，实现数据库的访问行为控制、危险操作阻断）。</w:t>
      </w:r>
    </w:p>
    <w:p>
      <w:pPr>
        <w:ind w:firstLine="480"/>
        <w:rPr>
          <w:rFonts w:ascii="仿宋" w:hAnsi="仿宋" w:eastAsia="仿宋" w:cs="仿宋"/>
          <w:sz w:val="24"/>
          <w:szCs w:val="24"/>
        </w:rPr>
      </w:pPr>
      <w:r>
        <w:rPr>
          <w:rFonts w:hint="eastAsia" w:ascii="仿宋" w:hAnsi="仿宋" w:eastAsia="仿宋" w:cs="仿宋"/>
          <w:sz w:val="24"/>
          <w:szCs w:val="24"/>
        </w:rPr>
        <w:t>（7）提供备份服务。提供备份服务，为上层应用在城市大脑数字底座中部署提供备份服务。</w:t>
      </w:r>
    </w:p>
    <w:p>
      <w:pPr>
        <w:ind w:firstLine="480"/>
        <w:rPr>
          <w:rFonts w:hint="eastAsia" w:ascii="仿宋" w:hAnsi="仿宋" w:eastAsia="仿宋" w:cs="仿宋"/>
          <w:sz w:val="24"/>
          <w:szCs w:val="24"/>
        </w:rPr>
      </w:pPr>
      <w:r>
        <w:rPr>
          <w:rFonts w:hint="eastAsia" w:ascii="仿宋" w:hAnsi="仿宋" w:eastAsia="仿宋" w:cs="仿宋"/>
          <w:sz w:val="24"/>
          <w:szCs w:val="24"/>
        </w:rPr>
        <w:t>（8）提供迁移服务。政务云平台迁移服务包括业务系统现状调研、系统迁移可行性评估、网络架构规划与设计、容量规划与设计、安全规划与设计、灾备规划与设计、割接方案设计、迁移方案送审、资源申请单编制、资源开通、资源接收、应用迁移、数据迁移、联调测试、系统割接、系统验收、安全评测、安全整改等工作。</w:t>
      </w:r>
    </w:p>
    <w:p>
      <w:pPr>
        <w:widowControl/>
        <w:numPr>
          <w:ilvl w:val="0"/>
          <w:numId w:val="9"/>
        </w:numPr>
        <w:spacing w:line="360" w:lineRule="auto"/>
        <w:jc w:val="center"/>
        <w:rPr>
          <w:rFonts w:ascii="仿宋" w:hAnsi="仿宋" w:eastAsia="仿宋" w:cs="仿宋"/>
          <w:sz w:val="24"/>
          <w:szCs w:val="24"/>
        </w:rPr>
      </w:pPr>
      <w:r>
        <w:rPr>
          <w:rFonts w:hint="eastAsia" w:ascii="仿宋" w:hAnsi="仿宋" w:eastAsia="仿宋" w:cs="仿宋"/>
          <w:sz w:val="24"/>
          <w:szCs w:val="24"/>
        </w:rPr>
        <w:t>IaaS云服务内容总表</w:t>
      </w:r>
    </w:p>
    <w:p>
      <w:pPr>
        <w:spacing w:line="280" w:lineRule="exact"/>
        <w:ind w:firstLine="420"/>
        <w:jc w:val="left"/>
        <w:rPr>
          <w:rFonts w:ascii="仿宋" w:hAnsi="仿宋" w:eastAsia="仿宋" w:cs="仿宋"/>
          <w:sz w:val="24"/>
          <w:szCs w:val="24"/>
        </w:rPr>
      </w:pPr>
      <w:r>
        <w:rPr>
          <w:rFonts w:hint="eastAsia" w:ascii="仿宋" w:hAnsi="仿宋" w:eastAsia="仿宋" w:cs="仿宋"/>
          <w:sz w:val="24"/>
          <w:szCs w:val="24"/>
        </w:rPr>
        <w:t xml:space="preserve">以下目录为所需求服务内容的总表，本期购买服务项目所选定的服务内容依据总表。 </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68"/>
        <w:gridCol w:w="1068"/>
        <w:gridCol w:w="4903"/>
        <w:gridCol w:w="931"/>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575"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一级服务</w:t>
            </w:r>
          </w:p>
        </w:tc>
        <w:tc>
          <w:tcPr>
            <w:tcW w:w="575"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二级服务</w:t>
            </w:r>
          </w:p>
        </w:tc>
        <w:tc>
          <w:tcPr>
            <w:tcW w:w="2640"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服务配置</w:t>
            </w:r>
          </w:p>
        </w:tc>
        <w:tc>
          <w:tcPr>
            <w:tcW w:w="501"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363"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w:t>
            </w:r>
          </w:p>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75" w:type="pct"/>
            <w:vMerge w:val="restar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基础设施服务</w:t>
            </w: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裸金属服务器</w:t>
            </w: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2路，物理主机（128G内存）</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2路，物理主机（256G内存）</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2路，物理主机（512G内存）</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网络资源</w:t>
            </w: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电子政务网IP地址服务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互联网公有IP服务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互联网带宽</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Merge w:val="continue"/>
            <w:vAlign w:val="center"/>
          </w:tcPr>
          <w:p>
            <w:pPr>
              <w:widowControl/>
              <w:jc w:val="center"/>
              <w:rPr>
                <w:rFonts w:ascii="仿宋" w:hAnsi="仿宋" w:eastAsia="仿宋" w:cs="仿宋"/>
                <w:color w:val="000000"/>
                <w:kern w:val="0"/>
                <w:sz w:val="24"/>
                <w:szCs w:val="24"/>
              </w:rPr>
            </w:pP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Merge w:val="continue"/>
            <w:vAlign w:val="center"/>
          </w:tcPr>
          <w:p>
            <w:pPr>
              <w:widowControl/>
              <w:jc w:val="center"/>
              <w:rPr>
                <w:rFonts w:ascii="仿宋" w:hAnsi="仿宋" w:eastAsia="仿宋" w:cs="仿宋"/>
                <w:color w:val="000000"/>
                <w:kern w:val="0"/>
                <w:sz w:val="24"/>
                <w:szCs w:val="24"/>
              </w:rPr>
            </w:pP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Merge w:val="continue"/>
            <w:vAlign w:val="center"/>
          </w:tcPr>
          <w:p>
            <w:pPr>
              <w:widowControl/>
              <w:jc w:val="center"/>
              <w:rPr>
                <w:rFonts w:ascii="仿宋" w:hAnsi="仿宋" w:eastAsia="仿宋" w:cs="仿宋"/>
                <w:color w:val="000000"/>
                <w:kern w:val="0"/>
                <w:sz w:val="24"/>
                <w:szCs w:val="24"/>
              </w:rPr>
            </w:pP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200M/年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Merge w:val="continue"/>
            <w:vAlign w:val="center"/>
          </w:tcPr>
          <w:p>
            <w:pPr>
              <w:widowControl/>
              <w:jc w:val="center"/>
              <w:rPr>
                <w:rFonts w:ascii="仿宋" w:hAnsi="仿宋" w:eastAsia="仿宋" w:cs="仿宋"/>
                <w:color w:val="000000"/>
                <w:kern w:val="0"/>
                <w:sz w:val="24"/>
                <w:szCs w:val="24"/>
              </w:rPr>
            </w:pP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500M/年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专线带宽</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Merge w:val="continue"/>
            <w:vAlign w:val="center"/>
          </w:tcPr>
          <w:p>
            <w:pPr>
              <w:widowControl/>
              <w:jc w:val="center"/>
              <w:rPr>
                <w:rFonts w:ascii="仿宋" w:hAnsi="仿宋" w:eastAsia="仿宋" w:cs="仿宋"/>
                <w:color w:val="000000"/>
                <w:kern w:val="0"/>
                <w:sz w:val="24"/>
                <w:szCs w:val="24"/>
              </w:rPr>
            </w:pP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Merge w:val="continue"/>
            <w:vAlign w:val="center"/>
          </w:tcPr>
          <w:p>
            <w:pPr>
              <w:widowControl/>
              <w:jc w:val="center"/>
              <w:rPr>
                <w:rFonts w:ascii="仿宋" w:hAnsi="仿宋" w:eastAsia="仿宋" w:cs="仿宋"/>
                <w:color w:val="000000"/>
                <w:kern w:val="0"/>
                <w:sz w:val="24"/>
                <w:szCs w:val="24"/>
              </w:rPr>
            </w:pP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Merge w:val="continue"/>
            <w:vAlign w:val="center"/>
          </w:tcPr>
          <w:p>
            <w:pPr>
              <w:widowControl/>
              <w:jc w:val="center"/>
              <w:rPr>
                <w:rFonts w:ascii="仿宋" w:hAnsi="仿宋" w:eastAsia="仿宋" w:cs="仿宋"/>
                <w:color w:val="000000"/>
                <w:kern w:val="0"/>
                <w:sz w:val="24"/>
                <w:szCs w:val="24"/>
              </w:rPr>
            </w:pP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200M/年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应用负载均衡服务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安全交换区-文件同步</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每IP/年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安全交换区-数据库同步</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每IP/年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计算资源</w:t>
            </w: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 核、4G 内存、60G 硬盘</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 核、8G 内存、60G 硬盘</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 核、16G 内存、60G 硬盘</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16 核、32G 内存、60G 硬盘</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32 核、64G 内存、60G 硬盘</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vCPU</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核/年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内存</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G/年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块存储服务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普通 IO 云硬盘（适用于大容量、读写速率中等、事务性处理较少的应用场景）</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高 IO 云硬盘（适用于主流的高性能、高可靠应用场景）</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超高 IO 云硬盘（适用于超高 IO，超大吞吐量的读写密集型应用场景）</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对象存储服务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对象存储服务是一个基于对象的海量存储服务，为租户提供海量、安全、高可靠、低成本的数据存储能力</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文件存储服务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文件服务为用户提供一个完全托管的共享文件存储，具备高可用性和持久性，为海量数据、高带宽型应用提供有力支持，包括媒体处理、文件共享、内容管理和 Web 服务等</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本地备份服务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在本地机房提供云平台主机承载的应用文件、数据库，以及云主机的数据备份和恢复服务，预防系统故障或数据丢失风险</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同城备份服务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同城备份服务（基于本地备份服务在同城机房提供可恢复的业务数据副本和跨机房的数据恢复服务，预防系统故障或数据丢失风险）</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异地备份服务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异地备份服务（基于本地备份服务在异地灾备机房提供可恢复的业务数据副本，预防灾难事件下的系统故障或数据丢失风险难事件下的系统故障或数据丢失风险）</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备份咨询服务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备份咨询服务（提供专家咨询服务，针对系统调研与方案设计、灾备应急演练服务、软件定制开发服务、系统培训与策略优化）</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硬件托管服务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云数据中心 1U 机柜（一个标准机柜功率为 6000W，1</w:t>
            </w:r>
            <w:r>
              <w:rPr>
                <w:rFonts w:ascii="仿宋" w:hAnsi="仿宋" w:eastAsia="仿宋" w:cs="仿宋"/>
                <w:color w:val="000000"/>
                <w:kern w:val="0"/>
                <w:sz w:val="24"/>
                <w:szCs w:val="24"/>
              </w:rPr>
              <w:t>U</w:t>
            </w:r>
            <w:r>
              <w:rPr>
                <w:rFonts w:hint="eastAsia" w:ascii="仿宋" w:hAnsi="仿宋" w:eastAsia="仿宋" w:cs="仿宋"/>
                <w:color w:val="000000"/>
                <w:kern w:val="0"/>
                <w:sz w:val="24"/>
                <w:szCs w:val="24"/>
              </w:rPr>
              <w:t>设备最大功率3</w:t>
            </w:r>
            <w:r>
              <w:rPr>
                <w:rFonts w:ascii="仿宋" w:hAnsi="仿宋" w:eastAsia="仿宋" w:cs="仿宋"/>
                <w:color w:val="000000"/>
                <w:kern w:val="0"/>
                <w:sz w:val="24"/>
                <w:szCs w:val="24"/>
              </w:rPr>
              <w:t>00W</w:t>
            </w:r>
            <w:r>
              <w:rPr>
                <w:rFonts w:hint="eastAsia" w:ascii="仿宋" w:hAnsi="仿宋" w:eastAsia="仿宋" w:cs="仿宋"/>
                <w:color w:val="000000"/>
                <w:kern w:val="0"/>
                <w:sz w:val="24"/>
                <w:szCs w:val="24"/>
              </w:rPr>
              <w:t>机柜高度为 42U，配备柜顶交换机）</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1U/年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35</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云数据中心 2U 机柜（一个标准机柜功率为 6000W，2</w:t>
            </w:r>
            <w:r>
              <w:rPr>
                <w:rFonts w:ascii="仿宋" w:hAnsi="仿宋" w:eastAsia="仿宋" w:cs="仿宋"/>
                <w:color w:val="000000"/>
                <w:kern w:val="0"/>
                <w:sz w:val="24"/>
                <w:szCs w:val="24"/>
              </w:rPr>
              <w:t>U</w:t>
            </w:r>
            <w:r>
              <w:rPr>
                <w:rFonts w:hint="eastAsia" w:ascii="仿宋" w:hAnsi="仿宋" w:eastAsia="仿宋" w:cs="仿宋"/>
                <w:color w:val="000000"/>
                <w:kern w:val="0"/>
                <w:sz w:val="24"/>
                <w:szCs w:val="24"/>
              </w:rPr>
              <w:t>设备最大功率6</w:t>
            </w:r>
            <w:r>
              <w:rPr>
                <w:rFonts w:ascii="仿宋" w:hAnsi="仿宋" w:eastAsia="仿宋" w:cs="仿宋"/>
                <w:color w:val="000000"/>
                <w:kern w:val="0"/>
                <w:sz w:val="24"/>
                <w:szCs w:val="24"/>
              </w:rPr>
              <w:t>00W,</w:t>
            </w:r>
            <w:r>
              <w:rPr>
                <w:rFonts w:hint="eastAsia" w:ascii="仿宋" w:hAnsi="仿宋" w:eastAsia="仿宋" w:cs="仿宋"/>
                <w:color w:val="000000"/>
                <w:kern w:val="0"/>
                <w:sz w:val="24"/>
                <w:szCs w:val="24"/>
              </w:rPr>
              <w:t>机柜高度为 42U，配备柜顶交换机）</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2U/年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云数据中心 1 个机柜（一个标准机柜功率为 6000W，机柜高度为 42U，配备柜顶交换机）</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37</w:t>
            </w:r>
          </w:p>
        </w:tc>
        <w:tc>
          <w:tcPr>
            <w:tcW w:w="575" w:type="pct"/>
            <w:vMerge w:val="restar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软件支撑服务</w:t>
            </w: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软件</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windows server（2012、2016）</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国产Linux操作系统服务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39</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开源应用中间件（包含Apache、Tomcat、Jboss等）</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40</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国产商业应用中间件</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商业中间件</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开源数据库</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43</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国产商业数据库</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商业数据库</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安装服务</w:t>
            </w:r>
          </w:p>
        </w:tc>
        <w:tc>
          <w:tcPr>
            <w:tcW w:w="2640" w:type="pct"/>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开源中间件安装(包含Apache、Tomcat、Jboss等) </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开源数据库安装(包含Mysql、Postgres等)</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商业中间件安装</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商业数据库安装</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49</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维护服务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开源中间件维护（包含Apache、Tomcat、Jboss等）</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开源数据库维护（包含Mysql、Postgres等）</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商业中间件维护</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52</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商业数据库维护</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53</w:t>
            </w:r>
          </w:p>
        </w:tc>
        <w:tc>
          <w:tcPr>
            <w:tcW w:w="575" w:type="pct"/>
            <w:vMerge w:val="restar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应用功能服务</w:t>
            </w: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应用功能</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政务安全短信平台</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100万条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舆情信息服务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租户</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55</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政务邮箱服务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用户/年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文字防护服务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租户</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政务协同办公服务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用户/年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59</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政务数字档案服务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用户/年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60</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电子公文传输应用服务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租户</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61</w:t>
            </w: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信息安全技术服务</w:t>
            </w: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基础安全服务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入侵检测服务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入侵防御服务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63</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VPN接入服务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在线 web 网站监测服务 </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65</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web 防篡改服务 </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增强型 DDoS云防护服务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67</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安全评估服务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渗透测试服务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压力测试服务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69</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安全漏洞扫描服务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1次</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70</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数据安全防护</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数据库审计服务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71</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数据库防火墙服务 </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72</w:t>
            </w: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信息资源技术服务</w:t>
            </w: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支撑平台</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大数据支撑平台服务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节点/年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73</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BI软件平台服务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数据接入</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通过ETL工具实现数据的采集、接入服务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75</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数据交换</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通过数据库抽取和推送的方式实现库表交换服务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通过FTP抽取和推送实现数据文件交换服务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77</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通过开发接口的方式实现接口交换服务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资源目录</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信息资源目录软件平台服务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信息资源目录梳理和编制服务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80</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数据治理</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数据标准规范服务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81</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数据清洗、转换和治理服务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82</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数据仓库</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基础数据库开发、建设服务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center"/>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83</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专题库开发、建设服务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基于多部门、多源数据的融合分析服务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85</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基于公共基础数据库的数据比对分析服务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基于公共基础数据库的数据查询服务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87</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基于公共基础数据库的数据校核服务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自助分析服务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89</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数据咨询服务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90</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数据安全服务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91</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数据展示</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大屏开发、展示服务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92</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报表开发、展示服务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93</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图表开发、展示服务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94</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数据应用</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根据信息化建设需求，提供数据应用建设、开发及交付服务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95</w:t>
            </w: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其他服务</w:t>
            </w:r>
          </w:p>
        </w:tc>
        <w:tc>
          <w:tcPr>
            <w:tcW w:w="575" w:type="pct"/>
            <w:vMerge w:val="restar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其他定制化服务</w:t>
            </w: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安全评估咨询服务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96</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数据中心代维服务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97</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其他信息化咨询服务</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63" w:type="pct"/>
            <w:vAlign w:val="center"/>
          </w:tcPr>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98</w:t>
            </w:r>
          </w:p>
        </w:tc>
        <w:tc>
          <w:tcPr>
            <w:tcW w:w="575" w:type="pct"/>
            <w:vMerge w:val="continue"/>
            <w:vAlign w:val="center"/>
          </w:tcPr>
          <w:p>
            <w:pPr>
              <w:widowControl/>
              <w:jc w:val="left"/>
              <w:rPr>
                <w:rFonts w:ascii="仿宋" w:hAnsi="仿宋" w:eastAsia="仿宋" w:cs="仿宋"/>
                <w:color w:val="000000"/>
                <w:kern w:val="0"/>
                <w:sz w:val="24"/>
                <w:szCs w:val="24"/>
              </w:rPr>
            </w:pPr>
          </w:p>
        </w:tc>
        <w:tc>
          <w:tcPr>
            <w:tcW w:w="575" w:type="pct"/>
            <w:vMerge w:val="continue"/>
            <w:vAlign w:val="center"/>
          </w:tcPr>
          <w:p>
            <w:pPr>
              <w:widowControl/>
              <w:jc w:val="left"/>
              <w:rPr>
                <w:rFonts w:ascii="仿宋" w:hAnsi="仿宋" w:eastAsia="仿宋" w:cs="仿宋"/>
                <w:color w:val="000000"/>
                <w:kern w:val="0"/>
                <w:sz w:val="24"/>
                <w:szCs w:val="24"/>
              </w:rPr>
            </w:pPr>
          </w:p>
        </w:tc>
        <w:tc>
          <w:tcPr>
            <w:tcW w:w="2640" w:type="pct"/>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迁移规划，应用迁移，设备搬迁，入云部署，上线测试，交付使用等</w:t>
            </w:r>
          </w:p>
        </w:tc>
        <w:tc>
          <w:tcPr>
            <w:tcW w:w="501" w:type="pct"/>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63" w:type="pct"/>
            <w:vAlign w:val="center"/>
          </w:tcPr>
          <w:p>
            <w:pPr>
              <w:widowControl/>
              <w:jc w:val="left"/>
              <w:rPr>
                <w:rFonts w:ascii="仿宋" w:hAnsi="仿宋" w:eastAsia="仿宋" w:cs="仿宋"/>
                <w:color w:val="000000"/>
                <w:kern w:val="0"/>
                <w:sz w:val="24"/>
                <w:szCs w:val="24"/>
              </w:rPr>
            </w:pPr>
          </w:p>
        </w:tc>
      </w:tr>
    </w:tbl>
    <w:p>
      <w:pPr>
        <w:spacing w:line="280" w:lineRule="exact"/>
        <w:ind w:firstLine="420"/>
        <w:jc w:val="left"/>
        <w:rPr>
          <w:rFonts w:ascii="仿宋" w:hAnsi="仿宋" w:eastAsia="仿宋" w:cs="仿宋"/>
          <w:sz w:val="24"/>
          <w:szCs w:val="24"/>
        </w:rPr>
      </w:pPr>
    </w:p>
    <w:p>
      <w:pPr>
        <w:widowControl/>
        <w:numPr>
          <w:ilvl w:val="0"/>
          <w:numId w:val="9"/>
        </w:numPr>
        <w:spacing w:line="360" w:lineRule="auto"/>
        <w:jc w:val="center"/>
        <w:rPr>
          <w:rFonts w:ascii="仿宋" w:hAnsi="仿宋" w:eastAsia="仿宋" w:cs="仿宋"/>
          <w:sz w:val="24"/>
          <w:szCs w:val="24"/>
        </w:rPr>
      </w:pPr>
      <w:r>
        <w:rPr>
          <w:rFonts w:hint="eastAsia" w:ascii="仿宋" w:hAnsi="仿宋" w:eastAsia="仿宋" w:cs="仿宋"/>
          <w:sz w:val="24"/>
          <w:szCs w:val="24"/>
        </w:rPr>
        <w:t>IaaS本期项目购买云服务内容一览表</w:t>
      </w:r>
    </w:p>
    <w:p>
      <w:pPr>
        <w:pStyle w:val="199"/>
        <w:ind w:firstLine="480"/>
        <w:rPr>
          <w:rFonts w:hint="eastAsia" w:ascii="仿宋" w:hAnsi="仿宋" w:eastAsia="仿宋" w:cs="仿宋"/>
          <w:sz w:val="24"/>
          <w:szCs w:val="24"/>
        </w:rPr>
      </w:pPr>
      <w:r>
        <w:rPr>
          <w:rFonts w:hint="eastAsia" w:ascii="仿宋" w:hAnsi="仿宋" w:eastAsia="仿宋" w:cs="仿宋"/>
          <w:sz w:val="24"/>
          <w:szCs w:val="24"/>
        </w:rPr>
        <w:t>以下目录为本期项目所需求的服务内容，后期可按照项目实际情况对服务内容和数量进行调整，总体服务金额不超过中标服务金额。</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94"/>
        <w:gridCol w:w="994"/>
        <w:gridCol w:w="4491"/>
        <w:gridCol w:w="821"/>
        <w:gridCol w:w="707"/>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535"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一级服务</w:t>
            </w:r>
          </w:p>
        </w:tc>
        <w:tc>
          <w:tcPr>
            <w:tcW w:w="535"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二级服务</w:t>
            </w:r>
          </w:p>
        </w:tc>
        <w:tc>
          <w:tcPr>
            <w:tcW w:w="2418"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服务配置</w:t>
            </w:r>
          </w:p>
        </w:tc>
        <w:tc>
          <w:tcPr>
            <w:tcW w:w="442"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381"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363"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w:t>
            </w:r>
          </w:p>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35" w:type="pct"/>
            <w:vMerge w:val="restar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基础设施服务</w:t>
            </w: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裸金属服务器</w:t>
            </w: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2路，物理主机（128G内存）</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2路，物理主机（256G内存）</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2路，物理主机（512G内存）</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网络资源</w:t>
            </w: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电子政务网IP地址服务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互联网公有IP服务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互联网带宽·</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200M/年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500M/年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专线带宽</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200M/年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应用负载均衡服务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安全交换区-文件同步</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每IP/年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安全交换区-数据库同步</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每IP/年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计算资源</w:t>
            </w: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 核、4G 内存、60G 硬盘</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 核、8G 内存、60G 硬盘</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 核、16G 内存、60G 硬盘</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16 核、32G 内存、60G 硬盘</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32 核、64G 内存、60G 硬盘</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vCPU</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核/年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4032</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内存</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G/年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13824</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块存储服务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普通 IO 云硬盘（适用于大容量、读写速率中等、事务性处理较少的应用场景）</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高 IO 云硬盘（适用于主流的高性能、高可靠应用场景）</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超高 IO 云硬盘（适用于超高 IO，超大吞吐量的读写密集型应用场景）</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对象存储服务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对象存储服务是一个基于对象的海量存储服务，为租户提供海量、安全、高可靠、低成本的数据存储能力</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文件存储服务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文件服务为用户提供一个完全托管的共享文件存储，具备高可用性和持久性，为海量数据、高带宽型应用提供有力支持，包括媒体处理、文件共享、内容管理和 Web 服务等</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2427</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本地备份服务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在本地机房提供云平台主机承载的应用文件、数据库，以及云主机的数据备份和恢复服务，预防系统故障或数据丢失风险</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同城备份服务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同城备份服务（基于本地备份服务在同城机房提供可恢复的业务数据副本和跨机房的数据恢复服务，预防系统故障或数据丢失风险）</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32</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异地备份服务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异地备份服务（基于本地备份服务在异地灾备机房提供可恢复的业务数据副本，预防灾难事件下的系统故障或数据丢失风险难事件下的系统故障或数据丢失风险）</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100G/年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33</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备份咨询服务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备份咨询服务（提供专家咨询服务，针对系统调研与方案设计、灾备应急演练服务、软件定制开发服务、系统培训与策略优化）</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硬件托管服务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云数据中心 1U 机柜（一个标准机柜功率为 6000W，机柜高度为 42U，配备柜顶交换机）</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1U/年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35</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云数据中心 2U 机柜（一个标准机柜功率为 6000W，机柜高度为 42U，配备柜顶交换机）</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2U/年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云数据中心 1 个机柜（一个标准机柜功率为 6000W，机柜高度为 42U，配备柜顶交换机）</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37</w:t>
            </w:r>
          </w:p>
        </w:tc>
        <w:tc>
          <w:tcPr>
            <w:tcW w:w="535" w:type="pct"/>
            <w:vMerge w:val="restar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软件支撑服务</w:t>
            </w: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软件</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windows server（2012、2016）</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国产Linux操作系统服务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39</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开源应用中间件（包含Apache、Tomcat、Jboss等）</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40</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国产商业应用中间件</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商业中间件</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开源数据库</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43</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国产商业数据库</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商业数据库</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45</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安装服务</w:t>
            </w:r>
          </w:p>
        </w:tc>
        <w:tc>
          <w:tcPr>
            <w:tcW w:w="2418" w:type="pct"/>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开源中间件安装(包含Apache、Tomcat、Jboss等) </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开源数据库安装(包含Mysql、Postgres等)</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47</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商业中间件安装</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商业数据库安装</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49</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维护服务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开源中间件维护（包含Apache、Tomcat、Jboss等）</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开源数据库维护（包含Mysql、Postgres等）</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51</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商业中间件维护</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52</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商业数据库维护</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实例/次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53</w:t>
            </w:r>
          </w:p>
        </w:tc>
        <w:tc>
          <w:tcPr>
            <w:tcW w:w="535" w:type="pct"/>
            <w:vMerge w:val="restar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应用功能服务</w:t>
            </w: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应用功能</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政务安全短信平台</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100万条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舆情信息服务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租户</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55</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政务邮箱服务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用户/年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文字防护服务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租户</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政务协同办公服务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用户/年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59</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政务数字档案服务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用户/年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60</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电子公文传输应用服务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租户</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61</w:t>
            </w: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信息安全技术服务</w:t>
            </w: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基础安全服务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入侵检测服务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入侵防御服务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63</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VPN接入服务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在线 web 网站监测服务 </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65</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web 防篡改服务 </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增强型云 DDoS 防护服务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67</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安全评估服务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渗透测试服务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压力测试服务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69</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安全漏洞扫描服务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1次</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70</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数据安全防护</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数据库审计服务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71</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数据库防火墙服务 </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系统/年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72</w:t>
            </w: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信息资源技术服务</w:t>
            </w: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支撑平台</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大数据支撑平台服务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节点/年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73</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BI软件平台服务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数据接入</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通过ETL工具实现数据的采集、接入服务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75</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数据交换</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通过数据库抽取和推送的方式实现库表交换服务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通过FTP抽取和推送实现数据文件交换服务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77</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通过开发接口的方式实现接口交换服务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资源目录</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信息资源目录软件平台服务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信息资源目录梳理和编制服务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80</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数据治理</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数据标准规范服务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81</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数据清洗、转换和治理服务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82</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数据仓库</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基础数据库开发、建设服务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83</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专题库开发、建设服务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基于多部门、多源数据的融合分析服务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85</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基于公共基础数据库的数据比对分析服务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基于公共基础数据库的数据查询服务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87</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基于公共基础数据库的数据校核服务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自助分析服务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89</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数据咨询服务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90</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数据安全服务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91</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数据展示</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大屏开发、展示服务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92</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报表开发、展示服务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93</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图表开发、展示服务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94</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数据应用</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根据信息化建设需求，提供数据应用建设、开发及交付服务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人天/年</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95</w:t>
            </w: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其他服务</w:t>
            </w:r>
          </w:p>
        </w:tc>
        <w:tc>
          <w:tcPr>
            <w:tcW w:w="535" w:type="pct"/>
            <w:vMerge w:val="restar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其他定制化服务</w:t>
            </w: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安全评估咨询服务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96</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数据中心代维服务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97</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其他信息化咨询服务</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98</w:t>
            </w: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535" w:type="pct"/>
            <w:vMerge w:val="continue"/>
            <w:shd w:val="clear" w:color="auto" w:fill="auto"/>
            <w:vAlign w:val="center"/>
          </w:tcPr>
          <w:p>
            <w:pPr>
              <w:widowControl/>
              <w:jc w:val="left"/>
              <w:rPr>
                <w:rFonts w:ascii="仿宋" w:hAnsi="仿宋" w:eastAsia="仿宋" w:cs="仿宋"/>
                <w:color w:val="000000"/>
                <w:kern w:val="0"/>
                <w:sz w:val="24"/>
                <w:szCs w:val="24"/>
              </w:rPr>
            </w:pPr>
          </w:p>
        </w:tc>
        <w:tc>
          <w:tcPr>
            <w:tcW w:w="2418"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迁移规划，应用迁移，设备搬迁，入云部署，上线测试，交付使用等</w:t>
            </w:r>
          </w:p>
        </w:tc>
        <w:tc>
          <w:tcPr>
            <w:tcW w:w="442"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人/天</w:t>
            </w:r>
          </w:p>
        </w:tc>
        <w:tc>
          <w:tcPr>
            <w:tcW w:w="381" w:type="pct"/>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0</w:t>
            </w:r>
          </w:p>
        </w:tc>
        <w:tc>
          <w:tcPr>
            <w:tcW w:w="363" w:type="pct"/>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bl>
    <w:p>
      <w:pPr>
        <w:pStyle w:val="199"/>
        <w:ind w:firstLine="480"/>
        <w:rPr>
          <w:rFonts w:ascii="仿宋" w:hAnsi="仿宋" w:eastAsia="仿宋" w:cs="仿宋"/>
          <w:sz w:val="24"/>
          <w:szCs w:val="24"/>
        </w:rPr>
      </w:pPr>
    </w:p>
    <w:p>
      <w:pPr>
        <w:spacing w:line="280" w:lineRule="exact"/>
        <w:ind w:firstLine="420"/>
        <w:jc w:val="left"/>
        <w:rPr>
          <w:rFonts w:ascii="仿宋" w:hAnsi="仿宋" w:eastAsia="仿宋" w:cs="仿宋"/>
          <w:sz w:val="24"/>
          <w:szCs w:val="24"/>
        </w:rPr>
      </w:pPr>
      <w:r>
        <w:rPr>
          <w:rFonts w:hint="eastAsia" w:ascii="仿宋" w:hAnsi="仿宋" w:eastAsia="仿宋" w:cs="仿宋"/>
          <w:sz w:val="24"/>
          <w:szCs w:val="24"/>
        </w:rPr>
        <w:br w:type="page"/>
      </w:r>
    </w:p>
    <w:p>
      <w:pPr>
        <w:spacing w:line="360" w:lineRule="auto"/>
        <w:rPr>
          <w:rFonts w:ascii="仿宋" w:hAnsi="仿宋" w:eastAsia="仿宋" w:cs="仿宋"/>
          <w:b/>
          <w:sz w:val="24"/>
          <w:szCs w:val="24"/>
        </w:rPr>
      </w:pPr>
      <w:bookmarkStart w:id="161" w:name="_Toc960506437"/>
      <w:bookmarkStart w:id="162" w:name="_Toc518407392"/>
      <w:bookmarkStart w:id="163" w:name="_Toc35816232"/>
      <w:bookmarkStart w:id="164" w:name="_Toc43997733"/>
      <w:bookmarkStart w:id="165" w:name="_Toc18056806"/>
      <w:bookmarkStart w:id="166" w:name="_Toc76482679"/>
      <w:r>
        <w:rPr>
          <w:rFonts w:hint="eastAsia" w:ascii="仿宋" w:hAnsi="仿宋" w:eastAsia="仿宋" w:cs="仿宋"/>
          <w:b/>
          <w:sz w:val="24"/>
          <w:szCs w:val="24"/>
        </w:rPr>
        <w:t>5.1.2云平台服务SLA</w:t>
      </w:r>
      <w:bookmarkEnd w:id="161"/>
      <w:bookmarkEnd w:id="162"/>
      <w:bookmarkEnd w:id="163"/>
      <w:bookmarkEnd w:id="164"/>
      <w:bookmarkEnd w:id="165"/>
      <w:bookmarkEnd w:id="166"/>
      <w:r>
        <w:rPr>
          <w:rFonts w:hint="eastAsia" w:ascii="仿宋" w:hAnsi="仿宋" w:eastAsia="仿宋" w:cs="仿宋"/>
          <w:b/>
          <w:sz w:val="24"/>
          <w:szCs w:val="24"/>
        </w:rPr>
        <w:t>标准</w:t>
      </w:r>
    </w:p>
    <w:p>
      <w:pPr>
        <w:spacing w:line="360" w:lineRule="auto"/>
        <w:rPr>
          <w:rFonts w:ascii="仿宋" w:hAnsi="仿宋" w:eastAsia="仿宋" w:cs="仿宋"/>
          <w:b/>
          <w:sz w:val="24"/>
          <w:szCs w:val="24"/>
        </w:rPr>
      </w:pPr>
      <w:r>
        <w:rPr>
          <w:rFonts w:hint="eastAsia" w:ascii="仿宋" w:hAnsi="仿宋" w:eastAsia="仿宋" w:cs="仿宋"/>
          <w:b/>
          <w:sz w:val="24"/>
          <w:szCs w:val="24"/>
        </w:rPr>
        <w:t>（一）基础设施服务</w:t>
      </w:r>
    </w:p>
    <w:p>
      <w:pPr>
        <w:spacing w:line="360" w:lineRule="auto"/>
        <w:rPr>
          <w:rFonts w:ascii="仿宋" w:hAnsi="仿宋" w:eastAsia="仿宋" w:cs="仿宋"/>
          <w:b/>
          <w:sz w:val="24"/>
          <w:szCs w:val="24"/>
        </w:rPr>
      </w:pPr>
      <w:r>
        <w:rPr>
          <w:rFonts w:hint="eastAsia" w:ascii="仿宋" w:hAnsi="仿宋" w:eastAsia="仿宋" w:cs="仿宋"/>
          <w:b/>
          <w:sz w:val="24"/>
          <w:szCs w:val="24"/>
        </w:rPr>
        <w:t>1.计算资源服务</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028"/>
        <w:gridCol w:w="435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 w:hRule="atLeast"/>
        </w:trPr>
        <w:tc>
          <w:tcPr>
            <w:tcW w:w="0" w:type="auto"/>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b/>
                <w:bCs/>
                <w:sz w:val="24"/>
                <w:szCs w:val="24"/>
              </w:rPr>
              <w:t>功能配置</w:t>
            </w:r>
          </w:p>
        </w:tc>
        <w:tc>
          <w:tcPr>
            <w:tcW w:w="0" w:type="auto"/>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b/>
                <w:bCs/>
                <w:sz w:val="24"/>
                <w:szCs w:val="24"/>
              </w:rPr>
              <w:t>性能指标</w:t>
            </w:r>
          </w:p>
        </w:tc>
        <w:tc>
          <w:tcPr>
            <w:tcW w:w="0" w:type="auto"/>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b/>
                <w:bCs/>
                <w:sz w:val="24"/>
                <w:szCs w:val="24"/>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5" w:hRule="atLeast"/>
        </w:trPr>
        <w:tc>
          <w:tcPr>
            <w:tcW w:w="0" w:type="auto"/>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虚拟主机服务（2核4G内存60G系统硬盘）</w:t>
            </w:r>
          </w:p>
        </w:tc>
        <w:tc>
          <w:tcPr>
            <w:tcW w:w="0" w:type="auto"/>
            <w:vMerge w:val="restar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提供简单高效、处理能力可弹性伸缩的计算服务，提供多种CPU，内存搭配的虚拟主机服务。具备以下功能：：</w:t>
            </w:r>
          </w:p>
          <w:p>
            <w:pPr>
              <w:spacing w:line="280" w:lineRule="exact"/>
              <w:jc w:val="left"/>
              <w:rPr>
                <w:rFonts w:ascii="仿宋" w:hAnsi="仿宋" w:eastAsia="仿宋" w:cs="仿宋"/>
                <w:sz w:val="24"/>
                <w:szCs w:val="24"/>
              </w:rPr>
            </w:pPr>
            <w:r>
              <w:rPr>
                <w:rFonts w:hint="eastAsia" w:ascii="仿宋" w:hAnsi="仿宋" w:eastAsia="仿宋" w:cs="仿宋"/>
                <w:sz w:val="24"/>
                <w:szCs w:val="24"/>
              </w:rPr>
              <w:t>1、安全：具备防DDoS及防火墙基础保护，租户隔离。提供密码反暴力破解等能力。</w:t>
            </w:r>
          </w:p>
          <w:p>
            <w:pPr>
              <w:spacing w:line="280" w:lineRule="exact"/>
              <w:jc w:val="left"/>
              <w:rPr>
                <w:rFonts w:ascii="仿宋" w:hAnsi="仿宋" w:eastAsia="仿宋" w:cs="仿宋"/>
                <w:sz w:val="24"/>
                <w:szCs w:val="24"/>
              </w:rPr>
            </w:pPr>
            <w:r>
              <w:rPr>
                <w:rFonts w:hint="eastAsia" w:ascii="仿宋" w:hAnsi="仿宋" w:eastAsia="仿宋" w:cs="仿宋"/>
                <w:sz w:val="24"/>
                <w:szCs w:val="24"/>
              </w:rPr>
              <w:t>2、稳定：服务可靠性不低于99.9%，具备自动宕机迁移、系统备份和回滚及性能报警功能。</w:t>
            </w:r>
          </w:p>
          <w:p>
            <w:pPr>
              <w:spacing w:line="280" w:lineRule="exact"/>
              <w:jc w:val="left"/>
              <w:rPr>
                <w:rFonts w:ascii="仿宋" w:hAnsi="仿宋" w:eastAsia="仿宋" w:cs="仿宋"/>
                <w:sz w:val="24"/>
                <w:szCs w:val="24"/>
              </w:rPr>
            </w:pPr>
            <w:r>
              <w:rPr>
                <w:rFonts w:hint="eastAsia" w:ascii="仿宋" w:hAnsi="仿宋" w:eastAsia="仿宋" w:cs="仿宋"/>
                <w:sz w:val="24"/>
                <w:szCs w:val="24"/>
              </w:rPr>
              <w:t>3、弹性：30分钟内可启动或释放百台云服务器，分钟级停机升级CPU及内存，在线不停机升级带宽。</w:t>
            </w:r>
          </w:p>
        </w:tc>
        <w:tc>
          <w:tcPr>
            <w:tcW w:w="0" w:type="auto"/>
            <w:vMerge w:val="restar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 xml:space="preserve">主机计算资源利用率分配的CPU、内存资源大于物理资源总量的80% </w:t>
            </w:r>
          </w:p>
          <w:p>
            <w:pPr>
              <w:spacing w:line="280" w:lineRule="exact"/>
              <w:jc w:val="left"/>
              <w:rPr>
                <w:rFonts w:ascii="仿宋" w:hAnsi="仿宋" w:eastAsia="仿宋" w:cs="仿宋"/>
                <w:sz w:val="24"/>
                <w:szCs w:val="24"/>
              </w:rPr>
            </w:pPr>
            <w:r>
              <w:rPr>
                <w:rFonts w:hint="eastAsia" w:ascii="仿宋" w:hAnsi="仿宋" w:eastAsia="仿宋" w:cs="仿宋"/>
                <w:sz w:val="24"/>
                <w:szCs w:val="24"/>
              </w:rPr>
              <w:t>计算型服务器的虚拟化率应达到80%</w:t>
            </w:r>
          </w:p>
          <w:p>
            <w:pPr>
              <w:spacing w:line="280" w:lineRule="exact"/>
              <w:jc w:val="left"/>
              <w:rPr>
                <w:rFonts w:ascii="仿宋" w:hAnsi="仿宋" w:eastAsia="仿宋" w:cs="仿宋"/>
                <w:sz w:val="24"/>
                <w:szCs w:val="24"/>
              </w:rPr>
            </w:pPr>
            <w:r>
              <w:rPr>
                <w:rFonts w:hint="eastAsia" w:ascii="仿宋" w:hAnsi="仿宋" w:eastAsia="仿宋" w:cs="仿宋"/>
                <w:sz w:val="24"/>
                <w:szCs w:val="24"/>
              </w:rPr>
              <w:t>　</w:t>
            </w:r>
          </w:p>
          <w:p>
            <w:pPr>
              <w:spacing w:line="280" w:lineRule="exact"/>
              <w:jc w:val="left"/>
              <w:rPr>
                <w:rFonts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0" w:hRule="atLeast"/>
        </w:trPr>
        <w:tc>
          <w:tcPr>
            <w:tcW w:w="0" w:type="auto"/>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虚拟主机服务（4核8G内存60G系统硬盘）</w:t>
            </w:r>
          </w:p>
        </w:tc>
        <w:tc>
          <w:tcPr>
            <w:tcW w:w="0" w:type="auto"/>
            <w:vMerge w:val="continue"/>
            <w:shd w:val="clear" w:color="auto" w:fill="FFFFFF"/>
            <w:vAlign w:val="center"/>
          </w:tcPr>
          <w:p>
            <w:pPr>
              <w:spacing w:line="280" w:lineRule="exact"/>
              <w:jc w:val="left"/>
              <w:rPr>
                <w:rFonts w:ascii="仿宋" w:hAnsi="仿宋" w:eastAsia="仿宋" w:cs="仿宋"/>
                <w:sz w:val="24"/>
                <w:szCs w:val="24"/>
              </w:rPr>
            </w:pPr>
          </w:p>
        </w:tc>
        <w:tc>
          <w:tcPr>
            <w:tcW w:w="0" w:type="auto"/>
            <w:vMerge w:val="continue"/>
            <w:shd w:val="clear" w:color="auto" w:fill="FFFFFF"/>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0" w:hRule="atLeast"/>
        </w:trPr>
        <w:tc>
          <w:tcPr>
            <w:tcW w:w="0" w:type="auto"/>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虚拟主机服务（8核16G内存60G系统硬盘）</w:t>
            </w:r>
          </w:p>
        </w:tc>
        <w:tc>
          <w:tcPr>
            <w:tcW w:w="0" w:type="auto"/>
            <w:vMerge w:val="continue"/>
            <w:shd w:val="clear" w:color="auto" w:fill="FFFFFF"/>
            <w:vAlign w:val="center"/>
          </w:tcPr>
          <w:p>
            <w:pPr>
              <w:spacing w:line="280" w:lineRule="exact"/>
              <w:jc w:val="left"/>
              <w:rPr>
                <w:rFonts w:ascii="仿宋" w:hAnsi="仿宋" w:eastAsia="仿宋" w:cs="仿宋"/>
                <w:sz w:val="24"/>
                <w:szCs w:val="24"/>
              </w:rPr>
            </w:pPr>
          </w:p>
        </w:tc>
        <w:tc>
          <w:tcPr>
            <w:tcW w:w="0" w:type="auto"/>
            <w:vMerge w:val="continue"/>
            <w:shd w:val="clear" w:color="auto" w:fill="FFFFFF"/>
            <w:noWrap/>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0" w:hRule="atLeast"/>
        </w:trPr>
        <w:tc>
          <w:tcPr>
            <w:tcW w:w="0" w:type="auto"/>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虚拟主机服务（16核32G内存60G系统硬盘）</w:t>
            </w:r>
          </w:p>
        </w:tc>
        <w:tc>
          <w:tcPr>
            <w:tcW w:w="0" w:type="auto"/>
            <w:vMerge w:val="continue"/>
            <w:shd w:val="clear" w:color="auto" w:fill="FFFFFF"/>
            <w:vAlign w:val="center"/>
          </w:tcPr>
          <w:p>
            <w:pPr>
              <w:spacing w:line="280" w:lineRule="exact"/>
              <w:jc w:val="left"/>
              <w:rPr>
                <w:rFonts w:ascii="仿宋" w:hAnsi="仿宋" w:eastAsia="仿宋" w:cs="仿宋"/>
                <w:sz w:val="24"/>
                <w:szCs w:val="24"/>
              </w:rPr>
            </w:pPr>
          </w:p>
        </w:tc>
        <w:tc>
          <w:tcPr>
            <w:tcW w:w="0" w:type="auto"/>
            <w:vMerge w:val="continue"/>
            <w:shd w:val="clear" w:color="auto" w:fill="FFFFFF"/>
            <w:noWrap/>
            <w:vAlign w:val="center"/>
          </w:tcPr>
          <w:p>
            <w:pPr>
              <w:spacing w:line="280" w:lineRule="exact"/>
              <w:jc w:val="left"/>
              <w:rPr>
                <w:rFonts w:ascii="仿宋" w:hAnsi="仿宋" w:eastAsia="仿宋" w:cs="仿宋"/>
                <w:sz w:val="24"/>
                <w:szCs w:val="24"/>
              </w:rPr>
            </w:pPr>
          </w:p>
        </w:tc>
      </w:tr>
    </w:tbl>
    <w:p>
      <w:pPr>
        <w:widowControl/>
        <w:jc w:val="left"/>
        <w:rPr>
          <w:rFonts w:ascii="仿宋" w:hAnsi="仿宋" w:eastAsia="仿宋" w:cs="仿宋"/>
          <w:kern w:val="0"/>
          <w:sz w:val="24"/>
          <w:szCs w:val="24"/>
        </w:rPr>
      </w:pPr>
    </w:p>
    <w:p>
      <w:pPr>
        <w:widowControl/>
        <w:jc w:val="left"/>
        <w:rPr>
          <w:rFonts w:ascii="仿宋" w:hAnsi="仿宋" w:eastAsia="仿宋" w:cs="仿宋"/>
          <w:kern w:val="0"/>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2.网络资源服务</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906"/>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1" w:type="dxa"/>
            <w:vAlign w:val="center"/>
          </w:tcPr>
          <w:p>
            <w:pPr>
              <w:spacing w:line="280" w:lineRule="exact"/>
              <w:jc w:val="left"/>
              <w:rPr>
                <w:rFonts w:ascii="仿宋" w:hAnsi="仿宋" w:eastAsia="仿宋" w:cs="仿宋"/>
                <w:sz w:val="24"/>
                <w:szCs w:val="24"/>
              </w:rPr>
            </w:pPr>
            <w:r>
              <w:rPr>
                <w:rFonts w:hint="eastAsia" w:ascii="仿宋" w:hAnsi="仿宋" w:eastAsia="仿宋" w:cs="仿宋"/>
                <w:b/>
                <w:bCs/>
                <w:sz w:val="24"/>
                <w:szCs w:val="24"/>
              </w:rPr>
              <w:t>功能配置</w:t>
            </w:r>
          </w:p>
        </w:tc>
        <w:tc>
          <w:tcPr>
            <w:tcW w:w="3906" w:type="dxa"/>
            <w:vAlign w:val="center"/>
          </w:tcPr>
          <w:p>
            <w:pPr>
              <w:spacing w:line="280" w:lineRule="exact"/>
              <w:jc w:val="left"/>
              <w:rPr>
                <w:rFonts w:ascii="仿宋" w:hAnsi="仿宋" w:eastAsia="仿宋" w:cs="仿宋"/>
                <w:sz w:val="24"/>
                <w:szCs w:val="24"/>
              </w:rPr>
            </w:pPr>
            <w:r>
              <w:rPr>
                <w:rFonts w:hint="eastAsia" w:ascii="仿宋" w:hAnsi="仿宋" w:eastAsia="仿宋" w:cs="仿宋"/>
                <w:b/>
                <w:bCs/>
                <w:sz w:val="24"/>
                <w:szCs w:val="24"/>
              </w:rPr>
              <w:t>性能指标</w:t>
            </w: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b/>
                <w:bCs/>
                <w:sz w:val="24"/>
                <w:szCs w:val="24"/>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1" w:type="dxa"/>
            <w:vMerge w:val="restart"/>
            <w:vAlign w:val="center"/>
          </w:tcPr>
          <w:p>
            <w:pPr>
              <w:spacing w:line="280" w:lineRule="exact"/>
              <w:jc w:val="left"/>
              <w:rPr>
                <w:rFonts w:hint="eastAsia" w:ascii="仿宋" w:hAnsi="仿宋" w:eastAsia="仿宋" w:cs="仿宋"/>
                <w:sz w:val="24"/>
                <w:szCs w:val="24"/>
              </w:rPr>
            </w:pPr>
            <w:r>
              <w:rPr>
                <w:rFonts w:hint="eastAsia" w:ascii="仿宋" w:hAnsi="仿宋" w:eastAsia="仿宋" w:cs="仿宋"/>
                <w:sz w:val="24"/>
                <w:szCs w:val="24"/>
              </w:rPr>
              <w:t>电子政务网IP地址服务</w:t>
            </w:r>
          </w:p>
        </w:tc>
        <w:tc>
          <w:tcPr>
            <w:tcW w:w="3906" w:type="dxa"/>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根据上云应用网络接入需求，对外提供两种类型的IP地址：电子政务外网IP与互联网IP服务，为接入兵团电子政务外网的应用系统提供电子政务外网IP；与各大电信运营商的骨干网对接，为互联网类应用提供充足的IP地址。</w:t>
            </w: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网络系统的可用性&gt;99%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1" w:type="dxa"/>
            <w:vMerge w:val="continue"/>
            <w:vAlign w:val="center"/>
          </w:tcPr>
          <w:p>
            <w:pPr>
              <w:spacing w:line="280" w:lineRule="exact"/>
              <w:jc w:val="left"/>
              <w:rPr>
                <w:rFonts w:ascii="仿宋" w:hAnsi="仿宋" w:eastAsia="仿宋" w:cs="仿宋"/>
                <w:sz w:val="24"/>
                <w:szCs w:val="24"/>
              </w:rPr>
            </w:pPr>
          </w:p>
        </w:tc>
        <w:tc>
          <w:tcPr>
            <w:tcW w:w="3906" w:type="dxa"/>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提供网络资源时间&lt;4天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1" w:type="dxa"/>
            <w:vMerge w:val="continue"/>
            <w:vAlign w:val="center"/>
          </w:tcPr>
          <w:p>
            <w:pPr>
              <w:spacing w:line="280" w:lineRule="exact"/>
              <w:jc w:val="left"/>
              <w:rPr>
                <w:rFonts w:ascii="仿宋" w:hAnsi="仿宋" w:eastAsia="仿宋" w:cs="仿宋"/>
                <w:sz w:val="24"/>
                <w:szCs w:val="24"/>
              </w:rPr>
            </w:pPr>
          </w:p>
        </w:tc>
        <w:tc>
          <w:tcPr>
            <w:tcW w:w="3906" w:type="dxa"/>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提供VPN时间&lt;1天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71" w:type="dxa"/>
            <w:vMerge w:val="restart"/>
            <w:vAlign w:val="center"/>
          </w:tcPr>
          <w:p>
            <w:pPr>
              <w:spacing w:line="280" w:lineRule="exact"/>
              <w:jc w:val="left"/>
              <w:rPr>
                <w:rFonts w:hint="eastAsia" w:ascii="仿宋" w:hAnsi="仿宋" w:eastAsia="仿宋" w:cs="仿宋"/>
                <w:sz w:val="24"/>
                <w:szCs w:val="24"/>
              </w:rPr>
            </w:pPr>
            <w:r>
              <w:rPr>
                <w:rFonts w:hint="eastAsia" w:ascii="仿宋" w:hAnsi="仿宋" w:eastAsia="仿宋" w:cs="仿宋"/>
                <w:sz w:val="24"/>
                <w:szCs w:val="24"/>
              </w:rPr>
              <w:t>互联网公有IP服务</w:t>
            </w:r>
          </w:p>
        </w:tc>
        <w:tc>
          <w:tcPr>
            <w:tcW w:w="3906" w:type="dxa"/>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核心交换机实际可用吞吐量&gt;100Gbps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1" w:type="dxa"/>
            <w:vMerge w:val="continue"/>
            <w:vAlign w:val="center"/>
          </w:tcPr>
          <w:p>
            <w:pPr>
              <w:spacing w:line="280" w:lineRule="exact"/>
              <w:jc w:val="left"/>
              <w:rPr>
                <w:rFonts w:ascii="仿宋" w:hAnsi="仿宋" w:eastAsia="仿宋" w:cs="仿宋"/>
                <w:sz w:val="24"/>
                <w:szCs w:val="24"/>
              </w:rPr>
            </w:pPr>
          </w:p>
        </w:tc>
        <w:tc>
          <w:tcPr>
            <w:tcW w:w="3906" w:type="dxa"/>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抗DDoS吞吐量上限≥10Gbps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71" w:type="dxa"/>
            <w:vMerge w:val="continue"/>
            <w:vAlign w:val="center"/>
          </w:tcPr>
          <w:p>
            <w:pPr>
              <w:spacing w:line="280" w:lineRule="exact"/>
              <w:jc w:val="left"/>
              <w:rPr>
                <w:rFonts w:ascii="仿宋" w:hAnsi="仿宋" w:eastAsia="仿宋" w:cs="仿宋"/>
                <w:sz w:val="24"/>
                <w:szCs w:val="24"/>
              </w:rPr>
            </w:pPr>
          </w:p>
        </w:tc>
        <w:tc>
          <w:tcPr>
            <w:tcW w:w="3906" w:type="dxa"/>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全网VPN流量统计大于10M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71" w:type="dxa"/>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互联网带宽</w:t>
            </w:r>
          </w:p>
        </w:tc>
        <w:tc>
          <w:tcPr>
            <w:tcW w:w="3906" w:type="dxa"/>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提供互联网万兆接入能力。提供多档次带宽供选择，运营商覆盖电信、联通、移动。出口提供链路负载均衡服务，能够在多条不同链路中动态分配和负载均衡，实现动态智能寻路。</w:t>
            </w: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互联网统一接入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71" w:type="dxa"/>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专线接入服务</w:t>
            </w:r>
          </w:p>
        </w:tc>
        <w:tc>
          <w:tcPr>
            <w:tcW w:w="3906" w:type="dxa"/>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为方便有专网需求应用上云接入，提供几类专有链路接入方式，包括20-200M专线接入及裸纤接入服务。需具有以下功能：</w:t>
            </w:r>
          </w:p>
        </w:tc>
        <w:tc>
          <w:tcPr>
            <w:tcW w:w="0" w:type="auto"/>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整体网络平均最大端到端延迟时间&lt;300ms，网络平均最大端到端抖动&lt;200ms，网络平均最大端到端丢包率&lt;1‰，网络平均最大端到端收敛时间&lt;200ms。</w:t>
            </w:r>
          </w:p>
          <w:p>
            <w:pPr>
              <w:spacing w:line="280" w:lineRule="exact"/>
              <w:jc w:val="left"/>
              <w:rPr>
                <w:rFonts w:hint="eastAsia" w:ascii="仿宋" w:hAnsi="仿宋" w:eastAsia="仿宋" w:cs="仿宋"/>
                <w:sz w:val="24"/>
                <w:szCs w:val="24"/>
              </w:rPr>
            </w:pPr>
            <w:r>
              <w:rPr>
                <w:rFonts w:hint="eastAsia" w:ascii="仿宋" w:hAnsi="仿宋" w:eastAsia="仿宋" w:cs="仿宋"/>
                <w:sz w:val="24"/>
                <w:szCs w:val="24"/>
              </w:rPr>
              <w:t>内部网络平均最大端到端延迟时间&lt;100ms，网络平均最大端到端抖动&lt;50ms，网络平均最大端到端丢包率&lt;0.5‰，网络平均最大端到端收敛时间&lt;50ms。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71" w:type="dxa"/>
            <w:vMerge w:val="continue"/>
            <w:vAlign w:val="center"/>
          </w:tcPr>
          <w:p>
            <w:pPr>
              <w:spacing w:line="280" w:lineRule="exact"/>
              <w:jc w:val="left"/>
              <w:rPr>
                <w:rFonts w:ascii="仿宋" w:hAnsi="仿宋" w:eastAsia="仿宋" w:cs="仿宋"/>
                <w:sz w:val="24"/>
                <w:szCs w:val="24"/>
              </w:rPr>
            </w:pPr>
          </w:p>
        </w:tc>
        <w:tc>
          <w:tcPr>
            <w:tcW w:w="3906" w:type="dxa"/>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1、安全隔离：使用隧道技术达到与传统VLAN相同效果，广播域隔离在实例网卡级别；</w:t>
            </w:r>
          </w:p>
        </w:tc>
        <w:tc>
          <w:tcPr>
            <w:tcW w:w="0" w:type="auto"/>
            <w:vMerge w:val="continue"/>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271" w:type="dxa"/>
            <w:vMerge w:val="continue"/>
            <w:vAlign w:val="center"/>
          </w:tcPr>
          <w:p>
            <w:pPr>
              <w:spacing w:line="280" w:lineRule="exact"/>
              <w:jc w:val="left"/>
              <w:rPr>
                <w:rFonts w:ascii="仿宋" w:hAnsi="仿宋" w:eastAsia="仿宋" w:cs="仿宋"/>
                <w:sz w:val="24"/>
                <w:szCs w:val="24"/>
              </w:rPr>
            </w:pPr>
          </w:p>
        </w:tc>
        <w:tc>
          <w:tcPr>
            <w:tcW w:w="3906" w:type="dxa"/>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2、访问控制：灵活的访问控制规则，满足用户安全隔离规范；</w:t>
            </w:r>
          </w:p>
        </w:tc>
        <w:tc>
          <w:tcPr>
            <w:tcW w:w="0" w:type="auto"/>
            <w:vMerge w:val="continue"/>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271" w:type="dxa"/>
            <w:vMerge w:val="continue"/>
            <w:vAlign w:val="center"/>
          </w:tcPr>
          <w:p>
            <w:pPr>
              <w:spacing w:line="280" w:lineRule="exact"/>
              <w:jc w:val="left"/>
              <w:rPr>
                <w:rFonts w:ascii="仿宋" w:hAnsi="仿宋" w:eastAsia="仿宋" w:cs="仿宋"/>
                <w:sz w:val="24"/>
                <w:szCs w:val="24"/>
              </w:rPr>
            </w:pPr>
          </w:p>
        </w:tc>
        <w:tc>
          <w:tcPr>
            <w:tcW w:w="3906" w:type="dxa"/>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3、软件定义网络：按需进行专网内部配置，管理操作即时生效；</w:t>
            </w:r>
          </w:p>
        </w:tc>
        <w:tc>
          <w:tcPr>
            <w:tcW w:w="0" w:type="auto"/>
            <w:vMerge w:val="continue"/>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1" w:type="dxa"/>
            <w:vMerge w:val="continue"/>
            <w:vAlign w:val="center"/>
          </w:tcPr>
          <w:p>
            <w:pPr>
              <w:spacing w:line="280" w:lineRule="exact"/>
              <w:jc w:val="left"/>
              <w:rPr>
                <w:rFonts w:ascii="仿宋" w:hAnsi="仿宋" w:eastAsia="仿宋" w:cs="仿宋"/>
                <w:sz w:val="24"/>
                <w:szCs w:val="24"/>
              </w:rPr>
            </w:pPr>
          </w:p>
        </w:tc>
        <w:tc>
          <w:tcPr>
            <w:tcW w:w="3906" w:type="dxa"/>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4、网络连接方式安全可靠：支持VPN通道加密。</w:t>
            </w:r>
          </w:p>
        </w:tc>
        <w:tc>
          <w:tcPr>
            <w:tcW w:w="0" w:type="auto"/>
            <w:vMerge w:val="continue"/>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71" w:type="dxa"/>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应用负载均衡服务</w:t>
            </w:r>
          </w:p>
        </w:tc>
        <w:tc>
          <w:tcPr>
            <w:tcW w:w="3906" w:type="dxa"/>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对多台云服务器进行流量分发的负载均衡服务。可以通过流量分发扩展应用系统对外的服务能力，通过消除单点故障提升应用系统的可用性。通过虚拟机+负载均衡组合方案，保障应用高可用。1、高可用：冗余设计、无单点风险，可用性高达99.99%。根据应用负载进行弹性扩容。确保流量波动情况下不中断对外服务。2、低成本：与传统自采负载均衡硬件模式相比成本下降60%。</w:t>
            </w: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　</w:t>
            </w:r>
          </w:p>
        </w:tc>
      </w:tr>
    </w:tbl>
    <w:p>
      <w:pPr>
        <w:widowControl/>
        <w:jc w:val="left"/>
        <w:rPr>
          <w:rFonts w:ascii="仿宋" w:hAnsi="仿宋" w:eastAsia="仿宋" w:cs="仿宋"/>
          <w:kern w:val="0"/>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3.存储资源服务</w:t>
      </w:r>
    </w:p>
    <w:tbl>
      <w:tblPr>
        <w:tblStyle w:val="38"/>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3341"/>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11" w:type="pct"/>
            <w:shd w:val="clear" w:color="000000" w:fill="FFFFFF"/>
            <w:vAlign w:val="center"/>
          </w:tcPr>
          <w:p>
            <w:pPr>
              <w:widowControl/>
              <w:jc w:val="left"/>
              <w:rPr>
                <w:rFonts w:ascii="仿宋" w:hAnsi="仿宋" w:eastAsia="仿宋" w:cs="仿宋"/>
                <w:kern w:val="0"/>
                <w:sz w:val="24"/>
                <w:szCs w:val="24"/>
              </w:rPr>
            </w:pPr>
          </w:p>
        </w:tc>
        <w:tc>
          <w:tcPr>
            <w:tcW w:w="1799" w:type="pct"/>
            <w:shd w:val="clear" w:color="000000" w:fill="FFFFFF"/>
            <w:vAlign w:val="center"/>
          </w:tcPr>
          <w:p>
            <w:pPr>
              <w:widowControl/>
              <w:jc w:val="left"/>
              <w:rPr>
                <w:rFonts w:ascii="仿宋" w:hAnsi="仿宋" w:eastAsia="仿宋" w:cs="仿宋"/>
                <w:kern w:val="0"/>
                <w:sz w:val="24"/>
                <w:szCs w:val="24"/>
              </w:rPr>
            </w:pPr>
          </w:p>
        </w:tc>
        <w:tc>
          <w:tcPr>
            <w:tcW w:w="1890" w:type="pct"/>
            <w:shd w:val="clear" w:color="000000" w:fill="FFFFFF"/>
            <w:vAlign w:val="center"/>
          </w:tcPr>
          <w:p>
            <w:pPr>
              <w:widowControl/>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11"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b/>
                <w:bCs/>
                <w:sz w:val="24"/>
                <w:szCs w:val="24"/>
              </w:rPr>
              <w:t>功能配置</w:t>
            </w:r>
          </w:p>
        </w:tc>
        <w:tc>
          <w:tcPr>
            <w:tcW w:w="1799" w:type="pct"/>
            <w:vAlign w:val="center"/>
          </w:tcPr>
          <w:p>
            <w:pPr>
              <w:spacing w:line="280" w:lineRule="exact"/>
              <w:jc w:val="left"/>
              <w:rPr>
                <w:rFonts w:ascii="仿宋" w:hAnsi="仿宋" w:eastAsia="仿宋" w:cs="仿宋"/>
                <w:sz w:val="24"/>
                <w:szCs w:val="24"/>
              </w:rPr>
            </w:pPr>
            <w:r>
              <w:rPr>
                <w:rFonts w:hint="eastAsia" w:ascii="仿宋" w:hAnsi="仿宋" w:eastAsia="仿宋" w:cs="仿宋"/>
                <w:b/>
                <w:bCs/>
                <w:sz w:val="24"/>
                <w:szCs w:val="24"/>
              </w:rPr>
              <w:t>性能指标</w:t>
            </w:r>
          </w:p>
        </w:tc>
        <w:tc>
          <w:tcPr>
            <w:tcW w:w="1890" w:type="pct"/>
            <w:vAlign w:val="center"/>
          </w:tcPr>
          <w:p>
            <w:pPr>
              <w:spacing w:line="280" w:lineRule="exact"/>
              <w:jc w:val="left"/>
              <w:rPr>
                <w:rFonts w:ascii="仿宋" w:hAnsi="仿宋" w:eastAsia="仿宋" w:cs="仿宋"/>
                <w:sz w:val="24"/>
                <w:szCs w:val="24"/>
              </w:rPr>
            </w:pPr>
            <w:r>
              <w:rPr>
                <w:rFonts w:hint="eastAsia" w:ascii="仿宋" w:hAnsi="仿宋" w:eastAsia="仿宋" w:cs="仿宋"/>
                <w:b/>
                <w:bCs/>
                <w:sz w:val="24"/>
                <w:szCs w:val="24"/>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311"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普通IO云硬盘100G</w:t>
            </w:r>
          </w:p>
        </w:tc>
        <w:tc>
          <w:tcPr>
            <w:tcW w:w="1799" w:type="pct"/>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对外提供海量、安全和高可靠的云存储服务。容量和处理能力的弹性扩展，按实际容量付费，可提供面向应用的普通存储和面向数据库的高端存储，达到以下要求：</w:t>
            </w:r>
          </w:p>
          <w:p>
            <w:pPr>
              <w:spacing w:line="280" w:lineRule="exact"/>
              <w:jc w:val="left"/>
              <w:rPr>
                <w:rFonts w:ascii="仿宋" w:hAnsi="仿宋" w:eastAsia="仿宋" w:cs="仿宋"/>
                <w:sz w:val="24"/>
                <w:szCs w:val="24"/>
              </w:rPr>
            </w:pPr>
            <w:r>
              <w:rPr>
                <w:rFonts w:hint="eastAsia" w:ascii="仿宋" w:hAnsi="仿宋" w:eastAsia="仿宋" w:cs="仿宋"/>
                <w:sz w:val="24"/>
                <w:szCs w:val="24"/>
              </w:rPr>
              <w:t>1、稳定：数据可靠性达到99.99%，系统规模自动扩展，不影响对外服务，数据三重副本备份，保证数据不丢失；</w:t>
            </w:r>
          </w:p>
          <w:p>
            <w:pPr>
              <w:spacing w:line="280" w:lineRule="exact"/>
              <w:jc w:val="left"/>
              <w:rPr>
                <w:rFonts w:ascii="仿宋" w:hAnsi="仿宋" w:eastAsia="仿宋" w:cs="仿宋"/>
                <w:sz w:val="24"/>
                <w:szCs w:val="24"/>
              </w:rPr>
            </w:pPr>
            <w:r>
              <w:rPr>
                <w:rFonts w:hint="eastAsia" w:ascii="仿宋" w:hAnsi="仿宋" w:eastAsia="仿宋" w:cs="仿宋"/>
                <w:sz w:val="24"/>
                <w:szCs w:val="24"/>
              </w:rPr>
              <w:t>2、安全：多层次安全防护，多用户隔离机制，提供访问日志有助于追查非法访问读写；</w:t>
            </w:r>
          </w:p>
          <w:p>
            <w:pPr>
              <w:spacing w:line="280" w:lineRule="exact"/>
              <w:jc w:val="left"/>
              <w:rPr>
                <w:rFonts w:ascii="仿宋" w:hAnsi="仿宋" w:eastAsia="仿宋" w:cs="仿宋"/>
                <w:sz w:val="24"/>
                <w:szCs w:val="24"/>
              </w:rPr>
            </w:pPr>
            <w:r>
              <w:rPr>
                <w:rFonts w:hint="eastAsia" w:ascii="仿宋" w:hAnsi="仿宋" w:eastAsia="仿宋" w:cs="仿宋"/>
                <w:sz w:val="24"/>
                <w:szCs w:val="24"/>
              </w:rPr>
              <w:t>3、大规模、高性能：存储容量无限扩展，请求处理能力弹性增加，多线网络确保全国各地访问流畅。</w:t>
            </w:r>
          </w:p>
        </w:tc>
        <w:tc>
          <w:tcPr>
            <w:tcW w:w="1890" w:type="pct"/>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提供存储资源的完成时间&lt;1天</w:t>
            </w:r>
          </w:p>
          <w:p>
            <w:pPr>
              <w:spacing w:line="280" w:lineRule="exact"/>
              <w:jc w:val="left"/>
              <w:rPr>
                <w:rFonts w:ascii="仿宋" w:hAnsi="仿宋" w:eastAsia="仿宋" w:cs="仿宋"/>
                <w:sz w:val="24"/>
                <w:szCs w:val="24"/>
              </w:rPr>
            </w:pPr>
            <w:r>
              <w:rPr>
                <w:rFonts w:hint="eastAsia" w:ascii="仿宋" w:hAnsi="仿宋" w:eastAsia="仿宋" w:cs="仿宋"/>
                <w:sz w:val="24"/>
                <w:szCs w:val="24"/>
              </w:rPr>
              <w:t>存储资源池重构时间&lt;1天</w:t>
            </w:r>
          </w:p>
          <w:p>
            <w:pPr>
              <w:spacing w:line="280" w:lineRule="exact"/>
              <w:jc w:val="left"/>
              <w:rPr>
                <w:rFonts w:ascii="仿宋" w:hAnsi="仿宋" w:eastAsia="仿宋" w:cs="仿宋"/>
                <w:sz w:val="24"/>
                <w:szCs w:val="24"/>
              </w:rPr>
            </w:pPr>
            <w:r>
              <w:rPr>
                <w:rFonts w:hint="eastAsia" w:ascii="仿宋" w:hAnsi="仿宋" w:eastAsia="仿宋" w:cs="仿宋"/>
                <w:sz w:val="24"/>
                <w:szCs w:val="24"/>
              </w:rPr>
              <w:t>数据导入/导出时长&lt;1天</w:t>
            </w:r>
          </w:p>
          <w:p>
            <w:pPr>
              <w:spacing w:line="280" w:lineRule="exact"/>
              <w:jc w:val="left"/>
              <w:rPr>
                <w:rFonts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311" w:type="pct"/>
            <w:tcBorders>
              <w:bottom w:val="single" w:color="auto" w:sz="4" w:space="0"/>
            </w:tcBorders>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高IO云硬盘100G</w:t>
            </w:r>
          </w:p>
        </w:tc>
        <w:tc>
          <w:tcPr>
            <w:tcW w:w="1799" w:type="pct"/>
            <w:vMerge w:val="continue"/>
            <w:tcBorders>
              <w:bottom w:val="single" w:color="auto" w:sz="4" w:space="0"/>
            </w:tcBorders>
            <w:vAlign w:val="center"/>
          </w:tcPr>
          <w:p>
            <w:pPr>
              <w:spacing w:line="280" w:lineRule="exact"/>
              <w:jc w:val="left"/>
              <w:rPr>
                <w:rFonts w:ascii="仿宋" w:hAnsi="仿宋" w:eastAsia="仿宋" w:cs="仿宋"/>
                <w:sz w:val="24"/>
                <w:szCs w:val="24"/>
              </w:rPr>
            </w:pPr>
          </w:p>
        </w:tc>
        <w:tc>
          <w:tcPr>
            <w:tcW w:w="1890" w:type="pct"/>
            <w:vMerge w:val="continue"/>
            <w:tcBorders>
              <w:bottom w:val="single" w:color="auto" w:sz="4" w:space="0"/>
            </w:tcBorders>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1311"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超高IO云硬盘100G</w:t>
            </w:r>
          </w:p>
        </w:tc>
        <w:tc>
          <w:tcPr>
            <w:tcW w:w="1799" w:type="pct"/>
            <w:vMerge w:val="continue"/>
            <w:vAlign w:val="center"/>
          </w:tcPr>
          <w:p>
            <w:pPr>
              <w:spacing w:line="280" w:lineRule="exact"/>
              <w:jc w:val="left"/>
              <w:rPr>
                <w:rFonts w:ascii="仿宋" w:hAnsi="仿宋" w:eastAsia="仿宋" w:cs="仿宋"/>
                <w:sz w:val="24"/>
                <w:szCs w:val="24"/>
              </w:rPr>
            </w:pPr>
          </w:p>
        </w:tc>
        <w:tc>
          <w:tcPr>
            <w:tcW w:w="1890" w:type="pct"/>
            <w:vMerge w:val="continue"/>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311"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对象存储服务</w:t>
            </w:r>
          </w:p>
        </w:tc>
        <w:tc>
          <w:tcPr>
            <w:tcW w:w="1799" w:type="pct"/>
            <w:vMerge w:val="continue"/>
            <w:vAlign w:val="center"/>
          </w:tcPr>
          <w:p>
            <w:pPr>
              <w:spacing w:line="280" w:lineRule="exact"/>
              <w:jc w:val="left"/>
              <w:rPr>
                <w:rFonts w:ascii="仿宋" w:hAnsi="仿宋" w:eastAsia="仿宋" w:cs="仿宋"/>
                <w:sz w:val="24"/>
                <w:szCs w:val="24"/>
              </w:rPr>
            </w:pPr>
          </w:p>
        </w:tc>
        <w:tc>
          <w:tcPr>
            <w:tcW w:w="1890" w:type="pct"/>
            <w:vMerge w:val="continue"/>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11"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文件存储服务</w:t>
            </w:r>
          </w:p>
        </w:tc>
        <w:tc>
          <w:tcPr>
            <w:tcW w:w="1799" w:type="pct"/>
            <w:vMerge w:val="continue"/>
            <w:vAlign w:val="center"/>
          </w:tcPr>
          <w:p>
            <w:pPr>
              <w:spacing w:line="280" w:lineRule="exact"/>
              <w:jc w:val="left"/>
              <w:rPr>
                <w:rFonts w:ascii="仿宋" w:hAnsi="仿宋" w:eastAsia="仿宋" w:cs="仿宋"/>
                <w:sz w:val="24"/>
                <w:szCs w:val="24"/>
              </w:rPr>
            </w:pPr>
          </w:p>
        </w:tc>
        <w:tc>
          <w:tcPr>
            <w:tcW w:w="1890" w:type="pct"/>
            <w:vMerge w:val="continue"/>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1"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备份服务</w:t>
            </w:r>
          </w:p>
        </w:tc>
        <w:tc>
          <w:tcPr>
            <w:tcW w:w="1799" w:type="pct"/>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可利用备份软件，定时自动化备份及还原。支撑对数据库和文件进行备份；支持多操作系统备份；支持对磁盘进行快照，以方便的管理、运维各种应用。</w:t>
            </w:r>
          </w:p>
        </w:tc>
        <w:tc>
          <w:tcPr>
            <w:tcW w:w="1890" w:type="pct"/>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存储资源的可用性大于99.9%</w:t>
            </w:r>
          </w:p>
          <w:p>
            <w:pPr>
              <w:spacing w:line="280" w:lineRule="exact"/>
              <w:jc w:val="left"/>
              <w:rPr>
                <w:rFonts w:ascii="仿宋" w:hAnsi="仿宋" w:eastAsia="仿宋" w:cs="仿宋"/>
                <w:sz w:val="24"/>
                <w:szCs w:val="24"/>
              </w:rPr>
            </w:pPr>
            <w:r>
              <w:rPr>
                <w:rFonts w:hint="eastAsia" w:ascii="仿宋" w:hAnsi="仿宋" w:eastAsia="仿宋" w:cs="仿宋"/>
                <w:sz w:val="24"/>
                <w:szCs w:val="24"/>
              </w:rPr>
              <w:t>应能够动态扩展存储资源，支持对集群进行动态扩展</w:t>
            </w:r>
          </w:p>
          <w:p>
            <w:pPr>
              <w:spacing w:line="280" w:lineRule="exact"/>
              <w:jc w:val="left"/>
              <w:rPr>
                <w:rFonts w:ascii="仿宋" w:hAnsi="仿宋" w:eastAsia="仿宋" w:cs="仿宋"/>
                <w:sz w:val="24"/>
                <w:szCs w:val="24"/>
              </w:rPr>
            </w:pPr>
            <w:r>
              <w:rPr>
                <w:rFonts w:hint="eastAsia" w:ascii="仿宋" w:hAnsi="仿宋" w:eastAsia="仿宋" w:cs="仿宋"/>
                <w:sz w:val="24"/>
                <w:szCs w:val="24"/>
              </w:rPr>
              <w:t>存储系统具有掉电保护、Cache回写、一致性校验等持久保护措施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11" w:type="pct"/>
            <w:tcBorders>
              <w:bottom w:val="single" w:color="auto" w:sz="4" w:space="0"/>
            </w:tcBorders>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备份咨询服务</w:t>
            </w:r>
          </w:p>
          <w:p>
            <w:pPr>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99" w:type="pct"/>
            <w:vMerge w:val="continue"/>
            <w:tcBorders>
              <w:bottom w:val="single" w:color="auto" w:sz="4" w:space="0"/>
            </w:tcBorders>
            <w:vAlign w:val="center"/>
          </w:tcPr>
          <w:p>
            <w:pPr>
              <w:widowControl/>
              <w:jc w:val="left"/>
              <w:rPr>
                <w:rFonts w:ascii="仿宋" w:hAnsi="仿宋" w:eastAsia="仿宋" w:cs="仿宋"/>
                <w:kern w:val="0"/>
                <w:sz w:val="24"/>
                <w:szCs w:val="24"/>
              </w:rPr>
            </w:pPr>
          </w:p>
        </w:tc>
        <w:tc>
          <w:tcPr>
            <w:tcW w:w="1890" w:type="pct"/>
            <w:vMerge w:val="continue"/>
            <w:tcBorders>
              <w:bottom w:val="single" w:color="auto" w:sz="4" w:space="0"/>
            </w:tcBorders>
            <w:vAlign w:val="center"/>
          </w:tcPr>
          <w:p>
            <w:pPr>
              <w:jc w:val="left"/>
              <w:rPr>
                <w:rFonts w:ascii="仿宋" w:hAnsi="仿宋" w:eastAsia="仿宋" w:cs="仿宋"/>
                <w:kern w:val="0"/>
                <w:sz w:val="24"/>
                <w:szCs w:val="24"/>
              </w:rPr>
            </w:pPr>
          </w:p>
        </w:tc>
      </w:tr>
    </w:tbl>
    <w:p>
      <w:pPr>
        <w:spacing w:line="360" w:lineRule="auto"/>
        <w:rPr>
          <w:rFonts w:ascii="仿宋" w:hAnsi="仿宋" w:eastAsia="仿宋" w:cs="仿宋"/>
          <w:b/>
          <w:sz w:val="24"/>
          <w:szCs w:val="24"/>
        </w:rPr>
      </w:pPr>
      <w:r>
        <w:rPr>
          <w:rFonts w:hint="eastAsia" w:ascii="仿宋" w:hAnsi="仿宋" w:eastAsia="仿宋" w:cs="仿宋"/>
          <w:b/>
          <w:sz w:val="24"/>
          <w:szCs w:val="24"/>
        </w:rPr>
        <w:t>（二）软件支撑服务</w:t>
      </w:r>
    </w:p>
    <w:p>
      <w:pPr>
        <w:spacing w:line="360" w:lineRule="auto"/>
        <w:rPr>
          <w:rFonts w:ascii="仿宋" w:hAnsi="仿宋" w:eastAsia="仿宋" w:cs="仿宋"/>
          <w:b/>
          <w:sz w:val="24"/>
          <w:szCs w:val="24"/>
        </w:rPr>
      </w:pPr>
      <w:r>
        <w:rPr>
          <w:rFonts w:hint="eastAsia" w:ascii="仿宋" w:hAnsi="仿宋" w:eastAsia="仿宋" w:cs="仿宋"/>
          <w:b/>
          <w:sz w:val="24"/>
          <w:szCs w:val="24"/>
        </w:rPr>
        <w:t>1.软件支撑服务</w:t>
      </w:r>
    </w:p>
    <w:tbl>
      <w:tblPr>
        <w:tblStyle w:val="38"/>
        <w:tblW w:w="4998"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741"/>
        <w:gridCol w:w="4298"/>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trPr>
        <w:tc>
          <w:tcPr>
            <w:tcW w:w="938" w:type="pct"/>
            <w:shd w:val="clear" w:color="auto" w:fill="FFFFFF"/>
            <w:vAlign w:val="center"/>
          </w:tcPr>
          <w:p>
            <w:pPr>
              <w:spacing w:line="280" w:lineRule="exact"/>
              <w:rPr>
                <w:rFonts w:ascii="仿宋" w:hAnsi="仿宋" w:eastAsia="仿宋" w:cs="仿宋"/>
                <w:b/>
                <w:bCs/>
                <w:sz w:val="24"/>
                <w:szCs w:val="24"/>
              </w:rPr>
            </w:pPr>
            <w:r>
              <w:rPr>
                <w:rFonts w:hint="eastAsia" w:ascii="仿宋" w:hAnsi="仿宋" w:eastAsia="仿宋" w:cs="仿宋"/>
                <w:b/>
                <w:bCs/>
                <w:sz w:val="24"/>
                <w:szCs w:val="24"/>
              </w:rPr>
              <w:t>功能配置</w:t>
            </w:r>
          </w:p>
        </w:tc>
        <w:tc>
          <w:tcPr>
            <w:tcW w:w="2315" w:type="pct"/>
            <w:shd w:val="clear" w:color="auto" w:fill="FFFFFF"/>
            <w:vAlign w:val="center"/>
          </w:tcPr>
          <w:p>
            <w:pPr>
              <w:spacing w:line="280" w:lineRule="exact"/>
              <w:rPr>
                <w:rFonts w:ascii="仿宋" w:hAnsi="仿宋" w:eastAsia="仿宋" w:cs="仿宋"/>
                <w:b/>
                <w:bCs/>
                <w:sz w:val="24"/>
                <w:szCs w:val="24"/>
              </w:rPr>
            </w:pPr>
            <w:r>
              <w:rPr>
                <w:rFonts w:hint="eastAsia" w:ascii="仿宋" w:hAnsi="仿宋" w:eastAsia="仿宋" w:cs="仿宋"/>
                <w:b/>
                <w:bCs/>
                <w:sz w:val="24"/>
                <w:szCs w:val="24"/>
              </w:rPr>
              <w:t>性能指标</w:t>
            </w:r>
          </w:p>
        </w:tc>
        <w:tc>
          <w:tcPr>
            <w:tcW w:w="1747" w:type="pct"/>
            <w:shd w:val="clear" w:color="auto" w:fill="FFFFFF"/>
            <w:vAlign w:val="center"/>
          </w:tcPr>
          <w:p>
            <w:pPr>
              <w:spacing w:line="280" w:lineRule="exact"/>
              <w:rPr>
                <w:rFonts w:ascii="仿宋" w:hAnsi="仿宋" w:eastAsia="仿宋" w:cs="仿宋"/>
                <w:b/>
                <w:bCs/>
                <w:sz w:val="24"/>
                <w:szCs w:val="24"/>
              </w:rPr>
            </w:pPr>
            <w:r>
              <w:rPr>
                <w:rFonts w:hint="eastAsia" w:ascii="仿宋" w:hAnsi="仿宋" w:eastAsia="仿宋" w:cs="仿宋"/>
                <w:b/>
                <w:bCs/>
                <w:sz w:val="24"/>
                <w:szCs w:val="24"/>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5" w:hRule="atLeast"/>
        </w:trPr>
        <w:tc>
          <w:tcPr>
            <w:tcW w:w="938" w:type="pct"/>
            <w:vMerge w:val="restar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国产Linux操作系统服务</w:t>
            </w:r>
          </w:p>
        </w:tc>
        <w:tc>
          <w:tcPr>
            <w:tcW w:w="2315" w:type="pct"/>
            <w:vMerge w:val="restart"/>
            <w:shd w:val="clear" w:color="auto" w:fill="FFFFFF"/>
            <w:vAlign w:val="center"/>
          </w:tcPr>
          <w:p>
            <w:pPr>
              <w:widowControl/>
              <w:spacing w:line="280" w:lineRule="exact"/>
              <w:jc w:val="left"/>
              <w:rPr>
                <w:rFonts w:ascii="仿宋" w:hAnsi="仿宋" w:eastAsia="仿宋" w:cs="仿宋"/>
                <w:sz w:val="24"/>
                <w:szCs w:val="24"/>
              </w:rPr>
            </w:pPr>
            <w:r>
              <w:rPr>
                <w:rFonts w:hint="eastAsia" w:ascii="仿宋" w:hAnsi="仿宋" w:eastAsia="仿宋" w:cs="仿宋"/>
                <w:sz w:val="24"/>
                <w:szCs w:val="24"/>
              </w:rPr>
              <w:t>Linux系统（如Redhat、CentOS等），中标麒麟和红旗等操作系统</w:t>
            </w:r>
          </w:p>
        </w:tc>
        <w:tc>
          <w:tcPr>
            <w:tcW w:w="1747" w:type="pct"/>
            <w:shd w:val="clear" w:color="auto" w:fill="FFFFFF"/>
            <w:vAlign w:val="center"/>
          </w:tcPr>
          <w:p>
            <w:pPr>
              <w:widowControl/>
              <w:spacing w:line="280" w:lineRule="exact"/>
              <w:jc w:val="left"/>
              <w:rPr>
                <w:rFonts w:ascii="仿宋" w:hAnsi="仿宋" w:eastAsia="仿宋" w:cs="仿宋"/>
                <w:sz w:val="24"/>
                <w:szCs w:val="24"/>
              </w:rPr>
            </w:pPr>
            <w:r>
              <w:rPr>
                <w:rFonts w:hint="eastAsia" w:ascii="仿宋" w:hAnsi="仿宋" w:eastAsia="仿宋" w:cs="仿宋"/>
                <w:sz w:val="24"/>
                <w:szCs w:val="24"/>
              </w:rPr>
              <w:t>服务器端操作系统不可用时间平均小于52分钟/年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3" w:hRule="atLeast"/>
        </w:trPr>
        <w:tc>
          <w:tcPr>
            <w:tcW w:w="938" w:type="pct"/>
            <w:vMerge w:val="continue"/>
            <w:shd w:val="clear" w:color="auto" w:fill="FFFFFF"/>
            <w:vAlign w:val="center"/>
          </w:tcPr>
          <w:p>
            <w:pPr>
              <w:spacing w:line="280" w:lineRule="exact"/>
              <w:jc w:val="left"/>
              <w:rPr>
                <w:rFonts w:ascii="仿宋" w:hAnsi="仿宋" w:eastAsia="仿宋" w:cs="仿宋"/>
                <w:sz w:val="24"/>
                <w:szCs w:val="24"/>
              </w:rPr>
            </w:pPr>
          </w:p>
        </w:tc>
        <w:tc>
          <w:tcPr>
            <w:tcW w:w="2315" w:type="pct"/>
            <w:vMerge w:val="continue"/>
            <w:shd w:val="clear" w:color="auto" w:fill="FFFFFF"/>
            <w:vAlign w:val="center"/>
          </w:tcPr>
          <w:p>
            <w:pPr>
              <w:spacing w:line="280" w:lineRule="exact"/>
              <w:jc w:val="left"/>
              <w:rPr>
                <w:rFonts w:ascii="仿宋" w:hAnsi="仿宋" w:eastAsia="仿宋" w:cs="仿宋"/>
                <w:sz w:val="24"/>
                <w:szCs w:val="24"/>
              </w:rPr>
            </w:pPr>
          </w:p>
        </w:tc>
        <w:tc>
          <w:tcPr>
            <w:tcW w:w="1747"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数据库系统不可用时间平均小于52分钟/年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2" w:hRule="atLeast"/>
        </w:trPr>
        <w:tc>
          <w:tcPr>
            <w:tcW w:w="938"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云平台</w:t>
            </w:r>
          </w:p>
          <w:p>
            <w:pPr>
              <w:spacing w:line="280" w:lineRule="exact"/>
              <w:jc w:val="left"/>
              <w:rPr>
                <w:rFonts w:ascii="仿宋" w:hAnsi="仿宋" w:eastAsia="仿宋" w:cs="仿宋"/>
                <w:sz w:val="24"/>
                <w:szCs w:val="24"/>
              </w:rPr>
            </w:pPr>
          </w:p>
        </w:tc>
        <w:tc>
          <w:tcPr>
            <w:tcW w:w="2315" w:type="pct"/>
            <w:vMerge w:val="restar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裸服务器管理，提供操作系统部署及监控等功能。</w:t>
            </w:r>
          </w:p>
          <w:p>
            <w:pPr>
              <w:spacing w:line="280" w:lineRule="exact"/>
              <w:jc w:val="left"/>
              <w:rPr>
                <w:rFonts w:ascii="仿宋" w:hAnsi="仿宋" w:eastAsia="仿宋" w:cs="仿宋"/>
                <w:sz w:val="24"/>
                <w:szCs w:val="24"/>
              </w:rPr>
            </w:pPr>
            <w:r>
              <w:rPr>
                <w:rFonts w:hint="eastAsia" w:ascii="仿宋" w:hAnsi="仿宋" w:eastAsia="仿宋" w:cs="仿宋"/>
                <w:sz w:val="24"/>
                <w:szCs w:val="24"/>
              </w:rPr>
              <w:t>"提供多个云平台资源的统一管理，支持OpenStack、VMware服务器、公有云等资源管理。</w:t>
            </w:r>
          </w:p>
          <w:p>
            <w:pPr>
              <w:spacing w:line="280" w:lineRule="exact"/>
              <w:jc w:val="left"/>
              <w:rPr>
                <w:rFonts w:ascii="仿宋" w:hAnsi="仿宋" w:eastAsia="仿宋" w:cs="仿宋"/>
                <w:sz w:val="24"/>
                <w:szCs w:val="24"/>
              </w:rPr>
            </w:pPr>
            <w:r>
              <w:rPr>
                <w:rFonts w:hint="eastAsia" w:ascii="仿宋" w:hAnsi="仿宋" w:eastAsia="仿宋" w:cs="仿宋"/>
                <w:sz w:val="24"/>
                <w:szCs w:val="24"/>
              </w:rPr>
              <w:t>按所管理的云平台内计算节点和服务器的物理CPU授权。"提供云平台及三方平台的统一认证平台，提供统一的登录门户服务。</w:t>
            </w:r>
          </w:p>
          <w:p>
            <w:pPr>
              <w:spacing w:line="280" w:lineRule="exact"/>
              <w:jc w:val="left"/>
              <w:rPr>
                <w:rFonts w:ascii="仿宋" w:hAnsi="仿宋" w:eastAsia="仿宋" w:cs="仿宋"/>
                <w:sz w:val="24"/>
                <w:szCs w:val="24"/>
              </w:rPr>
            </w:pPr>
            <w:r>
              <w:rPr>
                <w:rFonts w:hint="eastAsia" w:ascii="仿宋" w:hAnsi="仿宋" w:eastAsia="仿宋" w:cs="仿宋"/>
                <w:sz w:val="24"/>
                <w:szCs w:val="24"/>
              </w:rPr>
              <w:t>支持VDC管理、租户管理、流程管理、VPC、计量计费运营服务功能。提供统一的资源编排和服务发布功能，基于云资源平台为客户提供云服务。</w:t>
            </w:r>
          </w:p>
        </w:tc>
        <w:tc>
          <w:tcPr>
            <w:tcW w:w="1747"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应用软件不可用时间为平均小于52分钟/年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30" w:hRule="atLeast"/>
        </w:trPr>
        <w:tc>
          <w:tcPr>
            <w:tcW w:w="938"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裸机管理平台</w:t>
            </w:r>
          </w:p>
          <w:p>
            <w:pPr>
              <w:spacing w:line="280" w:lineRule="exact"/>
              <w:jc w:val="left"/>
              <w:rPr>
                <w:rFonts w:ascii="仿宋" w:hAnsi="仿宋" w:eastAsia="仿宋" w:cs="仿宋"/>
                <w:sz w:val="24"/>
                <w:szCs w:val="24"/>
              </w:rPr>
            </w:pPr>
          </w:p>
        </w:tc>
        <w:tc>
          <w:tcPr>
            <w:tcW w:w="2315" w:type="pct"/>
            <w:vMerge w:val="continue"/>
            <w:shd w:val="clear" w:color="auto" w:fill="FFFFFF"/>
            <w:vAlign w:val="center"/>
          </w:tcPr>
          <w:p>
            <w:pPr>
              <w:spacing w:line="280" w:lineRule="exact"/>
              <w:jc w:val="left"/>
              <w:rPr>
                <w:rFonts w:ascii="仿宋" w:hAnsi="仿宋" w:eastAsia="仿宋" w:cs="仿宋"/>
                <w:sz w:val="24"/>
                <w:szCs w:val="24"/>
              </w:rPr>
            </w:pPr>
          </w:p>
        </w:tc>
        <w:tc>
          <w:tcPr>
            <w:tcW w:w="1747"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 xml:space="preserve"> 中间件不可用时间为平均小于52分钟/年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938"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多云资源管理平台</w:t>
            </w:r>
          </w:p>
          <w:p>
            <w:pPr>
              <w:spacing w:line="280" w:lineRule="exact"/>
              <w:jc w:val="left"/>
              <w:rPr>
                <w:rFonts w:ascii="仿宋" w:hAnsi="仿宋" w:eastAsia="仿宋" w:cs="仿宋"/>
                <w:sz w:val="24"/>
                <w:szCs w:val="24"/>
              </w:rPr>
            </w:pPr>
          </w:p>
        </w:tc>
        <w:tc>
          <w:tcPr>
            <w:tcW w:w="2315" w:type="pct"/>
            <w:vMerge w:val="continue"/>
            <w:shd w:val="clear" w:color="auto" w:fill="FFFFFF"/>
            <w:vAlign w:val="center"/>
          </w:tcPr>
          <w:p>
            <w:pPr>
              <w:spacing w:line="280" w:lineRule="exact"/>
              <w:jc w:val="left"/>
              <w:rPr>
                <w:rFonts w:ascii="仿宋" w:hAnsi="仿宋" w:eastAsia="仿宋" w:cs="仿宋"/>
                <w:sz w:val="24"/>
                <w:szCs w:val="24"/>
              </w:rPr>
            </w:pPr>
          </w:p>
        </w:tc>
        <w:tc>
          <w:tcPr>
            <w:tcW w:w="1747"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应用软件不可用时间为平均小于52分钟/年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15" w:hRule="atLeast"/>
        </w:trPr>
        <w:tc>
          <w:tcPr>
            <w:tcW w:w="938" w:type="pct"/>
            <w:shd w:val="clear" w:color="auto" w:fill="FFFFFF"/>
            <w:vAlign w:val="center"/>
          </w:tcPr>
          <w:p>
            <w:pPr>
              <w:widowControl/>
              <w:spacing w:line="280" w:lineRule="exact"/>
              <w:jc w:val="left"/>
              <w:rPr>
                <w:rFonts w:ascii="仿宋" w:hAnsi="仿宋" w:eastAsia="仿宋" w:cs="仿宋"/>
                <w:sz w:val="24"/>
                <w:szCs w:val="24"/>
              </w:rPr>
            </w:pPr>
            <w:r>
              <w:rPr>
                <w:rFonts w:hint="eastAsia" w:ascii="仿宋" w:hAnsi="仿宋" w:eastAsia="仿宋" w:cs="仿宋"/>
                <w:sz w:val="24"/>
                <w:szCs w:val="24"/>
              </w:rPr>
              <w:t>统一认证平台</w:t>
            </w:r>
          </w:p>
          <w:p>
            <w:pPr>
              <w:widowControl/>
              <w:spacing w:line="280" w:lineRule="exact"/>
              <w:jc w:val="left"/>
              <w:rPr>
                <w:rFonts w:ascii="仿宋" w:hAnsi="仿宋" w:eastAsia="仿宋" w:cs="仿宋"/>
                <w:sz w:val="24"/>
                <w:szCs w:val="24"/>
              </w:rPr>
            </w:pPr>
          </w:p>
        </w:tc>
        <w:tc>
          <w:tcPr>
            <w:tcW w:w="2315" w:type="pct"/>
            <w:vMerge w:val="continue"/>
            <w:shd w:val="clear" w:color="auto" w:fill="FFFFFF"/>
            <w:vAlign w:val="center"/>
          </w:tcPr>
          <w:p>
            <w:pPr>
              <w:widowControl/>
              <w:spacing w:line="280" w:lineRule="exact"/>
              <w:jc w:val="left"/>
              <w:rPr>
                <w:rFonts w:ascii="仿宋" w:hAnsi="仿宋" w:eastAsia="仿宋" w:cs="仿宋"/>
                <w:sz w:val="24"/>
                <w:szCs w:val="24"/>
              </w:rPr>
            </w:pPr>
          </w:p>
        </w:tc>
        <w:tc>
          <w:tcPr>
            <w:tcW w:w="1747" w:type="pct"/>
            <w:shd w:val="clear" w:color="auto" w:fill="FFFFFF"/>
            <w:vAlign w:val="center"/>
          </w:tcPr>
          <w:p>
            <w:pPr>
              <w:widowControl/>
              <w:spacing w:line="280" w:lineRule="exact"/>
              <w:jc w:val="left"/>
              <w:rPr>
                <w:rFonts w:ascii="仿宋" w:hAnsi="仿宋" w:eastAsia="仿宋" w:cs="仿宋"/>
                <w:sz w:val="24"/>
                <w:szCs w:val="24"/>
              </w:rPr>
            </w:pPr>
            <w:r>
              <w:rPr>
                <w:rFonts w:hint="eastAsia" w:ascii="仿宋" w:hAnsi="仿宋" w:eastAsia="仿宋" w:cs="仿宋"/>
                <w:sz w:val="24"/>
                <w:szCs w:val="24"/>
              </w:rPr>
              <w:t>中间件不可用时间为平均小于52分钟/年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938"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云运营管理平台</w:t>
            </w:r>
          </w:p>
        </w:tc>
        <w:tc>
          <w:tcPr>
            <w:tcW w:w="2315" w:type="pct"/>
            <w:vMerge w:val="continue"/>
            <w:shd w:val="clear" w:color="auto" w:fill="FFFFFF"/>
            <w:vAlign w:val="center"/>
          </w:tcPr>
          <w:p>
            <w:pPr>
              <w:spacing w:line="280" w:lineRule="exact"/>
              <w:jc w:val="left"/>
              <w:rPr>
                <w:rFonts w:ascii="仿宋" w:hAnsi="仿宋" w:eastAsia="仿宋" w:cs="仿宋"/>
                <w:sz w:val="24"/>
                <w:szCs w:val="24"/>
              </w:rPr>
            </w:pPr>
          </w:p>
        </w:tc>
        <w:tc>
          <w:tcPr>
            <w:tcW w:w="1747"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应用软件不可用时间为平均小于52分钟/年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 w:hRule="atLeast"/>
        </w:trPr>
        <w:tc>
          <w:tcPr>
            <w:tcW w:w="938"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云服务管理平台</w:t>
            </w:r>
          </w:p>
        </w:tc>
        <w:tc>
          <w:tcPr>
            <w:tcW w:w="2315" w:type="pct"/>
            <w:vMerge w:val="continue"/>
            <w:shd w:val="clear" w:color="auto" w:fill="FFFFFF"/>
            <w:vAlign w:val="center"/>
          </w:tcPr>
          <w:p>
            <w:pPr>
              <w:spacing w:line="280" w:lineRule="exact"/>
              <w:jc w:val="left"/>
              <w:rPr>
                <w:rFonts w:ascii="仿宋" w:hAnsi="仿宋" w:eastAsia="仿宋" w:cs="仿宋"/>
                <w:sz w:val="24"/>
                <w:szCs w:val="24"/>
              </w:rPr>
            </w:pPr>
          </w:p>
        </w:tc>
        <w:tc>
          <w:tcPr>
            <w:tcW w:w="1747" w:type="pct"/>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中间件不可用时间为平均小于52分钟/年</w:t>
            </w:r>
          </w:p>
        </w:tc>
      </w:tr>
    </w:tbl>
    <w:p>
      <w:pPr>
        <w:widowControl/>
        <w:jc w:val="left"/>
        <w:rPr>
          <w:rFonts w:ascii="仿宋" w:hAnsi="仿宋" w:eastAsia="仿宋" w:cs="仿宋"/>
          <w:kern w:val="0"/>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2.安装服务</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3103"/>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0" w:type="auto"/>
            <w:shd w:val="clear" w:color="000000" w:fill="FFFFFF"/>
            <w:vAlign w:val="center"/>
          </w:tcPr>
          <w:p>
            <w:pPr>
              <w:spacing w:line="280" w:lineRule="exact"/>
              <w:rPr>
                <w:rFonts w:ascii="仿宋" w:hAnsi="仿宋" w:eastAsia="仿宋" w:cs="仿宋"/>
                <w:b/>
                <w:bCs/>
                <w:sz w:val="24"/>
                <w:szCs w:val="24"/>
              </w:rPr>
            </w:pPr>
            <w:r>
              <w:rPr>
                <w:rFonts w:hint="eastAsia" w:ascii="仿宋" w:hAnsi="仿宋" w:eastAsia="仿宋" w:cs="仿宋"/>
                <w:b/>
                <w:bCs/>
                <w:sz w:val="24"/>
                <w:szCs w:val="24"/>
              </w:rPr>
              <w:t>功能配置</w:t>
            </w:r>
          </w:p>
        </w:tc>
        <w:tc>
          <w:tcPr>
            <w:tcW w:w="0" w:type="auto"/>
            <w:shd w:val="clear" w:color="000000" w:fill="FFFFFF"/>
            <w:vAlign w:val="center"/>
          </w:tcPr>
          <w:p>
            <w:pPr>
              <w:spacing w:line="280" w:lineRule="exact"/>
              <w:rPr>
                <w:rFonts w:ascii="仿宋" w:hAnsi="仿宋" w:eastAsia="仿宋" w:cs="仿宋"/>
                <w:b/>
                <w:bCs/>
                <w:sz w:val="24"/>
                <w:szCs w:val="24"/>
              </w:rPr>
            </w:pPr>
            <w:r>
              <w:rPr>
                <w:rFonts w:hint="eastAsia" w:ascii="仿宋" w:hAnsi="仿宋" w:eastAsia="仿宋" w:cs="仿宋"/>
                <w:b/>
                <w:bCs/>
                <w:sz w:val="24"/>
                <w:szCs w:val="24"/>
              </w:rPr>
              <w:t>性能指标</w:t>
            </w:r>
          </w:p>
        </w:tc>
        <w:tc>
          <w:tcPr>
            <w:tcW w:w="0" w:type="auto"/>
            <w:shd w:val="clear" w:color="000000" w:fill="FFFFFF"/>
            <w:vAlign w:val="center"/>
          </w:tcPr>
          <w:p>
            <w:pPr>
              <w:spacing w:line="280" w:lineRule="exact"/>
              <w:rPr>
                <w:rFonts w:ascii="仿宋" w:hAnsi="仿宋" w:eastAsia="仿宋" w:cs="仿宋"/>
                <w:b/>
                <w:bCs/>
                <w:sz w:val="24"/>
                <w:szCs w:val="24"/>
              </w:rPr>
            </w:pPr>
            <w:r>
              <w:rPr>
                <w:rFonts w:hint="eastAsia" w:ascii="仿宋" w:hAnsi="仿宋" w:eastAsia="仿宋" w:cs="仿宋"/>
                <w:b/>
                <w:bCs/>
                <w:sz w:val="24"/>
                <w:szCs w:val="24"/>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vMerge w:val="restar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开源中间件安装(包含Apache、Tomcat、Jboss等)</w:t>
            </w:r>
          </w:p>
        </w:tc>
        <w:tc>
          <w:tcPr>
            <w:tcW w:w="0" w:type="auto"/>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在计算资源交付的同时为客户完成中间件及数据库环境的搭建，并按照实际应用要求完成环境配置的调优。</w:t>
            </w: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服务响应时间：≤10min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vAlign w:val="center"/>
          </w:tcPr>
          <w:p>
            <w:pPr>
              <w:spacing w:line="280" w:lineRule="exact"/>
              <w:jc w:val="left"/>
              <w:rPr>
                <w:rFonts w:ascii="仿宋" w:hAnsi="仿宋" w:eastAsia="仿宋" w:cs="仿宋"/>
                <w:sz w:val="24"/>
                <w:szCs w:val="24"/>
              </w:rPr>
            </w:pPr>
          </w:p>
        </w:tc>
        <w:tc>
          <w:tcPr>
            <w:tcW w:w="0" w:type="auto"/>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开源软件安装交付时间 &lt; 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0" w:type="auto"/>
            <w:vMerge w:val="continue"/>
            <w:vAlign w:val="center"/>
          </w:tcPr>
          <w:p>
            <w:pPr>
              <w:spacing w:line="280" w:lineRule="exact"/>
              <w:jc w:val="left"/>
              <w:rPr>
                <w:rFonts w:ascii="仿宋" w:hAnsi="仿宋" w:eastAsia="仿宋" w:cs="仿宋"/>
                <w:sz w:val="24"/>
                <w:szCs w:val="24"/>
              </w:rPr>
            </w:pPr>
          </w:p>
        </w:tc>
        <w:tc>
          <w:tcPr>
            <w:tcW w:w="0" w:type="auto"/>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商业软件安装交付时间 &lt; 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0" w:type="auto"/>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开源数据库安装(包含Mysql、Postgres等)</w:t>
            </w:r>
          </w:p>
        </w:tc>
        <w:tc>
          <w:tcPr>
            <w:tcW w:w="0" w:type="auto"/>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单数据库实例内存可达24G，并发连接数可达2000。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0" w:type="auto"/>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商业中间件安装</w:t>
            </w:r>
          </w:p>
        </w:tc>
        <w:tc>
          <w:tcPr>
            <w:tcW w:w="0" w:type="auto"/>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自动多重备份数据库，支持按日、周、月进行自动备份，支持从备份文件创建临时实例，支持从备份文件恢复到实例，可下载备份文件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0" w:type="auto"/>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商业数据库安装</w:t>
            </w:r>
          </w:p>
        </w:tc>
        <w:tc>
          <w:tcPr>
            <w:tcW w:w="0" w:type="auto"/>
            <w:vMerge w:val="continue"/>
            <w:vAlign w:val="center"/>
          </w:tcPr>
          <w:p>
            <w:pPr>
              <w:spacing w:line="280" w:lineRule="exact"/>
              <w:jc w:val="left"/>
              <w:rPr>
                <w:rFonts w:ascii="仿宋" w:hAnsi="仿宋" w:eastAsia="仿宋" w:cs="仿宋"/>
                <w:sz w:val="24"/>
                <w:szCs w:val="24"/>
              </w:rPr>
            </w:pPr>
          </w:p>
        </w:tc>
        <w:tc>
          <w:tcPr>
            <w:tcW w:w="0" w:type="auto"/>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随着用户数和访问量的变化，可以弹性的调整数据库的规格，包含内存、连接数、IOPS、存储容量等，调整时服务不间断。</w:t>
            </w:r>
          </w:p>
        </w:tc>
      </w:tr>
    </w:tbl>
    <w:p>
      <w:pPr>
        <w:widowControl/>
        <w:jc w:val="left"/>
        <w:rPr>
          <w:rFonts w:ascii="仿宋" w:hAnsi="仿宋" w:eastAsia="仿宋" w:cs="仿宋"/>
          <w:kern w:val="0"/>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3.维护服务</w:t>
      </w:r>
    </w:p>
    <w:tbl>
      <w:tblPr>
        <w:tblStyle w:val="38"/>
        <w:tblW w:w="4998"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465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blHeader/>
        </w:trPr>
        <w:tc>
          <w:tcPr>
            <w:tcW w:w="1444" w:type="pct"/>
            <w:shd w:val="clear" w:color="auto" w:fill="FFFFFF"/>
            <w:vAlign w:val="center"/>
          </w:tcPr>
          <w:p>
            <w:pPr>
              <w:spacing w:line="280" w:lineRule="exact"/>
              <w:rPr>
                <w:rFonts w:ascii="仿宋" w:hAnsi="仿宋" w:eastAsia="仿宋" w:cs="仿宋"/>
                <w:b/>
                <w:bCs/>
                <w:sz w:val="24"/>
                <w:szCs w:val="24"/>
              </w:rPr>
            </w:pPr>
            <w:r>
              <w:rPr>
                <w:rFonts w:hint="eastAsia" w:ascii="仿宋" w:hAnsi="仿宋" w:eastAsia="仿宋" w:cs="仿宋"/>
                <w:b/>
                <w:bCs/>
                <w:sz w:val="24"/>
                <w:szCs w:val="24"/>
              </w:rPr>
              <w:t>功能配置</w:t>
            </w:r>
          </w:p>
        </w:tc>
        <w:tc>
          <w:tcPr>
            <w:tcW w:w="2504" w:type="pct"/>
            <w:shd w:val="clear" w:color="auto" w:fill="FFFFFF"/>
            <w:vAlign w:val="center"/>
          </w:tcPr>
          <w:p>
            <w:pPr>
              <w:spacing w:line="280" w:lineRule="exact"/>
              <w:rPr>
                <w:rFonts w:ascii="仿宋" w:hAnsi="仿宋" w:eastAsia="仿宋" w:cs="仿宋"/>
                <w:b/>
                <w:bCs/>
                <w:sz w:val="24"/>
                <w:szCs w:val="24"/>
              </w:rPr>
            </w:pPr>
            <w:r>
              <w:rPr>
                <w:rFonts w:hint="eastAsia" w:ascii="仿宋" w:hAnsi="仿宋" w:eastAsia="仿宋" w:cs="仿宋"/>
                <w:b/>
                <w:bCs/>
                <w:sz w:val="24"/>
                <w:szCs w:val="24"/>
              </w:rPr>
              <w:t>性能指标</w:t>
            </w:r>
          </w:p>
        </w:tc>
        <w:tc>
          <w:tcPr>
            <w:tcW w:w="1050" w:type="pct"/>
            <w:shd w:val="clear" w:color="auto" w:fill="FFFFFF"/>
            <w:vAlign w:val="center"/>
          </w:tcPr>
          <w:p>
            <w:pPr>
              <w:spacing w:line="280" w:lineRule="exact"/>
              <w:rPr>
                <w:rFonts w:ascii="仿宋" w:hAnsi="仿宋" w:eastAsia="仿宋" w:cs="仿宋"/>
                <w:b/>
                <w:bCs/>
                <w:sz w:val="24"/>
                <w:szCs w:val="24"/>
              </w:rPr>
            </w:pPr>
            <w:r>
              <w:rPr>
                <w:rFonts w:hint="eastAsia" w:ascii="仿宋" w:hAnsi="仿宋" w:eastAsia="仿宋" w:cs="仿宋"/>
                <w:b/>
                <w:bCs/>
                <w:sz w:val="24"/>
                <w:szCs w:val="24"/>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44"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开源中间件维护（包含Apache、Tomcat、Jboss等）</w:t>
            </w:r>
          </w:p>
        </w:tc>
        <w:tc>
          <w:tcPr>
            <w:tcW w:w="2504" w:type="pct"/>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为了更好的支撑和满足各类用户的不同运维要求，结合自身专家运维团队能力，提供数据库与中间件的应用软件维护服务。提供应用软件维护服务的数据库和中间件的类型覆盖主流产品类型，提供包括日常巡检等例行监控维护，以及突发问题的及时处理，定期输出运维报告。</w:t>
            </w:r>
          </w:p>
        </w:tc>
        <w:tc>
          <w:tcPr>
            <w:tcW w:w="1050" w:type="pct"/>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服务响应时间：≤10min</w:t>
            </w:r>
          </w:p>
          <w:p>
            <w:pPr>
              <w:spacing w:line="280" w:lineRule="exact"/>
              <w:jc w:val="left"/>
              <w:rPr>
                <w:rFonts w:ascii="仿宋" w:hAnsi="仿宋" w:eastAsia="仿宋" w:cs="仿宋"/>
                <w:sz w:val="24"/>
                <w:szCs w:val="24"/>
              </w:rPr>
            </w:pPr>
            <w:r>
              <w:rPr>
                <w:rFonts w:hint="eastAsia" w:ascii="仿宋" w:hAnsi="仿宋" w:eastAsia="仿宋" w:cs="仿宋"/>
                <w:sz w:val="24"/>
                <w:szCs w:val="24"/>
              </w:rPr>
              <w:t>维护报告交付及时率 &gt; 99%</w:t>
            </w:r>
          </w:p>
          <w:p>
            <w:pPr>
              <w:spacing w:line="280" w:lineRule="exact"/>
              <w:jc w:val="left"/>
              <w:rPr>
                <w:rFonts w:ascii="仿宋" w:hAnsi="仿宋" w:eastAsia="仿宋" w:cs="仿宋"/>
                <w:sz w:val="24"/>
                <w:szCs w:val="24"/>
              </w:rPr>
            </w:pPr>
            <w:r>
              <w:rPr>
                <w:rFonts w:hint="eastAsia" w:ascii="仿宋" w:hAnsi="仿宋" w:eastAsia="仿宋" w:cs="仿宋"/>
                <w:sz w:val="24"/>
                <w:szCs w:val="24"/>
              </w:rPr>
              <w:t>故障定位时间：≤1h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4"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开源数据库维护（包含Mysql、Postgres等）</w:t>
            </w:r>
          </w:p>
        </w:tc>
        <w:tc>
          <w:tcPr>
            <w:tcW w:w="2504" w:type="pct"/>
            <w:vMerge w:val="continue"/>
            <w:vAlign w:val="center"/>
          </w:tcPr>
          <w:p>
            <w:pPr>
              <w:widowControl/>
              <w:jc w:val="left"/>
              <w:rPr>
                <w:rFonts w:ascii="仿宋" w:hAnsi="仿宋" w:eastAsia="仿宋" w:cs="仿宋"/>
                <w:kern w:val="0"/>
                <w:sz w:val="24"/>
                <w:szCs w:val="24"/>
              </w:rPr>
            </w:pPr>
          </w:p>
        </w:tc>
        <w:tc>
          <w:tcPr>
            <w:tcW w:w="1050" w:type="pct"/>
            <w:vMerge w:val="continue"/>
          </w:tcPr>
          <w:p>
            <w:pPr>
              <w:widowControl/>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44"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商业中间件维护</w:t>
            </w:r>
          </w:p>
        </w:tc>
        <w:tc>
          <w:tcPr>
            <w:tcW w:w="2504" w:type="pct"/>
            <w:vMerge w:val="continue"/>
            <w:vAlign w:val="center"/>
          </w:tcPr>
          <w:p>
            <w:pPr>
              <w:widowControl/>
              <w:jc w:val="left"/>
              <w:rPr>
                <w:rFonts w:ascii="仿宋" w:hAnsi="仿宋" w:eastAsia="仿宋" w:cs="仿宋"/>
                <w:kern w:val="0"/>
                <w:sz w:val="24"/>
                <w:szCs w:val="24"/>
              </w:rPr>
            </w:pPr>
          </w:p>
        </w:tc>
        <w:tc>
          <w:tcPr>
            <w:tcW w:w="1050" w:type="pct"/>
            <w:vMerge w:val="continue"/>
          </w:tcPr>
          <w:p>
            <w:pPr>
              <w:widowControl/>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4"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商业数据库维护</w:t>
            </w:r>
          </w:p>
        </w:tc>
        <w:tc>
          <w:tcPr>
            <w:tcW w:w="2504" w:type="pct"/>
            <w:vMerge w:val="continue"/>
            <w:vAlign w:val="center"/>
          </w:tcPr>
          <w:p>
            <w:pPr>
              <w:widowControl/>
              <w:jc w:val="left"/>
              <w:rPr>
                <w:rFonts w:ascii="仿宋" w:hAnsi="仿宋" w:eastAsia="仿宋" w:cs="仿宋"/>
                <w:kern w:val="0"/>
                <w:sz w:val="24"/>
                <w:szCs w:val="24"/>
              </w:rPr>
            </w:pPr>
          </w:p>
        </w:tc>
        <w:tc>
          <w:tcPr>
            <w:tcW w:w="1050" w:type="pct"/>
            <w:vMerge w:val="continue"/>
          </w:tcPr>
          <w:p>
            <w:pPr>
              <w:widowControl/>
              <w:jc w:val="left"/>
              <w:rPr>
                <w:rFonts w:ascii="仿宋" w:hAnsi="仿宋" w:eastAsia="仿宋" w:cs="仿宋"/>
                <w:kern w:val="0"/>
                <w:sz w:val="24"/>
                <w:szCs w:val="24"/>
              </w:rPr>
            </w:pPr>
          </w:p>
        </w:tc>
      </w:tr>
    </w:tbl>
    <w:p>
      <w:pPr>
        <w:widowControl/>
        <w:jc w:val="left"/>
        <w:rPr>
          <w:rFonts w:ascii="仿宋" w:hAnsi="仿宋" w:eastAsia="仿宋" w:cs="仿宋"/>
          <w:kern w:val="0"/>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（三）信息安全服务</w:t>
      </w:r>
    </w:p>
    <w:p>
      <w:pPr>
        <w:ind w:left="360" w:firstLine="480"/>
        <w:rPr>
          <w:rFonts w:ascii="仿宋" w:hAnsi="仿宋" w:eastAsia="仿宋" w:cs="仿宋"/>
          <w:sz w:val="24"/>
          <w:szCs w:val="24"/>
        </w:rPr>
      </w:pPr>
      <w:r>
        <w:rPr>
          <w:rFonts w:hint="eastAsia" w:ascii="仿宋" w:hAnsi="仿宋" w:eastAsia="仿宋" w:cs="仿宋"/>
          <w:sz w:val="24"/>
          <w:szCs w:val="24"/>
        </w:rPr>
        <w:t>所有服务子类均按以下标准提供服务：网络及安全设备的安全率国产自主可控软件比例不低于60%；安全事件响应时间小于30分钟；安全事件上报及时率大于99%；安全报告及时提供率大于90%；对已知中高风险CNVD漏洞的扫描检出率达90%以上；在有效的防篡改策略下，篡改防护率可达99%；网站安全监测准确率≥99%；安全事件解决率&gt;98%。</w:t>
      </w:r>
    </w:p>
    <w:p>
      <w:pPr>
        <w:spacing w:line="360" w:lineRule="auto"/>
        <w:rPr>
          <w:rFonts w:ascii="仿宋" w:hAnsi="仿宋" w:eastAsia="仿宋" w:cs="仿宋"/>
          <w:b/>
          <w:sz w:val="24"/>
          <w:szCs w:val="24"/>
        </w:rPr>
      </w:pPr>
      <w:r>
        <w:rPr>
          <w:rFonts w:hint="eastAsia" w:ascii="仿宋" w:hAnsi="仿宋" w:eastAsia="仿宋" w:cs="仿宋"/>
          <w:b/>
          <w:sz w:val="24"/>
          <w:szCs w:val="24"/>
        </w:rPr>
        <w:t>1.网络安全防护服务</w:t>
      </w:r>
    </w:p>
    <w:tbl>
      <w:tblPr>
        <w:tblStyle w:val="38"/>
        <w:tblW w:w="87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612"/>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1612" w:type="dxa"/>
            <w:shd w:val="clear" w:color="auto" w:fill="FFFFFF"/>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功能配置</w:t>
            </w:r>
          </w:p>
        </w:tc>
        <w:tc>
          <w:tcPr>
            <w:tcW w:w="7165" w:type="dxa"/>
            <w:shd w:val="clear" w:color="auto" w:fill="FFFFFF"/>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68" w:hRule="atLeast"/>
        </w:trPr>
        <w:tc>
          <w:tcPr>
            <w:tcW w:w="1612"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入侵检测服务</w:t>
            </w:r>
          </w:p>
        </w:tc>
        <w:tc>
          <w:tcPr>
            <w:tcW w:w="7165"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提供敏感数据外发检测、客户端攻击检测、服务器非法外联检测、僵尸网络检测等多项功能。为用户提供深度攻击防御和内网安全保护的价值体现。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1612"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入侵防御服务</w:t>
            </w:r>
          </w:p>
        </w:tc>
        <w:tc>
          <w:tcPr>
            <w:tcW w:w="7165"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提供高级威胁防御、流式扫描病毒技术、敏感数据保护、客户端防护、僵尸网络防护等功能。</w:t>
            </w:r>
          </w:p>
        </w:tc>
      </w:tr>
    </w:tbl>
    <w:p>
      <w:pPr>
        <w:spacing w:line="360" w:lineRule="auto"/>
        <w:rPr>
          <w:rFonts w:ascii="仿宋" w:hAnsi="仿宋" w:eastAsia="仿宋" w:cs="仿宋"/>
          <w:b/>
          <w:sz w:val="24"/>
          <w:szCs w:val="24"/>
        </w:rPr>
      </w:pPr>
      <w:r>
        <w:rPr>
          <w:rFonts w:hint="eastAsia" w:ascii="仿宋" w:hAnsi="仿宋" w:eastAsia="仿宋" w:cs="仿宋"/>
          <w:b/>
          <w:sz w:val="24"/>
          <w:szCs w:val="24"/>
        </w:rPr>
        <w:t>2.安全管理服务</w:t>
      </w:r>
    </w:p>
    <w:tbl>
      <w:tblPr>
        <w:tblStyle w:val="38"/>
        <w:tblW w:w="87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11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8" w:hRule="atLeast"/>
          <w:tblHeader/>
        </w:trPr>
        <w:tc>
          <w:tcPr>
            <w:tcW w:w="2115" w:type="dxa"/>
            <w:shd w:val="clear" w:color="auto" w:fill="FFFFFF"/>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功能配置</w:t>
            </w:r>
          </w:p>
        </w:tc>
        <w:tc>
          <w:tcPr>
            <w:tcW w:w="6662" w:type="dxa"/>
            <w:shd w:val="clear" w:color="auto" w:fill="FFFFFF"/>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2115"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行为安全审计服务</w:t>
            </w:r>
          </w:p>
        </w:tc>
        <w:tc>
          <w:tcPr>
            <w:tcW w:w="6662"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提供针对系统的多种运维行为查询和异常操作分析的安全审计服务。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2115"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安全隐患分析服务</w:t>
            </w:r>
          </w:p>
        </w:tc>
        <w:tc>
          <w:tcPr>
            <w:tcW w:w="6662"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根据需求提供应用层面存在的各类安全隐患问题进行扫描、筛查及分析服务，并输出优化建议报告。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2115"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数据库审计服务</w:t>
            </w:r>
          </w:p>
        </w:tc>
        <w:tc>
          <w:tcPr>
            <w:tcW w:w="6662"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提供针对用户对数据库的访问行为进行记录、分析和汇报服务。用于用户事后生成合规报告，事故追根溯源。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15"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安全漏洞扫描服务</w:t>
            </w:r>
          </w:p>
        </w:tc>
        <w:tc>
          <w:tcPr>
            <w:tcW w:w="6662" w:type="dxa"/>
            <w:shd w:val="clear" w:color="auto"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利用自动化工具，协助厅局不定期对主机、中间件、数据库及应用进行漏洞扫描检查，并通知开发方进行整改，提供复扫报告。</w:t>
            </w:r>
          </w:p>
        </w:tc>
      </w:tr>
    </w:tbl>
    <w:p>
      <w:pPr>
        <w:spacing w:line="360" w:lineRule="auto"/>
        <w:rPr>
          <w:rFonts w:ascii="仿宋" w:hAnsi="仿宋" w:eastAsia="仿宋" w:cs="仿宋"/>
          <w:b/>
          <w:sz w:val="24"/>
          <w:szCs w:val="24"/>
        </w:rPr>
      </w:pPr>
      <w:r>
        <w:rPr>
          <w:rFonts w:hint="eastAsia" w:ascii="仿宋" w:hAnsi="仿宋" w:eastAsia="仿宋" w:cs="仿宋"/>
          <w:b/>
          <w:sz w:val="24"/>
          <w:szCs w:val="24"/>
        </w:rPr>
        <w:t>3.应用监测服务</w:t>
      </w:r>
    </w:p>
    <w:tbl>
      <w:tblPr>
        <w:tblStyle w:val="38"/>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2820" w:type="pct"/>
            <w:shd w:val="clear" w:color="auto" w:fill="FFFFFF"/>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功能配置</w:t>
            </w:r>
          </w:p>
        </w:tc>
        <w:tc>
          <w:tcPr>
            <w:tcW w:w="2179" w:type="pct"/>
            <w:shd w:val="clear" w:color="auto" w:fill="FFFFFF"/>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20"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网站页面可用性监控(按照固定频率监控用户5个指定页面的可用性，支持短信及邮件告警)</w:t>
            </w:r>
          </w:p>
        </w:tc>
        <w:tc>
          <w:tcPr>
            <w:tcW w:w="2179" w:type="pct"/>
            <w:vMerge w:val="restar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提供成熟的基于WEB界面的分布式系统监控以及网络监控功能的企业化解决方案，能够支持常见应用类型的自动监控，提供状态分布式监视、数据收集、展示及告警推送等服务。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20"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网站页面访问性能监控(按照固定频率监控用户5个指定页面的访问性能，支持短信及邮件告警)</w:t>
            </w:r>
          </w:p>
        </w:tc>
        <w:tc>
          <w:tcPr>
            <w:tcW w:w="2179" w:type="pct"/>
            <w:vMerge w:val="continue"/>
            <w:vAlign w:val="center"/>
          </w:tcPr>
          <w:p>
            <w:pPr>
              <w:spacing w:line="28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820"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网站错误连接扫描（每月一次对用户全站进行错误链接扫描。包括不可访问链接、无效链接、暗链等，提供月报）</w:t>
            </w:r>
          </w:p>
        </w:tc>
        <w:tc>
          <w:tcPr>
            <w:tcW w:w="2179" w:type="pct"/>
            <w:vMerge w:val="continue"/>
            <w:vAlign w:val="center"/>
          </w:tcPr>
          <w:p>
            <w:pPr>
              <w:spacing w:line="280" w:lineRule="exact"/>
              <w:jc w:val="left"/>
              <w:rPr>
                <w:rFonts w:ascii="仿宋" w:hAnsi="仿宋" w:eastAsia="仿宋" w:cs="仿宋"/>
                <w:sz w:val="24"/>
                <w:szCs w:val="24"/>
              </w:rPr>
            </w:pPr>
          </w:p>
        </w:tc>
      </w:tr>
    </w:tbl>
    <w:p>
      <w:pPr>
        <w:spacing w:line="360" w:lineRule="auto"/>
        <w:rPr>
          <w:rFonts w:ascii="仿宋" w:hAnsi="仿宋" w:eastAsia="仿宋" w:cs="仿宋"/>
          <w:b/>
          <w:sz w:val="24"/>
          <w:szCs w:val="24"/>
        </w:rPr>
      </w:pPr>
      <w:r>
        <w:rPr>
          <w:rFonts w:hint="eastAsia" w:ascii="仿宋" w:hAnsi="仿宋" w:eastAsia="仿宋" w:cs="仿宋"/>
          <w:b/>
          <w:sz w:val="24"/>
          <w:szCs w:val="24"/>
        </w:rPr>
        <w:t>4.应用安全防护服务</w:t>
      </w:r>
    </w:p>
    <w:tbl>
      <w:tblPr>
        <w:tblStyle w:val="38"/>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trPr>
        <w:tc>
          <w:tcPr>
            <w:tcW w:w="1769" w:type="pct"/>
            <w:shd w:val="clear" w:color="auto" w:fill="FFFFFF"/>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功能配置</w:t>
            </w:r>
          </w:p>
        </w:tc>
        <w:tc>
          <w:tcPr>
            <w:tcW w:w="3231" w:type="pct"/>
            <w:shd w:val="clear" w:color="auto" w:fill="FFFFFF"/>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69"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在线防护WAF</w:t>
            </w:r>
          </w:p>
        </w:tc>
        <w:tc>
          <w:tcPr>
            <w:tcW w:w="3231" w:type="pc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在网站前端架设在线WAF防护系统，保证用户网站对已知安全隐患进行防护，实时升级漏洞补丁，可起到前端防护作用。每月一份防护记录，年终总结报告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69"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安全综合服务包含：（包含资源防盗链、云防火墙、SSL加密、定制防火墙规则）</w:t>
            </w:r>
          </w:p>
        </w:tc>
        <w:tc>
          <w:tcPr>
            <w:tcW w:w="3231" w:type="pc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提供基础防火墙服务，包含过滤、透明转发、阻挡外部攻击、记录攻击等服务功能。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69"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网站安全管理服务包含：（包含攻击事件取证、防黑报表、DDoS攻击防护报表）</w:t>
            </w:r>
          </w:p>
        </w:tc>
        <w:tc>
          <w:tcPr>
            <w:tcW w:w="3231" w:type="pc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提供网络层和应用层的DDoS攻击防护，并提供攻击拦截实时告警，有效提升用户带宽利用率，保障业务稳定可靠。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9"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渗透测试服务</w:t>
            </w:r>
          </w:p>
        </w:tc>
        <w:tc>
          <w:tcPr>
            <w:tcW w:w="3231" w:type="pc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按用户需求，提供渗透测试服务。提供渗透测试报告，在报告中描述渗透测试结果、重点安全隐患、整改措施建议等内容。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69" w:type="pct"/>
            <w:shd w:val="clear" w:color="000000" w:fill="FFFFFF"/>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网页防篡改服务</w:t>
            </w:r>
          </w:p>
        </w:tc>
        <w:tc>
          <w:tcPr>
            <w:tcW w:w="3231" w:type="pct"/>
            <w:vAlign w:val="center"/>
          </w:tcPr>
          <w:p>
            <w:pPr>
              <w:spacing w:line="280" w:lineRule="exact"/>
              <w:jc w:val="left"/>
              <w:rPr>
                <w:rFonts w:ascii="仿宋" w:hAnsi="仿宋" w:eastAsia="仿宋" w:cs="仿宋"/>
                <w:sz w:val="24"/>
                <w:szCs w:val="24"/>
              </w:rPr>
            </w:pPr>
            <w:r>
              <w:rPr>
                <w:rFonts w:hint="eastAsia" w:ascii="仿宋" w:hAnsi="仿宋" w:eastAsia="仿宋" w:cs="仿宋"/>
                <w:sz w:val="24"/>
                <w:szCs w:val="24"/>
              </w:rPr>
              <w:t>提供网页防篡改服务。通过防篡改软件对用户页面进行实时防护，做到静态页面的实时同步，减少用户页面被恶意篡改的可能性。</w:t>
            </w:r>
          </w:p>
        </w:tc>
      </w:tr>
    </w:tbl>
    <w:p>
      <w:pPr>
        <w:spacing w:line="360" w:lineRule="auto"/>
        <w:rPr>
          <w:rFonts w:ascii="仿宋" w:hAnsi="仿宋" w:eastAsia="仿宋" w:cs="仿宋"/>
          <w:b/>
          <w:sz w:val="24"/>
          <w:szCs w:val="24"/>
        </w:rPr>
      </w:pPr>
      <w:bookmarkStart w:id="167" w:name="_Toc43997734"/>
      <w:bookmarkStart w:id="168" w:name="_Toc76482680"/>
      <w:r>
        <w:rPr>
          <w:rFonts w:hint="eastAsia" w:ascii="仿宋" w:hAnsi="仿宋" w:eastAsia="仿宋" w:cs="仿宋"/>
          <w:b/>
          <w:sz w:val="24"/>
          <w:szCs w:val="24"/>
        </w:rPr>
        <w:t>5.1.3云平台智能化运维标准服务</w:t>
      </w:r>
      <w:bookmarkEnd w:id="167"/>
      <w:bookmarkEnd w:id="168"/>
    </w:p>
    <w:p>
      <w:pPr>
        <w:ind w:left="360" w:firstLine="480"/>
        <w:rPr>
          <w:rFonts w:ascii="仿宋" w:hAnsi="仿宋" w:eastAsia="仿宋" w:cs="仿宋"/>
          <w:sz w:val="24"/>
          <w:szCs w:val="24"/>
        </w:rPr>
      </w:pPr>
      <w:r>
        <w:rPr>
          <w:rFonts w:hint="eastAsia" w:ascii="仿宋" w:hAnsi="仿宋" w:eastAsia="仿宋" w:cs="仿宋"/>
          <w:sz w:val="24"/>
          <w:szCs w:val="24"/>
        </w:rPr>
        <w:t>云平台运维平台要求搭建一套智能化运维及数据化运营平台，要求提供云资源管理服务，包括跨多层网络的多级节点的管控服务、基于业务系统的统一监控服务、自动更新的CMDB配置管理服务、自动化的业务系统综合巡检服务、自动化的漏洞及补丁更新服务、自动化的系统安全扫描及加固服务、自动化标准运维任务原子编排服务、ITSM运维工单流程管理服务。</w:t>
      </w:r>
    </w:p>
    <w:p>
      <w:pPr>
        <w:spacing w:line="360" w:lineRule="auto"/>
        <w:rPr>
          <w:rFonts w:ascii="仿宋" w:hAnsi="仿宋" w:eastAsia="仿宋" w:cs="仿宋"/>
          <w:b/>
          <w:sz w:val="24"/>
          <w:szCs w:val="24"/>
        </w:rPr>
      </w:pPr>
      <w:bookmarkStart w:id="169" w:name="_Toc1717532476"/>
      <w:bookmarkStart w:id="170" w:name="_Toc35816235"/>
      <w:bookmarkStart w:id="171" w:name="_Toc76482681"/>
      <w:bookmarkStart w:id="172" w:name="_Toc18056808"/>
      <w:bookmarkStart w:id="173" w:name="_Toc43997735"/>
    </w:p>
    <w:p>
      <w:pPr>
        <w:spacing w:line="360" w:lineRule="auto"/>
        <w:rPr>
          <w:rFonts w:ascii="仿宋" w:hAnsi="仿宋" w:eastAsia="仿宋" w:cs="仿宋"/>
          <w:b/>
          <w:sz w:val="24"/>
          <w:szCs w:val="24"/>
        </w:rPr>
      </w:pPr>
      <w:r>
        <w:rPr>
          <w:rFonts w:hint="eastAsia" w:ascii="仿宋" w:hAnsi="仿宋" w:eastAsia="仿宋" w:cs="仿宋"/>
          <w:b/>
          <w:sz w:val="24"/>
          <w:szCs w:val="24"/>
        </w:rPr>
        <w:t>5.1.4灾备服务</w:t>
      </w:r>
      <w:bookmarkEnd w:id="169"/>
      <w:bookmarkEnd w:id="170"/>
      <w:bookmarkEnd w:id="171"/>
      <w:bookmarkEnd w:id="172"/>
      <w:bookmarkEnd w:id="173"/>
    </w:p>
    <w:p>
      <w:pPr>
        <w:ind w:firstLine="480"/>
        <w:rPr>
          <w:rFonts w:ascii="仿宋" w:hAnsi="仿宋" w:eastAsia="仿宋" w:cs="仿宋"/>
          <w:sz w:val="24"/>
          <w:szCs w:val="24"/>
        </w:rPr>
      </w:pPr>
      <w:bookmarkStart w:id="174" w:name="_Toc76482682"/>
      <w:bookmarkStart w:id="175" w:name="_Toc43997883"/>
      <w:r>
        <w:rPr>
          <w:rFonts w:hint="eastAsia" w:ascii="仿宋" w:hAnsi="仿宋" w:eastAsia="仿宋" w:cs="仿宋"/>
          <w:sz w:val="24"/>
          <w:szCs w:val="24"/>
        </w:rPr>
        <w:t>基于统一数据标准体系，面向服务化提供多租户灾备运维服务及运营管理，集中管控容灾备份系统资源和策略，为云平台提供统一灾备部署、备份恢复，实现业务数据的一致性、完整性和可恢复性目标。要求提供灾备公共服务能力、统一数据标准体系和国密安全自主可控设计。</w:t>
      </w: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5.1.5业务系统迁移服务</w:t>
      </w:r>
      <w:bookmarkEnd w:id="174"/>
      <w:bookmarkEnd w:id="175"/>
    </w:p>
    <w:p>
      <w:pPr>
        <w:spacing w:line="360" w:lineRule="auto"/>
        <w:rPr>
          <w:rFonts w:ascii="仿宋" w:hAnsi="仿宋" w:eastAsia="仿宋" w:cs="仿宋"/>
          <w:b/>
          <w:sz w:val="24"/>
          <w:szCs w:val="24"/>
        </w:rPr>
      </w:pPr>
      <w:bookmarkStart w:id="176" w:name="_Toc38828439"/>
      <w:r>
        <w:rPr>
          <w:rFonts w:hint="eastAsia" w:ascii="仿宋" w:hAnsi="仿宋" w:eastAsia="仿宋" w:cs="仿宋"/>
          <w:b/>
          <w:sz w:val="24"/>
          <w:szCs w:val="24"/>
        </w:rPr>
        <w:t>5.1.5.1迁移总体要求</w:t>
      </w:r>
    </w:p>
    <w:p>
      <w:pPr>
        <w:ind w:firstLine="480"/>
        <w:rPr>
          <w:rFonts w:ascii="仿宋" w:hAnsi="仿宋" w:eastAsia="仿宋" w:cs="仿宋"/>
          <w:sz w:val="24"/>
          <w:szCs w:val="24"/>
        </w:rPr>
      </w:pPr>
      <w:r>
        <w:rPr>
          <w:rFonts w:hint="eastAsia" w:ascii="仿宋" w:hAnsi="仿宋" w:eastAsia="仿宋" w:cs="仿宋"/>
          <w:color w:val="000000"/>
          <w:sz w:val="24"/>
          <w:szCs w:val="24"/>
        </w:rPr>
        <w:t>经调研，我师市初步具备条件拟迁移上云的政务信息化系统数量为80个。</w:t>
      </w:r>
      <w:r>
        <w:rPr>
          <w:rFonts w:hint="eastAsia" w:ascii="仿宋" w:hAnsi="仿宋" w:eastAsia="仿宋" w:cs="仿宋"/>
          <w:sz w:val="24"/>
          <w:szCs w:val="24"/>
        </w:rPr>
        <w:t>政务信息系统迁移上云总体要求是提供符合图木舒克市实际的迁移思路，包括主要申请云资源，业务部署、数据迁移，对业务系统进行测试、切换用户的入口访问方式完成业务系统迁移上云等方面。</w:t>
      </w:r>
    </w:p>
    <w:p>
      <w:pPr>
        <w:ind w:firstLine="480"/>
        <w:rPr>
          <w:rFonts w:ascii="仿宋" w:hAnsi="仿宋" w:eastAsia="仿宋" w:cs="仿宋"/>
          <w:sz w:val="24"/>
          <w:szCs w:val="24"/>
        </w:rPr>
      </w:pPr>
      <w:r>
        <w:rPr>
          <w:rFonts w:hint="eastAsia" w:ascii="仿宋" w:hAnsi="仿宋" w:eastAsia="仿宋" w:cs="仿宋"/>
          <w:sz w:val="24"/>
          <w:szCs w:val="24"/>
        </w:rPr>
        <w:t>云服务商承诺对师市党委网信办原业务系统物理设备进行免费的物理搬迁。</w:t>
      </w:r>
    </w:p>
    <w:tbl>
      <w:tblPr>
        <w:tblStyle w:val="38"/>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9"/>
        <w:gridCol w:w="1189"/>
        <w:gridCol w:w="64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trPr>
        <w:tc>
          <w:tcPr>
            <w:tcW w:w="669" w:type="dxa"/>
            <w:tcBorders>
              <w:top w:val="single" w:color="auto" w:sz="2" w:space="0"/>
              <w:left w:val="single" w:color="auto" w:sz="2" w:space="0"/>
              <w:bottom w:val="single" w:color="auto" w:sz="2" w:space="0"/>
              <w:right w:val="single" w:color="auto" w:sz="2" w:space="0"/>
            </w:tcBorders>
            <w:vAlign w:val="center"/>
          </w:tcPr>
          <w:p>
            <w:pPr>
              <w:spacing w:line="288"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189" w:type="dxa"/>
            <w:tcBorders>
              <w:top w:val="single" w:color="auto" w:sz="2" w:space="0"/>
              <w:left w:val="single" w:color="auto" w:sz="2" w:space="0"/>
              <w:bottom w:val="single" w:color="auto" w:sz="2" w:space="0"/>
              <w:right w:val="single" w:color="auto" w:sz="2" w:space="0"/>
            </w:tcBorders>
            <w:vAlign w:val="center"/>
          </w:tcPr>
          <w:p>
            <w:pPr>
              <w:spacing w:line="288"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指标项</w:t>
            </w:r>
          </w:p>
        </w:tc>
        <w:tc>
          <w:tcPr>
            <w:tcW w:w="6442" w:type="dxa"/>
            <w:tcBorders>
              <w:top w:val="single" w:color="auto" w:sz="2" w:space="0"/>
              <w:left w:val="single" w:color="auto" w:sz="2" w:space="0"/>
              <w:bottom w:val="single" w:color="auto" w:sz="2" w:space="0"/>
              <w:right w:val="single" w:color="auto" w:sz="2" w:space="0"/>
            </w:tcBorders>
            <w:vAlign w:val="center"/>
          </w:tcPr>
          <w:p>
            <w:pPr>
              <w:spacing w:line="288"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指标要求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trPr>
        <w:tc>
          <w:tcPr>
            <w:tcW w:w="669" w:type="dxa"/>
            <w:tcBorders>
              <w:top w:val="single" w:color="auto" w:sz="2" w:space="0"/>
              <w:left w:val="single" w:color="auto" w:sz="2" w:space="0"/>
              <w:bottom w:val="single" w:color="auto" w:sz="2" w:space="0"/>
              <w:right w:val="single" w:color="auto" w:sz="2" w:space="0"/>
            </w:tcBorders>
            <w:vAlign w:val="center"/>
          </w:tcPr>
          <w:p>
            <w:pPr>
              <w:pStyle w:val="140"/>
              <w:numPr>
                <w:ilvl w:val="0"/>
                <w:numId w:val="10"/>
              </w:numPr>
              <w:adjustRightInd w:val="0"/>
              <w:snapToGrid w:val="0"/>
              <w:spacing w:line="288" w:lineRule="auto"/>
              <w:ind w:left="0" w:firstLine="0" w:firstLineChars="0"/>
              <w:jc w:val="center"/>
              <w:rPr>
                <w:rFonts w:ascii="仿宋" w:hAnsi="仿宋" w:eastAsia="仿宋" w:cs="仿宋"/>
                <w:kern w:val="0"/>
                <w:sz w:val="24"/>
                <w:szCs w:val="24"/>
              </w:rPr>
            </w:pPr>
          </w:p>
        </w:tc>
        <w:tc>
          <w:tcPr>
            <w:tcW w:w="1189" w:type="dxa"/>
            <w:tcBorders>
              <w:top w:val="single" w:color="auto" w:sz="2" w:space="0"/>
              <w:left w:val="single" w:color="auto" w:sz="2" w:space="0"/>
              <w:bottom w:val="single" w:color="auto" w:sz="2" w:space="0"/>
              <w:right w:val="single" w:color="auto" w:sz="2" w:space="0"/>
            </w:tcBorders>
            <w:vAlign w:val="center"/>
          </w:tcPr>
          <w:p>
            <w:pPr>
              <w:spacing w:line="288" w:lineRule="auto"/>
              <w:rPr>
                <w:rFonts w:ascii="仿宋" w:hAnsi="仿宋" w:eastAsia="仿宋" w:cs="仿宋"/>
                <w:kern w:val="0"/>
                <w:sz w:val="24"/>
                <w:szCs w:val="24"/>
              </w:rPr>
            </w:pPr>
            <w:r>
              <w:rPr>
                <w:rFonts w:hint="eastAsia" w:ascii="仿宋" w:hAnsi="仿宋" w:eastAsia="仿宋" w:cs="仿宋"/>
                <w:kern w:val="0"/>
                <w:sz w:val="24"/>
                <w:szCs w:val="24"/>
              </w:rPr>
              <w:t>技能要求</w:t>
            </w:r>
          </w:p>
        </w:tc>
        <w:tc>
          <w:tcPr>
            <w:tcW w:w="6442" w:type="dxa"/>
            <w:tcBorders>
              <w:top w:val="single" w:color="auto" w:sz="2" w:space="0"/>
              <w:left w:val="single" w:color="auto" w:sz="2" w:space="0"/>
              <w:bottom w:val="single" w:color="auto" w:sz="2" w:space="0"/>
              <w:right w:val="single" w:color="auto" w:sz="2" w:space="0"/>
            </w:tcBorders>
            <w:vAlign w:val="center"/>
          </w:tcPr>
          <w:p>
            <w:pPr>
              <w:spacing w:line="288" w:lineRule="auto"/>
              <w:rPr>
                <w:rFonts w:ascii="仿宋" w:hAnsi="仿宋" w:eastAsia="仿宋" w:cs="仿宋"/>
                <w:kern w:val="0"/>
                <w:sz w:val="24"/>
                <w:szCs w:val="24"/>
              </w:rPr>
            </w:pPr>
            <w:r>
              <w:rPr>
                <w:rFonts w:hint="eastAsia" w:ascii="仿宋" w:hAnsi="仿宋" w:eastAsia="仿宋" w:cs="仿宋"/>
                <w:kern w:val="0"/>
                <w:sz w:val="24"/>
                <w:szCs w:val="24"/>
              </w:rPr>
              <w:t>迁移服务团队必须熟悉常见的操作系统、中间件、数据库、网络、安全、存储和虚拟化等技术，熟悉相关的集群、冗余架构的部署及维护。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trPr>
        <w:tc>
          <w:tcPr>
            <w:tcW w:w="669" w:type="dxa"/>
            <w:tcBorders>
              <w:top w:val="single" w:color="auto" w:sz="2" w:space="0"/>
              <w:left w:val="single" w:color="auto" w:sz="2" w:space="0"/>
              <w:bottom w:val="single" w:color="auto" w:sz="2" w:space="0"/>
              <w:right w:val="single" w:color="auto" w:sz="2" w:space="0"/>
            </w:tcBorders>
            <w:vAlign w:val="center"/>
          </w:tcPr>
          <w:p>
            <w:pPr>
              <w:pStyle w:val="140"/>
              <w:numPr>
                <w:ilvl w:val="0"/>
                <w:numId w:val="10"/>
              </w:numPr>
              <w:adjustRightInd w:val="0"/>
              <w:snapToGrid w:val="0"/>
              <w:spacing w:line="288" w:lineRule="auto"/>
              <w:ind w:left="0" w:firstLine="0" w:firstLineChars="0"/>
              <w:jc w:val="center"/>
              <w:rPr>
                <w:rFonts w:ascii="仿宋" w:hAnsi="仿宋" w:eastAsia="仿宋" w:cs="仿宋"/>
                <w:kern w:val="0"/>
                <w:sz w:val="24"/>
                <w:szCs w:val="24"/>
              </w:rPr>
            </w:pPr>
          </w:p>
        </w:tc>
        <w:tc>
          <w:tcPr>
            <w:tcW w:w="1189" w:type="dxa"/>
            <w:tcBorders>
              <w:top w:val="single" w:color="auto" w:sz="2" w:space="0"/>
              <w:left w:val="single" w:color="auto" w:sz="2" w:space="0"/>
              <w:bottom w:val="single" w:color="auto" w:sz="2" w:space="0"/>
              <w:right w:val="single" w:color="auto" w:sz="2" w:space="0"/>
            </w:tcBorders>
            <w:vAlign w:val="center"/>
          </w:tcPr>
          <w:p>
            <w:pPr>
              <w:spacing w:line="288" w:lineRule="auto"/>
              <w:rPr>
                <w:rFonts w:ascii="仿宋" w:hAnsi="仿宋" w:eastAsia="仿宋" w:cs="仿宋"/>
                <w:kern w:val="0"/>
                <w:sz w:val="24"/>
                <w:szCs w:val="24"/>
              </w:rPr>
            </w:pPr>
            <w:r>
              <w:rPr>
                <w:rFonts w:hint="eastAsia" w:ascii="仿宋" w:hAnsi="仿宋" w:eastAsia="仿宋" w:cs="仿宋"/>
                <w:kern w:val="0"/>
                <w:sz w:val="24"/>
                <w:szCs w:val="24"/>
              </w:rPr>
              <w:t>工具要求</w:t>
            </w:r>
          </w:p>
        </w:tc>
        <w:tc>
          <w:tcPr>
            <w:tcW w:w="6442" w:type="dxa"/>
            <w:tcBorders>
              <w:top w:val="single" w:color="auto" w:sz="2" w:space="0"/>
              <w:left w:val="single" w:color="auto" w:sz="2" w:space="0"/>
              <w:bottom w:val="single" w:color="auto" w:sz="2" w:space="0"/>
              <w:right w:val="single" w:color="auto" w:sz="2" w:space="0"/>
            </w:tcBorders>
            <w:vAlign w:val="center"/>
          </w:tcPr>
          <w:p>
            <w:pPr>
              <w:spacing w:line="288" w:lineRule="auto"/>
              <w:rPr>
                <w:rFonts w:ascii="仿宋" w:hAnsi="仿宋" w:eastAsia="仿宋" w:cs="仿宋"/>
                <w:kern w:val="0"/>
                <w:sz w:val="24"/>
                <w:szCs w:val="24"/>
              </w:rPr>
            </w:pPr>
            <w:r>
              <w:rPr>
                <w:rFonts w:hint="eastAsia" w:ascii="仿宋" w:hAnsi="仿宋" w:eastAsia="仿宋" w:cs="仿宋"/>
                <w:kern w:val="0"/>
                <w:sz w:val="24"/>
                <w:szCs w:val="24"/>
              </w:rPr>
              <w:t>熟练掌握市场常用主流的信息系统迁移工具及方式方法，以适应不同的政务信息系统应用、数据库等的迁移需求，并提供相关技术方法或工具软件的使用参考样例。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trPr>
        <w:tc>
          <w:tcPr>
            <w:tcW w:w="669" w:type="dxa"/>
            <w:tcBorders>
              <w:top w:val="single" w:color="auto" w:sz="2" w:space="0"/>
              <w:left w:val="single" w:color="auto" w:sz="2" w:space="0"/>
              <w:bottom w:val="single" w:color="auto" w:sz="2" w:space="0"/>
              <w:right w:val="single" w:color="auto" w:sz="2" w:space="0"/>
            </w:tcBorders>
            <w:vAlign w:val="center"/>
          </w:tcPr>
          <w:p>
            <w:pPr>
              <w:pStyle w:val="140"/>
              <w:numPr>
                <w:ilvl w:val="0"/>
                <w:numId w:val="10"/>
              </w:numPr>
              <w:adjustRightInd w:val="0"/>
              <w:snapToGrid w:val="0"/>
              <w:spacing w:line="288" w:lineRule="auto"/>
              <w:ind w:left="0" w:firstLine="0" w:firstLineChars="0"/>
              <w:jc w:val="center"/>
              <w:rPr>
                <w:rFonts w:ascii="仿宋" w:hAnsi="仿宋" w:eastAsia="仿宋" w:cs="仿宋"/>
                <w:kern w:val="0"/>
                <w:sz w:val="24"/>
                <w:szCs w:val="24"/>
              </w:rPr>
            </w:pPr>
          </w:p>
        </w:tc>
        <w:tc>
          <w:tcPr>
            <w:tcW w:w="1189" w:type="dxa"/>
            <w:tcBorders>
              <w:top w:val="single" w:color="auto" w:sz="2" w:space="0"/>
              <w:left w:val="single" w:color="auto" w:sz="2" w:space="0"/>
              <w:bottom w:val="single" w:color="auto" w:sz="2" w:space="0"/>
              <w:right w:val="single" w:color="auto" w:sz="2" w:space="0"/>
            </w:tcBorders>
            <w:vAlign w:val="center"/>
          </w:tcPr>
          <w:p>
            <w:pPr>
              <w:spacing w:line="288" w:lineRule="auto"/>
              <w:rPr>
                <w:rFonts w:ascii="仿宋" w:hAnsi="仿宋" w:eastAsia="仿宋" w:cs="仿宋"/>
                <w:kern w:val="0"/>
                <w:sz w:val="24"/>
                <w:szCs w:val="24"/>
              </w:rPr>
            </w:pPr>
            <w:r>
              <w:rPr>
                <w:rFonts w:hint="eastAsia" w:ascii="仿宋" w:hAnsi="仿宋" w:eastAsia="仿宋" w:cs="仿宋"/>
                <w:kern w:val="0"/>
                <w:sz w:val="24"/>
                <w:szCs w:val="24"/>
              </w:rPr>
              <w:t>实施方案要求</w:t>
            </w:r>
          </w:p>
        </w:tc>
        <w:tc>
          <w:tcPr>
            <w:tcW w:w="6442" w:type="dxa"/>
            <w:tcBorders>
              <w:top w:val="single" w:color="auto" w:sz="2" w:space="0"/>
              <w:left w:val="single" w:color="auto" w:sz="2" w:space="0"/>
              <w:bottom w:val="single" w:color="auto" w:sz="2" w:space="0"/>
              <w:right w:val="single" w:color="auto" w:sz="2" w:space="0"/>
            </w:tcBorders>
            <w:vAlign w:val="center"/>
          </w:tcPr>
          <w:p>
            <w:pPr>
              <w:spacing w:line="288" w:lineRule="auto"/>
              <w:rPr>
                <w:rFonts w:ascii="仿宋" w:hAnsi="仿宋" w:eastAsia="仿宋" w:cs="仿宋"/>
                <w:kern w:val="0"/>
                <w:sz w:val="24"/>
                <w:szCs w:val="24"/>
              </w:rPr>
            </w:pPr>
            <w:r>
              <w:rPr>
                <w:rFonts w:hint="eastAsia" w:ascii="仿宋" w:hAnsi="仿宋" w:eastAsia="仿宋" w:cs="仿宋"/>
                <w:kern w:val="0"/>
                <w:sz w:val="24"/>
                <w:szCs w:val="24"/>
              </w:rPr>
              <w:t>需要提供完整的迁移方案，包括迁移背景、系统现状、迁移准备、迁移步骤、割接验证、应急预案等；方案中需明确业务割接的详细步骤，描述每个步骤的操作内容和验证方法，确保割接工作顺利完成。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trPr>
        <w:tc>
          <w:tcPr>
            <w:tcW w:w="669" w:type="dxa"/>
            <w:tcBorders>
              <w:top w:val="single" w:color="auto" w:sz="2" w:space="0"/>
              <w:left w:val="single" w:color="auto" w:sz="2" w:space="0"/>
              <w:bottom w:val="single" w:color="auto" w:sz="2" w:space="0"/>
              <w:right w:val="single" w:color="auto" w:sz="2" w:space="0"/>
            </w:tcBorders>
            <w:vAlign w:val="center"/>
          </w:tcPr>
          <w:p>
            <w:pPr>
              <w:pStyle w:val="140"/>
              <w:numPr>
                <w:ilvl w:val="0"/>
                <w:numId w:val="10"/>
              </w:numPr>
              <w:adjustRightInd w:val="0"/>
              <w:snapToGrid w:val="0"/>
              <w:spacing w:line="288" w:lineRule="auto"/>
              <w:ind w:left="0" w:firstLine="0" w:firstLineChars="0"/>
              <w:jc w:val="center"/>
              <w:rPr>
                <w:rFonts w:ascii="仿宋" w:hAnsi="仿宋" w:eastAsia="仿宋" w:cs="仿宋"/>
                <w:kern w:val="0"/>
                <w:sz w:val="24"/>
                <w:szCs w:val="24"/>
              </w:rPr>
            </w:pPr>
          </w:p>
        </w:tc>
        <w:tc>
          <w:tcPr>
            <w:tcW w:w="1189" w:type="dxa"/>
            <w:tcBorders>
              <w:top w:val="single" w:color="auto" w:sz="2" w:space="0"/>
              <w:left w:val="single" w:color="auto" w:sz="2" w:space="0"/>
              <w:bottom w:val="single" w:color="auto" w:sz="2" w:space="0"/>
              <w:right w:val="single" w:color="auto" w:sz="2" w:space="0"/>
            </w:tcBorders>
            <w:vAlign w:val="center"/>
          </w:tcPr>
          <w:p>
            <w:pPr>
              <w:spacing w:line="288" w:lineRule="auto"/>
              <w:rPr>
                <w:rFonts w:ascii="仿宋" w:hAnsi="仿宋" w:eastAsia="仿宋" w:cs="仿宋"/>
                <w:kern w:val="0"/>
                <w:sz w:val="24"/>
                <w:szCs w:val="24"/>
              </w:rPr>
            </w:pPr>
            <w:r>
              <w:rPr>
                <w:rFonts w:hint="eastAsia" w:ascii="仿宋" w:hAnsi="仿宋" w:eastAsia="仿宋" w:cs="仿宋"/>
                <w:kern w:val="0"/>
                <w:sz w:val="24"/>
                <w:szCs w:val="24"/>
              </w:rPr>
              <w:t>分工要求</w:t>
            </w:r>
          </w:p>
        </w:tc>
        <w:tc>
          <w:tcPr>
            <w:tcW w:w="6442" w:type="dxa"/>
            <w:tcBorders>
              <w:top w:val="single" w:color="auto" w:sz="2" w:space="0"/>
              <w:left w:val="single" w:color="auto" w:sz="2" w:space="0"/>
              <w:bottom w:val="single" w:color="auto" w:sz="2" w:space="0"/>
              <w:right w:val="single" w:color="auto" w:sz="2" w:space="0"/>
            </w:tcBorders>
            <w:vAlign w:val="center"/>
          </w:tcPr>
          <w:p>
            <w:pPr>
              <w:spacing w:line="288" w:lineRule="auto"/>
              <w:rPr>
                <w:rFonts w:ascii="仿宋" w:hAnsi="仿宋" w:eastAsia="仿宋" w:cs="仿宋"/>
                <w:kern w:val="0"/>
                <w:sz w:val="24"/>
                <w:szCs w:val="24"/>
              </w:rPr>
            </w:pPr>
            <w:r>
              <w:rPr>
                <w:rFonts w:hint="eastAsia" w:ascii="仿宋" w:hAnsi="仿宋" w:eastAsia="仿宋" w:cs="仿宋"/>
                <w:kern w:val="0"/>
                <w:sz w:val="24"/>
                <w:szCs w:val="24"/>
              </w:rPr>
              <w:t>需要提供迁移中各相关方的职责分工矩阵，明确迁移技术工作分工界面，避免出现问题时，因职责不清导致互相推诿的情况。</w:t>
            </w:r>
          </w:p>
        </w:tc>
      </w:tr>
      <w:bookmarkEnd w:id="176"/>
    </w:tbl>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5.1.5.2系统上云安全责任要求</w:t>
      </w:r>
    </w:p>
    <w:p>
      <w:pPr>
        <w:ind w:firstLine="480"/>
        <w:rPr>
          <w:rFonts w:ascii="仿宋" w:hAnsi="仿宋" w:eastAsia="仿宋" w:cs="仿宋"/>
          <w:sz w:val="24"/>
          <w:szCs w:val="24"/>
        </w:rPr>
      </w:pPr>
      <w:r>
        <w:rPr>
          <w:rFonts w:hint="eastAsia" w:ascii="仿宋" w:hAnsi="仿宋" w:eastAsia="仿宋" w:cs="仿宋"/>
          <w:sz w:val="24"/>
          <w:szCs w:val="24"/>
        </w:rPr>
        <w:t>政务信息系统迁移上云后，云服务商要求按如下关系图承担相关安全责任。</w:t>
      </w:r>
    </w:p>
    <w:p>
      <w:pPr>
        <w:jc w:val="center"/>
        <w:rPr>
          <w:rFonts w:ascii="仿宋" w:hAnsi="仿宋" w:eastAsia="仿宋" w:cs="仿宋"/>
          <w:sz w:val="24"/>
          <w:szCs w:val="24"/>
        </w:rPr>
      </w:pPr>
      <w:r>
        <w:rPr>
          <w:rFonts w:hint="eastAsia" w:ascii="仿宋" w:hAnsi="仿宋" w:eastAsia="仿宋" w:cs="仿宋"/>
          <w:sz w:val="24"/>
          <w:szCs w:val="24"/>
        </w:rPr>
        <w:drawing>
          <wp:inline distT="0" distB="0" distL="114300" distR="114300">
            <wp:extent cx="5535295" cy="4090670"/>
            <wp:effectExtent l="0" t="0" r="8255" b="5080"/>
            <wp:docPr id="2" name="图片 4" descr="安全责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安全责任"/>
                    <pic:cNvPicPr>
                      <a:picLocks noChangeAspect="1"/>
                    </pic:cNvPicPr>
                  </pic:nvPicPr>
                  <pic:blipFill>
                    <a:blip r:embed="rId17"/>
                    <a:stretch>
                      <a:fillRect/>
                    </a:stretch>
                  </pic:blipFill>
                  <pic:spPr>
                    <a:xfrm>
                      <a:off x="0" y="0"/>
                      <a:ext cx="5535295" cy="4090670"/>
                    </a:xfrm>
                    <a:prstGeom prst="rect">
                      <a:avLst/>
                    </a:prstGeom>
                    <a:noFill/>
                    <a:ln>
                      <a:noFill/>
                    </a:ln>
                  </pic:spPr>
                </pic:pic>
              </a:graphicData>
            </a:graphic>
          </wp:inline>
        </w:drawing>
      </w:r>
    </w:p>
    <w:p>
      <w:pPr>
        <w:ind w:firstLine="482"/>
        <w:rPr>
          <w:rFonts w:ascii="仿宋" w:hAnsi="仿宋" w:eastAsia="仿宋" w:cs="仿宋"/>
          <w:sz w:val="24"/>
          <w:szCs w:val="24"/>
        </w:rPr>
      </w:pPr>
      <w:r>
        <w:rPr>
          <w:rFonts w:hint="eastAsia" w:ascii="仿宋" w:hAnsi="仿宋" w:eastAsia="仿宋" w:cs="仿宋"/>
          <w:b/>
          <w:sz w:val="24"/>
          <w:szCs w:val="24"/>
        </w:rPr>
        <w:t>数据安全：</w:t>
      </w:r>
      <w:r>
        <w:rPr>
          <w:rFonts w:hint="eastAsia" w:ascii="仿宋" w:hAnsi="仿宋" w:eastAsia="仿宋" w:cs="仿宋"/>
          <w:sz w:val="24"/>
          <w:szCs w:val="24"/>
        </w:rPr>
        <w:t>指各单位政务信息系统上云后业务数据自身的安全管理，包括收集与识别、分类与分级、权限与加密等方面；</w:t>
      </w:r>
    </w:p>
    <w:p>
      <w:pPr>
        <w:ind w:firstLine="482"/>
        <w:rPr>
          <w:rFonts w:ascii="仿宋" w:hAnsi="仿宋" w:eastAsia="仿宋" w:cs="仿宋"/>
          <w:sz w:val="24"/>
          <w:szCs w:val="24"/>
        </w:rPr>
      </w:pPr>
      <w:r>
        <w:rPr>
          <w:rFonts w:hint="eastAsia" w:ascii="仿宋" w:hAnsi="仿宋" w:eastAsia="仿宋" w:cs="仿宋"/>
          <w:b/>
          <w:sz w:val="24"/>
          <w:szCs w:val="24"/>
        </w:rPr>
        <w:t>终端安全：</w:t>
      </w:r>
      <w:r>
        <w:rPr>
          <w:rFonts w:hint="eastAsia" w:ascii="仿宋" w:hAnsi="仿宋" w:eastAsia="仿宋" w:cs="仿宋"/>
          <w:sz w:val="24"/>
          <w:szCs w:val="24"/>
        </w:rPr>
        <w:t>业务相关的操作终端或移动终端的安全管理，包括终端的硬件、系统、应用、权限、以及数据处理相关的安全控制；</w:t>
      </w:r>
    </w:p>
    <w:p>
      <w:pPr>
        <w:ind w:firstLine="482"/>
        <w:rPr>
          <w:rFonts w:ascii="仿宋" w:hAnsi="仿宋" w:eastAsia="仿宋" w:cs="仿宋"/>
          <w:sz w:val="24"/>
          <w:szCs w:val="24"/>
        </w:rPr>
      </w:pPr>
      <w:r>
        <w:rPr>
          <w:rFonts w:hint="eastAsia" w:ascii="仿宋" w:hAnsi="仿宋" w:eastAsia="仿宋" w:cs="仿宋"/>
          <w:b/>
          <w:sz w:val="24"/>
          <w:szCs w:val="24"/>
        </w:rPr>
        <w:t>访问控制管理：</w:t>
      </w:r>
      <w:r>
        <w:rPr>
          <w:rFonts w:hint="eastAsia" w:ascii="仿宋" w:hAnsi="仿宋" w:eastAsia="仿宋" w:cs="仿宋"/>
          <w:sz w:val="24"/>
          <w:szCs w:val="24"/>
        </w:rPr>
        <w:t>对资源和数据的访问权限管理，包括用户管理、权限管理、身份验证等；</w:t>
      </w:r>
    </w:p>
    <w:p>
      <w:pPr>
        <w:ind w:firstLine="482"/>
        <w:rPr>
          <w:rFonts w:ascii="仿宋" w:hAnsi="仿宋" w:eastAsia="仿宋" w:cs="仿宋"/>
          <w:sz w:val="24"/>
          <w:szCs w:val="24"/>
        </w:rPr>
      </w:pPr>
      <w:r>
        <w:rPr>
          <w:rFonts w:hint="eastAsia" w:ascii="仿宋" w:hAnsi="仿宋" w:eastAsia="仿宋" w:cs="仿宋"/>
          <w:b/>
          <w:sz w:val="24"/>
          <w:szCs w:val="24"/>
        </w:rPr>
        <w:t>应用安全：</w:t>
      </w:r>
      <w:r>
        <w:rPr>
          <w:rFonts w:hint="eastAsia" w:ascii="仿宋" w:hAnsi="仿宋" w:eastAsia="仿宋" w:cs="仿宋"/>
          <w:sz w:val="24"/>
          <w:szCs w:val="24"/>
        </w:rPr>
        <w:t>指部署上云应用系统的安全管理，包括应用的设计、开发、发布、配置和使用等方面；</w:t>
      </w:r>
    </w:p>
    <w:p>
      <w:pPr>
        <w:ind w:firstLine="482"/>
        <w:rPr>
          <w:rFonts w:ascii="仿宋" w:hAnsi="仿宋" w:eastAsia="仿宋" w:cs="仿宋"/>
          <w:sz w:val="24"/>
          <w:szCs w:val="24"/>
        </w:rPr>
      </w:pPr>
      <w:r>
        <w:rPr>
          <w:rFonts w:hint="eastAsia" w:ascii="仿宋" w:hAnsi="仿宋" w:eastAsia="仿宋" w:cs="仿宋"/>
          <w:b/>
          <w:sz w:val="24"/>
          <w:szCs w:val="24"/>
        </w:rPr>
        <w:t>主机和网络安全：</w:t>
      </w:r>
      <w:r>
        <w:rPr>
          <w:rFonts w:hint="eastAsia" w:ascii="仿宋" w:hAnsi="仿宋" w:eastAsia="仿宋" w:cs="仿宋"/>
          <w:sz w:val="24"/>
          <w:szCs w:val="24"/>
        </w:rPr>
        <w:t>指部署上云的主机和网络安全管理，其中主机层面包括云计算、云存储、云数据库等云产品的底层管理（如虚拟化控制层、数据库管理系统、磁盘阵列网络等）和使用管理（如虚拟主机、镜像、CDN、文件系统等）；网络层面包括虚拟网络、负载均衡、安全网关、专线链路等方面；</w:t>
      </w:r>
    </w:p>
    <w:p>
      <w:pPr>
        <w:ind w:firstLine="482"/>
        <w:rPr>
          <w:rFonts w:ascii="仿宋" w:hAnsi="仿宋" w:eastAsia="仿宋" w:cs="仿宋"/>
          <w:sz w:val="24"/>
          <w:szCs w:val="24"/>
        </w:rPr>
      </w:pPr>
      <w:r>
        <w:rPr>
          <w:rFonts w:hint="eastAsia" w:ascii="仿宋" w:hAnsi="仿宋" w:eastAsia="仿宋" w:cs="仿宋"/>
          <w:b/>
          <w:sz w:val="24"/>
          <w:szCs w:val="24"/>
        </w:rPr>
        <w:t>物理和基础架构安全：</w:t>
      </w:r>
      <w:r>
        <w:rPr>
          <w:rFonts w:hint="eastAsia" w:ascii="仿宋" w:hAnsi="仿宋" w:eastAsia="仿宋" w:cs="仿宋"/>
          <w:sz w:val="24"/>
          <w:szCs w:val="24"/>
        </w:rPr>
        <w:t>指政务云的数据中心管理、物理设施管理、以及物理服务器和网络设备管理等。</w:t>
      </w:r>
    </w:p>
    <w:p>
      <w:pPr>
        <w:spacing w:line="360" w:lineRule="auto"/>
        <w:rPr>
          <w:rFonts w:ascii="仿宋" w:hAnsi="仿宋" w:eastAsia="仿宋" w:cs="仿宋"/>
          <w:b/>
          <w:sz w:val="24"/>
          <w:szCs w:val="24"/>
        </w:rPr>
      </w:pPr>
      <w:bookmarkStart w:id="177" w:name="_Toc25636"/>
      <w:bookmarkStart w:id="178" w:name="_Toc38828440"/>
    </w:p>
    <w:p>
      <w:pPr>
        <w:spacing w:line="360" w:lineRule="auto"/>
        <w:rPr>
          <w:rFonts w:ascii="仿宋" w:hAnsi="仿宋" w:eastAsia="仿宋" w:cs="仿宋"/>
          <w:b/>
          <w:sz w:val="24"/>
          <w:szCs w:val="24"/>
        </w:rPr>
      </w:pPr>
      <w:r>
        <w:rPr>
          <w:rFonts w:hint="eastAsia" w:ascii="仿宋" w:hAnsi="仿宋" w:eastAsia="仿宋" w:cs="仿宋"/>
          <w:b/>
          <w:sz w:val="24"/>
          <w:szCs w:val="24"/>
        </w:rPr>
        <w:t>5.1.5.3迁移实施流程</w:t>
      </w:r>
      <w:bookmarkEnd w:id="177"/>
      <w:bookmarkEnd w:id="178"/>
    </w:p>
    <w:p>
      <w:pPr>
        <w:ind w:firstLine="480"/>
        <w:rPr>
          <w:rFonts w:ascii="仿宋" w:hAnsi="仿宋" w:eastAsia="仿宋" w:cs="仿宋"/>
          <w:sz w:val="24"/>
          <w:szCs w:val="24"/>
        </w:rPr>
      </w:pPr>
      <w:r>
        <w:rPr>
          <w:rFonts w:hint="eastAsia" w:ascii="仿宋" w:hAnsi="仿宋" w:eastAsia="仿宋" w:cs="仿宋"/>
          <w:sz w:val="24"/>
          <w:szCs w:val="24"/>
        </w:rPr>
        <w:t>要求提供科学合理的迁移实施流程。</w:t>
      </w:r>
    </w:p>
    <w:p>
      <w:pPr>
        <w:spacing w:line="360" w:lineRule="auto"/>
        <w:rPr>
          <w:rFonts w:ascii="仿宋" w:hAnsi="仿宋" w:eastAsia="仿宋" w:cs="仿宋"/>
          <w:b/>
          <w:sz w:val="24"/>
          <w:szCs w:val="24"/>
        </w:rPr>
      </w:pPr>
      <w:bookmarkStart w:id="179" w:name="_Toc6222"/>
      <w:bookmarkStart w:id="180" w:name="_Toc38828456"/>
    </w:p>
    <w:p>
      <w:pPr>
        <w:spacing w:line="360" w:lineRule="auto"/>
        <w:rPr>
          <w:rFonts w:ascii="仿宋" w:hAnsi="仿宋" w:eastAsia="仿宋" w:cs="仿宋"/>
          <w:b/>
          <w:sz w:val="24"/>
          <w:szCs w:val="24"/>
        </w:rPr>
      </w:pPr>
      <w:r>
        <w:rPr>
          <w:rFonts w:hint="eastAsia" w:ascii="仿宋" w:hAnsi="仿宋" w:eastAsia="仿宋" w:cs="仿宋"/>
          <w:b/>
          <w:sz w:val="24"/>
          <w:szCs w:val="24"/>
        </w:rPr>
        <w:t>5.1.5.4迁移上云验收标准制定</w:t>
      </w:r>
      <w:bookmarkEnd w:id="179"/>
      <w:bookmarkEnd w:id="180"/>
    </w:p>
    <w:p>
      <w:pPr>
        <w:spacing w:line="420" w:lineRule="exact"/>
        <w:ind w:firstLine="480"/>
        <w:rPr>
          <w:rFonts w:ascii="仿宋" w:hAnsi="仿宋" w:eastAsia="仿宋" w:cs="仿宋"/>
          <w:sz w:val="24"/>
          <w:szCs w:val="24"/>
        </w:rPr>
      </w:pPr>
      <w:r>
        <w:rPr>
          <w:rFonts w:hint="eastAsia" w:ascii="仿宋" w:hAnsi="仿宋" w:eastAsia="仿宋" w:cs="仿宋"/>
          <w:sz w:val="24"/>
          <w:szCs w:val="24"/>
        </w:rPr>
        <w:t>迁移上云验收工作，需制定科学合理的验收标准，验收标准包含但不限于以下内容：</w:t>
      </w:r>
    </w:p>
    <w:p>
      <w:pPr>
        <w:numPr>
          <w:ilvl w:val="0"/>
          <w:numId w:val="11"/>
        </w:numPr>
        <w:spacing w:line="420" w:lineRule="exact"/>
        <w:ind w:left="0" w:firstLine="480" w:firstLineChars="200"/>
        <w:rPr>
          <w:rFonts w:ascii="仿宋" w:hAnsi="仿宋" w:eastAsia="仿宋" w:cs="仿宋"/>
          <w:sz w:val="24"/>
          <w:szCs w:val="24"/>
        </w:rPr>
      </w:pPr>
      <w:r>
        <w:rPr>
          <w:rFonts w:hint="eastAsia" w:ascii="仿宋" w:hAnsi="仿宋" w:eastAsia="仿宋" w:cs="仿宋"/>
          <w:sz w:val="24"/>
          <w:szCs w:val="24"/>
        </w:rPr>
        <w:t>系统验收需在割接上线后稳定运行15天以上，无重大故障；</w:t>
      </w:r>
    </w:p>
    <w:p>
      <w:pPr>
        <w:numPr>
          <w:ilvl w:val="0"/>
          <w:numId w:val="11"/>
        </w:numPr>
        <w:spacing w:line="420" w:lineRule="exact"/>
        <w:ind w:left="0" w:firstLine="480" w:firstLineChars="200"/>
        <w:rPr>
          <w:rFonts w:ascii="仿宋" w:hAnsi="仿宋" w:eastAsia="仿宋" w:cs="仿宋"/>
          <w:sz w:val="24"/>
          <w:szCs w:val="24"/>
        </w:rPr>
      </w:pPr>
      <w:r>
        <w:rPr>
          <w:rFonts w:hint="eastAsia" w:ascii="仿宋" w:hAnsi="仿宋" w:eastAsia="仿宋" w:cs="仿宋"/>
          <w:sz w:val="24"/>
          <w:szCs w:val="24"/>
        </w:rPr>
        <w:t>提供完整的迁移过程文档；</w:t>
      </w:r>
    </w:p>
    <w:p>
      <w:pPr>
        <w:numPr>
          <w:ilvl w:val="0"/>
          <w:numId w:val="11"/>
        </w:numPr>
        <w:spacing w:line="420" w:lineRule="exact"/>
        <w:ind w:left="0" w:firstLine="480" w:firstLineChars="200"/>
        <w:rPr>
          <w:rFonts w:ascii="仿宋" w:hAnsi="仿宋" w:eastAsia="仿宋" w:cs="仿宋"/>
          <w:sz w:val="24"/>
          <w:szCs w:val="24"/>
        </w:rPr>
      </w:pPr>
      <w:r>
        <w:rPr>
          <w:rFonts w:hint="eastAsia" w:ascii="仿宋" w:hAnsi="仿宋" w:eastAsia="仿宋" w:cs="仿宋"/>
          <w:sz w:val="24"/>
          <w:szCs w:val="24"/>
        </w:rPr>
        <w:t>提供系统割接后系统运行监控报告，报告中需提供资源、数据库使用效率数据。</w:t>
      </w:r>
    </w:p>
    <w:p>
      <w:pPr>
        <w:pStyle w:val="33"/>
        <w:tabs>
          <w:tab w:val="right" w:leader="dot" w:pos="8302"/>
        </w:tabs>
        <w:rPr>
          <w:rFonts w:ascii="仿宋" w:hAnsi="仿宋" w:eastAsia="仿宋" w:cs="仿宋"/>
          <w:sz w:val="24"/>
          <w:szCs w:val="24"/>
        </w:rPr>
      </w:pPr>
    </w:p>
    <w:p>
      <w:pPr>
        <w:spacing w:line="360" w:lineRule="auto"/>
        <w:rPr>
          <w:rFonts w:ascii="仿宋" w:hAnsi="仿宋" w:eastAsia="仿宋" w:cs="仿宋"/>
          <w:b/>
          <w:sz w:val="24"/>
          <w:szCs w:val="24"/>
        </w:rPr>
      </w:pPr>
      <w:bookmarkStart w:id="181" w:name="_Toc76482697"/>
      <w:r>
        <w:rPr>
          <w:rFonts w:hint="eastAsia" w:ascii="仿宋" w:hAnsi="仿宋" w:eastAsia="仿宋" w:cs="仿宋"/>
          <w:b/>
          <w:sz w:val="24"/>
          <w:szCs w:val="24"/>
        </w:rPr>
        <w:t>6管理要求</w:t>
      </w:r>
      <w:bookmarkEnd w:id="181"/>
    </w:p>
    <w:p>
      <w:pPr>
        <w:ind w:firstLine="480"/>
        <w:rPr>
          <w:rFonts w:ascii="仿宋" w:hAnsi="仿宋" w:eastAsia="仿宋" w:cs="仿宋"/>
          <w:sz w:val="24"/>
          <w:szCs w:val="24"/>
        </w:rPr>
      </w:pPr>
      <w:r>
        <w:rPr>
          <w:rFonts w:hint="eastAsia" w:ascii="仿宋" w:hAnsi="仿宋" w:eastAsia="仿宋" w:cs="仿宋"/>
          <w:sz w:val="24"/>
          <w:szCs w:val="24"/>
        </w:rPr>
        <w:t>投标人应为本项目组建专业的技术服务团队，技术服务团队的人员构成应涵盖本项目涉及的各个技术领域，具备本项目服务相关的经验和专业技能。第一年派驻12人，最终团队满配20人。</w:t>
      </w:r>
    </w:p>
    <w:p>
      <w:pPr>
        <w:ind w:firstLine="480"/>
        <w:rPr>
          <w:rFonts w:ascii="仿宋" w:hAnsi="仿宋" w:eastAsia="仿宋" w:cs="仿宋"/>
          <w:sz w:val="24"/>
          <w:szCs w:val="24"/>
        </w:rPr>
      </w:pPr>
      <w:r>
        <w:rPr>
          <w:rFonts w:hint="eastAsia" w:ascii="仿宋" w:hAnsi="仿宋" w:eastAsia="仿宋" w:cs="仿宋"/>
          <w:sz w:val="24"/>
          <w:szCs w:val="24"/>
        </w:rPr>
        <w:t>具体人员要求如下:</w:t>
      </w:r>
    </w:p>
    <w:p>
      <w:pPr>
        <w:numPr>
          <w:ilvl w:val="0"/>
          <w:numId w:val="12"/>
        </w:numPr>
        <w:spacing w:line="420" w:lineRule="exact"/>
        <w:ind w:firstLine="1"/>
        <w:rPr>
          <w:rFonts w:ascii="仿宋" w:hAnsi="仿宋" w:eastAsia="仿宋" w:cs="仿宋"/>
          <w:sz w:val="24"/>
          <w:szCs w:val="24"/>
        </w:rPr>
      </w:pPr>
      <w:r>
        <w:rPr>
          <w:rFonts w:hint="eastAsia" w:ascii="仿宋" w:hAnsi="仿宋" w:eastAsia="仿宋" w:cs="仿宋"/>
          <w:sz w:val="24"/>
          <w:szCs w:val="24"/>
        </w:rPr>
        <w:t>项目经理具有5年以上的政府类IT项目管理或IT系统开发经验。</w:t>
      </w:r>
    </w:p>
    <w:p>
      <w:pPr>
        <w:numPr>
          <w:ilvl w:val="0"/>
          <w:numId w:val="12"/>
        </w:numPr>
        <w:spacing w:line="420" w:lineRule="exact"/>
        <w:ind w:left="0" w:firstLine="480" w:firstLineChars="200"/>
        <w:rPr>
          <w:rFonts w:ascii="仿宋" w:hAnsi="仿宋" w:eastAsia="仿宋" w:cs="仿宋"/>
          <w:sz w:val="24"/>
          <w:szCs w:val="24"/>
        </w:rPr>
      </w:pPr>
      <w:r>
        <w:rPr>
          <w:rFonts w:hint="eastAsia" w:ascii="仿宋" w:hAnsi="仿宋" w:eastAsia="仿宋" w:cs="仿宋"/>
          <w:sz w:val="24"/>
          <w:szCs w:val="24"/>
        </w:rPr>
        <w:t>网络工程师需本科或以上学历，具备相关网络工程师认证资质，具有良好的网络运维经验。</w:t>
      </w:r>
    </w:p>
    <w:p>
      <w:pPr>
        <w:numPr>
          <w:ilvl w:val="0"/>
          <w:numId w:val="12"/>
        </w:numPr>
        <w:spacing w:line="420" w:lineRule="exact"/>
        <w:ind w:left="0" w:firstLine="480" w:firstLineChars="200"/>
        <w:rPr>
          <w:rFonts w:ascii="仿宋" w:hAnsi="仿宋" w:eastAsia="仿宋" w:cs="仿宋"/>
          <w:sz w:val="24"/>
          <w:szCs w:val="24"/>
        </w:rPr>
      </w:pPr>
      <w:r>
        <w:rPr>
          <w:rFonts w:hint="eastAsia" w:ascii="仿宋" w:hAnsi="仿宋" w:eastAsia="仿宋" w:cs="仿宋"/>
          <w:sz w:val="24"/>
          <w:szCs w:val="24"/>
        </w:rPr>
        <w:t>数据工程师需本科或以上学历，具备相关数据库工程师认证资质，具有良好的数据运维经验。</w:t>
      </w:r>
    </w:p>
    <w:p>
      <w:pPr>
        <w:numPr>
          <w:ilvl w:val="0"/>
          <w:numId w:val="12"/>
        </w:numPr>
        <w:spacing w:line="420" w:lineRule="exact"/>
        <w:ind w:left="0" w:firstLine="480" w:firstLineChars="200"/>
        <w:rPr>
          <w:rFonts w:ascii="仿宋" w:hAnsi="仿宋" w:eastAsia="仿宋" w:cs="仿宋"/>
          <w:sz w:val="24"/>
          <w:szCs w:val="24"/>
        </w:rPr>
      </w:pPr>
      <w:r>
        <w:rPr>
          <w:rFonts w:hint="eastAsia" w:ascii="仿宋" w:hAnsi="仿宋" w:eastAsia="仿宋" w:cs="仿宋"/>
          <w:sz w:val="24"/>
          <w:szCs w:val="24"/>
        </w:rPr>
        <w:t>安全工程师需本科或以上学历，具备相关安全领域认证资质，具有网络良好的安全工作经验。</w:t>
      </w:r>
    </w:p>
    <w:p>
      <w:pPr>
        <w:numPr>
          <w:ilvl w:val="0"/>
          <w:numId w:val="12"/>
        </w:numPr>
        <w:spacing w:line="420" w:lineRule="exact"/>
        <w:ind w:left="0" w:firstLine="480" w:firstLineChars="200"/>
        <w:rPr>
          <w:rFonts w:ascii="仿宋" w:hAnsi="仿宋" w:eastAsia="仿宋" w:cs="仿宋"/>
          <w:sz w:val="24"/>
          <w:szCs w:val="24"/>
        </w:rPr>
      </w:pPr>
      <w:r>
        <w:rPr>
          <w:rFonts w:hint="eastAsia" w:ascii="仿宋" w:hAnsi="仿宋" w:eastAsia="仿宋" w:cs="仿宋"/>
          <w:sz w:val="24"/>
          <w:szCs w:val="24"/>
        </w:rPr>
        <w:t>系统测试工程师需本科或以上学历，从事软件测试工作至少3年，具有良好的系统测试经验。</w:t>
      </w:r>
    </w:p>
    <w:p>
      <w:pPr>
        <w:spacing w:line="360" w:lineRule="auto"/>
        <w:rPr>
          <w:rFonts w:ascii="仿宋" w:hAnsi="仿宋" w:eastAsia="仿宋" w:cs="仿宋"/>
          <w:b/>
          <w:sz w:val="24"/>
          <w:szCs w:val="24"/>
        </w:rPr>
      </w:pPr>
      <w:bookmarkStart w:id="182" w:name="_Toc76482698"/>
      <w:r>
        <w:rPr>
          <w:rFonts w:hint="eastAsia" w:ascii="仿宋" w:hAnsi="仿宋" w:eastAsia="仿宋" w:cs="仿宋"/>
          <w:b/>
          <w:sz w:val="24"/>
          <w:szCs w:val="24"/>
        </w:rPr>
        <w:t>7.验收要求</w:t>
      </w:r>
      <w:bookmarkEnd w:id="182"/>
    </w:p>
    <w:p>
      <w:pPr>
        <w:ind w:firstLine="480"/>
        <w:rPr>
          <w:rFonts w:ascii="仿宋" w:hAnsi="仿宋" w:eastAsia="仿宋" w:cs="仿宋"/>
          <w:sz w:val="24"/>
          <w:szCs w:val="24"/>
        </w:rPr>
      </w:pPr>
      <w:r>
        <w:rPr>
          <w:rFonts w:hint="eastAsia" w:ascii="仿宋" w:hAnsi="仿宋" w:eastAsia="仿宋" w:cs="仿宋"/>
          <w:sz w:val="24"/>
          <w:szCs w:val="24"/>
        </w:rPr>
        <w:t>中标服务提供商响应采购人阶段性验收需求，承诺遵循采购人制定的验收核定办法。</w:t>
      </w:r>
    </w:p>
    <w:p>
      <w:pPr>
        <w:spacing w:line="360" w:lineRule="auto"/>
        <w:rPr>
          <w:rFonts w:ascii="仿宋" w:hAnsi="仿宋" w:eastAsia="仿宋" w:cs="仿宋"/>
          <w:b/>
          <w:sz w:val="24"/>
          <w:szCs w:val="24"/>
        </w:rPr>
      </w:pPr>
      <w:bookmarkStart w:id="183" w:name="_Toc76482699"/>
    </w:p>
    <w:p>
      <w:pPr>
        <w:spacing w:line="360" w:lineRule="auto"/>
        <w:rPr>
          <w:rFonts w:ascii="仿宋" w:hAnsi="仿宋" w:eastAsia="仿宋" w:cs="仿宋"/>
          <w:b/>
          <w:sz w:val="24"/>
          <w:szCs w:val="24"/>
        </w:rPr>
      </w:pPr>
      <w:r>
        <w:rPr>
          <w:rFonts w:hint="eastAsia" w:ascii="仿宋" w:hAnsi="仿宋" w:eastAsia="仿宋" w:cs="仿宋"/>
          <w:b/>
          <w:sz w:val="24"/>
          <w:szCs w:val="24"/>
        </w:rPr>
        <w:t>7.1云服务验收要求</w:t>
      </w:r>
      <w:bookmarkEnd w:id="183"/>
    </w:p>
    <w:p>
      <w:pPr>
        <w:ind w:firstLine="480"/>
        <w:rPr>
          <w:rFonts w:ascii="仿宋" w:hAnsi="仿宋" w:eastAsia="仿宋" w:cs="仿宋"/>
          <w:sz w:val="24"/>
          <w:szCs w:val="24"/>
        </w:rPr>
      </w:pPr>
      <w:r>
        <w:rPr>
          <w:rFonts w:hint="eastAsia" w:ascii="仿宋" w:hAnsi="仿宋" w:eastAsia="仿宋" w:cs="仿宋"/>
          <w:sz w:val="24"/>
          <w:szCs w:val="24"/>
        </w:rPr>
        <w:t>云服务周期结束时，中标服务提供商编制服务完成报告，报采购人确认后，向采购人发起验收申请，采购人在收到验收申请后30个工作日内开展完成验收，并出具最终验收报告。</w:t>
      </w:r>
    </w:p>
    <w:p>
      <w:pPr>
        <w:spacing w:line="360" w:lineRule="auto"/>
        <w:rPr>
          <w:rFonts w:ascii="仿宋" w:hAnsi="仿宋" w:eastAsia="仿宋" w:cs="仿宋"/>
          <w:b/>
          <w:sz w:val="24"/>
          <w:szCs w:val="24"/>
        </w:rPr>
      </w:pPr>
      <w:bookmarkStart w:id="184" w:name="_Toc76482700"/>
    </w:p>
    <w:p>
      <w:pPr>
        <w:spacing w:line="360" w:lineRule="auto"/>
        <w:rPr>
          <w:rFonts w:ascii="仿宋" w:hAnsi="仿宋" w:eastAsia="仿宋" w:cs="仿宋"/>
          <w:b/>
          <w:sz w:val="24"/>
          <w:szCs w:val="24"/>
        </w:rPr>
      </w:pPr>
      <w:r>
        <w:rPr>
          <w:rFonts w:hint="eastAsia" w:ascii="仿宋" w:hAnsi="仿宋" w:eastAsia="仿宋" w:cs="仿宋"/>
          <w:b/>
          <w:sz w:val="24"/>
          <w:szCs w:val="24"/>
        </w:rPr>
        <w:t>7.1.1云资源服务验收要求</w:t>
      </w:r>
      <w:bookmarkEnd w:id="184"/>
    </w:p>
    <w:p>
      <w:pPr>
        <w:ind w:firstLine="480"/>
        <w:rPr>
          <w:rFonts w:ascii="仿宋" w:hAnsi="仿宋" w:eastAsia="仿宋" w:cs="仿宋"/>
          <w:sz w:val="24"/>
          <w:szCs w:val="24"/>
        </w:rPr>
      </w:pPr>
      <w:r>
        <w:rPr>
          <w:rFonts w:hint="eastAsia" w:ascii="仿宋" w:hAnsi="仿宋" w:eastAsia="仿宋" w:cs="仿宋"/>
          <w:sz w:val="24"/>
          <w:szCs w:val="24"/>
        </w:rPr>
        <w:t>服务期间，中标服务提供商应按照合同、采购文件的要求和响应文件服务承诺提供稳定、可靠、安全、优质的服务，定期进行服务运行总结。主要验收材料应包括但不限于以下文档：</w:t>
      </w:r>
    </w:p>
    <w:p>
      <w:pPr>
        <w:pStyle w:val="140"/>
        <w:numPr>
          <w:ilvl w:val="3"/>
          <w:numId w:val="13"/>
        </w:numPr>
        <w:adjustRightInd w:val="0"/>
        <w:snapToGrid w:val="0"/>
        <w:spacing w:line="360" w:lineRule="auto"/>
        <w:ind w:left="993" w:firstLineChars="0"/>
        <w:jc w:val="left"/>
        <w:rPr>
          <w:rFonts w:ascii="仿宋" w:hAnsi="仿宋" w:eastAsia="仿宋" w:cs="仿宋"/>
          <w:sz w:val="24"/>
          <w:szCs w:val="24"/>
        </w:rPr>
      </w:pPr>
      <w:r>
        <w:rPr>
          <w:rFonts w:hint="eastAsia" w:ascii="仿宋" w:hAnsi="仿宋" w:eastAsia="仿宋" w:cs="仿宋"/>
          <w:sz w:val="24"/>
          <w:szCs w:val="24"/>
        </w:rPr>
        <w:t>政务云运营月报；</w:t>
      </w:r>
    </w:p>
    <w:p>
      <w:pPr>
        <w:pStyle w:val="140"/>
        <w:numPr>
          <w:ilvl w:val="3"/>
          <w:numId w:val="13"/>
        </w:numPr>
        <w:adjustRightInd w:val="0"/>
        <w:snapToGrid w:val="0"/>
        <w:spacing w:line="360" w:lineRule="auto"/>
        <w:ind w:left="993" w:firstLineChars="0"/>
        <w:jc w:val="left"/>
        <w:rPr>
          <w:rFonts w:ascii="仿宋" w:hAnsi="仿宋" w:eastAsia="仿宋" w:cs="仿宋"/>
          <w:sz w:val="24"/>
          <w:szCs w:val="24"/>
        </w:rPr>
      </w:pPr>
      <w:r>
        <w:rPr>
          <w:rFonts w:hint="eastAsia" w:ascii="仿宋" w:hAnsi="仿宋" w:eastAsia="仿宋" w:cs="仿宋"/>
          <w:sz w:val="24"/>
          <w:szCs w:val="24"/>
        </w:rPr>
        <w:t>服务总结报告；</w:t>
      </w:r>
    </w:p>
    <w:p>
      <w:pPr>
        <w:pStyle w:val="140"/>
        <w:numPr>
          <w:ilvl w:val="3"/>
          <w:numId w:val="13"/>
        </w:numPr>
        <w:adjustRightInd w:val="0"/>
        <w:snapToGrid w:val="0"/>
        <w:spacing w:line="360" w:lineRule="auto"/>
        <w:ind w:left="993" w:firstLineChars="0"/>
        <w:jc w:val="left"/>
        <w:rPr>
          <w:rFonts w:ascii="仿宋" w:hAnsi="仿宋" w:eastAsia="仿宋" w:cs="仿宋"/>
          <w:sz w:val="24"/>
          <w:szCs w:val="24"/>
        </w:rPr>
      </w:pPr>
      <w:r>
        <w:rPr>
          <w:rFonts w:hint="eastAsia" w:ascii="仿宋" w:hAnsi="仿宋" w:eastAsia="仿宋" w:cs="仿宋"/>
          <w:sz w:val="24"/>
          <w:szCs w:val="24"/>
        </w:rPr>
        <w:t>政务云结算账单；</w:t>
      </w:r>
    </w:p>
    <w:p>
      <w:pPr>
        <w:pStyle w:val="140"/>
        <w:numPr>
          <w:ilvl w:val="3"/>
          <w:numId w:val="13"/>
        </w:numPr>
        <w:adjustRightInd w:val="0"/>
        <w:snapToGrid w:val="0"/>
        <w:spacing w:line="360" w:lineRule="auto"/>
        <w:ind w:left="993" w:firstLineChars="0"/>
        <w:jc w:val="left"/>
        <w:rPr>
          <w:rFonts w:ascii="仿宋" w:hAnsi="仿宋" w:eastAsia="仿宋" w:cs="仿宋"/>
          <w:sz w:val="24"/>
          <w:szCs w:val="24"/>
        </w:rPr>
      </w:pPr>
      <w:r>
        <w:rPr>
          <w:rFonts w:hint="eastAsia" w:ascii="仿宋" w:hAnsi="仿宋" w:eastAsia="仿宋" w:cs="仿宋"/>
          <w:sz w:val="24"/>
          <w:szCs w:val="24"/>
        </w:rPr>
        <w:t>服务验收申请表；</w:t>
      </w:r>
    </w:p>
    <w:p>
      <w:pPr>
        <w:spacing w:line="360" w:lineRule="auto"/>
        <w:rPr>
          <w:rFonts w:ascii="仿宋" w:hAnsi="仿宋" w:eastAsia="仿宋" w:cs="仿宋"/>
          <w:b/>
          <w:sz w:val="24"/>
          <w:szCs w:val="24"/>
        </w:rPr>
      </w:pPr>
      <w:bookmarkStart w:id="185" w:name="_Toc76482701"/>
    </w:p>
    <w:p>
      <w:pPr>
        <w:spacing w:line="360" w:lineRule="auto"/>
        <w:rPr>
          <w:rFonts w:ascii="仿宋" w:hAnsi="仿宋" w:eastAsia="仿宋" w:cs="仿宋"/>
          <w:b/>
          <w:sz w:val="24"/>
          <w:szCs w:val="24"/>
        </w:rPr>
      </w:pPr>
      <w:r>
        <w:rPr>
          <w:rFonts w:hint="eastAsia" w:ascii="仿宋" w:hAnsi="仿宋" w:eastAsia="仿宋" w:cs="仿宋"/>
          <w:b/>
          <w:sz w:val="24"/>
          <w:szCs w:val="24"/>
        </w:rPr>
        <w:t>7.1.2云迁移服务验收要求</w:t>
      </w:r>
      <w:bookmarkEnd w:id="185"/>
    </w:p>
    <w:p>
      <w:pPr>
        <w:ind w:firstLine="480"/>
        <w:rPr>
          <w:rFonts w:ascii="仿宋" w:hAnsi="仿宋" w:eastAsia="仿宋" w:cs="仿宋"/>
          <w:sz w:val="24"/>
          <w:szCs w:val="24"/>
        </w:rPr>
      </w:pPr>
      <w:r>
        <w:rPr>
          <w:rFonts w:hint="eastAsia" w:ascii="仿宋" w:hAnsi="仿宋" w:eastAsia="仿宋" w:cs="仿宋"/>
          <w:sz w:val="24"/>
          <w:szCs w:val="24"/>
        </w:rPr>
        <w:t>按项目要求完成信息系统的迁移割接工作，割接上线后15天重保期内，无重大故障，各项服务符合项目要求，可申请用户单位对迁移系统进行交付确认。根据采购人需求输出详细的云迁移验收材料。主要验收材料应包括但不限于以下文档：</w:t>
      </w:r>
    </w:p>
    <w:p>
      <w:pPr>
        <w:numPr>
          <w:ilvl w:val="0"/>
          <w:numId w:val="14"/>
        </w:numPr>
        <w:adjustRightInd w:val="0"/>
        <w:snapToGrid w:val="0"/>
        <w:spacing w:line="360" w:lineRule="auto"/>
        <w:ind w:left="630"/>
        <w:jc w:val="left"/>
        <w:rPr>
          <w:rFonts w:ascii="仿宋" w:hAnsi="仿宋" w:eastAsia="仿宋" w:cs="仿宋"/>
          <w:sz w:val="24"/>
          <w:szCs w:val="24"/>
        </w:rPr>
      </w:pPr>
      <w:r>
        <w:rPr>
          <w:rFonts w:hint="eastAsia" w:ascii="仿宋" w:hAnsi="仿宋" w:eastAsia="仿宋" w:cs="仿宋"/>
          <w:sz w:val="24"/>
          <w:szCs w:val="24"/>
        </w:rPr>
        <w:t>信息系统迁移实施方案；</w:t>
      </w:r>
    </w:p>
    <w:p>
      <w:pPr>
        <w:numPr>
          <w:ilvl w:val="0"/>
          <w:numId w:val="14"/>
        </w:numPr>
        <w:adjustRightInd w:val="0"/>
        <w:snapToGrid w:val="0"/>
        <w:spacing w:line="360" w:lineRule="auto"/>
        <w:ind w:left="630"/>
        <w:jc w:val="left"/>
        <w:rPr>
          <w:rFonts w:ascii="仿宋" w:hAnsi="仿宋" w:eastAsia="仿宋" w:cs="仿宋"/>
          <w:sz w:val="24"/>
          <w:szCs w:val="24"/>
        </w:rPr>
      </w:pPr>
      <w:r>
        <w:rPr>
          <w:rFonts w:hint="eastAsia" w:ascii="仿宋" w:hAnsi="仿宋" w:eastAsia="仿宋" w:cs="仿宋"/>
          <w:sz w:val="24"/>
          <w:szCs w:val="24"/>
        </w:rPr>
        <w:t>信息系统迁移难度定级表；</w:t>
      </w:r>
    </w:p>
    <w:p>
      <w:pPr>
        <w:numPr>
          <w:ilvl w:val="0"/>
          <w:numId w:val="14"/>
        </w:numPr>
        <w:adjustRightInd w:val="0"/>
        <w:snapToGrid w:val="0"/>
        <w:spacing w:line="360" w:lineRule="auto"/>
        <w:ind w:left="630"/>
        <w:jc w:val="left"/>
        <w:rPr>
          <w:rFonts w:ascii="仿宋" w:hAnsi="仿宋" w:eastAsia="仿宋" w:cs="仿宋"/>
          <w:sz w:val="24"/>
          <w:szCs w:val="24"/>
        </w:rPr>
      </w:pPr>
      <w:r>
        <w:rPr>
          <w:rFonts w:hint="eastAsia" w:ascii="仿宋" w:hAnsi="仿宋" w:eastAsia="仿宋" w:cs="仿宋"/>
          <w:sz w:val="24"/>
          <w:szCs w:val="24"/>
        </w:rPr>
        <w:t>信息系统上线报告；</w:t>
      </w:r>
    </w:p>
    <w:p>
      <w:pPr>
        <w:numPr>
          <w:ilvl w:val="0"/>
          <w:numId w:val="14"/>
        </w:numPr>
        <w:adjustRightInd w:val="0"/>
        <w:snapToGrid w:val="0"/>
        <w:spacing w:line="360" w:lineRule="auto"/>
        <w:ind w:left="630"/>
        <w:jc w:val="left"/>
        <w:rPr>
          <w:rFonts w:ascii="仿宋" w:hAnsi="仿宋" w:eastAsia="仿宋" w:cs="仿宋"/>
          <w:sz w:val="24"/>
          <w:szCs w:val="24"/>
        </w:rPr>
      </w:pPr>
      <w:r>
        <w:rPr>
          <w:rFonts w:hint="eastAsia" w:ascii="仿宋" w:hAnsi="仿宋" w:eastAsia="仿宋" w:cs="仿宋"/>
          <w:sz w:val="24"/>
          <w:szCs w:val="24"/>
        </w:rPr>
        <w:t>信息系统重保期系统运行报告；</w:t>
      </w:r>
    </w:p>
    <w:p>
      <w:pPr>
        <w:numPr>
          <w:ilvl w:val="0"/>
          <w:numId w:val="14"/>
        </w:numPr>
        <w:adjustRightInd w:val="0"/>
        <w:snapToGrid w:val="0"/>
        <w:spacing w:line="360" w:lineRule="auto"/>
        <w:ind w:left="630"/>
        <w:jc w:val="left"/>
        <w:rPr>
          <w:rFonts w:ascii="仿宋" w:hAnsi="仿宋" w:eastAsia="仿宋" w:cs="仿宋"/>
          <w:sz w:val="24"/>
          <w:szCs w:val="24"/>
        </w:rPr>
      </w:pPr>
      <w:r>
        <w:rPr>
          <w:rFonts w:hint="eastAsia" w:ascii="仿宋" w:hAnsi="仿宋" w:eastAsia="仿宋" w:cs="仿宋"/>
          <w:sz w:val="24"/>
          <w:szCs w:val="24"/>
        </w:rPr>
        <w:t>信息系统迁移交付确认表；</w:t>
      </w:r>
    </w:p>
    <w:p>
      <w:pPr>
        <w:numPr>
          <w:ilvl w:val="0"/>
          <w:numId w:val="14"/>
        </w:numPr>
        <w:adjustRightInd w:val="0"/>
        <w:snapToGrid w:val="0"/>
        <w:spacing w:line="360" w:lineRule="auto"/>
        <w:ind w:left="630"/>
        <w:jc w:val="left"/>
        <w:rPr>
          <w:rFonts w:ascii="仿宋" w:hAnsi="仿宋" w:eastAsia="仿宋" w:cs="仿宋"/>
          <w:sz w:val="24"/>
          <w:szCs w:val="24"/>
        </w:rPr>
      </w:pPr>
      <w:r>
        <w:rPr>
          <w:rFonts w:hint="eastAsia" w:ascii="仿宋" w:hAnsi="仿宋" w:eastAsia="仿宋" w:cs="仿宋"/>
          <w:sz w:val="24"/>
          <w:szCs w:val="24"/>
        </w:rPr>
        <w:t>服务验收申请表；</w:t>
      </w:r>
    </w:p>
    <w:p>
      <w:pPr>
        <w:numPr>
          <w:ilvl w:val="0"/>
          <w:numId w:val="14"/>
        </w:numPr>
        <w:adjustRightInd w:val="0"/>
        <w:snapToGrid w:val="0"/>
        <w:spacing w:line="360" w:lineRule="auto"/>
        <w:ind w:left="630"/>
        <w:jc w:val="left"/>
        <w:rPr>
          <w:rFonts w:ascii="仿宋" w:hAnsi="仿宋" w:eastAsia="仿宋" w:cs="仿宋"/>
          <w:sz w:val="24"/>
          <w:szCs w:val="24"/>
        </w:rPr>
      </w:pPr>
      <w:r>
        <w:rPr>
          <w:rFonts w:hint="eastAsia" w:ascii="仿宋" w:hAnsi="仿宋" w:eastAsia="仿宋" w:cs="仿宋"/>
          <w:sz w:val="24"/>
          <w:szCs w:val="24"/>
        </w:rPr>
        <w:t>云迁移服务结算账单。</w:t>
      </w:r>
    </w:p>
    <w:p>
      <w:pPr>
        <w:spacing w:line="360" w:lineRule="auto"/>
        <w:rPr>
          <w:rFonts w:ascii="仿宋" w:hAnsi="仿宋" w:eastAsia="仿宋" w:cs="仿宋"/>
          <w:b/>
          <w:sz w:val="24"/>
          <w:szCs w:val="24"/>
        </w:rPr>
      </w:pPr>
      <w:bookmarkStart w:id="186" w:name="_Toc76482702"/>
      <w:r>
        <w:rPr>
          <w:rFonts w:hint="eastAsia" w:ascii="仿宋" w:hAnsi="仿宋" w:eastAsia="仿宋" w:cs="仿宋"/>
          <w:b/>
          <w:sz w:val="24"/>
          <w:szCs w:val="24"/>
        </w:rPr>
        <w:t>7.2云平台安全设施及运营服务验收要求</w:t>
      </w:r>
      <w:bookmarkEnd w:id="186"/>
    </w:p>
    <w:p>
      <w:pPr>
        <w:ind w:firstLine="480"/>
        <w:rPr>
          <w:rFonts w:ascii="仿宋" w:hAnsi="仿宋" w:eastAsia="仿宋" w:cs="仿宋"/>
          <w:sz w:val="24"/>
          <w:szCs w:val="24"/>
        </w:rPr>
      </w:pPr>
      <w:r>
        <w:rPr>
          <w:rFonts w:hint="eastAsia" w:ascii="仿宋" w:hAnsi="仿宋" w:eastAsia="仿宋" w:cs="仿宋"/>
          <w:sz w:val="24"/>
          <w:szCs w:val="24"/>
        </w:rPr>
        <w:t>本项目的验收应符合采购人相关验收管理办法的要求，按照采购人项目验收管理工作指引等有关规定执行。项目验收的具体组织工作由采购人承担，服务提供商提交交付物包括但不限于：</w:t>
      </w:r>
    </w:p>
    <w:p>
      <w:pPr>
        <w:pStyle w:val="198"/>
        <w:numPr>
          <w:ilvl w:val="0"/>
          <w:numId w:val="15"/>
        </w:numPr>
        <w:rPr>
          <w:rFonts w:ascii="仿宋" w:hAnsi="仿宋" w:eastAsia="仿宋" w:cs="仿宋"/>
          <w:sz w:val="24"/>
          <w:szCs w:val="24"/>
        </w:rPr>
      </w:pPr>
      <w:r>
        <w:rPr>
          <w:rFonts w:hint="eastAsia" w:ascii="仿宋" w:hAnsi="仿宋" w:eastAsia="仿宋" w:cs="仿宋"/>
          <w:sz w:val="24"/>
          <w:szCs w:val="24"/>
        </w:rPr>
        <w:t>项目实施方案；</w:t>
      </w:r>
    </w:p>
    <w:p>
      <w:pPr>
        <w:pStyle w:val="198"/>
        <w:numPr>
          <w:ilvl w:val="0"/>
          <w:numId w:val="15"/>
        </w:numPr>
        <w:rPr>
          <w:rFonts w:ascii="仿宋" w:hAnsi="仿宋" w:eastAsia="仿宋" w:cs="仿宋"/>
          <w:sz w:val="24"/>
          <w:szCs w:val="24"/>
        </w:rPr>
      </w:pPr>
      <w:r>
        <w:rPr>
          <w:rFonts w:hint="eastAsia" w:ascii="仿宋" w:hAnsi="仿宋" w:eastAsia="仿宋" w:cs="仿宋"/>
          <w:sz w:val="24"/>
          <w:szCs w:val="24"/>
        </w:rPr>
        <w:t>项目服务计划；</w:t>
      </w:r>
    </w:p>
    <w:p>
      <w:pPr>
        <w:pStyle w:val="198"/>
        <w:numPr>
          <w:ilvl w:val="0"/>
          <w:numId w:val="15"/>
        </w:numPr>
        <w:rPr>
          <w:rFonts w:ascii="仿宋" w:hAnsi="仿宋" w:eastAsia="仿宋" w:cs="仿宋"/>
          <w:sz w:val="24"/>
          <w:szCs w:val="24"/>
        </w:rPr>
      </w:pPr>
      <w:r>
        <w:rPr>
          <w:rFonts w:hint="eastAsia" w:ascii="仿宋" w:hAnsi="仿宋" w:eastAsia="仿宋" w:cs="仿宋"/>
          <w:sz w:val="24"/>
          <w:szCs w:val="24"/>
        </w:rPr>
        <w:t>项目进度报告；</w:t>
      </w:r>
    </w:p>
    <w:p>
      <w:pPr>
        <w:pStyle w:val="198"/>
        <w:numPr>
          <w:ilvl w:val="0"/>
          <w:numId w:val="15"/>
        </w:numPr>
        <w:rPr>
          <w:rFonts w:ascii="仿宋" w:hAnsi="仿宋" w:eastAsia="仿宋" w:cs="仿宋"/>
          <w:sz w:val="24"/>
          <w:szCs w:val="24"/>
        </w:rPr>
      </w:pPr>
      <w:r>
        <w:rPr>
          <w:rFonts w:hint="eastAsia" w:ascii="仿宋" w:hAnsi="仿宋" w:eastAsia="仿宋" w:cs="仿宋"/>
          <w:sz w:val="24"/>
          <w:szCs w:val="24"/>
        </w:rPr>
        <w:t>服务验收申请表；</w:t>
      </w:r>
    </w:p>
    <w:p>
      <w:pPr>
        <w:pStyle w:val="198"/>
        <w:numPr>
          <w:ilvl w:val="0"/>
          <w:numId w:val="15"/>
        </w:numPr>
        <w:rPr>
          <w:rFonts w:ascii="仿宋" w:hAnsi="仿宋" w:eastAsia="仿宋" w:cs="仿宋"/>
          <w:sz w:val="24"/>
          <w:szCs w:val="24"/>
        </w:rPr>
      </w:pPr>
      <w:r>
        <w:rPr>
          <w:rFonts w:hint="eastAsia" w:ascii="仿宋" w:hAnsi="仿宋" w:eastAsia="仿宋" w:cs="仿宋"/>
          <w:sz w:val="24"/>
          <w:szCs w:val="24"/>
        </w:rPr>
        <w:t>服务总结报告；</w:t>
      </w:r>
    </w:p>
    <w:p>
      <w:pPr>
        <w:pStyle w:val="198"/>
        <w:numPr>
          <w:ilvl w:val="0"/>
          <w:numId w:val="15"/>
        </w:numPr>
        <w:rPr>
          <w:rFonts w:ascii="仿宋" w:hAnsi="仿宋" w:eastAsia="仿宋" w:cs="仿宋"/>
          <w:sz w:val="24"/>
          <w:szCs w:val="24"/>
        </w:rPr>
      </w:pPr>
      <w:r>
        <w:rPr>
          <w:rFonts w:hint="eastAsia" w:ascii="仿宋" w:hAnsi="仿宋" w:eastAsia="仿宋" w:cs="仿宋"/>
          <w:sz w:val="24"/>
          <w:szCs w:val="24"/>
        </w:rPr>
        <w:t>用户意见书。</w:t>
      </w:r>
    </w:p>
    <w:p>
      <w:pPr>
        <w:pStyle w:val="198"/>
        <w:numPr>
          <w:ilvl w:val="0"/>
          <w:numId w:val="0"/>
        </w:numPr>
        <w:rPr>
          <w:rFonts w:ascii="仿宋" w:hAnsi="仿宋" w:eastAsia="仿宋" w:cs="仿宋"/>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7.3 培训</w:t>
      </w:r>
    </w:p>
    <w:p>
      <w:pPr>
        <w:pStyle w:val="198"/>
        <w:numPr>
          <w:ilvl w:val="0"/>
          <w:numId w:val="0"/>
        </w:numPr>
        <w:ind w:left="420"/>
        <w:rPr>
          <w:rFonts w:ascii="仿宋" w:hAnsi="仿宋" w:eastAsia="仿宋" w:cs="仿宋"/>
          <w:sz w:val="24"/>
          <w:szCs w:val="24"/>
        </w:rPr>
      </w:pPr>
      <w:r>
        <w:rPr>
          <w:rFonts w:hint="eastAsia" w:ascii="仿宋" w:hAnsi="仿宋" w:eastAsia="仿宋" w:cs="仿宋"/>
          <w:sz w:val="24"/>
          <w:szCs w:val="24"/>
        </w:rPr>
        <w:t>针对本项目所使用的云计算、大数据、工业互联网、人工智能、 区块链等专业技术，投标人应每年提供3批次，每批次3-5人，前往内地专业技术机构或公司的学习培训服务。</w:t>
      </w:r>
    </w:p>
    <w:p>
      <w:pPr>
        <w:rPr>
          <w:rFonts w:ascii="仿宋" w:hAnsi="仿宋" w:eastAsia="仿宋" w:cs="仿宋"/>
          <w:sz w:val="24"/>
          <w:szCs w:val="24"/>
        </w:rPr>
      </w:pPr>
    </w:p>
    <w:p>
      <w:pPr>
        <w:spacing w:line="280" w:lineRule="exact"/>
        <w:ind w:firstLine="420"/>
        <w:jc w:val="left"/>
        <w:rPr>
          <w:rFonts w:ascii="仿宋" w:hAnsi="仿宋" w:eastAsia="仿宋" w:cs="仿宋"/>
          <w:sz w:val="24"/>
          <w:szCs w:val="24"/>
        </w:rPr>
      </w:pPr>
    </w:p>
    <w:bookmarkEnd w:id="134"/>
    <w:bookmarkEnd w:id="135"/>
    <w:bookmarkEnd w:id="136"/>
    <w:p>
      <w:pPr>
        <w:pStyle w:val="52"/>
        <w:ind w:firstLine="0" w:firstLineChars="0"/>
        <w:jc w:val="center"/>
        <w:outlineLvl w:val="0"/>
        <w:rPr>
          <w:rFonts w:hint="eastAsia" w:ascii="仿宋" w:hAnsi="仿宋" w:eastAsia="仿宋" w:cs="仿宋"/>
          <w:b/>
          <w:sz w:val="36"/>
        </w:rPr>
      </w:pPr>
      <w:bookmarkStart w:id="187" w:name="_Toc577"/>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hint="eastAsia" w:ascii="仿宋" w:hAnsi="仿宋" w:eastAsia="仿宋" w:cs="仿宋"/>
          <w:b/>
          <w:sz w:val="36"/>
        </w:rPr>
      </w:pPr>
    </w:p>
    <w:p>
      <w:pPr>
        <w:pStyle w:val="52"/>
        <w:ind w:firstLine="0" w:firstLineChars="0"/>
        <w:jc w:val="center"/>
        <w:outlineLvl w:val="0"/>
        <w:rPr>
          <w:rFonts w:ascii="仿宋" w:hAnsi="仿宋" w:eastAsia="仿宋" w:cs="仿宋"/>
          <w:b/>
          <w:sz w:val="36"/>
          <w:highlight w:val="yellow"/>
        </w:rPr>
      </w:pPr>
      <w:r>
        <w:rPr>
          <w:rFonts w:hint="eastAsia" w:ascii="仿宋" w:hAnsi="仿宋" w:eastAsia="仿宋" w:cs="仿宋"/>
          <w:b/>
          <w:sz w:val="36"/>
        </w:rPr>
        <w:t>第四部分   评审方法</w:t>
      </w:r>
      <w:bookmarkEnd w:id="187"/>
    </w:p>
    <w:p>
      <w:pPr>
        <w:rPr>
          <w:rFonts w:ascii="仿宋" w:hAnsi="仿宋" w:eastAsia="仿宋" w:cs="仿宋"/>
        </w:rPr>
      </w:pPr>
      <w:bookmarkStart w:id="188" w:name="EBb28a6449d2394405ae581c05a80bd7bd"/>
    </w:p>
    <w:bookmarkEnd w:id="188"/>
    <w:tbl>
      <w:tblPr>
        <w:tblStyle w:val="38"/>
        <w:tblpPr w:leftFromText="180" w:rightFromText="180" w:vertAnchor="text" w:horzAnchor="page" w:tblpX="1287" w:tblpY="468"/>
        <w:tblOverlap w:val="never"/>
        <w:tblW w:w="56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439"/>
        <w:gridCol w:w="1214"/>
        <w:gridCol w:w="8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4" w:hRule="atLeast"/>
        </w:trPr>
        <w:tc>
          <w:tcPr>
            <w:tcW w:w="212" w:type="pct"/>
            <w:vAlign w:val="center"/>
          </w:tcPr>
          <w:p>
            <w:pPr>
              <w:pStyle w:val="161"/>
              <w:jc w:val="center"/>
              <w:rPr>
                <w:rFonts w:ascii="仿宋" w:hAnsi="仿宋" w:eastAsia="仿宋" w:cs="仿宋"/>
              </w:rPr>
            </w:pPr>
            <w:r>
              <w:rPr>
                <w:rFonts w:hint="eastAsia" w:ascii="仿宋" w:hAnsi="仿宋" w:eastAsia="仿宋" w:cs="仿宋"/>
              </w:rPr>
              <w:t>序号</w:t>
            </w:r>
          </w:p>
        </w:tc>
        <w:tc>
          <w:tcPr>
            <w:tcW w:w="587" w:type="pct"/>
            <w:vAlign w:val="center"/>
          </w:tcPr>
          <w:p>
            <w:pPr>
              <w:pStyle w:val="161"/>
              <w:jc w:val="center"/>
              <w:rPr>
                <w:rFonts w:ascii="仿宋" w:hAnsi="仿宋" w:eastAsia="仿宋" w:cs="仿宋"/>
                <w:b/>
              </w:rPr>
            </w:pPr>
            <w:r>
              <w:rPr>
                <w:rFonts w:hint="eastAsia" w:ascii="仿宋" w:hAnsi="仿宋" w:eastAsia="仿宋" w:cs="仿宋"/>
                <w:b/>
              </w:rPr>
              <w:t>评分因素</w:t>
            </w:r>
          </w:p>
        </w:tc>
        <w:tc>
          <w:tcPr>
            <w:tcW w:w="4200" w:type="pct"/>
            <w:vAlign w:val="center"/>
          </w:tcPr>
          <w:p>
            <w:pPr>
              <w:pStyle w:val="161"/>
              <w:jc w:val="center"/>
              <w:rPr>
                <w:rFonts w:ascii="仿宋" w:hAnsi="仿宋" w:eastAsia="仿宋" w:cs="仿宋"/>
                <w:b/>
              </w:rPr>
            </w:pPr>
            <w:r>
              <w:rPr>
                <w:rFonts w:hint="eastAsia" w:ascii="仿宋" w:hAnsi="仿宋" w:eastAsia="仿宋" w:cs="仿宋"/>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212" w:type="pct"/>
            <w:vMerge w:val="restart"/>
            <w:vAlign w:val="center"/>
          </w:tcPr>
          <w:p>
            <w:pPr>
              <w:pStyle w:val="161"/>
              <w:jc w:val="center"/>
              <w:rPr>
                <w:rFonts w:ascii="仿宋" w:hAnsi="仿宋" w:eastAsia="仿宋" w:cs="仿宋"/>
              </w:rPr>
            </w:pPr>
            <w:r>
              <w:rPr>
                <w:rFonts w:hint="eastAsia" w:ascii="仿宋" w:hAnsi="仿宋" w:eastAsia="仿宋" w:cs="仿宋"/>
              </w:rPr>
              <w:t>1</w:t>
            </w:r>
          </w:p>
        </w:tc>
        <w:tc>
          <w:tcPr>
            <w:tcW w:w="587" w:type="pct"/>
            <w:vMerge w:val="restart"/>
            <w:vAlign w:val="center"/>
          </w:tcPr>
          <w:p>
            <w:pPr>
              <w:pStyle w:val="161"/>
              <w:jc w:val="center"/>
              <w:rPr>
                <w:rFonts w:ascii="仿宋" w:hAnsi="仿宋" w:eastAsia="仿宋" w:cs="仿宋"/>
              </w:rPr>
            </w:pPr>
            <w:r>
              <w:rPr>
                <w:rFonts w:hint="eastAsia" w:ascii="仿宋" w:hAnsi="仿宋" w:eastAsia="仿宋" w:cs="仿宋"/>
              </w:rPr>
              <w:t>资格检查</w:t>
            </w:r>
          </w:p>
        </w:tc>
        <w:tc>
          <w:tcPr>
            <w:tcW w:w="4200" w:type="pct"/>
            <w:vAlign w:val="center"/>
          </w:tcPr>
          <w:p>
            <w:pPr>
              <w:pStyle w:val="85"/>
              <w:widowControl/>
              <w:spacing w:line="288" w:lineRule="auto"/>
              <w:jc w:val="left"/>
              <w:rPr>
                <w:rFonts w:ascii="仿宋" w:hAnsi="仿宋" w:eastAsia="仿宋" w:cs="仿宋"/>
                <w:b/>
                <w:bCs/>
                <w:sz w:val="24"/>
                <w:szCs w:val="24"/>
              </w:rPr>
            </w:pPr>
            <w:r>
              <w:rPr>
                <w:rFonts w:hint="eastAsia" w:ascii="仿宋" w:hAnsi="仿宋" w:eastAsia="仿宋" w:cs="仿宋"/>
                <w:b/>
                <w:bCs/>
                <w:sz w:val="24"/>
                <w:szCs w:val="24"/>
              </w:rPr>
              <w:t>一、具有独立承担民事责任的能力</w:t>
            </w:r>
          </w:p>
          <w:p>
            <w:pPr>
              <w:pStyle w:val="85"/>
              <w:widowControl/>
              <w:spacing w:line="288" w:lineRule="auto"/>
              <w:jc w:val="left"/>
              <w:rPr>
                <w:rFonts w:ascii="仿宋" w:hAnsi="仿宋" w:eastAsia="仿宋" w:cs="仿宋"/>
                <w:sz w:val="24"/>
                <w:szCs w:val="24"/>
              </w:rPr>
            </w:pPr>
            <w:r>
              <w:rPr>
                <w:rFonts w:hint="eastAsia" w:ascii="仿宋" w:hAnsi="仿宋" w:eastAsia="仿宋" w:cs="仿宋"/>
                <w:sz w:val="24"/>
                <w:szCs w:val="24"/>
              </w:rPr>
              <w:t>1.投标人法人营业执照（副本）或事业单位法人证书（副本）或个体工商户营业执照或有效的自然人身份证明、组织机构代码证</w:t>
            </w:r>
            <w:r>
              <w:rPr>
                <w:rFonts w:hint="eastAsia" w:ascii="仿宋" w:hAnsi="仿宋" w:eastAsia="仿宋" w:cs="仿宋"/>
                <w:b/>
                <w:bCs/>
                <w:sz w:val="24"/>
                <w:szCs w:val="24"/>
              </w:rPr>
              <w:t>扫描件</w:t>
            </w:r>
            <w:r>
              <w:rPr>
                <w:rFonts w:hint="eastAsia" w:ascii="仿宋" w:hAnsi="仿宋" w:eastAsia="仿宋" w:cs="仿宋"/>
                <w:sz w:val="24"/>
                <w:szCs w:val="24"/>
              </w:rPr>
              <w:t>（投标人按“三证合一”登记制度办理营业执照的,组织机构代码证和税务登记证（副本）以投标人所提供的营业执照（副本）</w:t>
            </w:r>
            <w:r>
              <w:rPr>
                <w:rFonts w:hint="eastAsia" w:ascii="仿宋" w:hAnsi="仿宋" w:eastAsia="仿宋" w:cs="仿宋"/>
                <w:b/>
                <w:bCs/>
                <w:sz w:val="24"/>
                <w:szCs w:val="24"/>
              </w:rPr>
              <w:t>扫描件</w:t>
            </w:r>
            <w:r>
              <w:rPr>
                <w:rFonts w:hint="eastAsia" w:ascii="仿宋" w:hAnsi="仿宋" w:eastAsia="仿宋" w:cs="仿宋"/>
                <w:sz w:val="24"/>
                <w:szCs w:val="24"/>
              </w:rPr>
              <w:t>为准。）；</w:t>
            </w:r>
          </w:p>
          <w:p>
            <w:pPr>
              <w:pStyle w:val="85"/>
              <w:widowControl/>
              <w:spacing w:line="288" w:lineRule="auto"/>
              <w:jc w:val="left"/>
              <w:rPr>
                <w:rFonts w:ascii="仿宋" w:hAnsi="仿宋" w:eastAsia="仿宋" w:cs="仿宋"/>
                <w:b/>
                <w:bCs/>
                <w:sz w:val="24"/>
                <w:szCs w:val="24"/>
              </w:rPr>
            </w:pPr>
            <w:r>
              <w:rPr>
                <w:rFonts w:hint="eastAsia" w:ascii="仿宋" w:hAnsi="仿宋" w:eastAsia="仿宋" w:cs="仿宋"/>
                <w:sz w:val="24"/>
                <w:szCs w:val="24"/>
              </w:rPr>
              <w:t>2.</w:t>
            </w:r>
            <w:r>
              <w:rPr>
                <w:rFonts w:hint="eastAsia" w:ascii="仿宋" w:hAnsi="仿宋" w:eastAsia="仿宋" w:cs="仿宋"/>
                <w:b/>
                <w:bCs/>
                <w:sz w:val="24"/>
                <w:szCs w:val="24"/>
              </w:rPr>
              <w:t>法定代表人身份证明及法定代表人授权书</w:t>
            </w:r>
          </w:p>
          <w:p>
            <w:pPr>
              <w:pStyle w:val="161"/>
              <w:rPr>
                <w:rFonts w:ascii="仿宋" w:hAnsi="仿宋" w:eastAsia="仿宋" w:cs="仿宋"/>
              </w:rPr>
            </w:pPr>
            <w:r>
              <w:rPr>
                <w:rFonts w:hint="eastAsia" w:ascii="仿宋" w:hAnsi="仿宋" w:eastAsia="仿宋" w:cs="仿宋"/>
              </w:rPr>
              <w:t>投标人法定代表人身份证明和法定代表人授权代表委托书扫描件</w:t>
            </w:r>
            <w:r>
              <w:rPr>
                <w:rFonts w:hint="eastAsia" w:ascii="仿宋" w:hAnsi="仿宋" w:eastAsia="仿宋" w:cs="仿宋"/>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212" w:type="pct"/>
            <w:vMerge w:val="continue"/>
            <w:vAlign w:val="center"/>
          </w:tcPr>
          <w:p>
            <w:pPr>
              <w:pStyle w:val="161"/>
              <w:jc w:val="center"/>
              <w:rPr>
                <w:rFonts w:ascii="仿宋" w:hAnsi="仿宋" w:eastAsia="仿宋" w:cs="仿宋"/>
              </w:rPr>
            </w:pPr>
          </w:p>
        </w:tc>
        <w:tc>
          <w:tcPr>
            <w:tcW w:w="587" w:type="pct"/>
            <w:vMerge w:val="continue"/>
            <w:vAlign w:val="center"/>
          </w:tcPr>
          <w:p>
            <w:pPr>
              <w:pStyle w:val="161"/>
              <w:jc w:val="center"/>
              <w:rPr>
                <w:rFonts w:ascii="仿宋" w:hAnsi="仿宋" w:eastAsia="仿宋" w:cs="仿宋"/>
              </w:rPr>
            </w:pPr>
          </w:p>
        </w:tc>
        <w:tc>
          <w:tcPr>
            <w:tcW w:w="4200" w:type="pct"/>
            <w:vAlign w:val="center"/>
          </w:tcPr>
          <w:p>
            <w:pPr>
              <w:pStyle w:val="84"/>
              <w:spacing w:line="288" w:lineRule="auto"/>
              <w:jc w:val="left"/>
              <w:rPr>
                <w:rFonts w:ascii="仿宋" w:hAnsi="仿宋" w:eastAsia="仿宋" w:cs="仿宋"/>
                <w:b/>
                <w:bCs/>
                <w:sz w:val="24"/>
                <w:szCs w:val="24"/>
              </w:rPr>
            </w:pPr>
            <w:r>
              <w:rPr>
                <w:rFonts w:hint="eastAsia" w:ascii="仿宋" w:hAnsi="仿宋" w:eastAsia="仿宋" w:cs="仿宋"/>
                <w:b/>
                <w:bCs/>
                <w:sz w:val="24"/>
                <w:szCs w:val="24"/>
              </w:rPr>
              <w:t>二、具有良好的商业信誉和健全的财务会计制度</w:t>
            </w:r>
          </w:p>
          <w:p>
            <w:pPr>
              <w:pStyle w:val="161"/>
              <w:rPr>
                <w:rFonts w:ascii="仿宋" w:hAnsi="仿宋" w:eastAsia="仿宋" w:cs="仿宋"/>
              </w:rPr>
            </w:pPr>
            <w:r>
              <w:rPr>
                <w:rFonts w:hint="eastAsia" w:ascii="仿宋" w:hAnsi="仿宋" w:eastAsia="仿宋" w:cs="仿宋"/>
                <w:kern w:val="2"/>
              </w:rPr>
              <w:t>投标人须提供会计师事务所出具的上年度（2020年度或2021年度）财务审计报告或提供本企业开户银行在投标截止时间前六个月内出具的有效的资信证明文件；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212" w:type="pct"/>
            <w:vMerge w:val="continue"/>
            <w:vAlign w:val="center"/>
          </w:tcPr>
          <w:p>
            <w:pPr>
              <w:pStyle w:val="161"/>
              <w:jc w:val="center"/>
              <w:rPr>
                <w:rFonts w:ascii="仿宋" w:hAnsi="仿宋" w:eastAsia="仿宋" w:cs="仿宋"/>
              </w:rPr>
            </w:pPr>
          </w:p>
        </w:tc>
        <w:tc>
          <w:tcPr>
            <w:tcW w:w="587" w:type="pct"/>
            <w:vMerge w:val="continue"/>
            <w:vAlign w:val="center"/>
          </w:tcPr>
          <w:p>
            <w:pPr>
              <w:pStyle w:val="161"/>
              <w:jc w:val="center"/>
              <w:rPr>
                <w:rFonts w:ascii="仿宋" w:hAnsi="仿宋" w:eastAsia="仿宋" w:cs="仿宋"/>
              </w:rPr>
            </w:pPr>
          </w:p>
        </w:tc>
        <w:tc>
          <w:tcPr>
            <w:tcW w:w="4200" w:type="pct"/>
            <w:vAlign w:val="center"/>
          </w:tcPr>
          <w:p>
            <w:pPr>
              <w:pStyle w:val="84"/>
              <w:spacing w:line="288" w:lineRule="auto"/>
              <w:rPr>
                <w:rFonts w:ascii="仿宋" w:hAnsi="仿宋" w:eastAsia="仿宋" w:cs="仿宋"/>
                <w:b/>
                <w:bCs/>
                <w:sz w:val="24"/>
                <w:szCs w:val="24"/>
              </w:rPr>
            </w:pPr>
            <w:r>
              <w:rPr>
                <w:rFonts w:hint="eastAsia" w:ascii="仿宋" w:hAnsi="仿宋" w:eastAsia="仿宋" w:cs="仿宋"/>
                <w:b/>
                <w:bCs/>
                <w:sz w:val="24"/>
                <w:szCs w:val="24"/>
              </w:rPr>
              <w:t>三、具有履行合同所必需的设备和专业技术能力</w:t>
            </w:r>
          </w:p>
          <w:p>
            <w:pPr>
              <w:pStyle w:val="161"/>
              <w:jc w:val="both"/>
              <w:rPr>
                <w:rFonts w:ascii="仿宋" w:hAnsi="仿宋" w:eastAsia="仿宋" w:cs="仿宋"/>
              </w:rPr>
            </w:pPr>
            <w:r>
              <w:rPr>
                <w:rFonts w:hint="eastAsia" w:ascii="仿宋" w:hAnsi="仿宋" w:eastAsia="仿宋" w:cs="仿宋"/>
              </w:rPr>
              <w:t>投标人须提供相关资料或书面声明（格式自拟）；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212" w:type="pct"/>
            <w:vMerge w:val="continue"/>
            <w:vAlign w:val="center"/>
          </w:tcPr>
          <w:p>
            <w:pPr>
              <w:pStyle w:val="161"/>
              <w:jc w:val="center"/>
              <w:rPr>
                <w:rFonts w:ascii="仿宋" w:hAnsi="仿宋" w:eastAsia="仿宋" w:cs="仿宋"/>
              </w:rPr>
            </w:pPr>
          </w:p>
        </w:tc>
        <w:tc>
          <w:tcPr>
            <w:tcW w:w="587" w:type="pct"/>
            <w:vMerge w:val="continue"/>
            <w:vAlign w:val="center"/>
          </w:tcPr>
          <w:p>
            <w:pPr>
              <w:pStyle w:val="161"/>
              <w:jc w:val="center"/>
              <w:rPr>
                <w:rFonts w:ascii="仿宋" w:hAnsi="仿宋" w:eastAsia="仿宋" w:cs="仿宋"/>
              </w:rPr>
            </w:pPr>
          </w:p>
        </w:tc>
        <w:tc>
          <w:tcPr>
            <w:tcW w:w="4200" w:type="pct"/>
            <w:vAlign w:val="center"/>
          </w:tcPr>
          <w:p>
            <w:pPr>
              <w:spacing w:line="360" w:lineRule="auto"/>
              <w:rPr>
                <w:rFonts w:ascii="仿宋" w:hAnsi="仿宋" w:eastAsia="仿宋" w:cs="仿宋"/>
                <w:b/>
                <w:bCs/>
                <w:sz w:val="24"/>
                <w:szCs w:val="24"/>
              </w:rPr>
            </w:pPr>
            <w:r>
              <w:rPr>
                <w:rFonts w:hint="eastAsia" w:ascii="仿宋" w:hAnsi="仿宋" w:eastAsia="仿宋" w:cs="仿宋"/>
                <w:b/>
                <w:bCs/>
                <w:sz w:val="24"/>
                <w:szCs w:val="24"/>
              </w:rPr>
              <w:t>四、有依法缴纳税收和社会保障金的良好记录</w:t>
            </w:r>
          </w:p>
          <w:p>
            <w:pPr>
              <w:pStyle w:val="104"/>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1.投标人依法缴纳税收的证明材料复印件加盖公章（提供投标截止日期之前6个月内任何一期的纳税记录或证明文件,</w:t>
            </w:r>
            <w:r>
              <w:rPr>
                <w:rFonts w:hint="eastAsia" w:ascii="仿宋" w:hAnsi="仿宋" w:eastAsia="仿宋" w:cs="仿宋"/>
                <w:sz w:val="24"/>
                <w:szCs w:val="24"/>
              </w:rPr>
              <w:t>如依法免税或不需要缴纳税收的,提供相应证明材料</w:t>
            </w:r>
            <w:r>
              <w:rPr>
                <w:rFonts w:hint="eastAsia" w:ascii="仿宋" w:hAnsi="仿宋" w:eastAsia="仿宋" w:cs="仿宋"/>
                <w:kern w:val="0"/>
                <w:sz w:val="24"/>
                <w:szCs w:val="24"/>
              </w:rPr>
              <w:t>）；</w:t>
            </w:r>
          </w:p>
          <w:p>
            <w:pPr>
              <w:pStyle w:val="161"/>
              <w:rPr>
                <w:rFonts w:ascii="仿宋" w:hAnsi="仿宋" w:eastAsia="仿宋" w:cs="仿宋"/>
              </w:rPr>
            </w:pPr>
            <w:r>
              <w:rPr>
                <w:rFonts w:hint="eastAsia" w:ascii="仿宋" w:hAnsi="仿宋" w:eastAsia="仿宋" w:cs="仿宋"/>
                <w:bCs/>
              </w:rPr>
              <w:t>2.投标人依法缴纳社会保障资金的证明材料复印件加盖公章（提供投标截止日期之前6个月内任何一期的缴费记录或证明文件,如依法不需要缴纳社会保障资金的,提供相应证明材料）。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212" w:type="pct"/>
            <w:vMerge w:val="continue"/>
            <w:vAlign w:val="center"/>
          </w:tcPr>
          <w:p>
            <w:pPr>
              <w:pStyle w:val="161"/>
              <w:jc w:val="center"/>
              <w:rPr>
                <w:rFonts w:ascii="仿宋" w:hAnsi="仿宋" w:eastAsia="仿宋" w:cs="仿宋"/>
              </w:rPr>
            </w:pPr>
          </w:p>
        </w:tc>
        <w:tc>
          <w:tcPr>
            <w:tcW w:w="587" w:type="pct"/>
            <w:vMerge w:val="continue"/>
            <w:vAlign w:val="center"/>
          </w:tcPr>
          <w:p>
            <w:pPr>
              <w:pStyle w:val="161"/>
              <w:jc w:val="center"/>
              <w:rPr>
                <w:rFonts w:ascii="仿宋" w:hAnsi="仿宋" w:eastAsia="仿宋" w:cs="仿宋"/>
              </w:rPr>
            </w:pPr>
          </w:p>
        </w:tc>
        <w:tc>
          <w:tcPr>
            <w:tcW w:w="4200" w:type="pct"/>
            <w:vAlign w:val="center"/>
          </w:tcPr>
          <w:p>
            <w:pPr>
              <w:pStyle w:val="84"/>
              <w:numPr>
                <w:ilvl w:val="0"/>
                <w:numId w:val="16"/>
              </w:numPr>
              <w:spacing w:line="288" w:lineRule="auto"/>
              <w:jc w:val="left"/>
              <w:rPr>
                <w:rFonts w:ascii="仿宋" w:hAnsi="仿宋" w:eastAsia="仿宋" w:cs="仿宋"/>
                <w:b/>
                <w:bCs/>
                <w:sz w:val="24"/>
                <w:szCs w:val="24"/>
              </w:rPr>
            </w:pPr>
            <w:r>
              <w:rPr>
                <w:rFonts w:hint="eastAsia" w:ascii="仿宋" w:hAnsi="仿宋" w:eastAsia="仿宋" w:cs="仿宋"/>
                <w:b/>
                <w:bCs/>
                <w:sz w:val="24"/>
                <w:szCs w:val="24"/>
              </w:rPr>
              <w:t>参加政府采购活动前三年内,在经营活动中没有重大违法记录</w:t>
            </w:r>
          </w:p>
          <w:p>
            <w:pPr>
              <w:pStyle w:val="84"/>
              <w:numPr>
                <w:ilvl w:val="0"/>
                <w:numId w:val="17"/>
              </w:numPr>
              <w:spacing w:line="288" w:lineRule="auto"/>
              <w:jc w:val="left"/>
              <w:rPr>
                <w:rFonts w:ascii="仿宋" w:hAnsi="仿宋" w:eastAsia="仿宋" w:cs="仿宋"/>
                <w:sz w:val="24"/>
                <w:szCs w:val="24"/>
              </w:rPr>
            </w:pPr>
            <w:r>
              <w:rPr>
                <w:rFonts w:hint="eastAsia" w:ascii="仿宋" w:hAnsi="仿宋" w:eastAsia="仿宋" w:cs="仿宋"/>
                <w:sz w:val="24"/>
                <w:szCs w:val="24"/>
              </w:rPr>
              <w:t>投标人参加政府采购活动前3年内在经营活动中没有重大违法记录的书面声明（格式自拟）；</w:t>
            </w:r>
          </w:p>
          <w:p>
            <w:pPr>
              <w:pStyle w:val="161"/>
              <w:rPr>
                <w:rFonts w:ascii="仿宋" w:hAnsi="仿宋" w:eastAsia="仿宋" w:cs="仿宋"/>
              </w:rPr>
            </w:pPr>
            <w:r>
              <w:rPr>
                <w:rFonts w:hint="eastAsia" w:ascii="仿宋" w:hAnsi="仿宋" w:eastAsia="仿宋" w:cs="仿宋"/>
                <w:sz w:val="22"/>
                <w:szCs w:val="22"/>
              </w:rPr>
              <w:t xml:space="preserve">2.投标人必须为前三年内（2019 年1 月 1 日至投标截止时间(开标时间)）未被列入“信用中国”网站（www.creditchina.gov.cn）、中国政府采购网（www.ccgp.gov.cn）信用记录失信被执行人、税收违法黑名单、政府采购严重违法失信行为记录名单的；（查询的时间以采购人或采购代理机构开标当日查询记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212" w:type="pct"/>
            <w:vMerge w:val="continue"/>
            <w:vAlign w:val="center"/>
          </w:tcPr>
          <w:p>
            <w:pPr>
              <w:pStyle w:val="161"/>
              <w:jc w:val="center"/>
              <w:rPr>
                <w:rFonts w:ascii="仿宋" w:hAnsi="仿宋" w:eastAsia="仿宋" w:cs="仿宋"/>
              </w:rPr>
            </w:pPr>
          </w:p>
        </w:tc>
        <w:tc>
          <w:tcPr>
            <w:tcW w:w="587" w:type="pct"/>
            <w:vMerge w:val="continue"/>
            <w:vAlign w:val="center"/>
          </w:tcPr>
          <w:p>
            <w:pPr>
              <w:pStyle w:val="161"/>
              <w:jc w:val="center"/>
              <w:rPr>
                <w:rFonts w:ascii="仿宋" w:hAnsi="仿宋" w:eastAsia="仿宋" w:cs="仿宋"/>
              </w:rPr>
            </w:pPr>
          </w:p>
        </w:tc>
        <w:tc>
          <w:tcPr>
            <w:tcW w:w="4200" w:type="pct"/>
            <w:vAlign w:val="center"/>
          </w:tcPr>
          <w:p>
            <w:pPr>
              <w:pStyle w:val="84"/>
              <w:numPr>
                <w:ilvl w:val="0"/>
                <w:numId w:val="16"/>
              </w:numPr>
              <w:spacing w:line="288" w:lineRule="auto"/>
              <w:rPr>
                <w:rFonts w:ascii="仿宋" w:hAnsi="仿宋" w:eastAsia="仿宋" w:cs="仿宋"/>
                <w:b/>
                <w:bCs/>
                <w:sz w:val="24"/>
                <w:szCs w:val="24"/>
              </w:rPr>
            </w:pPr>
            <w:r>
              <w:rPr>
                <w:rFonts w:hint="eastAsia" w:ascii="仿宋" w:hAnsi="仿宋" w:eastAsia="仿宋" w:cs="仿宋"/>
                <w:b/>
                <w:bCs/>
                <w:sz w:val="24"/>
                <w:szCs w:val="24"/>
              </w:rPr>
              <w:t>具备法律、行政法规规定的其他条件的证明材料</w:t>
            </w:r>
          </w:p>
          <w:p>
            <w:pPr>
              <w:pStyle w:val="161"/>
              <w:rPr>
                <w:rFonts w:ascii="仿宋" w:hAnsi="仿宋" w:eastAsia="仿宋" w:cs="仿宋"/>
              </w:rPr>
            </w:pPr>
            <w:r>
              <w:rPr>
                <w:rFonts w:hint="eastAsia" w:ascii="仿宋" w:hAnsi="仿宋" w:eastAsia="仿宋" w:cs="仿宋"/>
                <w:b/>
                <w:bCs/>
              </w:rPr>
              <w:t>投标保证金:</w:t>
            </w:r>
            <w:r>
              <w:rPr>
                <w:rFonts w:hint="eastAsia" w:ascii="仿宋" w:hAnsi="仿宋" w:eastAsia="仿宋" w:cs="仿宋"/>
                <w:b/>
              </w:rPr>
              <w:t>通过基本账户转出的投标保证金汇款凭证（备注项目名称或项目编号）和投标人基本账户开户许可证或基本存款账户信息。如提供采用银行保函缴纳的，应出具保函的银行级别（应为国有商业银行或股份制商业银行的支行及其以上的银行）及保函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212" w:type="pct"/>
            <w:vMerge w:val="restart"/>
            <w:vAlign w:val="center"/>
          </w:tcPr>
          <w:p>
            <w:pPr>
              <w:pStyle w:val="161"/>
              <w:jc w:val="center"/>
              <w:rPr>
                <w:rFonts w:ascii="仿宋" w:hAnsi="仿宋" w:eastAsia="仿宋" w:cs="仿宋"/>
              </w:rPr>
            </w:pPr>
            <w:r>
              <w:rPr>
                <w:rFonts w:hint="eastAsia" w:ascii="仿宋" w:hAnsi="仿宋" w:eastAsia="仿宋" w:cs="仿宋"/>
              </w:rPr>
              <w:t>2</w:t>
            </w:r>
          </w:p>
        </w:tc>
        <w:tc>
          <w:tcPr>
            <w:tcW w:w="587" w:type="pct"/>
            <w:vMerge w:val="restart"/>
            <w:vAlign w:val="center"/>
          </w:tcPr>
          <w:p>
            <w:pPr>
              <w:pStyle w:val="161"/>
              <w:jc w:val="center"/>
              <w:rPr>
                <w:rFonts w:ascii="仿宋" w:hAnsi="仿宋" w:eastAsia="仿宋" w:cs="仿宋"/>
              </w:rPr>
            </w:pPr>
            <w:r>
              <w:rPr>
                <w:rFonts w:hint="eastAsia" w:ascii="仿宋" w:hAnsi="仿宋" w:eastAsia="仿宋" w:cs="仿宋"/>
              </w:rPr>
              <w:t>符合性检查</w:t>
            </w:r>
          </w:p>
        </w:tc>
        <w:tc>
          <w:tcPr>
            <w:tcW w:w="4200" w:type="pct"/>
            <w:vAlign w:val="center"/>
          </w:tcPr>
          <w:p>
            <w:pPr>
              <w:pStyle w:val="3"/>
              <w:spacing w:before="0" w:after="0" w:line="240" w:lineRule="auto"/>
              <w:ind w:firstLine="0"/>
              <w:rPr>
                <w:rFonts w:ascii="仿宋" w:hAnsi="仿宋" w:eastAsia="仿宋" w:cs="仿宋"/>
                <w:sz w:val="24"/>
                <w:szCs w:val="24"/>
              </w:rPr>
            </w:pPr>
            <w:bookmarkStart w:id="189" w:name="_Toc4126"/>
            <w:bookmarkStart w:id="190" w:name="_Toc21713"/>
            <w:r>
              <w:rPr>
                <w:rFonts w:hint="eastAsia" w:ascii="仿宋" w:hAnsi="仿宋" w:eastAsia="仿宋" w:cs="仿宋"/>
                <w:b w:val="0"/>
                <w:bCs w:val="0"/>
                <w:kern w:val="2"/>
                <w:sz w:val="24"/>
                <w:szCs w:val="24"/>
              </w:rPr>
              <w:t>一、</w:t>
            </w:r>
            <w:r>
              <w:rPr>
                <w:rFonts w:hint="eastAsia" w:ascii="仿宋" w:hAnsi="仿宋" w:eastAsia="仿宋" w:cs="仿宋"/>
                <w:sz w:val="24"/>
                <w:szCs w:val="24"/>
              </w:rPr>
              <w:t>电子投标文件签署</w:t>
            </w:r>
            <w:bookmarkEnd w:id="189"/>
            <w:bookmarkEnd w:id="190"/>
          </w:p>
          <w:p>
            <w:pPr>
              <w:pStyle w:val="161"/>
              <w:rPr>
                <w:rFonts w:ascii="仿宋" w:hAnsi="仿宋" w:eastAsia="仿宋" w:cs="仿宋"/>
              </w:rPr>
            </w:pPr>
            <w:r>
              <w:rPr>
                <w:rFonts w:hint="eastAsia" w:ascii="仿宋" w:hAnsi="仿宋" w:eastAsia="仿宋" w:cs="仿宋"/>
                <w:kern w:val="2"/>
              </w:rPr>
              <w:t>电子投标文件上公司签章、法定代表人或其授权代表人的签章或签字是否符合招标文件要求；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212" w:type="pct"/>
            <w:vMerge w:val="continue"/>
            <w:vAlign w:val="center"/>
          </w:tcPr>
          <w:p>
            <w:pPr>
              <w:pStyle w:val="161"/>
              <w:jc w:val="center"/>
              <w:rPr>
                <w:rFonts w:ascii="仿宋" w:hAnsi="仿宋" w:eastAsia="仿宋" w:cs="仿宋"/>
              </w:rPr>
            </w:pPr>
          </w:p>
        </w:tc>
        <w:tc>
          <w:tcPr>
            <w:tcW w:w="587" w:type="pct"/>
            <w:vMerge w:val="continue"/>
            <w:vAlign w:val="center"/>
          </w:tcPr>
          <w:p>
            <w:pPr>
              <w:pStyle w:val="161"/>
              <w:jc w:val="center"/>
              <w:rPr>
                <w:rFonts w:ascii="仿宋" w:hAnsi="仿宋" w:eastAsia="仿宋" w:cs="仿宋"/>
              </w:rPr>
            </w:pPr>
          </w:p>
        </w:tc>
        <w:tc>
          <w:tcPr>
            <w:tcW w:w="4200" w:type="pct"/>
            <w:vAlign w:val="center"/>
          </w:tcPr>
          <w:p>
            <w:pPr>
              <w:pStyle w:val="161"/>
              <w:rPr>
                <w:rFonts w:ascii="仿宋" w:hAnsi="仿宋" w:eastAsia="仿宋" w:cs="仿宋"/>
                <w:b/>
                <w:bCs/>
              </w:rPr>
            </w:pPr>
            <w:r>
              <w:rPr>
                <w:rFonts w:hint="eastAsia" w:ascii="仿宋" w:hAnsi="仿宋" w:eastAsia="仿宋" w:cs="仿宋"/>
                <w:b/>
                <w:bCs/>
              </w:rPr>
              <w:t>二、报价唯一性投标报价</w:t>
            </w:r>
          </w:p>
          <w:p>
            <w:pPr>
              <w:pStyle w:val="161"/>
              <w:rPr>
                <w:rFonts w:ascii="仿宋" w:hAnsi="仿宋" w:eastAsia="仿宋" w:cs="仿宋"/>
              </w:rPr>
            </w:pPr>
            <w:r>
              <w:rPr>
                <w:rFonts w:hint="eastAsia" w:ascii="仿宋" w:hAnsi="仿宋" w:eastAsia="仿宋" w:cs="仿宋"/>
              </w:rPr>
              <w:t>具有唯一性,报价未超过招标文件中规定的预算金额或者最高限价；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18" w:hRule="atLeast"/>
        </w:trPr>
        <w:tc>
          <w:tcPr>
            <w:tcW w:w="212" w:type="pct"/>
            <w:vMerge w:val="continue"/>
            <w:vAlign w:val="center"/>
          </w:tcPr>
          <w:p>
            <w:pPr>
              <w:pStyle w:val="161"/>
              <w:jc w:val="center"/>
              <w:rPr>
                <w:rFonts w:ascii="仿宋" w:hAnsi="仿宋" w:eastAsia="仿宋" w:cs="仿宋"/>
              </w:rPr>
            </w:pPr>
          </w:p>
        </w:tc>
        <w:tc>
          <w:tcPr>
            <w:tcW w:w="587" w:type="pct"/>
            <w:vMerge w:val="continue"/>
            <w:vAlign w:val="center"/>
          </w:tcPr>
          <w:p>
            <w:pPr>
              <w:pStyle w:val="161"/>
              <w:jc w:val="center"/>
              <w:rPr>
                <w:rFonts w:ascii="仿宋" w:hAnsi="仿宋" w:eastAsia="仿宋" w:cs="仿宋"/>
              </w:rPr>
            </w:pPr>
          </w:p>
        </w:tc>
        <w:tc>
          <w:tcPr>
            <w:tcW w:w="4200" w:type="pct"/>
            <w:vAlign w:val="center"/>
          </w:tcPr>
          <w:p>
            <w:pPr>
              <w:jc w:val="left"/>
              <w:rPr>
                <w:rFonts w:ascii="仿宋" w:hAnsi="仿宋" w:eastAsia="仿宋" w:cs="仿宋"/>
                <w:b/>
                <w:bCs/>
                <w:kern w:val="0"/>
                <w:sz w:val="24"/>
                <w:szCs w:val="24"/>
              </w:rPr>
            </w:pPr>
            <w:r>
              <w:rPr>
                <w:rFonts w:hint="eastAsia" w:ascii="仿宋" w:hAnsi="仿宋" w:eastAsia="仿宋" w:cs="仿宋"/>
                <w:b/>
                <w:bCs/>
                <w:kern w:val="0"/>
                <w:sz w:val="24"/>
                <w:szCs w:val="24"/>
              </w:rPr>
              <w:t>三、投标有效期</w:t>
            </w:r>
          </w:p>
          <w:p>
            <w:pPr>
              <w:pStyle w:val="161"/>
              <w:rPr>
                <w:rFonts w:ascii="仿宋" w:hAnsi="仿宋" w:eastAsia="仿宋" w:cs="仿宋"/>
              </w:rPr>
            </w:pPr>
            <w:r>
              <w:rPr>
                <w:rFonts w:hint="eastAsia" w:ascii="仿宋" w:hAnsi="仿宋" w:eastAsia="仿宋" w:cs="仿宋"/>
                <w:kern w:val="2"/>
              </w:rPr>
              <w:t>自提交投标文件截止之日起90日历日内；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86" w:hRule="atLeast"/>
        </w:trPr>
        <w:tc>
          <w:tcPr>
            <w:tcW w:w="212" w:type="pct"/>
            <w:vMerge w:val="continue"/>
            <w:vAlign w:val="center"/>
          </w:tcPr>
          <w:p>
            <w:pPr>
              <w:pStyle w:val="161"/>
              <w:jc w:val="center"/>
              <w:rPr>
                <w:rFonts w:ascii="仿宋" w:hAnsi="仿宋" w:eastAsia="仿宋" w:cs="仿宋"/>
              </w:rPr>
            </w:pPr>
          </w:p>
        </w:tc>
        <w:tc>
          <w:tcPr>
            <w:tcW w:w="587" w:type="pct"/>
            <w:vMerge w:val="continue"/>
            <w:vAlign w:val="center"/>
          </w:tcPr>
          <w:p>
            <w:pPr>
              <w:pStyle w:val="161"/>
              <w:jc w:val="center"/>
              <w:rPr>
                <w:rFonts w:ascii="仿宋" w:hAnsi="仿宋" w:eastAsia="仿宋" w:cs="仿宋"/>
              </w:rPr>
            </w:pPr>
          </w:p>
        </w:tc>
        <w:tc>
          <w:tcPr>
            <w:tcW w:w="4200" w:type="pct"/>
            <w:vAlign w:val="center"/>
          </w:tcPr>
          <w:p>
            <w:pPr>
              <w:jc w:val="left"/>
              <w:rPr>
                <w:rFonts w:ascii="仿宋" w:hAnsi="仿宋" w:eastAsia="仿宋" w:cs="仿宋"/>
                <w:b/>
                <w:bCs/>
                <w:kern w:val="0"/>
                <w:sz w:val="24"/>
                <w:szCs w:val="24"/>
              </w:rPr>
            </w:pPr>
            <w:r>
              <w:rPr>
                <w:rFonts w:hint="eastAsia" w:ascii="仿宋" w:hAnsi="仿宋" w:eastAsia="仿宋" w:cs="仿宋"/>
                <w:b/>
                <w:bCs/>
                <w:kern w:val="0"/>
                <w:sz w:val="24"/>
                <w:szCs w:val="24"/>
              </w:rPr>
              <w:t>四、其它</w:t>
            </w:r>
          </w:p>
          <w:p>
            <w:pPr>
              <w:jc w:val="left"/>
              <w:rPr>
                <w:rFonts w:ascii="仿宋" w:hAnsi="仿宋" w:eastAsia="仿宋" w:cs="仿宋"/>
                <w:kern w:val="0"/>
                <w:sz w:val="24"/>
                <w:szCs w:val="24"/>
              </w:rPr>
            </w:pPr>
            <w:r>
              <w:rPr>
                <w:rFonts w:hint="eastAsia" w:ascii="仿宋" w:hAnsi="仿宋" w:eastAsia="仿宋" w:cs="仿宋"/>
                <w:kern w:val="0"/>
                <w:sz w:val="24"/>
                <w:szCs w:val="24"/>
              </w:rPr>
              <w:t>1、投标文件是否含有采购人不能接受的附加条件；</w:t>
            </w:r>
          </w:p>
          <w:p>
            <w:pPr>
              <w:jc w:val="left"/>
              <w:rPr>
                <w:rFonts w:ascii="仿宋" w:hAnsi="仿宋" w:eastAsia="仿宋" w:cs="仿宋"/>
                <w:kern w:val="0"/>
                <w:sz w:val="24"/>
                <w:szCs w:val="24"/>
              </w:rPr>
            </w:pPr>
            <w:r>
              <w:rPr>
                <w:rFonts w:hint="eastAsia" w:ascii="仿宋" w:hAnsi="仿宋" w:eastAsia="仿宋" w:cs="仿宋"/>
                <w:kern w:val="0"/>
                <w:sz w:val="24"/>
                <w:szCs w:val="24"/>
              </w:rPr>
              <w:t>2、是否违反国家法律、法规和采购文件规定的其他无效情形。</w:t>
            </w:r>
          </w:p>
          <w:p>
            <w:pPr>
              <w:jc w:val="left"/>
              <w:rPr>
                <w:rFonts w:ascii="仿宋" w:hAnsi="仿宋" w:eastAsia="仿宋" w:cs="仿宋"/>
                <w:sz w:val="24"/>
                <w:szCs w:val="24"/>
              </w:rPr>
            </w:pPr>
            <w:r>
              <w:rPr>
                <w:rFonts w:hint="eastAsia" w:ascii="仿宋" w:hAnsi="仿宋" w:eastAsia="仿宋" w:cs="仿宋"/>
                <w:kern w:val="0"/>
                <w:sz w:val="24"/>
                <w:szCs w:val="24"/>
              </w:rPr>
              <w:t>3、未与其他投标人串通投标,或者与招标人串通投标。</w:t>
            </w:r>
          </w:p>
        </w:tc>
      </w:tr>
    </w:tbl>
    <w:p>
      <w:pPr>
        <w:pStyle w:val="2"/>
        <w:ind w:firstLine="480"/>
        <w:rPr>
          <w:rFonts w:ascii="仿宋" w:hAnsi="仿宋" w:eastAsia="仿宋" w:cs="仿宋"/>
          <w:sz w:val="24"/>
        </w:rPr>
      </w:pPr>
    </w:p>
    <w:p>
      <w:pPr>
        <w:rPr>
          <w:rFonts w:ascii="仿宋" w:hAnsi="仿宋" w:eastAsia="仿宋" w:cs="仿宋"/>
        </w:rPr>
      </w:pPr>
      <w:r>
        <w:rPr>
          <w:rFonts w:hint="eastAsia" w:ascii="仿宋" w:hAnsi="仿宋" w:eastAsia="仿宋" w:cs="仿宋"/>
          <w:sz w:val="24"/>
        </w:rPr>
        <w:t>以上检查内容必须全部符合检查标准，否则为无效标。</w:t>
      </w:r>
    </w:p>
    <w:p>
      <w:pPr>
        <w:rPr>
          <w:rFonts w:ascii="仿宋" w:hAnsi="仿宋" w:eastAsia="仿宋" w:cs="仿宋"/>
          <w:sz w:val="24"/>
        </w:rPr>
      </w:pPr>
    </w:p>
    <w:p>
      <w:pPr>
        <w:pStyle w:val="2"/>
        <w:ind w:firstLine="480"/>
        <w:rPr>
          <w:rFonts w:ascii="仿宋" w:hAnsi="仿宋" w:eastAsia="仿宋" w:cs="仿宋"/>
          <w:sz w:val="24"/>
        </w:rPr>
      </w:pPr>
    </w:p>
    <w:p>
      <w:pPr>
        <w:rPr>
          <w:rFonts w:ascii="仿宋" w:hAnsi="仿宋" w:eastAsia="仿宋" w:cs="仿宋"/>
          <w:sz w:val="24"/>
        </w:rPr>
      </w:pPr>
    </w:p>
    <w:p>
      <w:pPr>
        <w:pStyle w:val="2"/>
        <w:ind w:firstLine="480"/>
        <w:rPr>
          <w:rFonts w:ascii="仿宋" w:hAnsi="仿宋" w:eastAsia="仿宋" w:cs="仿宋"/>
          <w:sz w:val="24"/>
        </w:rPr>
      </w:pPr>
    </w:p>
    <w:p>
      <w:pPr>
        <w:rPr>
          <w:rFonts w:ascii="仿宋" w:hAnsi="仿宋" w:eastAsia="仿宋" w:cs="仿宋"/>
          <w:sz w:val="24"/>
        </w:rPr>
      </w:pPr>
    </w:p>
    <w:p>
      <w:pPr>
        <w:pStyle w:val="2"/>
        <w:ind w:firstLine="480"/>
        <w:rPr>
          <w:rFonts w:ascii="仿宋" w:hAnsi="仿宋" w:eastAsia="仿宋" w:cs="仿宋"/>
          <w:sz w:val="24"/>
        </w:rPr>
      </w:pPr>
    </w:p>
    <w:p>
      <w:pPr>
        <w:rPr>
          <w:rFonts w:ascii="仿宋" w:hAnsi="仿宋" w:eastAsia="仿宋" w:cs="仿宋"/>
          <w:sz w:val="24"/>
        </w:rPr>
      </w:pPr>
    </w:p>
    <w:p>
      <w:pPr>
        <w:pStyle w:val="2"/>
        <w:ind w:firstLine="480"/>
        <w:rPr>
          <w:rFonts w:ascii="仿宋" w:hAnsi="仿宋" w:eastAsia="仿宋" w:cs="仿宋"/>
          <w:sz w:val="24"/>
        </w:rPr>
      </w:pPr>
    </w:p>
    <w:p>
      <w:pPr>
        <w:rPr>
          <w:rFonts w:ascii="仿宋" w:hAnsi="仿宋" w:eastAsia="仿宋" w:cs="仿宋"/>
          <w:sz w:val="24"/>
        </w:rPr>
      </w:pPr>
    </w:p>
    <w:p>
      <w:pPr>
        <w:pStyle w:val="2"/>
        <w:ind w:firstLine="480"/>
        <w:rPr>
          <w:rFonts w:ascii="仿宋" w:hAnsi="仿宋" w:eastAsia="仿宋" w:cs="仿宋"/>
          <w:sz w:val="24"/>
        </w:rPr>
      </w:pPr>
    </w:p>
    <w:p>
      <w:pPr>
        <w:rPr>
          <w:rFonts w:ascii="仿宋" w:hAnsi="仿宋" w:eastAsia="仿宋" w:cs="仿宋"/>
          <w:sz w:val="24"/>
        </w:rPr>
      </w:pPr>
    </w:p>
    <w:p>
      <w:pPr>
        <w:pStyle w:val="2"/>
        <w:ind w:firstLine="480"/>
        <w:rPr>
          <w:rFonts w:ascii="仿宋" w:hAnsi="仿宋" w:eastAsia="仿宋" w:cs="仿宋"/>
          <w:sz w:val="24"/>
        </w:rPr>
      </w:pPr>
    </w:p>
    <w:p>
      <w:pPr>
        <w:rPr>
          <w:rFonts w:ascii="仿宋" w:hAnsi="仿宋" w:eastAsia="仿宋" w:cs="仿宋"/>
          <w:sz w:val="24"/>
        </w:rPr>
      </w:pPr>
    </w:p>
    <w:p>
      <w:pPr>
        <w:pStyle w:val="2"/>
        <w:ind w:firstLine="480"/>
        <w:rPr>
          <w:rFonts w:ascii="仿宋" w:hAnsi="仿宋" w:eastAsia="仿宋" w:cs="仿宋"/>
          <w:sz w:val="24"/>
        </w:rPr>
      </w:pPr>
    </w:p>
    <w:p>
      <w:pPr>
        <w:rPr>
          <w:rFonts w:ascii="仿宋" w:hAnsi="仿宋" w:eastAsia="仿宋" w:cs="仿宋"/>
          <w:sz w:val="24"/>
        </w:rPr>
      </w:pPr>
    </w:p>
    <w:p>
      <w:pPr>
        <w:pStyle w:val="2"/>
        <w:ind w:firstLine="480"/>
        <w:rPr>
          <w:rFonts w:ascii="仿宋" w:hAnsi="仿宋" w:eastAsia="仿宋" w:cs="仿宋"/>
          <w:sz w:val="24"/>
        </w:rPr>
      </w:pPr>
    </w:p>
    <w:p>
      <w:pPr>
        <w:rPr>
          <w:rFonts w:ascii="仿宋" w:hAnsi="仿宋" w:eastAsia="仿宋" w:cs="仿宋"/>
          <w:sz w:val="24"/>
        </w:rPr>
      </w:pPr>
    </w:p>
    <w:p>
      <w:pPr>
        <w:pStyle w:val="2"/>
      </w:pPr>
    </w:p>
    <w:p>
      <w:pPr>
        <w:rPr>
          <w:rFonts w:ascii="仿宋" w:hAnsi="仿宋" w:eastAsia="仿宋" w:cs="仿宋"/>
        </w:rPr>
      </w:pPr>
      <w:bookmarkStart w:id="191" w:name="EBcca7ec5f7e3a4f82ac66d40226497d3e"/>
      <w:r>
        <w:rPr>
          <w:rFonts w:hint="eastAsia" w:ascii="仿宋" w:hAnsi="仿宋" w:eastAsia="仿宋" w:cs="仿宋"/>
          <w:color w:val="000080"/>
          <w:sz w:val="20"/>
        </w:rPr>
        <w:t xml:space="preserve"> </w:t>
      </w:r>
      <w:bookmarkEnd w:id="191"/>
    </w:p>
    <w:p>
      <w:pPr>
        <w:pStyle w:val="19"/>
        <w:tabs>
          <w:tab w:val="left" w:pos="0"/>
        </w:tabs>
        <w:spacing w:line="240" w:lineRule="auto"/>
        <w:ind w:left="0" w:leftChars="0" w:firstLine="0" w:firstLineChars="0"/>
        <w:jc w:val="center"/>
        <w:rPr>
          <w:rFonts w:ascii="宋体" w:hAnsi="宋体" w:cs="宋体"/>
          <w:b/>
          <w:sz w:val="36"/>
        </w:rPr>
      </w:pPr>
      <w:bookmarkStart w:id="192" w:name="EB52f6984251c942469dcd80a82d573493"/>
      <w:bookmarkEnd w:id="192"/>
      <w:bookmarkStart w:id="193" w:name="_Toc15131"/>
    </w:p>
    <w:p>
      <w:pPr>
        <w:pStyle w:val="19"/>
        <w:tabs>
          <w:tab w:val="left" w:pos="0"/>
        </w:tabs>
        <w:spacing w:line="240" w:lineRule="auto"/>
        <w:ind w:left="0" w:leftChars="0" w:firstLine="0" w:firstLineChars="0"/>
        <w:jc w:val="center"/>
        <w:rPr>
          <w:rFonts w:ascii="宋体" w:hAnsi="宋体" w:cs="宋体"/>
          <w:b/>
          <w:sz w:val="36"/>
        </w:rPr>
      </w:pPr>
    </w:p>
    <w:p>
      <w:pPr>
        <w:pStyle w:val="19"/>
        <w:tabs>
          <w:tab w:val="left" w:pos="0"/>
        </w:tabs>
        <w:spacing w:line="240" w:lineRule="auto"/>
        <w:ind w:left="0" w:leftChars="0" w:firstLine="0" w:firstLineChars="0"/>
        <w:jc w:val="center"/>
        <w:rPr>
          <w:rFonts w:ascii="宋体" w:hAnsi="宋体" w:cs="宋体"/>
          <w:b/>
          <w:sz w:val="36"/>
        </w:rPr>
      </w:pPr>
    </w:p>
    <w:p>
      <w:pPr>
        <w:pStyle w:val="19"/>
        <w:tabs>
          <w:tab w:val="left" w:pos="0"/>
        </w:tabs>
        <w:spacing w:line="240" w:lineRule="auto"/>
        <w:ind w:left="0" w:leftChars="0" w:firstLine="0" w:firstLineChars="0"/>
        <w:jc w:val="center"/>
        <w:rPr>
          <w:rFonts w:ascii="宋体" w:hAnsi="宋体" w:cs="宋体"/>
          <w:b/>
          <w:sz w:val="36"/>
        </w:rPr>
      </w:pPr>
    </w:p>
    <w:p>
      <w:pPr>
        <w:pStyle w:val="19"/>
        <w:tabs>
          <w:tab w:val="left" w:pos="0"/>
        </w:tabs>
        <w:spacing w:line="240" w:lineRule="auto"/>
        <w:ind w:left="0" w:leftChars="0" w:firstLine="0" w:firstLineChars="0"/>
        <w:jc w:val="center"/>
        <w:rPr>
          <w:rFonts w:ascii="宋体" w:hAnsi="宋体" w:cs="宋体"/>
          <w:b/>
          <w:sz w:val="36"/>
        </w:rPr>
      </w:pPr>
    </w:p>
    <w:p>
      <w:pPr>
        <w:pStyle w:val="19"/>
        <w:tabs>
          <w:tab w:val="left" w:pos="0"/>
        </w:tabs>
        <w:spacing w:line="240" w:lineRule="auto"/>
        <w:ind w:left="0" w:leftChars="0" w:firstLine="0" w:firstLineChars="0"/>
        <w:jc w:val="center"/>
        <w:rPr>
          <w:rFonts w:ascii="宋体" w:hAnsi="宋体" w:cs="宋体"/>
          <w:b/>
          <w:sz w:val="36"/>
        </w:rPr>
      </w:pPr>
    </w:p>
    <w:p>
      <w:pPr>
        <w:pStyle w:val="19"/>
        <w:tabs>
          <w:tab w:val="left" w:pos="0"/>
        </w:tabs>
        <w:spacing w:line="240" w:lineRule="auto"/>
        <w:ind w:left="0" w:leftChars="0" w:firstLine="0" w:firstLineChars="0"/>
        <w:jc w:val="center"/>
        <w:outlineLvl w:val="0"/>
        <w:rPr>
          <w:rFonts w:hint="eastAsia" w:ascii="宋体" w:hAnsi="宋体" w:cs="宋体"/>
          <w:b/>
          <w:sz w:val="36"/>
        </w:rPr>
      </w:pPr>
      <w:bookmarkStart w:id="194" w:name="_Toc650"/>
    </w:p>
    <w:p>
      <w:pPr>
        <w:pStyle w:val="19"/>
        <w:tabs>
          <w:tab w:val="left" w:pos="0"/>
        </w:tabs>
        <w:spacing w:line="240" w:lineRule="auto"/>
        <w:ind w:left="0" w:leftChars="0" w:firstLine="0" w:firstLineChars="0"/>
        <w:jc w:val="center"/>
        <w:outlineLvl w:val="0"/>
        <w:rPr>
          <w:rFonts w:hint="eastAsia" w:ascii="宋体" w:hAnsi="宋体" w:cs="宋体"/>
          <w:b/>
          <w:sz w:val="36"/>
        </w:rPr>
      </w:pPr>
    </w:p>
    <w:p>
      <w:pPr>
        <w:pStyle w:val="19"/>
        <w:tabs>
          <w:tab w:val="left" w:pos="0"/>
        </w:tabs>
        <w:spacing w:line="240" w:lineRule="auto"/>
        <w:ind w:left="0" w:leftChars="0" w:firstLine="0" w:firstLineChars="0"/>
        <w:jc w:val="center"/>
        <w:outlineLvl w:val="0"/>
        <w:rPr>
          <w:rFonts w:ascii="仿宋" w:hAnsi="仿宋" w:eastAsia="仿宋" w:cs="仿宋"/>
          <w:b/>
          <w:sz w:val="36"/>
        </w:rPr>
      </w:pPr>
      <w:r>
        <w:rPr>
          <w:rFonts w:hint="eastAsia" w:ascii="宋体" w:hAnsi="宋体" w:cs="宋体"/>
          <w:b/>
          <w:sz w:val="36"/>
        </w:rPr>
        <w:t xml:space="preserve">第五部分  </w:t>
      </w:r>
      <w:bookmarkStart w:id="195" w:name="_Toc6623"/>
      <w:r>
        <w:rPr>
          <w:rFonts w:hint="eastAsia" w:ascii="仿宋" w:hAnsi="仿宋" w:eastAsia="仿宋" w:cs="仿宋"/>
          <w:b/>
          <w:sz w:val="36"/>
        </w:rPr>
        <w:t>政府采购合同</w:t>
      </w:r>
      <w:bookmarkEnd w:id="193"/>
      <w:bookmarkEnd w:id="194"/>
      <w:bookmarkEnd w:id="195"/>
    </w:p>
    <w:p>
      <w:pPr>
        <w:rPr>
          <w:rFonts w:ascii="仿宋" w:hAnsi="仿宋" w:eastAsia="仿宋" w:cs="仿宋"/>
          <w:highlight w:val="red"/>
        </w:rPr>
      </w:pPr>
    </w:p>
    <w:p>
      <w:pPr>
        <w:pStyle w:val="102"/>
        <w:tabs>
          <w:tab w:val="left" w:pos="720"/>
        </w:tabs>
        <w:spacing w:line="360" w:lineRule="auto"/>
        <w:jc w:val="center"/>
        <w:rPr>
          <w:rFonts w:ascii="仿宋" w:hAnsi="仿宋" w:eastAsia="仿宋" w:cs="仿宋"/>
          <w:b/>
          <w:sz w:val="28"/>
          <w:szCs w:val="28"/>
          <w:u w:val="single"/>
        </w:rPr>
      </w:pPr>
    </w:p>
    <w:p>
      <w:pPr>
        <w:pStyle w:val="102"/>
        <w:tabs>
          <w:tab w:val="left" w:pos="720"/>
        </w:tabs>
        <w:spacing w:line="360" w:lineRule="auto"/>
        <w:jc w:val="center"/>
        <w:rPr>
          <w:rFonts w:ascii="仿宋" w:hAnsi="仿宋" w:eastAsia="仿宋" w:cs="仿宋"/>
          <w:b/>
          <w:sz w:val="28"/>
          <w:szCs w:val="28"/>
          <w:u w:val="single"/>
        </w:rPr>
      </w:pPr>
    </w:p>
    <w:p>
      <w:pPr>
        <w:pStyle w:val="102"/>
        <w:tabs>
          <w:tab w:val="left" w:pos="720"/>
        </w:tabs>
        <w:spacing w:line="360" w:lineRule="auto"/>
        <w:jc w:val="center"/>
        <w:rPr>
          <w:rFonts w:ascii="仿宋" w:hAnsi="仿宋" w:eastAsia="仿宋" w:cs="仿宋"/>
          <w:b/>
          <w:sz w:val="28"/>
          <w:szCs w:val="28"/>
        </w:rPr>
      </w:pPr>
    </w:p>
    <w:p>
      <w:pPr>
        <w:pStyle w:val="102"/>
        <w:tabs>
          <w:tab w:val="left" w:pos="720"/>
        </w:tabs>
        <w:spacing w:line="360" w:lineRule="auto"/>
        <w:jc w:val="center"/>
        <w:rPr>
          <w:rFonts w:ascii="仿宋" w:hAnsi="仿宋" w:eastAsia="仿宋" w:cs="仿宋"/>
          <w:b/>
          <w:sz w:val="28"/>
          <w:szCs w:val="28"/>
        </w:rPr>
      </w:pPr>
    </w:p>
    <w:p>
      <w:pPr>
        <w:pStyle w:val="102"/>
        <w:tabs>
          <w:tab w:val="left" w:pos="720"/>
        </w:tabs>
        <w:spacing w:line="360" w:lineRule="auto"/>
        <w:rPr>
          <w:rFonts w:ascii="仿宋" w:hAnsi="仿宋" w:eastAsia="仿宋" w:cs="仿宋"/>
          <w:b/>
          <w:sz w:val="28"/>
          <w:szCs w:val="28"/>
        </w:rPr>
      </w:pPr>
    </w:p>
    <w:p>
      <w:pPr>
        <w:pStyle w:val="102"/>
        <w:tabs>
          <w:tab w:val="left" w:pos="720"/>
        </w:tabs>
        <w:spacing w:line="360" w:lineRule="auto"/>
        <w:rPr>
          <w:rFonts w:ascii="仿宋" w:hAnsi="仿宋" w:eastAsia="仿宋" w:cs="仿宋"/>
          <w:b/>
          <w:sz w:val="28"/>
          <w:szCs w:val="28"/>
        </w:rPr>
      </w:pPr>
    </w:p>
    <w:p>
      <w:pPr>
        <w:pStyle w:val="102"/>
        <w:tabs>
          <w:tab w:val="left" w:pos="720"/>
        </w:tabs>
        <w:spacing w:line="360" w:lineRule="auto"/>
        <w:rPr>
          <w:rFonts w:ascii="仿宋" w:hAnsi="仿宋" w:eastAsia="仿宋" w:cs="仿宋"/>
          <w:b/>
          <w:sz w:val="28"/>
          <w:szCs w:val="28"/>
        </w:rPr>
      </w:pPr>
    </w:p>
    <w:p>
      <w:pPr>
        <w:pStyle w:val="102"/>
        <w:tabs>
          <w:tab w:val="left" w:pos="720"/>
        </w:tabs>
        <w:spacing w:line="360" w:lineRule="auto"/>
        <w:ind w:firstLine="1110" w:firstLineChars="395"/>
        <w:rPr>
          <w:rFonts w:ascii="仿宋" w:hAnsi="仿宋" w:eastAsia="仿宋" w:cs="仿宋"/>
          <w:b/>
          <w:sz w:val="28"/>
          <w:szCs w:val="28"/>
        </w:rPr>
      </w:pPr>
      <w:r>
        <w:rPr>
          <w:rFonts w:hint="eastAsia" w:ascii="仿宋" w:hAnsi="仿宋" w:eastAsia="仿宋" w:cs="仿宋"/>
          <w:b/>
          <w:sz w:val="28"/>
          <w:szCs w:val="28"/>
        </w:rPr>
        <w:t>采购编号：</w:t>
      </w:r>
    </w:p>
    <w:p>
      <w:pPr>
        <w:pStyle w:val="102"/>
        <w:tabs>
          <w:tab w:val="left" w:pos="720"/>
        </w:tabs>
        <w:spacing w:line="360" w:lineRule="auto"/>
        <w:rPr>
          <w:rFonts w:ascii="仿宋" w:hAnsi="仿宋" w:eastAsia="仿宋" w:cs="仿宋"/>
          <w:b/>
          <w:sz w:val="28"/>
          <w:szCs w:val="28"/>
        </w:rPr>
      </w:pPr>
    </w:p>
    <w:p>
      <w:pPr>
        <w:pStyle w:val="102"/>
        <w:tabs>
          <w:tab w:val="left" w:pos="720"/>
        </w:tabs>
        <w:spacing w:line="360" w:lineRule="auto"/>
        <w:ind w:firstLine="1110" w:firstLineChars="395"/>
        <w:rPr>
          <w:rFonts w:ascii="仿宋" w:hAnsi="仿宋" w:eastAsia="仿宋" w:cs="仿宋"/>
          <w:b/>
          <w:sz w:val="28"/>
          <w:szCs w:val="28"/>
        </w:rPr>
      </w:pPr>
      <w:r>
        <w:rPr>
          <w:rFonts w:hint="eastAsia" w:ascii="仿宋" w:hAnsi="仿宋" w:eastAsia="仿宋" w:cs="仿宋"/>
          <w:b/>
          <w:sz w:val="28"/>
          <w:szCs w:val="28"/>
        </w:rPr>
        <w:t>项目名称：</w:t>
      </w:r>
    </w:p>
    <w:p>
      <w:pPr>
        <w:pStyle w:val="102"/>
        <w:tabs>
          <w:tab w:val="left" w:pos="720"/>
        </w:tabs>
        <w:spacing w:line="360" w:lineRule="auto"/>
        <w:rPr>
          <w:rFonts w:ascii="仿宋" w:hAnsi="仿宋" w:eastAsia="仿宋" w:cs="仿宋"/>
          <w:b/>
          <w:sz w:val="28"/>
          <w:szCs w:val="28"/>
        </w:rPr>
      </w:pPr>
    </w:p>
    <w:p>
      <w:pPr>
        <w:pStyle w:val="102"/>
        <w:tabs>
          <w:tab w:val="left" w:pos="720"/>
        </w:tabs>
        <w:spacing w:line="360" w:lineRule="auto"/>
        <w:rPr>
          <w:rFonts w:ascii="仿宋" w:hAnsi="仿宋" w:eastAsia="仿宋" w:cs="仿宋"/>
          <w:b/>
          <w:sz w:val="28"/>
          <w:szCs w:val="28"/>
        </w:rPr>
      </w:pPr>
    </w:p>
    <w:p>
      <w:pPr>
        <w:pStyle w:val="102"/>
        <w:tabs>
          <w:tab w:val="left" w:pos="720"/>
        </w:tabs>
        <w:spacing w:line="360" w:lineRule="auto"/>
        <w:rPr>
          <w:rFonts w:ascii="仿宋" w:hAnsi="仿宋" w:eastAsia="仿宋" w:cs="仿宋"/>
          <w:b/>
          <w:sz w:val="28"/>
          <w:szCs w:val="28"/>
        </w:rPr>
      </w:pPr>
    </w:p>
    <w:p>
      <w:pPr>
        <w:pStyle w:val="102"/>
        <w:tabs>
          <w:tab w:val="left" w:pos="720"/>
        </w:tabs>
        <w:spacing w:line="360" w:lineRule="auto"/>
        <w:rPr>
          <w:rFonts w:ascii="仿宋" w:hAnsi="仿宋" w:eastAsia="仿宋" w:cs="仿宋"/>
          <w:b/>
          <w:sz w:val="28"/>
          <w:szCs w:val="28"/>
        </w:rPr>
      </w:pPr>
    </w:p>
    <w:p>
      <w:pPr>
        <w:pStyle w:val="102"/>
        <w:tabs>
          <w:tab w:val="left" w:pos="720"/>
        </w:tabs>
        <w:spacing w:line="360" w:lineRule="auto"/>
        <w:rPr>
          <w:rFonts w:ascii="仿宋" w:hAnsi="仿宋" w:eastAsia="仿宋" w:cs="仿宋"/>
          <w:b/>
          <w:sz w:val="28"/>
          <w:szCs w:val="28"/>
        </w:rPr>
      </w:pPr>
    </w:p>
    <w:p>
      <w:pPr>
        <w:pStyle w:val="102"/>
        <w:tabs>
          <w:tab w:val="left" w:pos="720"/>
        </w:tabs>
        <w:spacing w:line="360" w:lineRule="auto"/>
        <w:rPr>
          <w:rFonts w:ascii="仿宋" w:hAnsi="仿宋" w:eastAsia="仿宋" w:cs="仿宋"/>
          <w:b/>
          <w:sz w:val="28"/>
          <w:szCs w:val="28"/>
        </w:rPr>
      </w:pPr>
    </w:p>
    <w:p>
      <w:pPr>
        <w:pStyle w:val="102"/>
        <w:spacing w:line="360" w:lineRule="auto"/>
        <w:rPr>
          <w:rFonts w:ascii="仿宋" w:hAnsi="仿宋" w:eastAsia="仿宋" w:cs="仿宋"/>
          <w:b/>
          <w:sz w:val="24"/>
          <w:szCs w:val="24"/>
        </w:rPr>
      </w:pPr>
      <w:r>
        <w:rPr>
          <w:rFonts w:hint="eastAsia" w:ascii="仿宋" w:hAnsi="仿宋" w:eastAsia="仿宋" w:cs="仿宋"/>
          <w:b/>
          <w:sz w:val="24"/>
          <w:szCs w:val="24"/>
        </w:rPr>
        <w:t>注：本协议书仅为参考文本，签订双方可根据项目的具体要求进行修订。</w:t>
      </w:r>
    </w:p>
    <w:p>
      <w:pPr>
        <w:pStyle w:val="102"/>
        <w:widowControl/>
        <w:jc w:val="center"/>
        <w:rPr>
          <w:rFonts w:ascii="仿宋" w:hAnsi="仿宋" w:eastAsia="仿宋" w:cs="仿宋"/>
          <w:b/>
          <w:sz w:val="24"/>
          <w:szCs w:val="24"/>
        </w:rPr>
      </w:pPr>
      <w:r>
        <w:rPr>
          <w:rFonts w:hint="eastAsia" w:ascii="仿宋" w:hAnsi="仿宋" w:eastAsia="仿宋" w:cs="仿宋"/>
          <w:b/>
          <w:sz w:val="28"/>
          <w:szCs w:val="28"/>
        </w:rPr>
        <w:br w:type="page"/>
      </w:r>
      <w:r>
        <w:rPr>
          <w:rFonts w:hint="eastAsia" w:ascii="仿宋" w:hAnsi="仿宋" w:eastAsia="仿宋" w:cs="仿宋"/>
          <w:b/>
          <w:sz w:val="24"/>
          <w:szCs w:val="24"/>
        </w:rPr>
        <w:t>合同主要条款</w:t>
      </w:r>
    </w:p>
    <w:p>
      <w:pPr>
        <w:pStyle w:val="102"/>
        <w:widowControl/>
        <w:jc w:val="center"/>
        <w:rPr>
          <w:rFonts w:ascii="仿宋" w:hAnsi="仿宋" w:eastAsia="仿宋" w:cs="仿宋"/>
          <w:b/>
          <w:sz w:val="24"/>
          <w:szCs w:val="24"/>
        </w:rPr>
      </w:pPr>
    </w:p>
    <w:p>
      <w:pPr>
        <w:pStyle w:val="102"/>
        <w:widowControl/>
        <w:jc w:val="center"/>
        <w:rPr>
          <w:rFonts w:ascii="仿宋" w:hAnsi="仿宋" w:eastAsia="仿宋" w:cs="仿宋"/>
          <w:b/>
          <w:sz w:val="24"/>
          <w:szCs w:val="24"/>
        </w:rPr>
      </w:pPr>
      <w:r>
        <w:rPr>
          <w:rFonts w:hint="eastAsia" w:ascii="仿宋" w:hAnsi="仿宋" w:eastAsia="仿宋" w:cs="仿宋"/>
          <w:b/>
          <w:sz w:val="24"/>
          <w:szCs w:val="24"/>
        </w:rPr>
        <w:t>具体合同条款以最终签订为准</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1.定义</w:t>
      </w:r>
    </w:p>
    <w:p>
      <w:pPr>
        <w:pStyle w:val="124"/>
        <w:spacing w:line="560" w:lineRule="exact"/>
        <w:ind w:firstLine="544"/>
        <w:jc w:val="both"/>
        <w:rPr>
          <w:rFonts w:ascii="仿宋" w:hAnsi="仿宋" w:eastAsia="仿宋" w:cs="仿宋"/>
          <w:color w:val="auto"/>
          <w:sz w:val="24"/>
        </w:rPr>
      </w:pPr>
      <w:r>
        <w:rPr>
          <w:rFonts w:hint="eastAsia" w:ascii="仿宋" w:hAnsi="仿宋" w:eastAsia="仿宋" w:cs="仿宋"/>
          <w:color w:val="auto"/>
          <w:sz w:val="24"/>
        </w:rPr>
        <w:t>本合同中和附件中所用的下列术语应解释为：</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1.1“买方”系指买服务的单位。</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1.2“卖方”系指提供合同服务和服务的经济实体。</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1.3“合同”系指买方、卖方双方签署的、合同格式中载明的供需双方所达成的协议，包括所有附件、附表和组成合同的所有文件。</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1.4“合同价格”系指根据合同规定，在卖方全面正确的履行合同义务时买方应支付给卖方的货币额。</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1.5“服务”系指根据合同所含招标文件中技术规范要求的服务内容及其它类似的义务。</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2.合同标的(详见技术规格及要求)</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3.供货范围</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3.1合同的采购范围详见第三章相关条款。</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4.合同价格</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4.1合同价格即</w:t>
      </w:r>
      <w:r>
        <w:rPr>
          <w:rFonts w:hint="eastAsia" w:ascii="仿宋" w:hAnsi="仿宋" w:eastAsia="仿宋" w:cs="仿宋"/>
          <w:color w:val="auto"/>
          <w:sz w:val="24"/>
          <w:u w:val="single"/>
        </w:rPr>
        <w:t>合同总价（）万元（大写:万元）</w:t>
      </w:r>
      <w:r>
        <w:rPr>
          <w:rFonts w:hint="eastAsia" w:ascii="仿宋" w:hAnsi="仿宋" w:eastAsia="仿宋" w:cs="仿宋"/>
          <w:color w:val="auto"/>
          <w:sz w:val="24"/>
        </w:rPr>
        <w:t>。</w:t>
      </w:r>
    </w:p>
    <w:p>
      <w:pPr>
        <w:pStyle w:val="124"/>
        <w:spacing w:line="560" w:lineRule="exact"/>
        <w:ind w:firstLine="544"/>
        <w:jc w:val="both"/>
        <w:rPr>
          <w:rFonts w:ascii="仿宋" w:hAnsi="仿宋" w:eastAsia="仿宋" w:cs="仿宋"/>
          <w:color w:val="auto"/>
          <w:sz w:val="24"/>
        </w:rPr>
      </w:pPr>
      <w:r>
        <w:rPr>
          <w:rFonts w:hint="eastAsia" w:ascii="仿宋" w:hAnsi="仿宋" w:eastAsia="仿宋" w:cs="仿宋"/>
          <w:color w:val="auto"/>
          <w:sz w:val="24"/>
        </w:rPr>
        <w:t>本合同采用的合同价格方式为固定合同总价，包括服务及与合同有关的所有费用。</w:t>
      </w:r>
    </w:p>
    <w:p>
      <w:pPr>
        <w:pStyle w:val="101"/>
        <w:spacing w:line="560" w:lineRule="exact"/>
        <w:ind w:firstLine="480" w:firstLineChars="200"/>
        <w:rPr>
          <w:rFonts w:ascii="仿宋" w:hAnsi="仿宋" w:eastAsia="仿宋" w:cs="仿宋"/>
          <w:szCs w:val="24"/>
        </w:rPr>
      </w:pPr>
      <w:r>
        <w:rPr>
          <w:rFonts w:hint="eastAsia" w:ascii="仿宋" w:hAnsi="仿宋" w:eastAsia="仿宋" w:cs="仿宋"/>
          <w:szCs w:val="24"/>
        </w:rPr>
        <w:t>4.1.1合同</w:t>
      </w:r>
      <w:r>
        <w:rPr>
          <w:rFonts w:hint="eastAsia" w:ascii="仿宋" w:hAnsi="仿宋" w:eastAsia="仿宋" w:cs="仿宋"/>
          <w:szCs w:val="24"/>
          <w:u w:val="single"/>
        </w:rPr>
        <w:t>价格为（）万元</w:t>
      </w:r>
      <w:r>
        <w:rPr>
          <w:rFonts w:hint="eastAsia" w:ascii="仿宋" w:hAnsi="仿宋" w:eastAsia="仿宋" w:cs="仿宋"/>
          <w:szCs w:val="24"/>
        </w:rPr>
        <w:t>。</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4.1.2合同</w:t>
      </w:r>
      <w:r>
        <w:rPr>
          <w:rFonts w:hint="eastAsia" w:ascii="仿宋" w:hAnsi="仿宋" w:eastAsia="仿宋" w:cs="仿宋"/>
          <w:color w:val="auto"/>
          <w:sz w:val="24"/>
          <w:u w:val="single"/>
        </w:rPr>
        <w:t>其他费为（）万元</w:t>
      </w:r>
      <w:r>
        <w:rPr>
          <w:rFonts w:hint="eastAsia" w:ascii="仿宋" w:hAnsi="仿宋" w:eastAsia="仿宋" w:cs="仿宋"/>
          <w:color w:val="auto"/>
          <w:sz w:val="24"/>
        </w:rPr>
        <w:t>。</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4.2合同价格在合同执行期内不得变动。</w:t>
      </w:r>
    </w:p>
    <w:p>
      <w:pPr>
        <w:pStyle w:val="102"/>
        <w:autoSpaceDE w:val="0"/>
        <w:autoSpaceDN w:val="0"/>
        <w:adjustRightInd w:val="0"/>
        <w:spacing w:before="22" w:line="520" w:lineRule="exact"/>
        <w:ind w:right="40" w:firstLine="480" w:firstLineChars="200"/>
        <w:rPr>
          <w:rFonts w:ascii="仿宋" w:hAnsi="仿宋" w:eastAsia="仿宋" w:cs="仿宋"/>
          <w:sz w:val="24"/>
          <w:szCs w:val="24"/>
        </w:rPr>
      </w:pPr>
      <w:r>
        <w:rPr>
          <w:rFonts w:hint="eastAsia" w:ascii="仿宋" w:hAnsi="仿宋" w:eastAsia="仿宋" w:cs="仿宋"/>
          <w:sz w:val="24"/>
          <w:szCs w:val="24"/>
        </w:rPr>
        <w:t>4.2.1如因在合同履行过程中有变更，存在减少有关服务情况，经甲乙双方现场确认，报财务局审批后，按乙方中标时的固定单价对总价进行调减，并按有关规定签订补充合同。</w:t>
      </w:r>
    </w:p>
    <w:p>
      <w:pPr>
        <w:pStyle w:val="102"/>
        <w:autoSpaceDE w:val="0"/>
        <w:autoSpaceDN w:val="0"/>
        <w:adjustRightInd w:val="0"/>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4.2.2如因在合同履行过程中，需追加与本合同标的相同的服务的，在不改变合同条款的前提下，经甲乙双方现场确认，按乙方中标时的固定单价对总价进行调增，并按有关规定签订补充合同，但应注意追加增加的服务总价不得超过本合同金额的10%。如追加的服务总价超过本合同金额的10%，由甲方报财务局采购管理处按有关规定处理。</w:t>
      </w:r>
    </w:p>
    <w:p>
      <w:pPr>
        <w:pStyle w:val="102"/>
        <w:widowControl/>
        <w:spacing w:line="56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rPr>
        <w:t>5.</w:t>
      </w:r>
      <w:r>
        <w:rPr>
          <w:rFonts w:hint="eastAsia" w:ascii="仿宋" w:hAnsi="仿宋" w:eastAsia="仿宋" w:cs="仿宋"/>
          <w:sz w:val="24"/>
          <w:szCs w:val="24"/>
        </w:rPr>
        <w:t>服务期限：</w:t>
      </w:r>
      <w:r>
        <w:rPr>
          <w:rFonts w:hint="eastAsia" w:ascii="仿宋" w:hAnsi="仿宋" w:eastAsia="仿宋" w:cs="仿宋"/>
          <w:kern w:val="0"/>
          <w:sz w:val="24"/>
          <w:szCs w:val="24"/>
        </w:rPr>
        <w:t>。</w:t>
      </w:r>
    </w:p>
    <w:p>
      <w:pPr>
        <w:pStyle w:val="102"/>
        <w:snapToGrid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6.结算方式：</w:t>
      </w:r>
    </w:p>
    <w:p>
      <w:pPr>
        <w:pStyle w:val="102"/>
        <w:snapToGrid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6.1本合同使用的货币种类为人民币。</w:t>
      </w:r>
    </w:p>
    <w:p>
      <w:pPr>
        <w:pStyle w:val="102"/>
        <w:snapToGrid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6.2费用的支付：合同签订后支付合同价款的，剩余按照工作要求和时限完成审计工作，经确认无误后支付剩余。</w:t>
      </w:r>
    </w:p>
    <w:p>
      <w:pPr>
        <w:pStyle w:val="102"/>
        <w:snapToGrid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7.服务期限</w:t>
      </w:r>
    </w:p>
    <w:p>
      <w:pPr>
        <w:pStyle w:val="102"/>
        <w:snapToGrid w:val="0"/>
        <w:spacing w:line="560" w:lineRule="exact"/>
        <w:ind w:firstLine="480" w:firstLineChars="200"/>
        <w:rPr>
          <w:rFonts w:ascii="仿宋" w:hAnsi="仿宋" w:eastAsia="仿宋" w:cs="仿宋"/>
          <w:kern w:val="0"/>
          <w:sz w:val="24"/>
          <w:szCs w:val="24"/>
        </w:rPr>
      </w:pPr>
      <w:r>
        <w:rPr>
          <w:rFonts w:hint="eastAsia" w:ascii="仿宋" w:hAnsi="仿宋" w:eastAsia="仿宋" w:cs="仿宋"/>
          <w:sz w:val="24"/>
          <w:szCs w:val="24"/>
        </w:rPr>
        <w:t>7.1本合同服务内</w:t>
      </w:r>
      <w:r>
        <w:rPr>
          <w:rFonts w:hint="eastAsia" w:ascii="仿宋" w:hAnsi="仿宋" w:eastAsia="仿宋" w:cs="仿宋"/>
          <w:kern w:val="0"/>
          <w:sz w:val="24"/>
          <w:szCs w:val="24"/>
        </w:rPr>
        <w:t>容为满足招标文件的要求。</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8.违约罚款</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8.1如果卖方没有按照规定的时间完成服务，或没有达到投标文件中任一条款的承诺都是卖方违约。应向买方支付的的违约金。如果达到最高限额，买方将考虑终止合同。</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9.不可抗力</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9.1如果双方任何一方由于战争、严重的火灾、水灾、台风和地震以及其他双方同意属于不可抗力的事故，致使合同的履行受到影响时，履行合同的期限应予以延长，延长的期限应相当于事故所影响的时间。</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9.2受事故影响的一方应在不可抗力发生后尽快以传真通知另一方，并在事故发生后天内，将有关部门出具的证明文件用特快专递寄给另一方，如果不可抗力影响时间延续天以上时，双方应通过友好协商在合理的时间内达成进一步履行合同的协议。</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10.税费</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10.1本合同价格为含税价。卖方提供的服务等所有税费已全部包含在合同价格内，由卖方承担。</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11.合同争议的解决</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11.1在执行本合同中所发生的或与本合同有关一切争端，买卖双方通过友好协商解决，如协商不能解决，双方应将争端提交人民法院诉讼解决。</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11.2法院判决对双方均有约束力。</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11.3由上述过程发生的费用除法院判决另有规定外，应有败诉方负担。</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11.4在法院审理期间，除正在进行法院审理的部分外，本合同其他部分应继续执行。</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12.违约终止合同</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12.1在买方对因卖方违约而采取的任何补救不受损害的情况下，买方可向卖方发出终止部分或全部合同的书面通知书。</w:t>
      </w:r>
    </w:p>
    <w:p>
      <w:pPr>
        <w:pStyle w:val="124"/>
        <w:spacing w:line="560" w:lineRule="exact"/>
        <w:ind w:firstLine="544"/>
        <w:jc w:val="both"/>
        <w:rPr>
          <w:rFonts w:ascii="仿宋" w:hAnsi="仿宋" w:eastAsia="仿宋" w:cs="仿宋"/>
          <w:color w:val="auto"/>
          <w:sz w:val="24"/>
        </w:rPr>
      </w:pPr>
      <w:r>
        <w:rPr>
          <w:rFonts w:hint="eastAsia" w:ascii="仿宋" w:hAnsi="仿宋" w:eastAsia="仿宋" w:cs="仿宋"/>
          <w:color w:val="auto"/>
          <w:sz w:val="24"/>
        </w:rPr>
        <w:t>A.如果卖方未能按合同规定的期限或买方同意延长的限期内提供部分或者全部服务。</w:t>
      </w:r>
    </w:p>
    <w:p>
      <w:pPr>
        <w:pStyle w:val="124"/>
        <w:spacing w:line="560" w:lineRule="exact"/>
        <w:ind w:firstLine="544"/>
        <w:jc w:val="both"/>
        <w:rPr>
          <w:rFonts w:ascii="仿宋" w:hAnsi="仿宋" w:eastAsia="仿宋" w:cs="仿宋"/>
          <w:color w:val="auto"/>
          <w:sz w:val="24"/>
        </w:rPr>
      </w:pPr>
      <w:r>
        <w:rPr>
          <w:rFonts w:hint="eastAsia" w:ascii="仿宋" w:hAnsi="仿宋" w:eastAsia="仿宋" w:cs="仿宋"/>
          <w:color w:val="auto"/>
          <w:sz w:val="24"/>
        </w:rPr>
        <w:t>B.如果卖方未能履行合同规定的其他任何义务。</w:t>
      </w:r>
    </w:p>
    <w:p>
      <w:pPr>
        <w:pStyle w:val="124"/>
        <w:spacing w:line="560" w:lineRule="exact"/>
        <w:ind w:firstLine="560"/>
        <w:jc w:val="both"/>
        <w:rPr>
          <w:rFonts w:ascii="仿宋" w:hAnsi="仿宋" w:eastAsia="仿宋" w:cs="仿宋"/>
          <w:color w:val="auto"/>
          <w:sz w:val="24"/>
        </w:rPr>
      </w:pPr>
      <w:r>
        <w:rPr>
          <w:rFonts w:hint="eastAsia" w:ascii="仿宋" w:hAnsi="仿宋" w:eastAsia="仿宋" w:cs="仿宋"/>
          <w:color w:val="auto"/>
          <w:sz w:val="24"/>
        </w:rPr>
        <w:t>在上述任一情况下，卖方在收到买方发出的违约通知后天内，或经买方书面认可延长的时间内未能矫正其过失。</w:t>
      </w:r>
    </w:p>
    <w:p>
      <w:pPr>
        <w:pStyle w:val="119"/>
        <w:spacing w:line="560" w:lineRule="exact"/>
        <w:ind w:firstLine="480" w:firstLineChars="200"/>
        <w:rPr>
          <w:rFonts w:ascii="仿宋" w:hAnsi="仿宋" w:eastAsia="仿宋" w:cs="仿宋"/>
          <w:b/>
          <w:color w:val="auto"/>
        </w:rPr>
      </w:pPr>
      <w:r>
        <w:rPr>
          <w:rFonts w:hint="eastAsia" w:ascii="仿宋" w:hAnsi="仿宋" w:eastAsia="仿宋" w:cs="仿宋"/>
          <w:color w:val="auto"/>
        </w:rPr>
        <w:t>12.2在买方根据12.1条规定，终止了全部或部分合同，买方可以依其认为适当的条件和方法购买类似未交的服务，卖方应对购买类似服务所超出的费用部分负责。但是，卖方应继续执行合同中未终止部分。</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13.转让和分包</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13.1除买方事先书面同意外，卖方不得部分转让或全部转让其应履行的合同义务。</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13.2如投标文件中没有明确分包合同，卖方应书面通知买方本合同中卖方所转授出的全部分包合同，但原投标文件或后来发出的通知均不能解除卖方履行本合同的义务。</w:t>
      </w:r>
    </w:p>
    <w:p>
      <w:pPr>
        <w:pStyle w:val="102"/>
        <w:spacing w:line="560" w:lineRule="exact"/>
        <w:ind w:right="420" w:rightChars="200" w:firstLine="484" w:firstLineChars="202"/>
        <w:rPr>
          <w:rFonts w:ascii="仿宋" w:hAnsi="仿宋" w:eastAsia="仿宋" w:cs="仿宋"/>
          <w:sz w:val="24"/>
          <w:szCs w:val="24"/>
        </w:rPr>
      </w:pPr>
      <w:r>
        <w:rPr>
          <w:rFonts w:hint="eastAsia" w:ascii="仿宋" w:hAnsi="仿宋" w:eastAsia="仿宋" w:cs="仿宋"/>
          <w:sz w:val="24"/>
          <w:szCs w:val="24"/>
        </w:rPr>
        <w:t>13.3卖方对部分或全部转让其应履行的义务而确定的分包合同负全部责任，买方不承担任何责任和义务。</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14.适用法律</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本合同按中华人民共和国的法律进行解释。</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合同生效及其他：</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14.1合同在买方、卖方双方签字后即开始生效。</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14.2本合同一式四份，以中文书写。买、卖双方各执两份。</w:t>
      </w:r>
    </w:p>
    <w:p>
      <w:pPr>
        <w:pStyle w:val="124"/>
        <w:spacing w:line="56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14.3招标文件、投标单位的投标文件、评标答疑记录及中标通知书都是本合同不可分割的一部分。</w:t>
      </w:r>
    </w:p>
    <w:p>
      <w:pPr>
        <w:pStyle w:val="102"/>
        <w:spacing w:line="560" w:lineRule="exact"/>
        <w:ind w:firstLine="480" w:firstLineChars="200"/>
        <w:rPr>
          <w:rFonts w:ascii="仿宋" w:hAnsi="仿宋" w:eastAsia="仿宋" w:cs="仿宋"/>
          <w:b/>
          <w:sz w:val="24"/>
          <w:szCs w:val="24"/>
        </w:rPr>
      </w:pPr>
      <w:r>
        <w:rPr>
          <w:rFonts w:hint="eastAsia" w:ascii="仿宋" w:hAnsi="仿宋" w:eastAsia="仿宋" w:cs="仿宋"/>
          <w:sz w:val="24"/>
          <w:szCs w:val="24"/>
        </w:rPr>
        <w:t>14.4如需修改或补充合同内容,经协商，买卖双方应签署书面修改或补充协议，该协议将作为本合同不可分割的一部分。</w:t>
      </w:r>
    </w:p>
    <w:p>
      <w:pPr>
        <w:pStyle w:val="124"/>
        <w:spacing w:line="560" w:lineRule="exact"/>
        <w:ind w:firstLine="480" w:firstLineChars="200"/>
        <w:jc w:val="both"/>
        <w:rPr>
          <w:rFonts w:ascii="仿宋" w:hAnsi="仿宋" w:eastAsia="仿宋" w:cs="仿宋"/>
          <w:color w:val="auto"/>
          <w:sz w:val="24"/>
        </w:rPr>
      </w:pPr>
    </w:p>
    <w:p>
      <w:pPr>
        <w:pStyle w:val="124"/>
        <w:spacing w:line="560" w:lineRule="exact"/>
        <w:jc w:val="both"/>
        <w:rPr>
          <w:rFonts w:ascii="仿宋" w:hAnsi="仿宋" w:eastAsia="仿宋" w:cs="仿宋"/>
          <w:color w:val="auto"/>
          <w:sz w:val="24"/>
        </w:rPr>
      </w:pPr>
      <w:bookmarkStart w:id="196" w:name="_Toc25449"/>
      <w:bookmarkStart w:id="197" w:name="_Toc1894"/>
      <w:bookmarkStart w:id="198" w:name="_Toc23214"/>
      <w:bookmarkStart w:id="199" w:name="_Toc25383"/>
      <w:r>
        <w:rPr>
          <w:rFonts w:hint="eastAsia" w:ascii="仿宋" w:hAnsi="仿宋" w:eastAsia="仿宋" w:cs="仿宋"/>
          <w:color w:val="auto"/>
          <w:sz w:val="24"/>
        </w:rPr>
        <w:t>甲    方：                            乙    方：</w:t>
      </w:r>
      <w:bookmarkEnd w:id="196"/>
      <w:bookmarkEnd w:id="197"/>
      <w:bookmarkEnd w:id="198"/>
      <w:bookmarkEnd w:id="199"/>
    </w:p>
    <w:p>
      <w:pPr>
        <w:pStyle w:val="124"/>
        <w:spacing w:line="560" w:lineRule="exact"/>
        <w:jc w:val="both"/>
        <w:rPr>
          <w:rFonts w:ascii="仿宋" w:hAnsi="仿宋" w:eastAsia="仿宋" w:cs="仿宋"/>
          <w:color w:val="auto"/>
          <w:sz w:val="24"/>
        </w:rPr>
      </w:pPr>
      <w:r>
        <w:rPr>
          <w:rFonts w:hint="eastAsia" w:ascii="仿宋" w:hAnsi="仿宋" w:eastAsia="仿宋" w:cs="仿宋"/>
          <w:color w:val="auto"/>
          <w:sz w:val="24"/>
        </w:rPr>
        <w:t>单位名称(公章)：                      单位名称(公章)：</w:t>
      </w:r>
    </w:p>
    <w:p>
      <w:pPr>
        <w:pStyle w:val="124"/>
        <w:spacing w:line="560" w:lineRule="exact"/>
        <w:ind w:firstLine="480" w:firstLineChars="200"/>
        <w:jc w:val="both"/>
        <w:rPr>
          <w:rFonts w:ascii="仿宋" w:hAnsi="仿宋" w:eastAsia="仿宋" w:cs="仿宋"/>
          <w:color w:val="auto"/>
          <w:sz w:val="24"/>
        </w:rPr>
      </w:pPr>
    </w:p>
    <w:p>
      <w:pPr>
        <w:pStyle w:val="124"/>
        <w:spacing w:line="560" w:lineRule="exact"/>
        <w:jc w:val="both"/>
        <w:rPr>
          <w:rFonts w:ascii="仿宋" w:hAnsi="仿宋" w:eastAsia="仿宋" w:cs="仿宋"/>
          <w:color w:val="auto"/>
          <w:sz w:val="24"/>
        </w:rPr>
      </w:pPr>
      <w:r>
        <w:rPr>
          <w:rFonts w:hint="eastAsia" w:ascii="仿宋" w:hAnsi="仿宋" w:eastAsia="仿宋" w:cs="仿宋"/>
          <w:color w:val="auto"/>
          <w:sz w:val="24"/>
        </w:rPr>
        <w:t>法定代表人或授权代理人：（签字）       法定代表人或授权代理人：（签字）</w:t>
      </w:r>
    </w:p>
    <w:p>
      <w:pPr>
        <w:pStyle w:val="124"/>
        <w:spacing w:line="560" w:lineRule="exact"/>
        <w:ind w:firstLine="480" w:firstLineChars="200"/>
        <w:jc w:val="both"/>
        <w:rPr>
          <w:rFonts w:ascii="仿宋" w:hAnsi="仿宋" w:eastAsia="仿宋" w:cs="仿宋"/>
          <w:color w:val="auto"/>
          <w:sz w:val="24"/>
        </w:rPr>
      </w:pPr>
    </w:p>
    <w:p>
      <w:pPr>
        <w:pStyle w:val="124"/>
        <w:spacing w:line="560" w:lineRule="exact"/>
        <w:jc w:val="both"/>
        <w:rPr>
          <w:rFonts w:ascii="仿宋" w:hAnsi="仿宋" w:eastAsia="仿宋" w:cs="仿宋"/>
          <w:color w:val="auto"/>
          <w:sz w:val="24"/>
        </w:rPr>
      </w:pPr>
      <w:r>
        <w:rPr>
          <w:rFonts w:hint="eastAsia" w:ascii="仿宋" w:hAnsi="仿宋" w:eastAsia="仿宋" w:cs="仿宋"/>
          <w:color w:val="auto"/>
          <w:sz w:val="24"/>
        </w:rPr>
        <w:t>电    话：                            电    话：</w:t>
      </w:r>
    </w:p>
    <w:p>
      <w:pPr>
        <w:pStyle w:val="124"/>
        <w:spacing w:line="560" w:lineRule="exact"/>
        <w:jc w:val="both"/>
        <w:rPr>
          <w:rFonts w:ascii="仿宋" w:hAnsi="仿宋" w:eastAsia="仿宋" w:cs="仿宋"/>
          <w:color w:val="auto"/>
          <w:sz w:val="24"/>
        </w:rPr>
      </w:pPr>
      <w:r>
        <w:rPr>
          <w:rFonts w:hint="eastAsia" w:ascii="仿宋" w:hAnsi="仿宋" w:eastAsia="仿宋" w:cs="仿宋"/>
          <w:color w:val="auto"/>
          <w:sz w:val="24"/>
        </w:rPr>
        <w:t>签订日期：                            签订日期：</w:t>
      </w:r>
    </w:p>
    <w:p>
      <w:pPr>
        <w:pStyle w:val="171"/>
        <w:jc w:val="both"/>
        <w:rPr>
          <w:rFonts w:ascii="仿宋" w:hAnsi="仿宋" w:eastAsia="仿宋" w:cs="仿宋"/>
          <w:sz w:val="36"/>
        </w:rPr>
      </w:pPr>
    </w:p>
    <w:p>
      <w:pPr>
        <w:pStyle w:val="19"/>
        <w:tabs>
          <w:tab w:val="left" w:pos="0"/>
        </w:tabs>
        <w:spacing w:line="240" w:lineRule="auto"/>
        <w:ind w:left="0" w:leftChars="0" w:firstLine="0" w:firstLineChars="0"/>
        <w:jc w:val="center"/>
        <w:outlineLvl w:val="0"/>
        <w:rPr>
          <w:rFonts w:ascii="仿宋" w:hAnsi="仿宋" w:eastAsia="仿宋" w:cs="仿宋"/>
          <w:b/>
          <w:sz w:val="36"/>
        </w:rPr>
      </w:pPr>
      <w:bookmarkStart w:id="200" w:name="_Toc532543568"/>
      <w:bookmarkStart w:id="201" w:name="_Toc9430"/>
      <w:bookmarkStart w:id="202" w:name="_Toc15690"/>
      <w:bookmarkStart w:id="203" w:name="_Toc25924"/>
      <w:bookmarkStart w:id="204" w:name="_Toc30533"/>
      <w:bookmarkStart w:id="205" w:name="_Toc15856"/>
      <w:bookmarkStart w:id="206" w:name="_Toc24975"/>
      <w:bookmarkStart w:id="207" w:name="_Toc18974"/>
      <w:bookmarkStart w:id="208" w:name="_Toc18901"/>
      <w:bookmarkStart w:id="209" w:name="_Toc19151"/>
      <w:bookmarkStart w:id="210" w:name="_Toc14242"/>
      <w:bookmarkStart w:id="211" w:name="_Toc30396"/>
      <w:bookmarkStart w:id="212" w:name="_Toc31951"/>
      <w:bookmarkStart w:id="213" w:name="_Toc10522"/>
      <w:bookmarkStart w:id="214" w:name="_Toc29261"/>
      <w:bookmarkStart w:id="215" w:name="_Toc531075012"/>
      <w:bookmarkStart w:id="216" w:name="_Toc14361"/>
      <w:bookmarkStart w:id="217" w:name="_Toc25583"/>
      <w:bookmarkStart w:id="218" w:name="_Toc8543"/>
      <w:bookmarkStart w:id="219" w:name="_Toc31134"/>
      <w:bookmarkStart w:id="220" w:name="_Toc16751"/>
      <w:bookmarkStart w:id="221" w:name="_Toc21335"/>
      <w:bookmarkStart w:id="222" w:name="_Toc14425"/>
      <w:bookmarkStart w:id="223" w:name="_Toc6017"/>
      <w:bookmarkStart w:id="224" w:name="_Toc29221"/>
      <w:bookmarkStart w:id="225" w:name="_Toc926"/>
      <w:bookmarkStart w:id="226" w:name="_Toc20128"/>
      <w:bookmarkStart w:id="227" w:name="_Toc32767"/>
      <w:bookmarkStart w:id="228" w:name="_Toc102"/>
      <w:bookmarkStart w:id="229" w:name="_Toc26019"/>
      <w:bookmarkStart w:id="230" w:name="_Toc15283"/>
      <w:bookmarkStart w:id="231" w:name="_Toc29188"/>
      <w:bookmarkStart w:id="232" w:name="_Toc15399"/>
      <w:bookmarkStart w:id="233" w:name="_Toc26760"/>
      <w:bookmarkStart w:id="234" w:name="_Toc10322"/>
      <w:bookmarkStart w:id="235" w:name="_Toc8219"/>
      <w:bookmarkStart w:id="236" w:name="_Toc16773"/>
      <w:bookmarkStart w:id="237" w:name="_Toc19372"/>
      <w:bookmarkStart w:id="238" w:name="_Toc30374"/>
      <w:bookmarkStart w:id="239" w:name="_Toc25774"/>
      <w:bookmarkStart w:id="240" w:name="_Toc257633148"/>
      <w:bookmarkStart w:id="241" w:name="_Toc5327"/>
      <w:r>
        <w:rPr>
          <w:rFonts w:hint="eastAsia" w:ascii="仿宋" w:hAnsi="仿宋" w:eastAsia="仿宋" w:cs="仿宋"/>
          <w:b/>
          <w:sz w:val="36"/>
        </w:rPr>
        <w:br w:type="page"/>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Start w:id="242" w:name="_Toc15608"/>
      <w:bookmarkStart w:id="243" w:name="_Toc24427"/>
      <w:bookmarkStart w:id="244" w:name="EB988aaeb746df41ed91835b8cac8f5d69"/>
      <w:r>
        <w:rPr>
          <w:rFonts w:hint="eastAsia" w:ascii="仿宋" w:hAnsi="仿宋" w:eastAsia="仿宋" w:cs="仿宋"/>
          <w:b/>
          <w:sz w:val="36"/>
        </w:rPr>
        <w:t>第六部分   投标响应文件格式</w:t>
      </w:r>
      <w:bookmarkEnd w:id="242"/>
      <w:bookmarkEnd w:id="243"/>
    </w:p>
    <w:p>
      <w:pPr>
        <w:pStyle w:val="4"/>
        <w:numPr>
          <w:ilvl w:val="0"/>
          <w:numId w:val="0"/>
        </w:numPr>
        <w:spacing w:before="0" w:line="360" w:lineRule="auto"/>
        <w:ind w:left="-540" w:leftChars="-257" w:firstLine="723" w:firstLineChars="300"/>
        <w:jc w:val="center"/>
        <w:rPr>
          <w:rFonts w:ascii="宋体" w:hAnsi="宋体" w:eastAsia="宋体"/>
          <w:sz w:val="24"/>
        </w:rPr>
      </w:pPr>
      <w:bookmarkStart w:id="245" w:name="_Toc518923107"/>
      <w:bookmarkStart w:id="246" w:name="_Toc98265618"/>
    </w:p>
    <w:p>
      <w:pPr>
        <w:pStyle w:val="3"/>
        <w:spacing w:before="0" w:line="360" w:lineRule="auto"/>
        <w:ind w:left="-540" w:leftChars="-257" w:firstLine="723" w:firstLineChars="300"/>
        <w:jc w:val="center"/>
        <w:rPr>
          <w:rFonts w:ascii="宋体" w:hAnsi="宋体"/>
          <w:sz w:val="24"/>
        </w:rPr>
      </w:pPr>
      <w:bookmarkStart w:id="247" w:name="_Toc26661"/>
      <w:bookmarkStart w:id="248" w:name="_Toc21453"/>
      <w:r>
        <w:rPr>
          <w:rFonts w:hint="eastAsia" w:ascii="宋体" w:hAnsi="宋体"/>
          <w:sz w:val="24"/>
        </w:rPr>
        <w:t>一、 资格证明文件</w:t>
      </w:r>
      <w:bookmarkEnd w:id="245"/>
      <w:bookmarkEnd w:id="246"/>
      <w:bookmarkEnd w:id="247"/>
      <w:bookmarkEnd w:id="248"/>
    </w:p>
    <w:p>
      <w:pPr>
        <w:spacing w:line="360" w:lineRule="auto"/>
        <w:ind w:left="708" w:hanging="708" w:hangingChars="295"/>
        <w:jc w:val="center"/>
        <w:rPr>
          <w:rFonts w:ascii="宋体" w:hAnsi="宋体"/>
          <w:sz w:val="24"/>
        </w:rPr>
      </w:pPr>
    </w:p>
    <w:p>
      <w:pPr>
        <w:tabs>
          <w:tab w:val="left" w:pos="5580"/>
        </w:tabs>
        <w:spacing w:line="360" w:lineRule="auto"/>
        <w:ind w:firstLine="371" w:firstLineChars="177"/>
        <w:rPr>
          <w:rFonts w:ascii="宋体" w:hAnsi="宋体"/>
          <w:szCs w:val="21"/>
        </w:rPr>
      </w:pPr>
      <w:r>
        <w:rPr>
          <w:rFonts w:hint="eastAsia" w:ascii="宋体" w:hAnsi="宋体"/>
          <w:szCs w:val="21"/>
        </w:rPr>
        <w:t>1.具有独立承担民事责任的能力</w:t>
      </w:r>
    </w:p>
    <w:p>
      <w:pPr>
        <w:tabs>
          <w:tab w:val="left" w:pos="5580"/>
        </w:tabs>
        <w:spacing w:line="360" w:lineRule="auto"/>
        <w:ind w:firstLine="371" w:firstLineChars="177"/>
        <w:rPr>
          <w:rFonts w:ascii="宋体" w:hAnsi="宋体"/>
          <w:szCs w:val="21"/>
        </w:rPr>
      </w:pPr>
      <w:r>
        <w:rPr>
          <w:rFonts w:hint="eastAsia" w:ascii="宋体" w:hAnsi="宋体"/>
          <w:szCs w:val="21"/>
        </w:rPr>
        <w:t>2.法定代表人身份证明及法定代表人授权书</w:t>
      </w:r>
    </w:p>
    <w:p>
      <w:pPr>
        <w:tabs>
          <w:tab w:val="left" w:pos="5580"/>
        </w:tabs>
        <w:spacing w:line="360" w:lineRule="auto"/>
        <w:ind w:firstLine="371" w:firstLineChars="177"/>
        <w:rPr>
          <w:rFonts w:ascii="宋体" w:hAnsi="宋体"/>
          <w:szCs w:val="21"/>
        </w:rPr>
      </w:pPr>
      <w:r>
        <w:rPr>
          <w:rFonts w:hint="eastAsia" w:ascii="宋体" w:hAnsi="宋体"/>
          <w:szCs w:val="21"/>
        </w:rPr>
        <w:t>3.具有良好的商业信誉和健全的财务会计制度的证明文件</w:t>
      </w:r>
    </w:p>
    <w:p>
      <w:pPr>
        <w:tabs>
          <w:tab w:val="left" w:pos="5580"/>
        </w:tabs>
        <w:spacing w:line="360" w:lineRule="auto"/>
        <w:ind w:firstLine="371" w:firstLineChars="177"/>
        <w:rPr>
          <w:rFonts w:ascii="宋体" w:hAnsi="宋体"/>
          <w:szCs w:val="21"/>
        </w:rPr>
      </w:pPr>
      <w:r>
        <w:rPr>
          <w:rFonts w:hint="eastAsia" w:ascii="宋体" w:hAnsi="宋体"/>
          <w:szCs w:val="21"/>
        </w:rPr>
        <w:t>4.具有履行合同所必需的设备和专业技术能力</w:t>
      </w:r>
    </w:p>
    <w:p>
      <w:pPr>
        <w:tabs>
          <w:tab w:val="left" w:pos="5580"/>
        </w:tabs>
        <w:spacing w:line="360" w:lineRule="auto"/>
        <w:ind w:firstLine="371" w:firstLineChars="177"/>
        <w:rPr>
          <w:rFonts w:ascii="宋体" w:hAnsi="宋体"/>
          <w:szCs w:val="21"/>
        </w:rPr>
      </w:pPr>
      <w:r>
        <w:rPr>
          <w:rFonts w:hint="eastAsia" w:ascii="宋体" w:hAnsi="宋体"/>
          <w:szCs w:val="21"/>
        </w:rPr>
        <w:t>5.有依法缴纳税收和社会保障资金的良好记录</w:t>
      </w:r>
    </w:p>
    <w:p>
      <w:pPr>
        <w:tabs>
          <w:tab w:val="left" w:pos="5580"/>
        </w:tabs>
        <w:spacing w:line="360" w:lineRule="auto"/>
        <w:ind w:firstLine="371" w:firstLineChars="177"/>
        <w:rPr>
          <w:rFonts w:ascii="宋体" w:hAnsi="宋体"/>
          <w:szCs w:val="21"/>
        </w:rPr>
      </w:pPr>
      <w:r>
        <w:rPr>
          <w:rFonts w:hint="eastAsia" w:ascii="宋体" w:hAnsi="宋体"/>
          <w:szCs w:val="21"/>
        </w:rPr>
        <w:t>6.参加政府采购活动前3年内在经营活动中没有重大违法记录的书面声明</w:t>
      </w:r>
    </w:p>
    <w:p>
      <w:pPr>
        <w:tabs>
          <w:tab w:val="left" w:pos="5580"/>
        </w:tabs>
        <w:spacing w:line="360" w:lineRule="auto"/>
        <w:ind w:firstLine="371" w:firstLineChars="177"/>
        <w:rPr>
          <w:rFonts w:ascii="宋体" w:hAnsi="宋体"/>
          <w:szCs w:val="21"/>
        </w:rPr>
      </w:pPr>
      <w:r>
        <w:rPr>
          <w:rFonts w:hint="eastAsia" w:ascii="宋体" w:hAnsi="宋体"/>
          <w:szCs w:val="21"/>
        </w:rPr>
        <w:t>7.投标人须知资料表要求的其他资格证明文件</w:t>
      </w:r>
    </w:p>
    <w:p>
      <w:pPr>
        <w:pStyle w:val="2"/>
        <w:rPr>
          <w:rFonts w:ascii="宋体" w:hAnsi="宋体"/>
          <w:szCs w:val="21"/>
        </w:rPr>
      </w:pPr>
    </w:p>
    <w:p/>
    <w:p>
      <w:pPr>
        <w:tabs>
          <w:tab w:val="left" w:pos="5580"/>
        </w:tabs>
        <w:spacing w:line="360" w:lineRule="auto"/>
        <w:rPr>
          <w:rFonts w:ascii="宋体" w:hAnsi="宋体"/>
          <w:b/>
          <w:bCs/>
          <w:kern w:val="0"/>
          <w:sz w:val="24"/>
          <w:szCs w:val="32"/>
        </w:rPr>
      </w:pPr>
      <w:r>
        <w:rPr>
          <w:rFonts w:hint="eastAsia" w:ascii="仿宋" w:hAnsi="仿宋" w:eastAsia="仿宋" w:cs="仿宋"/>
        </w:rPr>
        <w:br w:type="page"/>
      </w:r>
      <w:bookmarkEnd w:id="244"/>
      <w:r>
        <w:rPr>
          <w:rFonts w:hint="eastAsia" w:ascii="宋体" w:hAnsi="宋体"/>
          <w:b/>
          <w:bCs/>
          <w:kern w:val="0"/>
          <w:sz w:val="24"/>
          <w:szCs w:val="32"/>
        </w:rPr>
        <w:t>1.具有独立承担民事责任的能力</w:t>
      </w:r>
    </w:p>
    <w:p>
      <w:pPr>
        <w:pStyle w:val="85"/>
        <w:widowControl/>
        <w:spacing w:line="288" w:lineRule="auto"/>
        <w:jc w:val="left"/>
        <w:rPr>
          <w:rFonts w:ascii="仿宋" w:hAnsi="仿宋" w:eastAsia="仿宋" w:cs="仿宋"/>
          <w:sz w:val="24"/>
          <w:szCs w:val="24"/>
        </w:rPr>
      </w:pPr>
      <w:r>
        <w:rPr>
          <w:rFonts w:hint="eastAsia" w:ascii="仿宋" w:hAnsi="仿宋" w:eastAsia="仿宋" w:cs="仿宋"/>
          <w:sz w:val="24"/>
          <w:szCs w:val="24"/>
        </w:rPr>
        <w:t>（1）.投标人法人营业执照（副本）或事业单位法人证书（副本）或个体工商户营业执照或有效的自然人身份证明、组织机构代码证</w:t>
      </w:r>
      <w:r>
        <w:rPr>
          <w:rFonts w:hint="eastAsia" w:ascii="仿宋" w:hAnsi="仿宋" w:eastAsia="仿宋" w:cs="仿宋"/>
          <w:b/>
          <w:bCs/>
          <w:sz w:val="24"/>
          <w:szCs w:val="24"/>
        </w:rPr>
        <w:t>扫描件</w:t>
      </w:r>
      <w:r>
        <w:rPr>
          <w:rFonts w:hint="eastAsia" w:ascii="仿宋" w:hAnsi="仿宋" w:eastAsia="仿宋" w:cs="仿宋"/>
          <w:sz w:val="24"/>
          <w:szCs w:val="24"/>
        </w:rPr>
        <w:t>（投标人按“三证合一”登记制度办理营业执照的,组织机构代码证和税务登记证（副本）以投标人所提供的营业执照（副本）</w:t>
      </w:r>
      <w:r>
        <w:rPr>
          <w:rFonts w:hint="eastAsia" w:ascii="仿宋" w:hAnsi="仿宋" w:eastAsia="仿宋" w:cs="仿宋"/>
          <w:b/>
          <w:bCs/>
          <w:sz w:val="24"/>
          <w:szCs w:val="24"/>
        </w:rPr>
        <w:t>扫描件</w:t>
      </w:r>
      <w:r>
        <w:rPr>
          <w:rFonts w:hint="eastAsia" w:ascii="仿宋" w:hAnsi="仿宋" w:eastAsia="仿宋" w:cs="仿宋"/>
          <w:sz w:val="24"/>
          <w:szCs w:val="24"/>
        </w:rPr>
        <w:t>为准。）；</w:t>
      </w: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p>
    <w:p>
      <w:pPr>
        <w:pStyle w:val="141"/>
        <w:jc w:val="both"/>
        <w:rPr>
          <w:rFonts w:ascii="宋体" w:hAnsi="宋体" w:eastAsia="宋体"/>
          <w:bCs/>
          <w:sz w:val="24"/>
          <w:szCs w:val="32"/>
        </w:rPr>
      </w:pPr>
      <w:r>
        <w:rPr>
          <w:rFonts w:hint="eastAsia" w:ascii="宋体" w:hAnsi="宋体" w:eastAsia="宋体"/>
          <w:bCs/>
          <w:sz w:val="24"/>
          <w:szCs w:val="32"/>
        </w:rPr>
        <w:t>(2)法定代表人身份证明及法定代表人授权书</w:t>
      </w:r>
    </w:p>
    <w:p>
      <w:pPr>
        <w:pStyle w:val="65"/>
        <w:adjustRightInd w:val="0"/>
        <w:snapToGrid w:val="0"/>
        <w:spacing w:line="500" w:lineRule="exact"/>
        <w:jc w:val="center"/>
        <w:rPr>
          <w:rFonts w:ascii="仿宋" w:hAnsi="仿宋" w:eastAsia="仿宋" w:cs="仿宋"/>
          <w:sz w:val="24"/>
          <w:szCs w:val="24"/>
        </w:rPr>
      </w:pPr>
      <w:r>
        <w:rPr>
          <w:rFonts w:hint="eastAsia" w:ascii="仿宋" w:hAnsi="仿宋" w:eastAsia="仿宋" w:cs="仿宋"/>
          <w:sz w:val="24"/>
          <w:szCs w:val="24"/>
        </w:rPr>
        <w:t>（1）法定代表人资格证明文件</w:t>
      </w:r>
    </w:p>
    <w:p>
      <w:pPr>
        <w:pStyle w:val="65"/>
        <w:adjustRightInd w:val="0"/>
        <w:snapToGrid w:val="0"/>
        <w:spacing w:line="500" w:lineRule="exact"/>
        <w:rPr>
          <w:rFonts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pPr>
        <w:pStyle w:val="65"/>
        <w:adjustRightInd w:val="0"/>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兹有</w:t>
      </w:r>
      <w:r>
        <w:rPr>
          <w:rFonts w:hint="eastAsia" w:ascii="仿宋" w:hAnsi="仿宋" w:eastAsia="仿宋" w:cs="仿宋"/>
          <w:sz w:val="24"/>
          <w:szCs w:val="24"/>
          <w:u w:val="single"/>
        </w:rPr>
        <w:t xml:space="preserve">          </w:t>
      </w:r>
      <w:r>
        <w:rPr>
          <w:rFonts w:hint="eastAsia" w:ascii="仿宋" w:hAnsi="仿宋" w:eastAsia="仿宋" w:cs="仿宋"/>
          <w:sz w:val="24"/>
          <w:szCs w:val="24"/>
        </w:rPr>
        <w:t>同志为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公司法定代表人,代表我公司办理一切社会公务事宜,具有法律效力。 </w:t>
      </w:r>
    </w:p>
    <w:p>
      <w:pPr>
        <w:pStyle w:val="65"/>
        <w:adjustRightInd w:val="0"/>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附法定代表人基本情况: </w:t>
      </w:r>
    </w:p>
    <w:p>
      <w:pPr>
        <w:pStyle w:val="65"/>
        <w:adjustRightInd w:val="0"/>
        <w:snapToGrid w:val="0"/>
        <w:spacing w:line="5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pStyle w:val="65"/>
        <w:adjustRightInd w:val="0"/>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pStyle w:val="65"/>
        <w:adjustRightInd w:val="0"/>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p>
    <w:p>
      <w:pPr>
        <w:pStyle w:val="65"/>
        <w:adjustRightInd w:val="0"/>
        <w:snapToGri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电话号码:</w:t>
      </w:r>
      <w:r>
        <w:rPr>
          <w:rFonts w:hint="eastAsia" w:ascii="仿宋" w:hAnsi="仿宋" w:eastAsia="仿宋" w:cs="仿宋"/>
          <w:sz w:val="24"/>
          <w:szCs w:val="24"/>
          <w:u w:val="single"/>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pPr>
        <w:pStyle w:val="65"/>
        <w:adjustRightInd w:val="0"/>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w:t>
      </w:r>
    </w:p>
    <w:tbl>
      <w:tblPr>
        <w:tblStyle w:val="38"/>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65"/>
              <w:adjustRightInd w:val="0"/>
              <w:snapToGrid w:val="0"/>
              <w:spacing w:line="500" w:lineRule="exact"/>
              <w:jc w:val="center"/>
              <w:rPr>
                <w:rFonts w:ascii="仿宋" w:hAnsi="仿宋" w:eastAsia="仿宋" w:cs="仿宋"/>
                <w:sz w:val="24"/>
                <w:szCs w:val="24"/>
              </w:rPr>
            </w:pPr>
          </w:p>
          <w:p>
            <w:pPr>
              <w:pStyle w:val="65"/>
              <w:adjustRightInd w:val="0"/>
              <w:snapToGrid w:val="0"/>
              <w:spacing w:line="500" w:lineRule="exact"/>
              <w:jc w:val="center"/>
              <w:rPr>
                <w:rFonts w:ascii="仿宋" w:hAnsi="仿宋" w:eastAsia="仿宋" w:cs="仿宋"/>
                <w:sz w:val="24"/>
                <w:szCs w:val="24"/>
              </w:rPr>
            </w:pPr>
          </w:p>
          <w:p>
            <w:pPr>
              <w:pStyle w:val="65"/>
              <w:adjustRightInd w:val="0"/>
              <w:snapToGrid w:val="0"/>
              <w:spacing w:line="500" w:lineRule="exact"/>
              <w:jc w:val="center"/>
              <w:rPr>
                <w:rFonts w:ascii="仿宋" w:hAnsi="仿宋" w:eastAsia="仿宋" w:cs="仿宋"/>
                <w:sz w:val="24"/>
                <w:szCs w:val="24"/>
              </w:rPr>
            </w:pPr>
            <w:r>
              <w:rPr>
                <w:rFonts w:hint="eastAsia" w:ascii="仿宋" w:hAnsi="仿宋" w:eastAsia="仿宋" w:cs="仿宋"/>
                <w:sz w:val="24"/>
                <w:szCs w:val="24"/>
              </w:rPr>
              <w:t>法定代表人《居民身份证》正反面扫描件</w:t>
            </w:r>
          </w:p>
        </w:tc>
      </w:tr>
    </w:tbl>
    <w:p>
      <w:pPr>
        <w:pStyle w:val="65"/>
        <w:adjustRightInd w:val="0"/>
        <w:snapToGrid w:val="0"/>
        <w:spacing w:line="500" w:lineRule="exact"/>
        <w:rPr>
          <w:rFonts w:ascii="仿宋" w:hAnsi="仿宋" w:eastAsia="仿宋" w:cs="仿宋"/>
          <w:sz w:val="24"/>
          <w:szCs w:val="24"/>
        </w:rPr>
      </w:pPr>
    </w:p>
    <w:p>
      <w:pPr>
        <w:pStyle w:val="65"/>
        <w:tabs>
          <w:tab w:val="left" w:pos="750"/>
        </w:tabs>
        <w:adjustRightInd w:val="0"/>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投标人名称（签章）:</w:t>
      </w:r>
      <w:r>
        <w:rPr>
          <w:rFonts w:hint="eastAsia" w:ascii="仿宋" w:hAnsi="仿宋" w:eastAsia="仿宋" w:cs="仿宋"/>
          <w:sz w:val="24"/>
          <w:szCs w:val="24"/>
          <w:u w:val="single"/>
        </w:rPr>
        <w:t xml:space="preserve">           </w:t>
      </w:r>
    </w:p>
    <w:p>
      <w:pPr>
        <w:pStyle w:val="65"/>
        <w:tabs>
          <w:tab w:val="left" w:pos="750"/>
        </w:tabs>
        <w:adjustRightInd w:val="0"/>
        <w:snapToGrid w:val="0"/>
        <w:spacing w:line="500" w:lineRule="exact"/>
        <w:rPr>
          <w:rFonts w:ascii="仿宋" w:hAnsi="仿宋" w:eastAsia="仿宋" w:cs="仿宋"/>
          <w:sz w:val="24"/>
          <w:szCs w:val="24"/>
        </w:rPr>
      </w:pPr>
    </w:p>
    <w:p>
      <w:pPr>
        <w:pStyle w:val="65"/>
        <w:tabs>
          <w:tab w:val="left" w:pos="750"/>
        </w:tabs>
        <w:adjustRightInd w:val="0"/>
        <w:snapToGrid w:val="0"/>
        <w:spacing w:line="500" w:lineRule="exact"/>
        <w:ind w:firstLine="720" w:firstLineChars="300"/>
        <w:rPr>
          <w:rFonts w:ascii="仿宋" w:hAnsi="仿宋" w:eastAsia="仿宋" w:cs="仿宋"/>
          <w:sz w:val="24"/>
          <w:szCs w:val="24"/>
        </w:rPr>
      </w:pPr>
      <w:r>
        <w:rPr>
          <w:rFonts w:hint="eastAsia" w:ascii="仿宋" w:hAnsi="仿宋" w:eastAsia="仿宋" w:cs="仿宋"/>
          <w:sz w:val="24"/>
          <w:szCs w:val="24"/>
        </w:rPr>
        <w:t>法定代表人（签字或签章） :</w:t>
      </w:r>
      <w:r>
        <w:rPr>
          <w:rFonts w:hint="eastAsia" w:ascii="仿宋" w:hAnsi="仿宋" w:eastAsia="仿宋" w:cs="仿宋"/>
          <w:sz w:val="24"/>
          <w:szCs w:val="24"/>
          <w:u w:val="single"/>
        </w:rPr>
        <w:t xml:space="preserve">           </w:t>
      </w:r>
    </w:p>
    <w:p>
      <w:pPr>
        <w:pStyle w:val="65"/>
        <w:tabs>
          <w:tab w:val="left" w:pos="750"/>
        </w:tabs>
        <w:adjustRightInd w:val="0"/>
        <w:snapToGrid w:val="0"/>
        <w:spacing w:line="500" w:lineRule="exact"/>
        <w:rPr>
          <w:rFonts w:ascii="仿宋" w:hAnsi="仿宋" w:eastAsia="仿宋" w:cs="仿宋"/>
          <w:sz w:val="24"/>
          <w:szCs w:val="24"/>
        </w:rPr>
      </w:pPr>
    </w:p>
    <w:p>
      <w:pPr>
        <w:pStyle w:val="65"/>
        <w:tabs>
          <w:tab w:val="left" w:pos="750"/>
        </w:tabs>
        <w:adjustRightInd w:val="0"/>
        <w:snapToGrid w:val="0"/>
        <w:spacing w:line="500" w:lineRule="exact"/>
        <w:ind w:firstLine="720" w:firstLineChars="30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4"/>
        <w:outlineLvl w:val="9"/>
        <w:rPr>
          <w:rFonts w:ascii="仿宋" w:hAnsi="仿宋" w:eastAsia="仿宋" w:cs="仿宋"/>
        </w:rPr>
      </w:pPr>
      <w:r>
        <w:rPr>
          <w:rFonts w:hint="eastAsia" w:ascii="仿宋" w:hAnsi="仿宋" w:eastAsia="仿宋" w:cs="仿宋"/>
        </w:rPr>
        <w:t xml:space="preserve"> </w:t>
      </w:r>
    </w:p>
    <w:p>
      <w:pPr>
        <w:pStyle w:val="64"/>
        <w:outlineLvl w:val="9"/>
        <w:rPr>
          <w:rFonts w:ascii="仿宋" w:hAnsi="仿宋" w:eastAsia="仿宋" w:cs="仿宋"/>
        </w:rPr>
      </w:pPr>
    </w:p>
    <w:p>
      <w:pPr>
        <w:pStyle w:val="64"/>
        <w:outlineLvl w:val="9"/>
        <w:rPr>
          <w:rFonts w:ascii="仿宋" w:hAnsi="仿宋" w:eastAsia="仿宋" w:cs="仿宋"/>
        </w:rPr>
      </w:pPr>
    </w:p>
    <w:p>
      <w:pPr>
        <w:pStyle w:val="65"/>
        <w:rPr>
          <w:rFonts w:ascii="仿宋" w:hAnsi="仿宋" w:eastAsia="仿宋" w:cs="仿宋"/>
        </w:rPr>
      </w:pPr>
    </w:p>
    <w:p>
      <w:pPr>
        <w:pStyle w:val="65"/>
        <w:rPr>
          <w:rFonts w:ascii="仿宋" w:hAnsi="仿宋" w:eastAsia="仿宋" w:cs="仿宋"/>
        </w:rPr>
      </w:pPr>
    </w:p>
    <w:p>
      <w:pPr>
        <w:pStyle w:val="65"/>
        <w:spacing w:line="500" w:lineRule="exact"/>
        <w:jc w:val="center"/>
        <w:rPr>
          <w:rFonts w:ascii="仿宋" w:hAnsi="仿宋" w:eastAsia="仿宋" w:cs="仿宋"/>
          <w:sz w:val="24"/>
          <w:szCs w:val="24"/>
        </w:rPr>
      </w:pPr>
    </w:p>
    <w:p>
      <w:pPr>
        <w:pStyle w:val="65"/>
        <w:spacing w:line="500" w:lineRule="exact"/>
        <w:jc w:val="center"/>
        <w:rPr>
          <w:rFonts w:ascii="仿宋" w:hAnsi="仿宋" w:eastAsia="仿宋" w:cs="仿宋"/>
          <w:sz w:val="24"/>
          <w:szCs w:val="24"/>
        </w:rPr>
      </w:pPr>
      <w:r>
        <w:rPr>
          <w:rFonts w:hint="eastAsia" w:ascii="仿宋" w:hAnsi="仿宋" w:eastAsia="仿宋" w:cs="仿宋"/>
          <w:sz w:val="24"/>
          <w:szCs w:val="24"/>
        </w:rPr>
        <w:t>法定代表人授权书</w:t>
      </w:r>
    </w:p>
    <w:p>
      <w:pPr>
        <w:pStyle w:val="65"/>
        <w:spacing w:line="500" w:lineRule="exact"/>
        <w:rPr>
          <w:rFonts w:ascii="仿宋" w:hAnsi="仿宋" w:eastAsia="仿宋" w:cs="仿宋"/>
          <w:sz w:val="24"/>
          <w:szCs w:val="24"/>
        </w:rPr>
      </w:pPr>
      <w:r>
        <w:rPr>
          <w:rFonts w:hint="eastAsia" w:ascii="仿宋" w:hAnsi="仿宋" w:eastAsia="仿宋" w:cs="仿宋"/>
          <w:sz w:val="24"/>
          <w:szCs w:val="24"/>
          <w:u w:val="single"/>
        </w:rPr>
        <w:t>（代理机构名称）</w:t>
      </w:r>
      <w:r>
        <w:rPr>
          <w:rFonts w:hint="eastAsia" w:ascii="仿宋" w:hAnsi="仿宋" w:eastAsia="仿宋" w:cs="仿宋"/>
          <w:sz w:val="24"/>
          <w:szCs w:val="24"/>
        </w:rPr>
        <w:t>:</w:t>
      </w:r>
    </w:p>
    <w:p>
      <w:pPr>
        <w:pStyle w:val="6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兹授权</w:t>
      </w:r>
      <w:r>
        <w:rPr>
          <w:rFonts w:hint="eastAsia" w:ascii="仿宋" w:hAnsi="仿宋" w:eastAsia="仿宋" w:cs="仿宋"/>
          <w:sz w:val="24"/>
          <w:szCs w:val="24"/>
          <w:u w:val="single"/>
        </w:rPr>
        <w:t xml:space="preserve">           </w:t>
      </w:r>
      <w:r>
        <w:rPr>
          <w:rFonts w:hint="eastAsia" w:ascii="仿宋" w:hAnsi="仿宋" w:eastAsia="仿宋" w:cs="仿宋"/>
          <w:sz w:val="24"/>
          <w:szCs w:val="24"/>
        </w:rPr>
        <w:t>同志为我公司参加贵单位组织的编号为</w:t>
      </w:r>
      <w:r>
        <w:rPr>
          <w:rFonts w:hint="eastAsia" w:ascii="仿宋" w:hAnsi="仿宋" w:eastAsia="仿宋" w:cs="仿宋"/>
          <w:sz w:val="24"/>
          <w:szCs w:val="24"/>
          <w:u w:val="single"/>
        </w:rPr>
        <w:t>（项目编号）</w:t>
      </w:r>
      <w:r>
        <w:rPr>
          <w:rFonts w:hint="eastAsia" w:ascii="仿宋" w:hAnsi="仿宋" w:eastAsia="仿宋" w:cs="仿宋"/>
          <w:sz w:val="24"/>
          <w:szCs w:val="24"/>
        </w:rPr>
        <w:t>的</w:t>
      </w:r>
      <w:r>
        <w:rPr>
          <w:rFonts w:hint="eastAsia" w:ascii="仿宋" w:hAnsi="仿宋" w:eastAsia="仿宋" w:cs="仿宋"/>
          <w:sz w:val="24"/>
          <w:szCs w:val="24"/>
          <w:u w:val="single"/>
        </w:rPr>
        <w:t>（项 目 名 称）</w:t>
      </w:r>
      <w:r>
        <w:rPr>
          <w:rFonts w:hint="eastAsia" w:ascii="仿宋" w:hAnsi="仿宋" w:eastAsia="仿宋" w:cs="仿宋"/>
          <w:sz w:val="24"/>
          <w:szCs w:val="24"/>
        </w:rPr>
        <w:t>采购活动的投标代表人,全权代表我公司处理在该项目采购活动中的一切事宜。代理期限从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日起至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日止。 </w:t>
      </w:r>
    </w:p>
    <w:p>
      <w:pPr>
        <w:pStyle w:val="65"/>
        <w:spacing w:line="500" w:lineRule="exact"/>
        <w:rPr>
          <w:rFonts w:ascii="仿宋" w:hAnsi="仿宋" w:eastAsia="仿宋" w:cs="仿宋"/>
          <w:sz w:val="24"/>
          <w:szCs w:val="24"/>
        </w:rPr>
      </w:pPr>
    </w:p>
    <w:p>
      <w:pPr>
        <w:pStyle w:val="65"/>
        <w:spacing w:line="500" w:lineRule="exact"/>
        <w:rPr>
          <w:rFonts w:ascii="仿宋" w:hAnsi="仿宋" w:eastAsia="仿宋" w:cs="仿宋"/>
          <w:sz w:val="24"/>
          <w:szCs w:val="24"/>
        </w:rPr>
      </w:pPr>
      <w:r>
        <w:rPr>
          <w:rFonts w:hint="eastAsia" w:ascii="仿宋" w:hAnsi="仿宋" w:eastAsia="仿宋" w:cs="仿宋"/>
          <w:sz w:val="24"/>
          <w:szCs w:val="24"/>
        </w:rPr>
        <w:t>投标人（签章）:</w:t>
      </w:r>
      <w:r>
        <w:rPr>
          <w:rFonts w:hint="eastAsia" w:ascii="仿宋" w:hAnsi="仿宋" w:eastAsia="仿宋" w:cs="仿宋"/>
          <w:sz w:val="24"/>
          <w:szCs w:val="24"/>
          <w:u w:val="single"/>
        </w:rPr>
        <w:t xml:space="preserve">               </w:t>
      </w:r>
    </w:p>
    <w:p>
      <w:pPr>
        <w:pStyle w:val="65"/>
        <w:spacing w:line="500" w:lineRule="exact"/>
        <w:rPr>
          <w:rFonts w:ascii="仿宋" w:hAnsi="仿宋" w:eastAsia="仿宋" w:cs="仿宋"/>
          <w:sz w:val="24"/>
          <w:szCs w:val="24"/>
        </w:rPr>
      </w:pPr>
      <w:r>
        <w:rPr>
          <w:rFonts w:hint="eastAsia" w:ascii="仿宋" w:hAnsi="仿宋" w:eastAsia="仿宋" w:cs="仿宋"/>
          <w:sz w:val="24"/>
          <w:szCs w:val="24"/>
        </w:rPr>
        <w:t>法定代表人（签字或签章）:</w:t>
      </w:r>
      <w:r>
        <w:rPr>
          <w:rFonts w:hint="eastAsia" w:ascii="仿宋" w:hAnsi="仿宋" w:eastAsia="仿宋" w:cs="仿宋"/>
          <w:sz w:val="24"/>
          <w:szCs w:val="24"/>
          <w:u w:val="single"/>
        </w:rPr>
        <w:t xml:space="preserve">       </w:t>
      </w:r>
    </w:p>
    <w:p>
      <w:pPr>
        <w:pStyle w:val="65"/>
        <w:spacing w:line="500" w:lineRule="exact"/>
        <w:rPr>
          <w:rFonts w:ascii="仿宋" w:hAnsi="仿宋" w:eastAsia="仿宋" w:cs="仿宋"/>
          <w:sz w:val="24"/>
          <w:szCs w:val="24"/>
        </w:rPr>
      </w:pPr>
      <w:r>
        <w:rPr>
          <w:rFonts w:hint="eastAsia" w:ascii="仿宋" w:hAnsi="仿宋" w:eastAsia="仿宋" w:cs="仿宋"/>
          <w:sz w:val="24"/>
          <w:szCs w:val="24"/>
        </w:rPr>
        <w:t>签发日期: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5"/>
        <w:spacing w:line="500" w:lineRule="exact"/>
        <w:rPr>
          <w:rFonts w:ascii="仿宋" w:hAnsi="仿宋" w:eastAsia="仿宋" w:cs="仿宋"/>
          <w:sz w:val="24"/>
          <w:szCs w:val="24"/>
        </w:rPr>
      </w:pPr>
    </w:p>
    <w:p>
      <w:pPr>
        <w:pStyle w:val="65"/>
        <w:spacing w:line="500" w:lineRule="exact"/>
        <w:rPr>
          <w:rFonts w:ascii="仿宋" w:hAnsi="仿宋" w:eastAsia="仿宋" w:cs="仿宋"/>
          <w:sz w:val="24"/>
          <w:szCs w:val="24"/>
        </w:rPr>
      </w:pPr>
      <w:r>
        <w:rPr>
          <w:rFonts w:hint="eastAsia" w:ascii="仿宋" w:hAnsi="仿宋" w:eastAsia="仿宋" w:cs="仿宋"/>
          <w:sz w:val="24"/>
          <w:szCs w:val="24"/>
        </w:rPr>
        <w:t>附:</w:t>
      </w:r>
    </w:p>
    <w:p>
      <w:pPr>
        <w:pStyle w:val="65"/>
        <w:spacing w:line="500" w:lineRule="exact"/>
        <w:rPr>
          <w:rFonts w:ascii="仿宋" w:hAnsi="仿宋" w:eastAsia="仿宋" w:cs="仿宋"/>
          <w:sz w:val="24"/>
          <w:szCs w:val="24"/>
        </w:rPr>
      </w:pPr>
      <w:r>
        <w:rPr>
          <w:rFonts w:hint="eastAsia" w:ascii="仿宋" w:hAnsi="仿宋" w:eastAsia="仿宋" w:cs="仿宋"/>
          <w:sz w:val="24"/>
          <w:szCs w:val="24"/>
        </w:rPr>
        <w:t>代理人工作单位:</w:t>
      </w:r>
      <w:r>
        <w:rPr>
          <w:rFonts w:hint="eastAsia" w:ascii="仿宋" w:hAnsi="仿宋" w:eastAsia="仿宋" w:cs="仿宋"/>
          <w:sz w:val="24"/>
          <w:szCs w:val="24"/>
          <w:u w:val="single"/>
        </w:rPr>
        <w:t xml:space="preserve">                          </w:t>
      </w:r>
    </w:p>
    <w:p>
      <w:pPr>
        <w:pStyle w:val="65"/>
        <w:spacing w:line="500" w:lineRule="exact"/>
        <w:rPr>
          <w:rFonts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p>
    <w:p>
      <w:pPr>
        <w:pStyle w:val="65"/>
        <w:adjustRightInd w:val="0"/>
        <w:snapToGrid w:val="0"/>
        <w:spacing w:line="500" w:lineRule="exact"/>
        <w:rPr>
          <w:rFonts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pStyle w:val="65"/>
        <w:adjustRightInd w:val="0"/>
        <w:snapToGrid w:val="0"/>
        <w:spacing w:line="500" w:lineRule="exact"/>
        <w:ind w:left="-88" w:leftChars="-42" w:firstLine="600" w:firstLineChars="250"/>
        <w:rPr>
          <w:rFonts w:ascii="仿宋" w:hAnsi="仿宋" w:eastAsia="仿宋" w:cs="仿宋"/>
          <w:sz w:val="24"/>
          <w:szCs w:val="24"/>
          <w:u w:val="single"/>
        </w:rPr>
      </w:pPr>
    </w:p>
    <w:tbl>
      <w:tblPr>
        <w:tblStyle w:val="38"/>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Borders>
              <w:top w:val="single" w:color="auto" w:sz="4" w:space="0"/>
              <w:left w:val="single" w:color="auto" w:sz="4" w:space="0"/>
              <w:bottom w:val="single" w:color="auto" w:sz="4" w:space="0"/>
              <w:right w:val="single" w:color="auto" w:sz="4" w:space="0"/>
            </w:tcBorders>
          </w:tcPr>
          <w:p>
            <w:pPr>
              <w:pStyle w:val="65"/>
              <w:spacing w:line="500" w:lineRule="exact"/>
              <w:rPr>
                <w:rFonts w:ascii="仿宋" w:hAnsi="仿宋" w:eastAsia="仿宋" w:cs="仿宋"/>
                <w:sz w:val="24"/>
                <w:szCs w:val="24"/>
              </w:rPr>
            </w:pPr>
            <w:r>
              <w:rPr>
                <w:rFonts w:hint="eastAsia" w:ascii="仿宋" w:hAnsi="仿宋" w:eastAsia="仿宋" w:cs="仿宋"/>
                <w:sz w:val="24"/>
                <w:szCs w:val="24"/>
              </w:rPr>
              <w:t>粘贴被授权人身份证正反面（扫描件）</w:t>
            </w:r>
          </w:p>
        </w:tc>
      </w:tr>
    </w:tbl>
    <w:p>
      <w:pPr>
        <w:pStyle w:val="141"/>
        <w:jc w:val="both"/>
        <w:rPr>
          <w:rFonts w:ascii="仿宋" w:hAnsi="仿宋" w:eastAsia="仿宋" w:cs="仿宋"/>
        </w:rPr>
      </w:pPr>
    </w:p>
    <w:p>
      <w:pPr>
        <w:pStyle w:val="141"/>
        <w:jc w:val="both"/>
        <w:rPr>
          <w:rFonts w:ascii="仿宋" w:hAnsi="仿宋" w:eastAsia="仿宋" w:cs="仿宋"/>
        </w:rPr>
      </w:pPr>
    </w:p>
    <w:p>
      <w:pPr>
        <w:pStyle w:val="84"/>
        <w:spacing w:line="288" w:lineRule="auto"/>
        <w:jc w:val="left"/>
        <w:rPr>
          <w:rFonts w:ascii="宋体" w:hAnsi="宋体" w:cs="宋体"/>
          <w:b/>
          <w:bCs/>
          <w:sz w:val="24"/>
          <w:szCs w:val="24"/>
        </w:rPr>
      </w:pPr>
    </w:p>
    <w:p>
      <w:pPr>
        <w:pStyle w:val="84"/>
        <w:spacing w:line="288" w:lineRule="auto"/>
        <w:jc w:val="left"/>
        <w:rPr>
          <w:rFonts w:ascii="宋体" w:hAnsi="宋体" w:cs="宋体"/>
          <w:b/>
          <w:bCs/>
          <w:sz w:val="24"/>
          <w:szCs w:val="24"/>
        </w:rPr>
      </w:pPr>
    </w:p>
    <w:p>
      <w:pPr>
        <w:pStyle w:val="84"/>
        <w:spacing w:line="288" w:lineRule="auto"/>
        <w:jc w:val="left"/>
        <w:rPr>
          <w:rFonts w:ascii="宋体" w:hAnsi="宋体" w:cs="宋体"/>
          <w:b/>
          <w:bCs/>
          <w:sz w:val="24"/>
          <w:szCs w:val="24"/>
        </w:rPr>
      </w:pPr>
    </w:p>
    <w:p>
      <w:pPr>
        <w:pStyle w:val="84"/>
        <w:spacing w:line="288" w:lineRule="auto"/>
        <w:jc w:val="left"/>
        <w:rPr>
          <w:rFonts w:ascii="宋体" w:hAnsi="宋体" w:cs="宋体"/>
          <w:b/>
          <w:bCs/>
          <w:sz w:val="24"/>
          <w:szCs w:val="24"/>
        </w:rPr>
      </w:pPr>
    </w:p>
    <w:p>
      <w:pPr>
        <w:pStyle w:val="84"/>
        <w:spacing w:line="288" w:lineRule="auto"/>
        <w:jc w:val="left"/>
        <w:rPr>
          <w:rFonts w:ascii="宋体" w:hAnsi="宋体" w:cs="宋体"/>
          <w:b/>
          <w:bCs/>
          <w:sz w:val="24"/>
          <w:szCs w:val="24"/>
        </w:rPr>
      </w:pPr>
    </w:p>
    <w:p>
      <w:pPr>
        <w:pStyle w:val="84"/>
        <w:spacing w:line="288" w:lineRule="auto"/>
        <w:jc w:val="left"/>
        <w:rPr>
          <w:rFonts w:ascii="宋体" w:hAnsi="宋体" w:cs="宋体"/>
          <w:b/>
          <w:bCs/>
          <w:sz w:val="24"/>
          <w:szCs w:val="24"/>
        </w:rPr>
      </w:pPr>
    </w:p>
    <w:p>
      <w:pPr>
        <w:pStyle w:val="84"/>
        <w:spacing w:line="288" w:lineRule="auto"/>
        <w:jc w:val="left"/>
        <w:rPr>
          <w:rFonts w:ascii="宋体" w:hAnsi="宋体" w:cs="宋体"/>
          <w:b/>
          <w:bCs/>
          <w:sz w:val="24"/>
          <w:szCs w:val="24"/>
        </w:rPr>
      </w:pPr>
      <w:r>
        <w:rPr>
          <w:rFonts w:hint="eastAsia" w:ascii="宋体" w:hAnsi="宋体" w:cs="宋体"/>
          <w:b/>
          <w:bCs/>
          <w:sz w:val="24"/>
          <w:szCs w:val="24"/>
        </w:rPr>
        <w:t>3.具有良好的商业信誉和健全的财务会计制度</w:t>
      </w:r>
    </w:p>
    <w:p>
      <w:pPr>
        <w:pStyle w:val="141"/>
        <w:jc w:val="both"/>
        <w:rPr>
          <w:rFonts w:ascii="仿宋" w:hAnsi="仿宋" w:eastAsia="仿宋" w:cs="仿宋"/>
        </w:rPr>
      </w:pPr>
      <w:r>
        <w:rPr>
          <w:rFonts w:hint="eastAsia" w:ascii="仿宋" w:hAnsi="仿宋" w:eastAsia="仿宋" w:cs="仿宋"/>
          <w:b w:val="0"/>
          <w:bCs/>
          <w:sz w:val="22"/>
          <w:szCs w:val="22"/>
        </w:rPr>
        <w:t>投标人须提供会计师事务所出具的上年度（2020年度或2021年度）财务审计报告或提供本企业开户银行在投标截止时间前六个月内出具的有效的资信证明文件；</w:t>
      </w:r>
    </w:p>
    <w:p>
      <w:pPr>
        <w:pStyle w:val="141"/>
        <w:jc w:val="both"/>
        <w:rPr>
          <w:rFonts w:ascii="仿宋" w:hAnsi="仿宋" w:eastAsia="仿宋" w:cs="仿宋"/>
        </w:rPr>
      </w:pPr>
    </w:p>
    <w:p>
      <w:pPr>
        <w:pStyle w:val="141"/>
        <w:jc w:val="both"/>
        <w:rPr>
          <w:rFonts w:ascii="仿宋" w:hAnsi="仿宋" w:eastAsia="仿宋" w:cs="仿宋"/>
        </w:rPr>
      </w:pPr>
    </w:p>
    <w:p>
      <w:pPr>
        <w:pStyle w:val="84"/>
        <w:spacing w:line="288" w:lineRule="auto"/>
        <w:rPr>
          <w:rFonts w:ascii="宋体" w:hAnsi="宋体" w:cs="宋体"/>
          <w:b/>
          <w:bCs/>
          <w:sz w:val="24"/>
          <w:szCs w:val="24"/>
        </w:rPr>
      </w:pPr>
      <w:r>
        <w:rPr>
          <w:rFonts w:hint="eastAsia" w:ascii="宋体" w:hAnsi="宋体" w:cs="宋体"/>
          <w:b/>
          <w:bCs/>
          <w:sz w:val="24"/>
          <w:szCs w:val="24"/>
        </w:rPr>
        <w:t>4.具有履行合同所必需的设备和专业技术能力</w:t>
      </w:r>
    </w:p>
    <w:p>
      <w:pPr>
        <w:pStyle w:val="141"/>
        <w:ind w:firstLine="240" w:firstLineChars="100"/>
        <w:jc w:val="both"/>
        <w:rPr>
          <w:rFonts w:ascii="仿宋" w:hAnsi="仿宋" w:eastAsia="仿宋" w:cs="仿宋"/>
        </w:rPr>
      </w:pPr>
      <w:r>
        <w:rPr>
          <w:rFonts w:hint="eastAsia" w:ascii="仿宋" w:hAnsi="仿宋" w:eastAsia="仿宋" w:cs="仿宋"/>
          <w:b w:val="0"/>
          <w:bCs/>
          <w:sz w:val="24"/>
        </w:rPr>
        <w:t>投标人须提供相关资料或书面声明（格式自拟）；</w:t>
      </w: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5.有依法缴纳税收和社会保障金的良好记录</w:t>
      </w:r>
    </w:p>
    <w:p>
      <w:pPr>
        <w:pStyle w:val="104"/>
        <w:spacing w:line="360" w:lineRule="exact"/>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（1）投标人依法缴纳税收的证明材料复印件加盖公章（提供投标截止日期之前6个月内任何一期的纳税记录或证明文件,</w:t>
      </w:r>
      <w:r>
        <w:rPr>
          <w:rFonts w:hint="eastAsia" w:ascii="仿宋" w:hAnsi="仿宋" w:eastAsia="仿宋" w:cs="仿宋"/>
          <w:sz w:val="24"/>
          <w:szCs w:val="24"/>
        </w:rPr>
        <w:t>如依法免税或不需要缴纳税收的,提供相应证明材料</w:t>
      </w:r>
      <w:r>
        <w:rPr>
          <w:rFonts w:hint="eastAsia" w:ascii="仿宋" w:hAnsi="仿宋" w:eastAsia="仿宋" w:cs="仿宋"/>
          <w:kern w:val="0"/>
          <w:sz w:val="24"/>
          <w:szCs w:val="24"/>
        </w:rPr>
        <w:t>）；</w:t>
      </w: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p>
    <w:p>
      <w:pPr>
        <w:pStyle w:val="141"/>
        <w:ind w:firstLine="240" w:firstLineChars="100"/>
        <w:jc w:val="both"/>
        <w:rPr>
          <w:rFonts w:ascii="仿宋" w:hAnsi="仿宋" w:eastAsia="仿宋" w:cs="仿宋"/>
          <w:b w:val="0"/>
          <w:sz w:val="24"/>
        </w:rPr>
      </w:pPr>
      <w:r>
        <w:rPr>
          <w:rFonts w:hint="eastAsia" w:ascii="仿宋" w:hAnsi="仿宋" w:eastAsia="仿宋" w:cs="仿宋"/>
          <w:b w:val="0"/>
          <w:sz w:val="24"/>
        </w:rPr>
        <w:t>（2）</w:t>
      </w:r>
      <w:r>
        <w:rPr>
          <w:rFonts w:hint="eastAsia" w:ascii="仿宋" w:hAnsi="仿宋" w:eastAsia="仿宋" w:cs="仿宋"/>
          <w:b w:val="0"/>
          <w:bCs/>
          <w:sz w:val="24"/>
        </w:rPr>
        <w:t>投标人依法缴纳社会保障资金的证明材料复印件加盖公章（提供投标截止日期之前6个月内任何一期的缴费记录或证明文件,如依法不需要缴纳社会保障资金的,提供相应证明材料）。</w:t>
      </w: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84"/>
        <w:spacing w:line="288" w:lineRule="auto"/>
        <w:jc w:val="left"/>
        <w:rPr>
          <w:rFonts w:ascii="宋体" w:hAnsi="宋体" w:cs="宋体"/>
          <w:b/>
          <w:bCs/>
          <w:sz w:val="24"/>
          <w:szCs w:val="24"/>
        </w:rPr>
      </w:pPr>
      <w:r>
        <w:rPr>
          <w:rFonts w:hint="eastAsia" w:ascii="宋体" w:hAnsi="宋体" w:cs="宋体"/>
          <w:b/>
          <w:bCs/>
          <w:sz w:val="24"/>
          <w:szCs w:val="24"/>
        </w:rPr>
        <w:t>6.参加政府采购活动前三年内,在经营活动中没有重大违法记录</w:t>
      </w:r>
    </w:p>
    <w:p>
      <w:pPr>
        <w:pStyle w:val="84"/>
        <w:spacing w:line="288" w:lineRule="auto"/>
        <w:jc w:val="left"/>
        <w:rPr>
          <w:rFonts w:ascii="仿宋" w:hAnsi="仿宋" w:eastAsia="仿宋" w:cs="仿宋"/>
          <w:sz w:val="24"/>
          <w:szCs w:val="24"/>
        </w:rPr>
      </w:pPr>
    </w:p>
    <w:p>
      <w:pPr>
        <w:pStyle w:val="84"/>
        <w:spacing w:line="288" w:lineRule="auto"/>
        <w:jc w:val="left"/>
        <w:rPr>
          <w:rFonts w:ascii="仿宋" w:hAnsi="仿宋" w:eastAsia="仿宋" w:cs="仿宋"/>
          <w:sz w:val="24"/>
          <w:szCs w:val="24"/>
        </w:rPr>
      </w:pPr>
      <w:r>
        <w:rPr>
          <w:rFonts w:hint="eastAsia" w:ascii="仿宋" w:hAnsi="仿宋" w:eastAsia="仿宋" w:cs="仿宋"/>
          <w:sz w:val="24"/>
          <w:szCs w:val="24"/>
        </w:rPr>
        <w:t>（1）投标人参加政府采购活动前3年内在经营活动中没有重大违法记录的书面声明（格式自拟）；</w:t>
      </w:r>
    </w:p>
    <w:p>
      <w:pPr>
        <w:pStyle w:val="84"/>
        <w:spacing w:line="288" w:lineRule="auto"/>
        <w:jc w:val="left"/>
        <w:rPr>
          <w:rFonts w:ascii="仿宋" w:hAnsi="仿宋" w:eastAsia="仿宋" w:cs="仿宋"/>
          <w:sz w:val="24"/>
          <w:szCs w:val="24"/>
        </w:rPr>
      </w:pPr>
    </w:p>
    <w:p>
      <w:pPr>
        <w:pStyle w:val="84"/>
        <w:spacing w:line="288" w:lineRule="auto"/>
        <w:jc w:val="left"/>
        <w:rPr>
          <w:rFonts w:ascii="仿宋" w:hAnsi="仿宋" w:eastAsia="仿宋" w:cs="仿宋"/>
          <w:sz w:val="24"/>
          <w:szCs w:val="24"/>
        </w:rPr>
      </w:pPr>
    </w:p>
    <w:p>
      <w:pPr>
        <w:pStyle w:val="84"/>
        <w:spacing w:line="288" w:lineRule="auto"/>
        <w:jc w:val="left"/>
        <w:rPr>
          <w:rFonts w:ascii="仿宋" w:hAnsi="仿宋" w:eastAsia="仿宋" w:cs="仿宋"/>
          <w:sz w:val="24"/>
          <w:szCs w:val="24"/>
        </w:rPr>
      </w:pPr>
    </w:p>
    <w:p>
      <w:pPr>
        <w:pStyle w:val="84"/>
        <w:spacing w:line="288" w:lineRule="auto"/>
        <w:jc w:val="left"/>
        <w:rPr>
          <w:rFonts w:ascii="仿宋" w:hAnsi="仿宋" w:eastAsia="仿宋" w:cs="仿宋"/>
          <w:sz w:val="24"/>
          <w:szCs w:val="24"/>
        </w:rPr>
      </w:pPr>
    </w:p>
    <w:p>
      <w:pPr>
        <w:pStyle w:val="141"/>
        <w:jc w:val="both"/>
        <w:rPr>
          <w:rFonts w:ascii="仿宋" w:hAnsi="仿宋" w:eastAsia="仿宋" w:cs="仿宋"/>
        </w:rPr>
      </w:pPr>
      <w:r>
        <w:rPr>
          <w:rFonts w:hint="eastAsia" w:ascii="仿宋" w:hAnsi="仿宋" w:eastAsia="仿宋" w:cs="仿宋"/>
          <w:b w:val="0"/>
          <w:bCs/>
          <w:sz w:val="22"/>
          <w:szCs w:val="22"/>
        </w:rPr>
        <w:t xml:space="preserve">（2）投标人必须为前三年内（2019 年1 月 1 日至投标截止时间(开标时间)）未被列入“信用中国”网站（www.creditchina.gov.cn）、中国政府采购网（www.ccgp.gov.cn）信用记录失信被执行人、税收违法黑名单、政府采购严重违法失信行为记录名单的；（查询的时间以采购人或采购代理机构开标当日查询记录为准）。 </w:t>
      </w:r>
    </w:p>
    <w:p>
      <w:pPr>
        <w:pStyle w:val="141"/>
        <w:jc w:val="both"/>
        <w:rPr>
          <w:rFonts w:ascii="仿宋" w:hAnsi="仿宋" w:eastAsia="仿宋" w:cs="仿宋"/>
        </w:rPr>
      </w:pPr>
    </w:p>
    <w:p>
      <w:pPr>
        <w:pStyle w:val="141"/>
        <w:jc w:val="both"/>
        <w:rPr>
          <w:rFonts w:ascii="仿宋" w:hAnsi="仿宋" w:eastAsia="仿宋" w:cs="仿宋"/>
        </w:rPr>
      </w:pPr>
    </w:p>
    <w:p>
      <w:pPr>
        <w:pStyle w:val="84"/>
        <w:spacing w:line="288" w:lineRule="auto"/>
        <w:rPr>
          <w:rFonts w:ascii="宋体" w:hAnsi="宋体" w:cs="宋体"/>
          <w:b/>
          <w:bCs/>
          <w:sz w:val="24"/>
          <w:szCs w:val="24"/>
        </w:rPr>
      </w:pPr>
      <w:r>
        <w:rPr>
          <w:rFonts w:hint="eastAsia" w:ascii="宋体" w:hAnsi="宋体" w:cs="宋体"/>
          <w:b/>
          <w:bCs/>
          <w:sz w:val="24"/>
          <w:szCs w:val="24"/>
        </w:rPr>
        <w:t>7.具备法律、行政法规规定的其他条件的证明材料</w:t>
      </w:r>
    </w:p>
    <w:p>
      <w:pPr>
        <w:pStyle w:val="141"/>
        <w:ind w:firstLine="241" w:firstLineChars="100"/>
        <w:jc w:val="both"/>
        <w:rPr>
          <w:rFonts w:ascii="仿宋" w:hAnsi="仿宋" w:eastAsia="仿宋" w:cs="仿宋"/>
          <w:bCs/>
          <w:sz w:val="24"/>
        </w:rPr>
      </w:pPr>
    </w:p>
    <w:p>
      <w:pPr>
        <w:pStyle w:val="141"/>
        <w:ind w:firstLine="241" w:firstLineChars="100"/>
        <w:jc w:val="both"/>
        <w:rPr>
          <w:rFonts w:ascii="仿宋" w:hAnsi="仿宋" w:eastAsia="仿宋" w:cs="仿宋"/>
        </w:rPr>
      </w:pPr>
      <w:r>
        <w:rPr>
          <w:rFonts w:hint="eastAsia" w:ascii="仿宋" w:hAnsi="仿宋" w:eastAsia="仿宋" w:cs="仿宋"/>
          <w:bCs/>
          <w:sz w:val="24"/>
        </w:rPr>
        <w:t>保证金:</w:t>
      </w:r>
      <w:r>
        <w:rPr>
          <w:rFonts w:hint="eastAsia" w:ascii="仿宋" w:hAnsi="仿宋" w:eastAsia="仿宋" w:cs="仿宋"/>
          <w:sz w:val="24"/>
        </w:rPr>
        <w:t>通过基本账户转出的投标保证金汇款凭证（</w:t>
      </w:r>
      <w:r>
        <w:rPr>
          <w:rFonts w:hint="eastAsia" w:ascii="仿宋" w:hAnsi="仿宋" w:eastAsia="仿宋" w:cs="仿宋"/>
          <w:bCs/>
          <w:sz w:val="24"/>
        </w:rPr>
        <w:t>备注项目名称或项目编号）</w:t>
      </w:r>
      <w:r>
        <w:rPr>
          <w:rFonts w:hint="eastAsia" w:ascii="仿宋" w:hAnsi="仿宋" w:eastAsia="仿宋" w:cs="仿宋"/>
          <w:sz w:val="24"/>
        </w:rPr>
        <w:t>和投</w:t>
      </w:r>
      <w:r>
        <w:rPr>
          <w:rFonts w:hint="eastAsia" w:ascii="仿宋" w:hAnsi="仿宋" w:eastAsia="仿宋" w:cs="仿宋"/>
          <w:kern w:val="2"/>
          <w:sz w:val="24"/>
        </w:rPr>
        <w:t>标人基本账户开户许可证或基本存款账户信息。如提供</w:t>
      </w:r>
      <w:r>
        <w:rPr>
          <w:rFonts w:hint="eastAsia" w:ascii="仿宋" w:hAnsi="仿宋" w:eastAsia="仿宋" w:cs="仿宋"/>
          <w:bCs/>
          <w:sz w:val="24"/>
        </w:rPr>
        <w:t>采用银行保函缴纳的，应出具保函的银行级别（应为国有商业银行或股份制商业银行的支行及其以上的银行）及保函的有效期。</w:t>
      </w: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bookmarkStart w:id="249" w:name="_Toc15271"/>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rPr>
          <w:rFonts w:ascii="仿宋" w:hAnsi="仿宋" w:eastAsia="仿宋" w:cs="仿宋"/>
        </w:rPr>
      </w:pPr>
    </w:p>
    <w:p>
      <w:pPr>
        <w:pStyle w:val="141"/>
        <w:jc w:val="center"/>
        <w:outlineLvl w:val="0"/>
        <w:rPr>
          <w:rFonts w:ascii="仿宋" w:hAnsi="仿宋" w:eastAsia="仿宋" w:cs="仿宋"/>
        </w:rPr>
      </w:pPr>
      <w:bookmarkStart w:id="250" w:name="_Toc8005"/>
      <w:r>
        <w:rPr>
          <w:rFonts w:hint="eastAsia" w:ascii="仿宋" w:hAnsi="仿宋" w:eastAsia="仿宋" w:cs="仿宋"/>
        </w:rPr>
        <w:t>二、投标报价文件</w:t>
      </w:r>
      <w:bookmarkEnd w:id="249"/>
      <w:bookmarkEnd w:id="250"/>
    </w:p>
    <w:p>
      <w:pPr>
        <w:pStyle w:val="141"/>
        <w:jc w:val="both"/>
        <w:rPr>
          <w:rFonts w:ascii="仿宋" w:hAnsi="仿宋" w:eastAsia="仿宋" w:cs="仿宋"/>
          <w:b w:val="0"/>
          <w:bCs/>
          <w:kern w:val="2"/>
          <w:sz w:val="24"/>
        </w:rPr>
      </w:pPr>
    </w:p>
    <w:p>
      <w:pPr>
        <w:pStyle w:val="141"/>
        <w:numPr>
          <w:ilvl w:val="0"/>
          <w:numId w:val="18"/>
        </w:numPr>
        <w:jc w:val="both"/>
        <w:rPr>
          <w:rFonts w:ascii="仿宋" w:hAnsi="仿宋" w:eastAsia="仿宋" w:cs="仿宋"/>
          <w:b w:val="0"/>
          <w:bCs/>
          <w:kern w:val="2"/>
          <w:sz w:val="24"/>
        </w:rPr>
      </w:pPr>
      <w:r>
        <w:rPr>
          <w:rFonts w:ascii="仿宋" w:hAnsi="仿宋" w:eastAsia="仿宋" w:cs="仿宋"/>
          <w:b w:val="0"/>
          <w:bCs/>
          <w:kern w:val="2"/>
          <w:sz w:val="24"/>
        </w:rPr>
        <w:t>开标一览表</w:t>
      </w:r>
    </w:p>
    <w:p>
      <w:pPr>
        <w:pStyle w:val="141"/>
        <w:numPr>
          <w:ilvl w:val="0"/>
          <w:numId w:val="18"/>
        </w:numPr>
        <w:jc w:val="both"/>
        <w:rPr>
          <w:rFonts w:ascii="仿宋" w:hAnsi="仿宋" w:eastAsia="仿宋" w:cs="仿宋"/>
          <w:b w:val="0"/>
          <w:bCs/>
          <w:kern w:val="2"/>
          <w:sz w:val="24"/>
        </w:rPr>
      </w:pPr>
      <w:r>
        <w:rPr>
          <w:rFonts w:hint="eastAsia" w:ascii="仿宋" w:hAnsi="仿宋" w:eastAsia="仿宋" w:cs="仿宋"/>
          <w:b w:val="0"/>
          <w:bCs/>
          <w:kern w:val="2"/>
          <w:sz w:val="24"/>
        </w:rPr>
        <w:t>投标报价明细表</w:t>
      </w:r>
    </w:p>
    <w:p>
      <w:pPr>
        <w:pStyle w:val="141"/>
        <w:numPr>
          <w:ilvl w:val="0"/>
          <w:numId w:val="18"/>
        </w:numPr>
        <w:jc w:val="both"/>
        <w:rPr>
          <w:rFonts w:ascii="仿宋" w:hAnsi="仿宋" w:eastAsia="仿宋" w:cs="仿宋"/>
          <w:b w:val="0"/>
          <w:bCs/>
          <w:kern w:val="2"/>
          <w:sz w:val="24"/>
        </w:rPr>
      </w:pPr>
      <w:r>
        <w:rPr>
          <w:rFonts w:hint="eastAsia" w:ascii="仿宋" w:hAnsi="仿宋" w:eastAsia="仿宋" w:cs="仿宋"/>
          <w:b w:val="0"/>
          <w:bCs/>
          <w:kern w:val="2"/>
          <w:sz w:val="24"/>
        </w:rPr>
        <w:t>中、小微企业声明函（中、小、微型企业产品价格需扣除的须提供）</w:t>
      </w:r>
    </w:p>
    <w:p>
      <w:pPr>
        <w:pStyle w:val="141"/>
        <w:numPr>
          <w:ilvl w:val="0"/>
          <w:numId w:val="18"/>
        </w:numPr>
        <w:jc w:val="both"/>
        <w:rPr>
          <w:rFonts w:ascii="仿宋" w:hAnsi="仿宋" w:eastAsia="仿宋" w:cs="仿宋"/>
          <w:b w:val="0"/>
          <w:bCs/>
          <w:kern w:val="2"/>
          <w:sz w:val="24"/>
        </w:rPr>
      </w:pPr>
      <w:r>
        <w:rPr>
          <w:rFonts w:hint="eastAsia" w:ascii="仿宋" w:hAnsi="仿宋" w:eastAsia="仿宋" w:cs="仿宋"/>
          <w:b w:val="0"/>
          <w:bCs/>
          <w:kern w:val="2"/>
          <w:sz w:val="24"/>
        </w:rPr>
        <w:t>监狱企业证明文件（如适用）</w:t>
      </w:r>
    </w:p>
    <w:p>
      <w:pPr>
        <w:pStyle w:val="141"/>
        <w:jc w:val="both"/>
        <w:rPr>
          <w:rFonts w:ascii="仿宋" w:hAnsi="仿宋" w:eastAsia="仿宋" w:cs="仿宋"/>
          <w:b w:val="0"/>
          <w:bCs/>
        </w:rPr>
      </w:pPr>
      <w:r>
        <w:rPr>
          <w:rFonts w:hint="eastAsia" w:ascii="仿宋" w:hAnsi="仿宋" w:eastAsia="仿宋" w:cs="仿宋"/>
          <w:b w:val="0"/>
          <w:bCs/>
          <w:kern w:val="2"/>
          <w:sz w:val="24"/>
        </w:rPr>
        <w:t>5.残疾人福利性单位声明函（如适用）</w:t>
      </w: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rPr>
          <w:rFonts w:ascii="宋体" w:hAnsi="宋体" w:eastAsia="宋体" w:cs="宋体"/>
          <w:kern w:val="2"/>
          <w:sz w:val="28"/>
          <w:szCs w:val="28"/>
        </w:rPr>
      </w:pPr>
    </w:p>
    <w:p>
      <w:pPr>
        <w:pStyle w:val="141"/>
        <w:rPr>
          <w:rFonts w:ascii="宋体" w:hAnsi="宋体" w:eastAsia="宋体" w:cs="宋体"/>
          <w:kern w:val="2"/>
          <w:sz w:val="28"/>
          <w:szCs w:val="28"/>
        </w:rPr>
      </w:pPr>
    </w:p>
    <w:p>
      <w:pPr>
        <w:pStyle w:val="141"/>
        <w:rPr>
          <w:rFonts w:ascii="宋体" w:hAnsi="宋体" w:eastAsia="宋体" w:cs="宋体"/>
          <w:kern w:val="2"/>
          <w:sz w:val="28"/>
          <w:szCs w:val="28"/>
        </w:rPr>
      </w:pPr>
    </w:p>
    <w:p>
      <w:pPr>
        <w:pStyle w:val="141"/>
        <w:rPr>
          <w:rFonts w:ascii="宋体" w:hAnsi="宋体" w:eastAsia="宋体" w:cs="宋体"/>
          <w:kern w:val="2"/>
          <w:sz w:val="28"/>
          <w:szCs w:val="28"/>
        </w:rPr>
      </w:pPr>
    </w:p>
    <w:p>
      <w:pPr>
        <w:pStyle w:val="141"/>
        <w:rPr>
          <w:rFonts w:ascii="宋体" w:hAnsi="宋体" w:eastAsia="宋体" w:cs="宋体"/>
          <w:kern w:val="2"/>
          <w:sz w:val="28"/>
          <w:szCs w:val="28"/>
        </w:rPr>
      </w:pPr>
    </w:p>
    <w:p>
      <w:pPr>
        <w:pStyle w:val="141"/>
        <w:rPr>
          <w:rFonts w:ascii="宋体" w:hAnsi="宋体" w:eastAsia="宋体" w:cs="宋体"/>
          <w:kern w:val="2"/>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szCs w:val="21"/>
        </w:rPr>
      </w:pPr>
      <w:r>
        <w:rPr>
          <w:rFonts w:hint="eastAsia" w:ascii="仿宋" w:hAnsi="仿宋" w:eastAsia="仿宋" w:cs="仿宋"/>
          <w:b/>
          <w:sz w:val="28"/>
          <w:szCs w:val="28"/>
        </w:rPr>
        <w:t xml:space="preserve">1、开标一览表  </w:t>
      </w:r>
      <w:r>
        <w:rPr>
          <w:rFonts w:hint="eastAsia" w:ascii="仿宋" w:hAnsi="仿宋" w:eastAsia="仿宋" w:cs="仿宋"/>
          <w:b/>
          <w:bCs/>
          <w:sz w:val="24"/>
          <w:szCs w:val="24"/>
        </w:rPr>
        <w:t xml:space="preserve"> </w:t>
      </w:r>
      <w:r>
        <w:rPr>
          <w:rFonts w:hint="eastAsia" w:ascii="仿宋" w:hAnsi="仿宋" w:eastAsia="仿宋" w:cs="仿宋"/>
          <w:szCs w:val="21"/>
        </w:rPr>
        <w:t xml:space="preserve">                 </w:t>
      </w:r>
    </w:p>
    <w:tbl>
      <w:tblPr>
        <w:tblStyle w:val="38"/>
        <w:tblpPr w:leftFromText="180" w:rightFromText="180" w:vertAnchor="text" w:horzAnchor="page" w:tblpX="1464" w:tblpY="45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tcBorders>
              <w:bottom w:val="single" w:color="auto" w:sz="4" w:space="0"/>
            </w:tcBorders>
            <w:vAlign w:val="center"/>
          </w:tcPr>
          <w:p>
            <w:pPr>
              <w:pStyle w:val="59"/>
              <w:tabs>
                <w:tab w:val="left" w:pos="1337"/>
              </w:tabs>
              <w:spacing w:line="360" w:lineRule="auto"/>
              <w:jc w:val="center"/>
              <w:rPr>
                <w:rFonts w:ascii="仿宋" w:hAnsi="仿宋" w:eastAsia="仿宋" w:cs="仿宋"/>
                <w:sz w:val="24"/>
                <w:szCs w:val="24"/>
              </w:rPr>
            </w:pPr>
            <w:r>
              <w:rPr>
                <w:rFonts w:hint="eastAsia" w:ascii="仿宋" w:hAnsi="仿宋" w:eastAsia="仿宋" w:cs="仿宋"/>
                <w:bCs/>
                <w:sz w:val="24"/>
                <w:szCs w:val="24"/>
              </w:rPr>
              <w:t>项目编号</w:t>
            </w:r>
          </w:p>
        </w:tc>
        <w:tc>
          <w:tcPr>
            <w:tcW w:w="6770" w:type="dxa"/>
            <w:tcBorders>
              <w:bottom w:val="single" w:color="auto" w:sz="4" w:space="0"/>
            </w:tcBorders>
            <w:vAlign w:val="center"/>
          </w:tcPr>
          <w:p>
            <w:pPr>
              <w:pStyle w:val="59"/>
              <w:tabs>
                <w:tab w:val="left" w:pos="1337"/>
              </w:tabs>
              <w:spacing w:line="360" w:lineRule="auto"/>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tcBorders>
              <w:bottom w:val="single" w:color="auto" w:sz="4" w:space="0"/>
            </w:tcBorders>
            <w:vAlign w:val="center"/>
          </w:tcPr>
          <w:p>
            <w:pPr>
              <w:pStyle w:val="59"/>
              <w:tabs>
                <w:tab w:val="left" w:pos="1337"/>
              </w:tabs>
              <w:spacing w:line="360" w:lineRule="auto"/>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6770" w:type="dxa"/>
            <w:tcBorders>
              <w:bottom w:val="single" w:color="auto" w:sz="4" w:space="0"/>
            </w:tcBorders>
            <w:vAlign w:val="center"/>
          </w:tcPr>
          <w:p>
            <w:pPr>
              <w:pStyle w:val="59"/>
              <w:tabs>
                <w:tab w:val="left" w:pos="1337"/>
              </w:tabs>
              <w:spacing w:line="360" w:lineRule="auto"/>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2410" w:type="dxa"/>
            <w:vAlign w:val="center"/>
          </w:tcPr>
          <w:p>
            <w:pPr>
              <w:pStyle w:val="59"/>
              <w:tabs>
                <w:tab w:val="left" w:pos="1337"/>
              </w:tabs>
              <w:spacing w:line="360" w:lineRule="auto"/>
              <w:jc w:val="center"/>
              <w:rPr>
                <w:rFonts w:ascii="仿宋" w:hAnsi="仿宋" w:eastAsia="仿宋" w:cs="仿宋"/>
                <w:sz w:val="24"/>
                <w:szCs w:val="24"/>
              </w:rPr>
            </w:pPr>
            <w:r>
              <w:rPr>
                <w:rFonts w:hint="eastAsia" w:ascii="仿宋" w:hAnsi="仿宋" w:eastAsia="仿宋" w:cs="仿宋"/>
                <w:bCs/>
                <w:sz w:val="24"/>
                <w:szCs w:val="24"/>
              </w:rPr>
              <w:t>投标报价</w:t>
            </w:r>
          </w:p>
        </w:tc>
        <w:tc>
          <w:tcPr>
            <w:tcW w:w="6770" w:type="dxa"/>
          </w:tcPr>
          <w:p>
            <w:pPr>
              <w:pStyle w:val="59"/>
              <w:tabs>
                <w:tab w:val="left" w:pos="1337"/>
              </w:tabs>
              <w:spacing w:line="360" w:lineRule="auto"/>
              <w:rPr>
                <w:rFonts w:ascii="仿宋" w:hAnsi="仿宋" w:eastAsia="仿宋" w:cs="仿宋"/>
                <w:bCs/>
                <w:sz w:val="24"/>
                <w:szCs w:val="24"/>
              </w:rPr>
            </w:pPr>
          </w:p>
          <w:p>
            <w:pPr>
              <w:pStyle w:val="59"/>
              <w:tabs>
                <w:tab w:val="left" w:pos="1337"/>
              </w:tabs>
              <w:spacing w:line="360" w:lineRule="auto"/>
              <w:rPr>
                <w:rFonts w:ascii="仿宋" w:hAnsi="仿宋" w:eastAsia="仿宋" w:cs="仿宋"/>
                <w:bCs/>
                <w:sz w:val="24"/>
                <w:szCs w:val="24"/>
              </w:rPr>
            </w:pPr>
            <w:r>
              <w:rPr>
                <w:rFonts w:hint="eastAsia" w:ascii="仿宋" w:hAnsi="仿宋" w:eastAsia="仿宋" w:cs="仿宋"/>
                <w:bCs/>
                <w:sz w:val="24"/>
                <w:szCs w:val="24"/>
              </w:rPr>
              <w:t>小写：</w:t>
            </w:r>
          </w:p>
          <w:p>
            <w:pPr>
              <w:pStyle w:val="59"/>
              <w:tabs>
                <w:tab w:val="left" w:pos="1337"/>
              </w:tabs>
              <w:spacing w:line="360" w:lineRule="auto"/>
              <w:rPr>
                <w:rFonts w:ascii="仿宋" w:hAnsi="仿宋" w:eastAsia="仿宋" w:cs="仿宋"/>
                <w:bCs/>
                <w:sz w:val="24"/>
                <w:szCs w:val="24"/>
              </w:rPr>
            </w:pPr>
          </w:p>
          <w:p>
            <w:pPr>
              <w:pStyle w:val="59"/>
              <w:tabs>
                <w:tab w:val="left" w:pos="1337"/>
              </w:tabs>
              <w:spacing w:line="360" w:lineRule="auto"/>
              <w:rPr>
                <w:rFonts w:ascii="仿宋" w:hAnsi="仿宋" w:eastAsia="仿宋" w:cs="仿宋"/>
                <w:bCs/>
                <w:sz w:val="24"/>
                <w:szCs w:val="24"/>
              </w:rPr>
            </w:pPr>
            <w:r>
              <w:rPr>
                <w:rFonts w:hint="eastAsia" w:ascii="仿宋" w:hAnsi="仿宋" w:eastAsia="仿宋" w:cs="仿宋"/>
                <w:bCs/>
                <w:sz w:val="24"/>
                <w:szCs w:val="24"/>
              </w:rPr>
              <w:t>大写：</w:t>
            </w:r>
          </w:p>
          <w:p>
            <w:pPr>
              <w:pStyle w:val="59"/>
              <w:tabs>
                <w:tab w:val="left" w:pos="1337"/>
              </w:tabs>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tcPr>
          <w:p>
            <w:pPr>
              <w:pStyle w:val="59"/>
              <w:tabs>
                <w:tab w:val="left" w:pos="1337"/>
              </w:tabs>
              <w:spacing w:line="360" w:lineRule="auto"/>
              <w:jc w:val="center"/>
              <w:rPr>
                <w:rFonts w:ascii="仿宋" w:hAnsi="仿宋" w:eastAsia="仿宋" w:cs="仿宋"/>
                <w:sz w:val="24"/>
                <w:szCs w:val="24"/>
              </w:rPr>
            </w:pPr>
            <w:r>
              <w:rPr>
                <w:rFonts w:hint="eastAsia" w:ascii="仿宋" w:hAnsi="仿宋" w:eastAsia="仿宋" w:cs="仿宋"/>
                <w:bCs/>
                <w:sz w:val="24"/>
                <w:szCs w:val="24"/>
              </w:rPr>
              <w:t>服务期</w:t>
            </w:r>
          </w:p>
        </w:tc>
        <w:tc>
          <w:tcPr>
            <w:tcW w:w="6770" w:type="dxa"/>
          </w:tcPr>
          <w:p>
            <w:pPr>
              <w:pStyle w:val="59"/>
              <w:tabs>
                <w:tab w:val="left" w:pos="1337"/>
              </w:tabs>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tcPr>
          <w:p>
            <w:pPr>
              <w:pStyle w:val="59"/>
              <w:tabs>
                <w:tab w:val="left" w:pos="1337"/>
              </w:tabs>
              <w:spacing w:line="360" w:lineRule="auto"/>
              <w:jc w:val="center"/>
              <w:rPr>
                <w:rFonts w:ascii="仿宋" w:hAnsi="仿宋" w:eastAsia="仿宋" w:cs="仿宋"/>
                <w:bCs/>
                <w:sz w:val="24"/>
                <w:szCs w:val="24"/>
              </w:rPr>
            </w:pPr>
            <w:r>
              <w:rPr>
                <w:rFonts w:hint="eastAsia" w:ascii="仿宋" w:hAnsi="仿宋" w:eastAsia="仿宋" w:cs="仿宋"/>
                <w:bCs/>
                <w:sz w:val="24"/>
                <w:szCs w:val="24"/>
              </w:rPr>
              <w:t>服务标准</w:t>
            </w:r>
          </w:p>
        </w:tc>
        <w:tc>
          <w:tcPr>
            <w:tcW w:w="6770" w:type="dxa"/>
          </w:tcPr>
          <w:p>
            <w:pPr>
              <w:pStyle w:val="59"/>
              <w:tabs>
                <w:tab w:val="left" w:pos="1337"/>
              </w:tabs>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tcPr>
          <w:p>
            <w:pPr>
              <w:pStyle w:val="59"/>
              <w:tabs>
                <w:tab w:val="left" w:pos="1337"/>
              </w:tabs>
              <w:spacing w:line="360" w:lineRule="auto"/>
              <w:jc w:val="center"/>
              <w:rPr>
                <w:rFonts w:ascii="仿宋" w:hAnsi="仿宋" w:eastAsia="仿宋" w:cs="仿宋"/>
                <w:bCs/>
                <w:sz w:val="24"/>
                <w:szCs w:val="24"/>
              </w:rPr>
            </w:pPr>
            <w:r>
              <w:rPr>
                <w:rFonts w:hint="eastAsia" w:ascii="仿宋" w:hAnsi="仿宋" w:eastAsia="仿宋" w:cs="仿宋"/>
                <w:bCs/>
                <w:sz w:val="24"/>
                <w:szCs w:val="24"/>
              </w:rPr>
              <w:t>投标有效期</w:t>
            </w:r>
          </w:p>
        </w:tc>
        <w:tc>
          <w:tcPr>
            <w:tcW w:w="6770" w:type="dxa"/>
          </w:tcPr>
          <w:p>
            <w:pPr>
              <w:pStyle w:val="59"/>
              <w:tabs>
                <w:tab w:val="left" w:pos="1337"/>
              </w:tabs>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180" w:type="dxa"/>
            <w:gridSpan w:val="2"/>
          </w:tcPr>
          <w:p>
            <w:pPr>
              <w:pStyle w:val="59"/>
              <w:tabs>
                <w:tab w:val="left" w:pos="1337"/>
              </w:tabs>
              <w:spacing w:line="360" w:lineRule="auto"/>
              <w:rPr>
                <w:rFonts w:ascii="仿宋" w:hAnsi="仿宋" w:eastAsia="仿宋" w:cs="仿宋"/>
                <w:sz w:val="24"/>
                <w:szCs w:val="24"/>
              </w:rPr>
            </w:pPr>
            <w:r>
              <w:rPr>
                <w:rFonts w:hint="eastAsia" w:ascii="仿宋" w:hAnsi="仿宋" w:eastAsia="仿宋" w:cs="仿宋"/>
                <w:bCs/>
                <w:sz w:val="24"/>
                <w:szCs w:val="24"/>
              </w:rPr>
              <w:t>备注：</w:t>
            </w:r>
          </w:p>
        </w:tc>
      </w:tr>
    </w:tbl>
    <w:p>
      <w:pPr>
        <w:pStyle w:val="22"/>
        <w:tabs>
          <w:tab w:val="left" w:pos="5580"/>
        </w:tabs>
        <w:spacing w:line="240" w:lineRule="atLeast"/>
        <w:ind w:left="1080" w:leftChars="257" w:hanging="540"/>
        <w:rPr>
          <w:rFonts w:ascii="仿宋" w:hAnsi="仿宋" w:eastAsia="仿宋" w:cs="仿宋"/>
        </w:rPr>
      </w:pPr>
    </w:p>
    <w:p>
      <w:pPr>
        <w:pStyle w:val="22"/>
        <w:tabs>
          <w:tab w:val="left" w:pos="5580"/>
        </w:tabs>
        <w:spacing w:line="360" w:lineRule="auto"/>
        <w:ind w:left="1080" w:leftChars="257" w:hanging="540"/>
        <w:rPr>
          <w:rFonts w:ascii="仿宋" w:hAnsi="仿宋" w:eastAsia="仿宋" w:cs="仿宋"/>
        </w:rPr>
      </w:pPr>
    </w:p>
    <w:p>
      <w:pPr>
        <w:pStyle w:val="22"/>
        <w:tabs>
          <w:tab w:val="left" w:pos="5580"/>
        </w:tabs>
        <w:spacing w:line="360" w:lineRule="auto"/>
        <w:ind w:left="1080" w:leftChars="257" w:hanging="540"/>
        <w:rPr>
          <w:rFonts w:ascii="仿宋" w:hAnsi="仿宋" w:eastAsia="仿宋" w:cs="仿宋"/>
          <w:sz w:val="24"/>
          <w:szCs w:val="24"/>
        </w:rPr>
      </w:pPr>
      <w:r>
        <w:rPr>
          <w:rFonts w:hint="eastAsia" w:ascii="仿宋" w:hAnsi="仿宋" w:eastAsia="仿宋" w:cs="仿宋"/>
          <w:sz w:val="24"/>
          <w:szCs w:val="24"/>
        </w:rPr>
        <w:t>投标人名称（电子签章）:</w:t>
      </w:r>
      <w:r>
        <w:rPr>
          <w:rFonts w:hint="eastAsia" w:ascii="仿宋" w:hAnsi="仿宋" w:eastAsia="仿宋" w:cs="仿宋"/>
          <w:sz w:val="24"/>
          <w:szCs w:val="24"/>
          <w:u w:val="single"/>
        </w:rPr>
        <w:t xml:space="preserve">                       </w:t>
      </w:r>
    </w:p>
    <w:p>
      <w:pPr>
        <w:pStyle w:val="22"/>
        <w:tabs>
          <w:tab w:val="left" w:pos="5580"/>
        </w:tabs>
        <w:spacing w:line="360" w:lineRule="auto"/>
        <w:ind w:left="1080" w:leftChars="257" w:hanging="540"/>
        <w:rPr>
          <w:rFonts w:ascii="仿宋" w:hAnsi="仿宋" w:eastAsia="仿宋" w:cs="仿宋"/>
          <w:sz w:val="24"/>
          <w:szCs w:val="24"/>
          <w:u w:val="single"/>
        </w:rPr>
      </w:pPr>
      <w:r>
        <w:rPr>
          <w:rFonts w:hint="eastAsia" w:ascii="仿宋" w:hAnsi="仿宋" w:eastAsia="仿宋" w:cs="仿宋"/>
          <w:sz w:val="24"/>
          <w:szCs w:val="24"/>
        </w:rPr>
        <w:t>法定代表人或委托代理(电子签名或电子签章):</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pStyle w:val="22"/>
        <w:tabs>
          <w:tab w:val="left" w:pos="5580"/>
        </w:tabs>
        <w:spacing w:line="360" w:lineRule="auto"/>
        <w:ind w:left="1080" w:leftChars="257" w:hanging="540"/>
        <w:rPr>
          <w:rFonts w:ascii="仿宋" w:hAnsi="仿宋" w:eastAsia="仿宋" w:cs="仿宋"/>
        </w:rPr>
      </w:pPr>
    </w:p>
    <w:p>
      <w:pPr>
        <w:pStyle w:val="89"/>
        <w:rPr>
          <w:rFonts w:ascii="仿宋" w:hAnsi="仿宋" w:eastAsia="仿宋" w:cs="仿宋"/>
          <w:color w:val="000000"/>
          <w:sz w:val="24"/>
        </w:rPr>
      </w:pPr>
      <w:r>
        <w:rPr>
          <w:rFonts w:hint="eastAsia" w:ascii="仿宋" w:hAnsi="仿宋" w:eastAsia="仿宋" w:cs="仿宋"/>
          <w:color w:val="000000"/>
          <w:sz w:val="24"/>
        </w:rPr>
        <w:t>说明：1、投标人严格按照规定的格式填写。投标报价为优惠后报价，并作为评审及定标的依据。</w:t>
      </w:r>
    </w:p>
    <w:p>
      <w:pPr>
        <w:pStyle w:val="89"/>
        <w:rPr>
          <w:rFonts w:ascii="仿宋" w:hAnsi="仿宋" w:eastAsia="仿宋" w:cs="仿宋"/>
          <w:color w:val="000000"/>
          <w:sz w:val="24"/>
        </w:rPr>
      </w:pPr>
      <w:r>
        <w:rPr>
          <w:rFonts w:hint="eastAsia" w:ascii="仿宋" w:hAnsi="仿宋" w:eastAsia="仿宋" w:cs="仿宋"/>
          <w:color w:val="000000"/>
          <w:sz w:val="24"/>
        </w:rPr>
        <w:t>2、任何有选择或有条件的投标报价或表中某一包填写多个报价，均将导致投标被拒绝。</w:t>
      </w:r>
    </w:p>
    <w:p>
      <w:pPr>
        <w:pStyle w:val="89"/>
        <w:rPr>
          <w:rFonts w:ascii="仿宋" w:hAnsi="仿宋" w:eastAsia="仿宋" w:cs="仿宋"/>
          <w:color w:val="000000"/>
          <w:sz w:val="24"/>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kern w:val="2"/>
          <w:sz w:val="28"/>
          <w:szCs w:val="28"/>
        </w:rPr>
      </w:pPr>
    </w:p>
    <w:p>
      <w:pPr>
        <w:pStyle w:val="141"/>
        <w:jc w:val="both"/>
        <w:rPr>
          <w:rFonts w:ascii="仿宋" w:hAnsi="仿宋" w:eastAsia="仿宋" w:cs="仿宋"/>
          <w:kern w:val="2"/>
          <w:sz w:val="28"/>
          <w:szCs w:val="28"/>
        </w:rPr>
      </w:pPr>
    </w:p>
    <w:p>
      <w:pPr>
        <w:pStyle w:val="141"/>
        <w:jc w:val="both"/>
        <w:rPr>
          <w:rFonts w:ascii="仿宋" w:hAnsi="仿宋" w:eastAsia="仿宋" w:cs="仿宋"/>
          <w:kern w:val="2"/>
          <w:sz w:val="28"/>
          <w:szCs w:val="28"/>
        </w:rPr>
      </w:pPr>
    </w:p>
    <w:p>
      <w:pPr>
        <w:pStyle w:val="141"/>
        <w:jc w:val="both"/>
        <w:rPr>
          <w:rFonts w:ascii="仿宋" w:hAnsi="仿宋" w:eastAsia="仿宋" w:cs="仿宋"/>
          <w:kern w:val="2"/>
          <w:sz w:val="28"/>
          <w:szCs w:val="28"/>
        </w:rPr>
      </w:pPr>
    </w:p>
    <w:p>
      <w:pPr>
        <w:pStyle w:val="141"/>
        <w:jc w:val="both"/>
        <w:rPr>
          <w:rFonts w:ascii="仿宋" w:hAnsi="仿宋" w:eastAsia="仿宋" w:cs="仿宋"/>
          <w:kern w:val="2"/>
          <w:sz w:val="28"/>
          <w:szCs w:val="28"/>
        </w:rPr>
      </w:pPr>
    </w:p>
    <w:p>
      <w:pPr>
        <w:pStyle w:val="141"/>
        <w:jc w:val="both"/>
        <w:rPr>
          <w:rFonts w:ascii="仿宋" w:hAnsi="仿宋" w:eastAsia="仿宋" w:cs="仿宋"/>
          <w:kern w:val="2"/>
          <w:sz w:val="28"/>
          <w:szCs w:val="28"/>
        </w:rPr>
      </w:pPr>
    </w:p>
    <w:p>
      <w:pPr>
        <w:pStyle w:val="141"/>
        <w:jc w:val="both"/>
        <w:rPr>
          <w:rFonts w:ascii="仿宋" w:hAnsi="仿宋" w:eastAsia="仿宋" w:cs="仿宋"/>
          <w:kern w:val="2"/>
          <w:sz w:val="28"/>
          <w:szCs w:val="28"/>
        </w:rPr>
      </w:pPr>
    </w:p>
    <w:p>
      <w:pPr>
        <w:pStyle w:val="141"/>
        <w:jc w:val="both"/>
        <w:rPr>
          <w:rFonts w:ascii="仿宋" w:hAnsi="仿宋" w:eastAsia="仿宋" w:cs="仿宋"/>
          <w:kern w:val="2"/>
          <w:sz w:val="28"/>
          <w:szCs w:val="28"/>
        </w:rPr>
      </w:pPr>
    </w:p>
    <w:p>
      <w:pPr>
        <w:pStyle w:val="141"/>
        <w:jc w:val="both"/>
        <w:rPr>
          <w:rFonts w:ascii="仿宋" w:hAnsi="仿宋" w:eastAsia="仿宋" w:cs="仿宋"/>
          <w:kern w:val="2"/>
          <w:sz w:val="28"/>
          <w:szCs w:val="28"/>
        </w:rPr>
      </w:pPr>
      <w:r>
        <w:rPr>
          <w:rFonts w:hint="eastAsia" w:ascii="仿宋" w:hAnsi="仿宋" w:eastAsia="仿宋" w:cs="仿宋"/>
          <w:kern w:val="2"/>
          <w:sz w:val="28"/>
          <w:szCs w:val="28"/>
        </w:rPr>
        <w:t>2.投标报价明细表</w:t>
      </w:r>
    </w:p>
    <w:p>
      <w:pPr>
        <w:pStyle w:val="106"/>
        <w:spacing w:line="360" w:lineRule="auto"/>
        <w:ind w:left="0" w:leftChars="0"/>
        <w:rPr>
          <w:rFonts w:ascii="仿宋" w:hAnsi="仿宋" w:eastAsia="仿宋" w:cs="仿宋"/>
        </w:rPr>
      </w:pPr>
      <w:r>
        <w:rPr>
          <w:rFonts w:hint="eastAsia" w:ascii="仿宋" w:hAnsi="仿宋" w:eastAsia="仿宋" w:cs="仿宋"/>
        </w:rPr>
        <w:t>项目编号、项目名称</w:t>
      </w:r>
      <w:r>
        <w:rPr>
          <w:rFonts w:hint="eastAsia" w:ascii="仿宋" w:hAnsi="仿宋" w:eastAsia="仿宋" w:cs="仿宋"/>
          <w:u w:val="single"/>
        </w:rPr>
        <w:t xml:space="preserve">                     </w:t>
      </w:r>
      <w:r>
        <w:rPr>
          <w:rFonts w:hint="eastAsia" w:ascii="仿宋" w:hAnsi="仿宋" w:eastAsia="仿宋" w:cs="仿宋"/>
        </w:rPr>
        <w:t xml:space="preserve">                           价格单位:元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979"/>
        <w:gridCol w:w="1282"/>
        <w:gridCol w:w="2163"/>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9" w:type="dxa"/>
            <w:vAlign w:val="center"/>
          </w:tcPr>
          <w:p>
            <w:pPr>
              <w:pStyle w:val="62"/>
              <w:spacing w:line="360" w:lineRule="auto"/>
              <w:jc w:val="center"/>
              <w:rPr>
                <w:rFonts w:ascii="仿宋" w:hAnsi="仿宋" w:eastAsia="仿宋" w:cs="仿宋"/>
                <w:sz w:val="24"/>
              </w:rPr>
            </w:pPr>
            <w:r>
              <w:rPr>
                <w:rFonts w:hint="eastAsia" w:ascii="仿宋" w:hAnsi="仿宋" w:eastAsia="仿宋" w:cs="仿宋"/>
                <w:sz w:val="24"/>
              </w:rPr>
              <w:t>序号</w:t>
            </w:r>
          </w:p>
        </w:tc>
        <w:tc>
          <w:tcPr>
            <w:tcW w:w="1979" w:type="dxa"/>
            <w:vAlign w:val="center"/>
          </w:tcPr>
          <w:p>
            <w:pPr>
              <w:pStyle w:val="62"/>
              <w:spacing w:line="360" w:lineRule="auto"/>
              <w:jc w:val="center"/>
              <w:rPr>
                <w:rFonts w:ascii="仿宋" w:hAnsi="仿宋" w:eastAsia="仿宋" w:cs="仿宋"/>
                <w:sz w:val="24"/>
              </w:rPr>
            </w:pPr>
            <w:r>
              <w:rPr>
                <w:rFonts w:hint="eastAsia" w:ascii="仿宋" w:hAnsi="仿宋" w:eastAsia="仿宋" w:cs="仿宋"/>
                <w:sz w:val="24"/>
              </w:rPr>
              <w:t>服务内容</w:t>
            </w:r>
          </w:p>
        </w:tc>
        <w:tc>
          <w:tcPr>
            <w:tcW w:w="1282" w:type="dxa"/>
            <w:vAlign w:val="center"/>
          </w:tcPr>
          <w:p>
            <w:pPr>
              <w:pStyle w:val="62"/>
              <w:spacing w:line="360" w:lineRule="auto"/>
              <w:jc w:val="center"/>
              <w:rPr>
                <w:rFonts w:ascii="仿宋" w:hAnsi="仿宋" w:eastAsia="仿宋" w:cs="仿宋"/>
                <w:sz w:val="24"/>
              </w:rPr>
            </w:pPr>
            <w:r>
              <w:rPr>
                <w:rFonts w:hint="eastAsia" w:ascii="仿宋" w:hAnsi="仿宋" w:eastAsia="仿宋" w:cs="仿宋"/>
                <w:sz w:val="24"/>
              </w:rPr>
              <w:t>总价</w:t>
            </w:r>
          </w:p>
        </w:tc>
        <w:tc>
          <w:tcPr>
            <w:tcW w:w="2163" w:type="dxa"/>
            <w:vAlign w:val="center"/>
          </w:tcPr>
          <w:p>
            <w:pPr>
              <w:pStyle w:val="62"/>
              <w:spacing w:line="360" w:lineRule="auto"/>
              <w:jc w:val="center"/>
              <w:rPr>
                <w:rFonts w:ascii="仿宋" w:hAnsi="仿宋" w:eastAsia="仿宋" w:cs="仿宋"/>
                <w:sz w:val="24"/>
              </w:rPr>
            </w:pPr>
            <w:r>
              <w:rPr>
                <w:rFonts w:hint="eastAsia" w:ascii="仿宋" w:hAnsi="仿宋" w:eastAsia="仿宋" w:cs="仿宋"/>
                <w:sz w:val="24"/>
              </w:rPr>
              <w:t>取费标准</w:t>
            </w:r>
          </w:p>
          <w:p>
            <w:pPr>
              <w:pStyle w:val="62"/>
              <w:spacing w:line="360" w:lineRule="auto"/>
              <w:jc w:val="center"/>
              <w:rPr>
                <w:rFonts w:ascii="仿宋" w:hAnsi="仿宋" w:eastAsia="仿宋" w:cs="仿宋"/>
                <w:sz w:val="24"/>
              </w:rPr>
            </w:pPr>
            <w:r>
              <w:rPr>
                <w:rFonts w:hint="eastAsia" w:ascii="仿宋" w:hAnsi="仿宋" w:eastAsia="仿宋" w:cs="仿宋"/>
                <w:sz w:val="24"/>
              </w:rPr>
              <w:t>说明</w:t>
            </w:r>
          </w:p>
        </w:tc>
        <w:tc>
          <w:tcPr>
            <w:tcW w:w="728" w:type="dxa"/>
            <w:vAlign w:val="center"/>
          </w:tcPr>
          <w:p>
            <w:pPr>
              <w:pStyle w:val="62"/>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62"/>
              <w:spacing w:line="360" w:lineRule="auto"/>
              <w:jc w:val="center"/>
              <w:rPr>
                <w:rFonts w:ascii="仿宋" w:hAnsi="仿宋" w:eastAsia="仿宋" w:cs="仿宋"/>
                <w:b/>
                <w:sz w:val="24"/>
              </w:rPr>
            </w:pPr>
            <w:r>
              <w:rPr>
                <w:rFonts w:hint="eastAsia" w:ascii="仿宋" w:hAnsi="仿宋" w:eastAsia="仿宋" w:cs="仿宋"/>
                <w:b/>
                <w:sz w:val="24"/>
              </w:rPr>
              <w:t>1</w:t>
            </w:r>
          </w:p>
        </w:tc>
        <w:tc>
          <w:tcPr>
            <w:tcW w:w="1979" w:type="dxa"/>
          </w:tcPr>
          <w:p>
            <w:pPr>
              <w:pStyle w:val="62"/>
              <w:spacing w:line="360" w:lineRule="auto"/>
              <w:rPr>
                <w:rFonts w:ascii="仿宋" w:hAnsi="仿宋" w:eastAsia="仿宋" w:cs="仿宋"/>
                <w:b/>
                <w:sz w:val="24"/>
              </w:rPr>
            </w:pPr>
          </w:p>
        </w:tc>
        <w:tc>
          <w:tcPr>
            <w:tcW w:w="1282" w:type="dxa"/>
          </w:tcPr>
          <w:p>
            <w:pPr>
              <w:pStyle w:val="62"/>
              <w:spacing w:line="360" w:lineRule="auto"/>
              <w:rPr>
                <w:rFonts w:ascii="仿宋" w:hAnsi="仿宋" w:eastAsia="仿宋" w:cs="仿宋"/>
                <w:b/>
                <w:sz w:val="24"/>
              </w:rPr>
            </w:pPr>
          </w:p>
        </w:tc>
        <w:tc>
          <w:tcPr>
            <w:tcW w:w="2163" w:type="dxa"/>
          </w:tcPr>
          <w:p>
            <w:pPr>
              <w:pStyle w:val="62"/>
              <w:spacing w:line="360" w:lineRule="auto"/>
              <w:rPr>
                <w:rFonts w:ascii="仿宋" w:hAnsi="仿宋" w:eastAsia="仿宋" w:cs="仿宋"/>
                <w:b/>
                <w:sz w:val="24"/>
              </w:rPr>
            </w:pPr>
          </w:p>
        </w:tc>
        <w:tc>
          <w:tcPr>
            <w:tcW w:w="728" w:type="dxa"/>
          </w:tcPr>
          <w:p>
            <w:pPr>
              <w:pStyle w:val="62"/>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62"/>
              <w:spacing w:line="360" w:lineRule="auto"/>
              <w:jc w:val="center"/>
              <w:rPr>
                <w:rFonts w:ascii="仿宋" w:hAnsi="仿宋" w:eastAsia="仿宋" w:cs="仿宋"/>
                <w:b/>
                <w:sz w:val="24"/>
              </w:rPr>
            </w:pPr>
            <w:r>
              <w:rPr>
                <w:rFonts w:hint="eastAsia" w:ascii="仿宋" w:hAnsi="仿宋" w:eastAsia="仿宋" w:cs="仿宋"/>
                <w:b/>
                <w:sz w:val="24"/>
              </w:rPr>
              <w:t>2</w:t>
            </w:r>
          </w:p>
        </w:tc>
        <w:tc>
          <w:tcPr>
            <w:tcW w:w="1979" w:type="dxa"/>
          </w:tcPr>
          <w:p>
            <w:pPr>
              <w:pStyle w:val="62"/>
              <w:spacing w:line="360" w:lineRule="auto"/>
              <w:rPr>
                <w:rFonts w:ascii="仿宋" w:hAnsi="仿宋" w:eastAsia="仿宋" w:cs="仿宋"/>
                <w:b/>
                <w:sz w:val="24"/>
              </w:rPr>
            </w:pPr>
          </w:p>
        </w:tc>
        <w:tc>
          <w:tcPr>
            <w:tcW w:w="1282" w:type="dxa"/>
          </w:tcPr>
          <w:p>
            <w:pPr>
              <w:pStyle w:val="62"/>
              <w:spacing w:line="360" w:lineRule="auto"/>
              <w:rPr>
                <w:rFonts w:ascii="仿宋" w:hAnsi="仿宋" w:eastAsia="仿宋" w:cs="仿宋"/>
                <w:b/>
                <w:sz w:val="24"/>
              </w:rPr>
            </w:pPr>
          </w:p>
        </w:tc>
        <w:tc>
          <w:tcPr>
            <w:tcW w:w="2163" w:type="dxa"/>
          </w:tcPr>
          <w:p>
            <w:pPr>
              <w:pStyle w:val="62"/>
              <w:spacing w:line="360" w:lineRule="auto"/>
              <w:rPr>
                <w:rFonts w:ascii="仿宋" w:hAnsi="仿宋" w:eastAsia="仿宋" w:cs="仿宋"/>
                <w:b/>
                <w:sz w:val="24"/>
              </w:rPr>
            </w:pPr>
          </w:p>
        </w:tc>
        <w:tc>
          <w:tcPr>
            <w:tcW w:w="728" w:type="dxa"/>
          </w:tcPr>
          <w:p>
            <w:pPr>
              <w:pStyle w:val="62"/>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62"/>
              <w:spacing w:line="360" w:lineRule="auto"/>
              <w:jc w:val="center"/>
              <w:rPr>
                <w:rFonts w:ascii="仿宋" w:hAnsi="仿宋" w:eastAsia="仿宋" w:cs="仿宋"/>
                <w:b/>
                <w:sz w:val="24"/>
              </w:rPr>
            </w:pPr>
            <w:r>
              <w:rPr>
                <w:rFonts w:hint="eastAsia" w:ascii="仿宋" w:hAnsi="仿宋" w:eastAsia="仿宋" w:cs="仿宋"/>
                <w:b/>
                <w:sz w:val="24"/>
              </w:rPr>
              <w:t>3</w:t>
            </w:r>
          </w:p>
        </w:tc>
        <w:tc>
          <w:tcPr>
            <w:tcW w:w="1979" w:type="dxa"/>
          </w:tcPr>
          <w:p>
            <w:pPr>
              <w:pStyle w:val="62"/>
              <w:spacing w:line="360" w:lineRule="auto"/>
              <w:rPr>
                <w:rFonts w:ascii="仿宋" w:hAnsi="仿宋" w:eastAsia="仿宋" w:cs="仿宋"/>
                <w:b/>
                <w:sz w:val="24"/>
              </w:rPr>
            </w:pPr>
          </w:p>
        </w:tc>
        <w:tc>
          <w:tcPr>
            <w:tcW w:w="1282" w:type="dxa"/>
          </w:tcPr>
          <w:p>
            <w:pPr>
              <w:pStyle w:val="62"/>
              <w:spacing w:line="360" w:lineRule="auto"/>
              <w:rPr>
                <w:rFonts w:ascii="仿宋" w:hAnsi="仿宋" w:eastAsia="仿宋" w:cs="仿宋"/>
                <w:b/>
                <w:sz w:val="24"/>
              </w:rPr>
            </w:pPr>
          </w:p>
        </w:tc>
        <w:tc>
          <w:tcPr>
            <w:tcW w:w="2163" w:type="dxa"/>
          </w:tcPr>
          <w:p>
            <w:pPr>
              <w:pStyle w:val="62"/>
              <w:spacing w:line="360" w:lineRule="auto"/>
              <w:rPr>
                <w:rFonts w:ascii="仿宋" w:hAnsi="仿宋" w:eastAsia="仿宋" w:cs="仿宋"/>
                <w:b/>
                <w:sz w:val="24"/>
              </w:rPr>
            </w:pPr>
          </w:p>
        </w:tc>
        <w:tc>
          <w:tcPr>
            <w:tcW w:w="728" w:type="dxa"/>
          </w:tcPr>
          <w:p>
            <w:pPr>
              <w:pStyle w:val="62"/>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62"/>
              <w:spacing w:line="360" w:lineRule="auto"/>
              <w:rPr>
                <w:rFonts w:ascii="仿宋" w:hAnsi="仿宋" w:eastAsia="仿宋" w:cs="仿宋"/>
                <w:b/>
                <w:sz w:val="24"/>
              </w:rPr>
            </w:pPr>
          </w:p>
        </w:tc>
        <w:tc>
          <w:tcPr>
            <w:tcW w:w="1979" w:type="dxa"/>
          </w:tcPr>
          <w:p>
            <w:pPr>
              <w:pStyle w:val="62"/>
              <w:spacing w:line="360" w:lineRule="auto"/>
              <w:rPr>
                <w:rFonts w:ascii="仿宋" w:hAnsi="仿宋" w:eastAsia="仿宋" w:cs="仿宋"/>
                <w:b/>
                <w:sz w:val="24"/>
              </w:rPr>
            </w:pPr>
            <w:r>
              <w:rPr>
                <w:rFonts w:hint="eastAsia" w:ascii="宋体" w:hAnsi="宋体" w:cs="宋体"/>
                <w:color w:val="000000"/>
                <w:sz w:val="24"/>
              </w:rPr>
              <w:t>…</w:t>
            </w:r>
          </w:p>
        </w:tc>
        <w:tc>
          <w:tcPr>
            <w:tcW w:w="1282" w:type="dxa"/>
          </w:tcPr>
          <w:p>
            <w:pPr>
              <w:pStyle w:val="62"/>
              <w:spacing w:line="360" w:lineRule="auto"/>
              <w:rPr>
                <w:rFonts w:ascii="仿宋" w:hAnsi="仿宋" w:eastAsia="仿宋" w:cs="仿宋"/>
                <w:b/>
                <w:sz w:val="24"/>
              </w:rPr>
            </w:pPr>
          </w:p>
        </w:tc>
        <w:tc>
          <w:tcPr>
            <w:tcW w:w="2163" w:type="dxa"/>
          </w:tcPr>
          <w:p>
            <w:pPr>
              <w:pStyle w:val="62"/>
              <w:spacing w:line="360" w:lineRule="auto"/>
              <w:rPr>
                <w:rFonts w:ascii="仿宋" w:hAnsi="仿宋" w:eastAsia="仿宋" w:cs="仿宋"/>
                <w:b/>
                <w:sz w:val="24"/>
              </w:rPr>
            </w:pPr>
          </w:p>
        </w:tc>
        <w:tc>
          <w:tcPr>
            <w:tcW w:w="728" w:type="dxa"/>
          </w:tcPr>
          <w:p>
            <w:pPr>
              <w:pStyle w:val="62"/>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62"/>
              <w:spacing w:line="360" w:lineRule="auto"/>
              <w:rPr>
                <w:rFonts w:ascii="仿宋" w:hAnsi="仿宋" w:eastAsia="仿宋" w:cs="仿宋"/>
                <w:b/>
                <w:sz w:val="24"/>
              </w:rPr>
            </w:pPr>
          </w:p>
        </w:tc>
        <w:tc>
          <w:tcPr>
            <w:tcW w:w="1979" w:type="dxa"/>
          </w:tcPr>
          <w:p>
            <w:pPr>
              <w:pStyle w:val="62"/>
              <w:spacing w:line="360" w:lineRule="auto"/>
              <w:rPr>
                <w:rFonts w:ascii="仿宋" w:hAnsi="仿宋" w:eastAsia="仿宋" w:cs="仿宋"/>
                <w:b/>
                <w:sz w:val="24"/>
              </w:rPr>
            </w:pPr>
            <w:r>
              <w:rPr>
                <w:rFonts w:hint="eastAsia" w:ascii="宋体" w:hAnsi="宋体" w:cs="宋体"/>
                <w:color w:val="000000"/>
                <w:sz w:val="24"/>
              </w:rPr>
              <w:t>…</w:t>
            </w:r>
          </w:p>
        </w:tc>
        <w:tc>
          <w:tcPr>
            <w:tcW w:w="1282" w:type="dxa"/>
          </w:tcPr>
          <w:p>
            <w:pPr>
              <w:pStyle w:val="62"/>
              <w:spacing w:line="360" w:lineRule="auto"/>
              <w:rPr>
                <w:rFonts w:ascii="仿宋" w:hAnsi="仿宋" w:eastAsia="仿宋" w:cs="仿宋"/>
                <w:b/>
                <w:sz w:val="24"/>
              </w:rPr>
            </w:pPr>
          </w:p>
        </w:tc>
        <w:tc>
          <w:tcPr>
            <w:tcW w:w="2163" w:type="dxa"/>
          </w:tcPr>
          <w:p>
            <w:pPr>
              <w:pStyle w:val="62"/>
              <w:spacing w:line="360" w:lineRule="auto"/>
              <w:rPr>
                <w:rFonts w:ascii="仿宋" w:hAnsi="仿宋" w:eastAsia="仿宋" w:cs="仿宋"/>
                <w:b/>
                <w:sz w:val="24"/>
              </w:rPr>
            </w:pPr>
          </w:p>
        </w:tc>
        <w:tc>
          <w:tcPr>
            <w:tcW w:w="728" w:type="dxa"/>
          </w:tcPr>
          <w:p>
            <w:pPr>
              <w:pStyle w:val="62"/>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62"/>
              <w:spacing w:line="360" w:lineRule="auto"/>
              <w:rPr>
                <w:rFonts w:ascii="仿宋" w:hAnsi="仿宋" w:eastAsia="仿宋" w:cs="仿宋"/>
                <w:b/>
                <w:sz w:val="24"/>
              </w:rPr>
            </w:pPr>
          </w:p>
        </w:tc>
        <w:tc>
          <w:tcPr>
            <w:tcW w:w="1979" w:type="dxa"/>
          </w:tcPr>
          <w:p>
            <w:pPr>
              <w:pStyle w:val="62"/>
              <w:spacing w:line="360" w:lineRule="auto"/>
              <w:rPr>
                <w:rFonts w:ascii="仿宋" w:hAnsi="仿宋" w:eastAsia="仿宋" w:cs="仿宋"/>
                <w:b/>
                <w:sz w:val="24"/>
              </w:rPr>
            </w:pPr>
          </w:p>
        </w:tc>
        <w:tc>
          <w:tcPr>
            <w:tcW w:w="1282" w:type="dxa"/>
          </w:tcPr>
          <w:p>
            <w:pPr>
              <w:pStyle w:val="62"/>
              <w:spacing w:line="360" w:lineRule="auto"/>
              <w:rPr>
                <w:rFonts w:ascii="仿宋" w:hAnsi="仿宋" w:eastAsia="仿宋" w:cs="仿宋"/>
                <w:b/>
                <w:sz w:val="24"/>
              </w:rPr>
            </w:pPr>
          </w:p>
        </w:tc>
        <w:tc>
          <w:tcPr>
            <w:tcW w:w="2163" w:type="dxa"/>
          </w:tcPr>
          <w:p>
            <w:pPr>
              <w:pStyle w:val="62"/>
              <w:spacing w:line="360" w:lineRule="auto"/>
              <w:rPr>
                <w:rFonts w:ascii="仿宋" w:hAnsi="仿宋" w:eastAsia="仿宋" w:cs="仿宋"/>
                <w:b/>
                <w:sz w:val="24"/>
              </w:rPr>
            </w:pPr>
          </w:p>
        </w:tc>
        <w:tc>
          <w:tcPr>
            <w:tcW w:w="728" w:type="dxa"/>
          </w:tcPr>
          <w:p>
            <w:pPr>
              <w:pStyle w:val="62"/>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62"/>
              <w:spacing w:line="360" w:lineRule="auto"/>
              <w:rPr>
                <w:rFonts w:ascii="仿宋" w:hAnsi="仿宋" w:eastAsia="仿宋" w:cs="仿宋"/>
                <w:b/>
                <w:sz w:val="24"/>
              </w:rPr>
            </w:pPr>
          </w:p>
        </w:tc>
        <w:tc>
          <w:tcPr>
            <w:tcW w:w="1979" w:type="dxa"/>
          </w:tcPr>
          <w:p>
            <w:pPr>
              <w:pStyle w:val="62"/>
              <w:spacing w:line="360" w:lineRule="auto"/>
              <w:rPr>
                <w:rFonts w:ascii="仿宋" w:hAnsi="仿宋" w:eastAsia="仿宋" w:cs="仿宋"/>
                <w:b/>
                <w:sz w:val="24"/>
              </w:rPr>
            </w:pPr>
          </w:p>
        </w:tc>
        <w:tc>
          <w:tcPr>
            <w:tcW w:w="1282" w:type="dxa"/>
          </w:tcPr>
          <w:p>
            <w:pPr>
              <w:pStyle w:val="62"/>
              <w:spacing w:line="360" w:lineRule="auto"/>
              <w:rPr>
                <w:rFonts w:ascii="仿宋" w:hAnsi="仿宋" w:eastAsia="仿宋" w:cs="仿宋"/>
                <w:b/>
                <w:sz w:val="24"/>
              </w:rPr>
            </w:pPr>
          </w:p>
        </w:tc>
        <w:tc>
          <w:tcPr>
            <w:tcW w:w="2163" w:type="dxa"/>
          </w:tcPr>
          <w:p>
            <w:pPr>
              <w:pStyle w:val="62"/>
              <w:spacing w:line="360" w:lineRule="auto"/>
              <w:rPr>
                <w:rFonts w:ascii="仿宋" w:hAnsi="仿宋" w:eastAsia="仿宋" w:cs="仿宋"/>
                <w:b/>
                <w:sz w:val="24"/>
              </w:rPr>
            </w:pPr>
          </w:p>
        </w:tc>
        <w:tc>
          <w:tcPr>
            <w:tcW w:w="728" w:type="dxa"/>
          </w:tcPr>
          <w:p>
            <w:pPr>
              <w:pStyle w:val="62"/>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Pr>
          <w:p>
            <w:pPr>
              <w:pStyle w:val="62"/>
              <w:spacing w:line="360" w:lineRule="auto"/>
              <w:rPr>
                <w:rFonts w:ascii="仿宋" w:hAnsi="仿宋" w:eastAsia="仿宋" w:cs="仿宋"/>
                <w:b/>
                <w:sz w:val="24"/>
              </w:rPr>
            </w:pPr>
          </w:p>
        </w:tc>
        <w:tc>
          <w:tcPr>
            <w:tcW w:w="1979" w:type="dxa"/>
          </w:tcPr>
          <w:p>
            <w:pPr>
              <w:pStyle w:val="62"/>
              <w:spacing w:line="360" w:lineRule="auto"/>
              <w:rPr>
                <w:rFonts w:ascii="仿宋" w:hAnsi="仿宋" w:eastAsia="仿宋" w:cs="仿宋"/>
                <w:b/>
                <w:sz w:val="24"/>
              </w:rPr>
            </w:pPr>
          </w:p>
        </w:tc>
        <w:tc>
          <w:tcPr>
            <w:tcW w:w="1282" w:type="dxa"/>
          </w:tcPr>
          <w:p>
            <w:pPr>
              <w:pStyle w:val="62"/>
              <w:spacing w:line="360" w:lineRule="auto"/>
              <w:rPr>
                <w:rFonts w:ascii="仿宋" w:hAnsi="仿宋" w:eastAsia="仿宋" w:cs="仿宋"/>
                <w:b/>
                <w:sz w:val="24"/>
              </w:rPr>
            </w:pPr>
          </w:p>
        </w:tc>
        <w:tc>
          <w:tcPr>
            <w:tcW w:w="2163" w:type="dxa"/>
          </w:tcPr>
          <w:p>
            <w:pPr>
              <w:pStyle w:val="62"/>
              <w:spacing w:line="360" w:lineRule="auto"/>
              <w:rPr>
                <w:rFonts w:ascii="仿宋" w:hAnsi="仿宋" w:eastAsia="仿宋" w:cs="仿宋"/>
                <w:b/>
                <w:sz w:val="24"/>
              </w:rPr>
            </w:pPr>
          </w:p>
        </w:tc>
        <w:tc>
          <w:tcPr>
            <w:tcW w:w="728" w:type="dxa"/>
          </w:tcPr>
          <w:p>
            <w:pPr>
              <w:pStyle w:val="62"/>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gridSpan w:val="2"/>
            <w:vAlign w:val="center"/>
          </w:tcPr>
          <w:p>
            <w:pPr>
              <w:pStyle w:val="62"/>
              <w:spacing w:line="360" w:lineRule="auto"/>
              <w:rPr>
                <w:rFonts w:ascii="仿宋" w:hAnsi="仿宋" w:eastAsia="仿宋" w:cs="仿宋"/>
                <w:sz w:val="24"/>
              </w:rPr>
            </w:pPr>
            <w:r>
              <w:rPr>
                <w:rFonts w:hint="eastAsia" w:ascii="仿宋" w:hAnsi="仿宋" w:eastAsia="仿宋" w:cs="仿宋"/>
                <w:sz w:val="24"/>
              </w:rPr>
              <w:t>合计金额</w:t>
            </w:r>
          </w:p>
        </w:tc>
        <w:tc>
          <w:tcPr>
            <w:tcW w:w="4173" w:type="dxa"/>
            <w:gridSpan w:val="3"/>
          </w:tcPr>
          <w:p>
            <w:pPr>
              <w:pStyle w:val="62"/>
              <w:spacing w:line="360" w:lineRule="auto"/>
              <w:rPr>
                <w:rFonts w:ascii="仿宋" w:hAnsi="仿宋" w:eastAsia="仿宋" w:cs="仿宋"/>
                <w:b/>
                <w:sz w:val="24"/>
              </w:rPr>
            </w:pPr>
          </w:p>
        </w:tc>
      </w:tr>
    </w:tbl>
    <w:p>
      <w:pPr>
        <w:pStyle w:val="62"/>
        <w:spacing w:line="360" w:lineRule="auto"/>
        <w:rPr>
          <w:rFonts w:ascii="仿宋" w:hAnsi="仿宋" w:eastAsia="仿宋" w:cs="仿宋"/>
          <w:sz w:val="24"/>
        </w:rPr>
      </w:pPr>
      <w:r>
        <w:rPr>
          <w:rFonts w:hint="eastAsia" w:ascii="仿宋" w:hAnsi="仿宋" w:eastAsia="仿宋" w:cs="仿宋"/>
          <w:sz w:val="24"/>
        </w:rPr>
        <w:t>说明:1、</w:t>
      </w:r>
      <w:r>
        <w:rPr>
          <w:rFonts w:hint="eastAsia" w:ascii="仿宋" w:hAnsi="仿宋" w:eastAsia="仿宋" w:cs="仿宋"/>
          <w:bCs/>
          <w:sz w:val="24"/>
        </w:rPr>
        <w:t>投标人必须填写</w:t>
      </w:r>
      <w:r>
        <w:rPr>
          <w:rFonts w:hint="eastAsia" w:ascii="仿宋" w:hAnsi="仿宋" w:eastAsia="仿宋" w:cs="仿宋"/>
          <w:sz w:val="24"/>
        </w:rPr>
        <w:t>报价明细表</w:t>
      </w:r>
      <w:r>
        <w:rPr>
          <w:rFonts w:hint="eastAsia" w:ascii="仿宋" w:hAnsi="仿宋" w:eastAsia="仿宋" w:cs="仿宋"/>
          <w:bCs/>
          <w:sz w:val="24"/>
        </w:rPr>
        <w:t>,否则将导致投标被拒绝。</w:t>
      </w:r>
    </w:p>
    <w:p>
      <w:pPr>
        <w:pStyle w:val="62"/>
        <w:spacing w:line="360" w:lineRule="auto"/>
        <w:ind w:left="720"/>
        <w:rPr>
          <w:rFonts w:ascii="仿宋" w:hAnsi="仿宋" w:eastAsia="仿宋" w:cs="仿宋"/>
          <w:sz w:val="24"/>
        </w:rPr>
      </w:pPr>
      <w:r>
        <w:rPr>
          <w:rFonts w:hint="eastAsia" w:ascii="仿宋" w:hAnsi="仿宋" w:eastAsia="仿宋" w:cs="仿宋"/>
          <w:sz w:val="24"/>
        </w:rPr>
        <w:t>2、报价分析表中的“合计金额”应等于“开标一览表”中的“投标总价”。</w:t>
      </w:r>
    </w:p>
    <w:p>
      <w:pPr>
        <w:pStyle w:val="62"/>
        <w:spacing w:line="360" w:lineRule="auto"/>
        <w:ind w:left="720"/>
        <w:rPr>
          <w:rFonts w:ascii="仿宋" w:hAnsi="仿宋" w:eastAsia="仿宋" w:cs="仿宋"/>
          <w:sz w:val="24"/>
        </w:rPr>
      </w:pPr>
      <w:r>
        <w:rPr>
          <w:rFonts w:hint="eastAsia" w:ascii="仿宋" w:hAnsi="仿宋" w:eastAsia="仿宋" w:cs="仿宋"/>
          <w:sz w:val="24"/>
        </w:rPr>
        <w:t>3、报价项目填报不下的,可自行扩展。</w:t>
      </w:r>
    </w:p>
    <w:p>
      <w:pPr>
        <w:pStyle w:val="62"/>
        <w:rPr>
          <w:rFonts w:ascii="仿宋" w:hAnsi="仿宋" w:eastAsia="仿宋" w:cs="仿宋"/>
          <w:sz w:val="24"/>
        </w:rPr>
      </w:pPr>
    </w:p>
    <w:p>
      <w:pPr>
        <w:pStyle w:val="62"/>
        <w:rPr>
          <w:rFonts w:ascii="仿宋" w:hAnsi="仿宋" w:eastAsia="仿宋" w:cs="仿宋"/>
          <w:sz w:val="24"/>
        </w:rPr>
      </w:pPr>
    </w:p>
    <w:p>
      <w:pPr>
        <w:pStyle w:val="22"/>
        <w:tabs>
          <w:tab w:val="left" w:pos="5580"/>
        </w:tabs>
        <w:spacing w:line="360" w:lineRule="auto"/>
        <w:ind w:left="1165" w:leftChars="555" w:firstLine="1978" w:firstLineChars="942"/>
        <w:rPr>
          <w:rFonts w:ascii="仿宋" w:hAnsi="仿宋" w:eastAsia="仿宋" w:cs="仿宋"/>
        </w:rPr>
      </w:pPr>
      <w:r>
        <w:rPr>
          <w:rFonts w:hint="eastAsia" w:ascii="仿宋" w:hAnsi="仿宋" w:eastAsia="仿宋" w:cs="仿宋"/>
        </w:rPr>
        <w:t>投标人名称（电子签章）:</w:t>
      </w:r>
      <w:r>
        <w:rPr>
          <w:rFonts w:hint="eastAsia" w:ascii="仿宋" w:hAnsi="仿宋" w:eastAsia="仿宋" w:cs="仿宋"/>
          <w:u w:val="single"/>
        </w:rPr>
        <w:t xml:space="preserve">                       </w:t>
      </w:r>
    </w:p>
    <w:p>
      <w:pPr>
        <w:pStyle w:val="62"/>
        <w:ind w:firstLine="6000" w:firstLineChars="2500"/>
        <w:rPr>
          <w:rFonts w:ascii="仿宋" w:hAnsi="仿宋" w:eastAsia="仿宋" w:cs="仿宋"/>
          <w:sz w:val="24"/>
        </w:rPr>
      </w:pPr>
    </w:p>
    <w:p>
      <w:pPr>
        <w:pStyle w:val="62"/>
        <w:ind w:firstLine="6000" w:firstLineChars="2500"/>
        <w:rPr>
          <w:rFonts w:ascii="仿宋" w:hAnsi="仿宋" w:eastAsia="仿宋" w:cs="仿宋"/>
        </w:rPr>
      </w:pPr>
      <w:r>
        <w:rPr>
          <w:rFonts w:hint="eastAsia" w:ascii="仿宋" w:hAnsi="仿宋" w:eastAsia="仿宋" w:cs="仿宋"/>
          <w:sz w:val="24"/>
        </w:rPr>
        <w:t>年   月   日</w:t>
      </w:r>
    </w:p>
    <w:p>
      <w:pPr>
        <w:pStyle w:val="154"/>
        <w:rPr>
          <w:rFonts w:ascii="仿宋" w:hAnsi="仿宋" w:eastAsia="仿宋" w:cs="仿宋"/>
          <w:b/>
          <w:kern w:val="0"/>
          <w:sz w:val="32"/>
          <w:szCs w:val="24"/>
        </w:rPr>
      </w:pPr>
      <w:r>
        <w:rPr>
          <w:rFonts w:hint="eastAsia" w:ascii="仿宋" w:hAnsi="仿宋" w:eastAsia="仿宋" w:cs="仿宋"/>
        </w:rPr>
        <w:br w:type="page"/>
      </w:r>
      <w:r>
        <w:rPr>
          <w:rFonts w:hint="eastAsia" w:ascii="宋体" w:hAnsi="宋体" w:cs="宋体"/>
          <w:b/>
          <w:kern w:val="0"/>
          <w:sz w:val="28"/>
          <w:szCs w:val="28"/>
        </w:rPr>
        <w:t>3.中、小微企业声明函（中、小、微型企业产品价格需扣除的须提供）</w:t>
      </w:r>
    </w:p>
    <w:p>
      <w:pPr>
        <w:widowControl/>
        <w:jc w:val="center"/>
      </w:pPr>
      <w:r>
        <w:rPr>
          <w:rFonts w:hint="eastAsia" w:ascii="仿宋" w:hAnsi="仿宋" w:eastAsia="仿宋" w:cs="仿宋"/>
          <w:b/>
          <w:bCs/>
          <w:sz w:val="24"/>
          <w:szCs w:val="24"/>
        </w:rPr>
        <w:t>中小企业声明函（工程、服务）</w:t>
      </w:r>
    </w:p>
    <w:p>
      <w:pPr>
        <w:widowControl/>
        <w:spacing w:line="360" w:lineRule="auto"/>
        <w:ind w:firstLine="472" w:firstLineChars="200"/>
        <w:jc w:val="left"/>
        <w:rPr>
          <w:rFonts w:ascii="仿宋" w:hAnsi="仿宋" w:eastAsia="仿宋" w:cs="仿宋"/>
          <w:spacing w:val="-2"/>
          <w:sz w:val="24"/>
          <w:szCs w:val="24"/>
        </w:rPr>
      </w:pPr>
    </w:p>
    <w:p>
      <w:pPr>
        <w:widowControl/>
        <w:spacing w:line="360" w:lineRule="auto"/>
        <w:ind w:firstLine="472" w:firstLineChars="200"/>
        <w:jc w:val="left"/>
        <w:rPr>
          <w:rFonts w:ascii="仿宋" w:hAnsi="仿宋" w:eastAsia="仿宋" w:cs="仿宋"/>
          <w:spacing w:val="-2"/>
          <w:sz w:val="24"/>
          <w:szCs w:val="24"/>
        </w:rPr>
      </w:pPr>
      <w:r>
        <w:rPr>
          <w:rFonts w:hint="eastAsia" w:ascii="仿宋" w:hAnsi="仿宋" w:eastAsia="仿宋" w:cs="仿宋"/>
          <w:spacing w:val="-2"/>
          <w:sz w:val="24"/>
          <w:szCs w:val="24"/>
        </w:rPr>
        <w:t>本公司（联合体）郑重声明,根据《政府采购促进中小企业发展管理办法》（财库﹝2020﹞46 号）的规定,本公司</w:t>
      </w:r>
      <w:r>
        <w:rPr>
          <w:rFonts w:hint="eastAsia" w:ascii="仿宋" w:hAnsi="仿宋" w:eastAsia="仿宋" w:cs="仿宋"/>
          <w:i/>
          <w:iCs/>
          <w:spacing w:val="-2"/>
          <w:sz w:val="24"/>
          <w:szCs w:val="24"/>
          <w:u w:val="single"/>
        </w:rPr>
        <w:t>（联合体）</w:t>
      </w:r>
      <w:r>
        <w:rPr>
          <w:rFonts w:hint="eastAsia" w:ascii="仿宋" w:hAnsi="仿宋" w:eastAsia="仿宋" w:cs="仿宋"/>
          <w:spacing w:val="-2"/>
          <w:sz w:val="24"/>
          <w:szCs w:val="24"/>
        </w:rPr>
        <w:t>参加</w:t>
      </w:r>
      <w:r>
        <w:rPr>
          <w:rFonts w:hint="eastAsia" w:ascii="仿宋" w:hAnsi="仿宋" w:eastAsia="仿宋" w:cs="仿宋"/>
          <w:i/>
          <w:iCs/>
          <w:spacing w:val="-2"/>
          <w:sz w:val="24"/>
          <w:szCs w:val="24"/>
          <w:u w:val="single"/>
        </w:rPr>
        <w:t>（单位名称）</w:t>
      </w:r>
      <w:r>
        <w:rPr>
          <w:rFonts w:hint="eastAsia" w:ascii="仿宋" w:hAnsi="仿宋" w:eastAsia="仿宋" w:cs="仿宋"/>
          <w:spacing w:val="-2"/>
          <w:sz w:val="24"/>
          <w:szCs w:val="24"/>
        </w:rPr>
        <w:t>的</w:t>
      </w:r>
      <w:r>
        <w:rPr>
          <w:rFonts w:hint="eastAsia" w:ascii="仿宋" w:hAnsi="仿宋" w:eastAsia="仿宋" w:cs="仿宋"/>
          <w:i/>
          <w:iCs/>
          <w:spacing w:val="-2"/>
          <w:sz w:val="24"/>
          <w:szCs w:val="24"/>
          <w:u w:val="single"/>
        </w:rPr>
        <w:t>（项目名称）</w:t>
      </w:r>
      <w:r>
        <w:rPr>
          <w:rFonts w:hint="eastAsia" w:ascii="仿宋" w:hAnsi="仿宋" w:eastAsia="仿宋" w:cs="仿宋"/>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72" w:firstLineChars="200"/>
        <w:jc w:val="left"/>
        <w:rPr>
          <w:rFonts w:ascii="仿宋" w:hAnsi="仿宋" w:eastAsia="仿宋" w:cs="仿宋"/>
          <w:spacing w:val="-2"/>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u w:val="single"/>
        </w:rPr>
        <w:t>（</w:t>
      </w:r>
      <w:r>
        <w:rPr>
          <w:rFonts w:hint="eastAsia" w:ascii="仿宋" w:hAnsi="仿宋" w:eastAsia="仿宋" w:cs="仿宋"/>
          <w:i/>
          <w:iCs/>
          <w:spacing w:val="-2"/>
          <w:sz w:val="24"/>
          <w:szCs w:val="24"/>
          <w:u w:val="single"/>
        </w:rPr>
        <w:t>标的名称</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,属于</w:t>
      </w:r>
      <w:r>
        <w:rPr>
          <w:rFonts w:hint="eastAsia" w:ascii="仿宋" w:hAnsi="仿宋" w:eastAsia="仿宋" w:cs="仿宋"/>
          <w:spacing w:val="-2"/>
          <w:sz w:val="24"/>
          <w:szCs w:val="24"/>
          <w:u w:val="single"/>
        </w:rPr>
        <w:t>（</w:t>
      </w:r>
      <w:r>
        <w:rPr>
          <w:rFonts w:hint="eastAsia" w:ascii="仿宋" w:hAnsi="仿宋" w:eastAsia="仿宋" w:cs="仿宋"/>
          <w:i/>
          <w:iCs/>
          <w:spacing w:val="-2"/>
          <w:sz w:val="24"/>
          <w:szCs w:val="24"/>
          <w:u w:val="single"/>
        </w:rPr>
        <w:t>采购文件中明确的所属行业</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承建（承接）企业为</w:t>
      </w:r>
      <w:r>
        <w:rPr>
          <w:rFonts w:hint="eastAsia" w:ascii="仿宋" w:hAnsi="仿宋" w:eastAsia="仿宋" w:cs="仿宋"/>
          <w:spacing w:val="-2"/>
          <w:sz w:val="24"/>
          <w:szCs w:val="24"/>
          <w:u w:val="single"/>
        </w:rPr>
        <w:t>（</w:t>
      </w:r>
      <w:r>
        <w:rPr>
          <w:rFonts w:hint="eastAsia" w:ascii="仿宋" w:hAnsi="仿宋" w:eastAsia="仿宋" w:cs="仿宋"/>
          <w:i/>
          <w:iCs/>
          <w:spacing w:val="-2"/>
          <w:sz w:val="24"/>
          <w:szCs w:val="24"/>
          <w:u w:val="single"/>
        </w:rPr>
        <w:t>企业名称</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,从业人员</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人,营业收入为</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万元,资产总额为</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rPr>
        <w:t>（</w:t>
      </w:r>
      <w:r>
        <w:rPr>
          <w:rFonts w:hint="eastAsia" w:ascii="仿宋" w:hAnsi="仿宋" w:eastAsia="仿宋" w:cs="仿宋"/>
          <w:i/>
          <w:iCs/>
          <w:spacing w:val="-2"/>
          <w:sz w:val="24"/>
          <w:szCs w:val="24"/>
          <w:u w:val="single"/>
        </w:rPr>
        <w:t>中型企业、小型企业、微型企业</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 xml:space="preserve">； </w:t>
      </w:r>
    </w:p>
    <w:p>
      <w:pPr>
        <w:widowControl/>
        <w:spacing w:line="360" w:lineRule="auto"/>
        <w:ind w:firstLine="472" w:firstLineChars="200"/>
        <w:jc w:val="left"/>
        <w:rPr>
          <w:rFonts w:ascii="仿宋" w:hAnsi="仿宋" w:eastAsia="仿宋" w:cs="仿宋"/>
          <w:spacing w:val="-2"/>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u w:val="single"/>
        </w:rPr>
        <w:t>（</w:t>
      </w:r>
      <w:r>
        <w:rPr>
          <w:rFonts w:hint="eastAsia" w:ascii="仿宋" w:hAnsi="仿宋" w:eastAsia="仿宋" w:cs="仿宋"/>
          <w:i/>
          <w:iCs/>
          <w:spacing w:val="-2"/>
          <w:sz w:val="24"/>
          <w:szCs w:val="24"/>
          <w:u w:val="single"/>
        </w:rPr>
        <w:t>标的名称</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,属于</w:t>
      </w:r>
      <w:r>
        <w:rPr>
          <w:rFonts w:hint="eastAsia" w:ascii="仿宋" w:hAnsi="仿宋" w:eastAsia="仿宋" w:cs="仿宋"/>
          <w:spacing w:val="-2"/>
          <w:sz w:val="24"/>
          <w:szCs w:val="24"/>
          <w:u w:val="single"/>
        </w:rPr>
        <w:t>（</w:t>
      </w:r>
      <w:r>
        <w:rPr>
          <w:rFonts w:hint="eastAsia" w:ascii="仿宋" w:hAnsi="仿宋" w:eastAsia="仿宋" w:cs="仿宋"/>
          <w:i/>
          <w:iCs/>
          <w:spacing w:val="-2"/>
          <w:sz w:val="24"/>
          <w:szCs w:val="24"/>
          <w:u w:val="single"/>
        </w:rPr>
        <w:t>采购文件中明确的所属行业</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；承建（承接）企业为</w:t>
      </w:r>
      <w:r>
        <w:rPr>
          <w:rFonts w:hint="eastAsia" w:ascii="仿宋" w:hAnsi="仿宋" w:eastAsia="仿宋" w:cs="仿宋"/>
          <w:spacing w:val="-2"/>
          <w:sz w:val="24"/>
          <w:szCs w:val="24"/>
          <w:u w:val="single"/>
        </w:rPr>
        <w:t>（</w:t>
      </w:r>
      <w:r>
        <w:rPr>
          <w:rFonts w:hint="eastAsia" w:ascii="仿宋" w:hAnsi="仿宋" w:eastAsia="仿宋" w:cs="仿宋"/>
          <w:i/>
          <w:iCs/>
          <w:spacing w:val="-2"/>
          <w:sz w:val="24"/>
          <w:szCs w:val="24"/>
          <w:u w:val="single"/>
        </w:rPr>
        <w:t>企业名称</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,从业人员</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人,营业收入为</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万元,资产总额为</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rPr>
        <w:t>（</w:t>
      </w:r>
      <w:r>
        <w:rPr>
          <w:rFonts w:hint="eastAsia" w:ascii="仿宋" w:hAnsi="仿宋" w:eastAsia="仿宋" w:cs="仿宋"/>
          <w:i/>
          <w:iCs/>
          <w:spacing w:val="-2"/>
          <w:sz w:val="24"/>
          <w:szCs w:val="24"/>
          <w:u w:val="single"/>
        </w:rPr>
        <w:t>中型企业、小型企业、微型企业</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 xml:space="preserve">； </w:t>
      </w:r>
    </w:p>
    <w:p>
      <w:pPr>
        <w:widowControl/>
        <w:spacing w:line="360" w:lineRule="auto"/>
        <w:ind w:firstLine="472" w:firstLineChars="200"/>
        <w:jc w:val="left"/>
        <w:rPr>
          <w:rFonts w:ascii="仿宋" w:hAnsi="仿宋" w:eastAsia="仿宋" w:cs="仿宋"/>
          <w:spacing w:val="-2"/>
          <w:sz w:val="24"/>
          <w:szCs w:val="24"/>
        </w:rPr>
      </w:pPr>
      <w:r>
        <w:rPr>
          <w:rFonts w:hint="eastAsia" w:ascii="仿宋" w:hAnsi="仿宋" w:eastAsia="仿宋" w:cs="仿宋"/>
          <w:spacing w:val="-2"/>
          <w:sz w:val="24"/>
          <w:szCs w:val="24"/>
        </w:rPr>
        <w:t>……</w:t>
      </w:r>
    </w:p>
    <w:p>
      <w:pPr>
        <w:widowControl/>
        <w:spacing w:line="360" w:lineRule="auto"/>
        <w:ind w:firstLine="472" w:firstLineChars="200"/>
        <w:jc w:val="left"/>
        <w:rPr>
          <w:rFonts w:ascii="仿宋" w:hAnsi="仿宋" w:eastAsia="仿宋" w:cs="仿宋"/>
          <w:spacing w:val="-2"/>
          <w:sz w:val="24"/>
          <w:szCs w:val="24"/>
        </w:rPr>
      </w:pPr>
      <w:r>
        <w:rPr>
          <w:rFonts w:hint="eastAsia" w:ascii="仿宋" w:hAnsi="仿宋" w:eastAsia="仿宋" w:cs="仿宋"/>
          <w:spacing w:val="-2"/>
          <w:sz w:val="24"/>
          <w:szCs w:val="24"/>
        </w:rPr>
        <w:t>以上企业,不属于大企业的分支机构,不存在控股股东为大企业的情形,也不存在与大企业的负责人为同一人的情形。</w:t>
      </w:r>
    </w:p>
    <w:p>
      <w:pPr>
        <w:widowControl/>
        <w:spacing w:line="360" w:lineRule="auto"/>
        <w:ind w:firstLine="472" w:firstLineChars="200"/>
        <w:jc w:val="left"/>
        <w:rPr>
          <w:rFonts w:ascii="仿宋" w:hAnsi="仿宋" w:eastAsia="仿宋" w:cs="仿宋"/>
          <w:spacing w:val="-2"/>
          <w:sz w:val="24"/>
          <w:szCs w:val="24"/>
        </w:rPr>
      </w:pPr>
      <w:r>
        <w:rPr>
          <w:rFonts w:hint="eastAsia" w:ascii="仿宋" w:hAnsi="仿宋" w:eastAsia="仿宋" w:cs="仿宋"/>
          <w:spacing w:val="-2"/>
          <w:sz w:val="24"/>
          <w:szCs w:val="24"/>
        </w:rPr>
        <w:t>本企业对上述声明内容的真实性负责。如有虚假,将依法承担相应责任。</w:t>
      </w:r>
    </w:p>
    <w:p>
      <w:pPr>
        <w:pStyle w:val="95"/>
        <w:spacing w:before="35" w:line="316" w:lineRule="auto"/>
        <w:ind w:right="2166" w:firstLine="472" w:firstLineChars="200"/>
        <w:rPr>
          <w:rFonts w:ascii="仿宋" w:hAnsi="仿宋" w:eastAsia="仿宋" w:cs="仿宋"/>
          <w:spacing w:val="-2"/>
          <w:sz w:val="24"/>
        </w:rPr>
      </w:pPr>
    </w:p>
    <w:p>
      <w:pPr>
        <w:pStyle w:val="95"/>
        <w:spacing w:before="35" w:line="316" w:lineRule="auto"/>
        <w:ind w:right="2166" w:firstLine="472" w:firstLineChars="200"/>
        <w:jc w:val="right"/>
        <w:rPr>
          <w:rFonts w:ascii="仿宋" w:hAnsi="仿宋" w:eastAsia="仿宋" w:cs="仿宋"/>
          <w:spacing w:val="-2"/>
          <w:sz w:val="24"/>
        </w:rPr>
      </w:pPr>
    </w:p>
    <w:p>
      <w:pPr>
        <w:pStyle w:val="95"/>
        <w:spacing w:before="35" w:line="316" w:lineRule="auto"/>
        <w:ind w:right="2166" w:firstLine="472" w:firstLineChars="200"/>
        <w:jc w:val="right"/>
        <w:rPr>
          <w:rFonts w:ascii="仿宋" w:hAnsi="仿宋" w:eastAsia="仿宋" w:cs="仿宋"/>
          <w:spacing w:val="-2"/>
          <w:sz w:val="24"/>
        </w:rPr>
      </w:pPr>
    </w:p>
    <w:p>
      <w:pPr>
        <w:pStyle w:val="95"/>
        <w:spacing w:before="35" w:line="316" w:lineRule="auto"/>
        <w:ind w:right="2166" w:firstLine="472" w:firstLineChars="200"/>
        <w:jc w:val="right"/>
        <w:rPr>
          <w:rFonts w:ascii="仿宋" w:hAnsi="仿宋" w:eastAsia="仿宋" w:cs="仿宋"/>
          <w:spacing w:val="-2"/>
          <w:sz w:val="24"/>
        </w:rPr>
      </w:pPr>
      <w:r>
        <w:rPr>
          <w:rFonts w:hint="eastAsia" w:ascii="仿宋" w:hAnsi="仿宋" w:eastAsia="仿宋" w:cs="仿宋"/>
          <w:spacing w:val="-2"/>
          <w:sz w:val="24"/>
        </w:rPr>
        <w:t>企业名称（盖章）:</w:t>
      </w:r>
    </w:p>
    <w:p>
      <w:pPr>
        <w:ind w:firstLine="4484" w:firstLineChars="1900"/>
        <w:rPr>
          <w:rFonts w:ascii="仿宋" w:hAnsi="仿宋" w:eastAsia="仿宋" w:cs="仿宋"/>
          <w:spacing w:val="-2"/>
          <w:sz w:val="24"/>
          <w:szCs w:val="24"/>
        </w:rPr>
      </w:pPr>
      <w:r>
        <w:rPr>
          <w:rFonts w:hint="eastAsia" w:ascii="仿宋" w:hAnsi="仿宋" w:eastAsia="仿宋" w:cs="仿宋"/>
          <w:spacing w:val="-2"/>
          <w:sz w:val="24"/>
          <w:szCs w:val="24"/>
        </w:rPr>
        <w:t>日期:</w:t>
      </w:r>
    </w:p>
    <w:p>
      <w:pPr>
        <w:pStyle w:val="95"/>
        <w:spacing w:before="35" w:line="316" w:lineRule="auto"/>
        <w:ind w:right="2166"/>
        <w:rPr>
          <w:rFonts w:ascii="仿宋" w:hAnsi="仿宋" w:eastAsia="仿宋" w:cs="仿宋"/>
        </w:rPr>
      </w:pPr>
      <w:r>
        <w:rPr>
          <w:rFonts w:hint="eastAsia" w:ascii="仿宋" w:hAnsi="仿宋" w:eastAsia="仿宋" w:cs="仿宋"/>
          <w:spacing w:val="-2"/>
        </w:rPr>
        <w:t xml:space="preserve">          </w:t>
      </w:r>
      <w:r>
        <w:rPr>
          <w:rFonts w:hint="eastAsia" w:ascii="仿宋" w:hAnsi="仿宋" w:eastAsia="仿宋" w:cs="仿宋"/>
          <w:spacing w:val="-5"/>
        </w:rPr>
        <w:t xml:space="preserve">              </w:t>
      </w:r>
    </w:p>
    <w:p>
      <w:pPr>
        <w:adjustRightInd w:val="0"/>
        <w:snapToGrid w:val="0"/>
        <w:spacing w:line="360" w:lineRule="auto"/>
        <w:rPr>
          <w:rFonts w:ascii="仿宋" w:hAnsi="仿宋" w:eastAsia="仿宋" w:cs="仿宋"/>
          <w:sz w:val="24"/>
          <w:szCs w:val="24"/>
        </w:rPr>
      </w:pPr>
    </w:p>
    <w:p>
      <w:pPr>
        <w:pStyle w:val="18"/>
      </w:pPr>
    </w:p>
    <w:p>
      <w:pPr>
        <w:pStyle w:val="169"/>
        <w:jc w:val="center"/>
        <w:outlineLvl w:val="9"/>
        <w:rPr>
          <w:rFonts w:ascii="仿宋" w:hAnsi="仿宋" w:eastAsia="仿宋" w:cs="仿宋"/>
          <w:kern w:val="2"/>
        </w:rPr>
      </w:pPr>
    </w:p>
    <w:p>
      <w:pPr>
        <w:pStyle w:val="169"/>
        <w:jc w:val="center"/>
        <w:outlineLvl w:val="9"/>
        <w:rPr>
          <w:rFonts w:ascii="仿宋" w:hAnsi="仿宋" w:eastAsia="仿宋" w:cs="仿宋"/>
          <w:kern w:val="2"/>
        </w:rPr>
      </w:pPr>
    </w:p>
    <w:p>
      <w:pPr>
        <w:pStyle w:val="169"/>
        <w:jc w:val="center"/>
        <w:outlineLvl w:val="9"/>
        <w:rPr>
          <w:rFonts w:ascii="仿宋" w:hAnsi="仿宋" w:eastAsia="仿宋" w:cs="仿宋"/>
          <w:kern w:val="2"/>
        </w:rPr>
      </w:pPr>
    </w:p>
    <w:p>
      <w:pPr>
        <w:pStyle w:val="169"/>
        <w:ind w:left="0"/>
        <w:jc w:val="both"/>
        <w:outlineLvl w:val="9"/>
        <w:rPr>
          <w:rFonts w:ascii="仿宋" w:hAnsi="仿宋" w:eastAsia="仿宋" w:cs="仿宋"/>
          <w:kern w:val="2"/>
        </w:rPr>
      </w:pPr>
    </w:p>
    <w:p>
      <w:pPr>
        <w:pStyle w:val="169"/>
        <w:ind w:left="0"/>
        <w:jc w:val="both"/>
        <w:outlineLvl w:val="9"/>
        <w:rPr>
          <w:rFonts w:ascii="仿宋" w:hAnsi="仿宋" w:eastAsia="仿宋" w:cs="仿宋"/>
          <w:kern w:val="2"/>
        </w:rPr>
      </w:pPr>
      <w:r>
        <w:rPr>
          <w:rFonts w:hint="eastAsia" w:ascii="仿宋" w:hAnsi="仿宋" w:eastAsia="仿宋" w:cs="仿宋"/>
          <w:kern w:val="2"/>
        </w:rPr>
        <w:t>4.监狱企业证明文件（如适用）</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91"/>
        <w:spacing w:before="165"/>
        <w:ind w:firstLine="2310"/>
        <w:rPr>
          <w:rFonts w:ascii="仿宋" w:hAnsi="仿宋" w:eastAsia="仿宋" w:cs="仿宋"/>
          <w:sz w:val="24"/>
        </w:rPr>
      </w:pPr>
      <w:r>
        <w:rPr>
          <w:rFonts w:hint="eastAsia" w:ascii="仿宋" w:hAnsi="仿宋" w:eastAsia="仿宋" w:cs="仿宋"/>
          <w:sz w:val="24"/>
        </w:rPr>
        <w:t>投标人如是监狱企业,提供相关证明文件。</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144"/>
        <w:rPr>
          <w:rFonts w:ascii="仿宋" w:hAnsi="仿宋" w:eastAsia="仿宋" w:cs="仿宋"/>
          <w:sz w:val="24"/>
          <w:szCs w:val="24"/>
        </w:rPr>
      </w:pPr>
      <w:r>
        <w:rPr>
          <w:rFonts w:hint="eastAsia" w:ascii="仿宋" w:hAnsi="仿宋" w:eastAsia="仿宋" w:cs="仿宋"/>
          <w:sz w:val="24"/>
          <w:szCs w:val="24"/>
        </w:rPr>
        <w:t xml:space="preserve"> </w:t>
      </w:r>
    </w:p>
    <w:p>
      <w:pPr>
        <w:pStyle w:val="91"/>
        <w:rPr>
          <w:rFonts w:ascii="仿宋" w:hAnsi="仿宋" w:eastAsia="仿宋" w:cs="仿宋"/>
          <w:sz w:val="24"/>
        </w:rPr>
      </w:pPr>
      <w:r>
        <w:rPr>
          <w:rFonts w:hint="eastAsia" w:ascii="仿宋" w:hAnsi="仿宋" w:eastAsia="仿宋" w:cs="仿宋"/>
          <w:sz w:val="24"/>
        </w:rPr>
        <w:t xml:space="preserve">投标人（签章）: </w:t>
      </w:r>
    </w:p>
    <w:p>
      <w:pPr>
        <w:pStyle w:val="144"/>
        <w:spacing w:before="1"/>
        <w:rPr>
          <w:rFonts w:ascii="仿宋" w:hAnsi="仿宋" w:eastAsia="仿宋" w:cs="仿宋"/>
          <w:sz w:val="24"/>
          <w:szCs w:val="24"/>
        </w:rPr>
      </w:pPr>
      <w:r>
        <w:rPr>
          <w:rFonts w:hint="eastAsia" w:ascii="仿宋" w:hAnsi="仿宋" w:eastAsia="仿宋" w:cs="仿宋"/>
          <w:sz w:val="24"/>
          <w:szCs w:val="24"/>
        </w:rPr>
        <w:t xml:space="preserve">  </w:t>
      </w:r>
    </w:p>
    <w:p>
      <w:pPr>
        <w:pStyle w:val="91"/>
        <w:spacing w:before="35"/>
        <w:rPr>
          <w:rFonts w:ascii="仿宋" w:hAnsi="仿宋" w:eastAsia="仿宋" w:cs="仿宋"/>
          <w:sz w:val="24"/>
        </w:rPr>
      </w:pPr>
      <w:r>
        <w:rPr>
          <w:rFonts w:hint="eastAsia" w:ascii="仿宋" w:hAnsi="仿宋" w:eastAsia="仿宋" w:cs="仿宋"/>
          <w:sz w:val="24"/>
        </w:rPr>
        <w:t xml:space="preserve">日期: </w:t>
      </w:r>
    </w:p>
    <w:p>
      <w:pPr>
        <w:pStyle w:val="169"/>
        <w:spacing w:line="340" w:lineRule="exact"/>
        <w:ind w:left="0"/>
        <w:jc w:val="both"/>
        <w:outlineLvl w:val="9"/>
        <w:rPr>
          <w:rFonts w:ascii="仿宋" w:hAnsi="仿宋" w:eastAsia="仿宋" w:cs="仿宋"/>
          <w:kern w:val="2"/>
        </w:rPr>
      </w:pPr>
      <w:r>
        <w:rPr>
          <w:rFonts w:hint="eastAsia" w:ascii="仿宋" w:hAnsi="仿宋" w:eastAsia="仿宋" w:cs="仿宋"/>
          <w:kern w:val="2"/>
        </w:rPr>
        <w:br w:type="page"/>
      </w:r>
      <w:r>
        <w:rPr>
          <w:rFonts w:hint="eastAsia" w:ascii="仿宋" w:hAnsi="仿宋" w:eastAsia="仿宋" w:cs="仿宋"/>
          <w:kern w:val="2"/>
        </w:rPr>
        <w:t>5.残疾人福利性单位声明函（如适用）</w:t>
      </w:r>
    </w:p>
    <w:p>
      <w:pPr>
        <w:pStyle w:val="150"/>
        <w:spacing w:before="123" w:line="340" w:lineRule="exact"/>
        <w:ind w:left="0" w:right="12"/>
        <w:jc w:val="center"/>
        <w:outlineLvl w:val="9"/>
        <w:rPr>
          <w:rFonts w:ascii="仿宋" w:hAnsi="仿宋" w:eastAsia="仿宋" w:cs="仿宋"/>
          <w:kern w:val="2"/>
          <w:sz w:val="24"/>
          <w:szCs w:val="24"/>
        </w:rPr>
      </w:pPr>
      <w:r>
        <w:rPr>
          <w:rFonts w:hint="eastAsia" w:ascii="仿宋" w:hAnsi="仿宋" w:eastAsia="仿宋" w:cs="仿宋"/>
          <w:kern w:val="2"/>
          <w:sz w:val="24"/>
          <w:szCs w:val="24"/>
        </w:rPr>
        <w:t xml:space="preserve"> </w:t>
      </w:r>
    </w:p>
    <w:p>
      <w:pPr>
        <w:pStyle w:val="144"/>
        <w:spacing w:before="84" w:line="340" w:lineRule="exact"/>
        <w:ind w:left="62" w:right="72"/>
        <w:jc w:val="center"/>
        <w:rPr>
          <w:rFonts w:ascii="仿宋" w:hAnsi="仿宋" w:eastAsia="仿宋" w:cs="仿宋"/>
          <w:sz w:val="24"/>
          <w:szCs w:val="24"/>
        </w:rPr>
      </w:pPr>
      <w:r>
        <w:rPr>
          <w:rFonts w:hint="eastAsia" w:ascii="仿宋" w:hAnsi="仿宋" w:eastAsia="仿宋" w:cs="仿宋"/>
          <w:sz w:val="24"/>
          <w:szCs w:val="24"/>
        </w:rPr>
        <w:t xml:space="preserve">残疾人福利性单位声明函 </w:t>
      </w:r>
    </w:p>
    <w:p>
      <w:pPr>
        <w:pStyle w:val="144"/>
        <w:spacing w:line="340" w:lineRule="exact"/>
        <w:rPr>
          <w:rFonts w:ascii="仿宋" w:hAnsi="仿宋" w:eastAsia="仿宋" w:cs="仿宋"/>
          <w:sz w:val="24"/>
          <w:szCs w:val="24"/>
        </w:rPr>
      </w:pPr>
      <w:r>
        <w:rPr>
          <w:rFonts w:hint="eastAsia" w:ascii="仿宋" w:hAnsi="仿宋" w:eastAsia="仿宋" w:cs="仿宋"/>
          <w:sz w:val="24"/>
          <w:szCs w:val="24"/>
        </w:rPr>
        <w:t xml:space="preserve"> </w:t>
      </w:r>
    </w:p>
    <w:p>
      <w:pPr>
        <w:pStyle w:val="91"/>
        <w:spacing w:before="35" w:line="340" w:lineRule="exact"/>
        <w:ind w:right="274" w:firstLine="444"/>
        <w:rPr>
          <w:rFonts w:ascii="仿宋" w:hAnsi="仿宋" w:eastAsia="仿宋" w:cs="仿宋"/>
          <w:sz w:val="24"/>
        </w:rPr>
      </w:pPr>
      <w:r>
        <w:rPr>
          <w:rFonts w:hint="eastAsia" w:ascii="仿宋" w:hAnsi="仿宋" w:eastAsia="仿宋" w:cs="仿宋"/>
          <w:sz w:val="24"/>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91"/>
        <w:spacing w:before="46" w:line="340" w:lineRule="exact"/>
        <w:ind w:right="464" w:firstLine="480" w:firstLineChars="200"/>
        <w:rPr>
          <w:rFonts w:ascii="仿宋" w:hAnsi="仿宋" w:eastAsia="仿宋" w:cs="仿宋"/>
          <w:sz w:val="24"/>
        </w:rPr>
      </w:pPr>
      <w:r>
        <w:rPr>
          <w:rFonts w:hint="eastAsia" w:ascii="仿宋" w:hAnsi="仿宋" w:eastAsia="仿宋" w:cs="仿宋"/>
          <w:sz w:val="24"/>
        </w:rPr>
        <w:t xml:space="preserve">本单位对上述声明的真实性负责。如有虚假,将依法承担相应责任。 </w:t>
      </w:r>
    </w:p>
    <w:p>
      <w:pPr>
        <w:pStyle w:val="144"/>
        <w:spacing w:before="10" w:line="340" w:lineRule="exact"/>
        <w:rPr>
          <w:rFonts w:ascii="仿宋" w:hAnsi="仿宋" w:eastAsia="仿宋" w:cs="仿宋"/>
          <w:sz w:val="24"/>
          <w:szCs w:val="24"/>
        </w:rPr>
      </w:pPr>
      <w:r>
        <w:rPr>
          <w:rFonts w:hint="eastAsia" w:ascii="仿宋" w:hAnsi="仿宋" w:eastAsia="仿宋" w:cs="仿宋"/>
          <w:sz w:val="24"/>
          <w:szCs w:val="24"/>
        </w:rPr>
        <w:t xml:space="preserve"> </w:t>
      </w:r>
    </w:p>
    <w:p>
      <w:pPr>
        <w:pStyle w:val="91"/>
        <w:spacing w:line="340" w:lineRule="exact"/>
        <w:ind w:right="1716"/>
        <w:jc w:val="right"/>
        <w:rPr>
          <w:rFonts w:ascii="仿宋" w:hAnsi="仿宋" w:eastAsia="仿宋" w:cs="仿宋"/>
          <w:sz w:val="24"/>
        </w:rPr>
      </w:pPr>
      <w:r>
        <w:rPr>
          <w:rFonts w:hint="eastAsia" w:ascii="仿宋" w:hAnsi="仿宋" w:eastAsia="仿宋" w:cs="仿宋"/>
          <w:sz w:val="24"/>
        </w:rPr>
        <w:t xml:space="preserve">投标人（签章）: </w:t>
      </w:r>
    </w:p>
    <w:p>
      <w:pPr>
        <w:pStyle w:val="91"/>
        <w:spacing w:line="340" w:lineRule="exact"/>
        <w:ind w:right="1728"/>
        <w:jc w:val="right"/>
        <w:rPr>
          <w:rFonts w:ascii="仿宋" w:hAnsi="仿宋" w:eastAsia="仿宋" w:cs="仿宋"/>
          <w:sz w:val="24"/>
        </w:rPr>
      </w:pPr>
      <w:r>
        <w:rPr>
          <w:rFonts w:hint="eastAsia" w:ascii="仿宋" w:hAnsi="仿宋" w:eastAsia="仿宋" w:cs="仿宋"/>
          <w:sz w:val="24"/>
        </w:rPr>
        <w:t xml:space="preserve">日 期: </w:t>
      </w:r>
    </w:p>
    <w:p>
      <w:pPr>
        <w:pStyle w:val="144"/>
        <w:spacing w:line="340" w:lineRule="exact"/>
        <w:rPr>
          <w:rFonts w:ascii="仿宋" w:hAnsi="仿宋" w:eastAsia="仿宋" w:cs="仿宋"/>
          <w:sz w:val="24"/>
          <w:szCs w:val="24"/>
        </w:rPr>
      </w:pPr>
      <w:r>
        <w:rPr>
          <w:rFonts w:hint="eastAsia" w:ascii="仿宋" w:hAnsi="仿宋" w:eastAsia="仿宋" w:cs="仿宋"/>
          <w:sz w:val="24"/>
          <w:szCs w:val="24"/>
        </w:rPr>
        <w:t xml:space="preserve"> </w:t>
      </w:r>
    </w:p>
    <w:p>
      <w:pPr>
        <w:pStyle w:val="144"/>
        <w:spacing w:line="340" w:lineRule="exact"/>
        <w:rPr>
          <w:rFonts w:ascii="仿宋" w:hAnsi="仿宋" w:eastAsia="仿宋" w:cs="仿宋"/>
          <w:sz w:val="24"/>
          <w:szCs w:val="24"/>
        </w:rPr>
      </w:pPr>
      <w:r>
        <w:rPr>
          <w:rFonts w:hint="eastAsia" w:ascii="仿宋" w:hAnsi="仿宋" w:eastAsia="仿宋" w:cs="仿宋"/>
          <w:sz w:val="24"/>
          <w:szCs w:val="24"/>
        </w:rPr>
        <w:t xml:space="preserve"> </w:t>
      </w:r>
    </w:p>
    <w:p>
      <w:pPr>
        <w:pStyle w:val="144"/>
        <w:spacing w:before="38" w:line="340" w:lineRule="exact"/>
        <w:ind w:left="157"/>
        <w:rPr>
          <w:rFonts w:ascii="仿宋" w:hAnsi="仿宋" w:eastAsia="仿宋" w:cs="仿宋"/>
          <w:sz w:val="24"/>
          <w:szCs w:val="24"/>
        </w:rPr>
      </w:pPr>
      <w:r>
        <w:rPr>
          <w:rFonts w:hint="eastAsia" w:ascii="仿宋" w:hAnsi="仿宋" w:eastAsia="仿宋" w:cs="仿宋"/>
          <w:sz w:val="24"/>
          <w:szCs w:val="24"/>
        </w:rPr>
        <w:t>备注:享受政府采购支持政策的残疾人福利性单位应当同时满足以下条件:</w:t>
      </w:r>
    </w:p>
    <w:p>
      <w:pPr>
        <w:pStyle w:val="144"/>
        <w:spacing w:before="36" w:line="340" w:lineRule="exact"/>
        <w:ind w:left="157" w:right="273" w:firstLine="399"/>
        <w:rPr>
          <w:rFonts w:ascii="仿宋" w:hAnsi="仿宋" w:eastAsia="仿宋" w:cs="仿宋"/>
          <w:sz w:val="24"/>
          <w:szCs w:val="24"/>
        </w:rPr>
      </w:pPr>
      <w:r>
        <w:rPr>
          <w:rFonts w:hint="eastAsia" w:ascii="仿宋" w:hAnsi="仿宋" w:eastAsia="仿宋" w:cs="仿宋"/>
          <w:sz w:val="24"/>
          <w:szCs w:val="24"/>
        </w:rPr>
        <w:t>（1）安置的残疾人占本单位在职职工人数的比例不低于 25%（含 25%）,并且安置的残疾人 人数不少于 10 人（含 10 人）；</w:t>
      </w:r>
    </w:p>
    <w:p>
      <w:pPr>
        <w:pStyle w:val="144"/>
        <w:spacing w:before="5" w:line="340" w:lineRule="exact"/>
        <w:ind w:left="557"/>
        <w:rPr>
          <w:rFonts w:ascii="仿宋" w:hAnsi="仿宋" w:eastAsia="仿宋" w:cs="仿宋"/>
          <w:sz w:val="24"/>
          <w:szCs w:val="24"/>
        </w:rPr>
      </w:pPr>
      <w:r>
        <w:rPr>
          <w:rFonts w:hint="eastAsia" w:ascii="仿宋" w:hAnsi="仿宋" w:eastAsia="仿宋" w:cs="仿宋"/>
          <w:sz w:val="24"/>
          <w:szCs w:val="24"/>
        </w:rPr>
        <w:t>（2）依法与安置的每位残疾人签订了一年以上（含一年）的劳动合同或服务协议；</w:t>
      </w:r>
    </w:p>
    <w:p>
      <w:pPr>
        <w:pStyle w:val="144"/>
        <w:spacing w:before="21" w:line="340" w:lineRule="exact"/>
        <w:ind w:left="157" w:right="373" w:firstLine="399"/>
        <w:rPr>
          <w:rFonts w:ascii="仿宋" w:hAnsi="仿宋" w:eastAsia="仿宋" w:cs="仿宋"/>
          <w:sz w:val="24"/>
          <w:szCs w:val="24"/>
        </w:rPr>
      </w:pPr>
      <w:r>
        <w:rPr>
          <w:rFonts w:hint="eastAsia" w:ascii="仿宋" w:hAnsi="仿宋" w:eastAsia="仿宋" w:cs="仿宋"/>
          <w:sz w:val="24"/>
          <w:szCs w:val="24"/>
        </w:rPr>
        <w:t>（3）为安置的每位残疾人按月足额缴纳了基本养老保险、基本医疗保险、失业保险、工伤保 险和生育保险等社会保险费；</w:t>
      </w:r>
    </w:p>
    <w:p>
      <w:pPr>
        <w:pStyle w:val="144"/>
        <w:spacing w:before="20" w:line="340" w:lineRule="exact"/>
        <w:ind w:left="157" w:right="373" w:firstLine="399"/>
        <w:rPr>
          <w:rFonts w:ascii="仿宋" w:hAnsi="仿宋" w:eastAsia="仿宋" w:cs="仿宋"/>
          <w:sz w:val="24"/>
          <w:szCs w:val="24"/>
        </w:rPr>
      </w:pPr>
      <w:r>
        <w:rPr>
          <w:rFonts w:hint="eastAsia" w:ascii="仿宋" w:hAnsi="仿宋" w:eastAsia="仿宋" w:cs="仿宋"/>
          <w:sz w:val="24"/>
          <w:szCs w:val="24"/>
        </w:rPr>
        <w:t>（4）通过银行等金融机构向安置的每位残疾人,按月支付了不低于单位所在区县适用的经省 级人民政府批准的月最低工资标准的工资；</w:t>
      </w:r>
    </w:p>
    <w:p>
      <w:pPr>
        <w:pStyle w:val="144"/>
        <w:spacing w:before="20" w:line="340" w:lineRule="exact"/>
        <w:ind w:left="157" w:right="373" w:firstLine="399"/>
        <w:rPr>
          <w:rFonts w:ascii="仿宋" w:hAnsi="仿宋" w:eastAsia="仿宋" w:cs="仿宋"/>
          <w:sz w:val="24"/>
          <w:szCs w:val="24"/>
        </w:rPr>
      </w:pPr>
      <w:r>
        <w:rPr>
          <w:rFonts w:hint="eastAsia" w:ascii="仿宋" w:hAnsi="仿宋" w:eastAsia="仿宋" w:cs="仿宋"/>
          <w:sz w:val="24"/>
          <w:szCs w:val="24"/>
        </w:rPr>
        <w:t>（5）提供本单位制造的货物、承担的工程或者服务（以下简称产品）,或者提供其他残疾人 福利性单位制造的货物（不包括使用非残疾人福利性单位注册商标的货物）。</w:t>
      </w:r>
    </w:p>
    <w:p>
      <w:pPr>
        <w:pStyle w:val="144"/>
        <w:spacing w:before="20" w:line="340" w:lineRule="exact"/>
        <w:ind w:left="157" w:right="373" w:firstLine="399"/>
        <w:rPr>
          <w:rFonts w:ascii="仿宋" w:hAnsi="仿宋" w:eastAsia="仿宋" w:cs="仿宋"/>
          <w:sz w:val="24"/>
          <w:szCs w:val="24"/>
        </w:rPr>
      </w:pPr>
      <w:r>
        <w:rPr>
          <w:rFonts w:hint="eastAsia" w:ascii="仿宋" w:hAnsi="仿宋" w:eastAsia="仿宋" w:cs="仿宋"/>
          <w:sz w:val="24"/>
          <w:szCs w:val="24"/>
        </w:rPr>
        <w:t>前款所称残疾人是指法定劳动年龄内,持有《中华人民共和国残疾人证》或者《中华人民共和 国残疾军人证（1 至 8 级）》的自然人,包括具有劳动条件和劳动意愿的精神残疾人。在职职工人 数是指与残疾人福利性单位建立劳动关系并依法签订劳动合同或者服务协议的雇员人数。</w:t>
      </w:r>
    </w:p>
    <w:p>
      <w:pPr>
        <w:pStyle w:val="131"/>
        <w:ind w:firstLine="560" w:firstLineChars="200"/>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spacing w:line="360" w:lineRule="auto"/>
        <w:jc w:val="center"/>
        <w:rPr>
          <w:rFonts w:ascii="宋体" w:hAnsi="宋体"/>
          <w:sz w:val="24"/>
        </w:rPr>
      </w:pPr>
      <w:bookmarkStart w:id="251" w:name="_Toc98265629"/>
      <w:bookmarkStart w:id="252" w:name="_Toc9075"/>
    </w:p>
    <w:p>
      <w:pPr>
        <w:spacing w:line="360" w:lineRule="auto"/>
        <w:jc w:val="center"/>
        <w:rPr>
          <w:rFonts w:ascii="宋体" w:hAnsi="宋体"/>
          <w:sz w:val="24"/>
        </w:rPr>
      </w:pPr>
    </w:p>
    <w:p>
      <w:pPr>
        <w:pStyle w:val="3"/>
        <w:spacing w:before="0" w:line="360" w:lineRule="auto"/>
        <w:ind w:firstLine="0"/>
        <w:jc w:val="center"/>
        <w:rPr>
          <w:rFonts w:ascii="宋体" w:hAnsi="宋体"/>
          <w:sz w:val="24"/>
        </w:rPr>
      </w:pPr>
      <w:bookmarkStart w:id="253" w:name="_Toc9719"/>
      <w:r>
        <w:rPr>
          <w:rFonts w:hint="eastAsia" w:ascii="宋体" w:hAnsi="宋体"/>
          <w:sz w:val="24"/>
        </w:rPr>
        <w:t>三、商务</w:t>
      </w:r>
      <w:r>
        <w:rPr>
          <w:rFonts w:ascii="宋体" w:hAnsi="宋体"/>
          <w:sz w:val="24"/>
        </w:rPr>
        <w:t>技术</w:t>
      </w:r>
      <w:r>
        <w:rPr>
          <w:rFonts w:hint="eastAsia" w:ascii="宋体" w:hAnsi="宋体"/>
          <w:sz w:val="24"/>
        </w:rPr>
        <w:t>文件</w:t>
      </w:r>
      <w:bookmarkEnd w:id="251"/>
      <w:bookmarkEnd w:id="252"/>
      <w:bookmarkEnd w:id="253"/>
    </w:p>
    <w:p>
      <w:pPr>
        <w:pStyle w:val="141"/>
        <w:jc w:val="both"/>
        <w:rPr>
          <w:rFonts w:ascii="仿宋" w:hAnsi="仿宋" w:eastAsia="仿宋" w:cs="仿宋"/>
          <w:kern w:val="2"/>
          <w:sz w:val="24"/>
        </w:rPr>
      </w:pPr>
      <w:r>
        <w:rPr>
          <w:rFonts w:hint="eastAsia" w:ascii="仿宋" w:hAnsi="仿宋" w:eastAsia="仿宋" w:cs="仿宋"/>
          <w:kern w:val="2"/>
          <w:sz w:val="24"/>
        </w:rPr>
        <w:t>1、自查表</w:t>
      </w:r>
    </w:p>
    <w:p>
      <w:pPr>
        <w:pStyle w:val="141"/>
        <w:jc w:val="both"/>
        <w:rPr>
          <w:rFonts w:ascii="仿宋" w:hAnsi="仿宋" w:eastAsia="仿宋" w:cs="仿宋"/>
          <w:kern w:val="2"/>
          <w:sz w:val="24"/>
        </w:rPr>
      </w:pPr>
      <w:r>
        <w:rPr>
          <w:rFonts w:hint="eastAsia" w:ascii="仿宋" w:hAnsi="仿宋" w:eastAsia="仿宋" w:cs="仿宋"/>
          <w:kern w:val="2"/>
          <w:sz w:val="24"/>
        </w:rPr>
        <w:t>2、投标/响应函</w:t>
      </w:r>
    </w:p>
    <w:p>
      <w:pPr>
        <w:pStyle w:val="141"/>
        <w:jc w:val="both"/>
        <w:rPr>
          <w:rFonts w:ascii="仿宋" w:hAnsi="仿宋" w:eastAsia="仿宋" w:cs="仿宋"/>
          <w:kern w:val="2"/>
          <w:sz w:val="24"/>
        </w:rPr>
      </w:pPr>
      <w:r>
        <w:rPr>
          <w:rFonts w:hint="eastAsia" w:ascii="仿宋" w:hAnsi="仿宋" w:eastAsia="仿宋" w:cs="仿宋"/>
          <w:kern w:val="2"/>
          <w:sz w:val="24"/>
        </w:rPr>
        <w:t>3、商务条款响应表</w:t>
      </w:r>
    </w:p>
    <w:p>
      <w:pPr>
        <w:pStyle w:val="141"/>
        <w:jc w:val="both"/>
        <w:rPr>
          <w:rFonts w:ascii="仿宋" w:hAnsi="仿宋" w:eastAsia="仿宋" w:cs="仿宋"/>
          <w:kern w:val="2"/>
          <w:sz w:val="24"/>
        </w:rPr>
      </w:pPr>
      <w:r>
        <w:rPr>
          <w:rFonts w:hint="eastAsia" w:ascii="仿宋" w:hAnsi="仿宋" w:eastAsia="仿宋" w:cs="仿宋"/>
          <w:kern w:val="2"/>
          <w:sz w:val="24"/>
        </w:rPr>
        <w:t>4、服务部分</w:t>
      </w:r>
    </w:p>
    <w:p>
      <w:pPr>
        <w:pStyle w:val="141"/>
        <w:jc w:val="both"/>
        <w:rPr>
          <w:rFonts w:ascii="仿宋" w:hAnsi="仿宋" w:eastAsia="仿宋" w:cs="仿宋"/>
          <w:kern w:val="2"/>
          <w:sz w:val="24"/>
        </w:rPr>
      </w:pPr>
      <w:r>
        <w:rPr>
          <w:rFonts w:hint="eastAsia" w:ascii="仿宋" w:hAnsi="仿宋" w:eastAsia="仿宋" w:cs="仿宋"/>
          <w:kern w:val="2"/>
          <w:sz w:val="24"/>
        </w:rPr>
        <w:t>5、投标人自行编写的技术文件（格式自拟）</w:t>
      </w:r>
    </w:p>
    <w:p>
      <w:pPr>
        <w:pStyle w:val="141"/>
        <w:jc w:val="both"/>
        <w:rPr>
          <w:rFonts w:ascii="仿宋" w:hAnsi="仿宋" w:eastAsia="仿宋" w:cs="仿宋"/>
          <w:kern w:val="2"/>
          <w:sz w:val="24"/>
        </w:rPr>
      </w:pPr>
      <w:r>
        <w:rPr>
          <w:rFonts w:hint="eastAsia" w:ascii="仿宋" w:hAnsi="仿宋" w:eastAsia="仿宋" w:cs="仿宋"/>
          <w:kern w:val="2"/>
          <w:sz w:val="24"/>
        </w:rPr>
        <w:t>6、投标人认为有必要提供的其他资料</w:t>
      </w:r>
    </w:p>
    <w:p>
      <w:pPr>
        <w:pStyle w:val="141"/>
        <w:jc w:val="both"/>
        <w:rPr>
          <w:rFonts w:ascii="仿宋" w:hAnsi="仿宋" w:eastAsia="仿宋" w:cs="仿宋"/>
          <w:kern w:val="2"/>
          <w:sz w:val="24"/>
        </w:rPr>
      </w:pPr>
    </w:p>
    <w:p>
      <w:pPr>
        <w:pStyle w:val="141"/>
        <w:jc w:val="both"/>
        <w:rPr>
          <w:rFonts w:ascii="仿宋" w:hAnsi="仿宋" w:eastAsia="仿宋" w:cs="仿宋"/>
          <w:b w:val="0"/>
          <w:bCs/>
          <w:kern w:val="2"/>
          <w:sz w:val="24"/>
        </w:rPr>
      </w:pPr>
    </w:p>
    <w:p>
      <w:pPr>
        <w:pStyle w:val="141"/>
        <w:jc w:val="both"/>
        <w:rPr>
          <w:rFonts w:ascii="仿宋" w:hAnsi="仿宋" w:eastAsia="仿宋" w:cs="仿宋"/>
        </w:rPr>
      </w:pPr>
    </w:p>
    <w:p>
      <w:pPr>
        <w:pStyle w:val="141"/>
        <w:jc w:val="both"/>
        <w:rPr>
          <w:rFonts w:ascii="仿宋" w:hAnsi="仿宋" w:eastAsia="仿宋" w:cs="仿宋"/>
        </w:rPr>
      </w:pPr>
      <w:r>
        <w:rPr>
          <w:rFonts w:hint="eastAsia" w:ascii="仿宋" w:hAnsi="仿宋" w:eastAsia="仿宋" w:cs="仿宋"/>
        </w:rPr>
        <w:t xml:space="preserve"> </w:t>
      </w: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pStyle w:val="141"/>
        <w:jc w:val="both"/>
        <w:rPr>
          <w:rFonts w:ascii="仿宋" w:hAnsi="仿宋" w:eastAsia="仿宋" w:cs="仿宋"/>
        </w:rPr>
      </w:pPr>
    </w:p>
    <w:p>
      <w:pPr>
        <w:rPr>
          <w:rFonts w:ascii="仿宋" w:hAnsi="仿宋" w:eastAsia="仿宋" w:cs="仿宋"/>
          <w:color w:val="FF0000"/>
          <w:sz w:val="20"/>
        </w:rPr>
      </w:pPr>
    </w:p>
    <w:p>
      <w:pPr>
        <w:pStyle w:val="2"/>
        <w:ind w:firstLine="400"/>
        <w:rPr>
          <w:rFonts w:ascii="仿宋" w:hAnsi="仿宋" w:eastAsia="仿宋" w:cs="仿宋"/>
          <w:color w:val="FF0000"/>
          <w:sz w:val="20"/>
        </w:rPr>
      </w:pPr>
    </w:p>
    <w:p>
      <w:pPr>
        <w:rPr>
          <w:rFonts w:ascii="仿宋" w:hAnsi="仿宋" w:eastAsia="仿宋" w:cs="仿宋"/>
          <w:color w:val="FF0000"/>
          <w:sz w:val="20"/>
        </w:rPr>
      </w:pPr>
    </w:p>
    <w:p>
      <w:pPr>
        <w:pStyle w:val="2"/>
        <w:ind w:firstLine="400"/>
        <w:rPr>
          <w:rFonts w:ascii="仿宋" w:hAnsi="仿宋" w:eastAsia="仿宋" w:cs="仿宋"/>
          <w:color w:val="FF0000"/>
          <w:sz w:val="20"/>
        </w:rPr>
      </w:pPr>
    </w:p>
    <w:p>
      <w:pPr>
        <w:rPr>
          <w:rFonts w:ascii="仿宋" w:hAnsi="仿宋" w:eastAsia="仿宋" w:cs="仿宋"/>
          <w:color w:val="FF0000"/>
          <w:sz w:val="20"/>
        </w:rPr>
      </w:pPr>
    </w:p>
    <w:p>
      <w:pPr>
        <w:pStyle w:val="2"/>
        <w:ind w:firstLine="400"/>
        <w:rPr>
          <w:rFonts w:ascii="仿宋" w:hAnsi="仿宋" w:eastAsia="仿宋" w:cs="仿宋"/>
          <w:color w:val="FF0000"/>
          <w:sz w:val="20"/>
        </w:rPr>
      </w:pPr>
    </w:p>
    <w:p>
      <w:pPr>
        <w:rPr>
          <w:rFonts w:ascii="仿宋" w:hAnsi="仿宋" w:eastAsia="仿宋" w:cs="仿宋"/>
          <w:color w:val="FF0000"/>
          <w:sz w:val="20"/>
        </w:rPr>
      </w:pPr>
    </w:p>
    <w:p>
      <w:pPr>
        <w:pStyle w:val="2"/>
        <w:ind w:firstLine="400"/>
        <w:rPr>
          <w:rFonts w:ascii="仿宋" w:hAnsi="仿宋" w:eastAsia="仿宋" w:cs="仿宋"/>
          <w:color w:val="FF0000"/>
          <w:sz w:val="20"/>
        </w:rPr>
      </w:pPr>
    </w:p>
    <w:p>
      <w:pPr>
        <w:rPr>
          <w:rFonts w:ascii="仿宋" w:hAnsi="仿宋" w:eastAsia="仿宋" w:cs="仿宋"/>
          <w:color w:val="FF0000"/>
          <w:sz w:val="20"/>
        </w:rPr>
      </w:pPr>
    </w:p>
    <w:p>
      <w:pPr>
        <w:pStyle w:val="4"/>
        <w:numPr>
          <w:ilvl w:val="1"/>
          <w:numId w:val="0"/>
        </w:numPr>
        <w:jc w:val="both"/>
        <w:rPr>
          <w:rFonts w:ascii="宋体" w:hAnsi="宋体" w:eastAsia="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
      <w:pPr>
        <w:pStyle w:val="17"/>
        <w:spacing w:line="360" w:lineRule="exact"/>
        <w:jc w:val="center"/>
        <w:rPr>
          <w:rFonts w:ascii="宋体" w:hAnsi="宋体"/>
          <w:b/>
          <w:bCs/>
          <w:kern w:val="0"/>
          <w:sz w:val="28"/>
          <w:szCs w:val="28"/>
        </w:rPr>
      </w:pPr>
    </w:p>
    <w:p>
      <w:pPr>
        <w:pStyle w:val="17"/>
        <w:spacing w:line="360" w:lineRule="exact"/>
        <w:jc w:val="center"/>
        <w:rPr>
          <w:rFonts w:ascii="宋体" w:hAnsi="宋体"/>
          <w:b/>
          <w:bCs/>
          <w:kern w:val="0"/>
          <w:sz w:val="28"/>
          <w:szCs w:val="28"/>
        </w:rPr>
      </w:pPr>
    </w:p>
    <w:p>
      <w:pPr>
        <w:pStyle w:val="17"/>
        <w:spacing w:line="360" w:lineRule="exact"/>
        <w:jc w:val="center"/>
        <w:rPr>
          <w:rFonts w:ascii="宋体" w:hAnsi="宋体"/>
          <w:b/>
          <w:bCs/>
          <w:kern w:val="0"/>
          <w:sz w:val="28"/>
          <w:szCs w:val="28"/>
        </w:rPr>
      </w:pPr>
    </w:p>
    <w:p>
      <w:pPr>
        <w:pStyle w:val="17"/>
        <w:spacing w:line="360" w:lineRule="exact"/>
        <w:jc w:val="center"/>
        <w:rPr>
          <w:rFonts w:ascii="宋体" w:hAnsi="宋体"/>
          <w:b/>
          <w:bCs/>
          <w:kern w:val="0"/>
          <w:sz w:val="28"/>
          <w:szCs w:val="28"/>
        </w:rPr>
      </w:pPr>
      <w:r>
        <w:rPr>
          <w:rFonts w:hint="eastAsia" w:ascii="宋体" w:hAnsi="宋体"/>
          <w:b/>
          <w:bCs/>
          <w:kern w:val="0"/>
          <w:sz w:val="28"/>
          <w:szCs w:val="28"/>
        </w:rPr>
        <w:t>一、自查表</w:t>
      </w:r>
    </w:p>
    <w:p/>
    <w:p/>
    <w:p/>
    <w:p>
      <w:pPr>
        <w:rPr>
          <w:rFonts w:ascii="宋体" w:hAnsi="宋体"/>
        </w:rPr>
      </w:pPr>
    </w:p>
    <w:tbl>
      <w:tblPr>
        <w:tblStyle w:val="38"/>
        <w:tblpPr w:leftFromText="180" w:rightFromText="180" w:vertAnchor="page" w:horzAnchor="page" w:tblpX="1882" w:tblpY="1819"/>
        <w:tblW w:w="8699" w:type="dxa"/>
        <w:tblInd w:w="0" w:type="dxa"/>
        <w:tblLayout w:type="fixed"/>
        <w:tblCellMar>
          <w:top w:w="0" w:type="dxa"/>
          <w:left w:w="0" w:type="dxa"/>
          <w:bottom w:w="0" w:type="dxa"/>
          <w:right w:w="0" w:type="dxa"/>
        </w:tblCellMar>
      </w:tblPr>
      <w:tblGrid>
        <w:gridCol w:w="887"/>
        <w:gridCol w:w="1776"/>
        <w:gridCol w:w="3817"/>
        <w:gridCol w:w="2219"/>
      </w:tblGrid>
      <w:tr>
        <w:tblPrEx>
          <w:tblCellMar>
            <w:top w:w="0" w:type="dxa"/>
            <w:left w:w="0" w:type="dxa"/>
            <w:bottom w:w="0" w:type="dxa"/>
            <w:right w:w="0" w:type="dxa"/>
          </w:tblCellMar>
        </w:tblPrEx>
        <w:trPr>
          <w:cantSplit/>
          <w:trHeight w:val="551" w:hRule="atLeast"/>
        </w:trPr>
        <w:tc>
          <w:tcPr>
            <w:tcW w:w="2663" w:type="dxa"/>
            <w:gridSpan w:val="2"/>
            <w:tcBorders>
              <w:top w:val="single" w:color="auto" w:sz="4" w:space="0"/>
              <w:left w:val="single" w:color="auto" w:sz="4" w:space="0"/>
              <w:bottom w:val="single" w:color="auto" w:sz="4" w:space="0"/>
              <w:right w:val="single" w:color="auto" w:sz="4" w:space="0"/>
            </w:tcBorders>
            <w:noWrap/>
            <w:vAlign w:val="center"/>
          </w:tcPr>
          <w:p>
            <w:pPr>
              <w:ind w:left="-171"/>
              <w:jc w:val="center"/>
              <w:rPr>
                <w:rFonts w:ascii="仿宋" w:hAnsi="仿宋" w:eastAsia="仿宋" w:cs="仿宋"/>
                <w:b/>
                <w:bCs/>
                <w:sz w:val="22"/>
              </w:rPr>
            </w:pPr>
            <w:r>
              <w:rPr>
                <w:rFonts w:hint="eastAsia" w:ascii="仿宋" w:hAnsi="仿宋" w:eastAsia="仿宋" w:cs="仿宋"/>
                <w:b/>
                <w:bCs/>
                <w:sz w:val="22"/>
              </w:rPr>
              <w:t>评审内容</w:t>
            </w:r>
          </w:p>
        </w:tc>
        <w:tc>
          <w:tcPr>
            <w:tcW w:w="3817" w:type="dxa"/>
            <w:tcBorders>
              <w:top w:val="single" w:color="auto" w:sz="4" w:space="0"/>
              <w:left w:val="single" w:color="auto" w:sz="4" w:space="0"/>
              <w:bottom w:val="single" w:color="auto" w:sz="4" w:space="0"/>
              <w:right w:val="single" w:color="auto" w:sz="4" w:space="0"/>
            </w:tcBorders>
            <w:noWrap/>
            <w:vAlign w:val="center"/>
          </w:tcPr>
          <w:p>
            <w:pPr>
              <w:ind w:left="-171"/>
              <w:jc w:val="center"/>
              <w:rPr>
                <w:rFonts w:ascii="仿宋" w:hAnsi="仿宋" w:eastAsia="仿宋" w:cs="仿宋"/>
                <w:b/>
                <w:bCs/>
                <w:sz w:val="22"/>
              </w:rPr>
            </w:pPr>
            <w:r>
              <w:rPr>
                <w:rFonts w:hint="eastAsia" w:ascii="仿宋" w:hAnsi="仿宋" w:eastAsia="仿宋" w:cs="仿宋"/>
                <w:b/>
                <w:bCs/>
                <w:sz w:val="22"/>
              </w:rPr>
              <w:t>采购文件要求</w:t>
            </w:r>
          </w:p>
        </w:tc>
        <w:tc>
          <w:tcPr>
            <w:tcW w:w="2219" w:type="dxa"/>
            <w:tcBorders>
              <w:top w:val="single" w:color="auto" w:sz="4" w:space="0"/>
              <w:left w:val="nil"/>
              <w:bottom w:val="single" w:color="auto" w:sz="4" w:space="0"/>
              <w:right w:val="single" w:color="auto" w:sz="4" w:space="0"/>
            </w:tcBorders>
            <w:noWrap/>
            <w:vAlign w:val="center"/>
          </w:tcPr>
          <w:p>
            <w:pPr>
              <w:ind w:left="-171"/>
              <w:jc w:val="center"/>
              <w:rPr>
                <w:rFonts w:ascii="仿宋" w:hAnsi="仿宋" w:eastAsia="仿宋" w:cs="仿宋"/>
                <w:b/>
                <w:bCs/>
                <w:sz w:val="22"/>
              </w:rPr>
            </w:pPr>
          </w:p>
          <w:p>
            <w:pPr>
              <w:ind w:left="-171"/>
              <w:jc w:val="center"/>
              <w:rPr>
                <w:rFonts w:ascii="仿宋" w:hAnsi="仿宋" w:eastAsia="仿宋" w:cs="仿宋"/>
                <w:b/>
                <w:bCs/>
                <w:sz w:val="22"/>
              </w:rPr>
            </w:pPr>
            <w:r>
              <w:rPr>
                <w:rFonts w:hint="eastAsia" w:ascii="仿宋" w:hAnsi="仿宋" w:eastAsia="仿宋" w:cs="仿宋"/>
                <w:b/>
                <w:bCs/>
                <w:sz w:val="22"/>
              </w:rPr>
              <w:t>自查结论</w:t>
            </w:r>
          </w:p>
        </w:tc>
      </w:tr>
      <w:tr>
        <w:tblPrEx>
          <w:tblCellMar>
            <w:top w:w="0" w:type="dxa"/>
            <w:left w:w="0" w:type="dxa"/>
            <w:bottom w:w="0" w:type="dxa"/>
            <w:right w:w="0" w:type="dxa"/>
          </w:tblCellMar>
        </w:tblPrEx>
        <w:trPr>
          <w:cantSplit/>
          <w:trHeight w:val="477" w:hRule="atLeast"/>
        </w:trPr>
        <w:tc>
          <w:tcPr>
            <w:tcW w:w="887" w:type="dxa"/>
            <w:vMerge w:val="restart"/>
            <w:tcBorders>
              <w:top w:val="nil"/>
              <w:left w:val="single" w:color="auto" w:sz="4" w:space="0"/>
              <w:bottom w:val="single" w:color="000000" w:sz="4" w:space="0"/>
              <w:right w:val="single" w:color="auto" w:sz="4" w:space="0"/>
            </w:tcBorders>
            <w:vAlign w:val="center"/>
          </w:tcPr>
          <w:p>
            <w:pPr>
              <w:jc w:val="center"/>
              <w:rPr>
                <w:rFonts w:ascii="仿宋" w:hAnsi="仿宋" w:eastAsia="仿宋" w:cs="仿宋"/>
              </w:rPr>
            </w:pPr>
            <w:r>
              <w:rPr>
                <w:rFonts w:hint="eastAsia" w:ascii="仿宋" w:hAnsi="仿宋" w:eastAsia="仿宋" w:cs="仿宋"/>
              </w:rPr>
              <w:t>资格性</w:t>
            </w:r>
          </w:p>
          <w:p>
            <w:pPr>
              <w:jc w:val="center"/>
              <w:rPr>
                <w:rFonts w:ascii="仿宋" w:hAnsi="仿宋" w:eastAsia="仿宋" w:cs="仿宋"/>
              </w:rPr>
            </w:pPr>
            <w:r>
              <w:rPr>
                <w:rFonts w:hint="eastAsia" w:ascii="仿宋" w:hAnsi="仿宋" w:eastAsia="仿宋" w:cs="仿宋"/>
              </w:rPr>
              <w:t>检查</w:t>
            </w:r>
          </w:p>
        </w:tc>
        <w:tc>
          <w:tcPr>
            <w:tcW w:w="1776"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 xml:space="preserve"> 投标/响应函</w:t>
            </w:r>
          </w:p>
        </w:tc>
        <w:tc>
          <w:tcPr>
            <w:tcW w:w="3817"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按对应格式文件填写、签署、盖章</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r>
        <w:tblPrEx>
          <w:tblCellMar>
            <w:top w:w="0" w:type="dxa"/>
            <w:left w:w="0" w:type="dxa"/>
            <w:bottom w:w="0" w:type="dxa"/>
            <w:right w:w="0" w:type="dxa"/>
          </w:tblCellMar>
        </w:tblPrEx>
        <w:trPr>
          <w:cantSplit/>
          <w:trHeight w:val="785" w:hRule="atLeast"/>
        </w:trPr>
        <w:tc>
          <w:tcPr>
            <w:tcW w:w="887" w:type="dxa"/>
            <w:vMerge w:val="continue"/>
            <w:tcBorders>
              <w:top w:val="nil"/>
              <w:left w:val="single" w:color="auto" w:sz="4" w:space="0"/>
              <w:bottom w:val="single" w:color="000000" w:sz="4" w:space="0"/>
              <w:right w:val="single" w:color="auto" w:sz="4" w:space="0"/>
            </w:tcBorders>
            <w:vAlign w:val="center"/>
          </w:tcPr>
          <w:p>
            <w:pPr>
              <w:ind w:left="-171"/>
              <w:jc w:val="center"/>
              <w:rPr>
                <w:rFonts w:ascii="仿宋" w:hAnsi="仿宋" w:eastAsia="仿宋" w:cs="仿宋"/>
              </w:rPr>
            </w:pPr>
          </w:p>
        </w:tc>
        <w:tc>
          <w:tcPr>
            <w:tcW w:w="1776"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法定代表人/负责人资格证明书及授权委托书</w:t>
            </w:r>
          </w:p>
        </w:tc>
        <w:tc>
          <w:tcPr>
            <w:tcW w:w="3817"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按对应格式文件签署、盖章</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r>
        <w:tblPrEx>
          <w:tblCellMar>
            <w:top w:w="0" w:type="dxa"/>
            <w:left w:w="0" w:type="dxa"/>
            <w:bottom w:w="0" w:type="dxa"/>
            <w:right w:w="0" w:type="dxa"/>
          </w:tblCellMar>
        </w:tblPrEx>
        <w:trPr>
          <w:cantSplit/>
          <w:trHeight w:val="1818" w:hRule="atLeast"/>
        </w:trPr>
        <w:tc>
          <w:tcPr>
            <w:tcW w:w="887" w:type="dxa"/>
            <w:vMerge w:val="continue"/>
            <w:tcBorders>
              <w:top w:val="nil"/>
              <w:left w:val="single" w:color="auto" w:sz="4" w:space="0"/>
              <w:bottom w:val="single" w:color="000000" w:sz="4" w:space="0"/>
              <w:right w:val="single" w:color="auto" w:sz="4" w:space="0"/>
            </w:tcBorders>
            <w:vAlign w:val="center"/>
          </w:tcPr>
          <w:p>
            <w:pPr>
              <w:ind w:left="-171"/>
              <w:jc w:val="center"/>
              <w:rPr>
                <w:rFonts w:ascii="仿宋" w:hAnsi="仿宋" w:eastAsia="仿宋" w:cs="仿宋"/>
              </w:rPr>
            </w:pPr>
          </w:p>
        </w:tc>
        <w:tc>
          <w:tcPr>
            <w:tcW w:w="1776" w:type="dxa"/>
            <w:tcBorders>
              <w:top w:val="single" w:color="auto" w:sz="4" w:space="0"/>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准入条件</w:t>
            </w:r>
          </w:p>
          <w:p>
            <w:pPr>
              <w:ind w:left="40" w:leftChars="19"/>
              <w:jc w:val="center"/>
              <w:rPr>
                <w:rFonts w:ascii="仿宋" w:hAnsi="仿宋" w:eastAsia="仿宋" w:cs="仿宋"/>
              </w:rPr>
            </w:pPr>
            <w:r>
              <w:rPr>
                <w:rFonts w:hint="eastAsia" w:ascii="仿宋" w:hAnsi="仿宋" w:eastAsia="仿宋" w:cs="仿宋"/>
              </w:rPr>
              <w:t>(关于资格的声明函)</w:t>
            </w:r>
          </w:p>
        </w:tc>
        <w:tc>
          <w:tcPr>
            <w:tcW w:w="3817" w:type="dxa"/>
            <w:tcBorders>
              <w:top w:val="nil"/>
              <w:left w:val="nil"/>
              <w:bottom w:val="single" w:color="auto" w:sz="4" w:space="0"/>
              <w:right w:val="single" w:color="auto" w:sz="4" w:space="0"/>
            </w:tcBorders>
            <w:vAlign w:val="center"/>
          </w:tcPr>
          <w:p>
            <w:pPr>
              <w:tabs>
                <w:tab w:val="left" w:pos="3060"/>
                <w:tab w:val="left" w:pos="3420"/>
              </w:tabs>
              <w:ind w:left="250" w:leftChars="19" w:hanging="210" w:hangingChars="100"/>
              <w:jc w:val="center"/>
              <w:rPr>
                <w:rFonts w:ascii="仿宋" w:hAnsi="仿宋" w:eastAsia="仿宋" w:cs="仿宋"/>
                <w:color w:val="000000"/>
                <w:kern w:val="0"/>
                <w:szCs w:val="21"/>
              </w:rPr>
            </w:pPr>
          </w:p>
          <w:p>
            <w:pPr>
              <w:tabs>
                <w:tab w:val="left" w:pos="3060"/>
                <w:tab w:val="left" w:pos="3420"/>
              </w:tabs>
              <w:ind w:left="250" w:leftChars="19" w:hanging="210" w:hangingChars="100"/>
              <w:jc w:val="center"/>
              <w:rPr>
                <w:rFonts w:ascii="仿宋" w:hAnsi="仿宋" w:eastAsia="仿宋" w:cs="仿宋"/>
                <w:color w:val="000000"/>
                <w:kern w:val="0"/>
                <w:szCs w:val="21"/>
              </w:rPr>
            </w:pPr>
            <w:r>
              <w:rPr>
                <w:rFonts w:hint="eastAsia" w:ascii="仿宋" w:hAnsi="仿宋" w:eastAsia="仿宋" w:cs="仿宋"/>
                <w:color w:val="000000"/>
                <w:kern w:val="0"/>
                <w:szCs w:val="21"/>
              </w:rPr>
              <w:t>供应商资格要求</w:t>
            </w:r>
          </w:p>
          <w:p>
            <w:pPr>
              <w:tabs>
                <w:tab w:val="left" w:pos="3060"/>
                <w:tab w:val="left" w:pos="3420"/>
              </w:tabs>
              <w:ind w:left="250" w:leftChars="19" w:hanging="210" w:hangingChars="100"/>
              <w:jc w:val="center"/>
              <w:rPr>
                <w:rFonts w:ascii="仿宋" w:hAnsi="仿宋" w:eastAsia="仿宋" w:cs="仿宋"/>
                <w:color w:val="000000"/>
                <w:kern w:val="0"/>
                <w:szCs w:val="21"/>
              </w:rPr>
            </w:pPr>
          </w:p>
          <w:p>
            <w:pPr>
              <w:tabs>
                <w:tab w:val="left" w:pos="3060"/>
                <w:tab w:val="left" w:pos="3420"/>
              </w:tabs>
              <w:ind w:left="6" w:leftChars="3"/>
              <w:rPr>
                <w:rFonts w:ascii="仿宋" w:hAnsi="仿宋" w:eastAsia="仿宋" w:cs="仿宋"/>
              </w:rPr>
            </w:pPr>
            <w:r>
              <w:rPr>
                <w:rFonts w:hint="eastAsia" w:ascii="仿宋" w:hAnsi="仿宋" w:eastAsia="仿宋" w:cs="仿宋"/>
                <w:color w:val="000000"/>
                <w:szCs w:val="21"/>
              </w:rPr>
              <w:t>（有效要求：包括经过年审合格的营业执照、税务登记证、组织机构代码、缴纳社会保障资金及</w:t>
            </w:r>
            <w:r>
              <w:rPr>
                <w:rFonts w:hint="eastAsia" w:ascii="仿宋" w:hAnsi="仿宋" w:eastAsia="仿宋" w:cs="仿宋"/>
                <w:color w:val="000000"/>
                <w:szCs w:val="21"/>
                <w:lang w:val="en-US" w:eastAsia="zh-CN"/>
              </w:rPr>
              <w:t>纳税证明</w:t>
            </w:r>
            <w:r>
              <w:rPr>
                <w:rFonts w:hint="eastAsia" w:ascii="仿宋" w:hAnsi="仿宋" w:eastAsia="仿宋" w:cs="仿宋"/>
                <w:color w:val="000000"/>
                <w:szCs w:val="21"/>
              </w:rPr>
              <w:t>其他有关</w:t>
            </w:r>
            <w:r>
              <w:rPr>
                <w:rFonts w:hint="eastAsia" w:ascii="仿宋" w:hAnsi="仿宋" w:eastAsia="仿宋" w:cs="仿宋"/>
                <w:color w:val="000000"/>
                <w:szCs w:val="21"/>
                <w:lang w:val="en-US" w:eastAsia="zh-CN"/>
              </w:rPr>
              <w:t>资料</w:t>
            </w:r>
            <w:r>
              <w:rPr>
                <w:rFonts w:hint="eastAsia" w:ascii="仿宋" w:hAnsi="仿宋" w:eastAsia="仿宋" w:cs="仿宋"/>
                <w:color w:val="000000"/>
                <w:szCs w:val="21"/>
              </w:rPr>
              <w:t>）</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r>
        <w:tblPrEx>
          <w:tblCellMar>
            <w:top w:w="0" w:type="dxa"/>
            <w:left w:w="0" w:type="dxa"/>
            <w:bottom w:w="0" w:type="dxa"/>
            <w:right w:w="0" w:type="dxa"/>
          </w:tblCellMar>
        </w:tblPrEx>
        <w:trPr>
          <w:cantSplit/>
          <w:trHeight w:val="640" w:hRule="atLeast"/>
        </w:trPr>
        <w:tc>
          <w:tcPr>
            <w:tcW w:w="887" w:type="dxa"/>
            <w:vMerge w:val="continue"/>
            <w:tcBorders>
              <w:top w:val="nil"/>
              <w:left w:val="single" w:color="auto" w:sz="4" w:space="0"/>
              <w:bottom w:val="single" w:color="000000" w:sz="4" w:space="0"/>
              <w:right w:val="single" w:color="auto" w:sz="4" w:space="0"/>
            </w:tcBorders>
            <w:vAlign w:val="center"/>
          </w:tcPr>
          <w:p>
            <w:pPr>
              <w:ind w:left="-171"/>
              <w:jc w:val="center"/>
              <w:rPr>
                <w:rFonts w:ascii="仿宋" w:hAnsi="仿宋" w:eastAsia="仿宋" w:cs="仿宋"/>
              </w:rPr>
            </w:pPr>
          </w:p>
        </w:tc>
        <w:tc>
          <w:tcPr>
            <w:tcW w:w="1776"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其他要求</w:t>
            </w:r>
          </w:p>
        </w:tc>
        <w:tc>
          <w:tcPr>
            <w:tcW w:w="381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1.本项目不接受联合体投标。</w:t>
            </w:r>
          </w:p>
          <w:p>
            <w:pPr>
              <w:autoSpaceDE w:val="0"/>
              <w:autoSpaceDN w:val="0"/>
              <w:spacing w:after="120" w:afterLines="50"/>
              <w:rPr>
                <w:rFonts w:ascii="仿宋" w:hAnsi="仿宋" w:eastAsia="仿宋" w:cs="仿宋"/>
                <w:szCs w:val="21"/>
                <w:lang w:val="hr-HR"/>
              </w:rPr>
            </w:pPr>
            <w:r>
              <w:rPr>
                <w:rFonts w:hint="eastAsia" w:ascii="仿宋" w:hAnsi="仿宋" w:eastAsia="仿宋" w:cs="仿宋"/>
                <w:szCs w:val="21"/>
                <w:lang w:val="hr-HR"/>
              </w:rPr>
              <w:t>2.成交供应商不得将本项目分包或者转包。</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r>
        <w:tblPrEx>
          <w:tblCellMar>
            <w:top w:w="0" w:type="dxa"/>
            <w:left w:w="0" w:type="dxa"/>
            <w:bottom w:w="0" w:type="dxa"/>
            <w:right w:w="0" w:type="dxa"/>
          </w:tblCellMar>
        </w:tblPrEx>
        <w:trPr>
          <w:cantSplit/>
          <w:trHeight w:val="526" w:hRule="atLeast"/>
        </w:trPr>
        <w:tc>
          <w:tcPr>
            <w:tcW w:w="887" w:type="dxa"/>
            <w:vMerge w:val="restart"/>
            <w:tcBorders>
              <w:top w:val="nil"/>
              <w:left w:val="single" w:color="auto" w:sz="4" w:space="0"/>
              <w:bottom w:val="single" w:color="000000" w:sz="4" w:space="0"/>
              <w:right w:val="single" w:color="auto" w:sz="4" w:space="0"/>
            </w:tcBorders>
            <w:vAlign w:val="center"/>
          </w:tcPr>
          <w:p>
            <w:pPr>
              <w:rPr>
                <w:rFonts w:ascii="仿宋" w:hAnsi="仿宋" w:eastAsia="仿宋" w:cs="仿宋"/>
              </w:rPr>
            </w:pPr>
            <w:r>
              <w:rPr>
                <w:rFonts w:hint="eastAsia" w:ascii="仿宋" w:hAnsi="仿宋" w:eastAsia="仿宋" w:cs="仿宋"/>
              </w:rPr>
              <w:t xml:space="preserve"> 符合性</w:t>
            </w:r>
          </w:p>
          <w:p>
            <w:pPr>
              <w:jc w:val="center"/>
              <w:rPr>
                <w:rFonts w:ascii="仿宋" w:hAnsi="仿宋" w:eastAsia="仿宋" w:cs="仿宋"/>
              </w:rPr>
            </w:pPr>
            <w:r>
              <w:rPr>
                <w:rFonts w:hint="eastAsia" w:ascii="仿宋" w:hAnsi="仿宋" w:eastAsia="仿宋" w:cs="仿宋"/>
              </w:rPr>
              <w:t>审查</w:t>
            </w:r>
          </w:p>
        </w:tc>
        <w:tc>
          <w:tcPr>
            <w:tcW w:w="1776" w:type="dxa"/>
            <w:vMerge w:val="restart"/>
            <w:tcBorders>
              <w:top w:val="nil"/>
              <w:left w:val="single" w:color="auto" w:sz="4" w:space="0"/>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报价人的合格性</w:t>
            </w:r>
          </w:p>
        </w:tc>
        <w:tc>
          <w:tcPr>
            <w:tcW w:w="3817" w:type="dxa"/>
            <w:tcBorders>
              <w:top w:val="nil"/>
              <w:left w:val="nil"/>
              <w:bottom w:val="single" w:color="auto" w:sz="4" w:space="0"/>
              <w:right w:val="single" w:color="auto" w:sz="4" w:space="0"/>
            </w:tcBorders>
            <w:vAlign w:val="center"/>
          </w:tcPr>
          <w:p>
            <w:pPr>
              <w:tabs>
                <w:tab w:val="left" w:pos="2880"/>
              </w:tabs>
              <w:ind w:left="40" w:leftChars="19"/>
              <w:rPr>
                <w:rFonts w:ascii="仿宋" w:hAnsi="仿宋" w:eastAsia="仿宋" w:cs="仿宋"/>
              </w:rPr>
            </w:pPr>
            <w:r>
              <w:rPr>
                <w:rFonts w:hint="eastAsia" w:ascii="仿宋" w:hAnsi="仿宋" w:eastAsia="仿宋" w:cs="仿宋"/>
              </w:rPr>
              <w:t>在参与政府采购活动中未有违法违纪行为并受过处罚</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r>
        <w:tblPrEx>
          <w:tblCellMar>
            <w:top w:w="0" w:type="dxa"/>
            <w:left w:w="0" w:type="dxa"/>
            <w:bottom w:w="0" w:type="dxa"/>
            <w:right w:w="0" w:type="dxa"/>
          </w:tblCellMar>
        </w:tblPrEx>
        <w:trPr>
          <w:cantSplit/>
          <w:trHeight w:val="422" w:hRule="atLeast"/>
        </w:trPr>
        <w:tc>
          <w:tcPr>
            <w:tcW w:w="887" w:type="dxa"/>
            <w:vMerge w:val="continue"/>
            <w:tcBorders>
              <w:top w:val="nil"/>
              <w:left w:val="single" w:color="auto" w:sz="4" w:space="0"/>
              <w:bottom w:val="single" w:color="000000" w:sz="4" w:space="0"/>
              <w:right w:val="single" w:color="auto" w:sz="4" w:space="0"/>
            </w:tcBorders>
            <w:vAlign w:val="center"/>
          </w:tcPr>
          <w:p>
            <w:pPr>
              <w:ind w:left="-171"/>
              <w:jc w:val="center"/>
              <w:rPr>
                <w:rFonts w:ascii="仿宋" w:hAnsi="仿宋" w:eastAsia="仿宋" w:cs="仿宋"/>
              </w:rPr>
            </w:pPr>
          </w:p>
        </w:tc>
        <w:tc>
          <w:tcPr>
            <w:tcW w:w="1776" w:type="dxa"/>
            <w:vMerge w:val="continue"/>
            <w:tcBorders>
              <w:top w:val="nil"/>
              <w:left w:val="single" w:color="auto" w:sz="4" w:space="0"/>
              <w:bottom w:val="single" w:color="auto" w:sz="4" w:space="0"/>
              <w:right w:val="single" w:color="auto" w:sz="4" w:space="0"/>
            </w:tcBorders>
            <w:vAlign w:val="center"/>
          </w:tcPr>
          <w:p>
            <w:pPr>
              <w:ind w:left="40" w:leftChars="19"/>
              <w:jc w:val="center"/>
              <w:rPr>
                <w:rFonts w:ascii="仿宋" w:hAnsi="仿宋" w:eastAsia="仿宋" w:cs="仿宋"/>
              </w:rPr>
            </w:pPr>
          </w:p>
        </w:tc>
        <w:tc>
          <w:tcPr>
            <w:tcW w:w="3817"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在经营范围内报价</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r>
        <w:tblPrEx>
          <w:tblCellMar>
            <w:top w:w="0" w:type="dxa"/>
            <w:left w:w="0" w:type="dxa"/>
            <w:bottom w:w="0" w:type="dxa"/>
            <w:right w:w="0" w:type="dxa"/>
          </w:tblCellMar>
        </w:tblPrEx>
        <w:trPr>
          <w:cantSplit/>
          <w:trHeight w:val="302" w:hRule="atLeast"/>
        </w:trPr>
        <w:tc>
          <w:tcPr>
            <w:tcW w:w="887" w:type="dxa"/>
            <w:vMerge w:val="continue"/>
            <w:tcBorders>
              <w:top w:val="nil"/>
              <w:left w:val="single" w:color="auto" w:sz="4" w:space="0"/>
              <w:bottom w:val="single" w:color="000000" w:sz="4" w:space="0"/>
              <w:right w:val="single" w:color="auto" w:sz="4" w:space="0"/>
            </w:tcBorders>
            <w:vAlign w:val="center"/>
          </w:tcPr>
          <w:p>
            <w:pPr>
              <w:ind w:left="-171"/>
              <w:jc w:val="center"/>
              <w:rPr>
                <w:rFonts w:ascii="仿宋" w:hAnsi="仿宋" w:eastAsia="仿宋" w:cs="仿宋"/>
              </w:rPr>
            </w:pPr>
          </w:p>
        </w:tc>
        <w:tc>
          <w:tcPr>
            <w:tcW w:w="1776"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技术要求</w:t>
            </w:r>
          </w:p>
        </w:tc>
        <w:tc>
          <w:tcPr>
            <w:tcW w:w="3817"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实质性响应标书中的技术要求</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r>
        <w:tblPrEx>
          <w:tblCellMar>
            <w:top w:w="0" w:type="dxa"/>
            <w:left w:w="0" w:type="dxa"/>
            <w:bottom w:w="0" w:type="dxa"/>
            <w:right w:w="0" w:type="dxa"/>
          </w:tblCellMar>
        </w:tblPrEx>
        <w:trPr>
          <w:cantSplit/>
          <w:trHeight w:val="422" w:hRule="atLeast"/>
        </w:trPr>
        <w:tc>
          <w:tcPr>
            <w:tcW w:w="887" w:type="dxa"/>
            <w:vMerge w:val="continue"/>
            <w:tcBorders>
              <w:top w:val="nil"/>
              <w:left w:val="single" w:color="auto" w:sz="4" w:space="0"/>
              <w:bottom w:val="single" w:color="000000" w:sz="4" w:space="0"/>
              <w:right w:val="single" w:color="auto" w:sz="4" w:space="0"/>
            </w:tcBorders>
            <w:vAlign w:val="center"/>
          </w:tcPr>
          <w:p>
            <w:pPr>
              <w:ind w:left="-171"/>
              <w:jc w:val="center"/>
              <w:rPr>
                <w:rFonts w:ascii="仿宋" w:hAnsi="仿宋" w:eastAsia="仿宋" w:cs="仿宋"/>
              </w:rPr>
            </w:pPr>
          </w:p>
        </w:tc>
        <w:tc>
          <w:tcPr>
            <w:tcW w:w="1776" w:type="dxa"/>
            <w:tcBorders>
              <w:top w:val="single" w:color="auto" w:sz="4" w:space="0"/>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商务要求</w:t>
            </w:r>
          </w:p>
        </w:tc>
        <w:tc>
          <w:tcPr>
            <w:tcW w:w="3817"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实质性响应标书中的商务要求</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r>
        <w:tblPrEx>
          <w:tblCellMar>
            <w:top w:w="0" w:type="dxa"/>
            <w:left w:w="0" w:type="dxa"/>
            <w:bottom w:w="0" w:type="dxa"/>
            <w:right w:w="0" w:type="dxa"/>
          </w:tblCellMar>
        </w:tblPrEx>
        <w:trPr>
          <w:cantSplit/>
          <w:trHeight w:val="422" w:hRule="atLeast"/>
        </w:trPr>
        <w:tc>
          <w:tcPr>
            <w:tcW w:w="887" w:type="dxa"/>
            <w:vMerge w:val="continue"/>
            <w:tcBorders>
              <w:top w:val="nil"/>
              <w:left w:val="single" w:color="auto" w:sz="4" w:space="0"/>
              <w:bottom w:val="single" w:color="000000" w:sz="4" w:space="0"/>
              <w:right w:val="single" w:color="auto" w:sz="4" w:space="0"/>
            </w:tcBorders>
            <w:vAlign w:val="center"/>
          </w:tcPr>
          <w:p>
            <w:pPr>
              <w:ind w:left="-171"/>
              <w:jc w:val="center"/>
              <w:rPr>
                <w:rFonts w:ascii="仿宋" w:hAnsi="仿宋" w:eastAsia="仿宋" w:cs="仿宋"/>
              </w:rPr>
            </w:pPr>
          </w:p>
        </w:tc>
        <w:tc>
          <w:tcPr>
            <w:tcW w:w="1776"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报价要求</w:t>
            </w:r>
          </w:p>
        </w:tc>
        <w:tc>
          <w:tcPr>
            <w:tcW w:w="3817"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报价方案是唯一确定</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r>
        <w:tblPrEx>
          <w:tblCellMar>
            <w:top w:w="0" w:type="dxa"/>
            <w:left w:w="0" w:type="dxa"/>
            <w:bottom w:w="0" w:type="dxa"/>
            <w:right w:w="0" w:type="dxa"/>
          </w:tblCellMar>
        </w:tblPrEx>
        <w:trPr>
          <w:cantSplit/>
          <w:trHeight w:val="431" w:hRule="atLeast"/>
        </w:trPr>
        <w:tc>
          <w:tcPr>
            <w:tcW w:w="887" w:type="dxa"/>
            <w:vMerge w:val="continue"/>
            <w:tcBorders>
              <w:top w:val="nil"/>
              <w:left w:val="single" w:color="auto" w:sz="4" w:space="0"/>
              <w:bottom w:val="single" w:color="000000" w:sz="4" w:space="0"/>
              <w:right w:val="single" w:color="auto" w:sz="4" w:space="0"/>
            </w:tcBorders>
            <w:vAlign w:val="center"/>
          </w:tcPr>
          <w:p>
            <w:pPr>
              <w:ind w:left="-171"/>
              <w:jc w:val="center"/>
              <w:rPr>
                <w:rFonts w:ascii="仿宋" w:hAnsi="仿宋" w:eastAsia="仿宋" w:cs="仿宋"/>
              </w:rPr>
            </w:pPr>
          </w:p>
        </w:tc>
        <w:tc>
          <w:tcPr>
            <w:tcW w:w="1776"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其它</w:t>
            </w:r>
          </w:p>
        </w:tc>
        <w:tc>
          <w:tcPr>
            <w:tcW w:w="3817" w:type="dxa"/>
            <w:tcBorders>
              <w:top w:val="nil"/>
              <w:left w:val="nil"/>
              <w:bottom w:val="single" w:color="auto" w:sz="4" w:space="0"/>
              <w:right w:val="single" w:color="auto" w:sz="4" w:space="0"/>
            </w:tcBorders>
            <w:vAlign w:val="center"/>
          </w:tcPr>
          <w:p>
            <w:pPr>
              <w:ind w:left="40" w:leftChars="19"/>
              <w:jc w:val="center"/>
              <w:rPr>
                <w:rFonts w:ascii="仿宋" w:hAnsi="仿宋" w:eastAsia="仿宋" w:cs="仿宋"/>
              </w:rPr>
            </w:pPr>
            <w:r>
              <w:rPr>
                <w:rFonts w:hint="eastAsia" w:ascii="仿宋" w:hAnsi="仿宋" w:eastAsia="仿宋" w:cs="仿宋"/>
              </w:rPr>
              <w:t>实质性响应投标/谈判文件中规定的其它情况</w:t>
            </w:r>
          </w:p>
        </w:tc>
        <w:tc>
          <w:tcPr>
            <w:tcW w:w="2219" w:type="dxa"/>
            <w:tcBorders>
              <w:top w:val="nil"/>
              <w:left w:val="nil"/>
              <w:bottom w:val="single" w:color="auto" w:sz="4" w:space="0"/>
              <w:right w:val="single" w:color="auto" w:sz="4" w:space="0"/>
            </w:tcBorders>
            <w:noWrap/>
            <w:vAlign w:val="center"/>
          </w:tcPr>
          <w:p>
            <w:pPr>
              <w:ind w:left="-171"/>
              <w:jc w:val="center"/>
              <w:rPr>
                <w:rFonts w:ascii="仿宋" w:hAnsi="仿宋" w:eastAsia="仿宋" w:cs="仿宋"/>
              </w:rPr>
            </w:pPr>
            <w:r>
              <w:rPr>
                <w:rFonts w:hint="eastAsia" w:ascii="仿宋" w:hAnsi="仿宋" w:eastAsia="仿宋" w:cs="仿宋"/>
              </w:rPr>
              <w:t>□通过     □不通过</w:t>
            </w:r>
          </w:p>
        </w:tc>
      </w:tr>
    </w:tbl>
    <w:p>
      <w:pPr>
        <w:pStyle w:val="17"/>
        <w:spacing w:line="360" w:lineRule="exact"/>
        <w:rPr>
          <w:rFonts w:ascii="宋体" w:hAnsi="宋体"/>
          <w:sz w:val="24"/>
          <w:szCs w:val="24"/>
        </w:rPr>
      </w:pPr>
    </w:p>
    <w:p>
      <w:pPr>
        <w:pStyle w:val="17"/>
        <w:spacing w:line="360" w:lineRule="exact"/>
        <w:rPr>
          <w:rFonts w:ascii="仿宋" w:hAnsi="仿宋" w:eastAsia="仿宋" w:cs="仿宋"/>
          <w:sz w:val="24"/>
          <w:szCs w:val="24"/>
        </w:rPr>
      </w:pPr>
      <w:r>
        <w:rPr>
          <w:rFonts w:hint="eastAsia" w:ascii="仿宋" w:hAnsi="仿宋" w:eastAsia="仿宋" w:cs="仿宋"/>
          <w:sz w:val="24"/>
          <w:szCs w:val="24"/>
        </w:rPr>
        <w:t>注：以上材料将作为投标人/响应供应商合格性和有效性审核的重要内容之一，投标人/响应供应商必须严格按照其内容及序列要求在投标/响应文件中对应如实提供，对缺漏和不符合项将会直接导致无效投标！在对应的□打“√”。</w:t>
      </w:r>
    </w:p>
    <w:p>
      <w:pPr>
        <w:adjustRightInd w:val="0"/>
        <w:snapToGrid w:val="0"/>
        <w:spacing w:line="300" w:lineRule="auto"/>
        <w:rPr>
          <w:rFonts w:ascii="仿宋" w:hAnsi="仿宋" w:eastAsia="仿宋" w:cs="仿宋"/>
          <w:szCs w:val="21"/>
          <w:u w:val="single"/>
        </w:rPr>
      </w:pPr>
      <w:r>
        <w:rPr>
          <w:rFonts w:hint="eastAsia" w:ascii="仿宋" w:hAnsi="仿宋" w:eastAsia="仿宋" w:cs="仿宋"/>
          <w:sz w:val="24"/>
        </w:rPr>
        <w:t>投标人/响应供应商法定代表人（机构负责人）签字或签章：</w:t>
      </w:r>
      <w:r>
        <w:rPr>
          <w:rFonts w:hint="eastAsia" w:ascii="仿宋" w:hAnsi="仿宋" w:eastAsia="仿宋" w:cs="仿宋"/>
          <w:sz w:val="24"/>
          <w:u w:val="single"/>
        </w:rPr>
        <w:t xml:space="preserve">          </w:t>
      </w:r>
      <w:r>
        <w:rPr>
          <w:rFonts w:hint="eastAsia" w:ascii="仿宋" w:hAnsi="仿宋" w:eastAsia="仿宋" w:cs="仿宋"/>
          <w:szCs w:val="21"/>
          <w:u w:val="single"/>
        </w:rPr>
        <w:t xml:space="preserve"> </w:t>
      </w:r>
    </w:p>
    <w:p>
      <w:pPr>
        <w:adjustRightInd w:val="0"/>
        <w:snapToGrid w:val="0"/>
        <w:spacing w:line="300" w:lineRule="auto"/>
        <w:rPr>
          <w:rFonts w:ascii="仿宋" w:hAnsi="仿宋" w:eastAsia="仿宋" w:cs="仿宋"/>
          <w:sz w:val="24"/>
          <w:u w:val="single"/>
        </w:rPr>
      </w:pPr>
      <w:r>
        <w:rPr>
          <w:rFonts w:hint="eastAsia" w:ascii="仿宋" w:hAnsi="仿宋" w:eastAsia="仿宋" w:cs="仿宋"/>
          <w:sz w:val="24"/>
        </w:rPr>
        <w:t>投标人/响应供应商名称（签章）：</w:t>
      </w:r>
      <w:r>
        <w:rPr>
          <w:rFonts w:hint="eastAsia" w:ascii="仿宋" w:hAnsi="仿宋" w:eastAsia="仿宋" w:cs="仿宋"/>
          <w:sz w:val="24"/>
          <w:u w:val="single"/>
        </w:rPr>
        <w:t xml:space="preserve">                        </w:t>
      </w:r>
    </w:p>
    <w:p>
      <w:pPr>
        <w:pStyle w:val="17"/>
        <w:spacing w:line="360" w:lineRule="exact"/>
        <w:rPr>
          <w:rFonts w:ascii="仿宋" w:hAnsi="仿宋" w:eastAsia="仿宋" w:cs="仿宋"/>
          <w:sz w:val="21"/>
          <w:szCs w:val="21"/>
        </w:rPr>
        <w:sectPr>
          <w:headerReference r:id="rId8" w:type="default"/>
          <w:footerReference r:id="rId9" w:type="default"/>
          <w:pgSz w:w="11906" w:h="16838"/>
          <w:pgMar w:top="1134" w:right="1134" w:bottom="1134" w:left="1701" w:header="851" w:footer="992" w:gutter="0"/>
          <w:cols w:space="720" w:num="1"/>
          <w:docGrid w:linePitch="312" w:charSpace="0"/>
        </w:sectPr>
      </w:pPr>
      <w:r>
        <w:rPr>
          <w:rFonts w:hint="eastAsia" w:ascii="仿宋" w:hAnsi="仿宋" w:eastAsia="仿宋" w:cs="仿宋"/>
          <w:sz w:val="24"/>
          <w:szCs w:val="24"/>
        </w:rPr>
        <w:t>日期：   年   月   日</w:t>
      </w:r>
    </w:p>
    <w:p>
      <w:pPr>
        <w:pStyle w:val="6"/>
        <w:numPr>
          <w:ilvl w:val="3"/>
          <w:numId w:val="0"/>
        </w:numPr>
        <w:rPr>
          <w:rFonts w:ascii="宋体" w:hAnsi="宋体" w:eastAsia="宋体"/>
        </w:rPr>
      </w:pPr>
      <w:bookmarkStart w:id="254" w:name="_Toc202819885"/>
      <w:bookmarkStart w:id="255" w:name="_Toc202252040"/>
      <w:bookmarkStart w:id="256" w:name="_Toc202820358"/>
      <w:bookmarkStart w:id="257" w:name="_Toc202254111"/>
      <w:bookmarkStart w:id="258" w:name="_Toc202251080"/>
      <w:bookmarkStart w:id="259" w:name="_Toc202251705"/>
      <w:bookmarkStart w:id="260" w:name="_Toc202817003"/>
      <w:r>
        <w:rPr>
          <w:rFonts w:hint="eastAsia" w:ascii="宋体" w:hAnsi="宋体" w:eastAsia="宋体"/>
        </w:rPr>
        <w:t>二、</w:t>
      </w:r>
      <w:bookmarkEnd w:id="254"/>
      <w:bookmarkEnd w:id="255"/>
      <w:bookmarkEnd w:id="256"/>
      <w:bookmarkEnd w:id="257"/>
      <w:bookmarkEnd w:id="258"/>
      <w:bookmarkEnd w:id="259"/>
      <w:bookmarkEnd w:id="260"/>
      <w:r>
        <w:rPr>
          <w:rFonts w:hint="eastAsia" w:ascii="宋体" w:hAnsi="宋体" w:eastAsia="宋体"/>
        </w:rPr>
        <w:t xml:space="preserve"> 投标/响应函</w:t>
      </w:r>
    </w:p>
    <w:p>
      <w:pPr>
        <w:pStyle w:val="88"/>
        <w:widowControl/>
        <w:spacing w:line="360" w:lineRule="auto"/>
        <w:ind w:left="0" w:leftChars="0"/>
        <w:rPr>
          <w:rFonts w:ascii="仿宋" w:hAnsi="仿宋" w:eastAsia="仿宋" w:cs="仿宋"/>
          <w:color w:val="000000"/>
          <w:sz w:val="24"/>
        </w:rPr>
      </w:pPr>
      <w:r>
        <w:rPr>
          <w:rFonts w:hint="eastAsia" w:ascii="仿宋" w:hAnsi="仿宋" w:eastAsia="仿宋" w:cs="仿宋"/>
          <w:color w:val="000000"/>
          <w:sz w:val="24"/>
          <w:u w:val="single"/>
        </w:rPr>
        <w:t>新疆锦辰工程项目管理有限公司:</w:t>
      </w:r>
    </w:p>
    <w:p>
      <w:pPr>
        <w:autoSpaceDE w:val="0"/>
        <w:autoSpaceDN w:val="0"/>
        <w:adjustRightInd w:val="0"/>
        <w:spacing w:line="300" w:lineRule="auto"/>
        <w:ind w:right="26" w:firstLine="480" w:firstLineChars="200"/>
        <w:rPr>
          <w:rFonts w:ascii="仿宋" w:hAnsi="仿宋" w:eastAsia="仿宋" w:cs="仿宋"/>
          <w:kern w:val="0"/>
          <w:sz w:val="24"/>
        </w:rPr>
      </w:pPr>
      <w:r>
        <w:rPr>
          <w:rFonts w:hint="eastAsia" w:ascii="仿宋" w:hAnsi="仿宋" w:eastAsia="仿宋" w:cs="仿宋"/>
          <w:kern w:val="0"/>
          <w:sz w:val="24"/>
        </w:rPr>
        <w:t>依据贵方</w:t>
      </w:r>
      <w:r>
        <w:rPr>
          <w:rFonts w:hint="eastAsia" w:ascii="仿宋" w:hAnsi="仿宋" w:eastAsia="仿宋" w:cs="仿宋"/>
          <w:sz w:val="24"/>
        </w:rPr>
        <w:t>采购项目名称</w:t>
      </w:r>
      <w:r>
        <w:rPr>
          <w:rFonts w:hint="eastAsia" w:ascii="仿宋" w:hAnsi="仿宋" w:eastAsia="仿宋" w:cs="仿宋"/>
          <w:sz w:val="24"/>
          <w:u w:val="single"/>
        </w:rPr>
        <w:t xml:space="preserve">（采购项目编号) </w:t>
      </w:r>
      <w:r>
        <w:rPr>
          <w:rFonts w:hint="eastAsia" w:ascii="仿宋" w:hAnsi="仿宋" w:eastAsia="仿宋" w:cs="仿宋"/>
          <w:kern w:val="0"/>
          <w:sz w:val="24"/>
        </w:rPr>
        <w:t>项目招标采购货物及服务的投标/谈判邀请，我方代表</w:t>
      </w:r>
      <w:r>
        <w:rPr>
          <w:rFonts w:hint="eastAsia" w:ascii="仿宋" w:hAnsi="仿宋" w:eastAsia="仿宋" w:cs="仿宋"/>
          <w:sz w:val="24"/>
          <w:u w:val="single"/>
        </w:rPr>
        <w:t>（姓名、职务）</w:t>
      </w:r>
      <w:r>
        <w:rPr>
          <w:rFonts w:hint="eastAsia" w:ascii="仿宋" w:hAnsi="仿宋" w:eastAsia="仿宋" w:cs="仿宋"/>
          <w:kern w:val="0"/>
          <w:sz w:val="24"/>
        </w:rPr>
        <w:t>经正式授权并代表</w:t>
      </w:r>
      <w:r>
        <w:rPr>
          <w:rFonts w:hint="eastAsia" w:ascii="仿宋" w:hAnsi="仿宋" w:eastAsia="仿宋" w:cs="仿宋"/>
          <w:sz w:val="24"/>
          <w:u w:val="single"/>
        </w:rPr>
        <w:t>（投标人/响应供应商名称、地址）</w:t>
      </w:r>
      <w:r>
        <w:rPr>
          <w:rFonts w:hint="eastAsia" w:ascii="仿宋" w:hAnsi="仿宋" w:eastAsia="仿宋" w:cs="仿宋"/>
          <w:kern w:val="0"/>
          <w:sz w:val="24"/>
        </w:rPr>
        <w:t>提交下述文件正本___份，副本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autoSpaceDE w:val="0"/>
        <w:autoSpaceDN w:val="0"/>
        <w:adjustRightInd w:val="0"/>
        <w:spacing w:line="300" w:lineRule="auto"/>
        <w:ind w:right="246" w:firstLine="480" w:firstLineChars="200"/>
        <w:rPr>
          <w:rFonts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sz w:val="24"/>
        </w:rPr>
        <w:t>自查表</w:t>
      </w:r>
      <w:r>
        <w:rPr>
          <w:rFonts w:hint="eastAsia" w:ascii="仿宋" w:hAnsi="仿宋" w:eastAsia="仿宋" w:cs="仿宋"/>
          <w:kern w:val="0"/>
          <w:sz w:val="24"/>
        </w:rPr>
        <w:t>；</w:t>
      </w:r>
    </w:p>
    <w:p>
      <w:pPr>
        <w:autoSpaceDE w:val="0"/>
        <w:autoSpaceDN w:val="0"/>
        <w:adjustRightInd w:val="0"/>
        <w:spacing w:line="300" w:lineRule="auto"/>
        <w:ind w:right="246" w:firstLine="480" w:firstLineChars="200"/>
        <w:rPr>
          <w:rFonts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sz w:val="24"/>
        </w:rPr>
        <w:t>资格性文件</w:t>
      </w:r>
      <w:r>
        <w:rPr>
          <w:rFonts w:hint="eastAsia" w:ascii="仿宋" w:hAnsi="仿宋" w:eastAsia="仿宋" w:cs="仿宋"/>
          <w:kern w:val="0"/>
          <w:sz w:val="24"/>
        </w:rPr>
        <w:t>；</w:t>
      </w:r>
    </w:p>
    <w:p>
      <w:pPr>
        <w:autoSpaceDE w:val="0"/>
        <w:autoSpaceDN w:val="0"/>
        <w:adjustRightInd w:val="0"/>
        <w:spacing w:line="300" w:lineRule="auto"/>
        <w:ind w:right="246" w:firstLine="480" w:firstLineChars="200"/>
        <w:rPr>
          <w:rFonts w:ascii="仿宋" w:hAnsi="仿宋" w:eastAsia="仿宋" w:cs="仿宋"/>
          <w:kern w:val="0"/>
          <w:sz w:val="24"/>
        </w:rPr>
      </w:pPr>
      <w:r>
        <w:rPr>
          <w:rFonts w:hint="eastAsia" w:ascii="仿宋" w:hAnsi="仿宋" w:eastAsia="仿宋" w:cs="仿宋"/>
          <w:kern w:val="0"/>
          <w:sz w:val="24"/>
        </w:rPr>
        <w:t xml:space="preserve">3. </w:t>
      </w:r>
      <w:r>
        <w:rPr>
          <w:rFonts w:hint="eastAsia" w:ascii="仿宋" w:hAnsi="仿宋" w:eastAsia="仿宋" w:cs="仿宋"/>
          <w:sz w:val="24"/>
        </w:rPr>
        <w:t>商务部分</w:t>
      </w:r>
      <w:r>
        <w:rPr>
          <w:rFonts w:hint="eastAsia" w:ascii="仿宋" w:hAnsi="仿宋" w:eastAsia="仿宋" w:cs="仿宋"/>
          <w:kern w:val="0"/>
          <w:sz w:val="24"/>
        </w:rPr>
        <w:t>；</w:t>
      </w:r>
    </w:p>
    <w:p>
      <w:pPr>
        <w:autoSpaceDE w:val="0"/>
        <w:autoSpaceDN w:val="0"/>
        <w:adjustRightInd w:val="0"/>
        <w:spacing w:line="300" w:lineRule="auto"/>
        <w:ind w:right="246" w:firstLine="480" w:firstLineChars="200"/>
        <w:rPr>
          <w:rFonts w:ascii="仿宋" w:hAnsi="仿宋" w:eastAsia="仿宋" w:cs="仿宋"/>
          <w:kern w:val="0"/>
          <w:sz w:val="24"/>
        </w:rPr>
      </w:pPr>
      <w:r>
        <w:rPr>
          <w:rFonts w:hint="eastAsia" w:ascii="仿宋" w:hAnsi="仿宋" w:eastAsia="仿宋" w:cs="仿宋"/>
          <w:kern w:val="0"/>
          <w:sz w:val="24"/>
        </w:rPr>
        <w:t>4. 技术部分；</w:t>
      </w:r>
    </w:p>
    <w:p>
      <w:pPr>
        <w:autoSpaceDE w:val="0"/>
        <w:autoSpaceDN w:val="0"/>
        <w:adjustRightInd w:val="0"/>
        <w:spacing w:line="300" w:lineRule="auto"/>
        <w:ind w:right="32" w:firstLine="480" w:firstLineChars="200"/>
        <w:rPr>
          <w:rFonts w:ascii="仿宋" w:hAnsi="仿宋" w:eastAsia="仿宋" w:cs="仿宋"/>
          <w:kern w:val="0"/>
          <w:sz w:val="24"/>
        </w:rPr>
      </w:pPr>
      <w:r>
        <w:rPr>
          <w:rFonts w:hint="eastAsia" w:ascii="仿宋" w:hAnsi="仿宋" w:eastAsia="仿宋" w:cs="仿宋"/>
          <w:kern w:val="0"/>
          <w:sz w:val="24"/>
        </w:rPr>
        <w:t xml:space="preserve">5. </w:t>
      </w:r>
      <w:r>
        <w:rPr>
          <w:rFonts w:hint="eastAsia" w:ascii="仿宋" w:hAnsi="仿宋" w:eastAsia="仿宋" w:cs="仿宋"/>
          <w:sz w:val="24"/>
        </w:rPr>
        <w:t>价格部分。</w:t>
      </w:r>
    </w:p>
    <w:p>
      <w:pPr>
        <w:autoSpaceDE w:val="0"/>
        <w:autoSpaceDN w:val="0"/>
        <w:adjustRightInd w:val="0"/>
        <w:spacing w:line="300" w:lineRule="auto"/>
        <w:ind w:right="246"/>
        <w:rPr>
          <w:rFonts w:ascii="仿宋" w:hAnsi="仿宋" w:eastAsia="仿宋" w:cs="仿宋"/>
          <w:kern w:val="0"/>
          <w:sz w:val="24"/>
        </w:rPr>
      </w:pPr>
      <w:r>
        <w:rPr>
          <w:rFonts w:hint="eastAsia" w:ascii="仿宋" w:hAnsi="仿宋" w:eastAsia="仿宋" w:cs="仿宋"/>
          <w:kern w:val="0"/>
          <w:sz w:val="24"/>
        </w:rPr>
        <w:t>在此，我方声明如下：</w:t>
      </w:r>
    </w:p>
    <w:p>
      <w:pPr>
        <w:spacing w:line="440" w:lineRule="exact"/>
        <w:ind w:firstLine="540"/>
        <w:rPr>
          <w:rFonts w:ascii="仿宋" w:hAnsi="仿宋" w:eastAsia="仿宋" w:cs="仿宋"/>
          <w:sz w:val="24"/>
        </w:rPr>
      </w:pPr>
      <w:r>
        <w:rPr>
          <w:rFonts w:hint="eastAsia" w:ascii="仿宋" w:hAnsi="仿宋" w:eastAsia="仿宋" w:cs="仿宋"/>
          <w:sz w:val="24"/>
        </w:rPr>
        <w:t>1.同意并接受投标/谈判文件的各项要求，遵守投标/谈判文件中的各项规定，按投标/谈判文件的要求提供报价。</w:t>
      </w:r>
    </w:p>
    <w:p>
      <w:pPr>
        <w:spacing w:line="440" w:lineRule="exact"/>
        <w:ind w:firstLine="540"/>
        <w:rPr>
          <w:rFonts w:ascii="仿宋" w:hAnsi="仿宋" w:eastAsia="仿宋" w:cs="仿宋"/>
          <w:sz w:val="24"/>
        </w:rPr>
      </w:pPr>
      <w:r>
        <w:rPr>
          <w:rFonts w:hint="eastAsia" w:ascii="仿宋" w:hAnsi="仿宋" w:eastAsia="仿宋" w:cs="仿宋"/>
          <w:sz w:val="24"/>
        </w:rPr>
        <w:t>2.投标/谈判有效期为递交投标/响应文件之日起</w:t>
      </w:r>
      <w:r>
        <w:rPr>
          <w:rFonts w:hint="eastAsia" w:ascii="仿宋" w:hAnsi="仿宋" w:eastAsia="仿宋" w:cs="仿宋"/>
          <w:sz w:val="24"/>
          <w:u w:val="single"/>
        </w:rPr>
        <w:t xml:space="preserve">   </w:t>
      </w:r>
      <w:r>
        <w:rPr>
          <w:rFonts w:hint="eastAsia" w:ascii="仿宋" w:hAnsi="仿宋" w:eastAsia="仿宋" w:cs="仿宋"/>
          <w:sz w:val="24"/>
        </w:rPr>
        <w:t>天，中标人投标/谈判有效期延至合同验收之日。</w:t>
      </w:r>
    </w:p>
    <w:p>
      <w:pPr>
        <w:spacing w:line="440" w:lineRule="exact"/>
        <w:ind w:firstLine="540"/>
        <w:rPr>
          <w:rFonts w:ascii="仿宋" w:hAnsi="仿宋" w:eastAsia="仿宋" w:cs="仿宋"/>
          <w:sz w:val="24"/>
        </w:rPr>
      </w:pPr>
      <w:r>
        <w:rPr>
          <w:rFonts w:hint="eastAsia" w:ascii="仿宋" w:hAnsi="仿宋" w:eastAsia="仿宋" w:cs="仿宋"/>
          <w:sz w:val="24"/>
        </w:rPr>
        <w:t>3.我方已经详细地阅读了全部投标/谈判文件及其附件，包括澄清及参考文件(如果有的话)。我方已完全清晰理解投标/谈判文件的要求，不存在任何含糊不清和误解之处，同意放弃对这些文件所提出的异议和质疑的权利。</w:t>
      </w:r>
    </w:p>
    <w:p>
      <w:pPr>
        <w:spacing w:line="440" w:lineRule="exact"/>
        <w:ind w:firstLine="540"/>
        <w:rPr>
          <w:rFonts w:ascii="仿宋" w:hAnsi="仿宋" w:eastAsia="仿宋" w:cs="仿宋"/>
          <w:sz w:val="24"/>
        </w:rPr>
      </w:pPr>
      <w:r>
        <w:rPr>
          <w:rFonts w:hint="eastAsia" w:ascii="仿宋" w:hAnsi="仿宋" w:eastAsia="仿宋" w:cs="仿宋"/>
          <w:sz w:val="24"/>
        </w:rPr>
        <w:t>4.我方已毫无保留地向贵方提供一切所需的证明材料。</w:t>
      </w:r>
    </w:p>
    <w:p>
      <w:pPr>
        <w:spacing w:line="440" w:lineRule="exact"/>
        <w:ind w:left="780" w:leftChars="257" w:hanging="240" w:hangingChars="100"/>
        <w:rPr>
          <w:rFonts w:ascii="仿宋" w:hAnsi="仿宋" w:eastAsia="仿宋" w:cs="仿宋"/>
          <w:sz w:val="24"/>
        </w:rPr>
      </w:pPr>
      <w:r>
        <w:rPr>
          <w:rFonts w:hint="eastAsia" w:ascii="仿宋" w:hAnsi="仿宋" w:eastAsia="仿宋" w:cs="仿宋"/>
          <w:sz w:val="24"/>
        </w:rPr>
        <w:t>5.我方承诺在本次投标/谈判响应中提供的一切文件，无论是原件还是复印件均为真实和准确的，绝无任何虚假、伪造和夸大的成份，否则，愿承担相应的后果和法律责任。</w:t>
      </w:r>
    </w:p>
    <w:p>
      <w:pPr>
        <w:spacing w:line="440" w:lineRule="exact"/>
        <w:ind w:left="780" w:leftChars="257" w:hanging="240" w:hangingChars="100"/>
        <w:rPr>
          <w:rFonts w:ascii="仿宋" w:hAnsi="仿宋" w:eastAsia="仿宋" w:cs="仿宋"/>
          <w:sz w:val="24"/>
        </w:rPr>
      </w:pPr>
      <w:r>
        <w:rPr>
          <w:rFonts w:hint="eastAsia" w:ascii="仿宋" w:hAnsi="仿宋" w:eastAsia="仿宋" w:cs="仿宋"/>
          <w:sz w:val="24"/>
        </w:rPr>
        <w:t>6.我方完全服从和尊重评委会所作的评定结果，同时清楚理解到报价最低并非意味着必定获得中标/成交资格。</w:t>
      </w:r>
    </w:p>
    <w:p>
      <w:pPr>
        <w:spacing w:before="156" w:beforeLines="50" w:after="156" w:afterLines="50"/>
        <w:ind w:firstLine="540"/>
        <w:rPr>
          <w:rFonts w:ascii="仿宋" w:hAnsi="仿宋" w:eastAsia="仿宋" w:cs="仿宋"/>
          <w:sz w:val="24"/>
        </w:rPr>
      </w:pPr>
      <w:r>
        <w:rPr>
          <w:rFonts w:hint="eastAsia" w:ascii="仿宋" w:hAnsi="仿宋" w:eastAsia="仿宋" w:cs="仿宋"/>
          <w:sz w:val="24"/>
        </w:rPr>
        <w:t>7.我方同意按投标/谈判文件规定向政府集中采购机构缴纳</w:t>
      </w:r>
      <w:r>
        <w:rPr>
          <w:rFonts w:hint="eastAsia" w:ascii="仿宋" w:hAnsi="仿宋" w:eastAsia="仿宋" w:cs="仿宋"/>
          <w:sz w:val="24"/>
          <w:lang w:val="en-GB"/>
        </w:rPr>
        <w:t>采购</w:t>
      </w:r>
      <w:r>
        <w:rPr>
          <w:rFonts w:hint="eastAsia" w:ascii="仿宋" w:hAnsi="仿宋" w:eastAsia="仿宋" w:cs="仿宋"/>
          <w:sz w:val="24"/>
        </w:rPr>
        <w:t>服务费。</w:t>
      </w:r>
    </w:p>
    <w:p>
      <w:pPr>
        <w:spacing w:line="400" w:lineRule="exact"/>
        <w:ind w:firstLine="480" w:firstLineChars="200"/>
        <w:rPr>
          <w:rFonts w:ascii="仿宋" w:hAnsi="仿宋" w:eastAsia="仿宋" w:cs="仿宋"/>
          <w:b/>
          <w:sz w:val="24"/>
        </w:rPr>
      </w:pPr>
      <w:r>
        <w:rPr>
          <w:rFonts w:hint="eastAsia" w:ascii="仿宋" w:hAnsi="仿宋" w:eastAsia="仿宋" w:cs="仿宋"/>
          <w:sz w:val="24"/>
        </w:rPr>
        <w:t>8.</w:t>
      </w:r>
      <w:r>
        <w:rPr>
          <w:rFonts w:hint="eastAsia" w:ascii="仿宋" w:hAnsi="仿宋" w:eastAsia="仿宋" w:cs="仿宋"/>
          <w:b/>
          <w:sz w:val="24"/>
        </w:rPr>
        <w:t>我方没有违法记录（声明函附后）。</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9.我方承诺在响应文件中提供更优、更合理的维修承诺（售后服务承诺书附后）。</w:t>
      </w:r>
    </w:p>
    <w:p>
      <w:pPr>
        <w:autoSpaceDE w:val="0"/>
        <w:autoSpaceDN w:val="0"/>
        <w:adjustRightInd w:val="0"/>
        <w:spacing w:line="400" w:lineRule="exact"/>
        <w:ind w:right="246"/>
        <w:rPr>
          <w:rFonts w:ascii="仿宋" w:hAnsi="仿宋" w:eastAsia="仿宋" w:cs="仿宋"/>
          <w:kern w:val="0"/>
          <w:sz w:val="24"/>
        </w:rPr>
      </w:pPr>
      <w:r>
        <w:rPr>
          <w:rFonts w:hint="eastAsia" w:ascii="仿宋" w:hAnsi="仿宋" w:eastAsia="仿宋" w:cs="仿宋"/>
          <w:kern w:val="0"/>
          <w:sz w:val="24"/>
        </w:rPr>
        <w:t>投标供应商：</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400" w:lineRule="exact"/>
        <w:ind w:right="246"/>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400" w:lineRule="exact"/>
        <w:ind w:right="246"/>
        <w:rPr>
          <w:rFonts w:ascii="仿宋" w:hAnsi="仿宋" w:eastAsia="仿宋" w:cs="仿宋"/>
          <w:kern w:val="0"/>
          <w:sz w:val="24"/>
        </w:rPr>
      </w:pPr>
      <w:r>
        <w:rPr>
          <w:rFonts w:hint="eastAsia" w:ascii="仿宋" w:hAnsi="仿宋" w:eastAsia="仿宋" w:cs="仿宋"/>
          <w:kern w:val="0"/>
          <w:sz w:val="24"/>
        </w:rPr>
        <w:t>传真：</w:t>
      </w:r>
      <w:r>
        <w:rPr>
          <w:rFonts w:hint="eastAsia" w:ascii="仿宋" w:hAnsi="仿宋" w:eastAsia="仿宋" w:cs="仿宋"/>
          <w:kern w:val="0"/>
          <w:sz w:val="24"/>
          <w:u w:val="single"/>
        </w:rPr>
        <w:t xml:space="preserve">                               </w:t>
      </w:r>
    </w:p>
    <w:p>
      <w:pPr>
        <w:autoSpaceDE w:val="0"/>
        <w:autoSpaceDN w:val="0"/>
        <w:adjustRightInd w:val="0"/>
        <w:spacing w:line="400" w:lineRule="exact"/>
        <w:ind w:right="33"/>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p>
    <w:p>
      <w:pPr>
        <w:autoSpaceDE w:val="0"/>
        <w:autoSpaceDN w:val="0"/>
        <w:adjustRightInd w:val="0"/>
        <w:spacing w:line="400" w:lineRule="exact"/>
        <w:ind w:right="246"/>
        <w:rPr>
          <w:rFonts w:ascii="仿宋" w:hAnsi="仿宋" w:eastAsia="仿宋" w:cs="仿宋"/>
          <w:kern w:val="0"/>
          <w:sz w:val="24"/>
        </w:rPr>
      </w:pPr>
      <w:r>
        <w:rPr>
          <w:rFonts w:hint="eastAsia" w:ascii="仿宋" w:hAnsi="仿宋" w:eastAsia="仿宋" w:cs="仿宋"/>
          <w:kern w:val="0"/>
          <w:sz w:val="24"/>
        </w:rPr>
        <w:t>电子邮件：</w:t>
      </w:r>
      <w:r>
        <w:rPr>
          <w:rFonts w:hint="eastAsia" w:ascii="仿宋" w:hAnsi="仿宋" w:eastAsia="仿宋" w:cs="仿宋"/>
          <w:kern w:val="0"/>
          <w:sz w:val="24"/>
          <w:u w:val="single"/>
        </w:rPr>
        <w:t xml:space="preserve">                           </w:t>
      </w:r>
    </w:p>
    <w:p>
      <w:pPr>
        <w:adjustRightInd w:val="0"/>
        <w:snapToGrid w:val="0"/>
        <w:spacing w:line="400" w:lineRule="exact"/>
        <w:rPr>
          <w:rFonts w:ascii="仿宋" w:hAnsi="仿宋" w:eastAsia="仿宋" w:cs="仿宋"/>
          <w:sz w:val="24"/>
          <w:u w:val="single"/>
        </w:rPr>
      </w:pPr>
      <w:r>
        <w:rPr>
          <w:rFonts w:hint="eastAsia" w:ascii="仿宋" w:hAnsi="仿宋" w:eastAsia="仿宋" w:cs="仿宋"/>
          <w:sz w:val="24"/>
        </w:rPr>
        <w:t>投标人/响应供应商法定代表人（机构负责人）签字或签章：</w:t>
      </w:r>
      <w:r>
        <w:rPr>
          <w:rFonts w:hint="eastAsia" w:ascii="仿宋" w:hAnsi="仿宋" w:eastAsia="仿宋" w:cs="仿宋"/>
          <w:sz w:val="24"/>
          <w:u w:val="single"/>
        </w:rPr>
        <w:t xml:space="preserve">       </w:t>
      </w:r>
    </w:p>
    <w:p>
      <w:pPr>
        <w:adjustRightInd w:val="0"/>
        <w:snapToGrid w:val="0"/>
        <w:spacing w:line="400" w:lineRule="exact"/>
        <w:rPr>
          <w:rFonts w:ascii="仿宋" w:hAnsi="仿宋" w:eastAsia="仿宋" w:cs="仿宋"/>
          <w:sz w:val="24"/>
          <w:u w:val="single"/>
        </w:rPr>
      </w:pPr>
      <w:r>
        <w:rPr>
          <w:rFonts w:hint="eastAsia" w:ascii="仿宋" w:hAnsi="仿宋" w:eastAsia="仿宋" w:cs="仿宋"/>
          <w:kern w:val="0"/>
          <w:sz w:val="24"/>
        </w:rPr>
        <w:t>投标</w:t>
      </w: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adjustRightInd w:val="0"/>
        <w:snapToGrid w:val="0"/>
        <w:spacing w:line="400" w:lineRule="exact"/>
        <w:rPr>
          <w:rFonts w:ascii="仿宋" w:hAnsi="仿宋" w:eastAsia="仿宋" w:cs="仿宋"/>
          <w:sz w:val="24"/>
          <w:u w:val="single"/>
        </w:rPr>
      </w:pPr>
      <w:r>
        <w:rPr>
          <w:rFonts w:hint="eastAsia" w:ascii="仿宋" w:hAnsi="仿宋" w:eastAsia="仿宋" w:cs="仿宋"/>
          <w:sz w:val="24"/>
        </w:rPr>
        <w:t>开户银行：</w:t>
      </w:r>
      <w:r>
        <w:rPr>
          <w:rFonts w:hint="eastAsia" w:ascii="仿宋" w:hAnsi="仿宋" w:eastAsia="仿宋" w:cs="仿宋"/>
          <w:sz w:val="24"/>
          <w:u w:val="single"/>
        </w:rPr>
        <w:t xml:space="preserve">                           </w:t>
      </w:r>
    </w:p>
    <w:p>
      <w:pPr>
        <w:tabs>
          <w:tab w:val="left" w:pos="5250"/>
        </w:tabs>
        <w:autoSpaceDE w:val="0"/>
        <w:autoSpaceDN w:val="0"/>
        <w:spacing w:line="400" w:lineRule="exact"/>
        <w:rPr>
          <w:rFonts w:ascii="宋体" w:hAnsi="宋体"/>
          <w:sz w:val="24"/>
          <w:u w:val="single"/>
        </w:rPr>
      </w:pPr>
      <w:r>
        <w:rPr>
          <w:rFonts w:hint="eastAsia" w:ascii="仿宋" w:hAnsi="仿宋" w:eastAsia="仿宋" w:cs="仿宋"/>
          <w:sz w:val="24"/>
        </w:rPr>
        <w:t>帐号：</w:t>
      </w:r>
      <w:r>
        <w:rPr>
          <w:rFonts w:hint="eastAsia" w:ascii="仿宋" w:hAnsi="仿宋" w:eastAsia="仿宋" w:cs="仿宋"/>
          <w:sz w:val="24"/>
          <w:u w:val="single"/>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宋体" w:hAnsi="宋体"/>
          <w:sz w:val="24"/>
          <w:u w:val="single"/>
        </w:rPr>
        <w:t xml:space="preserve">   </w:t>
      </w:r>
    </w:p>
    <w:p>
      <w:bookmarkStart w:id="261" w:name="_Toc202252041"/>
      <w:bookmarkStart w:id="262" w:name="_Toc202819886"/>
      <w:bookmarkStart w:id="263" w:name="_Toc202820359"/>
      <w:bookmarkStart w:id="264" w:name="_Toc202251706"/>
      <w:bookmarkStart w:id="265" w:name="_Toc202254112"/>
      <w:bookmarkStart w:id="266" w:name="_Toc202251081"/>
      <w:bookmarkStart w:id="267" w:name="_Toc202817004"/>
    </w:p>
    <w:p/>
    <w:bookmarkEnd w:id="261"/>
    <w:bookmarkEnd w:id="262"/>
    <w:bookmarkEnd w:id="263"/>
    <w:bookmarkEnd w:id="264"/>
    <w:bookmarkEnd w:id="265"/>
    <w:bookmarkEnd w:id="266"/>
    <w:bookmarkEnd w:id="267"/>
    <w:p>
      <w:pPr>
        <w:pStyle w:val="6"/>
        <w:numPr>
          <w:ilvl w:val="3"/>
          <w:numId w:val="0"/>
        </w:numPr>
        <w:rPr>
          <w:rFonts w:ascii="仿宋" w:hAnsi="仿宋" w:eastAsia="仿宋" w:cs="仿宋"/>
        </w:rPr>
      </w:pPr>
      <w:r>
        <w:rPr>
          <w:rFonts w:hint="eastAsia" w:ascii="仿宋" w:hAnsi="仿宋" w:eastAsia="仿宋" w:cs="仿宋"/>
        </w:rPr>
        <w:t>2、投标人/响应供应商概况</w:t>
      </w:r>
    </w:p>
    <w:p>
      <w:pPr>
        <w:tabs>
          <w:tab w:val="left" w:pos="540"/>
        </w:tabs>
        <w:spacing w:after="156" w:afterLines="50"/>
        <w:rPr>
          <w:rFonts w:ascii="仿宋" w:hAnsi="仿宋" w:eastAsia="仿宋" w:cs="仿宋"/>
          <w:b/>
          <w:szCs w:val="32"/>
        </w:rPr>
      </w:pPr>
      <w:r>
        <w:rPr>
          <w:rFonts w:hint="eastAsia" w:ascii="仿宋" w:hAnsi="仿宋" w:eastAsia="仿宋" w:cs="仿宋"/>
          <w:b/>
          <w:szCs w:val="32"/>
        </w:rPr>
        <w:t>2.1、投标人/响应供应商情况介绍表</w:t>
      </w:r>
    </w:p>
    <w:tbl>
      <w:tblPr>
        <w:tblStyle w:val="38"/>
        <w:tblW w:w="9621"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1180"/>
        <w:gridCol w:w="1390"/>
        <w:gridCol w:w="216"/>
        <w:gridCol w:w="1326"/>
        <w:gridCol w:w="244"/>
        <w:gridCol w:w="956"/>
        <w:gridCol w:w="750"/>
        <w:gridCol w:w="27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1988" w:type="dxa"/>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单位名称</w:t>
            </w:r>
          </w:p>
        </w:tc>
        <w:tc>
          <w:tcPr>
            <w:tcW w:w="7633" w:type="dxa"/>
            <w:gridSpan w:val="9"/>
            <w:vAlign w:val="center"/>
          </w:tcPr>
          <w:p>
            <w:pPr>
              <w:tabs>
                <w:tab w:val="left" w:pos="540"/>
              </w:tabs>
              <w:ind w:left="-132" w:leftChars="-64" w:right="-105" w:rightChars="-50" w:hanging="2"/>
              <w:jc w:val="center"/>
              <w:rPr>
                <w:rFonts w:ascii="仿宋" w:hAnsi="仿宋"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88" w:type="dxa"/>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地址</w:t>
            </w:r>
          </w:p>
        </w:tc>
        <w:tc>
          <w:tcPr>
            <w:tcW w:w="7633" w:type="dxa"/>
            <w:gridSpan w:val="9"/>
            <w:vAlign w:val="center"/>
          </w:tcPr>
          <w:p>
            <w:pPr>
              <w:tabs>
                <w:tab w:val="left" w:pos="540"/>
              </w:tabs>
              <w:ind w:left="-132" w:leftChars="-64" w:right="-105" w:rightChars="-50" w:hanging="2"/>
              <w:jc w:val="center"/>
              <w:rPr>
                <w:rFonts w:ascii="仿宋" w:hAnsi="仿宋"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988" w:type="dxa"/>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主管部门</w:t>
            </w:r>
          </w:p>
        </w:tc>
        <w:tc>
          <w:tcPr>
            <w:tcW w:w="1180" w:type="dxa"/>
            <w:vAlign w:val="center"/>
          </w:tcPr>
          <w:p>
            <w:pPr>
              <w:tabs>
                <w:tab w:val="left" w:pos="540"/>
              </w:tabs>
              <w:ind w:left="-132" w:leftChars="-64" w:right="-105" w:rightChars="-50" w:hanging="2"/>
              <w:jc w:val="center"/>
              <w:rPr>
                <w:rFonts w:ascii="仿宋" w:hAnsi="仿宋" w:eastAsia="仿宋" w:cs="仿宋"/>
                <w:szCs w:val="32"/>
              </w:rPr>
            </w:pPr>
          </w:p>
        </w:tc>
        <w:tc>
          <w:tcPr>
            <w:tcW w:w="1606" w:type="dxa"/>
            <w:gridSpan w:val="2"/>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法人代表</w:t>
            </w:r>
          </w:p>
        </w:tc>
        <w:tc>
          <w:tcPr>
            <w:tcW w:w="1570" w:type="dxa"/>
            <w:gridSpan w:val="2"/>
            <w:vAlign w:val="center"/>
          </w:tcPr>
          <w:p>
            <w:pPr>
              <w:tabs>
                <w:tab w:val="left" w:pos="540"/>
              </w:tabs>
              <w:ind w:left="-132" w:leftChars="-64" w:right="-105" w:rightChars="-50" w:hanging="2"/>
              <w:jc w:val="center"/>
              <w:rPr>
                <w:rFonts w:ascii="仿宋" w:hAnsi="仿宋" w:eastAsia="仿宋" w:cs="仿宋"/>
                <w:szCs w:val="32"/>
              </w:rPr>
            </w:pPr>
          </w:p>
        </w:tc>
        <w:tc>
          <w:tcPr>
            <w:tcW w:w="1706" w:type="dxa"/>
            <w:gridSpan w:val="2"/>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职务</w:t>
            </w:r>
          </w:p>
        </w:tc>
        <w:tc>
          <w:tcPr>
            <w:tcW w:w="1571" w:type="dxa"/>
            <w:gridSpan w:val="2"/>
          </w:tcPr>
          <w:p>
            <w:pPr>
              <w:tabs>
                <w:tab w:val="left" w:pos="540"/>
              </w:tabs>
              <w:ind w:left="-132" w:leftChars="-64" w:right="-105" w:rightChars="-50" w:hanging="2"/>
              <w:jc w:val="center"/>
              <w:rPr>
                <w:rFonts w:ascii="仿宋" w:hAnsi="仿宋"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88" w:type="dxa"/>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经济类型</w:t>
            </w:r>
          </w:p>
        </w:tc>
        <w:tc>
          <w:tcPr>
            <w:tcW w:w="1180" w:type="dxa"/>
            <w:vAlign w:val="center"/>
          </w:tcPr>
          <w:p>
            <w:pPr>
              <w:tabs>
                <w:tab w:val="left" w:pos="540"/>
              </w:tabs>
              <w:ind w:left="-132" w:leftChars="-64" w:right="-105" w:rightChars="-50" w:hanging="2"/>
              <w:jc w:val="center"/>
              <w:rPr>
                <w:rFonts w:ascii="仿宋" w:hAnsi="仿宋" w:eastAsia="仿宋" w:cs="仿宋"/>
                <w:szCs w:val="32"/>
              </w:rPr>
            </w:pPr>
          </w:p>
        </w:tc>
        <w:tc>
          <w:tcPr>
            <w:tcW w:w="1606" w:type="dxa"/>
            <w:gridSpan w:val="2"/>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授权代表</w:t>
            </w:r>
          </w:p>
        </w:tc>
        <w:tc>
          <w:tcPr>
            <w:tcW w:w="1570" w:type="dxa"/>
            <w:gridSpan w:val="2"/>
            <w:vAlign w:val="center"/>
          </w:tcPr>
          <w:p>
            <w:pPr>
              <w:tabs>
                <w:tab w:val="left" w:pos="540"/>
              </w:tabs>
              <w:ind w:left="-132" w:leftChars="-64" w:right="-105" w:rightChars="-50" w:hanging="2"/>
              <w:jc w:val="center"/>
              <w:rPr>
                <w:rFonts w:ascii="仿宋" w:hAnsi="仿宋" w:eastAsia="仿宋" w:cs="仿宋"/>
                <w:szCs w:val="32"/>
              </w:rPr>
            </w:pPr>
          </w:p>
        </w:tc>
        <w:tc>
          <w:tcPr>
            <w:tcW w:w="1706" w:type="dxa"/>
            <w:gridSpan w:val="2"/>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职务</w:t>
            </w:r>
          </w:p>
        </w:tc>
        <w:tc>
          <w:tcPr>
            <w:tcW w:w="1571" w:type="dxa"/>
            <w:gridSpan w:val="2"/>
          </w:tcPr>
          <w:p>
            <w:pPr>
              <w:tabs>
                <w:tab w:val="left" w:pos="540"/>
              </w:tabs>
              <w:ind w:left="-132" w:leftChars="-64" w:right="-105" w:rightChars="-50" w:hanging="2"/>
              <w:jc w:val="center"/>
              <w:rPr>
                <w:rFonts w:ascii="仿宋" w:hAnsi="仿宋"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88" w:type="dxa"/>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邮编</w:t>
            </w:r>
          </w:p>
        </w:tc>
        <w:tc>
          <w:tcPr>
            <w:tcW w:w="1180" w:type="dxa"/>
            <w:vAlign w:val="center"/>
          </w:tcPr>
          <w:p>
            <w:pPr>
              <w:tabs>
                <w:tab w:val="left" w:pos="540"/>
              </w:tabs>
              <w:ind w:left="-132" w:leftChars="-64" w:right="-105" w:rightChars="-50" w:hanging="2"/>
              <w:jc w:val="center"/>
              <w:rPr>
                <w:rFonts w:ascii="仿宋" w:hAnsi="仿宋" w:eastAsia="仿宋" w:cs="仿宋"/>
                <w:szCs w:val="32"/>
              </w:rPr>
            </w:pPr>
          </w:p>
        </w:tc>
        <w:tc>
          <w:tcPr>
            <w:tcW w:w="1606" w:type="dxa"/>
            <w:gridSpan w:val="2"/>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电话</w:t>
            </w:r>
          </w:p>
        </w:tc>
        <w:tc>
          <w:tcPr>
            <w:tcW w:w="1570" w:type="dxa"/>
            <w:gridSpan w:val="2"/>
            <w:vAlign w:val="center"/>
          </w:tcPr>
          <w:p>
            <w:pPr>
              <w:tabs>
                <w:tab w:val="left" w:pos="540"/>
              </w:tabs>
              <w:ind w:left="-132" w:leftChars="-64" w:right="-105" w:rightChars="-50" w:hanging="2"/>
              <w:jc w:val="center"/>
              <w:rPr>
                <w:rFonts w:ascii="仿宋" w:hAnsi="仿宋" w:eastAsia="仿宋" w:cs="仿宋"/>
                <w:szCs w:val="32"/>
              </w:rPr>
            </w:pPr>
          </w:p>
        </w:tc>
        <w:tc>
          <w:tcPr>
            <w:tcW w:w="1706" w:type="dxa"/>
            <w:gridSpan w:val="2"/>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传真</w:t>
            </w:r>
          </w:p>
        </w:tc>
        <w:tc>
          <w:tcPr>
            <w:tcW w:w="1571" w:type="dxa"/>
            <w:gridSpan w:val="2"/>
          </w:tcPr>
          <w:p>
            <w:pPr>
              <w:tabs>
                <w:tab w:val="left" w:pos="540"/>
              </w:tabs>
              <w:ind w:left="-132" w:leftChars="-64" w:right="-105" w:rightChars="-50" w:hanging="2"/>
              <w:jc w:val="center"/>
              <w:rPr>
                <w:rFonts w:ascii="仿宋" w:hAnsi="仿宋"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88" w:type="dxa"/>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单位简介及机构设置</w:t>
            </w:r>
          </w:p>
        </w:tc>
        <w:tc>
          <w:tcPr>
            <w:tcW w:w="7633" w:type="dxa"/>
            <w:gridSpan w:val="9"/>
          </w:tcPr>
          <w:p>
            <w:pPr>
              <w:tabs>
                <w:tab w:val="left" w:pos="540"/>
              </w:tabs>
              <w:ind w:left="-132" w:leftChars="-64" w:right="-105" w:rightChars="-50" w:hanging="2"/>
              <w:jc w:val="center"/>
              <w:rPr>
                <w:rFonts w:ascii="仿宋" w:hAnsi="仿宋"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88" w:type="dxa"/>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单位优势及特长</w:t>
            </w:r>
          </w:p>
        </w:tc>
        <w:tc>
          <w:tcPr>
            <w:tcW w:w="7633" w:type="dxa"/>
            <w:gridSpan w:val="9"/>
          </w:tcPr>
          <w:p>
            <w:pPr>
              <w:tabs>
                <w:tab w:val="left" w:pos="540"/>
              </w:tabs>
              <w:ind w:left="-132" w:leftChars="-64" w:right="-105" w:rightChars="-50" w:hanging="2"/>
              <w:jc w:val="center"/>
              <w:rPr>
                <w:rFonts w:ascii="仿宋" w:hAnsi="仿宋"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988" w:type="dxa"/>
            <w:vMerge w:val="restart"/>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单位概况</w:t>
            </w:r>
          </w:p>
        </w:tc>
        <w:tc>
          <w:tcPr>
            <w:tcW w:w="1180" w:type="dxa"/>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注册资本</w:t>
            </w:r>
          </w:p>
        </w:tc>
        <w:tc>
          <w:tcPr>
            <w:tcW w:w="6453" w:type="dxa"/>
            <w:gridSpan w:val="8"/>
          </w:tcPr>
          <w:p>
            <w:pPr>
              <w:tabs>
                <w:tab w:val="left" w:pos="540"/>
              </w:tabs>
              <w:ind w:left="-134" w:leftChars="-64" w:right="-105" w:rightChars="-50" w:firstLine="3045" w:firstLineChars="1450"/>
              <w:jc w:val="center"/>
              <w:rPr>
                <w:rFonts w:ascii="仿宋" w:hAnsi="仿宋" w:eastAsia="仿宋" w:cs="仿宋"/>
                <w:szCs w:val="32"/>
              </w:rPr>
            </w:pPr>
            <w:r>
              <w:rPr>
                <w:rFonts w:hint="eastAsia" w:ascii="仿宋" w:hAnsi="仿宋" w:eastAsia="仿宋" w:cs="仿宋"/>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88" w:type="dxa"/>
            <w:vMerge w:val="continue"/>
          </w:tcPr>
          <w:p>
            <w:pPr>
              <w:tabs>
                <w:tab w:val="left" w:pos="540"/>
              </w:tabs>
              <w:ind w:left="-132" w:leftChars="-64" w:right="-105" w:rightChars="-50" w:hanging="2"/>
              <w:jc w:val="center"/>
              <w:rPr>
                <w:rFonts w:ascii="仿宋" w:hAnsi="仿宋" w:eastAsia="仿宋" w:cs="仿宋"/>
                <w:szCs w:val="32"/>
              </w:rPr>
            </w:pPr>
          </w:p>
        </w:tc>
        <w:tc>
          <w:tcPr>
            <w:tcW w:w="1180" w:type="dxa"/>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职工总数</w:t>
            </w:r>
          </w:p>
        </w:tc>
        <w:tc>
          <w:tcPr>
            <w:tcW w:w="6453" w:type="dxa"/>
            <w:gridSpan w:val="8"/>
          </w:tcPr>
          <w:p>
            <w:pPr>
              <w:tabs>
                <w:tab w:val="left" w:pos="540"/>
              </w:tabs>
              <w:ind w:left="-134" w:leftChars="-64" w:right="-105" w:rightChars="-50" w:firstLine="3045" w:firstLineChars="1450"/>
              <w:jc w:val="center"/>
              <w:rPr>
                <w:rFonts w:ascii="仿宋" w:hAnsi="仿宋" w:eastAsia="仿宋" w:cs="仿宋"/>
                <w:szCs w:val="32"/>
              </w:rPr>
            </w:pPr>
            <w:r>
              <w:rPr>
                <w:rFonts w:hint="eastAsia" w:ascii="仿宋" w:hAnsi="仿宋" w:eastAsia="仿宋" w:cs="仿宋"/>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88" w:type="dxa"/>
            <w:vMerge w:val="continue"/>
          </w:tcPr>
          <w:p>
            <w:pPr>
              <w:tabs>
                <w:tab w:val="left" w:pos="540"/>
              </w:tabs>
              <w:ind w:left="-132" w:leftChars="-64" w:right="-105" w:rightChars="-50" w:hanging="2"/>
              <w:jc w:val="center"/>
              <w:rPr>
                <w:rFonts w:ascii="仿宋" w:hAnsi="仿宋" w:eastAsia="仿宋" w:cs="仿宋"/>
                <w:szCs w:val="32"/>
              </w:rPr>
            </w:pPr>
          </w:p>
        </w:tc>
        <w:tc>
          <w:tcPr>
            <w:tcW w:w="1180" w:type="dxa"/>
            <w:vMerge w:val="restart"/>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资产情况</w:t>
            </w:r>
          </w:p>
        </w:tc>
        <w:tc>
          <w:tcPr>
            <w:tcW w:w="1390" w:type="dxa"/>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净资产</w:t>
            </w:r>
          </w:p>
        </w:tc>
        <w:tc>
          <w:tcPr>
            <w:tcW w:w="1542" w:type="dxa"/>
            <w:gridSpan w:val="2"/>
            <w:vAlign w:val="center"/>
          </w:tcPr>
          <w:p>
            <w:pPr>
              <w:tabs>
                <w:tab w:val="left" w:pos="540"/>
              </w:tabs>
              <w:ind w:left="-132" w:leftChars="-64" w:right="-105" w:rightChars="-50" w:hanging="2"/>
              <w:jc w:val="right"/>
              <w:rPr>
                <w:rFonts w:ascii="仿宋" w:hAnsi="仿宋" w:eastAsia="仿宋" w:cs="仿宋"/>
                <w:szCs w:val="32"/>
              </w:rPr>
            </w:pPr>
            <w:r>
              <w:rPr>
                <w:rFonts w:hint="eastAsia" w:ascii="仿宋" w:hAnsi="仿宋" w:eastAsia="仿宋" w:cs="仿宋"/>
                <w:szCs w:val="32"/>
              </w:rPr>
              <w:t>万元</w:t>
            </w:r>
          </w:p>
        </w:tc>
        <w:tc>
          <w:tcPr>
            <w:tcW w:w="3521" w:type="dxa"/>
            <w:gridSpan w:val="5"/>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88" w:type="dxa"/>
            <w:vMerge w:val="continue"/>
          </w:tcPr>
          <w:p>
            <w:pPr>
              <w:tabs>
                <w:tab w:val="left" w:pos="540"/>
              </w:tabs>
              <w:ind w:left="-132" w:leftChars="-64" w:right="-105" w:rightChars="-50" w:hanging="2"/>
              <w:jc w:val="center"/>
              <w:rPr>
                <w:rFonts w:ascii="仿宋" w:hAnsi="仿宋" w:eastAsia="仿宋" w:cs="仿宋"/>
                <w:szCs w:val="32"/>
              </w:rPr>
            </w:pPr>
          </w:p>
        </w:tc>
        <w:tc>
          <w:tcPr>
            <w:tcW w:w="1180" w:type="dxa"/>
            <w:vMerge w:val="continue"/>
          </w:tcPr>
          <w:p>
            <w:pPr>
              <w:tabs>
                <w:tab w:val="left" w:pos="540"/>
              </w:tabs>
              <w:ind w:left="-132" w:leftChars="-64" w:right="-105" w:rightChars="-50" w:hanging="2"/>
              <w:jc w:val="center"/>
              <w:rPr>
                <w:rFonts w:ascii="仿宋" w:hAnsi="仿宋" w:eastAsia="仿宋" w:cs="仿宋"/>
                <w:szCs w:val="32"/>
              </w:rPr>
            </w:pPr>
          </w:p>
        </w:tc>
        <w:tc>
          <w:tcPr>
            <w:tcW w:w="1390" w:type="dxa"/>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负债</w:t>
            </w:r>
          </w:p>
        </w:tc>
        <w:tc>
          <w:tcPr>
            <w:tcW w:w="1542" w:type="dxa"/>
            <w:gridSpan w:val="2"/>
            <w:vAlign w:val="center"/>
          </w:tcPr>
          <w:p>
            <w:pPr>
              <w:tabs>
                <w:tab w:val="left" w:pos="540"/>
              </w:tabs>
              <w:ind w:left="-132" w:leftChars="-64" w:right="-105" w:rightChars="-50" w:hanging="2"/>
              <w:jc w:val="right"/>
              <w:rPr>
                <w:rFonts w:ascii="仿宋" w:hAnsi="仿宋" w:eastAsia="仿宋" w:cs="仿宋"/>
                <w:szCs w:val="32"/>
              </w:rPr>
            </w:pPr>
            <w:r>
              <w:rPr>
                <w:rFonts w:hint="eastAsia" w:ascii="仿宋" w:hAnsi="仿宋" w:eastAsia="仿宋" w:cs="仿宋"/>
                <w:szCs w:val="32"/>
              </w:rPr>
              <w:t>万元</w:t>
            </w:r>
          </w:p>
        </w:tc>
        <w:tc>
          <w:tcPr>
            <w:tcW w:w="3521" w:type="dxa"/>
            <w:gridSpan w:val="5"/>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8" w:type="dxa"/>
            <w:vMerge w:val="restart"/>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财务状况</w:t>
            </w:r>
          </w:p>
        </w:tc>
        <w:tc>
          <w:tcPr>
            <w:tcW w:w="1180" w:type="dxa"/>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年度</w:t>
            </w:r>
          </w:p>
        </w:tc>
        <w:tc>
          <w:tcPr>
            <w:tcW w:w="1390" w:type="dxa"/>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主营收入</w:t>
            </w:r>
          </w:p>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（万元）</w:t>
            </w:r>
          </w:p>
        </w:tc>
        <w:tc>
          <w:tcPr>
            <w:tcW w:w="1542" w:type="dxa"/>
            <w:gridSpan w:val="2"/>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收入总额</w:t>
            </w:r>
          </w:p>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（万元）</w:t>
            </w:r>
          </w:p>
        </w:tc>
        <w:tc>
          <w:tcPr>
            <w:tcW w:w="1200" w:type="dxa"/>
            <w:gridSpan w:val="2"/>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利润总额</w:t>
            </w:r>
          </w:p>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（万元）</w:t>
            </w:r>
          </w:p>
        </w:tc>
        <w:tc>
          <w:tcPr>
            <w:tcW w:w="1028" w:type="dxa"/>
            <w:gridSpan w:val="2"/>
            <w:vAlign w:val="center"/>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净利润</w:t>
            </w:r>
          </w:p>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（万元）</w:t>
            </w:r>
          </w:p>
        </w:tc>
        <w:tc>
          <w:tcPr>
            <w:tcW w:w="1293" w:type="dxa"/>
          </w:tcPr>
          <w:p>
            <w:pPr>
              <w:tabs>
                <w:tab w:val="left" w:pos="540"/>
              </w:tabs>
              <w:ind w:left="-132" w:leftChars="-64" w:right="-105" w:rightChars="-50" w:hanging="2"/>
              <w:jc w:val="center"/>
              <w:rPr>
                <w:rFonts w:ascii="仿宋" w:hAnsi="仿宋" w:eastAsia="仿宋" w:cs="仿宋"/>
                <w:szCs w:val="32"/>
              </w:rPr>
            </w:pPr>
            <w:r>
              <w:rPr>
                <w:rFonts w:hint="eastAsia" w:ascii="仿宋" w:hAnsi="仿宋" w:eastAsia="仿宋" w:cs="仿宋"/>
                <w:szCs w:val="32"/>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88" w:type="dxa"/>
            <w:vMerge w:val="continue"/>
          </w:tcPr>
          <w:p>
            <w:pPr>
              <w:tabs>
                <w:tab w:val="left" w:pos="540"/>
              </w:tabs>
              <w:ind w:left="-132" w:leftChars="-64" w:right="-105" w:rightChars="-50" w:hanging="2"/>
              <w:jc w:val="center"/>
              <w:rPr>
                <w:rFonts w:ascii="仿宋" w:hAnsi="仿宋" w:eastAsia="仿宋" w:cs="仿宋"/>
                <w:szCs w:val="32"/>
              </w:rPr>
            </w:pPr>
          </w:p>
        </w:tc>
        <w:tc>
          <w:tcPr>
            <w:tcW w:w="1180" w:type="dxa"/>
          </w:tcPr>
          <w:p>
            <w:pPr>
              <w:tabs>
                <w:tab w:val="left" w:pos="540"/>
              </w:tabs>
              <w:ind w:left="-132" w:leftChars="-64" w:right="-105" w:rightChars="-50" w:hanging="2"/>
              <w:jc w:val="center"/>
              <w:rPr>
                <w:rFonts w:ascii="仿宋" w:hAnsi="仿宋" w:eastAsia="仿宋" w:cs="仿宋"/>
                <w:szCs w:val="32"/>
              </w:rPr>
            </w:pPr>
          </w:p>
        </w:tc>
        <w:tc>
          <w:tcPr>
            <w:tcW w:w="1390" w:type="dxa"/>
          </w:tcPr>
          <w:p>
            <w:pPr>
              <w:tabs>
                <w:tab w:val="left" w:pos="540"/>
              </w:tabs>
              <w:ind w:left="-132" w:leftChars="-64" w:right="-105" w:rightChars="-50" w:hanging="2"/>
              <w:jc w:val="center"/>
              <w:rPr>
                <w:rFonts w:ascii="仿宋" w:hAnsi="仿宋" w:eastAsia="仿宋" w:cs="仿宋"/>
                <w:szCs w:val="32"/>
              </w:rPr>
            </w:pPr>
          </w:p>
        </w:tc>
        <w:tc>
          <w:tcPr>
            <w:tcW w:w="1542" w:type="dxa"/>
            <w:gridSpan w:val="2"/>
          </w:tcPr>
          <w:p>
            <w:pPr>
              <w:tabs>
                <w:tab w:val="left" w:pos="540"/>
              </w:tabs>
              <w:ind w:left="-132" w:leftChars="-64" w:right="-105" w:rightChars="-50" w:hanging="2"/>
              <w:jc w:val="center"/>
              <w:rPr>
                <w:rFonts w:ascii="仿宋" w:hAnsi="仿宋" w:eastAsia="仿宋" w:cs="仿宋"/>
                <w:szCs w:val="32"/>
              </w:rPr>
            </w:pPr>
          </w:p>
        </w:tc>
        <w:tc>
          <w:tcPr>
            <w:tcW w:w="1200" w:type="dxa"/>
            <w:gridSpan w:val="2"/>
          </w:tcPr>
          <w:p>
            <w:pPr>
              <w:tabs>
                <w:tab w:val="left" w:pos="540"/>
              </w:tabs>
              <w:ind w:left="-132" w:leftChars="-64" w:right="-105" w:rightChars="-50" w:hanging="2"/>
              <w:jc w:val="center"/>
              <w:rPr>
                <w:rFonts w:ascii="仿宋" w:hAnsi="仿宋" w:eastAsia="仿宋" w:cs="仿宋"/>
                <w:szCs w:val="32"/>
              </w:rPr>
            </w:pPr>
          </w:p>
        </w:tc>
        <w:tc>
          <w:tcPr>
            <w:tcW w:w="1028" w:type="dxa"/>
            <w:gridSpan w:val="2"/>
          </w:tcPr>
          <w:p>
            <w:pPr>
              <w:tabs>
                <w:tab w:val="left" w:pos="540"/>
              </w:tabs>
              <w:ind w:left="-132" w:leftChars="-64" w:right="-105" w:rightChars="-50" w:hanging="2"/>
              <w:jc w:val="center"/>
              <w:rPr>
                <w:rFonts w:ascii="仿宋" w:hAnsi="仿宋" w:eastAsia="仿宋" w:cs="仿宋"/>
                <w:szCs w:val="32"/>
              </w:rPr>
            </w:pPr>
          </w:p>
        </w:tc>
        <w:tc>
          <w:tcPr>
            <w:tcW w:w="1293" w:type="dxa"/>
          </w:tcPr>
          <w:p>
            <w:pPr>
              <w:tabs>
                <w:tab w:val="left" w:pos="540"/>
              </w:tabs>
              <w:ind w:left="-132" w:leftChars="-64" w:right="-105" w:rightChars="-50" w:hanging="2"/>
              <w:jc w:val="center"/>
              <w:rPr>
                <w:rFonts w:ascii="仿宋" w:hAnsi="仿宋"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88" w:type="dxa"/>
            <w:vMerge w:val="continue"/>
          </w:tcPr>
          <w:p>
            <w:pPr>
              <w:tabs>
                <w:tab w:val="left" w:pos="540"/>
              </w:tabs>
              <w:ind w:left="-132" w:leftChars="-64" w:right="-105" w:rightChars="-50" w:hanging="2"/>
              <w:jc w:val="center"/>
              <w:rPr>
                <w:rFonts w:ascii="仿宋" w:hAnsi="仿宋" w:eastAsia="仿宋" w:cs="仿宋"/>
                <w:szCs w:val="32"/>
              </w:rPr>
            </w:pPr>
          </w:p>
        </w:tc>
        <w:tc>
          <w:tcPr>
            <w:tcW w:w="1180" w:type="dxa"/>
          </w:tcPr>
          <w:p>
            <w:pPr>
              <w:tabs>
                <w:tab w:val="left" w:pos="540"/>
              </w:tabs>
              <w:ind w:left="-132" w:leftChars="-64" w:right="-105" w:rightChars="-50" w:hanging="2"/>
              <w:jc w:val="center"/>
              <w:rPr>
                <w:rFonts w:ascii="仿宋" w:hAnsi="仿宋" w:eastAsia="仿宋" w:cs="仿宋"/>
                <w:szCs w:val="32"/>
              </w:rPr>
            </w:pPr>
          </w:p>
        </w:tc>
        <w:tc>
          <w:tcPr>
            <w:tcW w:w="1390" w:type="dxa"/>
          </w:tcPr>
          <w:p>
            <w:pPr>
              <w:tabs>
                <w:tab w:val="left" w:pos="540"/>
              </w:tabs>
              <w:ind w:left="-132" w:leftChars="-64" w:right="-105" w:rightChars="-50" w:hanging="2"/>
              <w:jc w:val="center"/>
              <w:rPr>
                <w:rFonts w:ascii="仿宋" w:hAnsi="仿宋" w:eastAsia="仿宋" w:cs="仿宋"/>
                <w:szCs w:val="32"/>
              </w:rPr>
            </w:pPr>
          </w:p>
        </w:tc>
        <w:tc>
          <w:tcPr>
            <w:tcW w:w="1542" w:type="dxa"/>
            <w:gridSpan w:val="2"/>
          </w:tcPr>
          <w:p>
            <w:pPr>
              <w:tabs>
                <w:tab w:val="left" w:pos="540"/>
              </w:tabs>
              <w:ind w:left="-132" w:leftChars="-64" w:right="-105" w:rightChars="-50" w:hanging="2"/>
              <w:jc w:val="center"/>
              <w:rPr>
                <w:rFonts w:ascii="仿宋" w:hAnsi="仿宋" w:eastAsia="仿宋" w:cs="仿宋"/>
                <w:szCs w:val="32"/>
              </w:rPr>
            </w:pPr>
          </w:p>
        </w:tc>
        <w:tc>
          <w:tcPr>
            <w:tcW w:w="1200" w:type="dxa"/>
            <w:gridSpan w:val="2"/>
          </w:tcPr>
          <w:p>
            <w:pPr>
              <w:tabs>
                <w:tab w:val="left" w:pos="540"/>
              </w:tabs>
              <w:ind w:left="-132" w:leftChars="-64" w:right="-105" w:rightChars="-50" w:hanging="2"/>
              <w:jc w:val="center"/>
              <w:rPr>
                <w:rFonts w:ascii="仿宋" w:hAnsi="仿宋" w:eastAsia="仿宋" w:cs="仿宋"/>
                <w:szCs w:val="32"/>
              </w:rPr>
            </w:pPr>
          </w:p>
        </w:tc>
        <w:tc>
          <w:tcPr>
            <w:tcW w:w="1028" w:type="dxa"/>
            <w:gridSpan w:val="2"/>
          </w:tcPr>
          <w:p>
            <w:pPr>
              <w:tabs>
                <w:tab w:val="left" w:pos="540"/>
              </w:tabs>
              <w:ind w:left="-132" w:leftChars="-64" w:right="-105" w:rightChars="-50" w:hanging="2"/>
              <w:jc w:val="center"/>
              <w:rPr>
                <w:rFonts w:ascii="仿宋" w:hAnsi="仿宋" w:eastAsia="仿宋" w:cs="仿宋"/>
                <w:szCs w:val="32"/>
              </w:rPr>
            </w:pPr>
          </w:p>
        </w:tc>
        <w:tc>
          <w:tcPr>
            <w:tcW w:w="1293" w:type="dxa"/>
          </w:tcPr>
          <w:p>
            <w:pPr>
              <w:tabs>
                <w:tab w:val="left" w:pos="540"/>
              </w:tabs>
              <w:ind w:left="-132" w:leftChars="-64" w:right="-105" w:rightChars="-50" w:hanging="2"/>
              <w:jc w:val="center"/>
              <w:rPr>
                <w:rFonts w:ascii="仿宋" w:hAnsi="仿宋" w:eastAsia="仿宋" w:cs="仿宋"/>
                <w:szCs w:val="32"/>
              </w:rPr>
            </w:pPr>
          </w:p>
        </w:tc>
      </w:tr>
    </w:tbl>
    <w:p>
      <w:pPr>
        <w:tabs>
          <w:tab w:val="left" w:pos="540"/>
        </w:tabs>
        <w:rPr>
          <w:rFonts w:ascii="仿宋" w:hAnsi="仿宋" w:eastAsia="仿宋" w:cs="仿宋"/>
          <w:szCs w:val="32"/>
        </w:rPr>
      </w:pPr>
    </w:p>
    <w:p>
      <w:pPr>
        <w:pStyle w:val="200"/>
        <w:rPr>
          <w:rFonts w:ascii="仿宋" w:hAnsi="仿宋" w:eastAsia="仿宋" w:cs="仿宋"/>
          <w:b/>
        </w:rPr>
      </w:pPr>
      <w:r>
        <w:rPr>
          <w:rFonts w:hint="eastAsia" w:ascii="仿宋" w:hAnsi="仿宋" w:eastAsia="仿宋" w:cs="仿宋"/>
          <w:b/>
          <w:bCs w:val="0"/>
          <w:spacing w:val="0"/>
          <w:kern w:val="2"/>
          <w:sz w:val="21"/>
          <w:szCs w:val="32"/>
        </w:rPr>
        <w:t>2.2供货渠道与合作机构情况</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462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47" w:type="pct"/>
            <w:shd w:val="clear" w:color="auto" w:fill="F3F3F3"/>
            <w:vAlign w:val="center"/>
          </w:tcPr>
          <w:p>
            <w:pPr>
              <w:rPr>
                <w:rFonts w:ascii="仿宋" w:hAnsi="仿宋" w:eastAsia="仿宋" w:cs="仿宋"/>
                <w:b/>
                <w:bCs/>
              </w:rPr>
            </w:pPr>
            <w:r>
              <w:rPr>
                <w:rFonts w:hint="eastAsia" w:ascii="仿宋" w:hAnsi="仿宋" w:eastAsia="仿宋" w:cs="仿宋"/>
                <w:b/>
                <w:bCs/>
              </w:rPr>
              <w:t>分项</w:t>
            </w:r>
          </w:p>
        </w:tc>
        <w:tc>
          <w:tcPr>
            <w:tcW w:w="2709" w:type="pct"/>
            <w:shd w:val="clear" w:color="auto" w:fill="F3F3F3"/>
            <w:vAlign w:val="center"/>
          </w:tcPr>
          <w:p>
            <w:pPr>
              <w:jc w:val="center"/>
              <w:rPr>
                <w:rFonts w:ascii="仿宋" w:hAnsi="仿宋" w:eastAsia="仿宋" w:cs="仿宋"/>
                <w:b/>
                <w:bCs/>
              </w:rPr>
            </w:pPr>
            <w:r>
              <w:rPr>
                <w:rFonts w:hint="eastAsia" w:ascii="仿宋" w:hAnsi="仿宋" w:eastAsia="仿宋" w:cs="仿宋"/>
                <w:b/>
                <w:bCs/>
              </w:rPr>
              <w:t>基 本 情 况</w:t>
            </w:r>
          </w:p>
        </w:tc>
        <w:tc>
          <w:tcPr>
            <w:tcW w:w="1244" w:type="pct"/>
            <w:shd w:val="clear" w:color="auto" w:fill="F3F3F3"/>
            <w:vAlign w:val="center"/>
          </w:tcPr>
          <w:p>
            <w:pPr>
              <w:rPr>
                <w:rFonts w:ascii="仿宋" w:hAnsi="仿宋" w:eastAsia="仿宋" w:cs="仿宋"/>
                <w:b/>
                <w:bCs/>
              </w:rPr>
            </w:pPr>
            <w:r>
              <w:rPr>
                <w:rFonts w:hint="eastAsia" w:ascii="仿宋" w:hAnsi="仿宋" w:eastAsia="仿宋" w:cs="仿宋"/>
                <w:b/>
                <w:bCs/>
              </w:rPr>
              <w:t>联系人/联系电话/传真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47" w:type="pct"/>
            <w:vAlign w:val="center"/>
          </w:tcPr>
          <w:p>
            <w:pPr>
              <w:jc w:val="center"/>
              <w:rPr>
                <w:rFonts w:ascii="仿宋" w:hAnsi="仿宋" w:eastAsia="仿宋" w:cs="仿宋"/>
              </w:rPr>
            </w:pPr>
            <w:r>
              <w:rPr>
                <w:rFonts w:hint="eastAsia" w:ascii="仿宋" w:hAnsi="仿宋" w:eastAsia="仿宋" w:cs="仿宋"/>
              </w:rPr>
              <w:t>投标人/响应供应商情况</w:t>
            </w:r>
          </w:p>
        </w:tc>
        <w:tc>
          <w:tcPr>
            <w:tcW w:w="2709" w:type="pct"/>
            <w:vAlign w:val="center"/>
          </w:tcPr>
          <w:p>
            <w:pPr>
              <w:rPr>
                <w:rFonts w:ascii="仿宋" w:hAnsi="仿宋" w:eastAsia="仿宋" w:cs="仿宋"/>
              </w:rPr>
            </w:pPr>
            <w:r>
              <w:rPr>
                <w:rFonts w:hint="eastAsia" w:ascii="仿宋" w:hAnsi="仿宋" w:eastAsia="仿宋" w:cs="仿宋"/>
              </w:rPr>
              <w:t>单位名称：</w:t>
            </w:r>
          </w:p>
          <w:p>
            <w:pPr>
              <w:rPr>
                <w:rFonts w:ascii="仿宋" w:hAnsi="仿宋" w:eastAsia="仿宋" w:cs="仿宋"/>
              </w:rPr>
            </w:pPr>
            <w:r>
              <w:rPr>
                <w:rFonts w:hint="eastAsia" w:ascii="仿宋" w:hAnsi="仿宋" w:eastAsia="仿宋" w:cs="仿宋"/>
              </w:rPr>
              <w:t>注册资本：</w:t>
            </w:r>
          </w:p>
          <w:p>
            <w:pPr>
              <w:rPr>
                <w:rFonts w:ascii="仿宋" w:hAnsi="仿宋" w:eastAsia="仿宋" w:cs="仿宋"/>
              </w:rPr>
            </w:pPr>
            <w:r>
              <w:rPr>
                <w:rFonts w:hint="eastAsia" w:ascii="仿宋" w:hAnsi="仿宋" w:eastAsia="仿宋" w:cs="仿宋"/>
              </w:rPr>
              <w:t>法定代表人：</w:t>
            </w:r>
          </w:p>
          <w:p>
            <w:pPr>
              <w:rPr>
                <w:rFonts w:ascii="仿宋" w:hAnsi="仿宋" w:eastAsia="仿宋" w:cs="仿宋"/>
              </w:rPr>
            </w:pPr>
            <w:r>
              <w:rPr>
                <w:rFonts w:hint="eastAsia" w:ascii="仿宋" w:hAnsi="仿宋" w:eastAsia="仿宋" w:cs="仿宋"/>
              </w:rPr>
              <w:t>网址：</w:t>
            </w:r>
          </w:p>
        </w:tc>
        <w:tc>
          <w:tcPr>
            <w:tcW w:w="1244" w:type="pct"/>
            <w:vAlign w:val="center"/>
          </w:tcPr>
          <w:p>
            <w:pPr>
              <w:pStyle w:val="201"/>
              <w:jc w:val="both"/>
              <w:rPr>
                <w:rFonts w:ascii="仿宋" w:hAnsi="仿宋" w:eastAsia="仿宋" w:cs="仿宋"/>
                <w:b w:val="0"/>
                <w:color w:val="auto"/>
                <w:sz w:val="21"/>
              </w:rPr>
            </w:pPr>
            <w:r>
              <w:rPr>
                <w:rFonts w:hint="eastAsia" w:ascii="仿宋" w:hAnsi="仿宋" w:eastAsia="仿宋" w:cs="仿宋"/>
                <w:b w:val="0"/>
                <w:color w:val="auto"/>
                <w:sz w:val="21"/>
              </w:rPr>
              <w:t>Name:</w:t>
            </w:r>
          </w:p>
          <w:p>
            <w:pPr>
              <w:pStyle w:val="201"/>
              <w:jc w:val="both"/>
              <w:rPr>
                <w:rFonts w:ascii="仿宋" w:hAnsi="仿宋" w:eastAsia="仿宋" w:cs="仿宋"/>
                <w:b w:val="0"/>
                <w:color w:val="auto"/>
                <w:sz w:val="21"/>
              </w:rPr>
            </w:pPr>
          </w:p>
          <w:p>
            <w:pPr>
              <w:pStyle w:val="201"/>
              <w:jc w:val="both"/>
              <w:rPr>
                <w:rFonts w:ascii="仿宋" w:hAnsi="仿宋" w:eastAsia="仿宋" w:cs="仿宋"/>
                <w:b w:val="0"/>
                <w:color w:val="auto"/>
                <w:sz w:val="21"/>
              </w:rPr>
            </w:pPr>
            <w:r>
              <w:rPr>
                <w:rFonts w:hint="eastAsia" w:ascii="仿宋" w:hAnsi="仿宋" w:eastAsia="仿宋" w:cs="仿宋"/>
                <w:b w:val="0"/>
                <w:color w:val="auto"/>
                <w:sz w:val="21"/>
              </w:rPr>
              <w:t>Tel:</w:t>
            </w:r>
          </w:p>
          <w:p>
            <w:pPr>
              <w:pStyle w:val="13"/>
              <w:rPr>
                <w:rFonts w:ascii="仿宋" w:hAnsi="仿宋" w:eastAsia="仿宋" w:cs="仿宋"/>
                <w:sz w:val="21"/>
                <w:szCs w:val="21"/>
              </w:rPr>
            </w:pPr>
            <w:r>
              <w:rPr>
                <w:rFonts w:hint="eastAsia" w:ascii="仿宋" w:hAnsi="仿宋" w:eastAsia="仿宋" w:cs="仿宋"/>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47" w:type="pct"/>
            <w:vAlign w:val="center"/>
          </w:tcPr>
          <w:p>
            <w:pPr>
              <w:rPr>
                <w:rFonts w:ascii="仿宋" w:hAnsi="仿宋" w:eastAsia="仿宋" w:cs="仿宋"/>
              </w:rPr>
            </w:pPr>
            <w:r>
              <w:rPr>
                <w:rFonts w:hint="eastAsia" w:ascii="仿宋" w:hAnsi="仿宋" w:eastAsia="仿宋" w:cs="仿宋"/>
              </w:rPr>
              <w:t>设在兵团境内的售后服务机构情况</w:t>
            </w:r>
          </w:p>
        </w:tc>
        <w:tc>
          <w:tcPr>
            <w:tcW w:w="2709" w:type="pct"/>
            <w:vAlign w:val="center"/>
          </w:tcPr>
          <w:p>
            <w:pPr>
              <w:rPr>
                <w:rFonts w:ascii="仿宋" w:hAnsi="仿宋" w:eastAsia="仿宋" w:cs="仿宋"/>
              </w:rPr>
            </w:pPr>
            <w:r>
              <w:rPr>
                <w:rFonts w:hint="eastAsia" w:ascii="仿宋" w:hAnsi="仿宋" w:eastAsia="仿宋" w:cs="仿宋"/>
              </w:rPr>
              <w:t>机构名称：</w:t>
            </w:r>
          </w:p>
          <w:p>
            <w:pPr>
              <w:rPr>
                <w:rFonts w:ascii="仿宋" w:hAnsi="仿宋" w:eastAsia="仿宋" w:cs="仿宋"/>
              </w:rPr>
            </w:pPr>
            <w:r>
              <w:rPr>
                <w:rFonts w:hint="eastAsia" w:ascii="仿宋" w:hAnsi="仿宋" w:eastAsia="仿宋" w:cs="仿宋"/>
              </w:rPr>
              <w:t>地    址：</w:t>
            </w:r>
          </w:p>
          <w:p>
            <w:pPr>
              <w:rPr>
                <w:rFonts w:ascii="仿宋" w:hAnsi="仿宋" w:eastAsia="仿宋" w:cs="仿宋"/>
              </w:rPr>
            </w:pPr>
            <w:r>
              <w:rPr>
                <w:rFonts w:hint="eastAsia" w:ascii="仿宋" w:hAnsi="仿宋" w:eastAsia="仿宋" w:cs="仿宋"/>
              </w:rPr>
              <w:t>负 责 人：</w:t>
            </w:r>
          </w:p>
          <w:p>
            <w:pPr>
              <w:rPr>
                <w:rFonts w:ascii="仿宋" w:hAnsi="仿宋" w:eastAsia="仿宋" w:cs="仿宋"/>
              </w:rPr>
            </w:pPr>
            <w:r>
              <w:rPr>
                <w:rFonts w:hint="eastAsia" w:ascii="仿宋" w:hAnsi="仿宋" w:eastAsia="仿宋" w:cs="仿宋"/>
              </w:rPr>
              <w:t>服务机构性质：企业自有 /委托代理</w:t>
            </w:r>
          </w:p>
        </w:tc>
        <w:tc>
          <w:tcPr>
            <w:tcW w:w="1244" w:type="pct"/>
            <w:vAlign w:val="center"/>
          </w:tcPr>
          <w:p>
            <w:pPr>
              <w:pStyle w:val="201"/>
              <w:jc w:val="both"/>
              <w:rPr>
                <w:rFonts w:ascii="仿宋" w:hAnsi="仿宋" w:eastAsia="仿宋" w:cs="仿宋"/>
                <w:b w:val="0"/>
                <w:color w:val="auto"/>
                <w:sz w:val="21"/>
              </w:rPr>
            </w:pPr>
            <w:r>
              <w:rPr>
                <w:rFonts w:hint="eastAsia" w:ascii="仿宋" w:hAnsi="仿宋" w:eastAsia="仿宋" w:cs="仿宋"/>
                <w:b w:val="0"/>
                <w:color w:val="auto"/>
                <w:sz w:val="21"/>
              </w:rPr>
              <w:t>Name:</w:t>
            </w:r>
          </w:p>
          <w:p>
            <w:pPr>
              <w:pStyle w:val="201"/>
              <w:jc w:val="both"/>
              <w:rPr>
                <w:rFonts w:ascii="仿宋" w:hAnsi="仿宋" w:eastAsia="仿宋" w:cs="仿宋"/>
                <w:b w:val="0"/>
                <w:color w:val="auto"/>
                <w:sz w:val="21"/>
              </w:rPr>
            </w:pPr>
            <w:r>
              <w:rPr>
                <w:rFonts w:hint="eastAsia" w:ascii="仿宋" w:hAnsi="仿宋" w:eastAsia="仿宋" w:cs="仿宋"/>
                <w:b w:val="0"/>
                <w:color w:val="auto"/>
                <w:sz w:val="21"/>
              </w:rPr>
              <w:t>Tel:</w:t>
            </w:r>
          </w:p>
          <w:p>
            <w:pPr>
              <w:rPr>
                <w:rFonts w:ascii="仿宋" w:hAnsi="仿宋" w:eastAsia="仿宋" w:cs="仿宋"/>
              </w:rPr>
            </w:pPr>
            <w:r>
              <w:rPr>
                <w:rFonts w:hint="eastAsia" w:ascii="仿宋" w:hAnsi="仿宋" w:eastAsia="仿宋" w:cs="仿宋"/>
              </w:rPr>
              <w:t>Fax:</w:t>
            </w:r>
          </w:p>
        </w:tc>
      </w:tr>
    </w:tbl>
    <w:p>
      <w:pPr>
        <w:tabs>
          <w:tab w:val="left" w:pos="540"/>
        </w:tabs>
        <w:rPr>
          <w:rFonts w:ascii="仿宋" w:hAnsi="仿宋" w:eastAsia="仿宋" w:cs="仿宋"/>
          <w:b/>
          <w:szCs w:val="32"/>
        </w:rPr>
      </w:pPr>
    </w:p>
    <w:p>
      <w:pPr>
        <w:tabs>
          <w:tab w:val="left" w:pos="540"/>
        </w:tabs>
        <w:rPr>
          <w:rFonts w:ascii="仿宋" w:hAnsi="仿宋" w:eastAsia="仿宋" w:cs="仿宋"/>
          <w:b/>
          <w:szCs w:val="32"/>
        </w:rPr>
      </w:pPr>
      <w:r>
        <w:rPr>
          <w:rFonts w:hint="eastAsia" w:ascii="仿宋" w:hAnsi="仿宋" w:eastAsia="仿宋" w:cs="仿宋"/>
          <w:b/>
          <w:szCs w:val="32"/>
        </w:rPr>
        <w:t>2.3投标人项目业绩介绍</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716"/>
        <w:gridCol w:w="1716"/>
        <w:gridCol w:w="1927"/>
        <w:gridCol w:w="84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7" w:type="pct"/>
            <w:shd w:val="clear" w:color="auto" w:fill="F3F3F3"/>
            <w:vAlign w:val="center"/>
          </w:tcPr>
          <w:p>
            <w:pPr>
              <w:jc w:val="center"/>
              <w:rPr>
                <w:rFonts w:ascii="仿宋" w:hAnsi="仿宋" w:eastAsia="仿宋" w:cs="仿宋"/>
                <w:b/>
                <w:bCs/>
              </w:rPr>
            </w:pPr>
            <w:r>
              <w:rPr>
                <w:rFonts w:hint="eastAsia" w:ascii="仿宋" w:hAnsi="仿宋" w:eastAsia="仿宋" w:cs="仿宋"/>
                <w:b/>
                <w:bCs/>
              </w:rPr>
              <w:t>序号</w:t>
            </w:r>
          </w:p>
        </w:tc>
        <w:tc>
          <w:tcPr>
            <w:tcW w:w="1006" w:type="pct"/>
            <w:shd w:val="clear" w:color="auto" w:fill="F3F3F3"/>
          </w:tcPr>
          <w:p>
            <w:pPr>
              <w:jc w:val="center"/>
              <w:rPr>
                <w:rFonts w:hint="eastAsia" w:ascii="仿宋" w:hAnsi="仿宋" w:eastAsia="仿宋" w:cs="仿宋"/>
                <w:b/>
                <w:bCs/>
              </w:rPr>
            </w:pPr>
            <w:r>
              <w:rPr>
                <w:rFonts w:hint="eastAsia" w:ascii="仿宋" w:hAnsi="仿宋" w:eastAsia="仿宋" w:cs="仿宋"/>
                <w:b/>
                <w:bCs/>
              </w:rPr>
              <w:t>项目名称</w:t>
            </w:r>
          </w:p>
        </w:tc>
        <w:tc>
          <w:tcPr>
            <w:tcW w:w="1006" w:type="pct"/>
            <w:shd w:val="clear" w:color="auto" w:fill="F3F3F3"/>
            <w:vAlign w:val="center"/>
          </w:tcPr>
          <w:p>
            <w:pPr>
              <w:jc w:val="center"/>
              <w:rPr>
                <w:rFonts w:ascii="仿宋" w:hAnsi="仿宋" w:eastAsia="仿宋" w:cs="仿宋"/>
                <w:b/>
                <w:bCs/>
              </w:rPr>
            </w:pPr>
            <w:r>
              <w:rPr>
                <w:rFonts w:hint="eastAsia" w:ascii="仿宋" w:hAnsi="仿宋" w:eastAsia="仿宋" w:cs="仿宋"/>
                <w:b/>
                <w:bCs/>
              </w:rPr>
              <w:t>客户名称</w:t>
            </w:r>
          </w:p>
        </w:tc>
        <w:tc>
          <w:tcPr>
            <w:tcW w:w="1130" w:type="pct"/>
            <w:shd w:val="clear" w:color="auto" w:fill="F3F3F3"/>
            <w:vAlign w:val="center"/>
          </w:tcPr>
          <w:p>
            <w:pPr>
              <w:rPr>
                <w:rFonts w:ascii="仿宋" w:hAnsi="仿宋" w:eastAsia="仿宋" w:cs="仿宋"/>
                <w:b/>
                <w:bCs/>
              </w:rPr>
            </w:pPr>
            <w:r>
              <w:rPr>
                <w:rFonts w:hint="eastAsia" w:ascii="仿宋" w:hAnsi="仿宋" w:eastAsia="仿宋" w:cs="仿宋"/>
                <w:b/>
                <w:bCs/>
              </w:rPr>
              <w:t>项目名称及合同金额</w:t>
            </w:r>
          </w:p>
          <w:p>
            <w:pPr>
              <w:jc w:val="center"/>
              <w:rPr>
                <w:rFonts w:ascii="仿宋" w:hAnsi="仿宋" w:eastAsia="仿宋" w:cs="仿宋"/>
                <w:b/>
                <w:bCs/>
              </w:rPr>
            </w:pPr>
            <w:r>
              <w:rPr>
                <w:rFonts w:hint="eastAsia" w:ascii="仿宋" w:hAnsi="仿宋" w:eastAsia="仿宋" w:cs="仿宋"/>
                <w:b/>
                <w:bCs/>
              </w:rPr>
              <w:t>（万元）</w:t>
            </w:r>
          </w:p>
        </w:tc>
        <w:tc>
          <w:tcPr>
            <w:tcW w:w="495" w:type="pct"/>
            <w:shd w:val="clear" w:color="auto" w:fill="F3F3F3"/>
            <w:vAlign w:val="center"/>
          </w:tcPr>
          <w:p>
            <w:pPr>
              <w:rPr>
                <w:rFonts w:ascii="仿宋" w:hAnsi="仿宋" w:eastAsia="仿宋" w:cs="仿宋"/>
                <w:b/>
                <w:bCs/>
              </w:rPr>
            </w:pPr>
            <w:r>
              <w:rPr>
                <w:rFonts w:hint="eastAsia" w:ascii="仿宋" w:hAnsi="仿宋" w:eastAsia="仿宋" w:cs="仿宋"/>
                <w:b/>
                <w:bCs/>
              </w:rPr>
              <w:t>竣工时间</w:t>
            </w:r>
          </w:p>
        </w:tc>
        <w:tc>
          <w:tcPr>
            <w:tcW w:w="896" w:type="pct"/>
            <w:shd w:val="clear" w:color="auto" w:fill="F3F3F3"/>
            <w:vAlign w:val="center"/>
          </w:tcPr>
          <w:p>
            <w:pPr>
              <w:jc w:val="center"/>
              <w:rPr>
                <w:rFonts w:ascii="仿宋" w:hAnsi="仿宋" w:eastAsia="仿宋" w:cs="仿宋"/>
                <w:b/>
                <w:bCs/>
              </w:rPr>
            </w:pPr>
            <w:r>
              <w:rPr>
                <w:rFonts w:hint="eastAsia" w:ascii="仿宋" w:hAnsi="仿宋" w:eastAsia="仿宋" w:cs="仿宋"/>
                <w:b/>
                <w:bCs/>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7" w:type="pct"/>
            <w:vAlign w:val="center"/>
          </w:tcPr>
          <w:p>
            <w:pPr>
              <w:jc w:val="center"/>
              <w:rPr>
                <w:rFonts w:ascii="仿宋" w:hAnsi="仿宋" w:eastAsia="仿宋" w:cs="仿宋"/>
              </w:rPr>
            </w:pPr>
            <w:r>
              <w:rPr>
                <w:rFonts w:hint="eastAsia" w:ascii="仿宋" w:hAnsi="仿宋" w:eastAsia="仿宋" w:cs="仿宋"/>
              </w:rPr>
              <w:t>1</w:t>
            </w:r>
          </w:p>
        </w:tc>
        <w:tc>
          <w:tcPr>
            <w:tcW w:w="1006" w:type="pct"/>
          </w:tcPr>
          <w:p>
            <w:pPr>
              <w:jc w:val="center"/>
              <w:rPr>
                <w:rFonts w:ascii="仿宋" w:hAnsi="仿宋" w:eastAsia="仿宋" w:cs="仿宋"/>
              </w:rPr>
            </w:pPr>
          </w:p>
        </w:tc>
        <w:tc>
          <w:tcPr>
            <w:tcW w:w="1006" w:type="pct"/>
            <w:vAlign w:val="center"/>
          </w:tcPr>
          <w:p>
            <w:pPr>
              <w:jc w:val="center"/>
              <w:rPr>
                <w:rFonts w:ascii="仿宋" w:hAnsi="仿宋" w:eastAsia="仿宋" w:cs="仿宋"/>
              </w:rPr>
            </w:pPr>
          </w:p>
        </w:tc>
        <w:tc>
          <w:tcPr>
            <w:tcW w:w="1130" w:type="pct"/>
            <w:vAlign w:val="center"/>
          </w:tcPr>
          <w:p>
            <w:pPr>
              <w:jc w:val="center"/>
              <w:rPr>
                <w:rFonts w:ascii="仿宋" w:hAnsi="仿宋" w:eastAsia="仿宋" w:cs="仿宋"/>
              </w:rPr>
            </w:pPr>
          </w:p>
        </w:tc>
        <w:tc>
          <w:tcPr>
            <w:tcW w:w="495" w:type="pct"/>
            <w:vAlign w:val="center"/>
          </w:tcPr>
          <w:p>
            <w:pPr>
              <w:jc w:val="center"/>
              <w:rPr>
                <w:rFonts w:ascii="仿宋" w:hAnsi="仿宋" w:eastAsia="仿宋" w:cs="仿宋"/>
              </w:rPr>
            </w:pPr>
          </w:p>
        </w:tc>
        <w:tc>
          <w:tcPr>
            <w:tcW w:w="896" w:type="pct"/>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7" w:type="pct"/>
            <w:vAlign w:val="center"/>
          </w:tcPr>
          <w:p>
            <w:pPr>
              <w:jc w:val="center"/>
              <w:rPr>
                <w:rFonts w:ascii="仿宋" w:hAnsi="仿宋" w:eastAsia="仿宋" w:cs="仿宋"/>
              </w:rPr>
            </w:pPr>
            <w:r>
              <w:rPr>
                <w:rFonts w:hint="eastAsia" w:ascii="仿宋" w:hAnsi="仿宋" w:eastAsia="仿宋" w:cs="仿宋"/>
              </w:rPr>
              <w:t>2</w:t>
            </w:r>
          </w:p>
        </w:tc>
        <w:tc>
          <w:tcPr>
            <w:tcW w:w="1006" w:type="pct"/>
          </w:tcPr>
          <w:p>
            <w:pPr>
              <w:jc w:val="center"/>
              <w:rPr>
                <w:rFonts w:ascii="仿宋" w:hAnsi="仿宋" w:eastAsia="仿宋" w:cs="仿宋"/>
              </w:rPr>
            </w:pPr>
          </w:p>
        </w:tc>
        <w:tc>
          <w:tcPr>
            <w:tcW w:w="1006" w:type="pct"/>
            <w:vAlign w:val="center"/>
          </w:tcPr>
          <w:p>
            <w:pPr>
              <w:jc w:val="center"/>
              <w:rPr>
                <w:rFonts w:ascii="仿宋" w:hAnsi="仿宋" w:eastAsia="仿宋" w:cs="仿宋"/>
              </w:rPr>
            </w:pPr>
          </w:p>
        </w:tc>
        <w:tc>
          <w:tcPr>
            <w:tcW w:w="1130" w:type="pct"/>
            <w:vAlign w:val="center"/>
          </w:tcPr>
          <w:p>
            <w:pPr>
              <w:jc w:val="center"/>
              <w:rPr>
                <w:rFonts w:ascii="仿宋" w:hAnsi="仿宋" w:eastAsia="仿宋" w:cs="仿宋"/>
              </w:rPr>
            </w:pPr>
          </w:p>
        </w:tc>
        <w:tc>
          <w:tcPr>
            <w:tcW w:w="495" w:type="pct"/>
            <w:vAlign w:val="center"/>
          </w:tcPr>
          <w:p>
            <w:pPr>
              <w:pStyle w:val="202"/>
              <w:rPr>
                <w:rFonts w:ascii="仿宋" w:hAnsi="仿宋" w:eastAsia="仿宋" w:cs="仿宋"/>
                <w:color w:val="auto"/>
              </w:rPr>
            </w:pPr>
          </w:p>
        </w:tc>
        <w:tc>
          <w:tcPr>
            <w:tcW w:w="896" w:type="pct"/>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7" w:type="pct"/>
            <w:vAlign w:val="center"/>
          </w:tcPr>
          <w:p>
            <w:pPr>
              <w:jc w:val="center"/>
              <w:rPr>
                <w:rFonts w:ascii="仿宋" w:hAnsi="仿宋" w:eastAsia="仿宋" w:cs="仿宋"/>
              </w:rPr>
            </w:pPr>
            <w:r>
              <w:rPr>
                <w:rFonts w:hint="eastAsia" w:ascii="仿宋" w:hAnsi="仿宋" w:eastAsia="仿宋" w:cs="仿宋"/>
              </w:rPr>
              <w:t>3</w:t>
            </w:r>
          </w:p>
        </w:tc>
        <w:tc>
          <w:tcPr>
            <w:tcW w:w="1006" w:type="pct"/>
          </w:tcPr>
          <w:p>
            <w:pPr>
              <w:jc w:val="center"/>
              <w:rPr>
                <w:rFonts w:ascii="仿宋" w:hAnsi="仿宋" w:eastAsia="仿宋" w:cs="仿宋"/>
              </w:rPr>
            </w:pPr>
          </w:p>
        </w:tc>
        <w:tc>
          <w:tcPr>
            <w:tcW w:w="1006" w:type="pct"/>
            <w:vAlign w:val="center"/>
          </w:tcPr>
          <w:p>
            <w:pPr>
              <w:jc w:val="center"/>
              <w:rPr>
                <w:rFonts w:ascii="仿宋" w:hAnsi="仿宋" w:eastAsia="仿宋" w:cs="仿宋"/>
              </w:rPr>
            </w:pPr>
          </w:p>
        </w:tc>
        <w:tc>
          <w:tcPr>
            <w:tcW w:w="1130" w:type="pct"/>
            <w:vAlign w:val="center"/>
          </w:tcPr>
          <w:p>
            <w:pPr>
              <w:jc w:val="center"/>
              <w:rPr>
                <w:rFonts w:ascii="仿宋" w:hAnsi="仿宋" w:eastAsia="仿宋" w:cs="仿宋"/>
              </w:rPr>
            </w:pPr>
          </w:p>
        </w:tc>
        <w:tc>
          <w:tcPr>
            <w:tcW w:w="495" w:type="pct"/>
            <w:vAlign w:val="center"/>
          </w:tcPr>
          <w:p>
            <w:pPr>
              <w:jc w:val="center"/>
              <w:rPr>
                <w:rFonts w:ascii="仿宋" w:hAnsi="仿宋" w:eastAsia="仿宋" w:cs="仿宋"/>
              </w:rPr>
            </w:pPr>
          </w:p>
        </w:tc>
        <w:tc>
          <w:tcPr>
            <w:tcW w:w="896" w:type="pct"/>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7" w:type="pct"/>
            <w:vAlign w:val="center"/>
          </w:tcPr>
          <w:p>
            <w:pPr>
              <w:jc w:val="center"/>
              <w:rPr>
                <w:rFonts w:ascii="仿宋" w:hAnsi="仿宋" w:eastAsia="仿宋" w:cs="仿宋"/>
              </w:rPr>
            </w:pPr>
            <w:r>
              <w:rPr>
                <w:rFonts w:hint="eastAsia" w:ascii="仿宋" w:hAnsi="仿宋" w:eastAsia="仿宋" w:cs="仿宋"/>
              </w:rPr>
              <w:t>…</w:t>
            </w:r>
          </w:p>
        </w:tc>
        <w:tc>
          <w:tcPr>
            <w:tcW w:w="1006" w:type="pct"/>
          </w:tcPr>
          <w:p>
            <w:pPr>
              <w:jc w:val="center"/>
              <w:rPr>
                <w:rFonts w:ascii="仿宋" w:hAnsi="仿宋" w:eastAsia="仿宋" w:cs="仿宋"/>
              </w:rPr>
            </w:pPr>
          </w:p>
        </w:tc>
        <w:tc>
          <w:tcPr>
            <w:tcW w:w="1006" w:type="pct"/>
            <w:vAlign w:val="center"/>
          </w:tcPr>
          <w:p>
            <w:pPr>
              <w:jc w:val="center"/>
              <w:rPr>
                <w:rFonts w:ascii="仿宋" w:hAnsi="仿宋" w:eastAsia="仿宋" w:cs="仿宋"/>
              </w:rPr>
            </w:pPr>
          </w:p>
        </w:tc>
        <w:tc>
          <w:tcPr>
            <w:tcW w:w="1130" w:type="pct"/>
            <w:vAlign w:val="center"/>
          </w:tcPr>
          <w:p>
            <w:pPr>
              <w:jc w:val="center"/>
              <w:rPr>
                <w:rFonts w:ascii="仿宋" w:hAnsi="仿宋" w:eastAsia="仿宋" w:cs="仿宋"/>
              </w:rPr>
            </w:pPr>
          </w:p>
        </w:tc>
        <w:tc>
          <w:tcPr>
            <w:tcW w:w="495" w:type="pct"/>
            <w:vAlign w:val="center"/>
          </w:tcPr>
          <w:p>
            <w:pPr>
              <w:jc w:val="center"/>
              <w:rPr>
                <w:rFonts w:ascii="仿宋" w:hAnsi="仿宋" w:eastAsia="仿宋" w:cs="仿宋"/>
              </w:rPr>
            </w:pPr>
          </w:p>
        </w:tc>
        <w:tc>
          <w:tcPr>
            <w:tcW w:w="896" w:type="pct"/>
            <w:vAlign w:val="center"/>
          </w:tcPr>
          <w:p>
            <w:pPr>
              <w:jc w:val="center"/>
              <w:rPr>
                <w:rFonts w:ascii="仿宋" w:hAnsi="仿宋" w:eastAsia="仿宋" w:cs="仿宋"/>
              </w:rPr>
            </w:pPr>
          </w:p>
        </w:tc>
      </w:tr>
    </w:tbl>
    <w:p>
      <w:pPr>
        <w:rPr>
          <w:rFonts w:ascii="仿宋" w:hAnsi="仿宋" w:eastAsia="仿宋" w:cs="仿宋"/>
        </w:rPr>
      </w:pPr>
      <w:r>
        <w:rPr>
          <w:rFonts w:hint="eastAsia" w:ascii="仿宋" w:hAnsi="仿宋" w:eastAsia="仿宋" w:cs="仿宋"/>
        </w:rPr>
        <w:t>注：业绩是必须以投标人/响应供应商名义完成并已验收的项目；投标人/响应供应商必须提供合同复印件。</w:t>
      </w:r>
    </w:p>
    <w:p>
      <w:pPr>
        <w:adjustRightInd w:val="0"/>
        <w:snapToGrid w:val="0"/>
        <w:spacing w:line="300" w:lineRule="auto"/>
        <w:rPr>
          <w:rFonts w:ascii="仿宋" w:hAnsi="仿宋" w:eastAsia="仿宋" w:cs="仿宋"/>
          <w:szCs w:val="21"/>
        </w:rPr>
      </w:pPr>
    </w:p>
    <w:p>
      <w:pPr>
        <w:adjustRightInd w:val="0"/>
        <w:snapToGrid w:val="0"/>
        <w:spacing w:line="300" w:lineRule="auto"/>
        <w:rPr>
          <w:rFonts w:ascii="仿宋" w:hAnsi="仿宋" w:eastAsia="仿宋" w:cs="仿宋"/>
          <w:szCs w:val="21"/>
          <w:u w:val="single"/>
        </w:rPr>
      </w:pPr>
      <w:r>
        <w:rPr>
          <w:rFonts w:hint="eastAsia" w:ascii="仿宋" w:hAnsi="仿宋" w:eastAsia="仿宋" w:cs="仿宋"/>
          <w:szCs w:val="21"/>
        </w:rPr>
        <w:t>投标人/响应供应商法定代表人（机构负责人）签字或签章：：</w:t>
      </w:r>
      <w:r>
        <w:rPr>
          <w:rFonts w:hint="eastAsia" w:ascii="仿宋" w:hAnsi="仿宋" w:eastAsia="仿宋" w:cs="仿宋"/>
          <w:szCs w:val="21"/>
          <w:u w:val="single"/>
        </w:rPr>
        <w:t xml:space="preserve">       </w:t>
      </w:r>
    </w:p>
    <w:p>
      <w:pPr>
        <w:adjustRightInd w:val="0"/>
        <w:snapToGrid w:val="0"/>
        <w:spacing w:line="300" w:lineRule="auto"/>
        <w:rPr>
          <w:rFonts w:ascii="仿宋" w:hAnsi="仿宋" w:eastAsia="仿宋" w:cs="仿宋"/>
          <w:szCs w:val="21"/>
          <w:u w:val="single"/>
        </w:rPr>
      </w:pPr>
      <w:r>
        <w:rPr>
          <w:rFonts w:hint="eastAsia" w:ascii="仿宋" w:hAnsi="仿宋" w:eastAsia="仿宋" w:cs="仿宋"/>
          <w:szCs w:val="21"/>
        </w:rPr>
        <w:t>投标人/响应供应商名称（签章）：</w:t>
      </w:r>
      <w:r>
        <w:rPr>
          <w:rFonts w:hint="eastAsia" w:ascii="仿宋" w:hAnsi="仿宋" w:eastAsia="仿宋" w:cs="仿宋"/>
          <w:szCs w:val="21"/>
          <w:u w:val="single"/>
        </w:rPr>
        <w:t xml:space="preserve">                        </w:t>
      </w:r>
    </w:p>
    <w:p>
      <w:pPr>
        <w:rPr>
          <w:rFonts w:ascii="仿宋" w:hAnsi="仿宋" w:eastAsia="仿宋" w:cs="仿宋"/>
          <w:szCs w:val="21"/>
        </w:rPr>
      </w:pPr>
      <w:r>
        <w:rPr>
          <w:rFonts w:hint="eastAsia" w:ascii="仿宋" w:hAnsi="仿宋" w:eastAsia="仿宋" w:cs="仿宋"/>
          <w:szCs w:val="21"/>
        </w:rPr>
        <w:t>日期：   年   月   日</w:t>
      </w:r>
    </w:p>
    <w:p>
      <w:pPr>
        <w:adjustRightInd w:val="0"/>
        <w:snapToGrid w:val="0"/>
        <w:spacing w:line="300" w:lineRule="auto"/>
        <w:rPr>
          <w:rFonts w:ascii="宋体" w:hAnsi="宋体"/>
          <w:b/>
          <w:sz w:val="24"/>
        </w:rPr>
      </w:pPr>
      <w:r>
        <w:rPr>
          <w:rFonts w:hint="eastAsia" w:ascii="仿宋" w:hAnsi="仿宋" w:eastAsia="仿宋" w:cs="仿宋"/>
        </w:rPr>
        <w:br w:type="page"/>
      </w:r>
      <w:r>
        <w:rPr>
          <w:rFonts w:hint="eastAsia" w:ascii="仿宋" w:hAnsi="仿宋" w:eastAsia="仿宋" w:cs="仿宋"/>
          <w:b/>
          <w:bCs/>
          <w:kern w:val="0"/>
          <w:sz w:val="28"/>
          <w:szCs w:val="28"/>
        </w:rPr>
        <w:t>三、</w:t>
      </w: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DOCVARIABLE  商务条款响应表开始  \* MERGEFORMAT </w:instrText>
      </w:r>
      <w:r>
        <w:rPr>
          <w:rFonts w:hint="eastAsia" w:ascii="仿宋" w:hAnsi="仿宋" w:eastAsia="仿宋" w:cs="仿宋"/>
          <w:b/>
          <w:bCs/>
          <w:kern w:val="0"/>
          <w:sz w:val="28"/>
          <w:szCs w:val="28"/>
        </w:rPr>
        <w:fldChar w:fldCharType="end"/>
      </w: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DOCVARIABLE  商务条款响应表开始  \* MERGEFORMAT </w:instrText>
      </w:r>
      <w:r>
        <w:rPr>
          <w:rFonts w:hint="eastAsia" w:ascii="仿宋" w:hAnsi="仿宋" w:eastAsia="仿宋" w:cs="仿宋"/>
          <w:b/>
          <w:bCs/>
          <w:kern w:val="0"/>
          <w:sz w:val="28"/>
          <w:szCs w:val="28"/>
        </w:rPr>
        <w:fldChar w:fldCharType="end"/>
      </w:r>
      <w:r>
        <w:rPr>
          <w:rFonts w:hint="eastAsia" w:ascii="仿宋" w:hAnsi="仿宋" w:eastAsia="仿宋" w:cs="仿宋"/>
          <w:b/>
          <w:bCs/>
          <w:kern w:val="0"/>
          <w:sz w:val="28"/>
          <w:szCs w:val="28"/>
        </w:rPr>
        <w:t>商务条款响应表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5352"/>
        <w:gridCol w:w="696"/>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68" w:type="pct"/>
            <w:shd w:val="clear" w:color="auto" w:fill="F3F3F3"/>
            <w:vAlign w:val="center"/>
          </w:tcPr>
          <w:p>
            <w:pPr>
              <w:jc w:val="center"/>
              <w:rPr>
                <w:rFonts w:ascii="仿宋" w:hAnsi="仿宋" w:eastAsia="仿宋" w:cs="仿宋"/>
                <w:b/>
                <w:bCs/>
              </w:rPr>
            </w:pPr>
            <w:r>
              <w:rPr>
                <w:rFonts w:hint="eastAsia" w:ascii="仿宋" w:hAnsi="仿宋" w:eastAsia="仿宋" w:cs="仿宋"/>
                <w:b/>
                <w:bCs/>
              </w:rPr>
              <w:t>序号</w:t>
            </w:r>
          </w:p>
        </w:tc>
        <w:tc>
          <w:tcPr>
            <w:tcW w:w="3138" w:type="pct"/>
            <w:shd w:val="clear" w:color="auto" w:fill="F3F3F3"/>
            <w:vAlign w:val="center"/>
          </w:tcPr>
          <w:p>
            <w:pPr>
              <w:jc w:val="center"/>
              <w:rPr>
                <w:rFonts w:ascii="仿宋" w:hAnsi="仿宋" w:eastAsia="仿宋" w:cs="仿宋"/>
                <w:b/>
                <w:bCs/>
              </w:rPr>
            </w:pPr>
            <w:r>
              <w:rPr>
                <w:rFonts w:hint="eastAsia" w:ascii="仿宋" w:hAnsi="仿宋" w:eastAsia="仿宋" w:cs="仿宋"/>
                <w:b/>
                <w:bCs/>
              </w:rPr>
              <w:t>一般商务条款要求</w:t>
            </w:r>
          </w:p>
        </w:tc>
        <w:tc>
          <w:tcPr>
            <w:tcW w:w="408" w:type="pct"/>
            <w:shd w:val="clear" w:color="auto" w:fill="F3F3F3"/>
            <w:vAlign w:val="center"/>
          </w:tcPr>
          <w:p>
            <w:pPr>
              <w:jc w:val="center"/>
              <w:rPr>
                <w:rFonts w:ascii="仿宋" w:hAnsi="仿宋" w:eastAsia="仿宋" w:cs="仿宋"/>
                <w:b/>
                <w:bCs/>
              </w:rPr>
            </w:pPr>
            <w:r>
              <w:rPr>
                <w:rFonts w:hint="eastAsia" w:ascii="仿宋" w:hAnsi="仿宋" w:eastAsia="仿宋" w:cs="仿宋"/>
                <w:b/>
                <w:bCs/>
              </w:rPr>
              <w:t>是否响应</w:t>
            </w:r>
          </w:p>
        </w:tc>
        <w:tc>
          <w:tcPr>
            <w:tcW w:w="1086" w:type="pct"/>
            <w:shd w:val="clear" w:color="auto" w:fill="F3F3F3"/>
            <w:vAlign w:val="center"/>
          </w:tcPr>
          <w:p>
            <w:pPr>
              <w:jc w:val="center"/>
              <w:rPr>
                <w:rFonts w:ascii="仿宋" w:hAnsi="仿宋" w:eastAsia="仿宋" w:cs="仿宋"/>
                <w:b/>
                <w:bCs/>
              </w:rPr>
            </w:pPr>
            <w:r>
              <w:rPr>
                <w:rFonts w:hint="eastAsia" w:ascii="仿宋" w:hAnsi="仿宋" w:eastAsia="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68" w:type="pct"/>
            <w:vAlign w:val="center"/>
          </w:tcPr>
          <w:p>
            <w:pPr>
              <w:ind w:firstLine="210" w:firstLineChars="100"/>
              <w:rPr>
                <w:rFonts w:ascii="仿宋" w:hAnsi="仿宋" w:eastAsia="仿宋" w:cs="仿宋"/>
              </w:rPr>
            </w:pPr>
            <w:r>
              <w:rPr>
                <w:rFonts w:hint="eastAsia" w:ascii="仿宋" w:hAnsi="仿宋" w:eastAsia="仿宋" w:cs="仿宋"/>
              </w:rPr>
              <w:t>1</w:t>
            </w:r>
          </w:p>
        </w:tc>
        <w:tc>
          <w:tcPr>
            <w:tcW w:w="3138" w:type="pct"/>
            <w:vAlign w:val="center"/>
          </w:tcPr>
          <w:p>
            <w:pPr>
              <w:rPr>
                <w:rFonts w:ascii="仿宋" w:hAnsi="仿宋" w:eastAsia="仿宋" w:cs="仿宋"/>
              </w:rPr>
            </w:pPr>
            <w:r>
              <w:rPr>
                <w:rFonts w:hint="eastAsia" w:ascii="仿宋" w:hAnsi="仿宋" w:eastAsia="仿宋" w:cs="仿宋"/>
              </w:rPr>
              <w:t>完全理解并接受合同条款要求</w:t>
            </w:r>
          </w:p>
        </w:tc>
        <w:tc>
          <w:tcPr>
            <w:tcW w:w="408" w:type="pct"/>
            <w:vAlign w:val="center"/>
          </w:tcPr>
          <w:p>
            <w:pPr>
              <w:pStyle w:val="203"/>
              <w:keepNext w:val="0"/>
              <w:adjustRightInd/>
              <w:spacing w:before="0" w:after="0" w:line="240" w:lineRule="auto"/>
              <w:textAlignment w:val="auto"/>
              <w:rPr>
                <w:rFonts w:ascii="仿宋" w:hAnsi="仿宋" w:eastAsia="仿宋" w:cs="仿宋"/>
                <w:snapToGrid/>
                <w:spacing w:val="0"/>
                <w:kern w:val="2"/>
                <w:sz w:val="21"/>
                <w:szCs w:val="21"/>
              </w:rPr>
            </w:pPr>
          </w:p>
        </w:tc>
        <w:tc>
          <w:tcPr>
            <w:tcW w:w="1086" w:type="pct"/>
            <w:vAlign w:val="center"/>
          </w:tcPr>
          <w:p>
            <w:pPr>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68" w:type="pct"/>
            <w:vAlign w:val="center"/>
          </w:tcPr>
          <w:p>
            <w:pPr>
              <w:ind w:firstLine="210" w:firstLineChars="100"/>
              <w:rPr>
                <w:rFonts w:ascii="仿宋" w:hAnsi="仿宋" w:eastAsia="仿宋" w:cs="仿宋"/>
              </w:rPr>
            </w:pPr>
            <w:r>
              <w:rPr>
                <w:rFonts w:hint="eastAsia" w:ascii="仿宋" w:hAnsi="仿宋" w:eastAsia="仿宋" w:cs="仿宋"/>
              </w:rPr>
              <w:t>2</w:t>
            </w:r>
          </w:p>
        </w:tc>
        <w:tc>
          <w:tcPr>
            <w:tcW w:w="3138" w:type="pct"/>
            <w:vAlign w:val="center"/>
          </w:tcPr>
          <w:p>
            <w:pPr>
              <w:rPr>
                <w:rFonts w:ascii="仿宋" w:hAnsi="仿宋" w:eastAsia="仿宋" w:cs="仿宋"/>
              </w:rPr>
            </w:pPr>
            <w:r>
              <w:rPr>
                <w:rFonts w:hint="eastAsia" w:ascii="仿宋" w:hAnsi="仿宋" w:eastAsia="仿宋" w:cs="仿宋"/>
              </w:rPr>
              <w:t>完全理解并接受对合格投标人/响应供应商、合格的服务要求</w:t>
            </w:r>
          </w:p>
        </w:tc>
        <w:tc>
          <w:tcPr>
            <w:tcW w:w="408" w:type="pct"/>
            <w:vAlign w:val="center"/>
          </w:tcPr>
          <w:p>
            <w:pPr>
              <w:pStyle w:val="203"/>
              <w:keepNext w:val="0"/>
              <w:adjustRightInd/>
              <w:spacing w:before="0" w:after="0" w:line="240" w:lineRule="auto"/>
              <w:textAlignment w:val="auto"/>
              <w:rPr>
                <w:rFonts w:ascii="仿宋" w:hAnsi="仿宋" w:eastAsia="仿宋" w:cs="仿宋"/>
                <w:snapToGrid/>
                <w:spacing w:val="0"/>
                <w:kern w:val="2"/>
                <w:sz w:val="21"/>
                <w:szCs w:val="21"/>
              </w:rPr>
            </w:pPr>
          </w:p>
        </w:tc>
        <w:tc>
          <w:tcPr>
            <w:tcW w:w="1086" w:type="pct"/>
            <w:vAlign w:val="center"/>
          </w:tcPr>
          <w:p>
            <w:pPr>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68" w:type="pct"/>
            <w:vAlign w:val="center"/>
          </w:tcPr>
          <w:p>
            <w:pPr>
              <w:jc w:val="center"/>
              <w:rPr>
                <w:rFonts w:ascii="仿宋" w:hAnsi="仿宋" w:eastAsia="仿宋" w:cs="仿宋"/>
              </w:rPr>
            </w:pPr>
            <w:r>
              <w:rPr>
                <w:rFonts w:hint="eastAsia" w:ascii="仿宋" w:hAnsi="仿宋" w:eastAsia="仿宋" w:cs="仿宋"/>
              </w:rPr>
              <w:t>3</w:t>
            </w:r>
          </w:p>
        </w:tc>
        <w:tc>
          <w:tcPr>
            <w:tcW w:w="3138" w:type="pct"/>
            <w:vAlign w:val="center"/>
          </w:tcPr>
          <w:p>
            <w:pPr>
              <w:rPr>
                <w:rFonts w:ascii="仿宋" w:hAnsi="仿宋" w:eastAsia="仿宋" w:cs="仿宋"/>
              </w:rPr>
            </w:pPr>
            <w:r>
              <w:rPr>
                <w:rFonts w:hint="eastAsia" w:ascii="仿宋" w:hAnsi="仿宋" w:eastAsia="仿宋" w:cs="仿宋"/>
              </w:rPr>
              <w:t>完全理解并接受对投标人/响应供应商的各项须知、规约要求和责任义务</w:t>
            </w:r>
          </w:p>
        </w:tc>
        <w:tc>
          <w:tcPr>
            <w:tcW w:w="408" w:type="pct"/>
            <w:vAlign w:val="center"/>
          </w:tcPr>
          <w:p>
            <w:pPr>
              <w:jc w:val="center"/>
              <w:rPr>
                <w:rFonts w:ascii="仿宋" w:hAnsi="仿宋" w:eastAsia="仿宋" w:cs="仿宋"/>
              </w:rPr>
            </w:pPr>
          </w:p>
        </w:tc>
        <w:tc>
          <w:tcPr>
            <w:tcW w:w="1086" w:type="pct"/>
            <w:vAlign w:val="center"/>
          </w:tcPr>
          <w:p>
            <w:pPr>
              <w:ind w:right="-35"/>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8" w:type="pct"/>
            <w:vAlign w:val="center"/>
          </w:tcPr>
          <w:p>
            <w:pPr>
              <w:rPr>
                <w:rFonts w:ascii="仿宋" w:hAnsi="仿宋" w:eastAsia="仿宋" w:cs="仿宋"/>
              </w:rPr>
            </w:pPr>
            <w:r>
              <w:rPr>
                <w:rFonts w:hint="eastAsia" w:ascii="仿宋" w:hAnsi="仿宋" w:eastAsia="仿宋" w:cs="仿宋"/>
              </w:rPr>
              <w:t xml:space="preserve">  4</w:t>
            </w:r>
          </w:p>
        </w:tc>
        <w:tc>
          <w:tcPr>
            <w:tcW w:w="3138" w:type="pct"/>
            <w:vAlign w:val="center"/>
          </w:tcPr>
          <w:p>
            <w:pPr>
              <w:rPr>
                <w:rFonts w:ascii="仿宋" w:hAnsi="仿宋" w:eastAsia="仿宋" w:cs="仿宋"/>
              </w:rPr>
            </w:pPr>
            <w:r>
              <w:rPr>
                <w:rFonts w:hint="eastAsia" w:ascii="仿宋" w:hAnsi="仿宋" w:eastAsia="仿宋" w:cs="仿宋"/>
              </w:rPr>
              <w:t>报价内容均涵盖报价要求之一切费用和伴随服务</w:t>
            </w:r>
          </w:p>
        </w:tc>
        <w:tc>
          <w:tcPr>
            <w:tcW w:w="408" w:type="pct"/>
            <w:vAlign w:val="center"/>
          </w:tcPr>
          <w:p>
            <w:pPr>
              <w:jc w:val="center"/>
              <w:rPr>
                <w:rFonts w:ascii="仿宋" w:hAnsi="仿宋" w:eastAsia="仿宋" w:cs="仿宋"/>
              </w:rPr>
            </w:pPr>
          </w:p>
        </w:tc>
        <w:tc>
          <w:tcPr>
            <w:tcW w:w="1086" w:type="pct"/>
            <w:vAlign w:val="center"/>
          </w:tcPr>
          <w:p>
            <w:pPr>
              <w:ind w:right="-35"/>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68" w:type="pct"/>
            <w:vAlign w:val="center"/>
          </w:tcPr>
          <w:p>
            <w:pPr>
              <w:jc w:val="center"/>
              <w:rPr>
                <w:rFonts w:ascii="仿宋" w:hAnsi="仿宋" w:eastAsia="仿宋" w:cs="仿宋"/>
              </w:rPr>
            </w:pPr>
            <w:r>
              <w:rPr>
                <w:rFonts w:hint="eastAsia" w:ascii="仿宋" w:hAnsi="仿宋" w:eastAsia="仿宋" w:cs="仿宋"/>
              </w:rPr>
              <w:t>5</w:t>
            </w:r>
          </w:p>
        </w:tc>
        <w:tc>
          <w:tcPr>
            <w:tcW w:w="3138" w:type="pct"/>
            <w:vAlign w:val="center"/>
          </w:tcPr>
          <w:p>
            <w:pPr>
              <w:rPr>
                <w:rFonts w:ascii="仿宋" w:hAnsi="仿宋" w:eastAsia="仿宋" w:cs="仿宋"/>
              </w:rPr>
            </w:pPr>
            <w:r>
              <w:rPr>
                <w:rFonts w:hint="eastAsia" w:ascii="仿宋" w:hAnsi="仿宋" w:eastAsia="仿宋" w:cs="仿宋"/>
              </w:rPr>
              <w:t>所提供的报价不高于本公司目前的报价水平</w:t>
            </w:r>
          </w:p>
        </w:tc>
        <w:tc>
          <w:tcPr>
            <w:tcW w:w="408" w:type="pct"/>
            <w:vAlign w:val="center"/>
          </w:tcPr>
          <w:p>
            <w:pPr>
              <w:jc w:val="center"/>
              <w:rPr>
                <w:rFonts w:ascii="仿宋" w:hAnsi="仿宋" w:eastAsia="仿宋" w:cs="仿宋"/>
              </w:rPr>
            </w:pPr>
          </w:p>
        </w:tc>
        <w:tc>
          <w:tcPr>
            <w:tcW w:w="1086" w:type="pct"/>
            <w:vAlign w:val="center"/>
          </w:tcPr>
          <w:p>
            <w:pPr>
              <w:ind w:right="-35"/>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68" w:type="pct"/>
            <w:vAlign w:val="center"/>
          </w:tcPr>
          <w:p>
            <w:pPr>
              <w:ind w:firstLine="210" w:firstLineChars="100"/>
              <w:rPr>
                <w:rFonts w:ascii="仿宋" w:hAnsi="仿宋" w:eastAsia="仿宋" w:cs="仿宋"/>
              </w:rPr>
            </w:pPr>
            <w:r>
              <w:rPr>
                <w:rFonts w:hint="eastAsia" w:ascii="仿宋" w:hAnsi="仿宋" w:eastAsia="仿宋" w:cs="仿宋"/>
              </w:rPr>
              <w:t>6</w:t>
            </w:r>
          </w:p>
        </w:tc>
        <w:tc>
          <w:tcPr>
            <w:tcW w:w="3138" w:type="pct"/>
            <w:vAlign w:val="center"/>
          </w:tcPr>
          <w:p>
            <w:pPr>
              <w:rPr>
                <w:rFonts w:ascii="仿宋" w:hAnsi="仿宋" w:eastAsia="仿宋" w:cs="仿宋"/>
              </w:rPr>
            </w:pPr>
            <w:r>
              <w:rPr>
                <w:rFonts w:hint="eastAsia" w:ascii="仿宋" w:hAnsi="仿宋" w:eastAsia="仿宋" w:cs="仿宋"/>
              </w:rPr>
              <w:t>服务期：按采购人要求直至交付验收</w:t>
            </w:r>
          </w:p>
        </w:tc>
        <w:tc>
          <w:tcPr>
            <w:tcW w:w="408" w:type="pct"/>
            <w:vAlign w:val="center"/>
          </w:tcPr>
          <w:p>
            <w:pPr>
              <w:jc w:val="center"/>
              <w:rPr>
                <w:rFonts w:ascii="仿宋" w:hAnsi="仿宋" w:eastAsia="仿宋" w:cs="仿宋"/>
              </w:rPr>
            </w:pPr>
          </w:p>
        </w:tc>
        <w:tc>
          <w:tcPr>
            <w:tcW w:w="1086" w:type="pct"/>
            <w:vAlign w:val="center"/>
          </w:tcPr>
          <w:p>
            <w:pPr>
              <w:pStyle w:val="203"/>
              <w:keepNext w:val="0"/>
              <w:adjustRightInd/>
              <w:spacing w:before="0" w:after="0" w:line="240" w:lineRule="auto"/>
              <w:textAlignment w:val="auto"/>
              <w:rPr>
                <w:rFonts w:ascii="仿宋" w:hAnsi="仿宋" w:eastAsia="仿宋" w:cs="仿宋"/>
                <w:snapToGrid/>
                <w:spacing w:val="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68" w:type="pct"/>
            <w:vAlign w:val="center"/>
          </w:tcPr>
          <w:p>
            <w:pPr>
              <w:jc w:val="center"/>
              <w:rPr>
                <w:rFonts w:ascii="仿宋" w:hAnsi="仿宋" w:eastAsia="仿宋" w:cs="仿宋"/>
              </w:rPr>
            </w:pPr>
            <w:r>
              <w:rPr>
                <w:rFonts w:hint="eastAsia" w:ascii="仿宋" w:hAnsi="仿宋" w:eastAsia="仿宋" w:cs="仿宋"/>
              </w:rPr>
              <w:t>7</w:t>
            </w:r>
          </w:p>
        </w:tc>
        <w:tc>
          <w:tcPr>
            <w:tcW w:w="3138" w:type="pct"/>
            <w:vAlign w:val="center"/>
          </w:tcPr>
          <w:p>
            <w:pPr>
              <w:rPr>
                <w:rFonts w:ascii="仿宋" w:hAnsi="仿宋" w:eastAsia="仿宋" w:cs="仿宋"/>
              </w:rPr>
            </w:pPr>
            <w:r>
              <w:rPr>
                <w:rFonts w:hint="eastAsia" w:ascii="仿宋" w:hAnsi="仿宋" w:eastAsia="仿宋" w:cs="仿宋"/>
                <w:lang w:val="en-GB"/>
              </w:rPr>
              <w:t>同意接受合同范本所列述的各项条款</w:t>
            </w:r>
          </w:p>
        </w:tc>
        <w:tc>
          <w:tcPr>
            <w:tcW w:w="408" w:type="pct"/>
            <w:vAlign w:val="center"/>
          </w:tcPr>
          <w:p>
            <w:pPr>
              <w:jc w:val="center"/>
              <w:rPr>
                <w:rFonts w:ascii="仿宋" w:hAnsi="仿宋" w:eastAsia="仿宋" w:cs="仿宋"/>
              </w:rPr>
            </w:pPr>
          </w:p>
        </w:tc>
        <w:tc>
          <w:tcPr>
            <w:tcW w:w="1086" w:type="pct"/>
            <w:vAlign w:val="center"/>
          </w:tcPr>
          <w:p>
            <w:pPr>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68" w:type="pct"/>
            <w:vAlign w:val="center"/>
          </w:tcPr>
          <w:p>
            <w:pPr>
              <w:ind w:firstLine="210" w:firstLineChars="100"/>
              <w:rPr>
                <w:rFonts w:ascii="仿宋" w:hAnsi="仿宋" w:eastAsia="仿宋" w:cs="仿宋"/>
              </w:rPr>
            </w:pPr>
            <w:r>
              <w:rPr>
                <w:rFonts w:hint="eastAsia" w:ascii="仿宋" w:hAnsi="仿宋" w:eastAsia="仿宋" w:cs="仿宋"/>
              </w:rPr>
              <w:t>8</w:t>
            </w:r>
          </w:p>
        </w:tc>
        <w:tc>
          <w:tcPr>
            <w:tcW w:w="3138" w:type="pct"/>
            <w:vAlign w:val="center"/>
          </w:tcPr>
          <w:p>
            <w:pPr>
              <w:rPr>
                <w:rFonts w:ascii="仿宋" w:hAnsi="仿宋" w:eastAsia="仿宋" w:cs="仿宋"/>
              </w:rPr>
            </w:pPr>
            <w:r>
              <w:rPr>
                <w:rFonts w:hint="eastAsia" w:ascii="仿宋" w:hAnsi="仿宋" w:eastAsia="仿宋" w:cs="仿宋"/>
              </w:rPr>
              <w:t>同意按本项目要求缴付相关款项</w:t>
            </w:r>
          </w:p>
        </w:tc>
        <w:tc>
          <w:tcPr>
            <w:tcW w:w="408" w:type="pct"/>
            <w:vAlign w:val="center"/>
          </w:tcPr>
          <w:p>
            <w:pPr>
              <w:jc w:val="center"/>
              <w:rPr>
                <w:rFonts w:ascii="仿宋" w:hAnsi="仿宋" w:eastAsia="仿宋" w:cs="仿宋"/>
              </w:rPr>
            </w:pPr>
          </w:p>
        </w:tc>
        <w:tc>
          <w:tcPr>
            <w:tcW w:w="1086" w:type="pct"/>
            <w:vAlign w:val="center"/>
          </w:tcPr>
          <w:p>
            <w:pPr>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68" w:type="pct"/>
            <w:vAlign w:val="center"/>
          </w:tcPr>
          <w:p>
            <w:pPr>
              <w:jc w:val="center"/>
              <w:rPr>
                <w:rFonts w:ascii="仿宋" w:hAnsi="仿宋" w:eastAsia="仿宋" w:cs="仿宋"/>
              </w:rPr>
            </w:pPr>
            <w:r>
              <w:rPr>
                <w:rFonts w:hint="eastAsia" w:ascii="仿宋" w:hAnsi="仿宋" w:eastAsia="仿宋" w:cs="仿宋"/>
              </w:rPr>
              <w:t>9</w:t>
            </w:r>
          </w:p>
        </w:tc>
        <w:tc>
          <w:tcPr>
            <w:tcW w:w="3138" w:type="pct"/>
            <w:vAlign w:val="center"/>
          </w:tcPr>
          <w:p>
            <w:pPr>
              <w:pStyle w:val="30"/>
              <w:rPr>
                <w:rFonts w:ascii="仿宋" w:hAnsi="仿宋" w:eastAsia="仿宋" w:cs="仿宋"/>
                <w:szCs w:val="21"/>
              </w:rPr>
            </w:pPr>
            <w:r>
              <w:rPr>
                <w:rFonts w:hint="eastAsia" w:ascii="仿宋" w:hAnsi="仿宋" w:eastAsia="仿宋" w:cs="仿宋"/>
                <w:szCs w:val="21"/>
              </w:rPr>
              <w:t>同意采购方以任何形式对我方投标/响应文件内容的真实性和有效性进行审查、验证</w:t>
            </w:r>
          </w:p>
        </w:tc>
        <w:tc>
          <w:tcPr>
            <w:tcW w:w="408" w:type="pct"/>
            <w:vAlign w:val="center"/>
          </w:tcPr>
          <w:p>
            <w:pPr>
              <w:jc w:val="center"/>
              <w:rPr>
                <w:rFonts w:ascii="仿宋" w:hAnsi="仿宋" w:eastAsia="仿宋" w:cs="仿宋"/>
                <w:lang w:val="en-GB"/>
              </w:rPr>
            </w:pPr>
          </w:p>
        </w:tc>
        <w:tc>
          <w:tcPr>
            <w:tcW w:w="1086" w:type="pct"/>
            <w:vAlign w:val="center"/>
          </w:tcPr>
          <w:p>
            <w:pPr>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68" w:type="pct"/>
            <w:vAlign w:val="center"/>
          </w:tcPr>
          <w:p>
            <w:pPr>
              <w:jc w:val="center"/>
              <w:rPr>
                <w:rFonts w:ascii="仿宋" w:hAnsi="仿宋" w:eastAsia="仿宋" w:cs="仿宋"/>
              </w:rPr>
            </w:pPr>
            <w:r>
              <w:rPr>
                <w:rFonts w:hint="eastAsia" w:ascii="仿宋" w:hAnsi="仿宋" w:eastAsia="仿宋" w:cs="仿宋"/>
              </w:rPr>
              <w:t>10</w:t>
            </w:r>
          </w:p>
        </w:tc>
        <w:tc>
          <w:tcPr>
            <w:tcW w:w="3138" w:type="pct"/>
            <w:vAlign w:val="center"/>
          </w:tcPr>
          <w:p>
            <w:pPr>
              <w:rPr>
                <w:rFonts w:ascii="仿宋" w:hAnsi="仿宋" w:eastAsia="仿宋" w:cs="仿宋"/>
                <w:sz w:val="18"/>
                <w:szCs w:val="18"/>
              </w:rPr>
            </w:pPr>
            <w:r>
              <w:rPr>
                <w:rFonts w:hint="eastAsia" w:ascii="仿宋" w:hAnsi="仿宋" w:eastAsia="仿宋" w:cs="仿宋"/>
              </w:rPr>
              <w:t>其它商务条款偏离说明：</w:t>
            </w:r>
          </w:p>
        </w:tc>
        <w:tc>
          <w:tcPr>
            <w:tcW w:w="408" w:type="pct"/>
            <w:vAlign w:val="center"/>
          </w:tcPr>
          <w:p>
            <w:pPr>
              <w:jc w:val="center"/>
              <w:rPr>
                <w:rFonts w:ascii="仿宋" w:hAnsi="仿宋" w:eastAsia="仿宋" w:cs="仿宋"/>
              </w:rPr>
            </w:pPr>
          </w:p>
        </w:tc>
        <w:tc>
          <w:tcPr>
            <w:tcW w:w="1086" w:type="pct"/>
            <w:vAlign w:val="center"/>
          </w:tcPr>
          <w:p>
            <w:pPr>
              <w:pStyle w:val="203"/>
              <w:keepNext w:val="0"/>
              <w:adjustRightInd/>
              <w:spacing w:before="0" w:after="0" w:line="240" w:lineRule="auto"/>
              <w:textAlignment w:val="auto"/>
              <w:rPr>
                <w:rFonts w:ascii="仿宋" w:hAnsi="仿宋" w:eastAsia="仿宋" w:cs="仿宋"/>
                <w:snapToGrid/>
                <w:spacing w:val="0"/>
                <w:kern w:val="2"/>
                <w:sz w:val="18"/>
                <w:szCs w:val="18"/>
              </w:rPr>
            </w:pPr>
          </w:p>
        </w:tc>
      </w:tr>
    </w:tbl>
    <w:p>
      <w:pPr>
        <w:ind w:left="630" w:hanging="630" w:hangingChars="300"/>
        <w:rPr>
          <w:rFonts w:ascii="宋体" w:hAnsi="宋体"/>
          <w:lang w:val="en-GB"/>
        </w:rPr>
      </w:pPr>
    </w:p>
    <w:p>
      <w:pPr>
        <w:spacing w:line="360" w:lineRule="auto"/>
        <w:rPr>
          <w:rFonts w:ascii="仿宋" w:hAnsi="仿宋" w:eastAsia="仿宋" w:cs="仿宋"/>
        </w:rPr>
      </w:pPr>
      <w:r>
        <w:rPr>
          <w:rFonts w:hint="eastAsia" w:ascii="仿宋" w:hAnsi="仿宋" w:eastAsia="仿宋" w:cs="仿宋"/>
        </w:rPr>
        <w:t>注：1.对于上述要求，如投标人/响应供应商完全响应，则请在“是否响应”栏内打“√”，对空白或打“×”视为偏离，请在“偏离说明”栏内扼要说明偏离情况。</w:t>
      </w:r>
    </w:p>
    <w:p>
      <w:pPr>
        <w:spacing w:line="360" w:lineRule="auto"/>
        <w:rPr>
          <w:rFonts w:ascii="仿宋" w:hAnsi="仿宋" w:eastAsia="仿宋" w:cs="仿宋"/>
        </w:rPr>
      </w:pPr>
      <w:r>
        <w:rPr>
          <w:rFonts w:hint="eastAsia" w:ascii="仿宋" w:hAnsi="仿宋" w:eastAsia="仿宋" w:cs="仿宋"/>
        </w:rPr>
        <w:t>2.本表内容不得擅自修改。</w:t>
      </w:r>
    </w:p>
    <w:p>
      <w:pPr>
        <w:ind w:left="720" w:hanging="720" w:hangingChars="300"/>
        <w:rPr>
          <w:rFonts w:ascii="仿宋" w:hAnsi="仿宋" w:eastAsia="仿宋" w:cs="仿宋"/>
          <w:sz w:val="24"/>
          <w:lang w:val="en-GB"/>
        </w:rPr>
      </w:pPr>
    </w:p>
    <w:p>
      <w:pPr>
        <w:ind w:left="720" w:hanging="720" w:hangingChars="300"/>
        <w:rPr>
          <w:rFonts w:ascii="仿宋" w:hAnsi="仿宋" w:eastAsia="仿宋" w:cs="仿宋"/>
          <w:sz w:val="24"/>
          <w:lang w:val="en-GB"/>
        </w:rPr>
      </w:pPr>
    </w:p>
    <w:p>
      <w:pPr>
        <w:adjustRightInd w:val="0"/>
        <w:snapToGrid w:val="0"/>
        <w:spacing w:line="300" w:lineRule="auto"/>
        <w:rPr>
          <w:rFonts w:ascii="仿宋" w:hAnsi="仿宋" w:eastAsia="仿宋" w:cs="仿宋"/>
          <w:szCs w:val="21"/>
          <w:u w:val="single"/>
        </w:rPr>
      </w:pPr>
      <w:r>
        <w:rPr>
          <w:rFonts w:hint="eastAsia" w:ascii="仿宋" w:hAnsi="仿宋" w:eastAsia="仿宋" w:cs="仿宋"/>
          <w:szCs w:val="21"/>
        </w:rPr>
        <w:t>投标人/响应供应商法定代表人（机构负责人）签字或签章：：</w:t>
      </w:r>
      <w:r>
        <w:rPr>
          <w:rFonts w:hint="eastAsia" w:ascii="仿宋" w:hAnsi="仿宋" w:eastAsia="仿宋" w:cs="仿宋"/>
          <w:szCs w:val="21"/>
          <w:u w:val="single"/>
        </w:rPr>
        <w:t xml:space="preserve">       </w:t>
      </w:r>
    </w:p>
    <w:p>
      <w:pPr>
        <w:adjustRightInd w:val="0"/>
        <w:snapToGrid w:val="0"/>
        <w:spacing w:line="300" w:lineRule="auto"/>
        <w:rPr>
          <w:rFonts w:ascii="仿宋" w:hAnsi="仿宋" w:eastAsia="仿宋" w:cs="仿宋"/>
          <w:szCs w:val="21"/>
          <w:u w:val="single"/>
        </w:rPr>
      </w:pPr>
      <w:r>
        <w:rPr>
          <w:rFonts w:hint="eastAsia" w:ascii="仿宋" w:hAnsi="仿宋" w:eastAsia="仿宋" w:cs="仿宋"/>
          <w:szCs w:val="21"/>
        </w:rPr>
        <w:t>投标人/响应供应商名称（签章）：</w:t>
      </w:r>
      <w:r>
        <w:rPr>
          <w:rFonts w:hint="eastAsia" w:ascii="仿宋" w:hAnsi="仿宋" w:eastAsia="仿宋" w:cs="仿宋"/>
          <w:szCs w:val="21"/>
          <w:u w:val="single"/>
        </w:rPr>
        <w:t xml:space="preserve">                        </w:t>
      </w:r>
    </w:p>
    <w:p>
      <w:pPr>
        <w:rPr>
          <w:rFonts w:ascii="仿宋" w:hAnsi="仿宋" w:eastAsia="仿宋" w:cs="仿宋"/>
        </w:rPr>
      </w:pPr>
      <w:r>
        <w:rPr>
          <w:rFonts w:hint="eastAsia" w:ascii="仿宋" w:hAnsi="仿宋" w:eastAsia="仿宋" w:cs="仿宋"/>
        </w:rPr>
        <w:t>日期：   年   月   日</w:t>
      </w:r>
    </w:p>
    <w:p>
      <w:pPr>
        <w:rPr>
          <w:rFonts w:ascii="仿宋" w:hAnsi="仿宋" w:eastAsia="仿宋" w:cs="仿宋"/>
        </w:rPr>
      </w:pPr>
    </w:p>
    <w:p>
      <w:pPr>
        <w:rPr>
          <w:rFonts w:ascii="宋体" w:hAnsi="宋体"/>
          <w:szCs w:val="21"/>
        </w:rPr>
      </w:pPr>
    </w:p>
    <w:p>
      <w:pPr>
        <w:pStyle w:val="18"/>
      </w:pPr>
    </w:p>
    <w:p>
      <w:pPr>
        <w:pStyle w:val="18"/>
      </w:pPr>
    </w:p>
    <w:p>
      <w:pPr>
        <w:pStyle w:val="18"/>
      </w:pPr>
    </w:p>
    <w:p>
      <w:pPr>
        <w:pStyle w:val="18"/>
      </w:pPr>
    </w:p>
    <w:p/>
    <w:p>
      <w:pPr>
        <w:pStyle w:val="2"/>
      </w:pPr>
    </w:p>
    <w:p/>
    <w:p>
      <w:pPr>
        <w:pStyle w:val="18"/>
        <w:rPr>
          <w:rFonts w:hint="eastAsia" w:ascii="仿宋" w:hAnsi="仿宋" w:eastAsia="仿宋" w:cs="仿宋"/>
          <w:b/>
          <w:bCs/>
          <w:kern w:val="0"/>
          <w:sz w:val="28"/>
          <w:szCs w:val="28"/>
        </w:rPr>
      </w:pPr>
    </w:p>
    <w:p>
      <w:pPr>
        <w:pStyle w:val="18"/>
        <w:rPr>
          <w:rFonts w:ascii="仿宋" w:hAnsi="仿宋" w:eastAsia="仿宋" w:cs="仿宋"/>
          <w:b/>
          <w:bCs/>
          <w:kern w:val="0"/>
          <w:sz w:val="28"/>
          <w:szCs w:val="28"/>
        </w:rPr>
      </w:pPr>
      <w:r>
        <w:rPr>
          <w:rFonts w:hint="eastAsia" w:ascii="仿宋" w:hAnsi="仿宋" w:eastAsia="仿宋" w:cs="仿宋"/>
          <w:b/>
          <w:bCs/>
          <w:kern w:val="0"/>
          <w:sz w:val="28"/>
          <w:szCs w:val="28"/>
        </w:rPr>
        <w:t>四、服务部分</w:t>
      </w:r>
    </w:p>
    <w:p>
      <w:pPr>
        <w:pStyle w:val="6"/>
        <w:numPr>
          <w:ilvl w:val="3"/>
          <w:numId w:val="0"/>
        </w:numPr>
        <w:rPr>
          <w:rFonts w:ascii="仿宋" w:hAnsi="仿宋" w:eastAsia="仿宋" w:cs="仿宋"/>
          <w:sz w:val="24"/>
          <w:szCs w:val="24"/>
        </w:rPr>
      </w:pPr>
      <w:r>
        <w:rPr>
          <w:rFonts w:hint="eastAsia" w:ascii="仿宋" w:hAnsi="仿宋" w:eastAsia="仿宋" w:cs="仿宋"/>
          <w:sz w:val="24"/>
          <w:szCs w:val="24"/>
        </w:rPr>
        <w:t>4.1服务需求响应表</w:t>
      </w:r>
    </w:p>
    <w:p>
      <w:pPr>
        <w:rPr>
          <w:rFonts w:ascii="仿宋" w:hAnsi="仿宋" w:eastAsia="仿宋" w:cs="仿宋"/>
        </w:rPr>
      </w:pPr>
    </w:p>
    <w:p>
      <w:pPr>
        <w:jc w:val="center"/>
        <w:rPr>
          <w:rFonts w:ascii="仿宋" w:hAnsi="仿宋" w:eastAsia="仿宋" w:cs="仿宋"/>
          <w:b/>
        </w:rPr>
      </w:pPr>
      <w:r>
        <w:rPr>
          <w:rFonts w:hint="eastAsia" w:ascii="仿宋" w:hAnsi="仿宋" w:eastAsia="仿宋" w:cs="仿宋"/>
          <w:b/>
        </w:rPr>
        <w:t>（1）一般服务需求响应表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仿宋" w:hAnsi="仿宋" w:eastAsia="仿宋" w:cs="仿宋"/>
                <w:b/>
              </w:rPr>
            </w:pPr>
            <w:r>
              <w:rPr>
                <w:rFonts w:hint="eastAsia" w:ascii="仿宋" w:hAnsi="仿宋" w:eastAsia="仿宋" w:cs="仿宋"/>
                <w:b/>
              </w:rPr>
              <w:t>序号</w:t>
            </w:r>
          </w:p>
        </w:tc>
        <w:tc>
          <w:tcPr>
            <w:tcW w:w="1716" w:type="dxa"/>
            <w:vAlign w:val="center"/>
          </w:tcPr>
          <w:p>
            <w:pPr>
              <w:jc w:val="center"/>
              <w:rPr>
                <w:rFonts w:ascii="仿宋" w:hAnsi="仿宋" w:eastAsia="仿宋" w:cs="仿宋"/>
                <w:b/>
              </w:rPr>
            </w:pPr>
            <w:r>
              <w:rPr>
                <w:rFonts w:hint="eastAsia" w:ascii="仿宋" w:hAnsi="仿宋" w:eastAsia="仿宋" w:cs="仿宋"/>
                <w:b/>
              </w:rPr>
              <w:t>招标/谈判服务要求</w:t>
            </w:r>
          </w:p>
        </w:tc>
        <w:tc>
          <w:tcPr>
            <w:tcW w:w="3207" w:type="dxa"/>
            <w:vAlign w:val="center"/>
          </w:tcPr>
          <w:p>
            <w:pPr>
              <w:jc w:val="center"/>
              <w:rPr>
                <w:rFonts w:ascii="仿宋" w:hAnsi="仿宋" w:eastAsia="仿宋" w:cs="仿宋"/>
                <w:b/>
              </w:rPr>
            </w:pPr>
            <w:r>
              <w:rPr>
                <w:rFonts w:hint="eastAsia" w:ascii="仿宋" w:hAnsi="仿宋" w:eastAsia="仿宋" w:cs="仿宋"/>
                <w:b/>
              </w:rPr>
              <w:t>投标/响应服务实际情况</w:t>
            </w:r>
          </w:p>
        </w:tc>
        <w:tc>
          <w:tcPr>
            <w:tcW w:w="1890" w:type="dxa"/>
            <w:vAlign w:val="center"/>
          </w:tcPr>
          <w:p>
            <w:pPr>
              <w:jc w:val="center"/>
              <w:rPr>
                <w:rFonts w:ascii="仿宋" w:hAnsi="仿宋" w:eastAsia="仿宋" w:cs="仿宋"/>
                <w:b/>
              </w:rPr>
            </w:pPr>
            <w:r>
              <w:rPr>
                <w:rFonts w:hint="eastAsia" w:ascii="仿宋" w:hAnsi="仿宋" w:eastAsia="仿宋" w:cs="仿宋"/>
                <w:b/>
              </w:rPr>
              <w:t>是否偏离（无偏离/正偏离/负偏离）</w:t>
            </w:r>
          </w:p>
        </w:tc>
        <w:tc>
          <w:tcPr>
            <w:tcW w:w="1157" w:type="dxa"/>
            <w:vAlign w:val="center"/>
          </w:tcPr>
          <w:p>
            <w:pPr>
              <w:jc w:val="center"/>
              <w:rPr>
                <w:rFonts w:ascii="仿宋" w:hAnsi="仿宋" w:eastAsia="仿宋" w:cs="仿宋"/>
                <w:b/>
              </w:rPr>
            </w:pPr>
            <w:r>
              <w:rPr>
                <w:rFonts w:hint="eastAsia" w:ascii="仿宋" w:hAnsi="仿宋" w:eastAsia="仿宋" w:cs="仿宋"/>
                <w:b/>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rPr>
            </w:pPr>
            <w:r>
              <w:rPr>
                <w:rFonts w:hint="eastAsia" w:ascii="仿宋" w:hAnsi="仿宋" w:eastAsia="仿宋" w:cs="仿宋"/>
              </w:rPr>
              <w:t>1</w:t>
            </w:r>
          </w:p>
        </w:tc>
        <w:tc>
          <w:tcPr>
            <w:tcW w:w="1716" w:type="dxa"/>
          </w:tcPr>
          <w:p>
            <w:pPr>
              <w:jc w:val="center"/>
              <w:rPr>
                <w:rFonts w:ascii="仿宋" w:hAnsi="仿宋" w:eastAsia="仿宋" w:cs="仿宋"/>
              </w:rPr>
            </w:pPr>
          </w:p>
        </w:tc>
        <w:tc>
          <w:tcPr>
            <w:tcW w:w="3207" w:type="dxa"/>
          </w:tcPr>
          <w:p>
            <w:pPr>
              <w:rPr>
                <w:rFonts w:ascii="仿宋" w:hAnsi="仿宋" w:eastAsia="仿宋" w:cs="仿宋"/>
              </w:rPr>
            </w:pPr>
          </w:p>
        </w:tc>
        <w:tc>
          <w:tcPr>
            <w:tcW w:w="1890" w:type="dxa"/>
          </w:tcPr>
          <w:p>
            <w:pPr>
              <w:rPr>
                <w:rFonts w:ascii="仿宋" w:hAnsi="仿宋" w:eastAsia="仿宋" w:cs="仿宋"/>
              </w:rPr>
            </w:pPr>
          </w:p>
        </w:tc>
        <w:tc>
          <w:tcPr>
            <w:tcW w:w="1157"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rPr>
            </w:pPr>
            <w:r>
              <w:rPr>
                <w:rFonts w:hint="eastAsia" w:ascii="仿宋" w:hAnsi="仿宋" w:eastAsia="仿宋" w:cs="仿宋"/>
              </w:rPr>
              <w:t>2</w:t>
            </w:r>
          </w:p>
        </w:tc>
        <w:tc>
          <w:tcPr>
            <w:tcW w:w="1716" w:type="dxa"/>
          </w:tcPr>
          <w:p>
            <w:pPr>
              <w:jc w:val="center"/>
              <w:rPr>
                <w:rFonts w:ascii="仿宋" w:hAnsi="仿宋" w:eastAsia="仿宋" w:cs="仿宋"/>
              </w:rPr>
            </w:pPr>
          </w:p>
        </w:tc>
        <w:tc>
          <w:tcPr>
            <w:tcW w:w="3207" w:type="dxa"/>
          </w:tcPr>
          <w:p>
            <w:pPr>
              <w:rPr>
                <w:rFonts w:ascii="仿宋" w:hAnsi="仿宋" w:eastAsia="仿宋" w:cs="仿宋"/>
              </w:rPr>
            </w:pPr>
          </w:p>
        </w:tc>
        <w:tc>
          <w:tcPr>
            <w:tcW w:w="1890" w:type="dxa"/>
          </w:tcPr>
          <w:p>
            <w:pPr>
              <w:rPr>
                <w:rFonts w:ascii="仿宋" w:hAnsi="仿宋" w:eastAsia="仿宋" w:cs="仿宋"/>
              </w:rPr>
            </w:pPr>
          </w:p>
        </w:tc>
        <w:tc>
          <w:tcPr>
            <w:tcW w:w="1157"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rPr>
            </w:pPr>
            <w:r>
              <w:rPr>
                <w:rFonts w:hint="eastAsia" w:ascii="仿宋" w:hAnsi="仿宋" w:eastAsia="仿宋" w:cs="仿宋"/>
              </w:rPr>
              <w:t>3</w:t>
            </w:r>
          </w:p>
        </w:tc>
        <w:tc>
          <w:tcPr>
            <w:tcW w:w="1716" w:type="dxa"/>
          </w:tcPr>
          <w:p>
            <w:pPr>
              <w:jc w:val="center"/>
              <w:rPr>
                <w:rFonts w:ascii="仿宋" w:hAnsi="仿宋" w:eastAsia="仿宋" w:cs="仿宋"/>
              </w:rPr>
            </w:pPr>
          </w:p>
        </w:tc>
        <w:tc>
          <w:tcPr>
            <w:tcW w:w="3207" w:type="dxa"/>
          </w:tcPr>
          <w:p>
            <w:pPr>
              <w:rPr>
                <w:rFonts w:ascii="仿宋" w:hAnsi="仿宋" w:eastAsia="仿宋" w:cs="仿宋"/>
              </w:rPr>
            </w:pPr>
          </w:p>
        </w:tc>
        <w:tc>
          <w:tcPr>
            <w:tcW w:w="1890" w:type="dxa"/>
          </w:tcPr>
          <w:p>
            <w:pPr>
              <w:rPr>
                <w:rFonts w:ascii="仿宋" w:hAnsi="仿宋" w:eastAsia="仿宋" w:cs="仿宋"/>
              </w:rPr>
            </w:pPr>
          </w:p>
        </w:tc>
        <w:tc>
          <w:tcPr>
            <w:tcW w:w="1157"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rPr>
            </w:pPr>
            <w:r>
              <w:rPr>
                <w:rFonts w:hint="eastAsia" w:ascii="仿宋" w:hAnsi="仿宋" w:eastAsia="仿宋" w:cs="仿宋"/>
              </w:rPr>
              <w:t>4</w:t>
            </w:r>
          </w:p>
        </w:tc>
        <w:tc>
          <w:tcPr>
            <w:tcW w:w="1716" w:type="dxa"/>
          </w:tcPr>
          <w:p>
            <w:pPr>
              <w:jc w:val="center"/>
              <w:rPr>
                <w:rFonts w:ascii="仿宋" w:hAnsi="仿宋" w:eastAsia="仿宋" w:cs="仿宋"/>
              </w:rPr>
            </w:pPr>
          </w:p>
        </w:tc>
        <w:tc>
          <w:tcPr>
            <w:tcW w:w="3207" w:type="dxa"/>
          </w:tcPr>
          <w:p>
            <w:pPr>
              <w:rPr>
                <w:rFonts w:ascii="仿宋" w:hAnsi="仿宋" w:eastAsia="仿宋" w:cs="仿宋"/>
              </w:rPr>
            </w:pPr>
          </w:p>
        </w:tc>
        <w:tc>
          <w:tcPr>
            <w:tcW w:w="1890" w:type="dxa"/>
          </w:tcPr>
          <w:p>
            <w:pPr>
              <w:rPr>
                <w:rFonts w:ascii="仿宋" w:hAnsi="仿宋" w:eastAsia="仿宋" w:cs="仿宋"/>
              </w:rPr>
            </w:pPr>
          </w:p>
        </w:tc>
        <w:tc>
          <w:tcPr>
            <w:tcW w:w="1157"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rPr>
            </w:pPr>
            <w:r>
              <w:rPr>
                <w:rFonts w:hint="eastAsia" w:ascii="仿宋" w:hAnsi="仿宋" w:eastAsia="仿宋" w:cs="仿宋"/>
              </w:rPr>
              <w:t>5</w:t>
            </w:r>
          </w:p>
        </w:tc>
        <w:tc>
          <w:tcPr>
            <w:tcW w:w="1716" w:type="dxa"/>
          </w:tcPr>
          <w:p>
            <w:pPr>
              <w:jc w:val="center"/>
              <w:rPr>
                <w:rFonts w:ascii="仿宋" w:hAnsi="仿宋" w:eastAsia="仿宋" w:cs="仿宋"/>
              </w:rPr>
            </w:pPr>
          </w:p>
        </w:tc>
        <w:tc>
          <w:tcPr>
            <w:tcW w:w="3207" w:type="dxa"/>
          </w:tcPr>
          <w:p>
            <w:pPr>
              <w:rPr>
                <w:rFonts w:ascii="仿宋" w:hAnsi="仿宋" w:eastAsia="仿宋" w:cs="仿宋"/>
              </w:rPr>
            </w:pPr>
          </w:p>
        </w:tc>
        <w:tc>
          <w:tcPr>
            <w:tcW w:w="1890" w:type="dxa"/>
          </w:tcPr>
          <w:p>
            <w:pPr>
              <w:rPr>
                <w:rFonts w:ascii="仿宋" w:hAnsi="仿宋" w:eastAsia="仿宋" w:cs="仿宋"/>
              </w:rPr>
            </w:pPr>
          </w:p>
        </w:tc>
        <w:tc>
          <w:tcPr>
            <w:tcW w:w="1157"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rPr>
            </w:pPr>
            <w:r>
              <w:rPr>
                <w:rFonts w:hint="eastAsia" w:ascii="仿宋" w:hAnsi="仿宋" w:eastAsia="仿宋" w:cs="仿宋"/>
              </w:rPr>
              <w:t>6</w:t>
            </w:r>
          </w:p>
        </w:tc>
        <w:tc>
          <w:tcPr>
            <w:tcW w:w="1716" w:type="dxa"/>
          </w:tcPr>
          <w:p>
            <w:pPr>
              <w:jc w:val="center"/>
              <w:rPr>
                <w:rFonts w:ascii="仿宋" w:hAnsi="仿宋" w:eastAsia="仿宋" w:cs="仿宋"/>
              </w:rPr>
            </w:pPr>
          </w:p>
        </w:tc>
        <w:tc>
          <w:tcPr>
            <w:tcW w:w="3207" w:type="dxa"/>
          </w:tcPr>
          <w:p>
            <w:pPr>
              <w:rPr>
                <w:rFonts w:ascii="仿宋" w:hAnsi="仿宋" w:eastAsia="仿宋" w:cs="仿宋"/>
              </w:rPr>
            </w:pPr>
          </w:p>
        </w:tc>
        <w:tc>
          <w:tcPr>
            <w:tcW w:w="1890" w:type="dxa"/>
          </w:tcPr>
          <w:p>
            <w:pPr>
              <w:rPr>
                <w:rFonts w:ascii="仿宋" w:hAnsi="仿宋" w:eastAsia="仿宋" w:cs="仿宋"/>
              </w:rPr>
            </w:pPr>
          </w:p>
        </w:tc>
        <w:tc>
          <w:tcPr>
            <w:tcW w:w="1157"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rPr>
            </w:pPr>
            <w:r>
              <w:rPr>
                <w:rFonts w:hint="eastAsia" w:ascii="仿宋" w:hAnsi="仿宋" w:eastAsia="仿宋" w:cs="仿宋"/>
              </w:rPr>
              <w:t>7</w:t>
            </w:r>
          </w:p>
        </w:tc>
        <w:tc>
          <w:tcPr>
            <w:tcW w:w="1716" w:type="dxa"/>
          </w:tcPr>
          <w:p>
            <w:pPr>
              <w:jc w:val="center"/>
              <w:rPr>
                <w:rFonts w:ascii="仿宋" w:hAnsi="仿宋" w:eastAsia="仿宋" w:cs="仿宋"/>
              </w:rPr>
            </w:pPr>
          </w:p>
        </w:tc>
        <w:tc>
          <w:tcPr>
            <w:tcW w:w="3207" w:type="dxa"/>
          </w:tcPr>
          <w:p>
            <w:pPr>
              <w:rPr>
                <w:rFonts w:ascii="仿宋" w:hAnsi="仿宋" w:eastAsia="仿宋" w:cs="仿宋"/>
              </w:rPr>
            </w:pPr>
          </w:p>
        </w:tc>
        <w:tc>
          <w:tcPr>
            <w:tcW w:w="1890" w:type="dxa"/>
          </w:tcPr>
          <w:p>
            <w:pPr>
              <w:rPr>
                <w:rFonts w:ascii="仿宋" w:hAnsi="仿宋" w:eastAsia="仿宋" w:cs="仿宋"/>
              </w:rPr>
            </w:pPr>
          </w:p>
        </w:tc>
        <w:tc>
          <w:tcPr>
            <w:tcW w:w="1157"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rPr>
            </w:pPr>
            <w:r>
              <w:rPr>
                <w:rFonts w:hint="eastAsia" w:ascii="仿宋" w:hAnsi="仿宋" w:eastAsia="仿宋" w:cs="仿宋"/>
              </w:rPr>
              <w:t>8</w:t>
            </w:r>
          </w:p>
        </w:tc>
        <w:tc>
          <w:tcPr>
            <w:tcW w:w="1716" w:type="dxa"/>
          </w:tcPr>
          <w:p>
            <w:pPr>
              <w:jc w:val="center"/>
              <w:rPr>
                <w:rFonts w:ascii="仿宋" w:hAnsi="仿宋" w:eastAsia="仿宋" w:cs="仿宋"/>
              </w:rPr>
            </w:pPr>
          </w:p>
        </w:tc>
        <w:tc>
          <w:tcPr>
            <w:tcW w:w="3207" w:type="dxa"/>
          </w:tcPr>
          <w:p>
            <w:pPr>
              <w:rPr>
                <w:rFonts w:ascii="仿宋" w:hAnsi="仿宋" w:eastAsia="仿宋" w:cs="仿宋"/>
              </w:rPr>
            </w:pPr>
          </w:p>
        </w:tc>
        <w:tc>
          <w:tcPr>
            <w:tcW w:w="1890" w:type="dxa"/>
          </w:tcPr>
          <w:p>
            <w:pPr>
              <w:rPr>
                <w:rFonts w:ascii="仿宋" w:hAnsi="仿宋" w:eastAsia="仿宋" w:cs="仿宋"/>
              </w:rPr>
            </w:pPr>
          </w:p>
        </w:tc>
        <w:tc>
          <w:tcPr>
            <w:tcW w:w="1157"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仿宋" w:hAnsi="仿宋" w:eastAsia="仿宋" w:cs="仿宋"/>
              </w:rPr>
            </w:pPr>
            <w:r>
              <w:rPr>
                <w:rFonts w:hint="eastAsia" w:ascii="仿宋" w:hAnsi="仿宋" w:eastAsia="仿宋" w:cs="仿宋"/>
              </w:rPr>
              <w:t>…</w:t>
            </w:r>
          </w:p>
        </w:tc>
        <w:tc>
          <w:tcPr>
            <w:tcW w:w="1716" w:type="dxa"/>
          </w:tcPr>
          <w:p>
            <w:pPr>
              <w:jc w:val="center"/>
              <w:rPr>
                <w:rFonts w:ascii="仿宋" w:hAnsi="仿宋" w:eastAsia="仿宋" w:cs="仿宋"/>
              </w:rPr>
            </w:pPr>
          </w:p>
        </w:tc>
        <w:tc>
          <w:tcPr>
            <w:tcW w:w="3207" w:type="dxa"/>
          </w:tcPr>
          <w:p>
            <w:pPr>
              <w:rPr>
                <w:rFonts w:ascii="仿宋" w:hAnsi="仿宋" w:eastAsia="仿宋" w:cs="仿宋"/>
              </w:rPr>
            </w:pPr>
          </w:p>
        </w:tc>
        <w:tc>
          <w:tcPr>
            <w:tcW w:w="1890" w:type="dxa"/>
          </w:tcPr>
          <w:p>
            <w:pPr>
              <w:rPr>
                <w:rFonts w:ascii="仿宋" w:hAnsi="仿宋" w:eastAsia="仿宋" w:cs="仿宋"/>
              </w:rPr>
            </w:pPr>
          </w:p>
        </w:tc>
        <w:tc>
          <w:tcPr>
            <w:tcW w:w="1157" w:type="dxa"/>
          </w:tcPr>
          <w:p>
            <w:pPr>
              <w:rPr>
                <w:rFonts w:ascii="仿宋" w:hAnsi="仿宋" w:eastAsia="仿宋" w:cs="仿宋"/>
              </w:rPr>
            </w:pPr>
          </w:p>
        </w:tc>
      </w:tr>
    </w:tbl>
    <w:p>
      <w:pPr>
        <w:rPr>
          <w:rFonts w:ascii="仿宋" w:hAnsi="仿宋" w:eastAsia="仿宋" w:cs="仿宋"/>
        </w:rPr>
      </w:pPr>
    </w:p>
    <w:p>
      <w:pPr>
        <w:spacing w:after="120"/>
        <w:ind w:left="1157" w:hanging="1157"/>
        <w:rPr>
          <w:rFonts w:ascii="仿宋" w:hAnsi="仿宋" w:eastAsia="仿宋" w:cs="仿宋"/>
        </w:rPr>
      </w:pPr>
      <w:r>
        <w:rPr>
          <w:rFonts w:hint="eastAsia" w:ascii="仿宋" w:hAnsi="仿宋" w:eastAsia="仿宋" w:cs="仿宋"/>
        </w:rPr>
        <w:t>说明：</w:t>
      </w:r>
    </w:p>
    <w:p>
      <w:pPr>
        <w:spacing w:line="360" w:lineRule="auto"/>
        <w:rPr>
          <w:rFonts w:ascii="仿宋" w:hAnsi="仿宋" w:eastAsia="仿宋" w:cs="仿宋"/>
        </w:rPr>
      </w:pPr>
      <w:r>
        <w:rPr>
          <w:rFonts w:hint="eastAsia" w:ascii="仿宋" w:hAnsi="仿宋" w:eastAsia="仿宋" w:cs="仿宋"/>
        </w:rPr>
        <w:t>1.投标人/响应供应商必须对应投标/谈判文件“采购项目要求”的内容逐条响应。如有缺漏，</w:t>
      </w:r>
    </w:p>
    <w:p>
      <w:pPr>
        <w:spacing w:line="360" w:lineRule="auto"/>
        <w:rPr>
          <w:rFonts w:ascii="仿宋" w:hAnsi="仿宋" w:eastAsia="仿宋" w:cs="仿宋"/>
        </w:rPr>
      </w:pPr>
      <w:r>
        <w:rPr>
          <w:rFonts w:hint="eastAsia" w:ascii="仿宋" w:hAnsi="仿宋" w:eastAsia="仿宋" w:cs="仿宋"/>
        </w:rPr>
        <w:t>缺漏项视同不符合招标/谈判要求。</w:t>
      </w:r>
    </w:p>
    <w:p>
      <w:pPr>
        <w:spacing w:line="360" w:lineRule="auto"/>
        <w:rPr>
          <w:rFonts w:ascii="仿宋" w:hAnsi="仿宋" w:eastAsia="仿宋" w:cs="仿宋"/>
        </w:rPr>
      </w:pPr>
      <w:r>
        <w:rPr>
          <w:rFonts w:hint="eastAsia" w:ascii="仿宋" w:hAnsi="仿宋" w:eastAsia="仿宋" w:cs="仿宋"/>
        </w:rPr>
        <w:t>2.投标人/响应供应商响应采购需求应具体、明确，含糊不清、不确切或伪造、变造证明材料的，按照不完全响应或者完全不响应处理。构成提供虚假材料的，移送监管部门查处。</w:t>
      </w:r>
    </w:p>
    <w:p>
      <w:pPr>
        <w:spacing w:line="360" w:lineRule="auto"/>
        <w:rPr>
          <w:rFonts w:ascii="仿宋" w:hAnsi="仿宋" w:eastAsia="仿宋" w:cs="仿宋"/>
        </w:rPr>
      </w:pPr>
      <w:r>
        <w:rPr>
          <w:rFonts w:hint="eastAsia" w:ascii="仿宋" w:hAnsi="仿宋" w:eastAsia="仿宋" w:cs="仿宋"/>
        </w:rPr>
        <w:t>3.本表内容不得擅自修改。</w:t>
      </w:r>
    </w:p>
    <w:p>
      <w:pPr>
        <w:adjustRightInd w:val="0"/>
        <w:snapToGrid w:val="0"/>
        <w:spacing w:line="300" w:lineRule="auto"/>
        <w:rPr>
          <w:rFonts w:ascii="仿宋" w:hAnsi="仿宋" w:eastAsia="仿宋" w:cs="仿宋"/>
          <w:szCs w:val="21"/>
        </w:rPr>
      </w:pPr>
    </w:p>
    <w:p>
      <w:pPr>
        <w:adjustRightInd w:val="0"/>
        <w:snapToGrid w:val="0"/>
        <w:spacing w:line="300" w:lineRule="auto"/>
        <w:rPr>
          <w:rFonts w:ascii="仿宋" w:hAnsi="仿宋" w:eastAsia="仿宋" w:cs="仿宋"/>
          <w:szCs w:val="21"/>
        </w:rPr>
      </w:pPr>
      <w:r>
        <w:rPr>
          <w:rFonts w:hint="eastAsia" w:ascii="仿宋" w:hAnsi="仿宋" w:eastAsia="仿宋" w:cs="仿宋"/>
          <w:szCs w:val="21"/>
        </w:rPr>
        <w:t>投标人/响应供应商法定代表人（机构负责人）签字或签章：：</w:t>
      </w:r>
      <w:r>
        <w:rPr>
          <w:rFonts w:hint="eastAsia" w:ascii="仿宋" w:hAnsi="仿宋" w:eastAsia="仿宋" w:cs="仿宋"/>
          <w:szCs w:val="21"/>
          <w:u w:val="single"/>
        </w:rPr>
        <w:t xml:space="preserve">       </w:t>
      </w:r>
    </w:p>
    <w:p>
      <w:pPr>
        <w:adjustRightInd w:val="0"/>
        <w:snapToGrid w:val="0"/>
        <w:spacing w:line="300" w:lineRule="auto"/>
        <w:rPr>
          <w:rFonts w:ascii="仿宋" w:hAnsi="仿宋" w:eastAsia="仿宋" w:cs="仿宋"/>
          <w:szCs w:val="21"/>
          <w:u w:val="single"/>
        </w:rPr>
      </w:pPr>
      <w:r>
        <w:rPr>
          <w:rFonts w:hint="eastAsia" w:ascii="仿宋" w:hAnsi="仿宋" w:eastAsia="仿宋" w:cs="仿宋"/>
          <w:szCs w:val="21"/>
        </w:rPr>
        <w:t>投标人/响应供应商名称（签章）：</w:t>
      </w:r>
      <w:r>
        <w:rPr>
          <w:rFonts w:hint="eastAsia" w:ascii="仿宋" w:hAnsi="仿宋" w:eastAsia="仿宋" w:cs="仿宋"/>
          <w:szCs w:val="21"/>
          <w:u w:val="single"/>
        </w:rPr>
        <w:t xml:space="preserve">                        </w:t>
      </w:r>
    </w:p>
    <w:p>
      <w:pPr>
        <w:rPr>
          <w:rFonts w:ascii="仿宋" w:hAnsi="仿宋" w:eastAsia="仿宋" w:cs="仿宋"/>
          <w:szCs w:val="21"/>
        </w:rPr>
      </w:pPr>
      <w:r>
        <w:rPr>
          <w:rFonts w:hint="eastAsia" w:ascii="仿宋" w:hAnsi="仿宋" w:eastAsia="仿宋" w:cs="仿宋"/>
          <w:szCs w:val="21"/>
        </w:rPr>
        <w:t>日期：   年   月   日</w:t>
      </w:r>
    </w:p>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b/>
          <w:sz w:val="24"/>
        </w:rPr>
      </w:pPr>
      <w:r>
        <w:rPr>
          <w:rFonts w:hint="eastAsia" w:ascii="仿宋" w:hAnsi="仿宋" w:eastAsia="仿宋" w:cs="仿宋"/>
          <w:sz w:val="24"/>
          <w:szCs w:val="24"/>
        </w:rPr>
        <w:t>4.2</w:t>
      </w:r>
      <w:r>
        <w:rPr>
          <w:rFonts w:hint="eastAsia" w:ascii="仿宋" w:hAnsi="仿宋" w:eastAsia="仿宋" w:cs="仿宋"/>
          <w:b/>
          <w:sz w:val="24"/>
        </w:rPr>
        <w:t>拟任执行管理及技术人员情况</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080"/>
        <w:gridCol w:w="791"/>
        <w:gridCol w:w="1973"/>
        <w:gridCol w:w="623"/>
        <w:gridCol w:w="1695"/>
        <w:gridCol w:w="674"/>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exact"/>
          <w:jc w:val="center"/>
        </w:trPr>
        <w:tc>
          <w:tcPr>
            <w:tcW w:w="325" w:type="pct"/>
            <w:tcBorders>
              <w:top w:val="single" w:color="auto" w:sz="4" w:space="0"/>
              <w:left w:val="single" w:color="auto" w:sz="4" w:space="0"/>
              <w:bottom w:val="nil"/>
              <w:right w:val="single" w:color="auto" w:sz="4" w:space="0"/>
            </w:tcBorders>
            <w:shd w:val="clear" w:color="auto" w:fill="F3F3F3"/>
            <w:vAlign w:val="center"/>
          </w:tcPr>
          <w:p>
            <w:pPr>
              <w:rPr>
                <w:rFonts w:ascii="仿宋" w:hAnsi="仿宋" w:eastAsia="仿宋" w:cs="仿宋"/>
                <w:b/>
              </w:rPr>
            </w:pPr>
            <w:r>
              <w:rPr>
                <w:rFonts w:hint="eastAsia" w:ascii="仿宋" w:hAnsi="仿宋" w:eastAsia="仿宋" w:cs="仿宋"/>
                <w:b/>
              </w:rPr>
              <w:t>职责分工</w:t>
            </w:r>
          </w:p>
        </w:tc>
        <w:tc>
          <w:tcPr>
            <w:tcW w:w="633" w:type="pct"/>
            <w:tcBorders>
              <w:top w:val="single" w:color="auto" w:sz="4" w:space="0"/>
              <w:left w:val="single" w:color="auto" w:sz="4" w:space="0"/>
              <w:bottom w:val="nil"/>
              <w:right w:val="single" w:color="auto" w:sz="4" w:space="0"/>
            </w:tcBorders>
            <w:shd w:val="clear" w:color="auto" w:fill="F3F3F3"/>
            <w:vAlign w:val="center"/>
          </w:tcPr>
          <w:p>
            <w:pPr>
              <w:jc w:val="center"/>
              <w:rPr>
                <w:rFonts w:ascii="仿宋" w:hAnsi="仿宋" w:eastAsia="仿宋" w:cs="仿宋"/>
                <w:b/>
              </w:rPr>
            </w:pPr>
            <w:r>
              <w:rPr>
                <w:rFonts w:hint="eastAsia" w:ascii="仿宋" w:hAnsi="仿宋" w:eastAsia="仿宋" w:cs="仿宋"/>
                <w:b/>
              </w:rPr>
              <w:t>姓名</w:t>
            </w:r>
          </w:p>
        </w:tc>
        <w:tc>
          <w:tcPr>
            <w:tcW w:w="464" w:type="pct"/>
            <w:tcBorders>
              <w:top w:val="single" w:color="auto" w:sz="4" w:space="0"/>
              <w:left w:val="single" w:color="auto" w:sz="4" w:space="0"/>
              <w:bottom w:val="nil"/>
            </w:tcBorders>
            <w:shd w:val="clear" w:color="auto" w:fill="F3F3F3"/>
            <w:vAlign w:val="center"/>
          </w:tcPr>
          <w:p>
            <w:pPr>
              <w:rPr>
                <w:rFonts w:ascii="仿宋" w:hAnsi="仿宋" w:eastAsia="仿宋" w:cs="仿宋"/>
                <w:b/>
              </w:rPr>
            </w:pPr>
            <w:r>
              <w:rPr>
                <w:rFonts w:hint="eastAsia" w:ascii="仿宋" w:hAnsi="仿宋" w:eastAsia="仿宋" w:cs="仿宋"/>
                <w:b/>
              </w:rPr>
              <w:t>现职务</w:t>
            </w:r>
          </w:p>
        </w:tc>
        <w:tc>
          <w:tcPr>
            <w:tcW w:w="1157" w:type="pct"/>
            <w:tcBorders>
              <w:top w:val="single" w:color="auto" w:sz="4" w:space="0"/>
              <w:bottom w:val="nil"/>
            </w:tcBorders>
            <w:shd w:val="clear" w:color="auto" w:fill="F3F3F3"/>
            <w:vAlign w:val="center"/>
          </w:tcPr>
          <w:p>
            <w:pPr>
              <w:jc w:val="center"/>
              <w:rPr>
                <w:rFonts w:ascii="仿宋" w:hAnsi="仿宋" w:eastAsia="仿宋" w:cs="仿宋"/>
                <w:b/>
              </w:rPr>
            </w:pPr>
            <w:r>
              <w:rPr>
                <w:rFonts w:hint="eastAsia" w:ascii="仿宋" w:hAnsi="仿宋" w:eastAsia="仿宋" w:cs="仿宋"/>
                <w:b/>
              </w:rPr>
              <w:t>持何种资格证书</w:t>
            </w:r>
          </w:p>
        </w:tc>
        <w:tc>
          <w:tcPr>
            <w:tcW w:w="365" w:type="pct"/>
            <w:tcBorders>
              <w:top w:val="single" w:color="auto" w:sz="4" w:space="0"/>
              <w:bottom w:val="nil"/>
            </w:tcBorders>
            <w:shd w:val="clear" w:color="auto" w:fill="F3F3F3"/>
            <w:vAlign w:val="center"/>
          </w:tcPr>
          <w:p>
            <w:pPr>
              <w:jc w:val="center"/>
              <w:rPr>
                <w:rFonts w:ascii="仿宋" w:hAnsi="仿宋" w:eastAsia="仿宋" w:cs="仿宋"/>
                <w:b/>
              </w:rPr>
            </w:pPr>
            <w:r>
              <w:rPr>
                <w:rFonts w:hint="eastAsia" w:ascii="仿宋" w:hAnsi="仿宋" w:eastAsia="仿宋" w:cs="仿宋"/>
                <w:b/>
              </w:rPr>
              <w:t>发证时间</w:t>
            </w:r>
          </w:p>
        </w:tc>
        <w:tc>
          <w:tcPr>
            <w:tcW w:w="994" w:type="pct"/>
            <w:tcBorders>
              <w:top w:val="single" w:color="auto" w:sz="4" w:space="0"/>
              <w:bottom w:val="nil"/>
            </w:tcBorders>
            <w:shd w:val="clear" w:color="auto" w:fill="F3F3F3"/>
            <w:vAlign w:val="center"/>
          </w:tcPr>
          <w:p>
            <w:pPr>
              <w:jc w:val="center"/>
              <w:rPr>
                <w:rFonts w:ascii="仿宋" w:hAnsi="仿宋" w:eastAsia="仿宋" w:cs="仿宋"/>
                <w:b/>
              </w:rPr>
            </w:pPr>
            <w:r>
              <w:rPr>
                <w:rFonts w:hint="eastAsia" w:ascii="仿宋" w:hAnsi="仿宋" w:eastAsia="仿宋" w:cs="仿宋"/>
                <w:b/>
              </w:rPr>
              <w:t>曾主持/参与的同类项目经历</w:t>
            </w:r>
          </w:p>
        </w:tc>
        <w:tc>
          <w:tcPr>
            <w:tcW w:w="395" w:type="pct"/>
            <w:tcBorders>
              <w:top w:val="single" w:color="auto" w:sz="4" w:space="0"/>
              <w:bottom w:val="nil"/>
              <w:right w:val="single" w:color="auto" w:sz="4" w:space="0"/>
            </w:tcBorders>
            <w:shd w:val="clear" w:color="auto" w:fill="F3F3F3"/>
            <w:vAlign w:val="center"/>
          </w:tcPr>
          <w:p>
            <w:pPr>
              <w:rPr>
                <w:rFonts w:ascii="仿宋" w:hAnsi="仿宋" w:eastAsia="仿宋" w:cs="仿宋"/>
                <w:b/>
              </w:rPr>
            </w:pPr>
            <w:r>
              <w:rPr>
                <w:rFonts w:hint="eastAsia" w:ascii="仿宋" w:hAnsi="仿宋" w:eastAsia="仿宋" w:cs="仿宋"/>
                <w:b/>
              </w:rPr>
              <w:t>职称</w:t>
            </w:r>
          </w:p>
        </w:tc>
        <w:tc>
          <w:tcPr>
            <w:tcW w:w="668" w:type="pct"/>
            <w:tcBorders>
              <w:top w:val="single" w:color="auto" w:sz="4" w:space="0"/>
              <w:bottom w:val="nil"/>
              <w:right w:val="single" w:color="auto" w:sz="4" w:space="0"/>
            </w:tcBorders>
            <w:shd w:val="clear" w:color="auto" w:fill="F3F3F3"/>
            <w:vAlign w:val="center"/>
          </w:tcPr>
          <w:p>
            <w:pPr>
              <w:ind w:firstLine="12"/>
              <w:jc w:val="center"/>
              <w:rPr>
                <w:rFonts w:ascii="仿宋" w:hAnsi="仿宋" w:eastAsia="仿宋" w:cs="仿宋"/>
                <w:b/>
              </w:rPr>
            </w:pPr>
            <w:r>
              <w:rPr>
                <w:rFonts w:hint="eastAsia" w:ascii="仿宋" w:hAnsi="仿宋" w:eastAsia="仿宋" w:cs="仿宋"/>
                <w:b/>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325" w:type="pct"/>
            <w:tcBorders>
              <w:top w:val="single" w:color="auto" w:sz="4" w:space="0"/>
              <w:left w:val="single" w:color="auto" w:sz="4" w:space="0"/>
              <w:bottom w:val="nil"/>
              <w:right w:val="single" w:color="auto" w:sz="4" w:space="0"/>
            </w:tcBorders>
            <w:vAlign w:val="center"/>
          </w:tcPr>
          <w:p>
            <w:pPr>
              <w:rPr>
                <w:rFonts w:ascii="仿宋" w:hAnsi="仿宋" w:eastAsia="仿宋" w:cs="仿宋"/>
              </w:rPr>
            </w:pPr>
            <w:r>
              <w:rPr>
                <w:rFonts w:hint="eastAsia" w:ascii="仿宋" w:hAnsi="仿宋" w:eastAsia="仿宋" w:cs="仿宋"/>
              </w:rPr>
              <w:t>总负责人</w:t>
            </w:r>
          </w:p>
        </w:tc>
        <w:tc>
          <w:tcPr>
            <w:tcW w:w="633" w:type="pct"/>
            <w:tcBorders>
              <w:top w:val="single" w:color="auto" w:sz="4" w:space="0"/>
              <w:left w:val="single" w:color="auto" w:sz="4" w:space="0"/>
              <w:bottom w:val="nil"/>
              <w:right w:val="single" w:color="auto" w:sz="4" w:space="0"/>
            </w:tcBorders>
            <w:vAlign w:val="center"/>
          </w:tcPr>
          <w:p>
            <w:pPr>
              <w:jc w:val="center"/>
              <w:rPr>
                <w:rFonts w:ascii="仿宋" w:hAnsi="仿宋" w:eastAsia="仿宋" w:cs="仿宋"/>
              </w:rPr>
            </w:pPr>
          </w:p>
        </w:tc>
        <w:tc>
          <w:tcPr>
            <w:tcW w:w="464" w:type="pct"/>
            <w:tcBorders>
              <w:top w:val="single" w:color="auto" w:sz="4" w:space="0"/>
              <w:left w:val="single" w:color="auto" w:sz="4" w:space="0"/>
              <w:bottom w:val="nil"/>
            </w:tcBorders>
            <w:vAlign w:val="center"/>
          </w:tcPr>
          <w:p>
            <w:pPr>
              <w:jc w:val="center"/>
              <w:rPr>
                <w:rFonts w:ascii="仿宋" w:hAnsi="仿宋" w:eastAsia="仿宋" w:cs="仿宋"/>
              </w:rPr>
            </w:pPr>
          </w:p>
        </w:tc>
        <w:tc>
          <w:tcPr>
            <w:tcW w:w="1157" w:type="pct"/>
            <w:tcBorders>
              <w:top w:val="single" w:color="auto" w:sz="4" w:space="0"/>
              <w:bottom w:val="nil"/>
            </w:tcBorders>
          </w:tcPr>
          <w:p>
            <w:pPr>
              <w:pStyle w:val="203"/>
              <w:keepNext w:val="0"/>
              <w:adjustRightInd/>
              <w:spacing w:before="0" w:after="0" w:line="240" w:lineRule="auto"/>
              <w:textAlignment w:val="auto"/>
              <w:rPr>
                <w:rFonts w:ascii="仿宋" w:hAnsi="仿宋" w:eastAsia="仿宋" w:cs="仿宋"/>
                <w:snapToGrid/>
                <w:spacing w:val="0"/>
                <w:kern w:val="2"/>
                <w:sz w:val="21"/>
                <w:szCs w:val="24"/>
              </w:rPr>
            </w:pPr>
          </w:p>
        </w:tc>
        <w:tc>
          <w:tcPr>
            <w:tcW w:w="365" w:type="pct"/>
            <w:tcBorders>
              <w:top w:val="single" w:color="auto" w:sz="4" w:space="0"/>
              <w:bottom w:val="nil"/>
            </w:tcBorders>
            <w:vAlign w:val="center"/>
          </w:tcPr>
          <w:p>
            <w:pPr>
              <w:pStyle w:val="203"/>
              <w:keepNext w:val="0"/>
              <w:adjustRightInd/>
              <w:spacing w:before="0" w:after="0" w:line="240" w:lineRule="auto"/>
              <w:textAlignment w:val="auto"/>
              <w:rPr>
                <w:rFonts w:ascii="仿宋" w:hAnsi="仿宋" w:eastAsia="仿宋" w:cs="仿宋"/>
                <w:snapToGrid/>
                <w:spacing w:val="0"/>
                <w:kern w:val="2"/>
                <w:sz w:val="21"/>
                <w:szCs w:val="24"/>
              </w:rPr>
            </w:pPr>
          </w:p>
        </w:tc>
        <w:tc>
          <w:tcPr>
            <w:tcW w:w="994" w:type="pct"/>
            <w:tcBorders>
              <w:top w:val="single" w:color="auto" w:sz="4" w:space="0"/>
              <w:bottom w:val="nil"/>
            </w:tcBorders>
            <w:vAlign w:val="center"/>
          </w:tcPr>
          <w:p>
            <w:pPr>
              <w:jc w:val="center"/>
              <w:rPr>
                <w:rFonts w:ascii="仿宋" w:hAnsi="仿宋" w:eastAsia="仿宋" w:cs="仿宋"/>
              </w:rPr>
            </w:pPr>
          </w:p>
        </w:tc>
        <w:tc>
          <w:tcPr>
            <w:tcW w:w="395" w:type="pct"/>
            <w:tcBorders>
              <w:top w:val="single" w:color="auto" w:sz="4" w:space="0"/>
              <w:bottom w:val="nil"/>
              <w:right w:val="single" w:color="auto" w:sz="4" w:space="0"/>
            </w:tcBorders>
            <w:vAlign w:val="center"/>
          </w:tcPr>
          <w:p>
            <w:pPr>
              <w:ind w:firstLine="12"/>
              <w:jc w:val="center"/>
              <w:rPr>
                <w:rFonts w:ascii="仿宋" w:hAnsi="仿宋" w:eastAsia="仿宋" w:cs="仿宋"/>
              </w:rPr>
            </w:pPr>
          </w:p>
        </w:tc>
        <w:tc>
          <w:tcPr>
            <w:tcW w:w="668" w:type="pct"/>
            <w:tcBorders>
              <w:top w:val="single" w:color="auto" w:sz="4" w:space="0"/>
              <w:bottom w:val="nil"/>
              <w:right w:val="single" w:color="auto" w:sz="4" w:space="0"/>
            </w:tcBorders>
            <w:vAlign w:val="center"/>
          </w:tcPr>
          <w:p>
            <w:pPr>
              <w:ind w:firstLine="12"/>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25" w:type="pct"/>
            <w:vMerge w:val="restart"/>
            <w:tcBorders>
              <w:left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rPr>
              <w:t>其他主要技术人员</w:t>
            </w:r>
          </w:p>
        </w:tc>
        <w:tc>
          <w:tcPr>
            <w:tcW w:w="633" w:type="pct"/>
            <w:tcBorders>
              <w:left w:val="single" w:color="auto" w:sz="4" w:space="0"/>
              <w:right w:val="single" w:color="auto" w:sz="4" w:space="0"/>
            </w:tcBorders>
            <w:vAlign w:val="center"/>
          </w:tcPr>
          <w:p>
            <w:pPr>
              <w:jc w:val="center"/>
              <w:rPr>
                <w:rFonts w:ascii="仿宋" w:hAnsi="仿宋" w:eastAsia="仿宋" w:cs="仿宋"/>
              </w:rPr>
            </w:pPr>
          </w:p>
        </w:tc>
        <w:tc>
          <w:tcPr>
            <w:tcW w:w="464" w:type="pct"/>
            <w:tcBorders>
              <w:left w:val="single" w:color="auto" w:sz="4" w:space="0"/>
            </w:tcBorders>
            <w:vAlign w:val="center"/>
          </w:tcPr>
          <w:p>
            <w:pPr>
              <w:jc w:val="center"/>
              <w:rPr>
                <w:rFonts w:ascii="仿宋" w:hAnsi="仿宋" w:eastAsia="仿宋" w:cs="仿宋"/>
              </w:rPr>
            </w:pPr>
          </w:p>
        </w:tc>
        <w:tc>
          <w:tcPr>
            <w:tcW w:w="1157" w:type="pct"/>
          </w:tcPr>
          <w:p>
            <w:pPr>
              <w:jc w:val="center"/>
              <w:rPr>
                <w:rFonts w:ascii="仿宋" w:hAnsi="仿宋" w:eastAsia="仿宋" w:cs="仿宋"/>
              </w:rPr>
            </w:pPr>
          </w:p>
        </w:tc>
        <w:tc>
          <w:tcPr>
            <w:tcW w:w="365" w:type="pct"/>
            <w:vAlign w:val="center"/>
          </w:tcPr>
          <w:p>
            <w:pPr>
              <w:jc w:val="center"/>
              <w:rPr>
                <w:rFonts w:ascii="仿宋" w:hAnsi="仿宋" w:eastAsia="仿宋" w:cs="仿宋"/>
              </w:rPr>
            </w:pPr>
          </w:p>
        </w:tc>
        <w:tc>
          <w:tcPr>
            <w:tcW w:w="994" w:type="pct"/>
            <w:vAlign w:val="center"/>
          </w:tcPr>
          <w:p>
            <w:pPr>
              <w:jc w:val="center"/>
              <w:rPr>
                <w:rFonts w:ascii="仿宋" w:hAnsi="仿宋" w:eastAsia="仿宋" w:cs="仿宋"/>
              </w:rPr>
            </w:pPr>
          </w:p>
        </w:tc>
        <w:tc>
          <w:tcPr>
            <w:tcW w:w="395" w:type="pct"/>
            <w:tcBorders>
              <w:right w:val="single" w:color="auto" w:sz="4" w:space="0"/>
            </w:tcBorders>
            <w:vAlign w:val="center"/>
          </w:tcPr>
          <w:p>
            <w:pPr>
              <w:jc w:val="center"/>
              <w:rPr>
                <w:rFonts w:ascii="仿宋" w:hAnsi="仿宋" w:eastAsia="仿宋" w:cs="仿宋"/>
              </w:rPr>
            </w:pPr>
          </w:p>
        </w:tc>
        <w:tc>
          <w:tcPr>
            <w:tcW w:w="668" w:type="pct"/>
            <w:tcBorders>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25" w:type="pct"/>
            <w:vMerge w:val="continue"/>
            <w:tcBorders>
              <w:left w:val="single" w:color="auto" w:sz="4" w:space="0"/>
              <w:right w:val="single" w:color="auto" w:sz="4" w:space="0"/>
            </w:tcBorders>
            <w:vAlign w:val="center"/>
          </w:tcPr>
          <w:p>
            <w:pPr>
              <w:rPr>
                <w:rFonts w:ascii="仿宋" w:hAnsi="仿宋" w:eastAsia="仿宋" w:cs="仿宋"/>
              </w:rPr>
            </w:pPr>
          </w:p>
        </w:tc>
        <w:tc>
          <w:tcPr>
            <w:tcW w:w="633" w:type="pct"/>
            <w:tcBorders>
              <w:left w:val="single" w:color="auto" w:sz="4" w:space="0"/>
              <w:right w:val="single" w:color="auto" w:sz="4" w:space="0"/>
            </w:tcBorders>
            <w:vAlign w:val="center"/>
          </w:tcPr>
          <w:p>
            <w:pPr>
              <w:jc w:val="center"/>
              <w:rPr>
                <w:rFonts w:ascii="仿宋" w:hAnsi="仿宋" w:eastAsia="仿宋" w:cs="仿宋"/>
              </w:rPr>
            </w:pPr>
          </w:p>
        </w:tc>
        <w:tc>
          <w:tcPr>
            <w:tcW w:w="464" w:type="pct"/>
            <w:tcBorders>
              <w:left w:val="single" w:color="auto" w:sz="4" w:space="0"/>
            </w:tcBorders>
            <w:vAlign w:val="center"/>
          </w:tcPr>
          <w:p>
            <w:pPr>
              <w:jc w:val="center"/>
              <w:rPr>
                <w:rFonts w:ascii="仿宋" w:hAnsi="仿宋" w:eastAsia="仿宋" w:cs="仿宋"/>
              </w:rPr>
            </w:pPr>
          </w:p>
        </w:tc>
        <w:tc>
          <w:tcPr>
            <w:tcW w:w="1157" w:type="pct"/>
          </w:tcPr>
          <w:p>
            <w:pPr>
              <w:jc w:val="center"/>
              <w:rPr>
                <w:rFonts w:ascii="仿宋" w:hAnsi="仿宋" w:eastAsia="仿宋" w:cs="仿宋"/>
              </w:rPr>
            </w:pPr>
          </w:p>
        </w:tc>
        <w:tc>
          <w:tcPr>
            <w:tcW w:w="365" w:type="pct"/>
            <w:vAlign w:val="center"/>
          </w:tcPr>
          <w:p>
            <w:pPr>
              <w:jc w:val="center"/>
              <w:rPr>
                <w:rFonts w:ascii="仿宋" w:hAnsi="仿宋" w:eastAsia="仿宋" w:cs="仿宋"/>
              </w:rPr>
            </w:pPr>
          </w:p>
        </w:tc>
        <w:tc>
          <w:tcPr>
            <w:tcW w:w="994" w:type="pct"/>
            <w:vAlign w:val="center"/>
          </w:tcPr>
          <w:p>
            <w:pPr>
              <w:jc w:val="center"/>
              <w:rPr>
                <w:rFonts w:ascii="仿宋" w:hAnsi="仿宋" w:eastAsia="仿宋" w:cs="仿宋"/>
              </w:rPr>
            </w:pPr>
          </w:p>
        </w:tc>
        <w:tc>
          <w:tcPr>
            <w:tcW w:w="395" w:type="pct"/>
            <w:tcBorders>
              <w:right w:val="single" w:color="auto" w:sz="4" w:space="0"/>
            </w:tcBorders>
            <w:vAlign w:val="center"/>
          </w:tcPr>
          <w:p>
            <w:pPr>
              <w:jc w:val="center"/>
              <w:rPr>
                <w:rFonts w:ascii="仿宋" w:hAnsi="仿宋" w:eastAsia="仿宋" w:cs="仿宋"/>
              </w:rPr>
            </w:pPr>
          </w:p>
        </w:tc>
        <w:tc>
          <w:tcPr>
            <w:tcW w:w="668" w:type="pct"/>
            <w:tcBorders>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25" w:type="pct"/>
            <w:vMerge w:val="continue"/>
            <w:tcBorders>
              <w:left w:val="single" w:color="auto" w:sz="4" w:space="0"/>
              <w:right w:val="single" w:color="auto" w:sz="4" w:space="0"/>
            </w:tcBorders>
            <w:vAlign w:val="center"/>
          </w:tcPr>
          <w:p>
            <w:pPr>
              <w:rPr>
                <w:rFonts w:ascii="仿宋" w:hAnsi="仿宋" w:eastAsia="仿宋" w:cs="仿宋"/>
              </w:rPr>
            </w:pPr>
          </w:p>
        </w:tc>
        <w:tc>
          <w:tcPr>
            <w:tcW w:w="633" w:type="pct"/>
            <w:tcBorders>
              <w:left w:val="single" w:color="auto" w:sz="4" w:space="0"/>
              <w:right w:val="single" w:color="auto" w:sz="4" w:space="0"/>
            </w:tcBorders>
            <w:vAlign w:val="center"/>
          </w:tcPr>
          <w:p>
            <w:pPr>
              <w:jc w:val="center"/>
              <w:rPr>
                <w:rFonts w:ascii="仿宋" w:hAnsi="仿宋" w:eastAsia="仿宋" w:cs="仿宋"/>
              </w:rPr>
            </w:pPr>
          </w:p>
        </w:tc>
        <w:tc>
          <w:tcPr>
            <w:tcW w:w="464" w:type="pct"/>
            <w:tcBorders>
              <w:left w:val="single" w:color="auto" w:sz="4" w:space="0"/>
            </w:tcBorders>
            <w:vAlign w:val="center"/>
          </w:tcPr>
          <w:p>
            <w:pPr>
              <w:jc w:val="center"/>
              <w:rPr>
                <w:rFonts w:ascii="仿宋" w:hAnsi="仿宋" w:eastAsia="仿宋" w:cs="仿宋"/>
              </w:rPr>
            </w:pPr>
          </w:p>
        </w:tc>
        <w:tc>
          <w:tcPr>
            <w:tcW w:w="1157" w:type="pct"/>
          </w:tcPr>
          <w:p>
            <w:pPr>
              <w:jc w:val="center"/>
              <w:rPr>
                <w:rFonts w:ascii="仿宋" w:hAnsi="仿宋" w:eastAsia="仿宋" w:cs="仿宋"/>
              </w:rPr>
            </w:pPr>
          </w:p>
        </w:tc>
        <w:tc>
          <w:tcPr>
            <w:tcW w:w="365" w:type="pct"/>
            <w:vAlign w:val="center"/>
          </w:tcPr>
          <w:p>
            <w:pPr>
              <w:jc w:val="center"/>
              <w:rPr>
                <w:rFonts w:ascii="仿宋" w:hAnsi="仿宋" w:eastAsia="仿宋" w:cs="仿宋"/>
              </w:rPr>
            </w:pPr>
          </w:p>
        </w:tc>
        <w:tc>
          <w:tcPr>
            <w:tcW w:w="994" w:type="pct"/>
            <w:vAlign w:val="center"/>
          </w:tcPr>
          <w:p>
            <w:pPr>
              <w:jc w:val="center"/>
              <w:rPr>
                <w:rFonts w:ascii="仿宋" w:hAnsi="仿宋" w:eastAsia="仿宋" w:cs="仿宋"/>
              </w:rPr>
            </w:pPr>
          </w:p>
        </w:tc>
        <w:tc>
          <w:tcPr>
            <w:tcW w:w="395" w:type="pct"/>
            <w:tcBorders>
              <w:right w:val="single" w:color="auto" w:sz="4" w:space="0"/>
            </w:tcBorders>
            <w:vAlign w:val="center"/>
          </w:tcPr>
          <w:p>
            <w:pPr>
              <w:jc w:val="center"/>
              <w:rPr>
                <w:rFonts w:ascii="仿宋" w:hAnsi="仿宋" w:eastAsia="仿宋" w:cs="仿宋"/>
              </w:rPr>
            </w:pPr>
          </w:p>
        </w:tc>
        <w:tc>
          <w:tcPr>
            <w:tcW w:w="668" w:type="pct"/>
            <w:tcBorders>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25" w:type="pct"/>
            <w:vMerge w:val="continue"/>
            <w:tcBorders>
              <w:left w:val="single" w:color="auto" w:sz="4" w:space="0"/>
              <w:right w:val="single" w:color="auto" w:sz="4" w:space="0"/>
            </w:tcBorders>
            <w:vAlign w:val="center"/>
          </w:tcPr>
          <w:p>
            <w:pPr>
              <w:jc w:val="center"/>
              <w:rPr>
                <w:rFonts w:ascii="仿宋" w:hAnsi="仿宋" w:eastAsia="仿宋" w:cs="仿宋"/>
              </w:rPr>
            </w:pPr>
          </w:p>
        </w:tc>
        <w:tc>
          <w:tcPr>
            <w:tcW w:w="633" w:type="pct"/>
            <w:tcBorders>
              <w:left w:val="single" w:color="auto" w:sz="4" w:space="0"/>
              <w:right w:val="single" w:color="auto" w:sz="4" w:space="0"/>
            </w:tcBorders>
            <w:vAlign w:val="center"/>
          </w:tcPr>
          <w:p>
            <w:pPr>
              <w:jc w:val="center"/>
              <w:rPr>
                <w:rFonts w:ascii="仿宋" w:hAnsi="仿宋" w:eastAsia="仿宋" w:cs="仿宋"/>
              </w:rPr>
            </w:pPr>
          </w:p>
        </w:tc>
        <w:tc>
          <w:tcPr>
            <w:tcW w:w="464" w:type="pct"/>
            <w:tcBorders>
              <w:left w:val="single" w:color="auto" w:sz="4" w:space="0"/>
            </w:tcBorders>
            <w:vAlign w:val="center"/>
          </w:tcPr>
          <w:p>
            <w:pPr>
              <w:jc w:val="center"/>
              <w:rPr>
                <w:rFonts w:ascii="仿宋" w:hAnsi="仿宋" w:eastAsia="仿宋" w:cs="仿宋"/>
              </w:rPr>
            </w:pPr>
          </w:p>
        </w:tc>
        <w:tc>
          <w:tcPr>
            <w:tcW w:w="1157" w:type="pct"/>
          </w:tcPr>
          <w:p>
            <w:pPr>
              <w:jc w:val="center"/>
              <w:rPr>
                <w:rFonts w:ascii="仿宋" w:hAnsi="仿宋" w:eastAsia="仿宋" w:cs="仿宋"/>
              </w:rPr>
            </w:pPr>
          </w:p>
        </w:tc>
        <w:tc>
          <w:tcPr>
            <w:tcW w:w="365" w:type="pct"/>
            <w:vAlign w:val="center"/>
          </w:tcPr>
          <w:p>
            <w:pPr>
              <w:jc w:val="center"/>
              <w:rPr>
                <w:rFonts w:ascii="仿宋" w:hAnsi="仿宋" w:eastAsia="仿宋" w:cs="仿宋"/>
              </w:rPr>
            </w:pPr>
          </w:p>
        </w:tc>
        <w:tc>
          <w:tcPr>
            <w:tcW w:w="994" w:type="pct"/>
            <w:vAlign w:val="center"/>
          </w:tcPr>
          <w:p>
            <w:pPr>
              <w:jc w:val="center"/>
              <w:rPr>
                <w:rFonts w:ascii="仿宋" w:hAnsi="仿宋" w:eastAsia="仿宋" w:cs="仿宋"/>
              </w:rPr>
            </w:pPr>
          </w:p>
        </w:tc>
        <w:tc>
          <w:tcPr>
            <w:tcW w:w="395" w:type="pct"/>
            <w:tcBorders>
              <w:right w:val="single" w:color="auto" w:sz="4" w:space="0"/>
            </w:tcBorders>
            <w:vAlign w:val="center"/>
          </w:tcPr>
          <w:p>
            <w:pPr>
              <w:jc w:val="center"/>
              <w:rPr>
                <w:rFonts w:ascii="仿宋" w:hAnsi="仿宋" w:eastAsia="仿宋" w:cs="仿宋"/>
              </w:rPr>
            </w:pPr>
          </w:p>
        </w:tc>
        <w:tc>
          <w:tcPr>
            <w:tcW w:w="668" w:type="pct"/>
            <w:tcBorders>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25" w:type="pct"/>
            <w:vMerge w:val="continue"/>
            <w:tcBorders>
              <w:left w:val="single" w:color="auto" w:sz="4" w:space="0"/>
              <w:right w:val="single" w:color="auto" w:sz="4" w:space="0"/>
            </w:tcBorders>
            <w:vAlign w:val="center"/>
          </w:tcPr>
          <w:p>
            <w:pPr>
              <w:jc w:val="center"/>
              <w:rPr>
                <w:rFonts w:ascii="仿宋" w:hAnsi="仿宋" w:eastAsia="仿宋" w:cs="仿宋"/>
              </w:rPr>
            </w:pPr>
          </w:p>
        </w:tc>
        <w:tc>
          <w:tcPr>
            <w:tcW w:w="633" w:type="pct"/>
            <w:tcBorders>
              <w:left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w:t>
            </w:r>
          </w:p>
        </w:tc>
        <w:tc>
          <w:tcPr>
            <w:tcW w:w="464" w:type="pct"/>
            <w:tcBorders>
              <w:left w:val="single" w:color="auto" w:sz="4" w:space="0"/>
            </w:tcBorders>
            <w:vAlign w:val="center"/>
          </w:tcPr>
          <w:p>
            <w:pPr>
              <w:jc w:val="center"/>
              <w:rPr>
                <w:rFonts w:ascii="仿宋" w:hAnsi="仿宋" w:eastAsia="仿宋" w:cs="仿宋"/>
              </w:rPr>
            </w:pPr>
          </w:p>
        </w:tc>
        <w:tc>
          <w:tcPr>
            <w:tcW w:w="1157" w:type="pct"/>
          </w:tcPr>
          <w:p>
            <w:pPr>
              <w:jc w:val="center"/>
              <w:rPr>
                <w:rFonts w:ascii="仿宋" w:hAnsi="仿宋" w:eastAsia="仿宋" w:cs="仿宋"/>
              </w:rPr>
            </w:pPr>
          </w:p>
        </w:tc>
        <w:tc>
          <w:tcPr>
            <w:tcW w:w="365" w:type="pct"/>
            <w:vAlign w:val="center"/>
          </w:tcPr>
          <w:p>
            <w:pPr>
              <w:jc w:val="center"/>
              <w:rPr>
                <w:rFonts w:ascii="仿宋" w:hAnsi="仿宋" w:eastAsia="仿宋" w:cs="仿宋"/>
              </w:rPr>
            </w:pPr>
          </w:p>
        </w:tc>
        <w:tc>
          <w:tcPr>
            <w:tcW w:w="994" w:type="pct"/>
            <w:vAlign w:val="center"/>
          </w:tcPr>
          <w:p>
            <w:pPr>
              <w:jc w:val="center"/>
              <w:rPr>
                <w:rFonts w:ascii="仿宋" w:hAnsi="仿宋" w:eastAsia="仿宋" w:cs="仿宋"/>
              </w:rPr>
            </w:pPr>
          </w:p>
        </w:tc>
        <w:tc>
          <w:tcPr>
            <w:tcW w:w="395" w:type="pct"/>
            <w:tcBorders>
              <w:right w:val="single" w:color="auto" w:sz="4" w:space="0"/>
            </w:tcBorders>
            <w:vAlign w:val="center"/>
          </w:tcPr>
          <w:p>
            <w:pPr>
              <w:jc w:val="center"/>
              <w:rPr>
                <w:rFonts w:ascii="仿宋" w:hAnsi="仿宋" w:eastAsia="仿宋" w:cs="仿宋"/>
              </w:rPr>
            </w:pPr>
          </w:p>
        </w:tc>
        <w:tc>
          <w:tcPr>
            <w:tcW w:w="668" w:type="pct"/>
            <w:tcBorders>
              <w:right w:val="single" w:color="auto" w:sz="4" w:space="0"/>
            </w:tcBorders>
            <w:vAlign w:val="center"/>
          </w:tcPr>
          <w:p>
            <w:pPr>
              <w:jc w:val="center"/>
              <w:rPr>
                <w:rFonts w:ascii="仿宋" w:hAnsi="仿宋" w:eastAsia="仿宋" w:cs="仿宋"/>
              </w:rPr>
            </w:pPr>
          </w:p>
        </w:tc>
      </w:tr>
    </w:tbl>
    <w:p>
      <w:pPr>
        <w:spacing w:line="360" w:lineRule="auto"/>
        <w:rPr>
          <w:rFonts w:ascii="仿宋" w:hAnsi="仿宋" w:eastAsia="仿宋" w:cs="仿宋"/>
          <w:lang w:val="en-GB"/>
        </w:rPr>
      </w:pPr>
      <w:r>
        <w:rPr>
          <w:rFonts w:hint="eastAsia" w:ascii="仿宋" w:hAnsi="仿宋" w:eastAsia="仿宋" w:cs="仿宋"/>
          <w:lang w:val="en-GB"/>
        </w:rPr>
        <w:t>注：必须在投标/响应文件中附任职资格证书或技术工人等级证书的复印件。</w:t>
      </w:r>
    </w:p>
    <w:p>
      <w:pPr>
        <w:adjustRightInd w:val="0"/>
        <w:snapToGrid w:val="0"/>
        <w:spacing w:line="360" w:lineRule="auto"/>
        <w:rPr>
          <w:rFonts w:ascii="仿宋" w:hAnsi="仿宋" w:eastAsia="仿宋" w:cs="仿宋"/>
          <w:szCs w:val="21"/>
          <w:u w:val="single"/>
        </w:rPr>
      </w:pPr>
      <w:r>
        <w:rPr>
          <w:rFonts w:hint="eastAsia" w:ascii="仿宋" w:hAnsi="仿宋" w:eastAsia="仿宋" w:cs="仿宋"/>
          <w:szCs w:val="21"/>
        </w:rPr>
        <w:t>投标人/响应供应商法定代表人（机构负责人）签字或签章：：</w:t>
      </w:r>
      <w:r>
        <w:rPr>
          <w:rFonts w:hint="eastAsia" w:ascii="仿宋" w:hAnsi="仿宋" w:eastAsia="仿宋" w:cs="仿宋"/>
          <w:szCs w:val="21"/>
          <w:u w:val="single"/>
        </w:rPr>
        <w:t xml:space="preserve">       </w:t>
      </w:r>
    </w:p>
    <w:p>
      <w:pPr>
        <w:adjustRightInd w:val="0"/>
        <w:snapToGrid w:val="0"/>
        <w:spacing w:line="360" w:lineRule="auto"/>
        <w:rPr>
          <w:rFonts w:ascii="仿宋" w:hAnsi="仿宋" w:eastAsia="仿宋" w:cs="仿宋"/>
          <w:szCs w:val="21"/>
          <w:u w:val="single"/>
        </w:rPr>
      </w:pPr>
      <w:r>
        <w:rPr>
          <w:rFonts w:hint="eastAsia" w:ascii="仿宋" w:hAnsi="仿宋" w:eastAsia="仿宋" w:cs="仿宋"/>
          <w:szCs w:val="21"/>
        </w:rPr>
        <w:t>投标人/响应供应商名称（签章）：</w:t>
      </w:r>
      <w:r>
        <w:rPr>
          <w:rFonts w:hint="eastAsia" w:ascii="仿宋" w:hAnsi="仿宋" w:eastAsia="仿宋" w:cs="仿宋"/>
          <w:szCs w:val="21"/>
          <w:u w:val="single"/>
        </w:rPr>
        <w:t xml:space="preserve">                        </w:t>
      </w:r>
    </w:p>
    <w:p>
      <w:pPr>
        <w:spacing w:line="360" w:lineRule="auto"/>
        <w:rPr>
          <w:rFonts w:ascii="仿宋" w:hAnsi="仿宋" w:eastAsia="仿宋" w:cs="仿宋"/>
          <w:szCs w:val="21"/>
        </w:rPr>
      </w:pPr>
      <w:r>
        <w:rPr>
          <w:rFonts w:hint="eastAsia" w:ascii="仿宋" w:hAnsi="仿宋" w:eastAsia="仿宋" w:cs="仿宋"/>
          <w:szCs w:val="21"/>
        </w:rPr>
        <w:t>日期：   年   月   日</w:t>
      </w:r>
    </w:p>
    <w:p>
      <w:pPr>
        <w:pStyle w:val="200"/>
        <w:rPr>
          <w:rFonts w:ascii="宋体" w:hAnsi="宋体"/>
          <w:lang w:val="en-GB"/>
        </w:rPr>
      </w:pPr>
    </w:p>
    <w:p>
      <w:pPr>
        <w:pStyle w:val="200"/>
        <w:rPr>
          <w:rFonts w:ascii="宋体" w:hAnsi="宋体"/>
          <w:lang w:val="en-GB"/>
        </w:rPr>
      </w:pPr>
    </w:p>
    <w:p>
      <w:pPr>
        <w:pStyle w:val="200"/>
        <w:rPr>
          <w:rFonts w:ascii="宋体" w:hAnsi="宋体"/>
          <w:lang w:val="en-GB"/>
        </w:rPr>
      </w:pPr>
    </w:p>
    <w:p>
      <w:pPr>
        <w:pStyle w:val="200"/>
        <w:rPr>
          <w:rFonts w:ascii="宋体" w:hAnsi="宋体"/>
          <w:lang w:val="en-GB"/>
        </w:rPr>
      </w:pPr>
    </w:p>
    <w:p>
      <w:pPr>
        <w:pStyle w:val="200"/>
        <w:rPr>
          <w:rFonts w:ascii="宋体" w:hAnsi="宋体"/>
          <w:lang w:val="en-GB"/>
        </w:rPr>
      </w:pPr>
    </w:p>
    <w:p>
      <w:pPr>
        <w:pStyle w:val="200"/>
        <w:rPr>
          <w:rFonts w:ascii="宋体" w:hAnsi="宋体"/>
          <w:lang w:val="en-GB"/>
        </w:rPr>
      </w:pPr>
    </w:p>
    <w:p>
      <w:pPr>
        <w:pStyle w:val="200"/>
        <w:rPr>
          <w:rFonts w:ascii="宋体" w:hAnsi="宋体"/>
          <w:lang w:val="en-GB"/>
        </w:rPr>
      </w:pPr>
    </w:p>
    <w:p>
      <w:pPr>
        <w:pStyle w:val="200"/>
        <w:rPr>
          <w:rFonts w:ascii="宋体" w:hAnsi="宋体"/>
          <w:lang w:val="en-GB"/>
        </w:rPr>
      </w:pPr>
    </w:p>
    <w:p>
      <w:pPr>
        <w:pStyle w:val="200"/>
        <w:rPr>
          <w:rFonts w:ascii="宋体" w:hAnsi="宋体"/>
          <w:lang w:val="en-GB"/>
        </w:rPr>
      </w:pPr>
    </w:p>
    <w:p>
      <w:pPr>
        <w:pStyle w:val="200"/>
        <w:rPr>
          <w:rFonts w:ascii="宋体" w:hAnsi="宋体"/>
          <w:lang w:val="en-GB"/>
        </w:rPr>
      </w:pPr>
    </w:p>
    <w:p>
      <w:pPr>
        <w:pStyle w:val="200"/>
        <w:rPr>
          <w:rFonts w:ascii="宋体" w:hAnsi="宋体"/>
          <w:lang w:val="en-GB"/>
        </w:rPr>
      </w:pPr>
    </w:p>
    <w:p>
      <w:pPr>
        <w:numPr>
          <w:ilvl w:val="3"/>
          <w:numId w:val="0"/>
        </w:numPr>
        <w:rPr>
          <w:rFonts w:ascii="仿宋" w:hAnsi="仿宋" w:eastAsia="仿宋" w:cs="仿宋"/>
        </w:rPr>
      </w:pPr>
    </w:p>
    <w:p>
      <w:pPr>
        <w:numPr>
          <w:ilvl w:val="3"/>
          <w:numId w:val="0"/>
        </w:numPr>
        <w:rPr>
          <w:rFonts w:ascii="仿宋" w:hAnsi="仿宋" w:eastAsia="仿宋" w:cs="仿宋"/>
        </w:rPr>
      </w:pPr>
    </w:p>
    <w:p>
      <w:pPr>
        <w:pStyle w:val="18"/>
      </w:pPr>
    </w:p>
    <w:p>
      <w:pPr>
        <w:pStyle w:val="18"/>
      </w:pPr>
    </w:p>
    <w:p>
      <w:pPr>
        <w:pStyle w:val="18"/>
        <w:rPr>
          <w:rFonts w:ascii="仿宋" w:hAnsi="仿宋" w:eastAsia="仿宋" w:cs="仿宋"/>
          <w:b/>
          <w:sz w:val="24"/>
        </w:rPr>
      </w:pPr>
    </w:p>
    <w:p>
      <w:pPr>
        <w:pStyle w:val="18"/>
        <w:rPr>
          <w:rFonts w:hint="eastAsia" w:ascii="仿宋" w:hAnsi="仿宋" w:eastAsia="仿宋" w:cs="仿宋"/>
          <w:b/>
          <w:sz w:val="24"/>
        </w:rPr>
      </w:pPr>
    </w:p>
    <w:p>
      <w:pPr>
        <w:pStyle w:val="6"/>
        <w:numPr>
          <w:ilvl w:val="3"/>
          <w:numId w:val="0"/>
        </w:numPr>
        <w:rPr>
          <w:rFonts w:ascii="仿宋" w:hAnsi="仿宋" w:eastAsia="仿宋" w:cs="仿宋"/>
        </w:rPr>
      </w:pPr>
      <w:r>
        <w:rPr>
          <w:rFonts w:hint="eastAsia" w:ascii="仿宋" w:hAnsi="仿宋" w:eastAsia="仿宋" w:cs="仿宋"/>
        </w:rPr>
        <w:t>4.</w:t>
      </w:r>
      <w:r>
        <w:rPr>
          <w:rFonts w:ascii="仿宋" w:hAnsi="仿宋" w:eastAsia="仿宋" w:cs="仿宋"/>
        </w:rPr>
        <w:t>3</w:t>
      </w:r>
      <w:r>
        <w:rPr>
          <w:rFonts w:hint="eastAsia" w:ascii="仿宋" w:hAnsi="仿宋" w:eastAsia="仿宋" w:cs="仿宋"/>
        </w:rPr>
        <w:t xml:space="preserve"> 组织实施方案</w:t>
      </w:r>
    </w:p>
    <w:p>
      <w:pPr>
        <w:spacing w:line="460" w:lineRule="exact"/>
        <w:ind w:firstLine="525" w:firstLineChars="250"/>
        <w:rPr>
          <w:rFonts w:ascii="仿宋" w:hAnsi="仿宋" w:eastAsia="仿宋" w:cs="仿宋"/>
        </w:rPr>
      </w:pPr>
      <w:r>
        <w:rPr>
          <w:rFonts w:hint="eastAsia" w:ascii="仿宋" w:hAnsi="仿宋" w:eastAsia="仿宋" w:cs="仿宋"/>
        </w:rPr>
        <w:t>投标人/响应供应商应按采购文件要求的内容和顺序，对完成整个项目提出相应的实施方案。对含糊不清或欠具体明确之处，评委会可视为报价人履约能力不足或响应不全处理。组织实施方案的内容应包括：</w:t>
      </w:r>
    </w:p>
    <w:p>
      <w:pPr>
        <w:tabs>
          <w:tab w:val="left" w:pos="1680"/>
        </w:tabs>
        <w:spacing w:line="460" w:lineRule="exact"/>
        <w:rPr>
          <w:rFonts w:ascii="仿宋" w:hAnsi="仿宋" w:eastAsia="仿宋" w:cs="仿宋"/>
        </w:rPr>
      </w:pPr>
      <w:r>
        <w:rPr>
          <w:rFonts w:hint="eastAsia" w:ascii="仿宋" w:hAnsi="仿宋" w:eastAsia="仿宋" w:cs="仿宋"/>
        </w:rPr>
        <w:t>1）对项目的理解（项目概述、目标、服务范围、甲方的义务及配合条件）</w:t>
      </w:r>
    </w:p>
    <w:p>
      <w:pPr>
        <w:tabs>
          <w:tab w:val="left" w:pos="1680"/>
        </w:tabs>
        <w:spacing w:line="460" w:lineRule="exact"/>
        <w:rPr>
          <w:rFonts w:ascii="仿宋" w:hAnsi="仿宋" w:eastAsia="仿宋" w:cs="仿宋"/>
        </w:rPr>
      </w:pPr>
      <w:r>
        <w:rPr>
          <w:rFonts w:hint="eastAsia" w:ascii="仿宋" w:hAnsi="仿宋" w:eastAsia="仿宋" w:cs="仿宋"/>
        </w:rPr>
        <w:t>2）针对本项目的组织实施方案</w:t>
      </w:r>
    </w:p>
    <w:p>
      <w:pPr>
        <w:tabs>
          <w:tab w:val="left" w:pos="1680"/>
        </w:tabs>
        <w:spacing w:line="460" w:lineRule="exact"/>
        <w:rPr>
          <w:rFonts w:ascii="仿宋" w:hAnsi="仿宋" w:eastAsia="仿宋" w:cs="仿宋"/>
        </w:rPr>
      </w:pPr>
      <w:r>
        <w:rPr>
          <w:rFonts w:hint="eastAsia" w:ascii="仿宋" w:hAnsi="仿宋" w:eastAsia="仿宋" w:cs="仿宋"/>
        </w:rPr>
        <w:t>3）进度计划和保证项目完成的具体措施</w:t>
      </w:r>
    </w:p>
    <w:p>
      <w:pPr>
        <w:spacing w:line="460" w:lineRule="exact"/>
        <w:rPr>
          <w:rFonts w:ascii="仿宋" w:hAnsi="仿宋" w:eastAsia="仿宋" w:cs="仿宋"/>
        </w:rPr>
      </w:pPr>
      <w:r>
        <w:rPr>
          <w:rFonts w:hint="eastAsia" w:ascii="仿宋" w:hAnsi="仿宋" w:eastAsia="仿宋" w:cs="仿宋"/>
        </w:rPr>
        <w:t>4）项目整体验收计划</w:t>
      </w:r>
    </w:p>
    <w:p>
      <w:pPr>
        <w:spacing w:line="460" w:lineRule="exact"/>
        <w:rPr>
          <w:rFonts w:ascii="仿宋" w:hAnsi="仿宋" w:eastAsia="仿宋" w:cs="仿宋"/>
        </w:rPr>
      </w:pPr>
      <w:r>
        <w:rPr>
          <w:rFonts w:hint="eastAsia" w:ascii="仿宋" w:hAnsi="仿宋" w:eastAsia="仿宋" w:cs="仿宋"/>
        </w:rPr>
        <w:t>5）培训计划</w:t>
      </w:r>
    </w:p>
    <w:p>
      <w:pPr>
        <w:tabs>
          <w:tab w:val="left" w:pos="1322"/>
        </w:tabs>
        <w:spacing w:line="460" w:lineRule="exact"/>
        <w:rPr>
          <w:rFonts w:ascii="仿宋" w:hAnsi="仿宋" w:eastAsia="仿宋" w:cs="仿宋"/>
          <w:b/>
          <w:lang w:val="en-GB"/>
        </w:rPr>
      </w:pPr>
      <w:r>
        <w:rPr>
          <w:rFonts w:hint="eastAsia" w:ascii="仿宋" w:hAnsi="仿宋" w:eastAsia="仿宋" w:cs="仿宋"/>
        </w:rPr>
        <w:t>6）报价人认为必要的其它内容。</w:t>
      </w:r>
    </w:p>
    <w:p>
      <w:pPr>
        <w:adjustRightInd w:val="0"/>
        <w:snapToGrid w:val="0"/>
        <w:spacing w:line="300" w:lineRule="auto"/>
        <w:rPr>
          <w:rFonts w:ascii="仿宋" w:hAnsi="仿宋" w:eastAsia="仿宋" w:cs="仿宋"/>
          <w:szCs w:val="21"/>
        </w:rPr>
      </w:pPr>
    </w:p>
    <w:p>
      <w:pPr>
        <w:adjustRightInd w:val="0"/>
        <w:snapToGrid w:val="0"/>
        <w:spacing w:line="300" w:lineRule="auto"/>
        <w:rPr>
          <w:rFonts w:ascii="仿宋" w:hAnsi="仿宋" w:eastAsia="仿宋" w:cs="仿宋"/>
          <w:szCs w:val="21"/>
        </w:rPr>
      </w:pPr>
    </w:p>
    <w:p>
      <w:pPr>
        <w:adjustRightInd w:val="0"/>
        <w:snapToGrid w:val="0"/>
        <w:spacing w:before="156" w:beforeLines="50" w:after="156" w:afterLines="50"/>
        <w:rPr>
          <w:rFonts w:ascii="仿宋" w:hAnsi="仿宋" w:eastAsia="仿宋" w:cs="仿宋"/>
          <w:szCs w:val="21"/>
          <w:u w:val="single"/>
        </w:rPr>
      </w:pPr>
      <w:r>
        <w:rPr>
          <w:rFonts w:hint="eastAsia" w:ascii="仿宋" w:hAnsi="仿宋" w:eastAsia="仿宋" w:cs="仿宋"/>
          <w:szCs w:val="21"/>
        </w:rPr>
        <w:t>投标人/响应供应商法定代表人（机构负责人）授权代表签或签章：</w:t>
      </w:r>
      <w:r>
        <w:rPr>
          <w:rFonts w:hint="eastAsia" w:ascii="仿宋" w:hAnsi="仿宋" w:eastAsia="仿宋" w:cs="仿宋"/>
          <w:szCs w:val="21"/>
          <w:u w:val="single"/>
        </w:rPr>
        <w:t xml:space="preserve">       </w:t>
      </w:r>
    </w:p>
    <w:p>
      <w:pPr>
        <w:adjustRightInd w:val="0"/>
        <w:snapToGrid w:val="0"/>
        <w:spacing w:before="156" w:beforeLines="50" w:after="156" w:afterLines="50"/>
        <w:rPr>
          <w:rFonts w:ascii="仿宋" w:hAnsi="仿宋" w:eastAsia="仿宋" w:cs="仿宋"/>
          <w:szCs w:val="21"/>
          <w:u w:val="single"/>
        </w:rPr>
      </w:pPr>
      <w:r>
        <w:rPr>
          <w:rFonts w:hint="eastAsia" w:ascii="仿宋" w:hAnsi="仿宋" w:eastAsia="仿宋" w:cs="仿宋"/>
          <w:szCs w:val="21"/>
        </w:rPr>
        <w:t>投标人/响应供应商名称（签章）：</w:t>
      </w:r>
      <w:r>
        <w:rPr>
          <w:rFonts w:hint="eastAsia" w:ascii="仿宋" w:hAnsi="仿宋" w:eastAsia="仿宋" w:cs="仿宋"/>
          <w:szCs w:val="21"/>
          <w:u w:val="single"/>
        </w:rPr>
        <w:t xml:space="preserve">                        </w:t>
      </w:r>
    </w:p>
    <w:p>
      <w:pPr>
        <w:spacing w:before="156" w:beforeLines="50" w:after="156" w:afterLines="50"/>
        <w:rPr>
          <w:rFonts w:ascii="仿宋" w:hAnsi="仿宋" w:eastAsia="仿宋" w:cs="仿宋"/>
          <w:szCs w:val="21"/>
        </w:rPr>
      </w:pPr>
      <w:r>
        <w:rPr>
          <w:rFonts w:hint="eastAsia" w:ascii="仿宋" w:hAnsi="仿宋" w:eastAsia="仿宋" w:cs="仿宋"/>
          <w:szCs w:val="21"/>
        </w:rPr>
        <w:t>日期：   年   月   日</w:t>
      </w:r>
    </w:p>
    <w:p>
      <w:pPr>
        <w:pStyle w:val="2"/>
      </w:pPr>
    </w:p>
    <w:p/>
    <w:p>
      <w:pPr>
        <w:pStyle w:val="6"/>
        <w:numPr>
          <w:ilvl w:val="3"/>
          <w:numId w:val="0"/>
        </w:numPr>
        <w:rPr>
          <w:rFonts w:hint="eastAsia" w:ascii="仿宋" w:hAnsi="仿宋" w:eastAsia="仿宋" w:cs="仿宋"/>
        </w:rPr>
      </w:pPr>
      <w:r>
        <w:rPr>
          <w:rFonts w:hint="eastAsia" w:ascii="仿宋" w:hAnsi="仿宋" w:eastAsia="仿宋" w:cs="仿宋"/>
        </w:rPr>
        <w:t>4</w:t>
      </w:r>
      <w:r>
        <w:rPr>
          <w:rFonts w:ascii="仿宋" w:hAnsi="仿宋" w:eastAsia="仿宋" w:cs="仿宋"/>
        </w:rPr>
        <w:t>.4</w:t>
      </w:r>
      <w:r>
        <w:rPr>
          <w:rFonts w:hint="eastAsia" w:ascii="仿宋" w:hAnsi="仿宋" w:eastAsia="仿宋" w:cs="仿宋"/>
        </w:rPr>
        <w:t>所提供的服务种类及标准</w:t>
      </w:r>
    </w:p>
    <w:p>
      <w:pPr>
        <w:numPr>
          <w:ilvl w:val="0"/>
          <w:numId w:val="19"/>
        </w:numPr>
        <w:spacing w:before="156" w:beforeLines="50" w:after="156" w:afterLines="50"/>
        <w:rPr>
          <w:rFonts w:ascii="仿宋" w:hAnsi="仿宋" w:eastAsia="仿宋" w:cs="仿宋"/>
          <w:b/>
          <w:bCs/>
          <w:kern w:val="0"/>
          <w:sz w:val="28"/>
          <w:szCs w:val="28"/>
        </w:rPr>
      </w:pPr>
      <w:r>
        <w:rPr>
          <w:rFonts w:hint="eastAsia" w:ascii="仿宋" w:hAnsi="仿宋" w:eastAsia="仿宋" w:cs="仿宋"/>
          <w:szCs w:val="21"/>
        </w:rPr>
        <w:br w:type="page"/>
      </w:r>
      <w:r>
        <w:rPr>
          <w:rFonts w:hint="eastAsia" w:ascii="仿宋" w:hAnsi="仿宋" w:eastAsia="仿宋" w:cs="仿宋"/>
          <w:b/>
          <w:bCs/>
          <w:kern w:val="0"/>
          <w:sz w:val="28"/>
          <w:szCs w:val="28"/>
        </w:rPr>
        <w:t>投标人自行编写的技术文件（格式自拟）</w:t>
      </w:r>
    </w:p>
    <w:p>
      <w:pPr>
        <w:pStyle w:val="2"/>
        <w:ind w:firstLine="0" w:firstLineChars="0"/>
      </w:pPr>
    </w:p>
    <w:p/>
    <w:p>
      <w:pPr>
        <w:pStyle w:val="2"/>
      </w:pPr>
    </w:p>
    <w:p/>
    <w:p>
      <w:pPr>
        <w:pStyle w:val="2"/>
      </w:pPr>
    </w:p>
    <w:p/>
    <w:p>
      <w:pPr>
        <w:pStyle w:val="2"/>
      </w:pPr>
    </w:p>
    <w:p/>
    <w:p>
      <w:pPr>
        <w:pStyle w:val="2"/>
      </w:pPr>
    </w:p>
    <w:p/>
    <w:p>
      <w:pPr>
        <w:pStyle w:val="2"/>
      </w:pPr>
    </w:p>
    <w:p/>
    <w:p>
      <w:pPr>
        <w:pStyle w:val="2"/>
      </w:pPr>
    </w:p>
    <w:p/>
    <w:p>
      <w:pPr>
        <w:numPr>
          <w:ilvl w:val="0"/>
          <w:numId w:val="19"/>
        </w:numPr>
        <w:spacing w:before="156" w:beforeLines="50" w:after="156" w:afterLines="50"/>
        <w:rPr>
          <w:rFonts w:ascii="仿宋" w:hAnsi="仿宋" w:eastAsia="仿宋" w:cs="仿宋"/>
          <w:b/>
          <w:bCs/>
          <w:kern w:val="0"/>
          <w:sz w:val="28"/>
          <w:szCs w:val="28"/>
        </w:rPr>
      </w:pPr>
      <w:r>
        <w:rPr>
          <w:rFonts w:hint="eastAsia" w:ascii="仿宋" w:hAnsi="仿宋" w:eastAsia="仿宋" w:cs="仿宋"/>
          <w:b/>
          <w:bCs/>
          <w:kern w:val="0"/>
          <w:sz w:val="28"/>
          <w:szCs w:val="28"/>
        </w:rPr>
        <w:t>投标人认为有必要提供的其他资料</w:t>
      </w:r>
    </w:p>
    <w:p>
      <w:pPr>
        <w:spacing w:before="156" w:beforeLines="50" w:after="156" w:afterLines="50"/>
      </w:pPr>
    </w:p>
    <w:sectPr>
      <w:headerReference r:id="rId11" w:type="first"/>
      <w:footerReference r:id="rId13" w:type="first"/>
      <w:headerReference r:id="rId10" w:type="default"/>
      <w:footerReference r:id="rId12"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tabs>
        <w:tab w:val="center" w:pos="4252"/>
        <w:tab w:val="right" w:pos="8504"/>
        <w:tab w:val="clear" w:pos="4153"/>
        <w:tab w:val="clear" w:pos="8306"/>
      </w:tabs>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tabs>
        <w:tab w:val="center" w:pos="4252"/>
        <w:tab w:val="right" w:pos="8504"/>
        <w:tab w:val="clear" w:pos="4153"/>
        <w:tab w:val="clear" w:pos="8306"/>
      </w:tabs>
      <w:jc w:val="center"/>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tabs>
        <w:tab w:val="center" w:pos="4252"/>
        <w:tab w:val="right" w:pos="8504"/>
        <w:tab w:val="clear" w:pos="4153"/>
        <w:tab w:val="clear" w:pos="8306"/>
      </w:tabs>
      <w:jc w:val="center"/>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Bdr>
                              <w:top w:val="single" w:color="auto" w:sz="4" w:space="1"/>
                            </w:pBdr>
                            <w:tabs>
                              <w:tab w:val="center" w:pos="4252"/>
                              <w:tab w:val="right" w:pos="8504"/>
                              <w:tab w:val="clear" w:pos="4153"/>
                              <w:tab w:val="clear" w:pos="8306"/>
                            </w:tabs>
                            <w:jc w:val="center"/>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26"/>
                      <w:pBdr>
                        <w:top w:val="single" w:color="auto" w:sz="4" w:space="1"/>
                      </w:pBdr>
                      <w:tabs>
                        <w:tab w:val="center" w:pos="4252"/>
                        <w:tab w:val="right" w:pos="8504"/>
                        <w:tab w:val="clear" w:pos="4153"/>
                        <w:tab w:val="clear" w:pos="8306"/>
                      </w:tabs>
                      <w:jc w:val="center"/>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ind w:firstLine="360"/>
                            <w:jc w:val="center"/>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26"/>
                      <w:ind w:firstLine="360"/>
                      <w:jc w:val="center"/>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ind w:firstLine="360"/>
                            <w:jc w:val="center"/>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6"/>
                      <w:ind w:firstLine="360"/>
                      <w:jc w:val="center"/>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6"/>
                      <w:jc w:val="center"/>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189" w:firstLineChars="10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EFDB4"/>
    <w:multiLevelType w:val="singleLevel"/>
    <w:tmpl w:val="828EFDB4"/>
    <w:lvl w:ilvl="0" w:tentative="0">
      <w:start w:val="1"/>
      <w:numFmt w:val="decimal"/>
      <w:lvlText w:val="%1."/>
      <w:lvlJc w:val="left"/>
      <w:pPr>
        <w:tabs>
          <w:tab w:val="left" w:pos="312"/>
        </w:tabs>
      </w:pPr>
    </w:lvl>
  </w:abstractNum>
  <w:abstractNum w:abstractNumId="1">
    <w:nsid w:val="8F4DFEB7"/>
    <w:multiLevelType w:val="singleLevel"/>
    <w:tmpl w:val="8F4DFEB7"/>
    <w:lvl w:ilvl="0" w:tentative="0">
      <w:start w:val="1"/>
      <w:numFmt w:val="decimal"/>
      <w:lvlText w:val="%1."/>
      <w:lvlJc w:val="left"/>
      <w:pPr>
        <w:tabs>
          <w:tab w:val="left" w:pos="312"/>
        </w:tabs>
      </w:pPr>
    </w:lvl>
  </w:abstractNum>
  <w:abstractNum w:abstractNumId="2">
    <w:nsid w:val="93C9AA75"/>
    <w:multiLevelType w:val="singleLevel"/>
    <w:tmpl w:val="93C9AA75"/>
    <w:lvl w:ilvl="0" w:tentative="0">
      <w:start w:val="1"/>
      <w:numFmt w:val="decimal"/>
      <w:lvlText w:val="%1."/>
      <w:lvlJc w:val="left"/>
      <w:pPr>
        <w:tabs>
          <w:tab w:val="left" w:pos="312"/>
        </w:tabs>
      </w:pPr>
    </w:lvl>
  </w:abstractNum>
  <w:abstractNum w:abstractNumId="3">
    <w:nsid w:val="A99EBF37"/>
    <w:multiLevelType w:val="singleLevel"/>
    <w:tmpl w:val="A99EBF37"/>
    <w:lvl w:ilvl="0" w:tentative="0">
      <w:start w:val="1"/>
      <w:numFmt w:val="decimal"/>
      <w:suff w:val="nothing"/>
      <w:lvlText w:val="（%1）"/>
      <w:lvlJc w:val="left"/>
    </w:lvl>
  </w:abstractNum>
  <w:abstractNum w:abstractNumId="4">
    <w:nsid w:val="C6A04E94"/>
    <w:multiLevelType w:val="singleLevel"/>
    <w:tmpl w:val="C6A04E94"/>
    <w:lvl w:ilvl="0" w:tentative="0">
      <w:start w:val="5"/>
      <w:numFmt w:val="chineseCounting"/>
      <w:suff w:val="nothing"/>
      <w:lvlText w:val="%1、"/>
      <w:lvlJc w:val="left"/>
      <w:rPr>
        <w:rFonts w:hint="eastAsia"/>
      </w:rPr>
    </w:lvl>
  </w:abstractNum>
  <w:abstractNum w:abstractNumId="5">
    <w:nsid w:val="DD152217"/>
    <w:multiLevelType w:val="singleLevel"/>
    <w:tmpl w:val="DD152217"/>
    <w:lvl w:ilvl="0" w:tentative="0">
      <w:start w:val="1"/>
      <w:numFmt w:val="chineseCounting"/>
      <w:suff w:val="nothing"/>
      <w:lvlText w:val="%1、"/>
      <w:lvlJc w:val="left"/>
      <w:rPr>
        <w:rFonts w:hint="eastAsia"/>
      </w:rPr>
    </w:lvl>
  </w:abstractNum>
  <w:abstractNum w:abstractNumId="6">
    <w:nsid w:val="FC6B8C6C"/>
    <w:multiLevelType w:val="singleLevel"/>
    <w:tmpl w:val="FC6B8C6C"/>
    <w:lvl w:ilvl="0" w:tentative="0">
      <w:start w:val="1"/>
      <w:numFmt w:val="decimal"/>
      <w:lvlText w:val="%1."/>
      <w:lvlJc w:val="left"/>
      <w:pPr>
        <w:ind w:left="425" w:hanging="425"/>
      </w:pPr>
      <w:rPr>
        <w:rFonts w:hint="default"/>
      </w:rPr>
    </w:lvl>
  </w:abstractNum>
  <w:abstractNum w:abstractNumId="7">
    <w:nsid w:val="00555AFF"/>
    <w:multiLevelType w:val="multilevel"/>
    <w:tmpl w:val="00555AFF"/>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5476E95"/>
    <w:multiLevelType w:val="singleLevel"/>
    <w:tmpl w:val="05476E95"/>
    <w:lvl w:ilvl="0" w:tentative="0">
      <w:start w:val="5"/>
      <w:numFmt w:val="chineseCounting"/>
      <w:suff w:val="nothing"/>
      <w:lvlText w:val="%1、"/>
      <w:lvlJc w:val="left"/>
      <w:rPr>
        <w:rFonts w:hint="eastAsia"/>
      </w:rPr>
    </w:lvl>
  </w:abstractNum>
  <w:abstractNum w:abstractNumId="9">
    <w:nsid w:val="230D6944"/>
    <w:multiLevelType w:val="multilevel"/>
    <w:tmpl w:val="230D6944"/>
    <w:lvl w:ilvl="0" w:tentative="0">
      <w:start w:val="1"/>
      <w:numFmt w:val="decimal"/>
      <w:pStyle w:val="198"/>
      <w:suff w:val="nothing"/>
      <w:lvlText w:val="%1."/>
      <w:lvlJc w:val="left"/>
      <w:pPr>
        <w:ind w:left="420" w:hanging="420"/>
      </w:pPr>
      <w:rPr>
        <w:rFonts w:hint="eastAsia"/>
        <w:w w:val="1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7C6977"/>
    <w:multiLevelType w:val="multilevel"/>
    <w:tmpl w:val="367C6977"/>
    <w:lvl w:ilvl="0" w:tentative="0">
      <w:start w:val="1"/>
      <w:numFmt w:val="decimal"/>
      <w:suff w:val="space"/>
      <w:lvlText w:val="图%1."/>
      <w:lvlJc w:val="left"/>
      <w:pPr>
        <w:ind w:left="420" w:hanging="420"/>
      </w:pPr>
      <w:rPr>
        <w:rFonts w:hint="default" w:ascii="Times New Roman" w:hAnsi="Times New Roman" w:eastAsia="宋体"/>
        <w:b w:val="0"/>
        <w:i w:val="0"/>
        <w:sz w:val="24"/>
        <w:szCs w:val="24"/>
      </w:rPr>
    </w:lvl>
    <w:lvl w:ilvl="1" w:tentative="0">
      <w:start w:val="1"/>
      <w:numFmt w:val="lowerLetter"/>
      <w:lvlText w:val="%2)"/>
      <w:lvlJc w:val="left"/>
      <w:pPr>
        <w:ind w:left="1560" w:hanging="420"/>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11">
    <w:nsid w:val="3D466BF4"/>
    <w:multiLevelType w:val="singleLevel"/>
    <w:tmpl w:val="3D466BF4"/>
    <w:lvl w:ilvl="0" w:tentative="0">
      <w:start w:val="1"/>
      <w:numFmt w:val="decimal"/>
      <w:lvlText w:val="%1."/>
      <w:lvlJc w:val="left"/>
      <w:pPr>
        <w:ind w:left="425" w:hanging="425"/>
      </w:pPr>
      <w:rPr>
        <w:rFonts w:hint="default"/>
      </w:rPr>
    </w:lvl>
  </w:abstractNum>
  <w:abstractNum w:abstractNumId="12">
    <w:nsid w:val="42EBC0A2"/>
    <w:multiLevelType w:val="singleLevel"/>
    <w:tmpl w:val="42EBC0A2"/>
    <w:lvl w:ilvl="0" w:tentative="0">
      <w:start w:val="1"/>
      <w:numFmt w:val="decimal"/>
      <w:lvlText w:val="%1."/>
      <w:lvlJc w:val="left"/>
      <w:pPr>
        <w:tabs>
          <w:tab w:val="left" w:pos="312"/>
        </w:tabs>
      </w:pPr>
    </w:lvl>
  </w:abstractNum>
  <w:abstractNum w:abstractNumId="13">
    <w:nsid w:val="4B5E0854"/>
    <w:multiLevelType w:val="multilevel"/>
    <w:tmpl w:val="4B5E085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5A2806D8"/>
    <w:multiLevelType w:val="multilevel"/>
    <w:tmpl w:val="5A2806D8"/>
    <w:lvl w:ilvl="0" w:tentative="0">
      <w:start w:val="1"/>
      <w:numFmt w:val="decimal"/>
      <w:suff w:val="nothing"/>
      <w:lvlText w:val="%1."/>
      <w:lvlJc w:val="left"/>
      <w:pPr>
        <w:ind w:left="420" w:hanging="420"/>
      </w:pPr>
      <w:rPr>
        <w:rFonts w:hint="eastAsia" w:ascii="仿宋" w:hAnsi="仿宋" w:eastAsia="仿宋"/>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618876DD"/>
    <w:multiLevelType w:val="multilevel"/>
    <w:tmpl w:val="618876DD"/>
    <w:lvl w:ilvl="0" w:tentative="0">
      <w:start w:val="1"/>
      <w:numFmt w:val="decimal"/>
      <w:suff w:val="nothing"/>
      <w:lvlText w:val="表%1."/>
      <w:lvlJc w:val="center"/>
      <w:pPr>
        <w:ind w:left="0" w:firstLine="0"/>
      </w:pPr>
      <w:rPr>
        <w:rFonts w:hint="eastAsia"/>
        <w:lang w:val="en-GB"/>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6">
    <w:nsid w:val="656D6133"/>
    <w:multiLevelType w:val="multilevel"/>
    <w:tmpl w:val="656D6133"/>
    <w:lvl w:ilvl="0" w:tentative="0">
      <w:start w:val="1"/>
      <w:numFmt w:val="chineseCountingThousand"/>
      <w:pStyle w:val="164"/>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197"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7">
    <w:nsid w:val="745FAF76"/>
    <w:multiLevelType w:val="singleLevel"/>
    <w:tmpl w:val="745FAF76"/>
    <w:lvl w:ilvl="0" w:tentative="0">
      <w:start w:val="2"/>
      <w:numFmt w:val="chineseCounting"/>
      <w:suff w:val="space"/>
      <w:lvlText w:val="第%1部分"/>
      <w:lvlJc w:val="left"/>
      <w:rPr>
        <w:rFonts w:hint="eastAsia"/>
      </w:rPr>
    </w:lvl>
  </w:abstractNum>
  <w:abstractNum w:abstractNumId="18">
    <w:nsid w:val="7B484AC5"/>
    <w:multiLevelType w:val="singleLevel"/>
    <w:tmpl w:val="7B484AC5"/>
    <w:lvl w:ilvl="0" w:tentative="0">
      <w:start w:val="1"/>
      <w:numFmt w:val="decimal"/>
      <w:suff w:val="nothing"/>
      <w:lvlText w:val="%1．"/>
      <w:lvlJc w:val="left"/>
    </w:lvl>
  </w:abstractNum>
  <w:num w:numId="1">
    <w:abstractNumId w:val="16"/>
  </w:num>
  <w:num w:numId="2">
    <w:abstractNumId w:val="9"/>
  </w:num>
  <w:num w:numId="3">
    <w:abstractNumId w:val="5"/>
  </w:num>
  <w:num w:numId="4">
    <w:abstractNumId w:val="17"/>
  </w:num>
  <w:num w:numId="5">
    <w:abstractNumId w:val="3"/>
  </w:num>
  <w:num w:numId="6">
    <w:abstractNumId w:val="18"/>
  </w:num>
  <w:num w:numId="7">
    <w:abstractNumId w:val="7"/>
  </w:num>
  <w:num w:numId="8">
    <w:abstractNumId w:val="10"/>
  </w:num>
  <w:num w:numId="9">
    <w:abstractNumId w:val="15"/>
  </w:num>
  <w:num w:numId="10">
    <w:abstractNumId w:val="14"/>
  </w:num>
  <w:num w:numId="11">
    <w:abstractNumId w:val="6"/>
  </w:num>
  <w:num w:numId="12">
    <w:abstractNumId w:val="11"/>
  </w:num>
  <w:num w:numId="13">
    <w:abstractNumId w:val="13"/>
  </w:num>
  <w:num w:numId="14">
    <w:abstractNumId w:val="12"/>
  </w:num>
  <w:num w:numId="15">
    <w:abstractNumId w:val="2"/>
  </w:num>
  <w:num w:numId="16">
    <w:abstractNumId w:val="4"/>
  </w:num>
  <w:num w:numId="17">
    <w:abstractNumId w:val="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jOTA5MmVjOWM4OGIyMjNhMmMyZjcyZDEzOTlmNDkifQ=="/>
  </w:docVars>
  <w:rsids>
    <w:rsidRoot w:val="00587125"/>
    <w:rsid w:val="00037D1C"/>
    <w:rsid w:val="002332F2"/>
    <w:rsid w:val="00282A57"/>
    <w:rsid w:val="003031C5"/>
    <w:rsid w:val="00306E2F"/>
    <w:rsid w:val="003546AC"/>
    <w:rsid w:val="00394B62"/>
    <w:rsid w:val="003A2A90"/>
    <w:rsid w:val="003B22CC"/>
    <w:rsid w:val="003F005C"/>
    <w:rsid w:val="004276A9"/>
    <w:rsid w:val="004E1D72"/>
    <w:rsid w:val="004E56EB"/>
    <w:rsid w:val="00587125"/>
    <w:rsid w:val="005B1BEA"/>
    <w:rsid w:val="00655F7B"/>
    <w:rsid w:val="00676508"/>
    <w:rsid w:val="00741813"/>
    <w:rsid w:val="00776B64"/>
    <w:rsid w:val="007A2C66"/>
    <w:rsid w:val="00802BDB"/>
    <w:rsid w:val="00814795"/>
    <w:rsid w:val="00825E3F"/>
    <w:rsid w:val="00856FD2"/>
    <w:rsid w:val="008F3997"/>
    <w:rsid w:val="008F6CCC"/>
    <w:rsid w:val="00966113"/>
    <w:rsid w:val="009A2648"/>
    <w:rsid w:val="009E0C56"/>
    <w:rsid w:val="009F04BC"/>
    <w:rsid w:val="009F12F0"/>
    <w:rsid w:val="00AD133C"/>
    <w:rsid w:val="00B561ED"/>
    <w:rsid w:val="00B9583F"/>
    <w:rsid w:val="00C17B33"/>
    <w:rsid w:val="00C514B3"/>
    <w:rsid w:val="00C619F2"/>
    <w:rsid w:val="00CB1A74"/>
    <w:rsid w:val="00CC75A3"/>
    <w:rsid w:val="00D32C3F"/>
    <w:rsid w:val="00D3558C"/>
    <w:rsid w:val="00DA54CA"/>
    <w:rsid w:val="00DB4796"/>
    <w:rsid w:val="00DD5EE5"/>
    <w:rsid w:val="00DE73F6"/>
    <w:rsid w:val="00DF5B03"/>
    <w:rsid w:val="00E70355"/>
    <w:rsid w:val="00EA7EE0"/>
    <w:rsid w:val="00EF13DB"/>
    <w:rsid w:val="00F8483B"/>
    <w:rsid w:val="010D0DA5"/>
    <w:rsid w:val="011B0A4F"/>
    <w:rsid w:val="01273FE1"/>
    <w:rsid w:val="012E07FF"/>
    <w:rsid w:val="012F20E3"/>
    <w:rsid w:val="018207C5"/>
    <w:rsid w:val="0196276A"/>
    <w:rsid w:val="0197572F"/>
    <w:rsid w:val="01A27188"/>
    <w:rsid w:val="01A648A2"/>
    <w:rsid w:val="020463AE"/>
    <w:rsid w:val="020F5540"/>
    <w:rsid w:val="021B6523"/>
    <w:rsid w:val="02482C19"/>
    <w:rsid w:val="029C1412"/>
    <w:rsid w:val="02ED633E"/>
    <w:rsid w:val="02EE2AD1"/>
    <w:rsid w:val="02FC32C5"/>
    <w:rsid w:val="03012417"/>
    <w:rsid w:val="030B6598"/>
    <w:rsid w:val="030F6088"/>
    <w:rsid w:val="03221A9E"/>
    <w:rsid w:val="03244E5C"/>
    <w:rsid w:val="033159F7"/>
    <w:rsid w:val="03577A2F"/>
    <w:rsid w:val="03725712"/>
    <w:rsid w:val="03842CBC"/>
    <w:rsid w:val="03A55884"/>
    <w:rsid w:val="03C01F28"/>
    <w:rsid w:val="03FA6D38"/>
    <w:rsid w:val="04021749"/>
    <w:rsid w:val="042857E0"/>
    <w:rsid w:val="045257F7"/>
    <w:rsid w:val="045C1DCC"/>
    <w:rsid w:val="045E246D"/>
    <w:rsid w:val="04683DE4"/>
    <w:rsid w:val="046858FE"/>
    <w:rsid w:val="0473087A"/>
    <w:rsid w:val="04AC1B31"/>
    <w:rsid w:val="04C862BF"/>
    <w:rsid w:val="04FF212C"/>
    <w:rsid w:val="050533AA"/>
    <w:rsid w:val="056C65BE"/>
    <w:rsid w:val="05754354"/>
    <w:rsid w:val="057A29A7"/>
    <w:rsid w:val="057B4192"/>
    <w:rsid w:val="05820786"/>
    <w:rsid w:val="05860E73"/>
    <w:rsid w:val="05967620"/>
    <w:rsid w:val="05B93BD7"/>
    <w:rsid w:val="05C50866"/>
    <w:rsid w:val="05F13E3F"/>
    <w:rsid w:val="05F64DE3"/>
    <w:rsid w:val="06214BA0"/>
    <w:rsid w:val="06257C86"/>
    <w:rsid w:val="062736E9"/>
    <w:rsid w:val="064E7170"/>
    <w:rsid w:val="06712BB6"/>
    <w:rsid w:val="06BC6527"/>
    <w:rsid w:val="06CD0C8F"/>
    <w:rsid w:val="0714051D"/>
    <w:rsid w:val="071E24CE"/>
    <w:rsid w:val="07217322"/>
    <w:rsid w:val="07386A8F"/>
    <w:rsid w:val="074309F6"/>
    <w:rsid w:val="076B3AA9"/>
    <w:rsid w:val="07B629D6"/>
    <w:rsid w:val="07C13DF1"/>
    <w:rsid w:val="07CF7DC7"/>
    <w:rsid w:val="07D56B73"/>
    <w:rsid w:val="07E8640F"/>
    <w:rsid w:val="081163FE"/>
    <w:rsid w:val="08225713"/>
    <w:rsid w:val="084F11A7"/>
    <w:rsid w:val="08537569"/>
    <w:rsid w:val="089416D3"/>
    <w:rsid w:val="08C22FBD"/>
    <w:rsid w:val="08D8367F"/>
    <w:rsid w:val="09010C52"/>
    <w:rsid w:val="093A1F6D"/>
    <w:rsid w:val="093D2965"/>
    <w:rsid w:val="09536BF6"/>
    <w:rsid w:val="0991504C"/>
    <w:rsid w:val="0994062B"/>
    <w:rsid w:val="09994BF5"/>
    <w:rsid w:val="09AD7DD0"/>
    <w:rsid w:val="09B14786"/>
    <w:rsid w:val="09B65387"/>
    <w:rsid w:val="09F03E7F"/>
    <w:rsid w:val="0A522CFE"/>
    <w:rsid w:val="0A807631"/>
    <w:rsid w:val="0A8E5717"/>
    <w:rsid w:val="0A9C0C6E"/>
    <w:rsid w:val="0AB46537"/>
    <w:rsid w:val="0AC612B8"/>
    <w:rsid w:val="0AC91212"/>
    <w:rsid w:val="0B2D612A"/>
    <w:rsid w:val="0B9B2FA6"/>
    <w:rsid w:val="0BA15F13"/>
    <w:rsid w:val="0BAB18B6"/>
    <w:rsid w:val="0BB16AFB"/>
    <w:rsid w:val="0BF21D70"/>
    <w:rsid w:val="0BFA53FB"/>
    <w:rsid w:val="0C07324B"/>
    <w:rsid w:val="0C1E03A4"/>
    <w:rsid w:val="0C445FB8"/>
    <w:rsid w:val="0CE8514F"/>
    <w:rsid w:val="0CFF7448"/>
    <w:rsid w:val="0D0103CE"/>
    <w:rsid w:val="0D602B10"/>
    <w:rsid w:val="0D9D1CBF"/>
    <w:rsid w:val="0DB55A7E"/>
    <w:rsid w:val="0DD04532"/>
    <w:rsid w:val="0DF904F6"/>
    <w:rsid w:val="0E23210F"/>
    <w:rsid w:val="0E5F415F"/>
    <w:rsid w:val="0E7A1B5C"/>
    <w:rsid w:val="0E9F2C90"/>
    <w:rsid w:val="0EC26A23"/>
    <w:rsid w:val="0EC75A69"/>
    <w:rsid w:val="0ECE6271"/>
    <w:rsid w:val="0ECF491D"/>
    <w:rsid w:val="0EE91122"/>
    <w:rsid w:val="0EEE7499"/>
    <w:rsid w:val="0F105ABD"/>
    <w:rsid w:val="0F48349D"/>
    <w:rsid w:val="0F6D0434"/>
    <w:rsid w:val="0F7301AD"/>
    <w:rsid w:val="0F76780C"/>
    <w:rsid w:val="0FA7232A"/>
    <w:rsid w:val="0FB029A1"/>
    <w:rsid w:val="0FB94BC1"/>
    <w:rsid w:val="0FE370A0"/>
    <w:rsid w:val="100E09F7"/>
    <w:rsid w:val="10267E32"/>
    <w:rsid w:val="10523A58"/>
    <w:rsid w:val="10863468"/>
    <w:rsid w:val="109127D2"/>
    <w:rsid w:val="1124614A"/>
    <w:rsid w:val="11295BA4"/>
    <w:rsid w:val="11390654"/>
    <w:rsid w:val="114869C7"/>
    <w:rsid w:val="115C78D8"/>
    <w:rsid w:val="11E5629C"/>
    <w:rsid w:val="12090218"/>
    <w:rsid w:val="12097BA4"/>
    <w:rsid w:val="121C48C3"/>
    <w:rsid w:val="124A1BBF"/>
    <w:rsid w:val="12533641"/>
    <w:rsid w:val="12A52565"/>
    <w:rsid w:val="12E27C8C"/>
    <w:rsid w:val="12EC0C56"/>
    <w:rsid w:val="12F60CD3"/>
    <w:rsid w:val="131C2653"/>
    <w:rsid w:val="133C06D1"/>
    <w:rsid w:val="13541965"/>
    <w:rsid w:val="13697BCB"/>
    <w:rsid w:val="136F7AE1"/>
    <w:rsid w:val="1386064D"/>
    <w:rsid w:val="13CA3A08"/>
    <w:rsid w:val="13CE1962"/>
    <w:rsid w:val="13DB0E6D"/>
    <w:rsid w:val="14004846"/>
    <w:rsid w:val="1441291C"/>
    <w:rsid w:val="145572C0"/>
    <w:rsid w:val="14582913"/>
    <w:rsid w:val="146E07CE"/>
    <w:rsid w:val="14AF0316"/>
    <w:rsid w:val="14B93383"/>
    <w:rsid w:val="14D06A14"/>
    <w:rsid w:val="14F32A6A"/>
    <w:rsid w:val="14FF03E5"/>
    <w:rsid w:val="150C36C7"/>
    <w:rsid w:val="152B61EC"/>
    <w:rsid w:val="153B4ABB"/>
    <w:rsid w:val="15787ABD"/>
    <w:rsid w:val="15822D84"/>
    <w:rsid w:val="15C076B6"/>
    <w:rsid w:val="15C86F22"/>
    <w:rsid w:val="15F93CBB"/>
    <w:rsid w:val="16245676"/>
    <w:rsid w:val="163C2907"/>
    <w:rsid w:val="163E6CA4"/>
    <w:rsid w:val="163F0FF9"/>
    <w:rsid w:val="16526560"/>
    <w:rsid w:val="16A037E9"/>
    <w:rsid w:val="16B75049"/>
    <w:rsid w:val="16C16378"/>
    <w:rsid w:val="16D47F79"/>
    <w:rsid w:val="17463C4C"/>
    <w:rsid w:val="17487963"/>
    <w:rsid w:val="178A106B"/>
    <w:rsid w:val="17C2072D"/>
    <w:rsid w:val="17D50DEC"/>
    <w:rsid w:val="183C3140"/>
    <w:rsid w:val="18605DA8"/>
    <w:rsid w:val="18CA69F2"/>
    <w:rsid w:val="18F97A0B"/>
    <w:rsid w:val="191F2140"/>
    <w:rsid w:val="19466124"/>
    <w:rsid w:val="19B66A8C"/>
    <w:rsid w:val="19D5184B"/>
    <w:rsid w:val="1A03021F"/>
    <w:rsid w:val="1A513DD1"/>
    <w:rsid w:val="1A5730C3"/>
    <w:rsid w:val="1A6659ED"/>
    <w:rsid w:val="1ABA0174"/>
    <w:rsid w:val="1ACA04C6"/>
    <w:rsid w:val="1ACE4623"/>
    <w:rsid w:val="1AE654C9"/>
    <w:rsid w:val="1AF63C26"/>
    <w:rsid w:val="1B206941"/>
    <w:rsid w:val="1B65760F"/>
    <w:rsid w:val="1B6E54F9"/>
    <w:rsid w:val="1BAA487F"/>
    <w:rsid w:val="1C962C39"/>
    <w:rsid w:val="1C9C3CC1"/>
    <w:rsid w:val="1CC24B7C"/>
    <w:rsid w:val="1CC805A6"/>
    <w:rsid w:val="1D1B195C"/>
    <w:rsid w:val="1D2642A2"/>
    <w:rsid w:val="1D6E4A5E"/>
    <w:rsid w:val="1D7E5E8C"/>
    <w:rsid w:val="1DB635C3"/>
    <w:rsid w:val="1DB94B89"/>
    <w:rsid w:val="1DDA5946"/>
    <w:rsid w:val="1DE254C0"/>
    <w:rsid w:val="1E1E76E3"/>
    <w:rsid w:val="1E990EF4"/>
    <w:rsid w:val="1EC0164E"/>
    <w:rsid w:val="1EE97FC9"/>
    <w:rsid w:val="1F1258E9"/>
    <w:rsid w:val="1F242A63"/>
    <w:rsid w:val="1F495E5D"/>
    <w:rsid w:val="1F666BD8"/>
    <w:rsid w:val="1F6B0B1F"/>
    <w:rsid w:val="1F7A5A0D"/>
    <w:rsid w:val="202D4DAD"/>
    <w:rsid w:val="20EC1EE8"/>
    <w:rsid w:val="20F052F3"/>
    <w:rsid w:val="21110D94"/>
    <w:rsid w:val="21111E56"/>
    <w:rsid w:val="212F642F"/>
    <w:rsid w:val="216C140B"/>
    <w:rsid w:val="21CB5E6F"/>
    <w:rsid w:val="21D27576"/>
    <w:rsid w:val="220568A1"/>
    <w:rsid w:val="22525B39"/>
    <w:rsid w:val="22870F24"/>
    <w:rsid w:val="22A331BF"/>
    <w:rsid w:val="22DC110C"/>
    <w:rsid w:val="22E8067B"/>
    <w:rsid w:val="22E86206"/>
    <w:rsid w:val="23040BE2"/>
    <w:rsid w:val="23135104"/>
    <w:rsid w:val="23254BDB"/>
    <w:rsid w:val="237329A3"/>
    <w:rsid w:val="23892210"/>
    <w:rsid w:val="23AA5611"/>
    <w:rsid w:val="241C01AD"/>
    <w:rsid w:val="24217571"/>
    <w:rsid w:val="242F23CB"/>
    <w:rsid w:val="243C6BCF"/>
    <w:rsid w:val="243F488A"/>
    <w:rsid w:val="244D480A"/>
    <w:rsid w:val="247B3126"/>
    <w:rsid w:val="24A21F89"/>
    <w:rsid w:val="24A35E1E"/>
    <w:rsid w:val="24B3603F"/>
    <w:rsid w:val="24B77ED6"/>
    <w:rsid w:val="250565EC"/>
    <w:rsid w:val="25163199"/>
    <w:rsid w:val="2560231B"/>
    <w:rsid w:val="25B114B8"/>
    <w:rsid w:val="25B821F5"/>
    <w:rsid w:val="25E4254F"/>
    <w:rsid w:val="25FE691C"/>
    <w:rsid w:val="260135B2"/>
    <w:rsid w:val="26075557"/>
    <w:rsid w:val="26313D4A"/>
    <w:rsid w:val="266F30F2"/>
    <w:rsid w:val="2685756D"/>
    <w:rsid w:val="26A6504E"/>
    <w:rsid w:val="26B21E70"/>
    <w:rsid w:val="26ED2844"/>
    <w:rsid w:val="26F16ED8"/>
    <w:rsid w:val="27045C32"/>
    <w:rsid w:val="27273950"/>
    <w:rsid w:val="273B4E23"/>
    <w:rsid w:val="274272E7"/>
    <w:rsid w:val="274C0DDD"/>
    <w:rsid w:val="27524505"/>
    <w:rsid w:val="27762C6C"/>
    <w:rsid w:val="277C090E"/>
    <w:rsid w:val="27A05BEC"/>
    <w:rsid w:val="27C27485"/>
    <w:rsid w:val="27E91C38"/>
    <w:rsid w:val="28113717"/>
    <w:rsid w:val="286954BE"/>
    <w:rsid w:val="287A586A"/>
    <w:rsid w:val="288401E3"/>
    <w:rsid w:val="28D266EE"/>
    <w:rsid w:val="290C36CD"/>
    <w:rsid w:val="29542588"/>
    <w:rsid w:val="2979561E"/>
    <w:rsid w:val="29A259BF"/>
    <w:rsid w:val="29A864DE"/>
    <w:rsid w:val="29CA6408"/>
    <w:rsid w:val="29D362E4"/>
    <w:rsid w:val="29E04B74"/>
    <w:rsid w:val="29F340FF"/>
    <w:rsid w:val="29FE50CE"/>
    <w:rsid w:val="2A1A0861"/>
    <w:rsid w:val="2A823F90"/>
    <w:rsid w:val="2AAA18C5"/>
    <w:rsid w:val="2AC916BE"/>
    <w:rsid w:val="2AFB00F2"/>
    <w:rsid w:val="2B1622A7"/>
    <w:rsid w:val="2B1C2ED2"/>
    <w:rsid w:val="2B361AC7"/>
    <w:rsid w:val="2B434EBF"/>
    <w:rsid w:val="2B5D59FE"/>
    <w:rsid w:val="2B9F053F"/>
    <w:rsid w:val="2BB539CE"/>
    <w:rsid w:val="2BB9321D"/>
    <w:rsid w:val="2BC937B2"/>
    <w:rsid w:val="2BEF5FE5"/>
    <w:rsid w:val="2BFC6B7B"/>
    <w:rsid w:val="2C0F651B"/>
    <w:rsid w:val="2C4045E4"/>
    <w:rsid w:val="2C491407"/>
    <w:rsid w:val="2C6D6C17"/>
    <w:rsid w:val="2C731E8A"/>
    <w:rsid w:val="2C8132A3"/>
    <w:rsid w:val="2C861134"/>
    <w:rsid w:val="2C912F9A"/>
    <w:rsid w:val="2D686211"/>
    <w:rsid w:val="2D9E3C49"/>
    <w:rsid w:val="2E254102"/>
    <w:rsid w:val="2E36742B"/>
    <w:rsid w:val="2E38580E"/>
    <w:rsid w:val="2E4456ED"/>
    <w:rsid w:val="2E7071A5"/>
    <w:rsid w:val="2E9945BC"/>
    <w:rsid w:val="2EA903C9"/>
    <w:rsid w:val="2EA91A82"/>
    <w:rsid w:val="2EAC0B86"/>
    <w:rsid w:val="2ECA6C14"/>
    <w:rsid w:val="2EED43ED"/>
    <w:rsid w:val="2EF83625"/>
    <w:rsid w:val="2F034956"/>
    <w:rsid w:val="2F1710EE"/>
    <w:rsid w:val="2F171C9D"/>
    <w:rsid w:val="2F3D152D"/>
    <w:rsid w:val="2F3D2638"/>
    <w:rsid w:val="2FBF6E64"/>
    <w:rsid w:val="2FC11EF6"/>
    <w:rsid w:val="300541EB"/>
    <w:rsid w:val="300655CD"/>
    <w:rsid w:val="304B28F4"/>
    <w:rsid w:val="309F4FF1"/>
    <w:rsid w:val="30A547F8"/>
    <w:rsid w:val="30D51C0E"/>
    <w:rsid w:val="30FE050B"/>
    <w:rsid w:val="31151DD2"/>
    <w:rsid w:val="313D3782"/>
    <w:rsid w:val="31424CA5"/>
    <w:rsid w:val="31960174"/>
    <w:rsid w:val="31BB62B3"/>
    <w:rsid w:val="31C72E52"/>
    <w:rsid w:val="3200110E"/>
    <w:rsid w:val="321F4078"/>
    <w:rsid w:val="32200221"/>
    <w:rsid w:val="32670332"/>
    <w:rsid w:val="327F6F02"/>
    <w:rsid w:val="32936DF2"/>
    <w:rsid w:val="32A84496"/>
    <w:rsid w:val="32C56BA6"/>
    <w:rsid w:val="339343B1"/>
    <w:rsid w:val="33977D1D"/>
    <w:rsid w:val="33C06F43"/>
    <w:rsid w:val="341C32EC"/>
    <w:rsid w:val="34332EE0"/>
    <w:rsid w:val="344A20FE"/>
    <w:rsid w:val="34614A5F"/>
    <w:rsid w:val="34790D04"/>
    <w:rsid w:val="34D84A24"/>
    <w:rsid w:val="34EE7FDD"/>
    <w:rsid w:val="35044C62"/>
    <w:rsid w:val="355F12BE"/>
    <w:rsid w:val="35F42D38"/>
    <w:rsid w:val="35FE4807"/>
    <w:rsid w:val="369C13A5"/>
    <w:rsid w:val="36C56DAD"/>
    <w:rsid w:val="36C70A3E"/>
    <w:rsid w:val="36D56398"/>
    <w:rsid w:val="370E75F1"/>
    <w:rsid w:val="37294E17"/>
    <w:rsid w:val="377C55B5"/>
    <w:rsid w:val="37B06B55"/>
    <w:rsid w:val="37CD4E4F"/>
    <w:rsid w:val="37ED2842"/>
    <w:rsid w:val="37EE6B78"/>
    <w:rsid w:val="37F0156B"/>
    <w:rsid w:val="38166E45"/>
    <w:rsid w:val="38635DE0"/>
    <w:rsid w:val="388460AC"/>
    <w:rsid w:val="38E5105E"/>
    <w:rsid w:val="39210C89"/>
    <w:rsid w:val="39212604"/>
    <w:rsid w:val="39536EC1"/>
    <w:rsid w:val="39811E6B"/>
    <w:rsid w:val="39983A6B"/>
    <w:rsid w:val="39B94AFA"/>
    <w:rsid w:val="39C845C6"/>
    <w:rsid w:val="39CA3C7B"/>
    <w:rsid w:val="39CE230F"/>
    <w:rsid w:val="39ED58E3"/>
    <w:rsid w:val="3A060320"/>
    <w:rsid w:val="3A126C6D"/>
    <w:rsid w:val="3A2B6F44"/>
    <w:rsid w:val="3A3E5E12"/>
    <w:rsid w:val="3AA01843"/>
    <w:rsid w:val="3AB02F95"/>
    <w:rsid w:val="3AB27C48"/>
    <w:rsid w:val="3AB65E72"/>
    <w:rsid w:val="3AB8506C"/>
    <w:rsid w:val="3AFD13D4"/>
    <w:rsid w:val="3B01658B"/>
    <w:rsid w:val="3B075C4A"/>
    <w:rsid w:val="3B7A3CDF"/>
    <w:rsid w:val="3B907C20"/>
    <w:rsid w:val="3B9D2CFF"/>
    <w:rsid w:val="3BC93A9A"/>
    <w:rsid w:val="3BD92E93"/>
    <w:rsid w:val="3BDC2440"/>
    <w:rsid w:val="3CA10AA5"/>
    <w:rsid w:val="3CA54D8C"/>
    <w:rsid w:val="3CE361CD"/>
    <w:rsid w:val="3CF1769B"/>
    <w:rsid w:val="3CFB5BD5"/>
    <w:rsid w:val="3D526845"/>
    <w:rsid w:val="3D8308C6"/>
    <w:rsid w:val="3D880EBC"/>
    <w:rsid w:val="3DD11DE9"/>
    <w:rsid w:val="3E466116"/>
    <w:rsid w:val="3E6007D0"/>
    <w:rsid w:val="3E611186"/>
    <w:rsid w:val="3E6D08CC"/>
    <w:rsid w:val="3E9D17AC"/>
    <w:rsid w:val="3EA0560F"/>
    <w:rsid w:val="3EAB626D"/>
    <w:rsid w:val="3EBB1D7D"/>
    <w:rsid w:val="3EBC63BD"/>
    <w:rsid w:val="3EE06BDA"/>
    <w:rsid w:val="3EEB2166"/>
    <w:rsid w:val="3F4304DD"/>
    <w:rsid w:val="3FFF4259"/>
    <w:rsid w:val="4040179A"/>
    <w:rsid w:val="404E26E9"/>
    <w:rsid w:val="40A4588C"/>
    <w:rsid w:val="40B60D56"/>
    <w:rsid w:val="40C2531D"/>
    <w:rsid w:val="40EC1591"/>
    <w:rsid w:val="40F82C70"/>
    <w:rsid w:val="40FB641A"/>
    <w:rsid w:val="416675B7"/>
    <w:rsid w:val="418C70DC"/>
    <w:rsid w:val="418F237F"/>
    <w:rsid w:val="418F6C9C"/>
    <w:rsid w:val="41931657"/>
    <w:rsid w:val="41986B97"/>
    <w:rsid w:val="41A95142"/>
    <w:rsid w:val="41AE46E3"/>
    <w:rsid w:val="41EE13B5"/>
    <w:rsid w:val="41F878A1"/>
    <w:rsid w:val="42251146"/>
    <w:rsid w:val="42724C91"/>
    <w:rsid w:val="428A0171"/>
    <w:rsid w:val="42B77A4D"/>
    <w:rsid w:val="42EC3208"/>
    <w:rsid w:val="43154F21"/>
    <w:rsid w:val="431A1904"/>
    <w:rsid w:val="4333492E"/>
    <w:rsid w:val="43354567"/>
    <w:rsid w:val="43900DD8"/>
    <w:rsid w:val="43942325"/>
    <w:rsid w:val="439B783B"/>
    <w:rsid w:val="43A277DD"/>
    <w:rsid w:val="43BC1E84"/>
    <w:rsid w:val="43F6411F"/>
    <w:rsid w:val="4408189F"/>
    <w:rsid w:val="443C1E4E"/>
    <w:rsid w:val="444E1484"/>
    <w:rsid w:val="44585681"/>
    <w:rsid w:val="449432A7"/>
    <w:rsid w:val="44B33DBE"/>
    <w:rsid w:val="44C85971"/>
    <w:rsid w:val="44CC5045"/>
    <w:rsid w:val="44E47907"/>
    <w:rsid w:val="44E51355"/>
    <w:rsid w:val="455235D7"/>
    <w:rsid w:val="45663FBD"/>
    <w:rsid w:val="458B0897"/>
    <w:rsid w:val="458D3224"/>
    <w:rsid w:val="45C51FFB"/>
    <w:rsid w:val="45D0760F"/>
    <w:rsid w:val="45D828C0"/>
    <w:rsid w:val="45ED2983"/>
    <w:rsid w:val="465961AA"/>
    <w:rsid w:val="4672009D"/>
    <w:rsid w:val="467E6B99"/>
    <w:rsid w:val="468A2F91"/>
    <w:rsid w:val="469E6235"/>
    <w:rsid w:val="46A02B77"/>
    <w:rsid w:val="46F07114"/>
    <w:rsid w:val="46F4574D"/>
    <w:rsid w:val="470701D9"/>
    <w:rsid w:val="470B7CB9"/>
    <w:rsid w:val="47482B64"/>
    <w:rsid w:val="474A0A3D"/>
    <w:rsid w:val="475C00E2"/>
    <w:rsid w:val="47D038DF"/>
    <w:rsid w:val="47D16343"/>
    <w:rsid w:val="47DD53D9"/>
    <w:rsid w:val="47ED358E"/>
    <w:rsid w:val="47F94BCE"/>
    <w:rsid w:val="47FF070F"/>
    <w:rsid w:val="48366122"/>
    <w:rsid w:val="486D5BC0"/>
    <w:rsid w:val="48D52555"/>
    <w:rsid w:val="49156414"/>
    <w:rsid w:val="49156DF5"/>
    <w:rsid w:val="49401E43"/>
    <w:rsid w:val="496C76BD"/>
    <w:rsid w:val="49756640"/>
    <w:rsid w:val="49770DEA"/>
    <w:rsid w:val="497C59C5"/>
    <w:rsid w:val="4A487486"/>
    <w:rsid w:val="4A56696A"/>
    <w:rsid w:val="4A9965D3"/>
    <w:rsid w:val="4ABA278A"/>
    <w:rsid w:val="4AE252BF"/>
    <w:rsid w:val="4AEE78FE"/>
    <w:rsid w:val="4B325068"/>
    <w:rsid w:val="4B412124"/>
    <w:rsid w:val="4B49547C"/>
    <w:rsid w:val="4B7C7600"/>
    <w:rsid w:val="4B963B96"/>
    <w:rsid w:val="4BB31E7C"/>
    <w:rsid w:val="4BC6706B"/>
    <w:rsid w:val="4BCB7F95"/>
    <w:rsid w:val="4BD1695D"/>
    <w:rsid w:val="4C0E08F5"/>
    <w:rsid w:val="4C567D98"/>
    <w:rsid w:val="4C5848A5"/>
    <w:rsid w:val="4C697EB1"/>
    <w:rsid w:val="4C7103C5"/>
    <w:rsid w:val="4CC96874"/>
    <w:rsid w:val="4CD939CC"/>
    <w:rsid w:val="4CE44313"/>
    <w:rsid w:val="4D447CA9"/>
    <w:rsid w:val="4D761009"/>
    <w:rsid w:val="4DA33907"/>
    <w:rsid w:val="4E073626"/>
    <w:rsid w:val="4E1343FE"/>
    <w:rsid w:val="4E2A50F1"/>
    <w:rsid w:val="4EA60D04"/>
    <w:rsid w:val="4EC1359F"/>
    <w:rsid w:val="4EC67FF2"/>
    <w:rsid w:val="4F001D2C"/>
    <w:rsid w:val="4F270B2A"/>
    <w:rsid w:val="4F51013B"/>
    <w:rsid w:val="4F6A4431"/>
    <w:rsid w:val="4F8747D0"/>
    <w:rsid w:val="4FC96B96"/>
    <w:rsid w:val="4FE66F26"/>
    <w:rsid w:val="501876A7"/>
    <w:rsid w:val="505969AD"/>
    <w:rsid w:val="506A7524"/>
    <w:rsid w:val="50714FDC"/>
    <w:rsid w:val="507A1C34"/>
    <w:rsid w:val="507D1F82"/>
    <w:rsid w:val="509A4482"/>
    <w:rsid w:val="509C1E4D"/>
    <w:rsid w:val="51226FD1"/>
    <w:rsid w:val="515003F3"/>
    <w:rsid w:val="517141CF"/>
    <w:rsid w:val="517C28FF"/>
    <w:rsid w:val="51C07FC1"/>
    <w:rsid w:val="51EA20D5"/>
    <w:rsid w:val="525D2070"/>
    <w:rsid w:val="52642B9B"/>
    <w:rsid w:val="526563EA"/>
    <w:rsid w:val="527A41E2"/>
    <w:rsid w:val="52A93967"/>
    <w:rsid w:val="52C26863"/>
    <w:rsid w:val="52F40053"/>
    <w:rsid w:val="535501ED"/>
    <w:rsid w:val="536333C1"/>
    <w:rsid w:val="539024EC"/>
    <w:rsid w:val="53A7424F"/>
    <w:rsid w:val="53AE6E31"/>
    <w:rsid w:val="53AF3EBB"/>
    <w:rsid w:val="53D81B02"/>
    <w:rsid w:val="53DC483D"/>
    <w:rsid w:val="53E35FEF"/>
    <w:rsid w:val="53F874C6"/>
    <w:rsid w:val="53FB4DD0"/>
    <w:rsid w:val="541D4358"/>
    <w:rsid w:val="54551C7E"/>
    <w:rsid w:val="548E7439"/>
    <w:rsid w:val="54946CB4"/>
    <w:rsid w:val="54A84A92"/>
    <w:rsid w:val="54A97694"/>
    <w:rsid w:val="54AB4D86"/>
    <w:rsid w:val="54B2360E"/>
    <w:rsid w:val="54D6474A"/>
    <w:rsid w:val="550459FB"/>
    <w:rsid w:val="550D0CC2"/>
    <w:rsid w:val="551540E5"/>
    <w:rsid w:val="55332E63"/>
    <w:rsid w:val="556233C2"/>
    <w:rsid w:val="556A04C9"/>
    <w:rsid w:val="55854932"/>
    <w:rsid w:val="559F2CEC"/>
    <w:rsid w:val="55AE76B6"/>
    <w:rsid w:val="55FC3326"/>
    <w:rsid w:val="56064695"/>
    <w:rsid w:val="56447343"/>
    <w:rsid w:val="564E3DD5"/>
    <w:rsid w:val="56F31135"/>
    <w:rsid w:val="57043DF1"/>
    <w:rsid w:val="577C164C"/>
    <w:rsid w:val="57C25E6E"/>
    <w:rsid w:val="57E0533F"/>
    <w:rsid w:val="57F004DD"/>
    <w:rsid w:val="580B4454"/>
    <w:rsid w:val="584D4972"/>
    <w:rsid w:val="58564D34"/>
    <w:rsid w:val="58953843"/>
    <w:rsid w:val="58A11191"/>
    <w:rsid w:val="58CF34AB"/>
    <w:rsid w:val="58EF64B2"/>
    <w:rsid w:val="59212F01"/>
    <w:rsid w:val="5946557F"/>
    <w:rsid w:val="594D1FB8"/>
    <w:rsid w:val="5980475F"/>
    <w:rsid w:val="599473CF"/>
    <w:rsid w:val="5A2E4953"/>
    <w:rsid w:val="5A355549"/>
    <w:rsid w:val="5A3C42C8"/>
    <w:rsid w:val="5A622797"/>
    <w:rsid w:val="5A6574B1"/>
    <w:rsid w:val="5A7D558B"/>
    <w:rsid w:val="5A93401E"/>
    <w:rsid w:val="5A992EEB"/>
    <w:rsid w:val="5A9B1120"/>
    <w:rsid w:val="5ABF2774"/>
    <w:rsid w:val="5AE86635"/>
    <w:rsid w:val="5B2829B8"/>
    <w:rsid w:val="5B3A6964"/>
    <w:rsid w:val="5B47382F"/>
    <w:rsid w:val="5B6945CF"/>
    <w:rsid w:val="5B8027F4"/>
    <w:rsid w:val="5B8B31CF"/>
    <w:rsid w:val="5BA051D7"/>
    <w:rsid w:val="5BB125AC"/>
    <w:rsid w:val="5BE2700B"/>
    <w:rsid w:val="5BF32B72"/>
    <w:rsid w:val="5BF741A2"/>
    <w:rsid w:val="5CC5794E"/>
    <w:rsid w:val="5CCA7E66"/>
    <w:rsid w:val="5CE817F0"/>
    <w:rsid w:val="5CF27188"/>
    <w:rsid w:val="5D105DFA"/>
    <w:rsid w:val="5D264552"/>
    <w:rsid w:val="5D4121A2"/>
    <w:rsid w:val="5D4930BA"/>
    <w:rsid w:val="5D613FAA"/>
    <w:rsid w:val="5D714051"/>
    <w:rsid w:val="5DB06367"/>
    <w:rsid w:val="5DEF030C"/>
    <w:rsid w:val="5E286713"/>
    <w:rsid w:val="5E2D4789"/>
    <w:rsid w:val="5E510E84"/>
    <w:rsid w:val="5E6230B4"/>
    <w:rsid w:val="5EAC2485"/>
    <w:rsid w:val="5EB133AA"/>
    <w:rsid w:val="5EE949D8"/>
    <w:rsid w:val="5F002C35"/>
    <w:rsid w:val="5F01354C"/>
    <w:rsid w:val="5F273FDA"/>
    <w:rsid w:val="5F614A38"/>
    <w:rsid w:val="5F65088E"/>
    <w:rsid w:val="5F6E61D6"/>
    <w:rsid w:val="5F713CC6"/>
    <w:rsid w:val="5F802EC3"/>
    <w:rsid w:val="5F855AC2"/>
    <w:rsid w:val="5FC37153"/>
    <w:rsid w:val="5FD30127"/>
    <w:rsid w:val="603A1EC3"/>
    <w:rsid w:val="604F4441"/>
    <w:rsid w:val="605E30E4"/>
    <w:rsid w:val="60D51418"/>
    <w:rsid w:val="6112081D"/>
    <w:rsid w:val="61442516"/>
    <w:rsid w:val="615E777A"/>
    <w:rsid w:val="6193452D"/>
    <w:rsid w:val="61CB6119"/>
    <w:rsid w:val="61D34546"/>
    <w:rsid w:val="61DC3646"/>
    <w:rsid w:val="61ED54E7"/>
    <w:rsid w:val="62353C0D"/>
    <w:rsid w:val="624E7F19"/>
    <w:rsid w:val="628C4DFD"/>
    <w:rsid w:val="62D1742A"/>
    <w:rsid w:val="635D2D54"/>
    <w:rsid w:val="637A3FCD"/>
    <w:rsid w:val="637B70C5"/>
    <w:rsid w:val="63A72A79"/>
    <w:rsid w:val="63B35731"/>
    <w:rsid w:val="63B870BE"/>
    <w:rsid w:val="64063267"/>
    <w:rsid w:val="641F4381"/>
    <w:rsid w:val="643A375C"/>
    <w:rsid w:val="643C5726"/>
    <w:rsid w:val="645F024C"/>
    <w:rsid w:val="649C61C5"/>
    <w:rsid w:val="64A370BD"/>
    <w:rsid w:val="64B319B0"/>
    <w:rsid w:val="64B41F47"/>
    <w:rsid w:val="64C12590"/>
    <w:rsid w:val="650955CE"/>
    <w:rsid w:val="65A30073"/>
    <w:rsid w:val="65B0687F"/>
    <w:rsid w:val="65B7357C"/>
    <w:rsid w:val="65FF6DB2"/>
    <w:rsid w:val="660202AA"/>
    <w:rsid w:val="662E24CE"/>
    <w:rsid w:val="66882EA5"/>
    <w:rsid w:val="668A09CB"/>
    <w:rsid w:val="66ED51E1"/>
    <w:rsid w:val="671450D4"/>
    <w:rsid w:val="672E57FA"/>
    <w:rsid w:val="67856558"/>
    <w:rsid w:val="67966EFB"/>
    <w:rsid w:val="679B6FFB"/>
    <w:rsid w:val="67D75AC6"/>
    <w:rsid w:val="67D81EEB"/>
    <w:rsid w:val="683145A9"/>
    <w:rsid w:val="685A3AD6"/>
    <w:rsid w:val="685B400D"/>
    <w:rsid w:val="68980039"/>
    <w:rsid w:val="68991F6D"/>
    <w:rsid w:val="68A24A70"/>
    <w:rsid w:val="692575E4"/>
    <w:rsid w:val="694930D6"/>
    <w:rsid w:val="69891D19"/>
    <w:rsid w:val="69943BB7"/>
    <w:rsid w:val="69D92E9C"/>
    <w:rsid w:val="69F528C1"/>
    <w:rsid w:val="69F8046F"/>
    <w:rsid w:val="6A370435"/>
    <w:rsid w:val="6A373B75"/>
    <w:rsid w:val="6A757D0A"/>
    <w:rsid w:val="6A932B5A"/>
    <w:rsid w:val="6AAB2197"/>
    <w:rsid w:val="6ADF0BB9"/>
    <w:rsid w:val="6AF05E52"/>
    <w:rsid w:val="6AF46BFE"/>
    <w:rsid w:val="6AFB35A2"/>
    <w:rsid w:val="6B221904"/>
    <w:rsid w:val="6B4E311F"/>
    <w:rsid w:val="6B5341BA"/>
    <w:rsid w:val="6B826114"/>
    <w:rsid w:val="6BB12556"/>
    <w:rsid w:val="6BD754B2"/>
    <w:rsid w:val="6BFB5464"/>
    <w:rsid w:val="6C2A6A4F"/>
    <w:rsid w:val="6C4900FB"/>
    <w:rsid w:val="6CCB3E6A"/>
    <w:rsid w:val="6CDA7E82"/>
    <w:rsid w:val="6CE1658C"/>
    <w:rsid w:val="6D1C5080"/>
    <w:rsid w:val="6D212310"/>
    <w:rsid w:val="6D3B2154"/>
    <w:rsid w:val="6DB22772"/>
    <w:rsid w:val="6DC86061"/>
    <w:rsid w:val="6DD332AC"/>
    <w:rsid w:val="6DDD1655"/>
    <w:rsid w:val="6E5421D8"/>
    <w:rsid w:val="6E5F273D"/>
    <w:rsid w:val="6EB95EBB"/>
    <w:rsid w:val="6F20011E"/>
    <w:rsid w:val="6F91475E"/>
    <w:rsid w:val="6F9C23FF"/>
    <w:rsid w:val="6FCD64F5"/>
    <w:rsid w:val="6FD17C4A"/>
    <w:rsid w:val="6FE823F5"/>
    <w:rsid w:val="6FFF6F82"/>
    <w:rsid w:val="704B5973"/>
    <w:rsid w:val="70610939"/>
    <w:rsid w:val="707B349B"/>
    <w:rsid w:val="70C179C7"/>
    <w:rsid w:val="70C35340"/>
    <w:rsid w:val="712F577B"/>
    <w:rsid w:val="71517845"/>
    <w:rsid w:val="71677A3D"/>
    <w:rsid w:val="716B231B"/>
    <w:rsid w:val="717664C2"/>
    <w:rsid w:val="7185071F"/>
    <w:rsid w:val="71A649D0"/>
    <w:rsid w:val="72186F29"/>
    <w:rsid w:val="72200D39"/>
    <w:rsid w:val="722872EA"/>
    <w:rsid w:val="72295142"/>
    <w:rsid w:val="72614F83"/>
    <w:rsid w:val="727632B9"/>
    <w:rsid w:val="728A1F38"/>
    <w:rsid w:val="7295497F"/>
    <w:rsid w:val="729D28D8"/>
    <w:rsid w:val="72A53877"/>
    <w:rsid w:val="72FC192F"/>
    <w:rsid w:val="731F242B"/>
    <w:rsid w:val="73321515"/>
    <w:rsid w:val="7336217F"/>
    <w:rsid w:val="739A7D73"/>
    <w:rsid w:val="73A80D8C"/>
    <w:rsid w:val="73D6524F"/>
    <w:rsid w:val="73EC175A"/>
    <w:rsid w:val="73ED6ED9"/>
    <w:rsid w:val="73F92CEC"/>
    <w:rsid w:val="7416564C"/>
    <w:rsid w:val="74166C39"/>
    <w:rsid w:val="743A3D2C"/>
    <w:rsid w:val="74697B3D"/>
    <w:rsid w:val="74854B43"/>
    <w:rsid w:val="74A470FC"/>
    <w:rsid w:val="74F52CCA"/>
    <w:rsid w:val="74F811F5"/>
    <w:rsid w:val="750D1BC6"/>
    <w:rsid w:val="75154173"/>
    <w:rsid w:val="753366D1"/>
    <w:rsid w:val="75722D56"/>
    <w:rsid w:val="75B02F1A"/>
    <w:rsid w:val="75B451A1"/>
    <w:rsid w:val="75C31803"/>
    <w:rsid w:val="762075E1"/>
    <w:rsid w:val="762A56C6"/>
    <w:rsid w:val="7651241D"/>
    <w:rsid w:val="765151B0"/>
    <w:rsid w:val="76AC2FA3"/>
    <w:rsid w:val="76E23F0B"/>
    <w:rsid w:val="771F0CBB"/>
    <w:rsid w:val="772B0ED1"/>
    <w:rsid w:val="777324C2"/>
    <w:rsid w:val="77D614CB"/>
    <w:rsid w:val="780960A5"/>
    <w:rsid w:val="78412EB3"/>
    <w:rsid w:val="784261D8"/>
    <w:rsid w:val="78826325"/>
    <w:rsid w:val="78E72EAC"/>
    <w:rsid w:val="792540DD"/>
    <w:rsid w:val="79332E4E"/>
    <w:rsid w:val="793C527D"/>
    <w:rsid w:val="79894562"/>
    <w:rsid w:val="798E3922"/>
    <w:rsid w:val="79AD16C4"/>
    <w:rsid w:val="7A2C2D7A"/>
    <w:rsid w:val="7AB756AF"/>
    <w:rsid w:val="7AD470AD"/>
    <w:rsid w:val="7AD924E7"/>
    <w:rsid w:val="7AE315AA"/>
    <w:rsid w:val="7AE47D95"/>
    <w:rsid w:val="7AF76D66"/>
    <w:rsid w:val="7B092FD3"/>
    <w:rsid w:val="7B2C39A7"/>
    <w:rsid w:val="7B6F5E31"/>
    <w:rsid w:val="7B8A7AE0"/>
    <w:rsid w:val="7B904AAA"/>
    <w:rsid w:val="7B934CEA"/>
    <w:rsid w:val="7B98487F"/>
    <w:rsid w:val="7B9F603A"/>
    <w:rsid w:val="7BE35CBC"/>
    <w:rsid w:val="7BE918D9"/>
    <w:rsid w:val="7C2925E8"/>
    <w:rsid w:val="7C60612B"/>
    <w:rsid w:val="7C6B7CE6"/>
    <w:rsid w:val="7C8D49F8"/>
    <w:rsid w:val="7CA96CB7"/>
    <w:rsid w:val="7CBC0D5A"/>
    <w:rsid w:val="7CD24C2A"/>
    <w:rsid w:val="7CF229CE"/>
    <w:rsid w:val="7D017254"/>
    <w:rsid w:val="7D163DB1"/>
    <w:rsid w:val="7D1C3D72"/>
    <w:rsid w:val="7D294E1B"/>
    <w:rsid w:val="7D3E0C5E"/>
    <w:rsid w:val="7D4776D1"/>
    <w:rsid w:val="7D517DE9"/>
    <w:rsid w:val="7D5E0064"/>
    <w:rsid w:val="7D61070C"/>
    <w:rsid w:val="7D692C90"/>
    <w:rsid w:val="7D871922"/>
    <w:rsid w:val="7D937C23"/>
    <w:rsid w:val="7DCE6F97"/>
    <w:rsid w:val="7DF55589"/>
    <w:rsid w:val="7E3D7A40"/>
    <w:rsid w:val="7E436B1B"/>
    <w:rsid w:val="7E6224EA"/>
    <w:rsid w:val="7E662F33"/>
    <w:rsid w:val="7E6E42D6"/>
    <w:rsid w:val="7E8E4493"/>
    <w:rsid w:val="7EA43D86"/>
    <w:rsid w:val="7EA83C8C"/>
    <w:rsid w:val="7EE422F3"/>
    <w:rsid w:val="7F0B23D5"/>
    <w:rsid w:val="7F2D1343"/>
    <w:rsid w:val="7F7818B1"/>
    <w:rsid w:val="7F912E78"/>
    <w:rsid w:val="7FA35A4A"/>
    <w:rsid w:val="7FAD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toa heading"/>
    <w:basedOn w:val="1"/>
    <w:next w:val="1"/>
    <w:qFormat/>
    <w:uiPriority w:val="0"/>
    <w:pPr>
      <w:spacing w:before="120"/>
    </w:pPr>
    <w:rPr>
      <w:rFonts w:ascii="Cambria" w:hAnsi="Cambria"/>
    </w:rPr>
  </w:style>
  <w:style w:type="paragraph" w:styleId="16">
    <w:name w:val="annotation text"/>
    <w:basedOn w:val="1"/>
    <w:link w:val="47"/>
    <w:semiHidden/>
    <w:qFormat/>
    <w:uiPriority w:val="0"/>
    <w:pPr>
      <w:jc w:val="left"/>
    </w:pPr>
  </w:style>
  <w:style w:type="paragraph" w:styleId="17">
    <w:name w:val="Body Text 3"/>
    <w:basedOn w:val="1"/>
    <w:qFormat/>
    <w:uiPriority w:val="0"/>
    <w:pPr>
      <w:spacing w:after="120"/>
    </w:pPr>
    <w:rPr>
      <w:sz w:val="16"/>
      <w:szCs w:val="16"/>
    </w:rPr>
  </w:style>
  <w:style w:type="paragraph" w:styleId="18">
    <w:name w:val="Body Text"/>
    <w:basedOn w:val="1"/>
    <w:next w:val="1"/>
    <w:link w:val="48"/>
    <w:qFormat/>
    <w:uiPriority w:val="0"/>
    <w:pPr>
      <w:spacing w:after="120"/>
    </w:pPr>
  </w:style>
  <w:style w:type="paragraph" w:styleId="19">
    <w:name w:val="Body Text Indent"/>
    <w:basedOn w:val="1"/>
    <w:link w:val="49"/>
    <w:qFormat/>
    <w:uiPriority w:val="0"/>
    <w:pPr>
      <w:spacing w:line="500" w:lineRule="exact"/>
      <w:ind w:left="1588" w:leftChars="832" w:firstLine="433" w:firstLineChars="196"/>
    </w:pPr>
    <w:rPr>
      <w:sz w:val="24"/>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50"/>
    <w:qFormat/>
    <w:uiPriority w:val="0"/>
    <w:rPr>
      <w:rFonts w:ascii="宋体" w:hAnsi="Courier New"/>
      <w:szCs w:val="21"/>
    </w:rPr>
  </w:style>
  <w:style w:type="paragraph" w:styleId="23">
    <w:name w:val="Date"/>
    <w:basedOn w:val="1"/>
    <w:next w:val="1"/>
    <w:qFormat/>
    <w:uiPriority w:val="0"/>
    <w:pPr>
      <w:ind w:left="100" w:leftChars="2500"/>
    </w:pPr>
  </w:style>
  <w:style w:type="paragraph" w:styleId="24">
    <w:name w:val="Body Text Indent 2"/>
    <w:basedOn w:val="1"/>
    <w:qFormat/>
    <w:uiPriority w:val="0"/>
    <w:pPr>
      <w:spacing w:after="120" w:line="480" w:lineRule="auto"/>
      <w:ind w:left="420" w:leftChars="200"/>
    </w:pPr>
  </w:style>
  <w:style w:type="paragraph" w:styleId="25">
    <w:name w:val="Balloon Text"/>
    <w:basedOn w:val="1"/>
    <w:semiHidden/>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sz w:val="18"/>
      <w:szCs w:val="18"/>
    </w:rPr>
  </w:style>
  <w:style w:type="paragraph" w:styleId="27">
    <w:name w:val="envelope return"/>
    <w:basedOn w:val="1"/>
    <w:qFormat/>
    <w:uiPriority w:val="0"/>
    <w:rPr>
      <w:rFonts w:ascii="Arial" w:hAnsi="Arial"/>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3">
    <w:name w:val="toc 2"/>
    <w:basedOn w:val="1"/>
    <w:next w:val="1"/>
    <w:qFormat/>
    <w:uiPriority w:val="39"/>
    <w:pPr>
      <w:ind w:left="420" w:leftChars="200"/>
    </w:pPr>
  </w:style>
  <w:style w:type="paragraph" w:styleId="34">
    <w:name w:val="Normal (Web)"/>
    <w:basedOn w:val="1"/>
    <w:qFormat/>
    <w:uiPriority w:val="99"/>
    <w:rPr>
      <w:sz w:val="24"/>
    </w:rPr>
  </w:style>
  <w:style w:type="paragraph" w:styleId="35">
    <w:name w:val="annotation subject"/>
    <w:basedOn w:val="16"/>
    <w:next w:val="16"/>
    <w:semiHidden/>
    <w:qFormat/>
    <w:uiPriority w:val="0"/>
    <w:rPr>
      <w:b/>
      <w:bCs/>
    </w:rPr>
  </w:style>
  <w:style w:type="paragraph" w:styleId="36">
    <w:name w:val="Body Text First Indent"/>
    <w:basedOn w:val="18"/>
    <w:next w:val="1"/>
    <w:qFormat/>
    <w:uiPriority w:val="0"/>
    <w:pPr>
      <w:ind w:firstLine="100" w:firstLineChars="100"/>
    </w:pPr>
  </w:style>
  <w:style w:type="paragraph" w:styleId="37">
    <w:name w:val="Body Text First Indent 2"/>
    <w:basedOn w:val="19"/>
    <w:next w:val="1"/>
    <w:qFormat/>
    <w:uiPriority w:val="0"/>
    <w:pPr>
      <w:tabs>
        <w:tab w:val="left" w:pos="900"/>
      </w:tabs>
      <w:spacing w:after="120" w:line="240" w:lineRule="auto"/>
      <w:ind w:left="420" w:leftChars="200" w:firstLine="420"/>
    </w:pPr>
    <w:rPr>
      <w:rFonts w:cs="宋体"/>
      <w:sz w:val="21"/>
      <w:szCs w:val="21"/>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basedOn w:val="40"/>
    <w:qFormat/>
    <w:uiPriority w:val="0"/>
  </w:style>
  <w:style w:type="character" w:styleId="43">
    <w:name w:val="Hyperlink"/>
    <w:basedOn w:val="40"/>
    <w:qFormat/>
    <w:uiPriority w:val="99"/>
    <w:rPr>
      <w:color w:val="0000FF"/>
      <w:u w:val="single"/>
    </w:rPr>
  </w:style>
  <w:style w:type="character" w:styleId="44">
    <w:name w:val="annotation reference"/>
    <w:semiHidden/>
    <w:qFormat/>
    <w:uiPriority w:val="0"/>
    <w:rPr>
      <w:sz w:val="21"/>
      <w:szCs w:val="21"/>
    </w:rPr>
  </w:style>
  <w:style w:type="character" w:styleId="45">
    <w:name w:val="HTML Sample"/>
    <w:basedOn w:val="40"/>
    <w:qFormat/>
    <w:uiPriority w:val="0"/>
    <w:rPr>
      <w:rFonts w:ascii="Courier New" w:hAnsi="Courier New"/>
    </w:rPr>
  </w:style>
  <w:style w:type="paragraph" w:customStyle="1" w:styleId="46">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47">
    <w:name w:val="批注文字 字符"/>
    <w:link w:val="16"/>
    <w:qFormat/>
    <w:uiPriority w:val="0"/>
    <w:rPr>
      <w:rFonts w:eastAsia="宋体"/>
      <w:kern w:val="2"/>
      <w:sz w:val="21"/>
      <w:szCs w:val="24"/>
      <w:lang w:val="en-US" w:eastAsia="zh-CN" w:bidi="ar-SA"/>
    </w:rPr>
  </w:style>
  <w:style w:type="character" w:customStyle="1" w:styleId="48">
    <w:name w:val="正文文本 字符"/>
    <w:link w:val="18"/>
    <w:qFormat/>
    <w:uiPriority w:val="0"/>
    <w:rPr>
      <w:rFonts w:eastAsia="宋体"/>
      <w:kern w:val="2"/>
      <w:sz w:val="21"/>
      <w:szCs w:val="24"/>
      <w:lang w:val="en-US" w:eastAsia="zh-CN" w:bidi="ar-SA"/>
    </w:rPr>
  </w:style>
  <w:style w:type="character" w:customStyle="1" w:styleId="49">
    <w:name w:val="正文文本缩进 字符"/>
    <w:link w:val="19"/>
    <w:qFormat/>
    <w:uiPriority w:val="0"/>
    <w:rPr>
      <w:rFonts w:eastAsia="宋体"/>
      <w:kern w:val="2"/>
      <w:sz w:val="24"/>
      <w:szCs w:val="24"/>
      <w:lang w:val="en-US" w:eastAsia="zh-CN" w:bidi="ar-SA"/>
    </w:rPr>
  </w:style>
  <w:style w:type="character" w:customStyle="1" w:styleId="50">
    <w:name w:val="纯文本 字符"/>
    <w:link w:val="22"/>
    <w:qFormat/>
    <w:uiPriority w:val="0"/>
    <w:rPr>
      <w:rFonts w:ascii="宋体" w:hAnsi="Courier New" w:eastAsia="宋体"/>
      <w:kern w:val="2"/>
      <w:sz w:val="21"/>
      <w:szCs w:val="21"/>
      <w:lang w:val="en-US" w:eastAsia="zh-CN" w:bidi="ar-SA"/>
    </w:rPr>
  </w:style>
  <w:style w:type="character" w:customStyle="1" w:styleId="51">
    <w:name w:val="页脚 字符"/>
    <w:link w:val="26"/>
    <w:qFormat/>
    <w:uiPriority w:val="99"/>
    <w:rPr>
      <w:kern w:val="2"/>
      <w:sz w:val="18"/>
      <w:szCs w:val="18"/>
    </w:rPr>
  </w:style>
  <w:style w:type="paragraph" w:customStyle="1" w:styleId="52">
    <w:name w:val="样式 正文缩进 + 首行缩进:  2 字符"/>
    <w:basedOn w:val="2"/>
    <w:qFormat/>
    <w:uiPriority w:val="0"/>
    <w:pPr>
      <w:spacing w:line="360" w:lineRule="auto"/>
      <w:ind w:firstLine="200"/>
    </w:pPr>
    <w:rPr>
      <w:rFonts w:cs="宋体"/>
      <w:sz w:val="24"/>
    </w:rPr>
  </w:style>
  <w:style w:type="character" w:customStyle="1" w:styleId="53">
    <w:name w:val="Char Char6"/>
    <w:qFormat/>
    <w:uiPriority w:val="0"/>
    <w:rPr>
      <w:rFonts w:eastAsia="宋体"/>
      <w:kern w:val="2"/>
      <w:sz w:val="21"/>
      <w:szCs w:val="24"/>
      <w:lang w:val="en-US" w:eastAsia="zh-CN" w:bidi="ar-SA"/>
    </w:rPr>
  </w:style>
  <w:style w:type="character" w:customStyle="1" w:styleId="54">
    <w:name w:val="标题 3 Char_0"/>
    <w:link w:val="55"/>
    <w:qFormat/>
    <w:uiPriority w:val="0"/>
    <w:rPr>
      <w:rFonts w:ascii="宋体" w:hAnsi="宋体"/>
      <w:b/>
      <w:kern w:val="2"/>
      <w:sz w:val="28"/>
      <w:szCs w:val="28"/>
    </w:rPr>
  </w:style>
  <w:style w:type="paragraph" w:customStyle="1" w:styleId="55">
    <w:name w:val="标题 3_0"/>
    <w:basedOn w:val="56"/>
    <w:next w:val="56"/>
    <w:link w:val="54"/>
    <w:qFormat/>
    <w:uiPriority w:val="0"/>
    <w:pPr>
      <w:autoSpaceDE w:val="0"/>
      <w:autoSpaceDN w:val="0"/>
      <w:adjustRightInd w:val="0"/>
      <w:spacing w:line="500" w:lineRule="exact"/>
      <w:jc w:val="center"/>
      <w:outlineLvl w:val="2"/>
    </w:pPr>
    <w:rPr>
      <w:rFonts w:ascii="宋体" w:hAnsi="宋体"/>
      <w:b/>
      <w:szCs w:val="28"/>
    </w:rPr>
  </w:style>
  <w:style w:type="paragraph" w:customStyle="1" w:styleId="56">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57">
    <w:name w:val="正文文本缩进 Char_0"/>
    <w:link w:val="58"/>
    <w:semiHidden/>
    <w:qFormat/>
    <w:uiPriority w:val="0"/>
    <w:rPr>
      <w:rFonts w:ascii="宋体" w:hAnsi="宋体"/>
      <w:i/>
      <w:iCs/>
      <w:kern w:val="2"/>
      <w:sz w:val="28"/>
    </w:rPr>
  </w:style>
  <w:style w:type="paragraph" w:customStyle="1" w:styleId="58">
    <w:name w:val="正文文本缩进_0"/>
    <w:basedOn w:val="59"/>
    <w:link w:val="57"/>
    <w:unhideWhenUsed/>
    <w:qFormat/>
    <w:uiPriority w:val="0"/>
    <w:pPr>
      <w:spacing w:line="360" w:lineRule="auto"/>
      <w:ind w:firstLine="570"/>
    </w:pPr>
    <w:rPr>
      <w:rFonts w:ascii="宋体" w:hAnsi="宋体"/>
      <w:i/>
      <w:iCs/>
      <w:sz w:val="28"/>
      <w:szCs w:val="20"/>
    </w:rPr>
  </w:style>
  <w:style w:type="paragraph" w:customStyle="1" w:styleId="59">
    <w:name w:val="正文_5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正文文本缩进 Char_0_0"/>
    <w:link w:val="61"/>
    <w:semiHidden/>
    <w:qFormat/>
    <w:uiPriority w:val="99"/>
    <w:rPr>
      <w:kern w:val="2"/>
      <w:sz w:val="21"/>
      <w:szCs w:val="22"/>
    </w:rPr>
  </w:style>
  <w:style w:type="paragraph" w:customStyle="1" w:styleId="61">
    <w:name w:val="正文文本缩进_0_0"/>
    <w:basedOn w:val="62"/>
    <w:link w:val="60"/>
    <w:unhideWhenUsed/>
    <w:qFormat/>
    <w:uiPriority w:val="99"/>
    <w:pPr>
      <w:spacing w:after="120"/>
      <w:ind w:left="420" w:leftChars="200"/>
    </w:pPr>
  </w:style>
  <w:style w:type="paragraph" w:customStyle="1" w:styleId="62">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标题 3 Char_0_0"/>
    <w:link w:val="64"/>
    <w:qFormat/>
    <w:uiPriority w:val="0"/>
    <w:rPr>
      <w:rFonts w:ascii="宋体" w:hAnsi="宋体"/>
      <w:b/>
      <w:kern w:val="2"/>
      <w:sz w:val="28"/>
      <w:szCs w:val="28"/>
    </w:rPr>
  </w:style>
  <w:style w:type="paragraph" w:customStyle="1" w:styleId="64">
    <w:name w:val="标题 3_0_0"/>
    <w:basedOn w:val="65"/>
    <w:next w:val="65"/>
    <w:link w:val="63"/>
    <w:qFormat/>
    <w:uiPriority w:val="0"/>
    <w:pPr>
      <w:autoSpaceDE w:val="0"/>
      <w:autoSpaceDN w:val="0"/>
      <w:adjustRightInd w:val="0"/>
      <w:spacing w:line="500" w:lineRule="exact"/>
      <w:jc w:val="center"/>
      <w:outlineLvl w:val="2"/>
    </w:pPr>
    <w:rPr>
      <w:rFonts w:ascii="宋体" w:hAnsi="宋体"/>
      <w:b/>
      <w:szCs w:val="28"/>
    </w:rPr>
  </w:style>
  <w:style w:type="paragraph" w:customStyle="1" w:styleId="65">
    <w:name w:val="正文_0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6">
    <w:name w:val="正文文本 Char1_2"/>
    <w:link w:val="67"/>
    <w:qFormat/>
    <w:uiPriority w:val="0"/>
    <w:rPr>
      <w:rFonts w:ascii="Times New Roman" w:hAnsi="Times New Roman"/>
      <w:kern w:val="2"/>
      <w:sz w:val="21"/>
      <w:szCs w:val="24"/>
    </w:rPr>
  </w:style>
  <w:style w:type="paragraph" w:customStyle="1" w:styleId="67">
    <w:name w:val="正文文本_3"/>
    <w:basedOn w:val="68"/>
    <w:link w:val="66"/>
    <w:qFormat/>
    <w:uiPriority w:val="0"/>
    <w:pPr>
      <w:spacing w:after="120"/>
    </w:pPr>
    <w:rPr>
      <w:rFonts w:ascii="Times New Roman" w:hAnsi="Times New Roman"/>
      <w:szCs w:val="24"/>
    </w:rPr>
  </w:style>
  <w:style w:type="paragraph" w:customStyle="1" w:styleId="68">
    <w:name w:val="正文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Char Char3"/>
    <w:qFormat/>
    <w:uiPriority w:val="0"/>
    <w:rPr>
      <w:rFonts w:eastAsia="宋体"/>
      <w:kern w:val="2"/>
      <w:sz w:val="21"/>
      <w:szCs w:val="24"/>
      <w:lang w:val="en-US" w:eastAsia="zh-CN" w:bidi="ar-SA"/>
    </w:rPr>
  </w:style>
  <w:style w:type="character" w:customStyle="1" w:styleId="70">
    <w:name w:val="标题 3 Char_6"/>
    <w:link w:val="71"/>
    <w:semiHidden/>
    <w:qFormat/>
    <w:uiPriority w:val="0"/>
    <w:rPr>
      <w:rFonts w:ascii="Calibri" w:hAnsi="Calibri"/>
      <w:b/>
      <w:bCs/>
      <w:sz w:val="32"/>
      <w:szCs w:val="32"/>
    </w:rPr>
  </w:style>
  <w:style w:type="paragraph" w:customStyle="1" w:styleId="71">
    <w:name w:val="标题 3_6"/>
    <w:basedOn w:val="72"/>
    <w:next w:val="72"/>
    <w:link w:val="70"/>
    <w:unhideWhenUsed/>
    <w:qFormat/>
    <w:uiPriority w:val="0"/>
    <w:pPr>
      <w:keepNext/>
      <w:keepLines/>
      <w:spacing w:before="260" w:after="260" w:line="412" w:lineRule="auto"/>
      <w:outlineLvl w:val="2"/>
    </w:pPr>
    <w:rPr>
      <w:rFonts w:ascii="Calibri" w:hAnsi="Calibri"/>
      <w:b/>
      <w:bCs/>
      <w:sz w:val="32"/>
      <w:szCs w:val="32"/>
    </w:rPr>
  </w:style>
  <w:style w:type="paragraph" w:customStyle="1" w:styleId="72">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3">
    <w:name w:val="正文文本缩进 Char_2"/>
    <w:link w:val="74"/>
    <w:semiHidden/>
    <w:qFormat/>
    <w:uiPriority w:val="99"/>
    <w:rPr>
      <w:kern w:val="2"/>
      <w:sz w:val="21"/>
      <w:szCs w:val="22"/>
    </w:rPr>
  </w:style>
  <w:style w:type="paragraph" w:customStyle="1" w:styleId="74">
    <w:name w:val="正文文本缩进_2"/>
    <w:basedOn w:val="75"/>
    <w:link w:val="73"/>
    <w:unhideWhenUsed/>
    <w:qFormat/>
    <w:uiPriority w:val="99"/>
    <w:pPr>
      <w:spacing w:after="120"/>
      <w:ind w:left="420" w:leftChars="200"/>
    </w:pPr>
  </w:style>
  <w:style w:type="paragraph" w:customStyle="1" w:styleId="75">
    <w:name w:val="正文_4"/>
    <w:basedOn w:val="76"/>
    <w:qFormat/>
    <w:uiPriority w:val="0"/>
  </w:style>
  <w:style w:type="paragraph" w:customStyle="1" w:styleId="76">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bjh-h3"/>
    <w:qFormat/>
    <w:uiPriority w:val="0"/>
  </w:style>
  <w:style w:type="character" w:customStyle="1" w:styleId="79">
    <w:name w:val="正文文本 Char1_3"/>
    <w:link w:val="80"/>
    <w:qFormat/>
    <w:uiPriority w:val="0"/>
    <w:rPr>
      <w:rFonts w:ascii="Times New Roman" w:hAnsi="Times New Roman"/>
      <w:kern w:val="2"/>
      <w:sz w:val="21"/>
      <w:szCs w:val="24"/>
    </w:rPr>
  </w:style>
  <w:style w:type="paragraph" w:customStyle="1" w:styleId="80">
    <w:name w:val="正文文本_4"/>
    <w:basedOn w:val="81"/>
    <w:link w:val="79"/>
    <w:qFormat/>
    <w:uiPriority w:val="0"/>
    <w:pPr>
      <w:spacing w:after="120"/>
    </w:pPr>
    <w:rPr>
      <w:rFonts w:ascii="Times New Roman" w:hAnsi="Times New Roman"/>
      <w:szCs w:val="24"/>
    </w:rPr>
  </w:style>
  <w:style w:type="paragraph" w:customStyle="1" w:styleId="81">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正文文本 Char1_0"/>
    <w:link w:val="83"/>
    <w:qFormat/>
    <w:uiPriority w:val="0"/>
    <w:rPr>
      <w:rFonts w:ascii="Times New Roman" w:hAnsi="Times New Roman"/>
      <w:kern w:val="2"/>
      <w:sz w:val="21"/>
      <w:szCs w:val="24"/>
    </w:rPr>
  </w:style>
  <w:style w:type="paragraph" w:customStyle="1" w:styleId="83">
    <w:name w:val="正文文本_0"/>
    <w:basedOn w:val="84"/>
    <w:link w:val="82"/>
    <w:qFormat/>
    <w:uiPriority w:val="0"/>
    <w:pPr>
      <w:spacing w:after="120"/>
    </w:pPr>
    <w:rPr>
      <w:rFonts w:ascii="Times New Roman" w:hAnsi="Times New Roman"/>
      <w:szCs w:val="24"/>
    </w:rPr>
  </w:style>
  <w:style w:type="paragraph" w:customStyle="1" w:styleId="84">
    <w:name w:val="正文_2_0"/>
    <w:basedOn w:val="85"/>
    <w:qFormat/>
    <w:uiPriority w:val="0"/>
  </w:style>
  <w:style w:type="paragraph" w:customStyle="1" w:styleId="85">
    <w:name w:val="正文_1_1"/>
    <w:basedOn w:val="86"/>
    <w:qFormat/>
    <w:uiPriority w:val="0"/>
  </w:style>
  <w:style w:type="paragraph" w:customStyle="1" w:styleId="86">
    <w:name w:val="正文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日期 Char_0"/>
    <w:link w:val="88"/>
    <w:qFormat/>
    <w:uiPriority w:val="0"/>
    <w:rPr>
      <w:rFonts w:ascii="Times New Roman" w:hAnsi="Times New Roman"/>
      <w:kern w:val="2"/>
      <w:sz w:val="21"/>
      <w:szCs w:val="24"/>
    </w:rPr>
  </w:style>
  <w:style w:type="paragraph" w:customStyle="1" w:styleId="88">
    <w:name w:val="日期_1"/>
    <w:basedOn w:val="89"/>
    <w:next w:val="89"/>
    <w:link w:val="87"/>
    <w:qFormat/>
    <w:uiPriority w:val="0"/>
    <w:pPr>
      <w:ind w:left="100" w:leftChars="2500"/>
    </w:pPr>
    <w:rPr>
      <w:rFonts w:ascii="Times New Roman" w:hAnsi="Times New Roman"/>
      <w:szCs w:val="24"/>
    </w:rPr>
  </w:style>
  <w:style w:type="paragraph" w:customStyle="1" w:styleId="89">
    <w:name w:val="正文_5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正文文本 Char1_1"/>
    <w:link w:val="91"/>
    <w:qFormat/>
    <w:uiPriority w:val="0"/>
    <w:rPr>
      <w:rFonts w:ascii="Times New Roman" w:hAnsi="Times New Roman"/>
      <w:kern w:val="2"/>
      <w:sz w:val="21"/>
      <w:szCs w:val="24"/>
    </w:rPr>
  </w:style>
  <w:style w:type="paragraph" w:customStyle="1" w:styleId="91">
    <w:name w:val="正文文本_1"/>
    <w:basedOn w:val="92"/>
    <w:link w:val="90"/>
    <w:qFormat/>
    <w:uiPriority w:val="0"/>
    <w:pPr>
      <w:spacing w:after="120"/>
    </w:pPr>
  </w:style>
  <w:style w:type="paragraph" w:customStyle="1" w:styleId="92">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1_0"/>
    <w:basedOn w:val="85"/>
    <w:next w:val="94"/>
    <w:qFormat/>
    <w:uiPriority w:val="0"/>
    <w:rPr>
      <w:rFonts w:eastAsia="仿宋_GB2312"/>
      <w:sz w:val="28"/>
      <w:szCs w:val="24"/>
    </w:rPr>
  </w:style>
  <w:style w:type="paragraph" w:customStyle="1" w:styleId="94">
    <w:name w:val="正文首行缩进1"/>
    <w:basedOn w:val="95"/>
    <w:unhideWhenUsed/>
    <w:qFormat/>
    <w:uiPriority w:val="99"/>
    <w:pPr>
      <w:ind w:firstLine="420" w:firstLineChars="100"/>
    </w:pPr>
    <w:rPr>
      <w:szCs w:val="22"/>
    </w:rPr>
  </w:style>
  <w:style w:type="paragraph" w:customStyle="1" w:styleId="95">
    <w:name w:val="正文文本_0_0"/>
    <w:basedOn w:val="96"/>
    <w:qFormat/>
    <w:uiPriority w:val="0"/>
    <w:pPr>
      <w:spacing w:after="120"/>
    </w:pPr>
  </w:style>
  <w:style w:type="paragraph" w:customStyle="1" w:styleId="96">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正文文本 Char_0"/>
    <w:link w:val="98"/>
    <w:qFormat/>
    <w:uiPriority w:val="0"/>
    <w:rPr>
      <w:rFonts w:eastAsia="黑体"/>
      <w:kern w:val="2"/>
      <w:sz w:val="36"/>
      <w:szCs w:val="22"/>
    </w:rPr>
  </w:style>
  <w:style w:type="paragraph" w:customStyle="1" w:styleId="98">
    <w:name w:val="正文文本_2"/>
    <w:basedOn w:val="99"/>
    <w:link w:val="97"/>
    <w:unhideWhenUsed/>
    <w:qFormat/>
    <w:uiPriority w:val="0"/>
    <w:rPr>
      <w:rFonts w:eastAsia="黑体"/>
      <w:sz w:val="36"/>
    </w:rPr>
  </w:style>
  <w:style w:type="paragraph" w:customStyle="1" w:styleId="99">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日期 Char"/>
    <w:link w:val="101"/>
    <w:qFormat/>
    <w:uiPriority w:val="0"/>
    <w:rPr>
      <w:rFonts w:ascii="宋体"/>
      <w:sz w:val="24"/>
    </w:rPr>
  </w:style>
  <w:style w:type="paragraph" w:customStyle="1" w:styleId="101">
    <w:name w:val="日期_0"/>
    <w:basedOn w:val="68"/>
    <w:next w:val="102"/>
    <w:link w:val="100"/>
    <w:unhideWhenUsed/>
    <w:qFormat/>
    <w:uiPriority w:val="0"/>
    <w:pPr>
      <w:adjustRightInd w:val="0"/>
      <w:spacing w:line="360" w:lineRule="atLeast"/>
    </w:pPr>
    <w:rPr>
      <w:rFonts w:ascii="宋体"/>
      <w:kern w:val="0"/>
      <w:sz w:val="24"/>
      <w:szCs w:val="20"/>
    </w:rPr>
  </w:style>
  <w:style w:type="paragraph" w:customStyle="1" w:styleId="102">
    <w:name w:val="正文_3"/>
    <w:next w:val="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_2"/>
    <w:basedOn w:val="93"/>
    <w:next w:val="91"/>
    <w:qFormat/>
    <w:uiPriority w:val="0"/>
    <w:rPr>
      <w:sz w:val="21"/>
      <w:szCs w:val="22"/>
    </w:rPr>
  </w:style>
  <w:style w:type="paragraph" w:customStyle="1" w:styleId="104">
    <w:name w:val="正文_1"/>
    <w:basedOn w:val="103"/>
    <w:next w:val="103"/>
    <w:qFormat/>
    <w:uiPriority w:val="0"/>
  </w:style>
  <w:style w:type="character" w:customStyle="1" w:styleId="105">
    <w:name w:val="正文文本缩进 Char_1"/>
    <w:link w:val="106"/>
    <w:semiHidden/>
    <w:qFormat/>
    <w:uiPriority w:val="99"/>
    <w:rPr>
      <w:kern w:val="2"/>
      <w:sz w:val="21"/>
      <w:szCs w:val="22"/>
    </w:rPr>
  </w:style>
  <w:style w:type="paragraph" w:customStyle="1" w:styleId="106">
    <w:name w:val="正文文本缩进_1"/>
    <w:basedOn w:val="81"/>
    <w:link w:val="105"/>
    <w:unhideWhenUsed/>
    <w:qFormat/>
    <w:uiPriority w:val="99"/>
    <w:pPr>
      <w:spacing w:after="120"/>
      <w:ind w:left="420" w:leftChars="200"/>
    </w:pPr>
  </w:style>
  <w:style w:type="paragraph" w:customStyle="1" w:styleId="107">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09">
    <w:name w:val="Table Paragraph_1"/>
    <w:basedOn w:val="110"/>
    <w:qFormat/>
    <w:uiPriority w:val="0"/>
    <w:pPr>
      <w:jc w:val="left"/>
    </w:pPr>
    <w:rPr>
      <w:kern w:val="0"/>
      <w:sz w:val="22"/>
      <w:szCs w:val="22"/>
    </w:rPr>
  </w:style>
  <w:style w:type="paragraph" w:customStyle="1" w:styleId="110">
    <w:name w:val="正文_6_0_0"/>
    <w:basedOn w:val="99"/>
    <w:next w:val="111"/>
    <w:qFormat/>
    <w:uiPriority w:val="0"/>
    <w:rPr>
      <w:rFonts w:cs="Calibri"/>
      <w:szCs w:val="21"/>
    </w:rPr>
  </w:style>
  <w:style w:type="paragraph" w:customStyle="1" w:styleId="111">
    <w:name w:val="页脚_3"/>
    <w:basedOn w:val="110"/>
    <w:semiHidden/>
    <w:qFormat/>
    <w:uiPriority w:val="0"/>
    <w:pPr>
      <w:snapToGrid w:val="0"/>
      <w:jc w:val="left"/>
    </w:pPr>
    <w:rPr>
      <w:rFonts w:ascii="Times New Roman" w:hAnsi="Times New Roman"/>
      <w:sz w:val="18"/>
      <w:szCs w:val="18"/>
    </w:rPr>
  </w:style>
  <w:style w:type="paragraph" w:customStyle="1" w:styleId="11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List Paragraph1"/>
    <w:basedOn w:val="108"/>
    <w:qFormat/>
    <w:uiPriority w:val="34"/>
    <w:pPr>
      <w:ind w:firstLine="420" w:firstLineChars="200"/>
    </w:pPr>
  </w:style>
  <w:style w:type="paragraph" w:customStyle="1" w:styleId="114">
    <w:name w:val="Table Paragraph"/>
    <w:basedOn w:val="93"/>
    <w:qFormat/>
    <w:uiPriority w:val="1"/>
    <w:pPr>
      <w:autoSpaceDE w:val="0"/>
      <w:autoSpaceDN w:val="0"/>
      <w:jc w:val="left"/>
    </w:pPr>
    <w:rPr>
      <w:rFonts w:ascii="宋体" w:hAnsi="宋体" w:eastAsia="宋体" w:cs="宋体"/>
      <w:kern w:val="0"/>
      <w:sz w:val="22"/>
      <w:lang w:val="zh-CN" w:bidi="zh-CN"/>
    </w:rPr>
  </w:style>
  <w:style w:type="paragraph" w:customStyle="1" w:styleId="115">
    <w:name w:val="Normal_6"/>
    <w:qFormat/>
    <w:uiPriority w:val="0"/>
    <w:rPr>
      <w:rFonts w:ascii="黑体" w:hAnsi="黑体" w:eastAsia="黑体" w:cs="Times New Roman"/>
      <w:b/>
      <w:sz w:val="32"/>
      <w:szCs w:val="24"/>
      <w:lang w:val="en-US" w:eastAsia="zh-CN" w:bidi="ar-SA"/>
    </w:rPr>
  </w:style>
  <w:style w:type="paragraph" w:customStyle="1" w:styleId="116">
    <w:name w:val="Normal_18"/>
    <w:qFormat/>
    <w:uiPriority w:val="0"/>
    <w:rPr>
      <w:rFonts w:ascii="黑体" w:hAnsi="黑体" w:eastAsia="黑体" w:cs="Times New Roman"/>
      <w:b/>
      <w:sz w:val="32"/>
      <w:szCs w:val="24"/>
      <w:lang w:val="en-US" w:eastAsia="zh-CN" w:bidi="ar-SA"/>
    </w:rPr>
  </w:style>
  <w:style w:type="paragraph" w:customStyle="1" w:styleId="117">
    <w:name w:val="样式 标题 4 + 段前: 5 磅 段后: 5 磅 行距: 单倍行距"/>
    <w:basedOn w:val="6"/>
    <w:qFormat/>
    <w:uiPriority w:val="0"/>
    <w:pPr>
      <w:spacing w:before="100" w:after="100" w:line="240" w:lineRule="auto"/>
    </w:pPr>
    <w:rPr>
      <w:rFonts w:cs="宋体"/>
      <w:szCs w:val="20"/>
    </w:rPr>
  </w:style>
  <w:style w:type="paragraph" w:customStyle="1" w:styleId="118">
    <w:name w:val="_Style 114"/>
    <w:basedOn w:val="3"/>
    <w:next w:val="1"/>
    <w:qFormat/>
    <w:uiPriority w:val="3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11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0">
    <w:name w:val="Normal_7"/>
    <w:qFormat/>
    <w:uiPriority w:val="0"/>
    <w:rPr>
      <w:rFonts w:ascii="黑体" w:hAnsi="黑体" w:eastAsia="黑体" w:cs="Times New Roman"/>
      <w:b/>
      <w:sz w:val="32"/>
      <w:szCs w:val="24"/>
      <w:lang w:val="en-US" w:eastAsia="zh-CN" w:bidi="ar-SA"/>
    </w:rPr>
  </w:style>
  <w:style w:type="paragraph" w:customStyle="1" w:styleId="121">
    <w:name w:val="Char"/>
    <w:basedOn w:val="1"/>
    <w:qFormat/>
    <w:uiPriority w:val="0"/>
    <w:pPr>
      <w:tabs>
        <w:tab w:val="left" w:pos="432"/>
      </w:tabs>
      <w:spacing w:before="156" w:beforeLines="50" w:after="156" w:afterLines="50"/>
      <w:ind w:left="432" w:hanging="432"/>
    </w:pPr>
  </w:style>
  <w:style w:type="paragraph" w:customStyle="1" w:styleId="122">
    <w:name w:val="正文_0_1_0_0"/>
    <w:basedOn w:val="112"/>
    <w:qFormat/>
    <w:uiPriority w:val="0"/>
    <w:rPr>
      <w:rFonts w:cs="Calibri"/>
      <w:szCs w:val="21"/>
    </w:rPr>
  </w:style>
  <w:style w:type="paragraph" w:customStyle="1" w:styleId="123">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25">
    <w:name w:val="Normal_5"/>
    <w:qFormat/>
    <w:uiPriority w:val="0"/>
    <w:rPr>
      <w:rFonts w:ascii="黑体" w:hAnsi="黑体" w:eastAsia="黑体" w:cs="Times New Roman"/>
      <w:b/>
      <w:sz w:val="32"/>
      <w:szCs w:val="24"/>
      <w:lang w:val="en-US" w:eastAsia="zh-CN" w:bidi="ar-SA"/>
    </w:rPr>
  </w:style>
  <w:style w:type="paragraph" w:customStyle="1" w:styleId="126">
    <w:name w:val="附件正文"/>
    <w:basedOn w:val="1"/>
    <w:qFormat/>
    <w:uiPriority w:val="0"/>
    <w:pPr>
      <w:snapToGrid w:val="0"/>
      <w:spacing w:line="500" w:lineRule="exact"/>
      <w:ind w:firstLine="540" w:firstLineChars="225"/>
    </w:pPr>
    <w:rPr>
      <w:kern w:val="0"/>
      <w:sz w:val="24"/>
    </w:rPr>
  </w:style>
  <w:style w:type="paragraph" w:customStyle="1" w:styleId="127">
    <w:name w:val="Normal_20"/>
    <w:qFormat/>
    <w:uiPriority w:val="0"/>
    <w:rPr>
      <w:rFonts w:ascii="Times New Roman" w:hAnsi="Times New Roman" w:eastAsia="Times New Roman" w:cs="Times New Roman"/>
      <w:sz w:val="24"/>
      <w:szCs w:val="24"/>
      <w:lang w:val="en-US" w:eastAsia="zh-CN" w:bidi="ar-SA"/>
    </w:rPr>
  </w:style>
  <w:style w:type="paragraph" w:customStyle="1" w:styleId="12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Normal_10"/>
    <w:qFormat/>
    <w:uiPriority w:val="0"/>
    <w:rPr>
      <w:rFonts w:ascii="黑体" w:hAnsi="黑体" w:eastAsia="黑体" w:cs="Times New Roman"/>
      <w:b/>
      <w:sz w:val="32"/>
      <w:szCs w:val="24"/>
      <w:lang w:val="en-US" w:eastAsia="zh-CN" w:bidi="ar-SA"/>
    </w:rPr>
  </w:style>
  <w:style w:type="paragraph" w:customStyle="1" w:styleId="130">
    <w:name w:val="样式 标题 2 + 宋体 五号 非加粗 黑色"/>
    <w:basedOn w:val="4"/>
    <w:qFormat/>
    <w:uiPriority w:val="0"/>
    <w:rPr>
      <w:rFonts w:ascii="宋体" w:hAnsi="宋体" w:eastAsia="宋体"/>
      <w:b w:val="0"/>
      <w:bCs w:val="0"/>
      <w:color w:val="000000"/>
      <w:sz w:val="21"/>
    </w:rPr>
  </w:style>
  <w:style w:type="paragraph" w:customStyle="1" w:styleId="131">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2">
    <w:name w:val="Normal_13"/>
    <w:qFormat/>
    <w:uiPriority w:val="0"/>
    <w:rPr>
      <w:rFonts w:ascii="黑体" w:hAnsi="黑体" w:eastAsia="黑体" w:cs="Times New Roman"/>
      <w:b/>
      <w:sz w:val="32"/>
      <w:szCs w:val="24"/>
      <w:lang w:val="en-US" w:eastAsia="zh-CN" w:bidi="ar-SA"/>
    </w:rPr>
  </w:style>
  <w:style w:type="paragraph" w:customStyle="1" w:styleId="133">
    <w:name w:val="正文_3_0"/>
    <w:basedOn w:val="103"/>
    <w:next w:val="134"/>
    <w:qFormat/>
    <w:uiPriority w:val="0"/>
  </w:style>
  <w:style w:type="paragraph" w:customStyle="1" w:styleId="134">
    <w:name w:val="页脚_2"/>
    <w:basedOn w:val="75"/>
    <w:unhideWhenUsed/>
    <w:qFormat/>
    <w:uiPriority w:val="0"/>
    <w:pPr>
      <w:tabs>
        <w:tab w:val="center" w:pos="4153"/>
        <w:tab w:val="right" w:pos="8306"/>
      </w:tabs>
      <w:snapToGrid w:val="0"/>
      <w:jc w:val="left"/>
    </w:pPr>
    <w:rPr>
      <w:sz w:val="18"/>
      <w:szCs w:val="18"/>
    </w:rPr>
  </w:style>
  <w:style w:type="paragraph" w:customStyle="1" w:styleId="135">
    <w:name w:val="Char Char Char Char Char Char"/>
    <w:basedOn w:val="14"/>
    <w:qFormat/>
    <w:uiPriority w:val="0"/>
    <w:rPr>
      <w:rFonts w:ascii="Tahoma" w:hAnsi="Tahoma"/>
      <w:sz w:val="24"/>
    </w:rPr>
  </w:style>
  <w:style w:type="paragraph" w:customStyle="1" w:styleId="136">
    <w:name w:val="Normal_16"/>
    <w:qFormat/>
    <w:uiPriority w:val="0"/>
    <w:rPr>
      <w:rFonts w:ascii="黑体" w:hAnsi="黑体" w:eastAsia="黑体" w:cs="Times New Roman"/>
      <w:b/>
      <w:sz w:val="32"/>
      <w:szCs w:val="24"/>
      <w:lang w:val="en-US" w:eastAsia="zh-CN" w:bidi="ar-SA"/>
    </w:rPr>
  </w:style>
  <w:style w:type="paragraph" w:customStyle="1" w:styleId="137">
    <w:name w:val="正文_1_0_0"/>
    <w:basedOn w:val="75"/>
    <w:qFormat/>
    <w:uiPriority w:val="0"/>
    <w:rPr>
      <w:szCs w:val="24"/>
    </w:rPr>
  </w:style>
  <w:style w:type="paragraph" w:customStyle="1" w:styleId="138">
    <w:name w:val="正文文本_0_1"/>
    <w:basedOn w:val="110"/>
    <w:qFormat/>
    <w:uiPriority w:val="0"/>
    <w:pPr>
      <w:spacing w:before="100" w:beforeAutospacing="1" w:after="120"/>
    </w:pPr>
    <w:rPr>
      <w:kern w:val="0"/>
      <w:sz w:val="24"/>
      <w:szCs w:val="24"/>
    </w:rPr>
  </w:style>
  <w:style w:type="paragraph" w:customStyle="1" w:styleId="139">
    <w:name w:val="Normal_12"/>
    <w:qFormat/>
    <w:uiPriority w:val="0"/>
    <w:rPr>
      <w:rFonts w:ascii="黑体" w:hAnsi="黑体" w:eastAsia="黑体" w:cs="Times New Roman"/>
      <w:b/>
      <w:sz w:val="32"/>
      <w:szCs w:val="24"/>
      <w:lang w:val="en-US" w:eastAsia="zh-CN" w:bidi="ar-SA"/>
    </w:rPr>
  </w:style>
  <w:style w:type="paragraph" w:styleId="140">
    <w:name w:val="List Paragraph"/>
    <w:basedOn w:val="1"/>
    <w:qFormat/>
    <w:uiPriority w:val="34"/>
    <w:pPr>
      <w:ind w:firstLine="420" w:firstLineChars="200"/>
    </w:pPr>
  </w:style>
  <w:style w:type="paragraph" w:customStyle="1" w:styleId="141">
    <w:name w:val="Normal_2"/>
    <w:qFormat/>
    <w:uiPriority w:val="0"/>
    <w:rPr>
      <w:rFonts w:ascii="黑体" w:hAnsi="黑体" w:eastAsia="黑体" w:cs="Times New Roman"/>
      <w:b/>
      <w:sz w:val="32"/>
      <w:szCs w:val="24"/>
      <w:lang w:val="en-US" w:eastAsia="zh-CN" w:bidi="ar-SA"/>
    </w:rPr>
  </w:style>
  <w:style w:type="paragraph" w:customStyle="1" w:styleId="142">
    <w:name w:val="正文_1_2"/>
    <w:next w:val="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Normal_19"/>
    <w:qFormat/>
    <w:uiPriority w:val="0"/>
    <w:rPr>
      <w:rFonts w:ascii="黑体" w:hAnsi="黑体" w:eastAsia="黑体" w:cs="Times New Roman"/>
      <w:b/>
      <w:sz w:val="32"/>
      <w:szCs w:val="24"/>
      <w:lang w:val="en-US" w:eastAsia="zh-CN" w:bidi="ar-SA"/>
    </w:rPr>
  </w:style>
  <w:style w:type="paragraph" w:customStyle="1" w:styleId="144">
    <w:name w:val="正文_4_0_0_0"/>
    <w:basedOn w:val="112"/>
    <w:qFormat/>
    <w:uiPriority w:val="0"/>
    <w:rPr>
      <w:rFonts w:cs="Calibri"/>
      <w:szCs w:val="21"/>
    </w:rPr>
  </w:style>
  <w:style w:type="paragraph" w:customStyle="1" w:styleId="145">
    <w:name w:val="题注_0"/>
    <w:basedOn w:val="107"/>
    <w:next w:val="107"/>
    <w:qFormat/>
    <w:uiPriority w:val="0"/>
    <w:pPr>
      <w:spacing w:before="152" w:after="160"/>
    </w:pPr>
    <w:rPr>
      <w:rFonts w:ascii="Arial" w:hAnsi="Arial" w:eastAsia="黑体" w:cs="Arial"/>
      <w:sz w:val="20"/>
      <w:szCs w:val="20"/>
    </w:rPr>
  </w:style>
  <w:style w:type="paragraph" w:customStyle="1" w:styleId="146">
    <w:name w:val="Char1"/>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147">
    <w:name w:val="p0"/>
    <w:basedOn w:val="1"/>
    <w:qFormat/>
    <w:uiPriority w:val="0"/>
    <w:pPr>
      <w:widowControl/>
    </w:pPr>
    <w:rPr>
      <w:rFonts w:ascii="宋体" w:hAnsi="宋体" w:cs="宋体"/>
      <w:kern w:val="0"/>
      <w:szCs w:val="21"/>
    </w:rPr>
  </w:style>
  <w:style w:type="paragraph" w:customStyle="1" w:styleId="148">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9">
    <w:name w:val="Normal_15"/>
    <w:qFormat/>
    <w:uiPriority w:val="0"/>
    <w:rPr>
      <w:rFonts w:ascii="黑体" w:hAnsi="黑体" w:eastAsia="黑体" w:cs="Times New Roman"/>
      <w:b/>
      <w:sz w:val="32"/>
      <w:szCs w:val="24"/>
      <w:lang w:val="en-US" w:eastAsia="zh-CN" w:bidi="ar-SA"/>
    </w:rPr>
  </w:style>
  <w:style w:type="paragraph" w:customStyle="1" w:styleId="150">
    <w:name w:val="标题 71"/>
    <w:basedOn w:val="144"/>
    <w:qFormat/>
    <w:uiPriority w:val="0"/>
    <w:pPr>
      <w:spacing w:before="35" w:after="100" w:afterAutospacing="1"/>
      <w:ind w:left="157"/>
      <w:jc w:val="left"/>
      <w:outlineLvl w:val="7"/>
    </w:pPr>
    <w:rPr>
      <w:rFonts w:ascii="宋体" w:hAnsi="宋体" w:cs="宋体"/>
      <w:b/>
      <w:bCs/>
      <w:kern w:val="0"/>
    </w:rPr>
  </w:style>
  <w:style w:type="paragraph" w:customStyle="1" w:styleId="151">
    <w:name w:val="Normal_14"/>
    <w:qFormat/>
    <w:uiPriority w:val="0"/>
    <w:rPr>
      <w:rFonts w:ascii="黑体" w:hAnsi="黑体" w:eastAsia="黑体" w:cs="Times New Roman"/>
      <w:b/>
      <w:sz w:val="32"/>
      <w:szCs w:val="24"/>
      <w:lang w:val="en-US" w:eastAsia="zh-CN" w:bidi="ar-SA"/>
    </w:rPr>
  </w:style>
  <w:style w:type="paragraph" w:customStyle="1" w:styleId="152">
    <w:name w:val="Normal_1"/>
    <w:qFormat/>
    <w:uiPriority w:val="0"/>
    <w:rPr>
      <w:rFonts w:ascii="黑体" w:hAnsi="黑体" w:eastAsia="黑体" w:cs="Times New Roman"/>
      <w:b/>
      <w:sz w:val="32"/>
      <w:szCs w:val="24"/>
      <w:lang w:val="en-US" w:eastAsia="zh-CN" w:bidi="ar-SA"/>
    </w:rPr>
  </w:style>
  <w:style w:type="paragraph" w:customStyle="1" w:styleId="153">
    <w:name w:val="Char Char Char"/>
    <w:basedOn w:val="1"/>
    <w:qFormat/>
    <w:uiPriority w:val="0"/>
    <w:pPr>
      <w:widowControl/>
      <w:spacing w:after="160" w:line="240" w:lineRule="exact"/>
      <w:jc w:val="left"/>
    </w:pPr>
  </w:style>
  <w:style w:type="paragraph" w:customStyle="1" w:styleId="154">
    <w:name w:val="正文_4_0_0"/>
    <w:basedOn w:val="112"/>
    <w:qFormat/>
    <w:uiPriority w:val="0"/>
    <w:rPr>
      <w:rFonts w:cs="Calibri"/>
      <w:szCs w:val="21"/>
    </w:rPr>
  </w:style>
  <w:style w:type="paragraph" w:customStyle="1" w:styleId="155">
    <w:name w:val="Char Char Char1 Char8"/>
    <w:basedOn w:val="1"/>
    <w:semiHidden/>
    <w:qFormat/>
    <w:uiPriority w:val="0"/>
    <w:pPr>
      <w:spacing w:line="360" w:lineRule="auto"/>
      <w:ind w:firstLine="200" w:firstLineChars="200"/>
    </w:pPr>
    <w:rPr>
      <w:rFonts w:ascii="宋体" w:hAnsi="宋体" w:cs="宋体"/>
      <w:sz w:val="24"/>
    </w:rPr>
  </w:style>
  <w:style w:type="paragraph" w:styleId="156">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默认段落字体 Para Char Char Char Char Char Char Char Char Char Char Char Char Char Char Char Char"/>
    <w:basedOn w:val="1"/>
    <w:qFormat/>
    <w:uiPriority w:val="0"/>
    <w:rPr>
      <w:rFonts w:ascii="Tahoma" w:hAnsi="Tahoma"/>
      <w:sz w:val="24"/>
      <w:szCs w:val="20"/>
    </w:rPr>
  </w:style>
  <w:style w:type="paragraph" w:customStyle="1" w:styleId="158">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9">
    <w:name w:val="Normal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Normal_17"/>
    <w:basedOn w:val="112"/>
    <w:qFormat/>
    <w:uiPriority w:val="0"/>
    <w:rPr>
      <w:rFonts w:ascii="黑体" w:hAnsi="黑体" w:eastAsia="黑体"/>
      <w:b/>
      <w:sz w:val="32"/>
      <w:szCs w:val="24"/>
    </w:rPr>
  </w:style>
  <w:style w:type="paragraph" w:customStyle="1" w:styleId="161">
    <w:name w:val="Normal_0"/>
    <w:qFormat/>
    <w:uiPriority w:val="0"/>
    <w:rPr>
      <w:rFonts w:ascii="Times New Roman" w:hAnsi="Times New Roman" w:eastAsia="Times New Roman" w:cs="Times New Roman"/>
      <w:sz w:val="24"/>
      <w:szCs w:val="24"/>
      <w:lang w:val="en-US" w:eastAsia="zh-CN" w:bidi="ar-SA"/>
    </w:rPr>
  </w:style>
  <w:style w:type="paragraph" w:customStyle="1" w:styleId="162">
    <w:name w:val="列表_0"/>
    <w:basedOn w:val="104"/>
    <w:semiHidden/>
    <w:qFormat/>
    <w:locked/>
    <w:uiPriority w:val="0"/>
    <w:pPr>
      <w:ind w:left="200" w:hanging="200" w:hangingChars="200"/>
    </w:pPr>
  </w:style>
  <w:style w:type="paragraph" w:customStyle="1" w:styleId="163">
    <w:name w:val="Normal_26"/>
    <w:qFormat/>
    <w:uiPriority w:val="0"/>
    <w:pPr>
      <w:widowControl w:val="0"/>
      <w:jc w:val="both"/>
    </w:pPr>
    <w:rPr>
      <w:rFonts w:ascii="Times New Roman" w:hAnsi="Times New Roman" w:eastAsia="宋体" w:cs="Times New Roman"/>
      <w:szCs w:val="24"/>
      <w:lang w:val="en-US" w:eastAsia="zh-CN" w:bidi="ar-SA"/>
    </w:rPr>
  </w:style>
  <w:style w:type="paragraph" w:customStyle="1" w:styleId="164">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165">
    <w:name w:val="题注_0_0"/>
    <w:basedOn w:val="77"/>
    <w:next w:val="77"/>
    <w:qFormat/>
    <w:uiPriority w:val="0"/>
    <w:pPr>
      <w:spacing w:before="152" w:after="160"/>
    </w:pPr>
    <w:rPr>
      <w:rFonts w:ascii="Arial" w:hAnsi="Arial" w:eastAsia="黑体" w:cs="Arial"/>
      <w:sz w:val="20"/>
      <w:szCs w:val="20"/>
    </w:rPr>
  </w:style>
  <w:style w:type="paragraph" w:customStyle="1" w:styleId="166">
    <w:name w:val="Normal_3"/>
    <w:qFormat/>
    <w:uiPriority w:val="0"/>
    <w:rPr>
      <w:rFonts w:ascii="黑体" w:hAnsi="黑体" w:eastAsia="黑体" w:cs="Times New Roman"/>
      <w:b/>
      <w:sz w:val="32"/>
      <w:szCs w:val="24"/>
      <w:lang w:val="en-US" w:eastAsia="zh-CN" w:bidi="ar-SA"/>
    </w:rPr>
  </w:style>
  <w:style w:type="paragraph" w:customStyle="1" w:styleId="167">
    <w:name w:val="保阜正文"/>
    <w:basedOn w:val="1"/>
    <w:qFormat/>
    <w:uiPriority w:val="0"/>
    <w:pPr>
      <w:spacing w:line="360" w:lineRule="auto"/>
      <w:jc w:val="left"/>
    </w:pPr>
    <w:rPr>
      <w:rFonts w:cs="宋体"/>
      <w:kern w:val="0"/>
      <w:sz w:val="24"/>
      <w:szCs w:val="20"/>
    </w:rPr>
  </w:style>
  <w:style w:type="paragraph" w:customStyle="1" w:styleId="168">
    <w:name w:val="Normal_0_0"/>
    <w:qFormat/>
    <w:uiPriority w:val="0"/>
    <w:rPr>
      <w:rFonts w:ascii="黑体" w:hAnsi="黑体" w:eastAsia="黑体" w:cs="Times New Roman"/>
      <w:b/>
      <w:sz w:val="32"/>
      <w:szCs w:val="24"/>
      <w:lang w:val="en-US" w:eastAsia="zh-CN" w:bidi="ar-SA"/>
    </w:rPr>
  </w:style>
  <w:style w:type="paragraph" w:customStyle="1" w:styleId="169">
    <w:name w:val="标题 51"/>
    <w:basedOn w:val="144"/>
    <w:qFormat/>
    <w:uiPriority w:val="0"/>
    <w:pPr>
      <w:spacing w:before="26" w:after="100" w:afterAutospacing="1"/>
      <w:ind w:left="157"/>
      <w:jc w:val="left"/>
      <w:outlineLvl w:val="5"/>
    </w:pPr>
    <w:rPr>
      <w:rFonts w:ascii="宋体" w:hAnsi="宋体" w:cs="宋体"/>
      <w:b/>
      <w:bCs/>
      <w:kern w:val="0"/>
      <w:sz w:val="24"/>
      <w:szCs w:val="24"/>
    </w:rPr>
  </w:style>
  <w:style w:type="paragraph" w:customStyle="1" w:styleId="170">
    <w:name w:val="Normal_11"/>
    <w:qFormat/>
    <w:uiPriority w:val="0"/>
    <w:rPr>
      <w:rFonts w:ascii="黑体" w:hAnsi="黑体" w:eastAsia="黑体" w:cs="Times New Roman"/>
      <w:b/>
      <w:sz w:val="32"/>
      <w:szCs w:val="24"/>
      <w:lang w:val="en-US" w:eastAsia="zh-CN" w:bidi="ar-SA"/>
    </w:rPr>
  </w:style>
  <w:style w:type="paragraph" w:customStyle="1" w:styleId="171">
    <w:name w:val="Normal_8"/>
    <w:qFormat/>
    <w:uiPriority w:val="0"/>
    <w:rPr>
      <w:rFonts w:ascii="黑体" w:hAnsi="黑体" w:eastAsia="黑体" w:cs="Times New Roman"/>
      <w:b/>
      <w:sz w:val="32"/>
      <w:szCs w:val="24"/>
      <w:lang w:val="en-US" w:eastAsia="zh-CN" w:bidi="ar-SA"/>
    </w:rPr>
  </w:style>
  <w:style w:type="paragraph" w:customStyle="1" w:styleId="172">
    <w:name w:val="正文缩进2格"/>
    <w:basedOn w:val="1"/>
    <w:unhideWhenUsed/>
    <w:qFormat/>
    <w:uiPriority w:val="99"/>
    <w:pPr>
      <w:spacing w:line="600" w:lineRule="exact"/>
      <w:ind w:firstLine="639" w:firstLineChars="206"/>
    </w:pPr>
    <w:rPr>
      <w:rFonts w:hAnsi="宋体" w:eastAsia="Times New Roman"/>
      <w:sz w:val="31"/>
      <w:szCs w:val="24"/>
    </w:rPr>
  </w:style>
  <w:style w:type="paragraph" w:customStyle="1" w:styleId="173">
    <w:name w:val="Normal_4"/>
    <w:qFormat/>
    <w:uiPriority w:val="0"/>
    <w:rPr>
      <w:rFonts w:ascii="黑体" w:hAnsi="黑体" w:eastAsia="黑体" w:cs="Times New Roman"/>
      <w:b/>
      <w:sz w:val="32"/>
      <w:szCs w:val="24"/>
      <w:lang w:val="en-US" w:eastAsia="zh-CN" w:bidi="ar-SA"/>
    </w:rPr>
  </w:style>
  <w:style w:type="paragraph" w:customStyle="1" w:styleId="174">
    <w:name w:val="样式 Century Gothic 四号 行距: 1.5 倍行距"/>
    <w:basedOn w:val="1"/>
    <w:qFormat/>
    <w:uiPriority w:val="0"/>
    <w:pPr>
      <w:spacing w:line="360" w:lineRule="auto"/>
      <w:ind w:firstLine="200" w:firstLineChars="200"/>
    </w:pPr>
    <w:rPr>
      <w:rFonts w:ascii="Century Gothic" w:hAnsi="宋体" w:cs="宋体"/>
      <w:sz w:val="28"/>
      <w:szCs w:val="20"/>
    </w:rPr>
  </w:style>
  <w:style w:type="paragraph" w:customStyle="1" w:styleId="175">
    <w:name w:val="正文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76">
    <w:name w:val="Char Char2"/>
    <w:basedOn w:val="1"/>
    <w:qFormat/>
    <w:uiPriority w:val="0"/>
    <w:pPr>
      <w:widowControl/>
      <w:spacing w:after="160" w:line="240" w:lineRule="exact"/>
      <w:jc w:val="left"/>
    </w:pPr>
    <w:rPr>
      <w:rFonts w:ascii="Verdana" w:hAnsi="Verdana"/>
      <w:kern w:val="0"/>
      <w:sz w:val="20"/>
      <w:szCs w:val="20"/>
      <w:lang w:eastAsia="en-US"/>
    </w:rPr>
  </w:style>
  <w:style w:type="table" w:customStyle="1" w:styleId="177">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78">
    <w:name w:val="正文_0_1"/>
    <w:basedOn w:val="104"/>
    <w:next w:val="104"/>
    <w:qFormat/>
    <w:uiPriority w:val="0"/>
    <w:rPr>
      <w:rFonts w:ascii="Times New Roman" w:hAnsi="Times New Roman" w:cs="Calibri"/>
      <w:szCs w:val="21"/>
      <w:lang w:bidi="ug-CN"/>
    </w:rPr>
  </w:style>
  <w:style w:type="paragraph" w:customStyle="1" w:styleId="179">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0">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181">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Normal_9_0"/>
    <w:basedOn w:val="133"/>
    <w:qFormat/>
    <w:uiPriority w:val="0"/>
    <w:pPr>
      <w:widowControl/>
      <w:jc w:val="left"/>
    </w:pPr>
    <w:rPr>
      <w:rFonts w:ascii="黑体" w:hAnsi="黑体" w:eastAsia="黑体" w:cs="宋体"/>
      <w:b/>
      <w:bCs/>
      <w:kern w:val="0"/>
      <w:sz w:val="32"/>
      <w:szCs w:val="32"/>
    </w:rPr>
  </w:style>
  <w:style w:type="paragraph" w:customStyle="1" w:styleId="183">
    <w:name w:val="正文_6_0_0_0"/>
    <w:basedOn w:val="99"/>
    <w:qFormat/>
    <w:uiPriority w:val="0"/>
    <w:rPr>
      <w:rFonts w:ascii="Times New Roman" w:hAnsi="Times New Roman"/>
      <w:szCs w:val="21"/>
    </w:rPr>
  </w:style>
  <w:style w:type="paragraph" w:customStyle="1" w:styleId="184">
    <w:name w:val="正文文本缩进_1_0"/>
    <w:basedOn w:val="107"/>
    <w:qFormat/>
    <w:uiPriority w:val="0"/>
    <w:pPr>
      <w:spacing w:line="500" w:lineRule="exact"/>
      <w:ind w:left="1588" w:leftChars="832" w:firstLine="433" w:firstLineChars="196"/>
    </w:pPr>
    <w:rPr>
      <w:sz w:val="24"/>
    </w:rPr>
  </w:style>
  <w:style w:type="paragraph" w:customStyle="1" w:styleId="185">
    <w:name w:val="UserStyle_95"/>
    <w:basedOn w:val="186"/>
    <w:qFormat/>
    <w:uiPriority w:val="0"/>
    <w:pPr>
      <w:snapToGrid w:val="0"/>
      <w:jc w:val="left"/>
    </w:pPr>
    <w:rPr>
      <w:rFonts w:ascii="Times New Roman" w:hAnsi="Times New Roman" w:cs="Times New Roman"/>
      <w:sz w:val="18"/>
      <w:szCs w:val="18"/>
    </w:rPr>
  </w:style>
  <w:style w:type="paragraph" w:customStyle="1" w:styleId="186">
    <w:name w:val="UserStyle_94"/>
    <w:basedOn w:val="187"/>
    <w:next w:val="185"/>
    <w:qFormat/>
    <w:uiPriority w:val="0"/>
    <w:pPr>
      <w:widowControl/>
    </w:pPr>
    <w:rPr>
      <w:rFonts w:ascii="Calibri" w:hAnsi="Calibri" w:cs="Calibri"/>
      <w:szCs w:val="21"/>
    </w:rPr>
  </w:style>
  <w:style w:type="paragraph" w:customStyle="1" w:styleId="187">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
    <w:name w:val="15"/>
    <w:qFormat/>
    <w:uiPriority w:val="0"/>
    <w:rPr>
      <w:rFonts w:hint="default" w:ascii="Times New Roman" w:hAnsi="Times New Roman" w:eastAsia="宋体" w:cs="Times New Roman"/>
      <w:kern w:val="2"/>
      <w:sz w:val="21"/>
      <w:szCs w:val="21"/>
    </w:rPr>
  </w:style>
  <w:style w:type="paragraph" w:customStyle="1" w:styleId="189">
    <w:name w:val="标题 1_2"/>
    <w:basedOn w:val="68"/>
    <w:next w:val="68"/>
    <w:qFormat/>
    <w:uiPriority w:val="9"/>
    <w:pPr>
      <w:spacing w:before="38"/>
      <w:ind w:left="1844"/>
      <w:outlineLvl w:val="0"/>
    </w:pPr>
    <w:rPr>
      <w:rFonts w:ascii="宋体" w:hAnsi="宋体" w:cs="宋体"/>
      <w:b/>
      <w:bCs/>
      <w:sz w:val="36"/>
      <w:szCs w:val="36"/>
    </w:rPr>
  </w:style>
  <w:style w:type="paragraph" w:customStyle="1" w:styleId="190">
    <w:name w:val="04-正文"/>
    <w:qFormat/>
    <w:uiPriority w:val="0"/>
    <w:pPr>
      <w:spacing w:line="360" w:lineRule="exact"/>
      <w:ind w:firstLine="420"/>
    </w:pPr>
    <w:rPr>
      <w:rFonts w:ascii="Times New Roman" w:hAnsi="Times New Roman" w:eastAsia="宋体" w:cs="Times New Roman"/>
      <w:szCs w:val="24"/>
      <w:lang w:val="en-US" w:eastAsia="zh-CN" w:bidi="ar-SA"/>
    </w:rPr>
  </w:style>
  <w:style w:type="paragraph" w:customStyle="1" w:styleId="191">
    <w:name w:val="*正文"/>
    <w:basedOn w:val="1"/>
    <w:qFormat/>
    <w:uiPriority w:val="0"/>
    <w:pPr>
      <w:ind w:firstLine="200" w:firstLineChars="200"/>
    </w:pPr>
    <w:rPr>
      <w:rFonts w:ascii="仿宋_GB2312" w:eastAsia="仿宋_GB2312"/>
      <w:szCs w:val="28"/>
    </w:rPr>
  </w:style>
  <w:style w:type="paragraph" w:customStyle="1" w:styleId="192">
    <w:name w:val="标准正文"/>
    <w:basedOn w:val="19"/>
    <w:qFormat/>
    <w:uiPriority w:val="0"/>
    <w:pPr>
      <w:spacing w:before="60" w:after="60" w:line="360" w:lineRule="auto"/>
      <w:ind w:firstLine="482" w:firstLineChars="0"/>
    </w:pPr>
    <w:rPr>
      <w:rFonts w:ascii="Arial" w:hAnsi="Arial"/>
      <w:kern w:val="0"/>
    </w:rPr>
  </w:style>
  <w:style w:type="paragraph" w:customStyle="1" w:styleId="193">
    <w:name w:val="Heading3"/>
    <w:basedOn w:val="1"/>
    <w:next w:val="1"/>
    <w:qFormat/>
    <w:uiPriority w:val="0"/>
    <w:pPr>
      <w:keepNext/>
      <w:keepLines/>
      <w:spacing w:before="260" w:after="260" w:line="416" w:lineRule="auto"/>
      <w:textAlignment w:val="baseline"/>
    </w:pPr>
    <w:rPr>
      <w:rFonts w:ascii="Times New Roman" w:hAnsi="Times New Roman"/>
      <w:b/>
      <w:bCs/>
      <w:sz w:val="32"/>
      <w:szCs w:val="32"/>
    </w:rPr>
  </w:style>
  <w:style w:type="paragraph" w:customStyle="1" w:styleId="194">
    <w:name w:val="列表段落1"/>
    <w:basedOn w:val="1"/>
    <w:qFormat/>
    <w:uiPriority w:val="34"/>
    <w:pPr>
      <w:ind w:firstLine="420"/>
    </w:pPr>
    <w:rPr>
      <w:rFonts w:cs="宋体"/>
    </w:rPr>
  </w:style>
  <w:style w:type="paragraph" w:customStyle="1" w:styleId="195">
    <w:name w:val="标题 2_0"/>
    <w:basedOn w:val="102"/>
    <w:next w:val="102"/>
    <w:qFormat/>
    <w:uiPriority w:val="0"/>
    <w:pPr>
      <w:keepNext/>
      <w:keepLines/>
      <w:spacing w:before="120" w:after="120" w:line="360" w:lineRule="auto"/>
      <w:jc w:val="center"/>
      <w:outlineLvl w:val="1"/>
    </w:pPr>
    <w:rPr>
      <w:b/>
      <w:bCs/>
      <w:sz w:val="36"/>
      <w:szCs w:val="36"/>
    </w:rPr>
  </w:style>
  <w:style w:type="paragraph" w:customStyle="1" w:styleId="196">
    <w:name w:val="列出段落_0"/>
    <w:basedOn w:val="102"/>
    <w:qFormat/>
    <w:uiPriority w:val="34"/>
    <w:pPr>
      <w:ind w:firstLine="420" w:firstLineChars="200"/>
    </w:pPr>
  </w:style>
  <w:style w:type="paragraph" w:customStyle="1" w:styleId="197">
    <w:name w:val="纯文本_1"/>
    <w:basedOn w:val="102"/>
    <w:uiPriority w:val="0"/>
    <w:rPr>
      <w:rFonts w:ascii="宋体" w:hAnsi="Courier New"/>
      <w:szCs w:val="21"/>
    </w:rPr>
  </w:style>
  <w:style w:type="paragraph" w:customStyle="1" w:styleId="198">
    <w:name w:val="编号文本"/>
    <w:basedOn w:val="140"/>
    <w:qFormat/>
    <w:uiPriority w:val="0"/>
    <w:pPr>
      <w:numPr>
        <w:ilvl w:val="0"/>
        <w:numId w:val="2"/>
      </w:numPr>
      <w:adjustRightInd w:val="0"/>
      <w:snapToGrid w:val="0"/>
      <w:spacing w:line="360" w:lineRule="auto"/>
      <w:ind w:firstLine="0" w:firstLineChars="0"/>
      <w:jc w:val="left"/>
    </w:pPr>
  </w:style>
  <w:style w:type="paragraph" w:customStyle="1" w:styleId="199">
    <w:name w:val="!正文"/>
    <w:basedOn w:val="1"/>
    <w:qFormat/>
    <w:uiPriority w:val="0"/>
    <w:pPr>
      <w:spacing w:line="360" w:lineRule="auto"/>
      <w:ind w:firstLine="200" w:firstLineChars="200"/>
    </w:pPr>
    <w:rPr>
      <w:rFonts w:ascii="宋体" w:hAnsi="宋体"/>
      <w:kern w:val="0"/>
      <w:sz w:val="24"/>
      <w:szCs w:val="28"/>
    </w:rPr>
  </w:style>
  <w:style w:type="paragraph" w:customStyle="1" w:styleId="200">
    <w:name w:val="表格文字"/>
    <w:basedOn w:val="1"/>
    <w:qFormat/>
    <w:uiPriority w:val="0"/>
    <w:pPr>
      <w:spacing w:before="25" w:after="25"/>
      <w:jc w:val="left"/>
    </w:pPr>
    <w:rPr>
      <w:bCs/>
      <w:spacing w:val="10"/>
      <w:kern w:val="0"/>
      <w:sz w:val="24"/>
      <w:szCs w:val="20"/>
    </w:rPr>
  </w:style>
  <w:style w:type="paragraph" w:customStyle="1" w:styleId="201">
    <w:name w:val="题注5"/>
    <w:basedOn w:val="1"/>
    <w:next w:val="13"/>
    <w:uiPriority w:val="0"/>
    <w:pPr>
      <w:jc w:val="center"/>
    </w:pPr>
    <w:rPr>
      <w:b/>
      <w:color w:val="000000"/>
      <w:sz w:val="24"/>
      <w:szCs w:val="21"/>
    </w:rPr>
  </w:style>
  <w:style w:type="paragraph" w:customStyle="1" w:styleId="202">
    <w:name w:val="题注4"/>
    <w:basedOn w:val="1"/>
    <w:next w:val="13"/>
    <w:qFormat/>
    <w:uiPriority w:val="0"/>
    <w:pPr>
      <w:ind w:left="-132" w:leftChars="-64" w:right="-105" w:rightChars="-50" w:hanging="2"/>
      <w:jc w:val="center"/>
    </w:pPr>
    <w:rPr>
      <w:b/>
      <w:color w:val="FF0000"/>
      <w:szCs w:val="21"/>
      <w:lang w:val="en-GB"/>
    </w:rPr>
  </w:style>
  <w:style w:type="paragraph" w:customStyle="1" w:styleId="20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33480</Words>
  <Characters>36298</Characters>
  <Lines>180</Lines>
  <Paragraphs>50</Paragraphs>
  <TotalTime>3</TotalTime>
  <ScaleCrop>false</ScaleCrop>
  <LinksUpToDate>false</LinksUpToDate>
  <CharactersWithSpaces>38385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2022-05-25T05:05:00Z</dcterms:created>
  <dc:creator>王峰</dc:creator>
  <cp:lastModifiedBy>エイの息子✨</cp:lastModifiedBy>
  <cp:lastPrinted>2022-02-28T03:22:00Z</cp:lastPrinted>
  <dcterms:modified xsi:type="dcterms:W3CDTF">2022-05-25T12:31:34Z</dcterms:modified>
  <dc:title>滨州市政府采购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179B0ED31B884173A68CF2932DD5D018</vt:lpwstr>
  </property>
</Properties>
</file>