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新疆生产建设兵团     </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招标文件</w:t>
      </w:r>
    </w:p>
    <w:p>
      <w:pPr>
        <w:tabs>
          <w:tab w:val="left" w:pos="1134"/>
          <w:tab w:val="left" w:pos="5481"/>
          <w:tab w:val="left" w:pos="5859"/>
        </w:tabs>
        <w:jc w:val="center"/>
        <w:rPr>
          <w:rFonts w:hint="eastAsia" w:ascii="仿宋" w:hAnsi="仿宋" w:eastAsia="仿宋" w:cs="仿宋"/>
          <w:b/>
          <w:color w:val="auto"/>
          <w:sz w:val="36"/>
          <w:szCs w:val="36"/>
          <w:highlight w:val="none"/>
        </w:rPr>
      </w:pPr>
    </w:p>
    <w:p>
      <w:pPr>
        <w:tabs>
          <w:tab w:val="left" w:pos="1134"/>
          <w:tab w:val="left" w:pos="5160"/>
        </w:tabs>
        <w:jc w:val="center"/>
        <w:rPr>
          <w:rFonts w:hint="eastAsia" w:ascii="仿宋" w:hAnsi="仿宋" w:eastAsia="仿宋" w:cs="仿宋"/>
          <w:b/>
          <w:color w:val="auto"/>
          <w:sz w:val="72"/>
          <w:szCs w:val="72"/>
          <w:highlight w:val="none"/>
        </w:rPr>
      </w:pPr>
    </w:p>
    <w:p>
      <w:pPr>
        <w:tabs>
          <w:tab w:val="left" w:pos="1134"/>
          <w:tab w:val="left" w:pos="5160"/>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w:t>
      </w:r>
      <w:r>
        <w:rPr>
          <w:rFonts w:hint="eastAsia" w:ascii="仿宋" w:hAnsi="仿宋" w:eastAsia="仿宋" w:cs="仿宋"/>
          <w:b/>
          <w:color w:val="auto"/>
          <w:sz w:val="72"/>
          <w:szCs w:val="72"/>
          <w:highlight w:val="none"/>
          <w:lang w:val="en-US" w:eastAsia="zh-CN"/>
        </w:rPr>
        <w:t>货物</w:t>
      </w:r>
      <w:r>
        <w:rPr>
          <w:rFonts w:hint="eastAsia" w:ascii="仿宋" w:hAnsi="仿宋" w:eastAsia="仿宋" w:cs="仿宋"/>
          <w:b/>
          <w:color w:val="auto"/>
          <w:sz w:val="72"/>
          <w:szCs w:val="72"/>
          <w:highlight w:val="none"/>
        </w:rPr>
        <w:t>类）</w:t>
      </w:r>
    </w:p>
    <w:p>
      <w:pPr>
        <w:tabs>
          <w:tab w:val="left" w:pos="1134"/>
          <w:tab w:val="left" w:pos="5481"/>
          <w:tab w:val="left" w:pos="5859"/>
        </w:tabs>
        <w:jc w:val="center"/>
        <w:rPr>
          <w:rFonts w:hint="eastAsia" w:ascii="仿宋" w:hAnsi="仿宋" w:eastAsia="仿宋" w:cs="仿宋"/>
          <w:b/>
          <w:color w:val="auto"/>
          <w:sz w:val="32"/>
          <w:highlight w:val="none"/>
        </w:rPr>
      </w:pPr>
    </w:p>
    <w:p>
      <w:pPr>
        <w:tabs>
          <w:tab w:val="left" w:pos="1134"/>
          <w:tab w:val="left" w:pos="5481"/>
          <w:tab w:val="left" w:pos="5859"/>
        </w:tabs>
        <w:jc w:val="center"/>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p>
    <w:p>
      <w:pPr>
        <w:pStyle w:val="7"/>
        <w:spacing w:line="240" w:lineRule="auto"/>
        <w:ind w:left="0" w:leftChars="0" w:firstLine="904" w:firstLineChars="30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lang w:eastAsia="zh-CN"/>
        </w:rPr>
        <w:t>第三师总医院（一期）医疗设施设备购置项目（第二包）（标项10）</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项目</w:t>
      </w:r>
      <w:r>
        <w:rPr>
          <w:rFonts w:hint="eastAsia" w:ascii="仿宋" w:hAnsi="仿宋" w:eastAsia="仿宋" w:cs="仿宋"/>
          <w:b/>
          <w:color w:val="auto"/>
          <w:sz w:val="30"/>
          <w:szCs w:val="30"/>
          <w:highlight w:val="none"/>
        </w:rPr>
        <w:t>编号：</w:t>
      </w:r>
      <w:r>
        <w:rPr>
          <w:rFonts w:hint="eastAsia" w:ascii="仿宋" w:hAnsi="仿宋" w:eastAsia="仿宋" w:cs="仿宋"/>
          <w:b/>
          <w:color w:val="auto"/>
          <w:sz w:val="30"/>
          <w:szCs w:val="30"/>
          <w:highlight w:val="none"/>
          <w:lang w:val="en-US" w:eastAsia="zh-CN"/>
        </w:rPr>
        <w:t>B3S[2022]1163号</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采购代理机构：</w:t>
      </w:r>
      <w:bookmarkStart w:id="0" w:name="EBcb0878e322384cd0a66fff8323730c6e"/>
      <w:r>
        <w:rPr>
          <w:rFonts w:hint="eastAsia" w:ascii="仿宋" w:hAnsi="仿宋" w:eastAsia="仿宋" w:cs="仿宋"/>
          <w:b/>
          <w:color w:val="auto"/>
          <w:sz w:val="30"/>
          <w:szCs w:val="30"/>
          <w:highlight w:val="none"/>
        </w:rPr>
        <w:t>新疆锦辰工程项目管理有限公司</w:t>
      </w:r>
      <w:bookmarkEnd w:id="0"/>
    </w:p>
    <w:p>
      <w:pPr>
        <w:pStyle w:val="7"/>
        <w:spacing w:line="240" w:lineRule="auto"/>
        <w:ind w:left="0" w:leftChars="0" w:firstLine="904" w:firstLineChars="300"/>
        <w:jc w:val="both"/>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日期：</w:t>
      </w:r>
      <w:bookmarkStart w:id="1" w:name="EBf5b10e9eaaa44041a117d717902a64e6"/>
      <w:bookmarkEnd w:id="1"/>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12</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8日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sectPr>
          <w:footerReference r:id="rId5" w:type="first"/>
          <w:footerReference r:id="rId4" w:type="default"/>
          <w:head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p>
    <w:p>
      <w:pPr>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目 录</w:t>
      </w:r>
    </w:p>
    <w:p>
      <w:pPr>
        <w:pStyle w:val="13"/>
        <w:tabs>
          <w:tab w:val="right" w:leader="dot" w:pos="8312"/>
        </w:tabs>
        <w:spacing w:line="480" w:lineRule="auto"/>
        <w:rPr>
          <w:rFonts w:hint="eastAsia" w:ascii="仿宋" w:hAnsi="仿宋" w:eastAsia="仿宋" w:cs="仿宋"/>
          <w:b/>
          <w:bCs/>
          <w:sz w:val="22"/>
          <w:szCs w:val="22"/>
        </w:rPr>
      </w:pPr>
      <w:r>
        <w:rPr>
          <w:rFonts w:hint="eastAsia" w:ascii="仿宋" w:hAnsi="仿宋" w:eastAsia="仿宋" w:cs="仿宋"/>
          <w:b/>
          <w:bCs/>
          <w:color w:val="auto"/>
          <w:sz w:val="22"/>
          <w:szCs w:val="22"/>
          <w:highlight w:val="none"/>
        </w:rPr>
        <w:fldChar w:fldCharType="begin"/>
      </w:r>
      <w:r>
        <w:rPr>
          <w:rFonts w:hint="eastAsia" w:ascii="仿宋" w:hAnsi="仿宋" w:eastAsia="仿宋" w:cs="仿宋"/>
          <w:b/>
          <w:bCs/>
          <w:color w:val="auto"/>
          <w:sz w:val="22"/>
          <w:szCs w:val="22"/>
          <w:highlight w:val="none"/>
        </w:rPr>
        <w:instrText xml:space="preserve"> TOC \o "1-3" \h \z \u </w:instrText>
      </w:r>
      <w:r>
        <w:rPr>
          <w:rFonts w:hint="eastAsia" w:ascii="仿宋" w:hAnsi="仿宋" w:eastAsia="仿宋" w:cs="仿宋"/>
          <w:b/>
          <w:bCs/>
          <w:color w:val="auto"/>
          <w:sz w:val="22"/>
          <w:szCs w:val="22"/>
          <w:highlight w:val="none"/>
        </w:rPr>
        <w:fldChar w:fldCharType="separate"/>
      </w:r>
      <w:r>
        <w:rPr>
          <w:rFonts w:hint="eastAsia" w:ascii="仿宋" w:hAnsi="仿宋" w:eastAsia="仿宋" w:cs="仿宋"/>
          <w:b/>
          <w:bCs/>
          <w:color w:val="auto"/>
          <w:sz w:val="22"/>
          <w:szCs w:val="22"/>
          <w:highlight w:val="none"/>
        </w:rPr>
        <w:fldChar w:fldCharType="begin"/>
      </w:r>
      <w:r>
        <w:rPr>
          <w:rFonts w:hint="eastAsia" w:ascii="仿宋" w:hAnsi="仿宋" w:eastAsia="仿宋" w:cs="仿宋"/>
          <w:b/>
          <w:bCs/>
          <w:sz w:val="22"/>
          <w:szCs w:val="22"/>
          <w:highlight w:val="none"/>
        </w:rPr>
        <w:instrText xml:space="preserve"> HYPERLINK \l _Toc16138 </w:instrText>
      </w:r>
      <w:r>
        <w:rPr>
          <w:rFonts w:hint="eastAsia" w:ascii="仿宋" w:hAnsi="仿宋" w:eastAsia="仿宋" w:cs="仿宋"/>
          <w:b/>
          <w:bCs/>
          <w:sz w:val="22"/>
          <w:szCs w:val="22"/>
          <w:highlight w:val="none"/>
        </w:rPr>
        <w:fldChar w:fldCharType="separate"/>
      </w:r>
      <w:r>
        <w:rPr>
          <w:rFonts w:hint="eastAsia" w:ascii="仿宋" w:hAnsi="仿宋" w:eastAsia="仿宋" w:cs="仿宋"/>
          <w:b/>
          <w:bCs/>
          <w:sz w:val="22"/>
          <w:szCs w:val="22"/>
          <w:highlight w:val="none"/>
        </w:rPr>
        <w:t>第一部分   招标公告</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_Toc16138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color w:val="auto"/>
          <w:sz w:val="22"/>
          <w:szCs w:val="22"/>
          <w:highlight w:val="none"/>
        </w:rPr>
        <w:fldChar w:fldCharType="end"/>
      </w:r>
    </w:p>
    <w:p>
      <w:pPr>
        <w:pStyle w:val="13"/>
        <w:tabs>
          <w:tab w:val="right" w:leader="dot" w:pos="8312"/>
        </w:tabs>
        <w:spacing w:line="480" w:lineRule="auto"/>
        <w:rPr>
          <w:rFonts w:hint="eastAsia" w:ascii="仿宋" w:hAnsi="仿宋" w:eastAsia="仿宋" w:cs="仿宋"/>
          <w:b/>
          <w:bCs/>
          <w:sz w:val="22"/>
          <w:szCs w:val="22"/>
        </w:rPr>
      </w:pPr>
      <w:r>
        <w:rPr>
          <w:rFonts w:hint="eastAsia" w:ascii="仿宋" w:hAnsi="仿宋" w:eastAsia="仿宋" w:cs="仿宋"/>
          <w:b/>
          <w:bCs/>
          <w:color w:val="auto"/>
          <w:sz w:val="22"/>
          <w:szCs w:val="22"/>
          <w:highlight w:val="none"/>
        </w:rPr>
        <w:fldChar w:fldCharType="begin"/>
      </w:r>
      <w:r>
        <w:rPr>
          <w:rFonts w:hint="eastAsia" w:ascii="仿宋" w:hAnsi="仿宋" w:eastAsia="仿宋" w:cs="仿宋"/>
          <w:b/>
          <w:bCs/>
          <w:sz w:val="22"/>
          <w:szCs w:val="22"/>
          <w:highlight w:val="none"/>
        </w:rPr>
        <w:instrText xml:space="preserve"> HYPERLINK \l _Toc26592 </w:instrText>
      </w:r>
      <w:r>
        <w:rPr>
          <w:rFonts w:hint="eastAsia" w:ascii="仿宋" w:hAnsi="仿宋" w:eastAsia="仿宋" w:cs="仿宋"/>
          <w:b/>
          <w:bCs/>
          <w:sz w:val="22"/>
          <w:szCs w:val="22"/>
          <w:highlight w:val="none"/>
        </w:rPr>
        <w:fldChar w:fldCharType="separate"/>
      </w:r>
      <w:r>
        <w:rPr>
          <w:rFonts w:hint="eastAsia" w:ascii="仿宋" w:hAnsi="仿宋" w:eastAsia="仿宋" w:cs="仿宋"/>
          <w:b/>
          <w:bCs/>
          <w:sz w:val="22"/>
          <w:szCs w:val="22"/>
          <w:highlight w:val="none"/>
          <w:lang w:val="en-US" w:eastAsia="zh-CN"/>
        </w:rPr>
        <w:t xml:space="preserve">第二部分 </w:t>
      </w:r>
      <w:r>
        <w:rPr>
          <w:rFonts w:hint="eastAsia" w:ascii="仿宋" w:hAnsi="仿宋" w:eastAsia="仿宋" w:cs="仿宋"/>
          <w:b/>
          <w:bCs/>
          <w:sz w:val="22"/>
          <w:szCs w:val="22"/>
          <w:highlight w:val="none"/>
        </w:rPr>
        <w:t>投标人须知</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_Toc26592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w:t>
      </w:r>
      <w:r>
        <w:rPr>
          <w:rFonts w:hint="eastAsia" w:ascii="仿宋" w:hAnsi="仿宋" w:eastAsia="仿宋" w:cs="仿宋"/>
          <w:b/>
          <w:bCs/>
          <w:sz w:val="22"/>
          <w:szCs w:val="22"/>
        </w:rPr>
        <w:fldChar w:fldCharType="end"/>
      </w:r>
      <w:r>
        <w:rPr>
          <w:rFonts w:hint="eastAsia" w:ascii="仿宋" w:hAnsi="仿宋" w:eastAsia="仿宋" w:cs="仿宋"/>
          <w:b/>
          <w:bCs/>
          <w:color w:val="auto"/>
          <w:sz w:val="22"/>
          <w:szCs w:val="22"/>
          <w:highlight w:val="none"/>
        </w:rPr>
        <w:fldChar w:fldCharType="end"/>
      </w:r>
    </w:p>
    <w:p>
      <w:pPr>
        <w:pStyle w:val="13"/>
        <w:tabs>
          <w:tab w:val="right" w:leader="dot" w:pos="8312"/>
        </w:tabs>
        <w:spacing w:line="480" w:lineRule="auto"/>
        <w:rPr>
          <w:rFonts w:hint="eastAsia" w:ascii="仿宋" w:hAnsi="仿宋" w:eastAsia="仿宋" w:cs="仿宋"/>
          <w:b/>
          <w:bCs/>
          <w:sz w:val="22"/>
          <w:szCs w:val="22"/>
          <w:lang w:val="en-US" w:eastAsia="zh-CN"/>
        </w:rPr>
      </w:pP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HYPERLINK \l _Toc22662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第三部分 采购需求</w:t>
      </w:r>
      <w:r>
        <w:rPr>
          <w:rFonts w:hint="eastAsia" w:ascii="仿宋" w:hAnsi="仿宋" w:eastAsia="仿宋" w:cs="仿宋"/>
          <w:b/>
          <w:bCs/>
          <w:sz w:val="22"/>
          <w:szCs w:val="22"/>
        </w:rPr>
        <w:tab/>
      </w:r>
      <w:r>
        <w:rPr>
          <w:rFonts w:hint="eastAsia" w:ascii="仿宋" w:hAnsi="仿宋" w:eastAsia="仿宋" w:cs="仿宋"/>
          <w:b/>
          <w:bCs/>
          <w:sz w:val="22"/>
          <w:szCs w:val="22"/>
          <w:lang w:val="en-US" w:eastAsia="zh-CN"/>
        </w:rPr>
        <w:t>3</w:t>
      </w:r>
      <w:r>
        <w:rPr>
          <w:rFonts w:hint="eastAsia" w:ascii="仿宋" w:hAnsi="仿宋" w:eastAsia="仿宋" w:cs="仿宋"/>
          <w:b/>
          <w:bCs/>
          <w:sz w:val="22"/>
          <w:szCs w:val="22"/>
        </w:rPr>
        <w:fldChar w:fldCharType="end"/>
      </w:r>
      <w:r>
        <w:rPr>
          <w:rFonts w:hint="eastAsia" w:ascii="仿宋" w:hAnsi="仿宋" w:eastAsia="仿宋" w:cs="仿宋"/>
          <w:b/>
          <w:bCs/>
          <w:sz w:val="22"/>
          <w:szCs w:val="22"/>
          <w:lang w:val="en-US" w:eastAsia="zh-CN"/>
        </w:rPr>
        <w:t>8</w:t>
      </w:r>
    </w:p>
    <w:p>
      <w:pPr>
        <w:pStyle w:val="13"/>
        <w:tabs>
          <w:tab w:val="right" w:leader="dot" w:pos="8312"/>
        </w:tabs>
        <w:spacing w:line="480" w:lineRule="auto"/>
        <w:rPr>
          <w:rFonts w:hint="eastAsia" w:ascii="仿宋" w:hAnsi="仿宋" w:eastAsia="仿宋" w:cs="仿宋"/>
          <w:b/>
          <w:bCs/>
          <w:sz w:val="22"/>
          <w:szCs w:val="22"/>
        </w:rPr>
      </w:pPr>
      <w:r>
        <w:rPr>
          <w:rFonts w:hint="eastAsia" w:ascii="仿宋" w:hAnsi="仿宋" w:eastAsia="仿宋" w:cs="仿宋"/>
          <w:b/>
          <w:bCs/>
          <w:color w:val="auto"/>
          <w:sz w:val="22"/>
          <w:szCs w:val="22"/>
          <w:highlight w:val="none"/>
        </w:rPr>
        <w:fldChar w:fldCharType="begin"/>
      </w:r>
      <w:r>
        <w:rPr>
          <w:rFonts w:hint="eastAsia" w:ascii="仿宋" w:hAnsi="仿宋" w:eastAsia="仿宋" w:cs="仿宋"/>
          <w:b/>
          <w:bCs/>
          <w:sz w:val="22"/>
          <w:szCs w:val="22"/>
          <w:highlight w:val="none"/>
        </w:rPr>
        <w:instrText xml:space="preserve"> HYPERLINK \l _Toc24762 </w:instrText>
      </w:r>
      <w:r>
        <w:rPr>
          <w:rFonts w:hint="eastAsia" w:ascii="仿宋" w:hAnsi="仿宋" w:eastAsia="仿宋" w:cs="仿宋"/>
          <w:b/>
          <w:bCs/>
          <w:sz w:val="22"/>
          <w:szCs w:val="22"/>
          <w:highlight w:val="none"/>
        </w:rPr>
        <w:fldChar w:fldCharType="separate"/>
      </w:r>
      <w:r>
        <w:rPr>
          <w:rFonts w:hint="eastAsia" w:ascii="仿宋" w:hAnsi="仿宋" w:eastAsia="仿宋" w:cs="仿宋"/>
          <w:b/>
          <w:bCs/>
          <w:sz w:val="22"/>
          <w:szCs w:val="22"/>
          <w:highlight w:val="none"/>
        </w:rPr>
        <w:t>第四部分   评审方法（综合评分法）</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_Toc24762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58</w:t>
      </w:r>
      <w:r>
        <w:rPr>
          <w:rFonts w:hint="eastAsia" w:ascii="仿宋" w:hAnsi="仿宋" w:eastAsia="仿宋" w:cs="仿宋"/>
          <w:b/>
          <w:bCs/>
          <w:sz w:val="22"/>
          <w:szCs w:val="22"/>
        </w:rPr>
        <w:fldChar w:fldCharType="end"/>
      </w:r>
      <w:r>
        <w:rPr>
          <w:rFonts w:hint="eastAsia" w:ascii="仿宋" w:hAnsi="仿宋" w:eastAsia="仿宋" w:cs="仿宋"/>
          <w:b/>
          <w:bCs/>
          <w:color w:val="auto"/>
          <w:sz w:val="22"/>
          <w:szCs w:val="22"/>
          <w:highlight w:val="none"/>
        </w:rPr>
        <w:fldChar w:fldCharType="end"/>
      </w:r>
    </w:p>
    <w:p>
      <w:pPr>
        <w:pStyle w:val="13"/>
        <w:tabs>
          <w:tab w:val="right" w:leader="dot" w:pos="8312"/>
        </w:tabs>
        <w:spacing w:line="480" w:lineRule="auto"/>
        <w:rPr>
          <w:rFonts w:hint="eastAsia" w:ascii="仿宋" w:hAnsi="仿宋" w:eastAsia="仿宋" w:cs="仿宋"/>
          <w:b/>
          <w:bCs/>
          <w:sz w:val="22"/>
          <w:szCs w:val="22"/>
        </w:rPr>
      </w:pPr>
      <w:r>
        <w:rPr>
          <w:rFonts w:hint="eastAsia" w:ascii="仿宋" w:hAnsi="仿宋" w:eastAsia="仿宋" w:cs="仿宋"/>
          <w:b/>
          <w:bCs/>
          <w:color w:val="auto"/>
          <w:sz w:val="22"/>
          <w:szCs w:val="22"/>
          <w:highlight w:val="none"/>
        </w:rPr>
        <w:fldChar w:fldCharType="begin"/>
      </w:r>
      <w:r>
        <w:rPr>
          <w:rFonts w:hint="eastAsia" w:ascii="仿宋" w:hAnsi="仿宋" w:eastAsia="仿宋" w:cs="仿宋"/>
          <w:b/>
          <w:bCs/>
          <w:sz w:val="22"/>
          <w:szCs w:val="22"/>
          <w:highlight w:val="none"/>
        </w:rPr>
        <w:instrText xml:space="preserve"> HYPERLINK \l _Toc30820 </w:instrText>
      </w:r>
      <w:r>
        <w:rPr>
          <w:rFonts w:hint="eastAsia" w:ascii="仿宋" w:hAnsi="仿宋" w:eastAsia="仿宋" w:cs="仿宋"/>
          <w:b/>
          <w:bCs/>
          <w:sz w:val="22"/>
          <w:szCs w:val="22"/>
          <w:highlight w:val="none"/>
        </w:rPr>
        <w:fldChar w:fldCharType="separate"/>
      </w:r>
      <w:r>
        <w:rPr>
          <w:rFonts w:hint="eastAsia" w:ascii="仿宋" w:hAnsi="仿宋" w:eastAsia="仿宋" w:cs="仿宋"/>
          <w:b/>
          <w:bCs/>
          <w:sz w:val="22"/>
          <w:szCs w:val="22"/>
          <w:highlight w:val="none"/>
        </w:rPr>
        <w:t>第五部分</w:t>
      </w:r>
      <w:r>
        <w:rPr>
          <w:rFonts w:hint="eastAsia" w:ascii="仿宋" w:hAnsi="仿宋" w:eastAsia="仿宋" w:cs="仿宋"/>
          <w:b/>
          <w:bCs/>
          <w:sz w:val="22"/>
          <w:szCs w:val="22"/>
          <w:highlight w:val="none"/>
          <w:lang w:val="en-US" w:eastAsia="zh-CN"/>
        </w:rPr>
        <w:t xml:space="preserve">   </w:t>
      </w:r>
      <w:r>
        <w:rPr>
          <w:rFonts w:hint="eastAsia" w:ascii="仿宋" w:hAnsi="仿宋" w:eastAsia="仿宋" w:cs="仿宋"/>
          <w:b/>
          <w:bCs/>
          <w:sz w:val="22"/>
          <w:szCs w:val="22"/>
          <w:highlight w:val="none"/>
        </w:rPr>
        <w:t>政府采购合同</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_Toc30820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67</w:t>
      </w:r>
      <w:r>
        <w:rPr>
          <w:rFonts w:hint="eastAsia" w:ascii="仿宋" w:hAnsi="仿宋" w:eastAsia="仿宋" w:cs="仿宋"/>
          <w:b/>
          <w:bCs/>
          <w:sz w:val="22"/>
          <w:szCs w:val="22"/>
        </w:rPr>
        <w:fldChar w:fldCharType="end"/>
      </w:r>
      <w:r>
        <w:rPr>
          <w:rFonts w:hint="eastAsia" w:ascii="仿宋" w:hAnsi="仿宋" w:eastAsia="仿宋" w:cs="仿宋"/>
          <w:b/>
          <w:bCs/>
          <w:color w:val="auto"/>
          <w:sz w:val="22"/>
          <w:szCs w:val="22"/>
          <w:highlight w:val="none"/>
        </w:rPr>
        <w:fldChar w:fldCharType="end"/>
      </w:r>
    </w:p>
    <w:p>
      <w:pPr>
        <w:pStyle w:val="13"/>
        <w:tabs>
          <w:tab w:val="right" w:leader="dot" w:pos="8312"/>
        </w:tabs>
        <w:spacing w:line="480" w:lineRule="auto"/>
        <w:rPr>
          <w:rFonts w:hint="eastAsia" w:ascii="仿宋" w:hAnsi="仿宋" w:eastAsia="仿宋" w:cs="仿宋"/>
          <w:b/>
          <w:bCs/>
          <w:sz w:val="22"/>
          <w:szCs w:val="22"/>
        </w:rPr>
      </w:pPr>
      <w:r>
        <w:rPr>
          <w:rFonts w:hint="eastAsia" w:ascii="仿宋" w:hAnsi="仿宋" w:eastAsia="仿宋" w:cs="仿宋"/>
          <w:b/>
          <w:bCs/>
          <w:color w:val="auto"/>
          <w:sz w:val="22"/>
          <w:szCs w:val="22"/>
          <w:highlight w:val="none"/>
        </w:rPr>
        <w:fldChar w:fldCharType="begin"/>
      </w:r>
      <w:r>
        <w:rPr>
          <w:rFonts w:hint="eastAsia" w:ascii="仿宋" w:hAnsi="仿宋" w:eastAsia="仿宋" w:cs="仿宋"/>
          <w:b/>
          <w:bCs/>
          <w:sz w:val="22"/>
          <w:szCs w:val="22"/>
          <w:highlight w:val="none"/>
        </w:rPr>
        <w:instrText xml:space="preserve"> HYPERLINK \l _Toc2727 </w:instrText>
      </w:r>
      <w:r>
        <w:rPr>
          <w:rFonts w:hint="eastAsia" w:ascii="仿宋" w:hAnsi="仿宋" w:eastAsia="仿宋" w:cs="仿宋"/>
          <w:b/>
          <w:bCs/>
          <w:sz w:val="22"/>
          <w:szCs w:val="22"/>
          <w:highlight w:val="none"/>
        </w:rPr>
        <w:fldChar w:fldCharType="separate"/>
      </w:r>
      <w:r>
        <w:rPr>
          <w:rFonts w:hint="eastAsia" w:ascii="仿宋" w:hAnsi="仿宋" w:eastAsia="仿宋" w:cs="仿宋"/>
          <w:b/>
          <w:bCs/>
          <w:sz w:val="22"/>
          <w:szCs w:val="22"/>
          <w:highlight w:val="none"/>
        </w:rPr>
        <w:t xml:space="preserve">第六部分   </w:t>
      </w:r>
      <w:r>
        <w:rPr>
          <w:rFonts w:hint="eastAsia" w:ascii="仿宋" w:hAnsi="仿宋" w:eastAsia="仿宋" w:cs="仿宋"/>
          <w:b/>
          <w:bCs/>
          <w:sz w:val="22"/>
          <w:szCs w:val="22"/>
          <w:highlight w:val="none"/>
          <w:lang w:val="en-US" w:eastAsia="zh-CN"/>
        </w:rPr>
        <w:t>投标</w:t>
      </w:r>
      <w:r>
        <w:rPr>
          <w:rFonts w:hint="eastAsia" w:ascii="仿宋" w:hAnsi="仿宋" w:eastAsia="仿宋" w:cs="仿宋"/>
          <w:b/>
          <w:bCs/>
          <w:sz w:val="22"/>
          <w:szCs w:val="22"/>
          <w:highlight w:val="none"/>
        </w:rPr>
        <w:t>文件格式</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_Toc2727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81</w:t>
      </w:r>
      <w:r>
        <w:rPr>
          <w:rFonts w:hint="eastAsia" w:ascii="仿宋" w:hAnsi="仿宋" w:eastAsia="仿宋" w:cs="仿宋"/>
          <w:b/>
          <w:bCs/>
          <w:sz w:val="22"/>
          <w:szCs w:val="22"/>
        </w:rPr>
        <w:fldChar w:fldCharType="end"/>
      </w:r>
      <w:r>
        <w:rPr>
          <w:rFonts w:hint="eastAsia" w:ascii="仿宋" w:hAnsi="仿宋" w:eastAsia="仿宋" w:cs="仿宋"/>
          <w:b/>
          <w:bCs/>
          <w:color w:val="auto"/>
          <w:sz w:val="22"/>
          <w:szCs w:val="22"/>
          <w:highlight w:val="none"/>
        </w:rPr>
        <w:fldChar w:fldCharType="end"/>
      </w:r>
    </w:p>
    <w:p>
      <w:pPr>
        <w:pStyle w:val="13"/>
        <w:tabs>
          <w:tab w:val="right" w:leader="dot" w:pos="8312"/>
        </w:tabs>
        <w:spacing w:line="480" w:lineRule="auto"/>
        <w:rPr>
          <w:rFonts w:hint="eastAsia" w:ascii="仿宋" w:hAnsi="仿宋" w:eastAsia="仿宋" w:cs="仿宋"/>
          <w:color w:val="auto"/>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bCs/>
          <w:color w:val="auto"/>
          <w:sz w:val="22"/>
          <w:szCs w:val="22"/>
          <w:highlight w:val="none"/>
        </w:rPr>
        <w:fldChar w:fldCharType="end"/>
      </w:r>
    </w:p>
    <w:p>
      <w:pPr>
        <w:pStyle w:val="17"/>
        <w:rPr>
          <w:rFonts w:hint="eastAsia"/>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bookmarkStart w:id="2" w:name="_Toc21323"/>
      <w:bookmarkStart w:id="3" w:name="_Toc16138"/>
      <w:r>
        <w:rPr>
          <w:rFonts w:hint="eastAsia" w:ascii="仿宋" w:hAnsi="仿宋" w:eastAsia="仿宋" w:cs="仿宋"/>
          <w:b/>
          <w:color w:val="auto"/>
          <w:sz w:val="36"/>
          <w:highlight w:val="none"/>
        </w:rPr>
        <w:t>第一部分   招标公告</w:t>
      </w:r>
      <w:bookmarkEnd w:id="2"/>
      <w:bookmarkEnd w:id="3"/>
    </w:p>
    <w:tbl>
      <w:tblPr>
        <w:tblStyle w:val="20"/>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840" w:type="dxa"/>
            <w:noWrap w:val="0"/>
            <w:vAlign w:val="top"/>
          </w:tcPr>
          <w:p>
            <w:pPr>
              <w:pStyle w:val="16"/>
              <w:keepNext w:val="0"/>
              <w:keepLines w:val="0"/>
              <w:widowControl/>
              <w:suppressLineNumbers w:val="0"/>
              <w:spacing w:before="75" w:beforeAutospacing="0" w:after="75" w:afterAutospacing="0"/>
              <w:ind w:right="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4"/>
                <w:szCs w:val="24"/>
                <w:highlight w:val="none"/>
              </w:rPr>
              <w:t>项目概况</w:t>
            </w:r>
          </w:p>
          <w:p>
            <w:pPr>
              <w:pStyle w:val="7"/>
              <w:spacing w:line="360" w:lineRule="auto"/>
              <w:ind w:left="0" w:leftChars="0" w:firstLine="480" w:firstLineChars="200"/>
              <w:jc w:val="both"/>
              <w:rPr>
                <w:rFonts w:hint="eastAsia" w:ascii="仿宋" w:hAnsi="仿宋" w:eastAsia="仿宋" w:cs="仿宋"/>
                <w:i w:val="0"/>
                <w:iCs w:val="0"/>
                <w:caps w:val="0"/>
                <w:color w:val="auto"/>
                <w:spacing w:val="0"/>
                <w:sz w:val="24"/>
                <w:szCs w:val="24"/>
                <w:highlight w:val="none"/>
                <w:vertAlign w:val="baseline"/>
              </w:rPr>
            </w:pPr>
            <w:r>
              <w:rPr>
                <w:rFonts w:hint="eastAsia" w:ascii="仿宋" w:hAnsi="仿宋" w:eastAsia="仿宋" w:cs="仿宋"/>
                <w:i w:val="0"/>
                <w:iCs w:val="0"/>
                <w:caps w:val="0"/>
                <w:color w:val="auto"/>
                <w:spacing w:val="0"/>
                <w:sz w:val="24"/>
                <w:szCs w:val="24"/>
                <w:highlight w:val="none"/>
                <w:lang w:val="en-US" w:eastAsia="zh-CN"/>
              </w:rPr>
              <w:t>第三师总医院（一期）医疗设施设备购置项目（第二包）（标项10）</w:t>
            </w:r>
            <w:r>
              <w:rPr>
                <w:rFonts w:hint="eastAsia" w:ascii="仿宋" w:hAnsi="仿宋" w:eastAsia="仿宋" w:cs="仿宋"/>
                <w:i w:val="0"/>
                <w:iCs w:val="0"/>
                <w:caps w:val="0"/>
                <w:color w:val="auto"/>
                <w:spacing w:val="0"/>
                <w:sz w:val="24"/>
                <w:szCs w:val="24"/>
                <w:highlight w:val="none"/>
              </w:rPr>
              <w:t>的潜在</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登陆政采云平台http://www.zcygov.cn/获取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，并于2022年</w:t>
            </w:r>
            <w:r>
              <w:rPr>
                <w:rFonts w:hint="eastAsia" w:ascii="仿宋" w:hAnsi="仿宋" w:eastAsia="仿宋" w:cs="仿宋"/>
                <w:i w:val="0"/>
                <w:iCs w:val="0"/>
                <w:caps w:val="0"/>
                <w:color w:val="auto"/>
                <w:spacing w:val="0"/>
                <w:sz w:val="24"/>
                <w:szCs w:val="24"/>
                <w:highlight w:val="none"/>
                <w:lang w:val="en-US" w:eastAsia="zh-CN"/>
              </w:rPr>
              <w:t>12月30日</w:t>
            </w:r>
            <w:r>
              <w:rPr>
                <w:rFonts w:hint="eastAsia" w:ascii="仿宋" w:hAnsi="仿宋" w:eastAsia="仿宋" w:cs="仿宋"/>
                <w:i w:val="0"/>
                <w:iCs w:val="0"/>
                <w:caps w:val="0"/>
                <w:color w:val="auto"/>
                <w:spacing w:val="0"/>
                <w:sz w:val="24"/>
                <w:szCs w:val="24"/>
                <w:highlight w:val="none"/>
              </w:rPr>
              <w:t>11:00（北京时间）前</w:t>
            </w:r>
            <w:r>
              <w:rPr>
                <w:rFonts w:hint="eastAsia" w:ascii="仿宋" w:hAnsi="仿宋" w:eastAsia="仿宋" w:cs="仿宋"/>
                <w:i w:val="0"/>
                <w:iCs w:val="0"/>
                <w:caps w:val="0"/>
                <w:color w:val="auto"/>
                <w:spacing w:val="0"/>
                <w:sz w:val="24"/>
                <w:szCs w:val="24"/>
                <w:highlight w:val="none"/>
                <w:lang w:val="en-US" w:eastAsia="zh-CN"/>
              </w:rPr>
              <w:t>递</w:t>
            </w:r>
            <w:r>
              <w:rPr>
                <w:rFonts w:hint="eastAsia" w:ascii="仿宋" w:hAnsi="仿宋" w:eastAsia="仿宋" w:cs="仿宋"/>
                <w:i w:val="0"/>
                <w:iCs w:val="0"/>
                <w:caps w:val="0"/>
                <w:color w:val="auto"/>
                <w:spacing w:val="0"/>
                <w:sz w:val="24"/>
                <w:szCs w:val="24"/>
                <w:highlight w:val="none"/>
              </w:rPr>
              <w:t>交</w:t>
            </w:r>
            <w:r>
              <w:rPr>
                <w:rFonts w:hint="eastAsia" w:ascii="仿宋" w:hAnsi="仿宋" w:eastAsia="仿宋" w:cs="仿宋"/>
                <w:i w:val="0"/>
                <w:iCs w:val="0"/>
                <w:caps w:val="0"/>
                <w:color w:val="auto"/>
                <w:spacing w:val="0"/>
                <w:sz w:val="24"/>
                <w:szCs w:val="24"/>
                <w:highlight w:val="none"/>
                <w:lang w:val="en-US" w:eastAsia="zh-CN"/>
              </w:rPr>
              <w:t>投标</w:t>
            </w:r>
            <w:r>
              <w:rPr>
                <w:rFonts w:hint="eastAsia" w:ascii="仿宋" w:hAnsi="仿宋" w:eastAsia="仿宋" w:cs="仿宋"/>
                <w:i w:val="0"/>
                <w:iCs w:val="0"/>
                <w:caps w:val="0"/>
                <w:color w:val="auto"/>
                <w:spacing w:val="0"/>
                <w:sz w:val="24"/>
                <w:szCs w:val="24"/>
                <w:highlight w:val="none"/>
              </w:rPr>
              <w:t>文件。   </w:t>
            </w:r>
          </w:p>
        </w:tc>
      </w:tr>
    </w:tbl>
    <w:p>
      <w:pPr>
        <w:pStyle w:val="16"/>
        <w:keepNext w:val="0"/>
        <w:keepLines w:val="0"/>
        <w:widowControl/>
        <w:suppressLineNumbers w:val="0"/>
        <w:spacing w:before="75" w:beforeAutospacing="0" w:after="75" w:afterAutospacing="0"/>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p>
    <w:p>
      <w:pPr>
        <w:pStyle w:val="16"/>
        <w:keepNext w:val="0"/>
        <w:keepLines w:val="0"/>
        <w:widowControl/>
        <w:numPr>
          <w:ilvl w:val="0"/>
          <w:numId w:val="3"/>
        </w:numPr>
        <w:suppressLineNumbers w:val="0"/>
        <w:spacing w:before="255" w:beforeAutospacing="0" w:after="255" w:afterAutospacing="0" w:line="450" w:lineRule="atLeast"/>
        <w:ind w:left="0" w:right="0" w:firstLine="0"/>
        <w:jc w:val="both"/>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项目基本情况</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"https://pay.zcygov.cn/purchaseplan_front/" \l "/plan/list/detail?id=1000000000009477250&amp;encrypt=dfab28d2a98beac5ff5b5fdacab170bb" \t "https://www.zcygov.cn/project-center/purchasePlans/_blank"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B3S[2022]1163号</w:t>
      </w:r>
      <w:r>
        <w:rPr>
          <w:rFonts w:hint="eastAsia" w:ascii="仿宋" w:hAnsi="仿宋" w:eastAsia="仿宋" w:cs="仿宋"/>
          <w:color w:val="auto"/>
          <w:sz w:val="24"/>
          <w:szCs w:val="24"/>
          <w:highlight w:val="none"/>
          <w:lang w:val="en-US" w:eastAsia="zh-CN"/>
        </w:rPr>
        <w:fldChar w:fldCharType="end"/>
      </w:r>
    </w:p>
    <w:p>
      <w:pPr>
        <w:pStyle w:val="16"/>
        <w:keepNext w:val="0"/>
        <w:keepLines w:val="0"/>
        <w:widowControl/>
        <w:suppressLineNumbers w:val="0"/>
        <w:spacing w:before="75" w:beforeAutospacing="0" w:after="75" w:afterAutospacing="0" w:line="300" w:lineRule="atLeast"/>
        <w:ind w:left="239" w:leftChars="114"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项目名称：第三师总医院（一期）医疗设施设备购置项目（第二包）（标项10）</w:t>
      </w:r>
    </w:p>
    <w:p>
      <w:pPr>
        <w:pStyle w:val="16"/>
        <w:keepNext w:val="0"/>
        <w:keepLines w:val="0"/>
        <w:widowControl/>
        <w:suppressLineNumbers w:val="0"/>
        <w:spacing w:before="75" w:beforeAutospacing="0" w:after="75" w:afterAutospacing="0" w:line="300" w:lineRule="atLeast"/>
        <w:ind w:left="239" w:leftChars="114" w:right="0" w:firstLine="0" w:firstLineChars="0"/>
        <w:jc w:val="left"/>
        <w:rPr>
          <w:rFonts w:hint="default" w:ascii="宋体" w:hAnsi="宋体" w:eastAsia="宋体" w:cs="宋体"/>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预算金额（元）：5090000.00</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5090000.00</w:t>
      </w:r>
    </w:p>
    <w:p>
      <w:pPr>
        <w:pStyle w:val="16"/>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rPr>
        <w:t>采购需求：</w:t>
      </w:r>
      <w:r>
        <w:rPr>
          <w:rFonts w:hint="eastAsia" w:ascii="仿宋" w:hAnsi="仿宋" w:eastAsia="仿宋" w:cs="仿宋"/>
          <w:color w:val="auto"/>
          <w:sz w:val="24"/>
          <w:szCs w:val="24"/>
          <w:highlight w:val="none"/>
          <w:lang w:val="en-US" w:eastAsia="zh-CN"/>
        </w:rPr>
        <w:t>第三师总医院（一期）医疗设施设备购置项目（第二包）（标项10），</w:t>
      </w:r>
      <w:r>
        <w:rPr>
          <w:rFonts w:hint="eastAsia" w:ascii="仿宋" w:hAnsi="仿宋" w:eastAsia="仿宋" w:cs="仿宋"/>
          <w:i w:val="0"/>
          <w:iCs w:val="0"/>
          <w:caps w:val="0"/>
          <w:color w:val="auto"/>
          <w:spacing w:val="0"/>
          <w:sz w:val="24"/>
          <w:szCs w:val="24"/>
          <w:highlight w:val="none"/>
          <w:lang w:val="en-US" w:eastAsia="zh-CN"/>
        </w:rPr>
        <w:t>具体</w:t>
      </w:r>
      <w:r>
        <w:rPr>
          <w:rFonts w:hint="eastAsia" w:ascii="仿宋" w:hAnsi="仿宋" w:eastAsia="仿宋" w:cs="仿宋"/>
          <w:i w:val="0"/>
          <w:iCs w:val="0"/>
          <w:caps w:val="0"/>
          <w:color w:val="auto"/>
          <w:spacing w:val="0"/>
          <w:sz w:val="24"/>
          <w:szCs w:val="24"/>
          <w:highlight w:val="none"/>
          <w:lang w:eastAsia="zh-CN"/>
        </w:rPr>
        <w:t>详见招标文件第三部分“采购需求”。</w:t>
      </w:r>
    </w:p>
    <w:p>
      <w:pPr>
        <w:pStyle w:val="16"/>
        <w:keepNext w:val="0"/>
        <w:keepLines w:val="0"/>
        <w:widowControl/>
        <w:suppressLineNumbers w:val="0"/>
        <w:spacing w:before="75" w:beforeAutospacing="0" w:after="75" w:afterAutospacing="0" w:line="300" w:lineRule="atLeast"/>
        <w:ind w:left="480" w:right="0" w:hanging="480" w:hangingChars="20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   </w:t>
      </w:r>
      <w:r>
        <w:rPr>
          <w:rFonts w:hint="eastAsia" w:ascii="仿宋" w:hAnsi="仿宋" w:eastAsia="仿宋" w:cs="仿宋"/>
          <w:i w:val="0"/>
          <w:iCs w:val="0"/>
          <w:caps w:val="0"/>
          <w:color w:val="auto"/>
          <w:spacing w:val="0"/>
          <w:sz w:val="24"/>
          <w:szCs w:val="24"/>
          <w:highlight w:val="none"/>
        </w:rPr>
        <w:t>合同履</w:t>
      </w:r>
      <w:r>
        <w:rPr>
          <w:rFonts w:hint="eastAsia" w:ascii="仿宋" w:hAnsi="仿宋" w:eastAsia="仿宋" w:cs="仿宋"/>
          <w:i w:val="0"/>
          <w:iCs w:val="0"/>
          <w:caps w:val="0"/>
          <w:color w:val="auto"/>
          <w:spacing w:val="0"/>
          <w:sz w:val="24"/>
          <w:szCs w:val="24"/>
          <w:highlight w:val="none"/>
          <w:lang w:val="en-US" w:eastAsia="zh-CN"/>
        </w:rPr>
        <w:t>行</w:t>
      </w:r>
      <w:r>
        <w:rPr>
          <w:rFonts w:hint="eastAsia" w:ascii="仿宋" w:hAnsi="仿宋" w:eastAsia="仿宋" w:cs="仿宋"/>
          <w:i w:val="0"/>
          <w:iCs w:val="0"/>
          <w:caps w:val="0"/>
          <w:color w:val="auto"/>
          <w:spacing w:val="0"/>
          <w:sz w:val="24"/>
          <w:szCs w:val="24"/>
          <w:highlight w:val="none"/>
        </w:rPr>
        <w:t>期限：</w:t>
      </w:r>
      <w:r>
        <w:rPr>
          <w:rFonts w:hint="eastAsia" w:ascii="仿宋" w:hAnsi="仿宋" w:eastAsia="仿宋" w:cs="仿宋"/>
          <w:color w:val="auto"/>
          <w:sz w:val="24"/>
          <w:szCs w:val="24"/>
          <w:highlight w:val="none"/>
          <w:lang w:val="en-US" w:eastAsia="zh-CN"/>
        </w:rPr>
        <w:t>自合同签订之日起30日内完成安装验收调试。</w:t>
      </w:r>
    </w:p>
    <w:p>
      <w:pPr>
        <w:pStyle w:val="16"/>
        <w:keepNext w:val="0"/>
        <w:keepLines w:val="0"/>
        <w:widowControl/>
        <w:suppressLineNumbers w:val="0"/>
        <w:spacing w:before="75" w:beforeAutospacing="0" w:after="75" w:afterAutospacing="0" w:line="300" w:lineRule="atLeast"/>
        <w:ind w:right="0" w:firstLine="240" w:firstLineChars="1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本项目</w:t>
      </w:r>
      <w:r>
        <w:rPr>
          <w:rFonts w:hint="eastAsia" w:ascii="仿宋" w:hAnsi="仿宋" w:eastAsia="仿宋" w:cs="仿宋"/>
          <w:i w:val="0"/>
          <w:iCs w:val="0"/>
          <w:caps w:val="0"/>
          <w:color w:val="auto"/>
          <w:spacing w:val="0"/>
          <w:sz w:val="24"/>
          <w:szCs w:val="24"/>
          <w:highlight w:val="none"/>
          <w:lang w:val="en-US" w:eastAsia="zh-CN"/>
        </w:rPr>
        <w:t>是否</w:t>
      </w:r>
      <w:r>
        <w:rPr>
          <w:rFonts w:hint="eastAsia" w:ascii="仿宋" w:hAnsi="仿宋" w:eastAsia="仿宋" w:cs="仿宋"/>
          <w:i w:val="0"/>
          <w:iCs w:val="0"/>
          <w:caps w:val="0"/>
          <w:color w:val="auto"/>
          <w:spacing w:val="0"/>
          <w:sz w:val="24"/>
          <w:szCs w:val="24"/>
          <w:highlight w:val="none"/>
        </w:rPr>
        <w:t>接受联合体投标</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否。</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二、申请人的资格要求：</w:t>
      </w:r>
    </w:p>
    <w:p>
      <w:pPr>
        <w:pStyle w:val="24"/>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1.满足</w:t>
      </w:r>
      <w:r>
        <w:rPr>
          <w:rFonts w:hint="eastAsia" w:ascii="仿宋" w:hAnsi="仿宋" w:eastAsia="仿宋" w:cs="仿宋"/>
          <w:color w:val="auto"/>
          <w:sz w:val="24"/>
          <w:highlight w:val="none"/>
        </w:rPr>
        <w:t>《政府采购法》第二十二条规定</w:t>
      </w:r>
      <w:r>
        <w:rPr>
          <w:rFonts w:hint="eastAsia" w:ascii="仿宋" w:hAnsi="仿宋" w:eastAsia="仿宋" w:cs="仿宋"/>
          <w:color w:val="auto"/>
          <w:sz w:val="24"/>
          <w:highlight w:val="none"/>
          <w:lang w:eastAsia="zh-CN"/>
        </w:rPr>
        <w:t>：</w:t>
      </w:r>
    </w:p>
    <w:p>
      <w:pPr>
        <w:pStyle w:val="27"/>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w:t>
      </w:r>
    </w:p>
    <w:p>
      <w:pPr>
        <w:pStyle w:val="95"/>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9"/>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bookmarkStart w:id="4" w:name="_Toc25509"/>
      <w:bookmarkStart w:id="5" w:name="_Toc9637"/>
      <w:bookmarkStart w:id="6" w:name="_Toc81083658"/>
      <w:bookmarkStart w:id="7" w:name="_Toc27686"/>
      <w:bookmarkStart w:id="8" w:name="_Toc13091"/>
      <w:r>
        <w:rPr>
          <w:rFonts w:hint="eastAsia" w:ascii="仿宋" w:hAnsi="仿宋" w:eastAsia="仿宋" w:cs="仿宋"/>
          <w:b w:val="0"/>
          <w:color w:val="auto"/>
          <w:kern w:val="2"/>
          <w:sz w:val="24"/>
          <w:szCs w:val="24"/>
          <w:highlight w:val="none"/>
          <w:lang w:val="en-US" w:eastAsia="zh-CN" w:bidi="ar-SA"/>
        </w:rPr>
        <w:t>（</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bookmarkEnd w:id="4"/>
      <w:bookmarkEnd w:id="5"/>
      <w:bookmarkEnd w:id="6"/>
      <w:bookmarkEnd w:id="7"/>
      <w:bookmarkEnd w:id="8"/>
      <w:r>
        <w:rPr>
          <w:rFonts w:hint="eastAsia" w:ascii="仿宋" w:hAnsi="仿宋" w:eastAsia="仿宋" w:cs="仿宋"/>
          <w:b w:val="0"/>
          <w:color w:val="auto"/>
          <w:kern w:val="2"/>
          <w:sz w:val="24"/>
          <w:szCs w:val="24"/>
          <w:highlight w:val="none"/>
          <w:lang w:val="en-US" w:eastAsia="zh-CN" w:bidi="ar-SA"/>
        </w:rPr>
        <w:t>）</w:t>
      </w:r>
    </w:p>
    <w:p>
      <w:pPr>
        <w:pStyle w:val="27"/>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27"/>
        <w:widowControl/>
        <w:spacing w:line="288" w:lineRule="auto"/>
        <w:ind w:firstLine="240" w:firstLineChars="100"/>
        <w:jc w:val="left"/>
        <w:rPr>
          <w:rFonts w:hint="eastAsia" w:ascii="仿宋" w:hAnsi="仿宋" w:eastAsia="仿宋" w:cs="仿宋"/>
          <w:color w:val="auto"/>
          <w:sz w:val="24"/>
          <w:szCs w:val="24"/>
          <w:highlight w:val="none"/>
          <w:lang w:eastAsia="zh-CN"/>
        </w:rPr>
      </w:pPr>
    </w:p>
    <w:p>
      <w:pPr>
        <w:pStyle w:val="27"/>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具有履行合同所必需的设备和专业技术能力，投标人须提供相关资料或书面声明（格式可自拟）。</w:t>
      </w:r>
    </w:p>
    <w:p>
      <w:pPr>
        <w:pStyle w:val="27"/>
        <w:widowControl/>
        <w:spacing w:line="288"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4）有依法缴纳税收和社会保障资金的良好记录</w:t>
      </w:r>
    </w:p>
    <w:p>
      <w:pPr>
        <w:pStyle w:val="27"/>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提供（递交投标文件截止时间前）近 6 个月内的缴纳税收的凭据证明材料扫描件以及缴纳社会保险的凭据证明材料扫描件；</w:t>
      </w:r>
    </w:p>
    <w:p>
      <w:pPr>
        <w:pStyle w:val="27"/>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如依法免税或依法不需要缴纳社会保障资金的，应提供的相应文件证明其依法免税或依法不需要缴纳社会保障资金。</w:t>
      </w:r>
    </w:p>
    <w:p>
      <w:pPr>
        <w:pStyle w:val="27"/>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7"/>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投标人参加政府采购活动前3年内在经营活动中没有重大违法记录的书面声明（</w:t>
      </w:r>
      <w:r>
        <w:rPr>
          <w:rFonts w:hint="eastAsia" w:ascii="仿宋" w:hAnsi="仿宋" w:eastAsia="仿宋" w:cs="仿宋"/>
          <w:color w:val="auto"/>
          <w:sz w:val="24"/>
          <w:szCs w:val="24"/>
          <w:highlight w:val="none"/>
          <w:lang w:eastAsia="zh-CN"/>
        </w:rPr>
        <w:t>格式可自拟</w:t>
      </w:r>
      <w:r>
        <w:rPr>
          <w:rFonts w:hint="eastAsia" w:ascii="仿宋" w:hAnsi="仿宋" w:eastAsia="仿宋" w:cs="仿宋"/>
          <w:color w:val="auto"/>
          <w:sz w:val="24"/>
          <w:szCs w:val="24"/>
          <w:highlight w:val="none"/>
        </w:rPr>
        <w:t>）；</w:t>
      </w:r>
    </w:p>
    <w:p>
      <w:pPr>
        <w:pStyle w:val="27"/>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投标人必须为前三年内（</w:t>
      </w:r>
      <w:r>
        <w:rPr>
          <w:rFonts w:hint="eastAsia" w:ascii="仿宋" w:hAnsi="仿宋" w:eastAsia="仿宋" w:cs="仿宋"/>
          <w:color w:val="auto"/>
          <w:sz w:val="24"/>
          <w:szCs w:val="24"/>
          <w:highlight w:val="none"/>
          <w:lang w:eastAsia="zh-CN"/>
        </w:rPr>
        <w:t>2019年1月1日</w:t>
      </w:r>
      <w:r>
        <w:rPr>
          <w:rFonts w:hint="eastAsia" w:ascii="仿宋" w:hAnsi="仿宋" w:eastAsia="仿宋" w:cs="仿宋"/>
          <w:color w:val="auto"/>
          <w:sz w:val="24"/>
          <w:szCs w:val="24"/>
          <w:highlight w:val="none"/>
        </w:rPr>
        <w:t>至投标截止时间未被列入“信用中国”网站（www.creditchina.gov.cn）、中国政府采购网（www.ccgp.gov.cn）信用记录失信被执行人、税收违法黑名单、政府采购严重违法失信行为记录名单的；（</w:t>
      </w:r>
      <w:r>
        <w:rPr>
          <w:rFonts w:hint="eastAsia" w:ascii="仿宋" w:hAnsi="仿宋" w:eastAsia="仿宋" w:cs="仿宋"/>
          <w:color w:val="auto"/>
          <w:sz w:val="24"/>
          <w:szCs w:val="24"/>
          <w:highlight w:val="none"/>
          <w:lang w:eastAsia="zh-CN"/>
        </w:rPr>
        <w:t>查询的结果以采购人或采购代理机构</w:t>
      </w:r>
      <w:r>
        <w:rPr>
          <w:rFonts w:hint="eastAsia" w:ascii="仿宋" w:hAnsi="仿宋" w:eastAsia="仿宋" w:cs="仿宋"/>
          <w:color w:val="auto"/>
          <w:sz w:val="24"/>
          <w:szCs w:val="24"/>
          <w:highlight w:val="none"/>
        </w:rPr>
        <w:t xml:space="preserve">开标当日查询记录为准）。  </w:t>
      </w:r>
    </w:p>
    <w:p>
      <w:pPr>
        <w:pStyle w:val="27"/>
        <w:widowControl/>
        <w:spacing w:line="288" w:lineRule="auto"/>
        <w:ind w:firstLine="480" w:firstLineChars="200"/>
        <w:jc w:val="left"/>
        <w:rPr>
          <w:rFonts w:hint="eastAsia" w:ascii="仿宋" w:hAnsi="仿宋" w:eastAsia="仿宋" w:cs="仿宋"/>
          <w:b/>
          <w:bCs/>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lang w:val="en-US" w:eastAsia="zh-CN"/>
        </w:rPr>
        <w:t>无（本项目为非专门面向中小企业采购的项目）。</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3.本项目的特定资格要求：投标人应符合《医疗器械经营监督管理办法》、《医疗器械生产监督管理办法》的规定：</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7"/>
        <w:widowControl/>
        <w:spacing w:line="288"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以上所有证件必须在有效期内，否则资格性审查不通过。</w:t>
      </w:r>
    </w:p>
    <w:p>
      <w:pPr>
        <w:pStyle w:val="35"/>
        <w:rPr>
          <w:rFonts w:hint="eastAsia"/>
          <w:color w:val="auto"/>
          <w:highlight w:val="none"/>
        </w:rPr>
      </w:pPr>
    </w:p>
    <w:p>
      <w:pPr>
        <w:pStyle w:val="16"/>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三、获取</w:t>
      </w:r>
      <w:r>
        <w:rPr>
          <w:rStyle w:val="22"/>
          <w:rFonts w:hint="eastAsia" w:ascii="仿宋" w:hAnsi="仿宋" w:eastAsia="仿宋" w:cs="仿宋"/>
          <w:i w:val="0"/>
          <w:iCs w:val="0"/>
          <w:caps w:val="0"/>
          <w:color w:val="auto"/>
          <w:spacing w:val="0"/>
          <w:sz w:val="24"/>
          <w:szCs w:val="24"/>
          <w:highlight w:val="none"/>
          <w:lang w:val="en-US" w:eastAsia="zh-CN"/>
        </w:rPr>
        <w:t>招标</w:t>
      </w:r>
      <w:r>
        <w:rPr>
          <w:rStyle w:val="22"/>
          <w:rFonts w:hint="eastAsia" w:ascii="仿宋" w:hAnsi="仿宋" w:eastAsia="仿宋" w:cs="仿宋"/>
          <w:i w:val="0"/>
          <w:iCs w:val="0"/>
          <w:caps w:val="0"/>
          <w:color w:val="auto"/>
          <w:spacing w:val="0"/>
          <w:sz w:val="24"/>
          <w:szCs w:val="24"/>
          <w:highlight w:val="none"/>
        </w:rPr>
        <w:t>文件</w:t>
      </w:r>
    </w:p>
    <w:p>
      <w:pPr>
        <w:pStyle w:val="16"/>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10</w:t>
      </w:r>
      <w:r>
        <w:rPr>
          <w:rFonts w:hint="eastAsia" w:ascii="仿宋" w:hAnsi="仿宋" w:eastAsia="仿宋" w:cs="仿宋"/>
          <w:i w:val="0"/>
          <w:iCs w:val="0"/>
          <w:caps w:val="0"/>
          <w:color w:val="auto"/>
          <w:spacing w:val="0"/>
          <w:sz w:val="24"/>
          <w:szCs w:val="24"/>
          <w:highlight w:val="none"/>
          <w:u w:val="none"/>
        </w:rPr>
        <w:t>日至2022年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16</w:t>
      </w:r>
      <w:r>
        <w:rPr>
          <w:rFonts w:hint="eastAsia" w:ascii="仿宋" w:hAnsi="仿宋" w:eastAsia="仿宋" w:cs="仿宋"/>
          <w:i w:val="0"/>
          <w:iCs w:val="0"/>
          <w:caps w:val="0"/>
          <w:color w:val="auto"/>
          <w:spacing w:val="0"/>
          <w:sz w:val="24"/>
          <w:szCs w:val="24"/>
          <w:highlight w:val="none"/>
          <w:u w:val="none"/>
        </w:rPr>
        <w:t>日，每天上午00:00至12:00，下午12:00至00:00（北京时间，法定节假日除</w:t>
      </w:r>
      <w:r>
        <w:rPr>
          <w:rFonts w:hint="eastAsia" w:ascii="仿宋" w:hAnsi="仿宋" w:eastAsia="仿宋" w:cs="仿宋"/>
          <w:i w:val="0"/>
          <w:iCs w:val="0"/>
          <w:caps w:val="0"/>
          <w:color w:val="auto"/>
          <w:spacing w:val="0"/>
          <w:sz w:val="24"/>
          <w:szCs w:val="24"/>
          <w:highlight w:val="none"/>
          <w:u w:val="none"/>
          <w:lang w:val="en-US" w:eastAsia="zh-CN"/>
        </w:rPr>
        <w:t>外）</w:t>
      </w:r>
    </w:p>
    <w:p>
      <w:pPr>
        <w:pStyle w:val="16"/>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地点：登陆政采云平台http://www.zcygov.cn/在线申请获取  </w:t>
      </w:r>
    </w:p>
    <w:p>
      <w:pPr>
        <w:pStyle w:val="16"/>
        <w:keepNext w:val="0"/>
        <w:keepLines w:val="0"/>
        <w:widowControl/>
        <w:suppressLineNumbers w:val="0"/>
        <w:spacing w:before="75" w:beforeAutospacing="0" w:after="75" w:afterAutospacing="0" w:line="300" w:lineRule="atLeast"/>
        <w:ind w:left="0" w:right="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（进入“项目采购”应用，在获取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菜单中选择项目，申请获取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 </w:t>
      </w:r>
    </w:p>
    <w:p>
      <w:pPr>
        <w:pStyle w:val="16"/>
        <w:keepNext w:val="0"/>
        <w:keepLines w:val="0"/>
        <w:widowControl/>
        <w:suppressLineNumbers w:val="0"/>
        <w:spacing w:before="75" w:beforeAutospacing="0" w:after="75" w:afterAutospacing="0" w:line="300" w:lineRule="atLeast"/>
        <w:ind w:left="0" w:right="0" w:firstLine="373"/>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售价：</w:t>
      </w:r>
      <w:r>
        <w:rPr>
          <w:rFonts w:hint="eastAsia" w:ascii="仿宋" w:hAnsi="仿宋" w:eastAsia="仿宋" w:cs="仿宋"/>
          <w:i w:val="0"/>
          <w:iCs w:val="0"/>
          <w:caps w:val="0"/>
          <w:color w:val="auto"/>
          <w:spacing w:val="0"/>
          <w:sz w:val="24"/>
          <w:szCs w:val="24"/>
          <w:highlight w:val="none"/>
          <w:lang w:val="en-US" w:eastAsia="zh-CN"/>
        </w:rPr>
        <w:t>0元</w:t>
      </w:r>
    </w:p>
    <w:p>
      <w:pPr>
        <w:pStyle w:val="16"/>
        <w:keepNext w:val="0"/>
        <w:keepLines w:val="0"/>
        <w:widowControl/>
        <w:numPr>
          <w:ilvl w:val="0"/>
          <w:numId w:val="4"/>
        </w:numPr>
        <w:suppressLineNumbers w:val="0"/>
        <w:spacing w:before="75" w:beforeAutospacing="0" w:after="75" w:afterAutospacing="0" w:line="300" w:lineRule="atLeast"/>
        <w:ind w:left="0" w:right="0"/>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rPr>
        <w:t>提交投标文件截止时间、开标时间和地点</w:t>
      </w:r>
    </w:p>
    <w:p>
      <w:pPr>
        <w:pStyle w:val="16"/>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2022年12月30日 11:00</w:t>
      </w:r>
      <w:r>
        <w:rPr>
          <w:rFonts w:hint="eastAsia" w:ascii="仿宋" w:hAnsi="仿宋" w:eastAsia="仿宋" w:cs="仿宋"/>
          <w:i w:val="0"/>
          <w:iCs w:val="0"/>
          <w:caps w:val="0"/>
          <w:color w:val="auto"/>
          <w:spacing w:val="0"/>
          <w:sz w:val="24"/>
          <w:szCs w:val="24"/>
          <w:highlight w:val="none"/>
        </w:rPr>
        <w:t>（北京时间）</w:t>
      </w:r>
    </w:p>
    <w:p>
      <w:pPr>
        <w:pStyle w:val="16"/>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i w:val="0"/>
          <w:iCs w:val="0"/>
          <w:caps w:val="0"/>
          <w:color w:val="auto"/>
          <w:spacing w:val="0"/>
          <w:kern w:val="0"/>
          <w:sz w:val="24"/>
          <w:szCs w:val="24"/>
          <w:highlight w:val="none"/>
          <w:lang w:val="en-US" w:eastAsia="zh-CN" w:bidi="ar"/>
        </w:rPr>
        <w:t>政府采购云平台https://www.zcygov.cn/网上开标</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五</w:t>
      </w:r>
      <w:r>
        <w:rPr>
          <w:rStyle w:val="22"/>
          <w:rFonts w:hint="eastAsia" w:ascii="仿宋" w:hAnsi="仿宋" w:eastAsia="仿宋" w:cs="仿宋"/>
          <w:i w:val="0"/>
          <w:iCs w:val="0"/>
          <w:caps w:val="0"/>
          <w:color w:val="auto"/>
          <w:spacing w:val="0"/>
          <w:sz w:val="24"/>
          <w:szCs w:val="24"/>
          <w:highlight w:val="none"/>
        </w:rPr>
        <w:t>、公告期限</w:t>
      </w:r>
    </w:p>
    <w:p>
      <w:pPr>
        <w:pStyle w:val="1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自本公告发布之日起5个工作日。</w:t>
      </w:r>
    </w:p>
    <w:p>
      <w:pPr>
        <w:pStyle w:val="16"/>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六</w:t>
      </w:r>
      <w:r>
        <w:rPr>
          <w:rStyle w:val="22"/>
          <w:rFonts w:hint="eastAsia" w:ascii="仿宋" w:hAnsi="仿宋" w:eastAsia="仿宋" w:cs="仿宋"/>
          <w:i w:val="0"/>
          <w:iCs w:val="0"/>
          <w:caps w:val="0"/>
          <w:color w:val="auto"/>
          <w:spacing w:val="0"/>
          <w:sz w:val="24"/>
          <w:szCs w:val="24"/>
          <w:highlight w:val="none"/>
        </w:rPr>
        <w:t>、其他补充事宜</w:t>
      </w:r>
      <w:r>
        <w:rPr>
          <w:rFonts w:hint="eastAsia" w:ascii="仿宋" w:hAnsi="仿宋" w:eastAsia="仿宋" w:cs="仿宋"/>
          <w:i w:val="0"/>
          <w:iCs w:val="0"/>
          <w:caps w:val="0"/>
          <w:color w:val="auto"/>
          <w:spacing w:val="0"/>
          <w:sz w:val="24"/>
          <w:szCs w:val="24"/>
          <w:highlight w:val="none"/>
        </w:rPr>
        <w:t> </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本项目实行网上投标，采用电子投标文件；</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应在开标前应确保成为政采云平台</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，并完成CA数字证书（符合国密标准）申领。因未注册入库、未办理CA数字证书等原因造成无法投标或投标失败等后果由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自行承担。有意向参与兵团区域电子开评标的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，可访问新疆数字证书认证中心官方网站（https://www.xjca.com.cn/）或下载“新疆政务通”APP自行进行申领。如需咨询，请联系新疆CA服务热线0991-2819290；</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自动弃标。</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4.本次招标需要落实的政府采购政策：</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（1）财政部、工业和信息化部文件关于印发《政府采购促进中小企业发展管理办法》（财库[2020]46号文）；</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（2）财政部、司法部《关于政府采购支持监狱企业发展有关问题的通知》（财库〔2014〕68 号）；</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（4）财政</w:t>
      </w:r>
      <w:r>
        <w:rPr>
          <w:rFonts w:hint="eastAsia" w:ascii="仿宋" w:hAnsi="仿宋" w:eastAsia="仿宋" w:cs="仿宋"/>
          <w:i w:val="0"/>
          <w:iCs w:val="0"/>
          <w:caps w:val="0"/>
          <w:color w:val="auto"/>
          <w:spacing w:val="0"/>
          <w:kern w:val="2"/>
          <w:sz w:val="24"/>
          <w:szCs w:val="24"/>
          <w:highlight w:val="none"/>
          <w:lang w:val="en-US" w:eastAsia="zh-CN" w:bidi="ar-SA"/>
        </w:rPr>
        <w:t>部、生态环境部、国家邮政局</w:t>
      </w:r>
      <w:r>
        <w:rPr>
          <w:rFonts w:hint="eastAsia" w:ascii="仿宋" w:hAnsi="仿宋" w:eastAsia="仿宋" w:cs="仿宋"/>
          <w:kern w:val="2"/>
          <w:sz w:val="24"/>
          <w:szCs w:val="24"/>
          <w:highlight w:val="none"/>
          <w:lang w:val="en-US" w:eastAsia="zh-CN" w:bidi="ar-SA"/>
        </w:rPr>
        <w:t>《商品包装政府采购需求标准（试行）》、《快递包装政府采购需求标准（试行）》（财办库〔2020〕123号文）。</w:t>
      </w:r>
    </w:p>
    <w:p>
      <w:pPr>
        <w:pStyle w:val="16"/>
        <w:keepNext w:val="0"/>
        <w:keepLines w:val="0"/>
        <w:widowControl/>
        <w:suppressLineNumbers w:val="0"/>
        <w:spacing w:before="255" w:beforeAutospacing="0" w:after="255" w:afterAutospacing="0" w:line="450" w:lineRule="atLeast"/>
        <w:ind w:left="0" w:right="0" w:firstLine="0"/>
        <w:jc w:val="both"/>
        <w:rPr>
          <w:rStyle w:val="22"/>
          <w:rFonts w:hint="eastAsia" w:ascii="仿宋" w:hAnsi="仿宋" w:eastAsia="仿宋" w:cs="仿宋"/>
          <w:i w:val="0"/>
          <w:iCs w:val="0"/>
          <w:caps w:val="0"/>
          <w:color w:val="auto"/>
          <w:spacing w:val="0"/>
          <w:sz w:val="24"/>
          <w:szCs w:val="24"/>
          <w:highlight w:val="none"/>
        </w:rPr>
      </w:pPr>
      <w:r>
        <w:rPr>
          <w:rStyle w:val="22"/>
          <w:rFonts w:hint="eastAsia" w:ascii="仿宋" w:hAnsi="仿宋" w:eastAsia="仿宋" w:cs="仿宋"/>
          <w:i w:val="0"/>
          <w:iCs w:val="0"/>
          <w:caps w:val="0"/>
          <w:color w:val="auto"/>
          <w:spacing w:val="0"/>
          <w:sz w:val="24"/>
          <w:szCs w:val="24"/>
          <w:highlight w:val="none"/>
          <w:lang w:eastAsia="zh-CN"/>
        </w:rPr>
        <w:t>七</w:t>
      </w:r>
      <w:r>
        <w:rPr>
          <w:rStyle w:val="22"/>
          <w:rFonts w:hint="eastAsia" w:ascii="仿宋" w:hAnsi="仿宋" w:eastAsia="仿宋" w:cs="仿宋"/>
          <w:i w:val="0"/>
          <w:iCs w:val="0"/>
          <w:caps w:val="0"/>
          <w:color w:val="auto"/>
          <w:spacing w:val="0"/>
          <w:sz w:val="24"/>
          <w:szCs w:val="24"/>
          <w:highlight w:val="none"/>
        </w:rPr>
        <w:t>、对本次招标提出询问，请按以下方式联系</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名称：新疆生产建设兵团第三师总医院 </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地址：新疆图木舒克市前海东街13号</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联系方式：张焱、0998-6309371</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名称：新疆锦辰工程项目管理有限公司</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地址：新疆图木舒克市前海东街17号翠景园小区3号楼2层2－2</w:t>
      </w:r>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联系方式：贾智俊、阿瓦古 13319859131、</w:t>
      </w:r>
      <w:bookmarkStart w:id="9" w:name="_Toc28359021"/>
      <w:bookmarkStart w:id="10" w:name="_Toc35393808"/>
      <w:bookmarkStart w:id="11" w:name="_Toc28359098"/>
      <w:bookmarkStart w:id="12" w:name="_Toc35393639"/>
      <w:r>
        <w:rPr>
          <w:rFonts w:hint="eastAsia" w:ascii="仿宋" w:hAnsi="仿宋" w:eastAsia="仿宋" w:cs="仿宋"/>
          <w:i w:val="0"/>
          <w:iCs w:val="0"/>
          <w:caps w:val="0"/>
          <w:color w:val="auto"/>
          <w:spacing w:val="0"/>
          <w:sz w:val="24"/>
          <w:szCs w:val="24"/>
          <w:highlight w:val="none"/>
          <w:lang w:val="en-US" w:eastAsia="zh-CN"/>
        </w:rPr>
        <w:t>17797986838</w:t>
      </w:r>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3.项目联系方式</w:t>
      </w:r>
      <w:bookmarkEnd w:id="9"/>
      <w:bookmarkEnd w:id="10"/>
      <w:bookmarkEnd w:id="11"/>
      <w:bookmarkEnd w:id="12"/>
    </w:p>
    <w:p>
      <w:pPr>
        <w:pStyle w:val="16"/>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项目联系人：阿瓦古</w:t>
      </w:r>
    </w:p>
    <w:p>
      <w:pPr>
        <w:pStyle w:val="16"/>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话：17797986838</w:t>
      </w:r>
    </w:p>
    <w:p>
      <w:pPr>
        <w:pStyle w:val="5"/>
        <w:outlineLvl w:val="9"/>
        <w:rPr>
          <w:rFonts w:hint="eastAsia"/>
        </w:rPr>
      </w:pPr>
    </w:p>
    <w:p>
      <w:pPr>
        <w:outlineLvl w:val="9"/>
        <w:rPr>
          <w:rFonts w:hint="eastAsia"/>
        </w:rPr>
      </w:pPr>
    </w:p>
    <w:p>
      <w:pPr>
        <w:pStyle w:val="5"/>
        <w:outlineLvl w:val="9"/>
        <w:rPr>
          <w:rFonts w:hint="eastAsia"/>
        </w:rPr>
      </w:pPr>
    </w:p>
    <w:p>
      <w:pPr>
        <w:pStyle w:val="5"/>
        <w:ind w:left="0" w:leftChars="0" w:firstLine="0" w:firstLineChars="0"/>
        <w:outlineLvl w:val="9"/>
        <w:rPr>
          <w:rFonts w:hint="eastAsia"/>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bookmarkStart w:id="13" w:name="_Toc26592"/>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lang w:val="en-US" w:eastAsia="zh-CN"/>
        </w:rPr>
        <w:t xml:space="preserve">第二部分 </w:t>
      </w:r>
      <w:r>
        <w:rPr>
          <w:rFonts w:hint="eastAsia" w:ascii="仿宋" w:hAnsi="仿宋" w:eastAsia="仿宋" w:cs="仿宋"/>
          <w:b/>
          <w:color w:val="auto"/>
          <w:sz w:val="36"/>
          <w:highlight w:val="none"/>
        </w:rPr>
        <w:t>投标人须知</w:t>
      </w:r>
      <w:bookmarkEnd w:id="13"/>
    </w:p>
    <w:p>
      <w:pPr>
        <w:pStyle w:val="42"/>
        <w:widowControl/>
        <w:spacing w:line="312" w:lineRule="auto"/>
        <w:jc w:val="left"/>
        <w:outlineLvl w:val="9"/>
        <w:rPr>
          <w:rFonts w:hint="eastAsia" w:ascii="仿宋" w:hAnsi="仿宋" w:eastAsia="仿宋" w:cs="仿宋"/>
          <w:b/>
          <w:color w:val="auto"/>
          <w:kern w:val="0"/>
          <w:sz w:val="24"/>
          <w:szCs w:val="24"/>
          <w:highlight w:val="none"/>
          <w:lang w:bidi="ar"/>
        </w:rPr>
      </w:pPr>
      <w:bookmarkStart w:id="14" w:name="_Hlk40023338"/>
      <w:bookmarkStart w:id="15" w:name="_Hlk40113437"/>
      <w:r>
        <w:rPr>
          <w:rFonts w:hint="eastAsia" w:ascii="仿宋" w:hAnsi="仿宋" w:eastAsia="仿宋" w:cs="仿宋"/>
          <w:b/>
          <w:color w:val="auto"/>
          <w:kern w:val="0"/>
          <w:sz w:val="24"/>
          <w:szCs w:val="24"/>
          <w:highlight w:val="none"/>
          <w:lang w:bidi="ar"/>
        </w:rPr>
        <w:t>注意：</w:t>
      </w:r>
      <w:bookmarkEnd w:id="14"/>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1、本项目实行网上投标，采用电子投标文件；</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各投标人应在开标前应确保成为新疆生产建设兵团政府采购网正式注册入库投标人，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下载“新疆政务通”APP自行进行申领。如需咨询，请联系新疆CA服务热线0991-2819290；</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投标人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系统操作问题请咨询技术支持电话0991-2899144，CA办理问题请咨询新疆CA服务电话0991-2819290，或加QQ号800175577。如因投标人自身原因导致在规定时间内无法正常解密的（如：浏览器故障、未安装相关驱动、网络故障、加密CA与解密CA不一致等），采购中心/代理机构不予异常处理，视为投标人自动弃标。</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 xml:space="preserve">、投标人操作指南详见兵团政府采购网（ccgp-bingtuan.gov.cn）—办事指南—操作指南。 </w:t>
      </w:r>
    </w:p>
    <w:p>
      <w:pPr>
        <w:pStyle w:val="7"/>
        <w:numPr>
          <w:ilvl w:val="0"/>
          <w:numId w:val="0"/>
        </w:numPr>
        <w:tabs>
          <w:tab w:val="left" w:pos="0"/>
        </w:tabs>
        <w:spacing w:line="240" w:lineRule="auto"/>
        <w:ind w:leftChars="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、关于政采云平台投标人相关培训指导请加钉钉群35948845。</w:t>
      </w:r>
      <w:bookmarkEnd w:id="15"/>
      <w:r>
        <w:rPr>
          <w:rFonts w:hint="eastAsia" w:ascii="仿宋" w:hAnsi="仿宋" w:eastAsia="仿宋" w:cs="仿宋"/>
          <w:b/>
          <w:bCs/>
          <w:color w:val="auto"/>
          <w:sz w:val="28"/>
          <w:szCs w:val="28"/>
          <w:highlight w:val="none"/>
        </w:rPr>
        <w:br w:type="page"/>
      </w:r>
      <w:bookmarkStart w:id="16" w:name="EB4a528d207f8648b79fa72ae1a59328aa"/>
    </w:p>
    <w:p>
      <w:pPr>
        <w:pStyle w:val="24"/>
        <w:snapToGrid w:val="0"/>
        <w:spacing w:line="360" w:lineRule="auto"/>
        <w:jc w:val="center"/>
        <w:rPr>
          <w:rFonts w:hint="eastAsia" w:ascii="仿宋" w:hAnsi="仿宋" w:eastAsia="仿宋" w:cs="仿宋"/>
          <w:b/>
          <w:color w:val="auto"/>
          <w:szCs w:val="28"/>
          <w:highlight w:val="none"/>
        </w:rPr>
      </w:pPr>
      <w:bookmarkStart w:id="17" w:name="_Toc256000002"/>
      <w:r>
        <w:rPr>
          <w:rFonts w:hint="eastAsia" w:ascii="仿宋" w:hAnsi="仿宋" w:eastAsia="仿宋" w:cs="仿宋"/>
          <w:b/>
          <w:color w:val="auto"/>
          <w:szCs w:val="28"/>
          <w:highlight w:val="none"/>
        </w:rPr>
        <w:t>投标人须知前附表</w:t>
      </w:r>
      <w:bookmarkEnd w:id="17"/>
    </w:p>
    <w:tbl>
      <w:tblPr>
        <w:tblStyle w:val="1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项目编号</w:t>
            </w:r>
          </w:p>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ug-CN"/>
              </w:rPr>
              <w:t>B3S[2022]1163号、第三师总医院（一期）医疗设施设备购置项目（第二包）（标项10）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名    称：</w:t>
            </w:r>
            <w:r>
              <w:rPr>
                <w:rFonts w:hint="eastAsia" w:ascii="仿宋" w:hAnsi="仿宋" w:eastAsia="仿宋" w:cs="仿宋"/>
                <w:i w:val="0"/>
                <w:iCs w:val="0"/>
                <w:caps w:val="0"/>
                <w:color w:val="000000"/>
                <w:spacing w:val="0"/>
                <w:sz w:val="24"/>
                <w:szCs w:val="24"/>
                <w:highlight w:val="none"/>
                <w:lang w:val="en-US" w:eastAsia="zh-CN"/>
              </w:rPr>
              <w:t>新疆生产建设兵团第三师总医院</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址：第三师图木舒克市</w:t>
            </w:r>
          </w:p>
          <w:p>
            <w:pPr>
              <w:pStyle w:val="41"/>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 人：</w:t>
            </w:r>
            <w:r>
              <w:rPr>
                <w:rFonts w:hint="eastAsia" w:ascii="仿宋" w:hAnsi="仿宋" w:eastAsia="仿宋" w:cs="仿宋"/>
                <w:color w:val="auto"/>
                <w:sz w:val="24"/>
                <w:szCs w:val="24"/>
                <w:highlight w:val="none"/>
                <w:lang w:val="en-US" w:eastAsia="zh-CN"/>
              </w:rPr>
              <w:t>张焱</w:t>
            </w:r>
          </w:p>
          <w:p>
            <w:pPr>
              <w:pStyle w:val="41"/>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rPr>
              <w:t xml:space="preserve">电话： </w:t>
            </w:r>
            <w:r>
              <w:rPr>
                <w:rFonts w:hint="eastAsia" w:ascii="仿宋" w:hAnsi="仿宋" w:eastAsia="仿宋" w:cs="仿宋"/>
                <w:i w:val="0"/>
                <w:iCs w:val="0"/>
                <w:caps w:val="0"/>
                <w:color w:val="000000"/>
                <w:spacing w:val="0"/>
                <w:sz w:val="24"/>
                <w:szCs w:val="24"/>
                <w:highlight w:val="none"/>
                <w:lang w:val="en-US" w:eastAsia="zh-CN"/>
              </w:rPr>
              <w:t>0998-6309371</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采购代理机构</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rPr>
              <w:t xml:space="preserve"> 新疆锦辰工程项目管理有限公司</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 新疆图木舒克市前海东街17号翠景园小区3号楼2层2－2</w:t>
            </w:r>
          </w:p>
          <w:p>
            <w:pPr>
              <w:pStyle w:val="43"/>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系人:  贾智俊、</w:t>
            </w:r>
            <w:r>
              <w:rPr>
                <w:rFonts w:hint="eastAsia" w:ascii="仿宋" w:hAnsi="仿宋" w:eastAsia="仿宋" w:cs="仿宋"/>
                <w:color w:val="auto"/>
                <w:sz w:val="24"/>
                <w:szCs w:val="24"/>
                <w:highlight w:val="none"/>
                <w:lang w:val="en-US" w:eastAsia="zh-CN"/>
              </w:rPr>
              <w:t>阿瓦古</w:t>
            </w:r>
          </w:p>
          <w:p>
            <w:pPr>
              <w:pStyle w:val="43"/>
              <w:spacing w:line="360" w:lineRule="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联系电话: 13319859131、</w:t>
            </w:r>
            <w:r>
              <w:rPr>
                <w:rFonts w:hint="eastAsia" w:ascii="仿宋" w:hAnsi="仿宋" w:eastAsia="仿宋" w:cs="仿宋"/>
                <w:color w:val="auto"/>
                <w:sz w:val="24"/>
                <w:szCs w:val="24"/>
                <w:highlight w:val="none"/>
                <w:lang w:val="en-US" w:eastAsia="zh-CN"/>
              </w:rPr>
              <w:t>17797986838</w:t>
            </w:r>
          </w:p>
          <w:p>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电子邮件:3457980464@qq.com</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eastAsia="zh-CN"/>
              </w:rPr>
              <w:t>监管部门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财政局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联系人：唐玲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联系电话：0998-5701168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信息公告媒体平台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新疆生产建设兵团政府采购网（</w:t>
            </w:r>
            <w:r>
              <w:rPr>
                <w:rFonts w:hint="eastAsia" w:ascii="仿宋" w:hAnsi="仿宋" w:eastAsia="仿宋" w:cs="仿宋"/>
                <w:i w:val="0"/>
                <w:iCs w:val="0"/>
                <w:caps w:val="0"/>
                <w:color w:val="auto"/>
                <w:spacing w:val="0"/>
                <w:sz w:val="24"/>
                <w:szCs w:val="24"/>
                <w:highlight w:val="none"/>
              </w:rPr>
              <w:t>http://www.zcygov.cn/</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投标人资格要求</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5"/>
              <w:autoSpaceDE w:val="0"/>
              <w:autoSpaceDN w:val="0"/>
              <w:spacing w:line="360" w:lineRule="exact"/>
              <w:rPr>
                <w:rFonts w:hint="eastAsia" w:ascii="仿宋" w:hAnsi="仿宋" w:eastAsia="仿宋" w:cs="仿宋"/>
                <w:color w:val="auto"/>
                <w:sz w:val="24"/>
                <w:szCs w:val="24"/>
                <w:highlight w:val="none"/>
              </w:rPr>
            </w:pPr>
            <w:bookmarkStart w:id="18" w:name="EBd77b448698ab48f2a21fe1279362a7db"/>
            <w:bookmarkEnd w:id="18"/>
            <w:r>
              <w:rPr>
                <w:rFonts w:hint="eastAsia" w:ascii="仿宋" w:hAnsi="仿宋" w:eastAsia="仿宋" w:cs="仿宋"/>
                <w:color w:val="auto"/>
                <w:sz w:val="24"/>
                <w:szCs w:val="24"/>
                <w:highlight w:val="none"/>
                <w:lang w:val="zh-CN"/>
              </w:rPr>
              <w:t>1.投标人资格要求：</w:t>
            </w:r>
          </w:p>
          <w:p>
            <w:pPr>
              <w:pStyle w:val="24"/>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《政府采购法》第二十二条规定</w:t>
            </w:r>
            <w:r>
              <w:rPr>
                <w:rFonts w:hint="eastAsia" w:ascii="仿宋" w:hAnsi="仿宋" w:eastAsia="仿宋" w:cs="仿宋"/>
                <w:color w:val="auto"/>
                <w:sz w:val="24"/>
                <w:szCs w:val="24"/>
                <w:highlight w:val="none"/>
                <w:lang w:eastAsia="zh-CN"/>
              </w:rPr>
              <w:t>。</w:t>
            </w:r>
          </w:p>
          <w:p>
            <w:pPr>
              <w:pStyle w:val="24"/>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参加政府采购活动应当具备下列条件</w:t>
            </w:r>
            <w:r>
              <w:rPr>
                <w:rFonts w:hint="eastAsia" w:ascii="仿宋" w:hAnsi="仿宋" w:eastAsia="仿宋" w:cs="仿宋"/>
                <w:color w:val="auto"/>
                <w:sz w:val="24"/>
                <w:szCs w:val="24"/>
                <w:highlight w:val="none"/>
                <w:lang w:eastAsia="zh-CN"/>
              </w:rPr>
              <w:t>:</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有依法缴纳税收和社会保障资金的良好记录</w:t>
            </w:r>
            <w:r>
              <w:rPr>
                <w:rFonts w:hint="eastAsia" w:ascii="仿宋" w:hAnsi="仿宋" w:eastAsia="仿宋" w:cs="仿宋"/>
                <w:color w:val="auto"/>
                <w:sz w:val="24"/>
                <w:szCs w:val="24"/>
                <w:highlight w:val="none"/>
              </w:rPr>
              <w:t>；</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p>
          <w:p>
            <w:pPr>
              <w:pStyle w:val="16"/>
              <w:keepNext w:val="0"/>
              <w:keepLines w:val="0"/>
              <w:widowControl/>
              <w:suppressLineNumbers w:val="0"/>
              <w:spacing w:before="75" w:beforeAutospacing="0" w:after="75" w:afterAutospacing="0" w:line="300" w:lineRule="atLeast"/>
              <w:ind w:right="0"/>
              <w:jc w:val="left"/>
              <w:rPr>
                <w:rFonts w:hint="eastAsia" w:ascii="仿宋" w:hAnsi="仿宋" w:eastAsia="仿宋" w:cs="仿宋"/>
                <w:b/>
                <w:bCs/>
                <w:sz w:val="24"/>
                <w:szCs w:val="24"/>
                <w:highlight w:val="yellow"/>
                <w:lang w:val="en-US" w:eastAsia="zh-CN"/>
              </w:rPr>
            </w:pPr>
            <w:r>
              <w:rPr>
                <w:rFonts w:hint="eastAsia" w:ascii="仿宋" w:hAnsi="仿宋" w:eastAsia="仿宋" w:cs="仿宋"/>
                <w:b/>
                <w:bCs/>
                <w:color w:val="auto"/>
                <w:sz w:val="24"/>
                <w:szCs w:val="24"/>
                <w:highlight w:val="none"/>
                <w:lang w:val="en-US" w:eastAsia="zh-CN"/>
              </w:rPr>
              <w:t>3.落实政府采购政策需满足的资格要求：</w:t>
            </w:r>
            <w:r>
              <w:rPr>
                <w:rFonts w:hint="eastAsia" w:ascii="仿宋" w:hAnsi="仿宋" w:eastAsia="仿宋" w:cs="仿宋"/>
                <w:b/>
                <w:bCs/>
                <w:sz w:val="24"/>
                <w:szCs w:val="24"/>
                <w:highlight w:val="none"/>
                <w:lang w:val="en-US" w:eastAsia="zh-CN"/>
              </w:rPr>
              <w:t>无（本项目为非专门面向中小企业采购的项目）。</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4.本项目的特定资格要求：投标人应符合《医疗器械经营监督管理办法》、《医疗器械生产监督管理办法》的规定：</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7"/>
              <w:widowControl/>
              <w:spacing w:line="288"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以上所有证件必须在有效期内，否则资格性审查不通过。</w:t>
            </w:r>
          </w:p>
          <w:p>
            <w:pPr>
              <w:pStyle w:val="35"/>
              <w:widowControl/>
              <w:spacing w:line="360" w:lineRule="exact"/>
              <w:jc w:val="left"/>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法定代表人或者负责人为同一人或者存在控股、管理关系的两个以上投标人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不得参加同一项目的投标；除单一来源采购项目外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为采购项目提供整体设计、规范编制或者项目管理、监理、检测等服务的投标人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是否允许联合体投标</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19" w:name="EB0f86f5f9a6b44b37825cf035703cfc15"/>
            <w:bookmarkEnd w:id="19"/>
            <w:r>
              <w:rPr>
                <w:rFonts w:hint="eastAsia" w:ascii="仿宋" w:hAnsi="仿宋" w:eastAsia="仿宋" w:cs="仿宋"/>
                <w:color w:val="auto"/>
                <w:kern w:val="0"/>
                <w:sz w:val="24"/>
                <w:szCs w:val="24"/>
                <w:highlight w:val="none"/>
              </w:rPr>
              <w:t>☑ 否。</w:t>
            </w:r>
          </w:p>
          <w:p>
            <w:pPr>
              <w:pStyle w:val="24"/>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是否允许投标人将项目非主体、非关键性工作交由他人完成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20" w:name="EB46de3bf2b5e44d249096c9a68bd8cf71"/>
            <w:bookmarkEnd w:id="20"/>
            <w:r>
              <w:rPr>
                <w:rFonts w:hint="eastAsia" w:ascii="仿宋" w:hAnsi="仿宋" w:eastAsia="仿宋" w:cs="仿宋"/>
                <w:color w:val="auto"/>
                <w:kern w:val="0"/>
                <w:sz w:val="24"/>
                <w:szCs w:val="24"/>
                <w:highlight w:val="none"/>
              </w:rPr>
              <w:t>☑ 否。</w:t>
            </w:r>
          </w:p>
          <w:p>
            <w:pPr>
              <w:pStyle w:val="24"/>
              <w:spacing w:line="360" w:lineRule="auto"/>
              <w:rPr>
                <w:rFonts w:hint="eastAsia" w:ascii="仿宋" w:hAnsi="仿宋" w:eastAsia="仿宋" w:cs="仿宋"/>
                <w:color w:val="auto"/>
                <w:kern w:val="0"/>
                <w:sz w:val="24"/>
                <w:szCs w:val="24"/>
                <w:highlight w:val="none"/>
              </w:rPr>
            </w:pPr>
            <w:bookmarkStart w:id="21" w:name="EB65a901bb2d1e4b94a96b402959e5078f"/>
            <w:bookmarkEnd w:id="21"/>
            <w:r>
              <w:rPr>
                <w:rFonts w:hint="eastAsia" w:ascii="仿宋" w:hAnsi="仿宋" w:eastAsia="仿宋" w:cs="仿宋"/>
                <w:color w:val="auto"/>
                <w:kern w:val="0"/>
                <w:sz w:val="24"/>
                <w:szCs w:val="24"/>
                <w:highlight w:val="none"/>
              </w:rPr>
              <w:t>☐是。中标人按照合同约定或者经采购人同意，可以将项目非主体、非关键性工作分包交由他人完成。此时，接受分包的人应当具备相应的资格条件，并不得再次分包。</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分包内容要求：</w:t>
            </w:r>
            <w:bookmarkStart w:id="22" w:name="EBa69c75a77835476bbdcb8c909a4a812c"/>
            <w:bookmarkEnd w:id="22"/>
            <w:r>
              <w:rPr>
                <w:rFonts w:hint="eastAsia" w:ascii="仿宋" w:hAnsi="仿宋" w:eastAsia="仿宋" w:cs="仿宋"/>
                <w:color w:val="auto"/>
                <w:kern w:val="0"/>
                <w:sz w:val="24"/>
                <w:szCs w:val="24"/>
                <w:highlight w:val="none"/>
                <w:u w:val="single"/>
              </w:rPr>
              <w:t xml:space="preserve">      /           </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分包金额要求：</w:t>
            </w:r>
            <w:bookmarkStart w:id="23" w:name="EBd3f56592b2054e50ad44ad4ca7d3f5c2"/>
            <w:bookmarkEnd w:id="23"/>
            <w:r>
              <w:rPr>
                <w:rFonts w:hint="eastAsia" w:ascii="仿宋" w:hAnsi="仿宋" w:eastAsia="仿宋" w:cs="仿宋"/>
                <w:color w:val="auto"/>
                <w:kern w:val="0"/>
                <w:sz w:val="24"/>
                <w:szCs w:val="24"/>
                <w:highlight w:val="none"/>
                <w:u w:val="single"/>
              </w:rPr>
              <w:t xml:space="preserve">      /           </w:t>
            </w:r>
          </w:p>
          <w:p>
            <w:pPr>
              <w:pStyle w:val="24"/>
              <w:autoSpaceDE w:val="0"/>
              <w:autoSpaceDN w:val="0"/>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接受分包的第三人资质要求：</w:t>
            </w:r>
          </w:p>
          <w:p>
            <w:pPr>
              <w:pStyle w:val="24"/>
              <w:autoSpaceDE w:val="0"/>
              <w:autoSpaceDN w:val="0"/>
              <w:adjustRightInd w:val="0"/>
              <w:spacing w:line="360" w:lineRule="auto"/>
              <w:rPr>
                <w:rFonts w:hint="eastAsia" w:ascii="仿宋" w:hAnsi="仿宋" w:eastAsia="仿宋" w:cs="仿宋"/>
                <w:color w:val="auto"/>
                <w:kern w:val="0"/>
                <w:sz w:val="24"/>
                <w:szCs w:val="24"/>
                <w:highlight w:val="none"/>
              </w:rPr>
            </w:pPr>
            <w:bookmarkStart w:id="24" w:name="EB5f6d947066154c69b5501788367db129"/>
            <w:bookmarkEnd w:id="24"/>
            <w:r>
              <w:rPr>
                <w:rFonts w:hint="eastAsia" w:ascii="仿宋" w:hAnsi="仿宋" w:eastAsia="仿宋" w:cs="仿宋"/>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25" w:name="EB3654e13cae20475eac84fa83364d7833"/>
            <w:bookmarkEnd w:id="25"/>
            <w:r>
              <w:rPr>
                <w:rFonts w:hint="eastAsia" w:ascii="仿宋" w:hAnsi="仿宋" w:eastAsia="仿宋" w:cs="仿宋"/>
                <w:color w:val="auto"/>
                <w:kern w:val="0"/>
                <w:sz w:val="24"/>
                <w:szCs w:val="24"/>
                <w:highlight w:val="none"/>
                <w:lang w:val="en-US" w:eastAsia="zh-CN" w:bidi="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yellow"/>
              </w:rPr>
            </w:pPr>
            <w:r>
              <w:rPr>
                <w:rFonts w:hint="eastAsia" w:ascii="仿宋" w:hAnsi="仿宋" w:eastAsia="仿宋" w:cs="仿宋"/>
                <w:b/>
                <w:color w:val="auto"/>
                <w:sz w:val="24"/>
                <w:szCs w:val="24"/>
                <w:highlight w:val="none"/>
              </w:rPr>
              <w:t>答疑接受时间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b w:val="0"/>
                <w:bCs w:val="0"/>
                <w:kern w:val="0"/>
                <w:sz w:val="24"/>
                <w:szCs w:val="24"/>
                <w:highlight w:val="none"/>
                <w:u w:val="none"/>
                <w:lang w:val="en-US" w:eastAsia="zh-CN"/>
              </w:rPr>
            </w:pPr>
            <w:bookmarkStart w:id="26" w:name="EB17a0b1178f4e475ebd3db773a983cd6b"/>
            <w:bookmarkEnd w:id="26"/>
            <w:r>
              <w:rPr>
                <w:rFonts w:hint="eastAsia" w:ascii="仿宋" w:hAnsi="仿宋" w:eastAsia="仿宋" w:cs="仿宋"/>
                <w:b w:val="0"/>
                <w:bCs w:val="0"/>
                <w:kern w:val="0"/>
                <w:sz w:val="24"/>
                <w:szCs w:val="24"/>
                <w:highlight w:val="none"/>
                <w:u w:val="none"/>
                <w:lang w:val="en-US" w:eastAsia="zh-CN"/>
              </w:rPr>
              <w:t>1.投标人认为招标文件、招标过程、中标或者成交结果使自己的权益受到损害的，可以在知道或者应知其权益受到损害之日起7个工作日内，以书面形式向采购人、采购代理机构提出质疑。</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2.投标人在法定质疑期内必须一次性提出针对同一招标程序环节的质疑。</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3.质疑投标人应按照财政部制定的《政府采购质疑函范本》格式 10（可从财政部官方网站下载）和《政府采购质疑和投诉办法》（财政部令第94号）的要求，在法定质疑期内以书面形式提出质疑。 </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4.超出法定质疑期、重复或分次提出的、内容或形式不符合《政府采购质疑和投诉办法》规定的质疑将被拒绝。 </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5.依据：《中华人民共和国政府采购法》第五十二条、《中华人民共和国政府采购法实施条例》第五十三条规定的投标人应知其权益受到损害之日，是指：(1)对可以质疑的招标文件提出质疑的，为收到招标文件之日或者招标文件公告期限届满之日；(2)对招标过程提出质疑的，为各招标程序环节结束之日；(3)对中标或者成交结果提出质疑的，为中标或者成交结果公告期限届满之日。</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6.澄清、修改文件发出后（若有）,投标人必须使用最新的澄清文件制作电子投标文件。</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7.采购代理机构质疑函接收部门、联系电话：</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接收部门：新疆锦辰工程项目管理有限公司</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联系人：贾智俊</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联系电话：13319859131</w:t>
            </w:r>
          </w:p>
          <w:p>
            <w:pPr>
              <w:pStyle w:val="24"/>
              <w:spacing w:line="360" w:lineRule="auto"/>
              <w:rPr>
                <w:rFonts w:hint="eastAsia" w:ascii="仿宋" w:hAnsi="仿宋" w:eastAsia="仿宋" w:cs="仿宋"/>
                <w:color w:val="auto"/>
                <w:kern w:val="0"/>
                <w:sz w:val="24"/>
                <w:szCs w:val="24"/>
                <w:highlight w:val="yellow"/>
                <w:lang w:val="en-US" w:eastAsia="zh-CN" w:bidi="zh-CN"/>
              </w:rPr>
            </w:pPr>
            <w:r>
              <w:rPr>
                <w:rFonts w:hint="eastAsia" w:ascii="仿宋" w:hAnsi="仿宋" w:eastAsia="仿宋" w:cs="仿宋"/>
                <w:b w:val="0"/>
                <w:bCs w:val="0"/>
                <w:kern w:val="0"/>
                <w:sz w:val="24"/>
                <w:szCs w:val="24"/>
                <w:highlight w:val="none"/>
                <w:u w:val="none"/>
                <w:lang w:val="en-US" w:eastAsia="zh-CN"/>
              </w:rPr>
              <w:t>地址：新疆图木舒克市前海东街17号翠景园小区3号楼2层2－2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自投标截止之日起</w:t>
            </w:r>
            <w:bookmarkStart w:id="27" w:name="EB8c89669a7b2d4e7d97b13873e077b2f7"/>
            <w:bookmarkEnd w:id="27"/>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9</w:t>
            </w:r>
            <w:r>
              <w:rPr>
                <w:rFonts w:hint="eastAsia" w:ascii="仿宋" w:hAnsi="仿宋" w:eastAsia="仿宋" w:cs="仿宋"/>
                <w:color w:val="auto"/>
                <w:kern w:val="0"/>
                <w:sz w:val="24"/>
                <w:szCs w:val="24"/>
                <w:highlight w:val="none"/>
                <w:u w:val="single"/>
              </w:rPr>
              <w:t xml:space="preserve">0 </w:t>
            </w:r>
            <w:r>
              <w:rPr>
                <w:rFonts w:hint="eastAsia" w:ascii="仿宋" w:hAnsi="仿宋" w:eastAsia="仿宋" w:cs="仿宋"/>
                <w:color w:val="auto"/>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投标截止时间（开标时间）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2022年12月30日11:00</w:t>
            </w:r>
            <w:r>
              <w:rPr>
                <w:rFonts w:hint="eastAsia" w:ascii="仿宋" w:hAnsi="仿宋" w:eastAsia="仿宋" w:cs="仿宋"/>
                <w:color w:val="auto"/>
                <w:sz w:val="24"/>
                <w:szCs w:val="24"/>
                <w:highlight w:val="none"/>
              </w:rPr>
              <w:t>（北京时间）</w:t>
            </w:r>
          </w:p>
          <w:p>
            <w:pPr>
              <w:pStyle w:val="24"/>
              <w:spacing w:line="360" w:lineRule="auto"/>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文件递</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解密时长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30分钟。请投标单位在开标截止时间至少半小时前提前登录不见面开标大厅确保电脑、网络、浏览器正常，若发生因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自身网络、设备的问题造成的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无法解密等情况，</w:t>
            </w:r>
            <w:r>
              <w:rPr>
                <w:rFonts w:hint="eastAsia" w:ascii="仿宋" w:hAnsi="仿宋" w:eastAsia="仿宋" w:cs="仿宋"/>
                <w:color w:val="auto"/>
                <w:sz w:val="24"/>
                <w:szCs w:val="24"/>
                <w:highlight w:val="none"/>
                <w:lang w:eastAsia="zh-CN"/>
              </w:rPr>
              <w:t>导致投标被拒的情况</w:t>
            </w:r>
            <w:r>
              <w:rPr>
                <w:rFonts w:hint="eastAsia" w:ascii="仿宋" w:hAnsi="仿宋" w:eastAsia="仿宋" w:cs="仿宋"/>
                <w:color w:val="auto"/>
                <w:sz w:val="24"/>
                <w:szCs w:val="24"/>
                <w:highlight w:val="none"/>
              </w:rPr>
              <w:t>由投标单位自行承担。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开标地点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ind w:leftChars="-1" w:hanging="2" w:hangingChars="1"/>
              <w:rPr>
                <w:rFonts w:hint="eastAsia" w:ascii="仿宋" w:hAnsi="仿宋" w:eastAsia="仿宋" w:cs="仿宋"/>
                <w:color w:val="0000FF"/>
                <w:sz w:val="24"/>
                <w:szCs w:val="24"/>
                <w:highlight w:val="none"/>
              </w:rPr>
            </w:pPr>
            <w:r>
              <w:rPr>
                <w:rFonts w:hint="eastAsia" w:ascii="仿宋" w:hAnsi="仿宋" w:eastAsia="仿宋" w:cs="仿宋"/>
                <w:color w:val="auto"/>
                <w:kern w:val="2"/>
                <w:sz w:val="24"/>
                <w:szCs w:val="24"/>
                <w:highlight w:val="none"/>
                <w:lang w:val="en-US" w:eastAsia="zh-CN" w:bidi="ar-SA"/>
              </w:rPr>
              <w:t>兵团政采云平台电子交易平台开标大厅（兵团政采云平台https://www.zcygov.cn/）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ug-CN"/>
              </w:rPr>
              <w:t xml:space="preserve">投标文件份数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加密版电子文件在“政采云”平台上传； </w:t>
            </w:r>
          </w:p>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1.中标单位须提供胶装成册的纸质版投标文件（签字盖章） 3份 （一正二副）、电子文件（U盘储存1份、光碟3份）交至代理机构处。</w:t>
            </w:r>
          </w:p>
          <w:p>
            <w:pPr>
              <w:keepNext w:val="0"/>
              <w:keepLines w:val="0"/>
              <w:widowControl/>
              <w:suppressLineNumbers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2.非中标单位提供胶装成册的纸质版（签字盖章）的投标文件正本1份。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评标委员会的组成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kern w:val="0"/>
                <w:sz w:val="24"/>
                <w:szCs w:val="24"/>
                <w:highlight w:val="none"/>
                <w:u w:val="single"/>
                <w:lang w:val="en-US" w:eastAsia="zh-CN"/>
              </w:rPr>
              <w:t>7</w:t>
            </w:r>
            <w:r>
              <w:rPr>
                <w:rFonts w:hint="eastAsia" w:ascii="仿宋" w:hAnsi="仿宋" w:eastAsia="仿宋" w:cs="仿宋"/>
                <w:color w:val="auto"/>
                <w:sz w:val="24"/>
                <w:szCs w:val="24"/>
                <w:highlight w:val="none"/>
              </w:rPr>
              <w:t>人，其中</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 xml:space="preserve">和专家评委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人。</w:t>
            </w:r>
          </w:p>
          <w:p>
            <w:pPr>
              <w:pStyle w:val="24"/>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评委确定方式：</w:t>
            </w:r>
            <w:r>
              <w:rPr>
                <w:rFonts w:hint="eastAsia" w:ascii="仿宋" w:hAnsi="仿宋" w:eastAsia="仿宋" w:cs="仿宋"/>
                <w:color w:val="auto"/>
                <w:kern w:val="0"/>
                <w:sz w:val="24"/>
                <w:szCs w:val="24"/>
                <w:highlight w:val="none"/>
                <w:u w:val="single"/>
              </w:rPr>
              <w:t xml:space="preserve"> 政采云平台专家库中系统自行抽取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17</w:t>
            </w:r>
          </w:p>
        </w:tc>
        <w:tc>
          <w:tcPr>
            <w:tcW w:w="1183"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101000.00</w:t>
            </w:r>
            <w:r>
              <w:rPr>
                <w:rFonts w:hint="eastAsia" w:ascii="仿宋" w:hAnsi="仿宋" w:eastAsia="仿宋" w:cs="仿宋"/>
                <w:color w:val="auto"/>
                <w:sz w:val="24"/>
                <w:szCs w:val="24"/>
                <w:highlight w:val="none"/>
                <w:u w:val="single"/>
              </w:rPr>
              <w:t>元</w:t>
            </w:r>
          </w:p>
          <w:p>
            <w:pPr>
              <w:pStyle w:val="26"/>
              <w:spacing w:line="360" w:lineRule="auto"/>
              <w:jc w:val="left"/>
              <w:rPr>
                <w:rFonts w:hint="default"/>
                <w:color w:val="auto"/>
                <w:highlight w:val="none"/>
                <w:lang w:val="en-US" w:eastAsia="zh-CN"/>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壹拾万零壹仟元整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采购人指定的开户银行及账号如下：</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开户名称:新疆锦辰工程项目管理有限公司</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银行名称:中国银行股份有限公司喀什市解放南路支行</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行    号:104894001046</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开户银行地址:中国银行股份有限公司喀什市解放南路支行</w:t>
            </w:r>
          </w:p>
          <w:p>
            <w:pPr>
              <w:pStyle w:val="35"/>
              <w:widowControl/>
              <w:autoSpaceDE w:val="0"/>
              <w:autoSpaceDN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ug-CN"/>
              </w:rPr>
              <w:t>银行账号:107081419960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spacing w:line="362" w:lineRule="auto"/>
              <w:ind w:right="76"/>
              <w:jc w:val="left"/>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投标人以支票、汇票、本票或者金融机构、担保机构出具的保函、电汇、网银转账等非现金形式提交投标保证金的注意事项如下：</w:t>
            </w:r>
          </w:p>
          <w:p>
            <w:pPr>
              <w:pStyle w:val="46"/>
              <w:spacing w:line="362" w:lineRule="auto"/>
              <w:ind w:right="76"/>
              <w:jc w:val="left"/>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（1）投标保证金单位名称必须与投标人登记的单位名称一致,不得以分公司、办事处或其他机构名义交纳,否则其投标将被拒绝。</w:t>
            </w:r>
          </w:p>
          <w:p>
            <w:pPr>
              <w:pStyle w:val="46"/>
              <w:spacing w:line="362" w:lineRule="auto"/>
              <w:ind w:left="112" w:right="76"/>
              <w:jc w:val="left"/>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2）投标人须在投标截止时间前由投标单位账户一次性汇入招标文件指定帐号（以新疆锦辰工程项目管理有限公司保证金账户到账时间为准）,投标人须自行评估因异地、跨行、公休日等因素造成的投标保证金到账延迟风险,并承担相应责任。</w:t>
            </w:r>
          </w:p>
          <w:p>
            <w:pPr>
              <w:pStyle w:val="46"/>
              <w:spacing w:line="362" w:lineRule="auto"/>
              <w:ind w:right="76"/>
              <w:jc w:val="left"/>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b/>
                <w:bCs/>
                <w:color w:val="auto"/>
                <w:kern w:val="0"/>
                <w:sz w:val="24"/>
                <w:szCs w:val="24"/>
                <w:highlight w:val="none"/>
                <w:lang w:val="en-US" w:eastAsia="zh-CN" w:bidi="ug-CN"/>
              </w:rPr>
              <w:t>（3）投标人请自行查询是否到账,投标人以网银转账、电汇汇款方式缴纳投标保证金的须从投标人基本账户转出,请备注项目名称或项目编号并提供银行汇款凭证及投标人基本账户开户许可证或基本存款账户信息。</w:t>
            </w:r>
          </w:p>
          <w:p>
            <w:pPr>
              <w:pStyle w:val="46"/>
              <w:spacing w:line="362" w:lineRule="auto"/>
              <w:ind w:left="112" w:right="76"/>
              <w:jc w:val="left"/>
              <w:rPr>
                <w:rFonts w:hint="eastAsia" w:ascii="仿宋" w:hAnsi="仿宋" w:eastAsia="仿宋" w:cs="仿宋"/>
                <w:b/>
                <w:bCs/>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（4）</w:t>
            </w:r>
            <w:r>
              <w:rPr>
                <w:rFonts w:hint="eastAsia" w:ascii="仿宋" w:hAnsi="仿宋" w:eastAsia="仿宋" w:cs="仿宋"/>
                <w:b/>
                <w:bCs/>
                <w:color w:val="auto"/>
                <w:kern w:val="0"/>
                <w:sz w:val="24"/>
                <w:szCs w:val="24"/>
                <w:highlight w:val="none"/>
                <w:lang w:val="en-US" w:eastAsia="zh-CN" w:bidi="ug-CN"/>
              </w:rPr>
              <w:t xml:space="preserve">采用银行保函缴纳的，应出具保函的银行级别（应为国有商业银行或股份制商业银行的支行及其以上的银行）及保函的有效期。 </w:t>
            </w:r>
          </w:p>
          <w:p>
            <w:pPr>
              <w:pStyle w:val="46"/>
              <w:spacing w:line="362" w:lineRule="auto"/>
              <w:ind w:left="112" w:right="76"/>
              <w:jc w:val="left"/>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b/>
                <w:bCs/>
                <w:color w:val="auto"/>
                <w:kern w:val="0"/>
                <w:sz w:val="24"/>
                <w:szCs w:val="24"/>
                <w:highlight w:val="none"/>
                <w:lang w:val="en-US" w:eastAsia="zh-CN" w:bidi="ug-CN"/>
              </w:rPr>
              <w:t>（5）投标保证金缴纳截止时间同开标时间一致。</w:t>
            </w:r>
          </w:p>
          <w:p>
            <w:pPr>
              <w:pStyle w:val="35"/>
              <w:widowControl/>
              <w:autoSpaceDE w:val="0"/>
              <w:autoSpaceDN w:val="0"/>
              <w:spacing w:line="360" w:lineRule="auto"/>
              <w:rPr>
                <w:rFonts w:hint="eastAsia" w:ascii="仿宋" w:hAnsi="仿宋" w:eastAsia="仿宋" w:cs="仿宋"/>
                <w:b/>
                <w:bCs/>
                <w:kern w:val="0"/>
                <w:sz w:val="24"/>
                <w:szCs w:val="24"/>
                <w:highlight w:val="none"/>
                <w:u w:val="single"/>
                <w:lang w:val="en-US" w:eastAsia="zh-CN" w:bidi="ar-SA"/>
              </w:rPr>
            </w:pPr>
            <w:r>
              <w:rPr>
                <w:rFonts w:hint="eastAsia" w:ascii="仿宋" w:hAnsi="仿宋" w:eastAsia="仿宋" w:cs="仿宋"/>
                <w:b/>
                <w:bCs/>
                <w:kern w:val="0"/>
                <w:sz w:val="24"/>
                <w:szCs w:val="24"/>
                <w:highlight w:val="none"/>
                <w:u w:val="single"/>
                <w:lang w:val="en-US" w:eastAsia="zh-CN" w:bidi="ar-SA"/>
              </w:rPr>
              <w:t>★注:投标人未按照招标文件上述要求提交投标保证金的,投标将被否决。</w:t>
            </w:r>
          </w:p>
          <w:p>
            <w:pPr>
              <w:pStyle w:val="25"/>
              <w:rPr>
                <w:rFonts w:hint="eastAsia"/>
              </w:rPr>
            </w:pPr>
            <w:r>
              <w:rPr>
                <w:rFonts w:hint="eastAsia" w:ascii="仿宋" w:hAnsi="仿宋" w:eastAsia="仿宋" w:cs="仿宋"/>
                <w:b/>
                <w:bCs/>
                <w:color w:val="auto"/>
                <w:sz w:val="24"/>
                <w:szCs w:val="24"/>
                <w:highlight w:val="none"/>
                <w:lang w:val="en-US" w:eastAsia="zh-CN"/>
              </w:rPr>
              <w:t>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0" w:type="dxa"/>
            <w:tcBorders>
              <w:left w:val="single" w:color="auto" w:sz="4" w:space="0"/>
              <w:right w:val="single" w:color="auto" w:sz="4" w:space="0"/>
            </w:tcBorders>
            <w:noWrap w:val="0"/>
            <w:vAlign w:val="center"/>
          </w:tcPr>
          <w:p>
            <w:pPr>
              <w:pStyle w:val="24"/>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18</w:t>
            </w:r>
          </w:p>
        </w:tc>
        <w:tc>
          <w:tcPr>
            <w:tcW w:w="1183" w:type="dxa"/>
            <w:tcBorders>
              <w:left w:val="single" w:color="auto" w:sz="4" w:space="0"/>
              <w:right w:val="single" w:color="auto" w:sz="4" w:space="0"/>
            </w:tcBorders>
            <w:noWrap w:val="0"/>
            <w:vAlign w:val="center"/>
          </w:tcPr>
          <w:p>
            <w:pPr>
              <w:pStyle w:val="27"/>
              <w:widowControl/>
              <w:jc w:val="both"/>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保证金的退还</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numPr>
                <w:ilvl w:val="0"/>
                <w:numId w:val="5"/>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未中标单位在中标（成交）通知书发出后5个工作日内退还；</w:t>
            </w:r>
          </w:p>
          <w:p>
            <w:pPr>
              <w:pStyle w:val="46"/>
              <w:numPr>
                <w:ilvl w:val="0"/>
                <w:numId w:val="5"/>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中标单位在采购合同签订后5个工作日内退还；</w:t>
            </w:r>
          </w:p>
          <w:p>
            <w:pPr>
              <w:pStyle w:val="46"/>
              <w:numPr>
                <w:ilvl w:val="0"/>
                <w:numId w:val="5"/>
              </w:numPr>
              <w:spacing w:line="364" w:lineRule="auto"/>
              <w:ind w:right="76"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为保证各方的权益不受损害，投标单位在退还投标保证金时须填写退还投标保证金申请函，格式详见投标文件第六部分“投标文件格式”。</w:t>
            </w:r>
          </w:p>
          <w:p>
            <w:pPr>
              <w:pStyle w:val="46"/>
              <w:numPr>
                <w:ilvl w:val="0"/>
                <w:numId w:val="0"/>
              </w:numPr>
              <w:spacing w:line="364" w:lineRule="auto"/>
              <w:ind w:right="76" w:right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如</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eastAsia="zh-CN"/>
              </w:rPr>
              <w:t>投标</w:t>
            </w:r>
            <w:r>
              <w:rPr>
                <w:rFonts w:hint="eastAsia" w:ascii="仿宋" w:hAnsi="仿宋" w:eastAsia="仿宋" w:cs="仿宋"/>
                <w:b/>
                <w:bCs/>
                <w:color w:val="auto"/>
                <w:sz w:val="24"/>
                <w:szCs w:val="24"/>
              </w:rPr>
              <w:t>保证金不予退还：</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截止时间后撤回</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的；</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中提供虚假材料的；</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③除因不可抗力或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认可的情形以外，成交</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不与采购人签订合同的；</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④投标人</w:t>
            </w:r>
            <w:r>
              <w:rPr>
                <w:rFonts w:hint="eastAsia" w:ascii="仿宋" w:hAnsi="仿宋" w:eastAsia="仿宋" w:cs="仿宋"/>
                <w:color w:val="auto"/>
                <w:sz w:val="24"/>
                <w:szCs w:val="24"/>
              </w:rPr>
              <w:t>与采购人、其他</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或者采购代理机构恶意串通的；</w:t>
            </w:r>
          </w:p>
          <w:p>
            <w:pPr>
              <w:pStyle w:val="46"/>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rPr>
              <w:t>⑤</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规定的其他情形</w:t>
            </w:r>
            <w:r>
              <w:rPr>
                <w:rFonts w:hint="eastAsia" w:ascii="仿宋" w:hAnsi="仿宋" w:eastAsia="仿宋" w:cs="仿宋"/>
                <w:color w:val="auto"/>
                <w:sz w:val="24"/>
                <w:szCs w:val="24"/>
                <w:lang w:eastAsia="zh-CN"/>
              </w:rPr>
              <w:t>。</w:t>
            </w:r>
            <w:r>
              <w:rPr>
                <w:rFonts w:hint="eastAsia" w:ascii="仿宋" w:hAnsi="仿宋" w:eastAsia="仿宋" w:cs="仿宋"/>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0" w:type="dxa"/>
            <w:tcBorders>
              <w:left w:val="single" w:color="auto" w:sz="4" w:space="0"/>
              <w:right w:val="single" w:color="auto" w:sz="4" w:space="0"/>
            </w:tcBorders>
            <w:noWrap w:val="0"/>
            <w:vAlign w:val="center"/>
          </w:tcPr>
          <w:p>
            <w:pPr>
              <w:pStyle w:val="24"/>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19</w:t>
            </w:r>
          </w:p>
        </w:tc>
        <w:tc>
          <w:tcPr>
            <w:tcW w:w="1183" w:type="dxa"/>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采购项目需要落实的政府采购政策</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7"/>
              <w:wordWrap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pPr>
              <w:pStyle w:val="2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u w:val="single"/>
                <w:lang w:val="en-US" w:eastAsia="zh-CN"/>
              </w:rPr>
              <w:t>无</w:t>
            </w:r>
            <w:r>
              <w:rPr>
                <w:rFonts w:hint="eastAsia" w:ascii="仿宋" w:hAnsi="仿宋" w:eastAsia="仿宋" w:cs="仿宋"/>
                <w:b/>
                <w:bCs/>
                <w:color w:val="auto"/>
                <w:sz w:val="24"/>
                <w:szCs w:val="24"/>
                <w:highlight w:val="none"/>
                <w:lang w:val="en-US" w:eastAsia="zh-CN"/>
              </w:rPr>
              <w:t>（本项目为非专门面向中小企业采购的项目）；</w:t>
            </w:r>
          </w:p>
          <w:p>
            <w:pPr>
              <w:pStyle w:val="2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0"/>
                <w:sz w:val="24"/>
                <w:szCs w:val="24"/>
                <w:highlight w:val="none"/>
                <w:lang w:val="en-US" w:eastAsia="zh-CN"/>
              </w:rPr>
              <w:t>本次采购小型和微型企业的价格扣除幅度：</w:t>
            </w:r>
            <w:r>
              <w:rPr>
                <w:rFonts w:hint="eastAsia" w:ascii="仿宋" w:hAnsi="仿宋" w:eastAsia="仿宋" w:cs="仿宋"/>
                <w:b/>
                <w:bCs/>
                <w:kern w:val="0"/>
                <w:sz w:val="24"/>
                <w:szCs w:val="24"/>
                <w:highlight w:val="none"/>
                <w:lang w:val="en-US" w:eastAsia="zh-CN"/>
              </w:rPr>
              <w:t>价格给予15%的扣除。说明：在本采购项目中，货物由中小企业制造，即货物由中小企业生产且使用该中小企业商号或者注册商标。投标人提供的货物既有中小企业制造货物，也有大型企业制造货物的，不享受本办法规定的中小企业扶持政策。</w:t>
            </w:r>
            <w:r>
              <w:rPr>
                <w:rFonts w:hint="eastAsia" w:ascii="仿宋" w:hAnsi="仿宋" w:eastAsia="仿宋" w:cs="仿宋"/>
                <w:kern w:val="0"/>
                <w:sz w:val="24"/>
                <w:szCs w:val="24"/>
                <w:highlight w:val="none"/>
                <w:lang w:val="en-US" w:eastAsia="zh-CN"/>
              </w:rPr>
              <w:t>投标人应出具招标文件中要求的《中小企业声明函》,否则评审时不予认可。</w:t>
            </w:r>
          </w:p>
          <w:p>
            <w:pPr>
              <w:pStyle w:val="80"/>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（4）本次采购标的所属行业为：</w:t>
            </w:r>
            <w:r>
              <w:rPr>
                <w:rFonts w:hint="default" w:ascii="仿宋" w:hAnsi="仿宋" w:eastAsia="仿宋" w:cs="仿宋"/>
                <w:b/>
                <w:bCs/>
                <w:kern w:val="0"/>
                <w:sz w:val="24"/>
                <w:szCs w:val="24"/>
                <w:highlight w:val="none"/>
                <w:u w:val="single"/>
                <w:lang w:val="en-US" w:eastAsia="zh-CN" w:bidi="ar-SA"/>
              </w:rPr>
              <w:t>工业</w:t>
            </w:r>
            <w:r>
              <w:rPr>
                <w:rFonts w:hint="default" w:ascii="仿宋" w:hAnsi="仿宋" w:eastAsia="仿宋" w:cs="仿宋"/>
                <w:b/>
                <w:bCs/>
                <w:kern w:val="0"/>
                <w:sz w:val="24"/>
                <w:szCs w:val="24"/>
                <w:highlight w:val="none"/>
                <w:lang w:val="en-US" w:eastAsia="zh-CN" w:bidi="ar-SA"/>
              </w:rPr>
              <w:t>【专</w:t>
            </w:r>
            <w:r>
              <w:rPr>
                <w:rFonts w:hint="eastAsia" w:ascii="仿宋" w:hAnsi="仿宋" w:eastAsia="仿宋" w:cs="仿宋"/>
                <w:b/>
                <w:bCs/>
                <w:kern w:val="0"/>
                <w:sz w:val="24"/>
                <w:szCs w:val="24"/>
                <w:highlight w:val="none"/>
                <w:lang w:val="en-US" w:eastAsia="zh-CN" w:bidi="ar-SA"/>
              </w:rPr>
              <w:t>用</w:t>
            </w:r>
            <w:r>
              <w:rPr>
                <w:rFonts w:hint="default" w:ascii="仿宋" w:hAnsi="仿宋" w:eastAsia="仿宋" w:cs="仿宋"/>
                <w:b/>
                <w:bCs/>
                <w:kern w:val="0"/>
                <w:sz w:val="24"/>
                <w:szCs w:val="24"/>
                <w:highlight w:val="none"/>
                <w:lang w:val="en-US" w:eastAsia="zh-CN" w:bidi="ar-SA"/>
              </w:rPr>
              <w:t>设备制造业-医疗仪器设备及器械制造】</w:t>
            </w:r>
          </w:p>
          <w:p>
            <w:pPr>
              <w:pStyle w:val="42"/>
              <w:wordWrap w:val="0"/>
              <w:topLinePunct/>
              <w:adjustRightInd w:val="0"/>
              <w:snapToGrid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说明：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4"/>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（5）根据《政府采购促进中小企业发展管理办法》第十三条 采购人、采购代理机构应当随中标、成交结果公开中标、成交投标人的《中小企业声明函》。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0" w:type="dxa"/>
            <w:tcBorders>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w:t>
            </w:r>
          </w:p>
        </w:tc>
        <w:tc>
          <w:tcPr>
            <w:tcW w:w="1183" w:type="dxa"/>
            <w:tcBorders>
              <w:left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 xml:space="preserve">节能、环保要求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75" w:beforeAutospacing="0" w:after="75" w:afterAutospacing="0" w:line="360" w:lineRule="auto"/>
              <w:ind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满足《商品包装政府采购需求标准（试行）》、《快递包装政府采购需求标准（试行）》（财办库〔2020〕123号文）商品包装、快递包装的要求的产品，给予优先采购，具体办法详见本文件“第四部分-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评审方法</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资格后审         ☐资格预审</w:t>
            </w:r>
          </w:p>
          <w:p>
            <w:pPr>
              <w:pStyle w:val="25"/>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综合评分法       ☐最低评标价法</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得分相同的，</w:t>
            </w:r>
            <w:r>
              <w:rPr>
                <w:rFonts w:hint="eastAsia" w:ascii="仿宋" w:hAnsi="仿宋" w:eastAsia="仿宋" w:cs="仿宋"/>
                <w:b/>
                <w:bCs/>
                <w:color w:val="auto"/>
                <w:kern w:val="0"/>
                <w:sz w:val="24"/>
                <w:szCs w:val="24"/>
                <w:highlight w:val="none"/>
              </w:rPr>
              <w:t>报价较低的</w:t>
            </w:r>
            <w:r>
              <w:rPr>
                <w:rFonts w:hint="eastAsia" w:ascii="仿宋" w:hAnsi="仿宋" w:eastAsia="仿宋" w:cs="仿宋"/>
                <w:color w:val="auto"/>
                <w:kern w:val="0"/>
                <w:sz w:val="24"/>
                <w:szCs w:val="24"/>
                <w:highlight w:val="none"/>
              </w:rPr>
              <w:t>一方为中标人。得分且投标报价相同的，技术指标较优的一方为中标人。</w:t>
            </w:r>
          </w:p>
          <w:p>
            <w:pPr>
              <w:pStyle w:val="24"/>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w:t>
            </w:r>
            <w:r>
              <w:rPr>
                <w:rFonts w:hint="eastAsia" w:ascii="仿宋" w:hAnsi="仿宋" w:eastAsia="仿宋" w:cs="仿宋"/>
                <w:b w:val="0"/>
                <w:bCs w:val="0"/>
                <w:sz w:val="24"/>
                <w:szCs w:val="22"/>
                <w:highlight w:val="none"/>
              </w:rPr>
              <w:t>件规定的方式</w:t>
            </w:r>
            <w:r>
              <w:rPr>
                <w:rFonts w:hint="eastAsia" w:ascii="仿宋" w:hAnsi="仿宋" w:eastAsia="仿宋" w:cs="仿宋"/>
                <w:sz w:val="24"/>
                <w:szCs w:val="22"/>
                <w:highlight w:val="none"/>
              </w:rPr>
              <w:t>确定一个投标人获得中标人推荐资格，招标文件未规定的采取随机抽取方式确定，其他同品牌投标人不作为中标候选人。</w:t>
            </w:r>
          </w:p>
          <w:p>
            <w:pPr>
              <w:pStyle w:val="24"/>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核心产品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75" w:beforeAutospacing="0" w:after="75" w:afterAutospacing="0" w:line="360" w:lineRule="auto"/>
              <w:ind w:right="0" w:rightChars="0"/>
              <w:rPr>
                <w:rFonts w:hint="eastAsia" w:ascii="仿宋" w:hAnsi="仿宋" w:eastAsia="仿宋" w:cs="仿宋"/>
                <w:sz w:val="24"/>
                <w:szCs w:val="22"/>
                <w:highlight w:val="none"/>
              </w:rPr>
            </w:pPr>
            <w:r>
              <w:rPr>
                <w:rFonts w:hint="eastAsia" w:ascii="仿宋" w:hAnsi="仿宋" w:eastAsia="仿宋" w:cs="仿宋"/>
                <w:color w:val="auto"/>
                <w:kern w:val="0"/>
                <w:sz w:val="24"/>
                <w:szCs w:val="24"/>
                <w:highlight w:val="none"/>
                <w:lang w:val="en-US" w:eastAsia="zh-CN"/>
              </w:rPr>
              <w:t>本项目核心产品</w:t>
            </w:r>
            <w:r>
              <w:rPr>
                <w:rFonts w:hint="eastAsia" w:ascii="仿宋" w:hAnsi="仿宋" w:eastAsia="仿宋" w:cs="仿宋"/>
                <w:b/>
                <w:bCs/>
                <w:color w:val="auto"/>
                <w:kern w:val="0"/>
                <w:sz w:val="24"/>
                <w:szCs w:val="24"/>
                <w:highlight w:val="none"/>
                <w:lang w:val="en-US" w:eastAsia="zh-CN"/>
              </w:rPr>
              <w:t>：全自动快速发药机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0"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23</w:t>
            </w:r>
          </w:p>
        </w:tc>
        <w:tc>
          <w:tcPr>
            <w:tcW w:w="1183"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履约保证金</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ascii="仿宋" w:hAnsi="仿宋" w:eastAsia="仿宋" w:cs="仿宋"/>
                <w:color w:val="auto"/>
                <w:kern w:val="0"/>
                <w:sz w:val="24"/>
                <w:szCs w:val="24"/>
                <w:highlight w:val="none"/>
                <w:lang w:eastAsia="zh-CN"/>
              </w:rPr>
            </w:pPr>
            <w:bookmarkStart w:id="28" w:name="EB6b9b19d6907e432b9afa43d195c134f7"/>
            <w:bookmarkEnd w:id="28"/>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w:t>
            </w:r>
            <w:r>
              <w:rPr>
                <w:rFonts w:hint="eastAsia" w:ascii="仿宋" w:hAnsi="仿宋" w:eastAsia="仿宋" w:cs="仿宋"/>
                <w:color w:val="auto"/>
                <w:sz w:val="24"/>
                <w:szCs w:val="24"/>
                <w:highlight w:val="none"/>
                <w:lang w:val="en-US" w:eastAsia="zh-CN"/>
              </w:rPr>
              <w:t>间：中标人收到中标成交通知书后（签订合同前）向采购人缴纳。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交纳金额：</w:t>
            </w:r>
            <w:r>
              <w:rPr>
                <w:rFonts w:hint="eastAsia" w:ascii="仿宋" w:hAnsi="仿宋" w:eastAsia="仿宋" w:cs="仿宋"/>
                <w:color w:val="auto"/>
                <w:sz w:val="24"/>
                <w:szCs w:val="24"/>
                <w:highlight w:val="none"/>
                <w:u w:val="single"/>
                <w:lang w:val="en-US" w:eastAsia="zh-CN"/>
              </w:rPr>
              <w:t xml:space="preserve">中标金额的5% </w:t>
            </w:r>
          </w:p>
          <w:p>
            <w:pPr>
              <w:pStyle w:val="26"/>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收款单位：</w:t>
            </w:r>
            <w:r>
              <w:rPr>
                <w:rFonts w:hint="eastAsia" w:ascii="仿宋" w:hAnsi="仿宋" w:eastAsia="仿宋" w:cs="仿宋"/>
                <w:color w:val="auto"/>
                <w:sz w:val="24"/>
                <w:szCs w:val="24"/>
                <w:highlight w:val="none"/>
                <w:u w:val="single"/>
                <w:lang w:val="en-US" w:eastAsia="zh-CN" w:bidi="ar-SA"/>
              </w:rPr>
              <w:t>签订合同前采购人提供</w:t>
            </w:r>
          </w:p>
          <w:p>
            <w:pPr>
              <w:pStyle w:val="48"/>
              <w:spacing w:before="0" w:beforeAutospacing="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签订合同前采购人提供</w:t>
            </w:r>
          </w:p>
          <w:p>
            <w:pPr>
              <w:pStyle w:val="4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银行账号：</w:t>
            </w:r>
            <w:r>
              <w:rPr>
                <w:rFonts w:hint="eastAsia" w:ascii="仿宋" w:hAnsi="仿宋" w:eastAsia="仿宋" w:cs="仿宋"/>
                <w:color w:val="auto"/>
                <w:sz w:val="24"/>
                <w:szCs w:val="24"/>
                <w:highlight w:val="none"/>
                <w:u w:val="single"/>
                <w:lang w:val="en-US" w:eastAsia="zh-CN"/>
              </w:rPr>
              <w:t>签订合同前采购人提供</w:t>
            </w:r>
          </w:p>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项目完成验收合格后退还。</w:t>
            </w:r>
          </w:p>
          <w:p>
            <w:pPr>
              <w:pStyle w:val="46"/>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代理服务费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kern w:val="0"/>
                <w:sz w:val="24"/>
                <w:szCs w:val="24"/>
                <w:highlight w:val="none"/>
                <w:lang w:val="zh-CN" w:eastAsia="zh-CN" w:bidi="zh-CN"/>
              </w:rPr>
            </w:pPr>
            <w:bookmarkStart w:id="29" w:name="EB2e2814636ed449638e31aec0b86a9c79"/>
            <w:bookmarkEnd w:id="29"/>
            <w:r>
              <w:rPr>
                <w:rFonts w:hint="eastAsia" w:ascii="仿宋" w:hAnsi="仿宋" w:eastAsia="仿宋" w:cs="仿宋"/>
                <w:color w:val="auto"/>
                <w:kern w:val="0"/>
                <w:sz w:val="24"/>
                <w:szCs w:val="24"/>
                <w:highlight w:val="none"/>
                <w:lang w:val="zh-CN" w:eastAsia="zh-CN" w:bidi="zh-CN"/>
              </w:rPr>
              <w:t>是否由中标投标人缴纳</w:t>
            </w:r>
            <w:r>
              <w:rPr>
                <w:rFonts w:hint="eastAsia" w:ascii="仿宋" w:hAnsi="仿宋" w:eastAsia="仿宋" w:cs="仿宋"/>
                <w:color w:val="auto"/>
                <w:kern w:val="0"/>
                <w:sz w:val="24"/>
                <w:szCs w:val="24"/>
                <w:highlight w:val="none"/>
                <w:lang w:val="en-US" w:eastAsia="zh-CN" w:bidi="zh-CN"/>
              </w:rPr>
              <w:t>采购</w:t>
            </w:r>
            <w:r>
              <w:rPr>
                <w:rFonts w:hint="eastAsia" w:ascii="仿宋" w:hAnsi="仿宋" w:eastAsia="仿宋" w:cs="仿宋"/>
                <w:color w:val="auto"/>
                <w:kern w:val="0"/>
                <w:sz w:val="24"/>
                <w:szCs w:val="24"/>
                <w:highlight w:val="none"/>
                <w:lang w:val="zh-CN" w:eastAsia="zh-CN" w:bidi="zh-CN"/>
              </w:rPr>
              <w:t>代理费:</w:t>
            </w:r>
            <w:r>
              <w:rPr>
                <w:rFonts w:hint="eastAsia" w:ascii="仿宋" w:hAnsi="仿宋" w:eastAsia="仿宋" w:cs="仿宋"/>
                <w:color w:val="auto"/>
                <w:kern w:val="0"/>
                <w:sz w:val="24"/>
                <w:szCs w:val="24"/>
                <w:highlight w:val="none"/>
                <w:u w:val="single"/>
                <w:lang w:val="zh-CN" w:eastAsia="zh-CN" w:bidi="zh-CN"/>
              </w:rPr>
              <w:t xml:space="preserve">  是  </w:t>
            </w:r>
            <w:r>
              <w:rPr>
                <w:rFonts w:hint="eastAsia" w:ascii="仿宋" w:hAnsi="仿宋" w:eastAsia="仿宋" w:cs="仿宋"/>
                <w:color w:val="auto"/>
                <w:kern w:val="0"/>
                <w:sz w:val="24"/>
                <w:szCs w:val="24"/>
                <w:highlight w:val="none"/>
                <w:lang w:val="zh-CN" w:eastAsia="zh-CN" w:bidi="zh-CN"/>
              </w:rPr>
              <w:t>（是、否）</w:t>
            </w:r>
          </w:p>
          <w:p>
            <w:pPr>
              <w:pStyle w:val="46"/>
              <w:spacing w:line="36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中标单位在领取中标通知书</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机构一次性缴纳</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服务费计费基价按照项目</w:t>
            </w:r>
            <w:r>
              <w:rPr>
                <w:rFonts w:hint="eastAsia" w:ascii="仿宋" w:hAnsi="仿宋" w:eastAsia="仿宋" w:cs="仿宋"/>
                <w:b/>
                <w:bCs/>
                <w:color w:val="auto"/>
                <w:sz w:val="24"/>
                <w:szCs w:val="24"/>
                <w:highlight w:val="none"/>
              </w:rPr>
              <w:t>中标金额</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由中标单位支付。</w:t>
            </w:r>
          </w:p>
          <w:p>
            <w:pPr>
              <w:pStyle w:val="46"/>
              <w:spacing w:line="364"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服务收费标准</w:t>
            </w:r>
            <w:r>
              <w:rPr>
                <w:rFonts w:hint="eastAsia" w:ascii="仿宋" w:hAnsi="仿宋" w:eastAsia="仿宋" w:cs="仿宋"/>
                <w:color w:val="auto"/>
                <w:sz w:val="24"/>
                <w:szCs w:val="24"/>
                <w:highlight w:val="none"/>
                <w:lang w:eastAsia="zh-CN"/>
              </w:rPr>
              <w:t>:执行《政府采购代理机构管理暂行办法》财库</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2018</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2号文件。</w:t>
            </w:r>
          </w:p>
          <w:p>
            <w:pPr>
              <w:pStyle w:val="46"/>
              <w:spacing w:line="36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交纳金额:按照中标金额的1.5%收取。</w:t>
            </w:r>
          </w:p>
          <w:p>
            <w:pPr>
              <w:pStyle w:val="35"/>
              <w:widowControl/>
              <w:autoSpaceDE w:val="0"/>
              <w:autoSpaceDN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收款单位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新疆锦辰工程项目管理有限公司</w:t>
            </w:r>
          </w:p>
          <w:p>
            <w:pPr>
              <w:pStyle w:val="2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银行账号:107081419960</w:t>
            </w:r>
          </w:p>
          <w:p>
            <w:pPr>
              <w:pStyle w:val="2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开户银行:中国银行股份有限公司喀什市解放南路支行</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行号:104894001046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场地服务费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不缴纳</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争议的解决</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bookmarkStart w:id="30" w:name="EBab54cac318db41e28e6dac8386188fc3"/>
            <w:bookmarkEnd w:id="30"/>
            <w:r>
              <w:rPr>
                <w:rFonts w:hint="eastAsia" w:ascii="仿宋" w:hAnsi="仿宋" w:eastAsia="仿宋" w:cs="仿宋"/>
                <w:color w:val="auto"/>
                <w:sz w:val="24"/>
                <w:szCs w:val="24"/>
                <w:highlight w:val="none"/>
              </w:rPr>
              <w:t>如发生争议由双方协商解决，协商不成向</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sz w:val="24"/>
                <w:szCs w:val="24"/>
                <w:highlight w:val="none"/>
              </w:rPr>
              <w:t>是否允许投报进口产品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w:t>
            </w:r>
          </w:p>
          <w:p>
            <w:pPr>
              <w:pStyle w:val="26"/>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4"/>
                <w:sz w:val="36"/>
                <w:szCs w:val="24"/>
                <w:highlight w:val="none"/>
              </w:rPr>
              <w:instrText xml:space="preserve">□</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现场陈述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bookmarkStart w:id="31" w:name="EB7dfe3b1190d64d418e01d0e21f4920d5"/>
            <w:bookmarkEnd w:id="31"/>
            <w:r>
              <w:rPr>
                <w:rFonts w:hint="eastAsia" w:ascii="仿宋" w:hAnsi="仿宋" w:eastAsia="仿宋" w:cs="仿宋"/>
                <w:color w:val="auto"/>
                <w:sz w:val="24"/>
                <w:szCs w:val="24"/>
                <w:highlight w:val="none"/>
              </w:rPr>
              <w:t>☑ 不需要</w:t>
            </w:r>
          </w:p>
          <w:p>
            <w:pPr>
              <w:pStyle w:val="24"/>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需要,陈述要求如下</w:t>
            </w:r>
            <w:r>
              <w:rPr>
                <w:rFonts w:hint="eastAsia" w:ascii="仿宋" w:hAnsi="仿宋" w:eastAsia="仿宋" w:cs="仿宋"/>
                <w:color w:val="auto"/>
                <w:sz w:val="24"/>
                <w:szCs w:val="24"/>
                <w:highlight w:val="none"/>
                <w:lang w:eastAsia="zh-CN"/>
              </w:rPr>
              <w:t>:</w:t>
            </w:r>
          </w:p>
          <w:p>
            <w:pPr>
              <w:pStyle w:val="24"/>
              <w:autoSpaceDE w:val="0"/>
              <w:autoSpaceDN w:val="0"/>
              <w:adjustRightInd w:val="0"/>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1、陈述内容: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zh-CN"/>
              </w:rPr>
              <w:t>2、陈述人员: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4"/>
              <w:autoSpaceDE w:val="0"/>
              <w:autoSpaceDN w:val="0"/>
              <w:adjustRightInd w:val="0"/>
              <w:spacing w:line="360" w:lineRule="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lang w:val="zh-CN"/>
              </w:rPr>
              <w:t>3、陈述时限: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lang w:val="zh-CN"/>
              </w:rPr>
              <w:t>分钟。4、陈述形式: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项目预算</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仿宋" w:hAnsi="仿宋" w:eastAsia="仿宋" w:cs="仿宋"/>
                <w:color w:val="auto"/>
                <w:sz w:val="24"/>
                <w:szCs w:val="24"/>
                <w:highlight w:val="none"/>
                <w:lang w:val="zh-CN" w:eastAsia="zh-CN"/>
              </w:rPr>
            </w:pPr>
            <w:bookmarkStart w:id="32" w:name="EB99761000dd4b46ac86a3f3daaf46418a"/>
            <w:bookmarkEnd w:id="32"/>
            <w:r>
              <w:rPr>
                <w:rFonts w:hint="eastAsia" w:ascii="仿宋" w:hAnsi="仿宋" w:eastAsia="仿宋" w:cs="仿宋"/>
                <w:color w:val="auto"/>
                <w:sz w:val="24"/>
                <w:szCs w:val="24"/>
                <w:highlight w:val="none"/>
                <w:lang w:val="zh-CN" w:eastAsia="zh-CN"/>
              </w:rPr>
              <w:t>本项目</w:t>
            </w:r>
            <w:r>
              <w:rPr>
                <w:rFonts w:hint="eastAsia" w:ascii="仿宋" w:hAnsi="仿宋" w:eastAsia="仿宋" w:cs="仿宋"/>
                <w:color w:val="auto"/>
                <w:sz w:val="24"/>
                <w:szCs w:val="24"/>
                <w:highlight w:val="none"/>
                <w:lang w:val="en-US" w:eastAsia="zh-CN"/>
              </w:rPr>
              <w:t>预算金额为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5090000.00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伍佰零玖万元整；</w:t>
            </w:r>
            <w:r>
              <w:rPr>
                <w:rFonts w:hint="eastAsia" w:ascii="仿宋" w:hAnsi="仿宋" w:eastAsia="仿宋" w:cs="仿宋"/>
                <w:color w:val="auto"/>
                <w:sz w:val="24"/>
                <w:szCs w:val="24"/>
                <w:highlight w:val="none"/>
                <w:lang w:val="zh-CN" w:eastAsia="zh-CN"/>
              </w:rPr>
              <w:t>投标人投标报价超过项目预算的按无效投标处理。</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中标人须承担所投设备安装时产生的水电改造、机房改造等所有费用（如有）。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2.中标人所投设备如需适配Lis、His、Pacs系统，所产生的费用由中标人承担（如有）。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3.中标人需提供所投设备配套的办公桌椅及电脑、打印机等。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4.中标人需提供所投设备的试剂和配套耗材，具体数量待设备培训时确定（如有）。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5.中标人需承担所投设备验收检测费用（如有）。</w:t>
            </w:r>
          </w:p>
          <w:p>
            <w:pPr>
              <w:pStyle w:val="24"/>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本项目投标报价应为含税全包（大包）价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包括各项配合费、服务费、</w:t>
            </w:r>
            <w:r>
              <w:rPr>
                <w:rFonts w:hint="eastAsia" w:ascii="仿宋" w:hAnsi="仿宋" w:eastAsia="仿宋" w:cs="仿宋"/>
                <w:color w:val="auto"/>
                <w:sz w:val="24"/>
                <w:szCs w:val="24"/>
                <w:highlight w:val="none"/>
                <w:lang w:val="en-US" w:eastAsia="zh-CN"/>
              </w:rPr>
              <w:t>材料费、</w:t>
            </w:r>
            <w:r>
              <w:rPr>
                <w:rFonts w:hint="eastAsia" w:ascii="仿宋" w:hAnsi="仿宋" w:eastAsia="仿宋" w:cs="仿宋"/>
                <w:color w:val="auto"/>
                <w:sz w:val="24"/>
                <w:szCs w:val="24"/>
                <w:highlight w:val="none"/>
              </w:rPr>
              <w:t>风险费、管理费、验收、保险、税费、培训、服务人员考取相关从业证书费用、背景调查、职业测评、技术服务、其他为完成本项目所必需的全部费用和按本合同相关责任和义务等须承担的全部费用、保障相关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总价包干。</w:t>
            </w:r>
          </w:p>
          <w:p>
            <w:pPr>
              <w:pStyle w:val="24"/>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报价中应考虑</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中要求投标人承担的风险范围以及相关的费用。</w:t>
            </w:r>
          </w:p>
          <w:p>
            <w:pPr>
              <w:pStyle w:val="24"/>
              <w:autoSpaceDE w:val="0"/>
              <w:autoSpaceDN w:val="0"/>
              <w:adjustRightInd w:val="0"/>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本项目总价为</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文件中提出的各项支付金额的总和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包括实施、完成招标内容并修补缺陷以及履行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中约定的风险范围内的所有责任和义务所发生的全部费用。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交付期限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自合同签订之日起30日内完成安装验收调试。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维保及质保期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0"/>
              </w:numPr>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项目验收合格起</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rPr>
              <w:t>年内免费</w:t>
            </w:r>
            <w:r>
              <w:rPr>
                <w:rFonts w:hint="eastAsia" w:ascii="仿宋" w:hAnsi="仿宋" w:eastAsia="仿宋" w:cs="仿宋"/>
                <w:color w:val="auto"/>
                <w:sz w:val="24"/>
                <w:szCs w:val="24"/>
                <w:highlight w:val="none"/>
                <w:lang w:val="en-US" w:eastAsia="zh-CN"/>
              </w:rPr>
              <w:t>质保及维保，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color w:val="auto"/>
                <w:kern w:val="0"/>
                <w:sz w:val="24"/>
                <w:szCs w:val="24"/>
                <w:highlight w:val="none"/>
              </w:rPr>
              <w:t>付款方式</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仿宋" w:hAnsi="仿宋" w:eastAsia="仿宋" w:cs="仿宋"/>
                <w:color w:val="auto"/>
                <w:sz w:val="24"/>
                <w:szCs w:val="24"/>
                <w:highlight w:val="none"/>
                <w:lang w:val="en-US" w:eastAsia="zh-CN"/>
              </w:rPr>
            </w:pPr>
            <w:bookmarkStart w:id="207" w:name="_GoBack"/>
            <w:bookmarkEnd w:id="207"/>
            <w:r>
              <w:rPr>
                <w:rFonts w:hint="eastAsia" w:ascii="仿宋" w:hAnsi="仿宋" w:eastAsia="仿宋" w:cs="仿宋"/>
                <w:color w:val="auto"/>
                <w:sz w:val="24"/>
                <w:szCs w:val="24"/>
                <w:highlight w:val="none"/>
                <w:lang w:val="en-US" w:eastAsia="zh-CN"/>
              </w:rPr>
              <w:t xml:space="preserve">签订合同后预付合同款项的30%，经采购人（使用单位）验收合格后，买方凭验收合格证明及完税发票支付给卖方合同款项的70%。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注意事项</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val="0"/>
              <w:autoSpaceDN w:val="0"/>
              <w:bidi w:val="0"/>
              <w:adjustRightInd w:val="0"/>
              <w:snapToGrid/>
              <w:spacing w:beforeAutospacing="0" w:afterAutospacing="0" w:line="500" w:lineRule="exact"/>
              <w:ind w:left="0" w:leftChars="0"/>
              <w:textAlignment w:val="auto"/>
              <w:rPr>
                <w:rFonts w:hint="eastAsia" w:ascii="仿宋" w:hAnsi="仿宋" w:eastAsia="仿宋" w:cs="仿宋"/>
                <w:b/>
                <w:bCs/>
                <w:color w:val="auto"/>
                <w:kern w:val="0"/>
                <w:sz w:val="24"/>
                <w:szCs w:val="24"/>
                <w:highlight w:val="none"/>
                <w:lang w:val="en-US" w:eastAsia="zh-CN" w:bidi="ug-CN"/>
              </w:rPr>
            </w:pPr>
            <w:r>
              <w:rPr>
                <w:rFonts w:hint="eastAsia" w:ascii="仿宋" w:hAnsi="仿宋" w:eastAsia="仿宋" w:cs="仿宋"/>
                <w:b/>
                <w:bCs/>
                <w:color w:val="auto"/>
                <w:kern w:val="0"/>
                <w:sz w:val="24"/>
                <w:szCs w:val="24"/>
                <w:highlight w:val="none"/>
                <w:lang w:val="en-US" w:eastAsia="zh-CN" w:bidi="ug-CN"/>
              </w:rPr>
              <w:t>注：</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1</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本项目的招标投标活动以及相关当事人须接受财政监督部门依法实施的监督。</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2</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各投标人必须针对本项目制作投标文件并报价,投标文件均必须满足</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份数与制作等要求,否则将导致投标被拒绝。</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3</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投标文件中有弄虚作假的内容,其投标文件作废，（如假证书、假业绩、假合同、隐瞒不良行为记录、夸大荣誉、使用非本单位在职员工的相关证件及不符合</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规定的条款等）；在签订合同之前,复查原件,如发现投标人的投标文件有弄虚作假内容,</w:t>
            </w:r>
            <w:r>
              <w:rPr>
                <w:rFonts w:hint="eastAsia" w:ascii="仿宋" w:hAnsi="仿宋" w:eastAsia="仿宋" w:cs="仿宋"/>
                <w:b/>
                <w:bCs/>
                <w:color w:val="auto"/>
                <w:kern w:val="0"/>
                <w:sz w:val="24"/>
                <w:szCs w:val="24"/>
                <w:highlight w:val="none"/>
                <w:lang w:eastAsia="zh-CN" w:bidi="ug-CN"/>
              </w:rPr>
              <w:t>采购人</w:t>
            </w:r>
            <w:r>
              <w:rPr>
                <w:rFonts w:hint="eastAsia" w:ascii="仿宋" w:hAnsi="仿宋" w:eastAsia="仿宋" w:cs="仿宋"/>
                <w:b/>
                <w:bCs/>
                <w:color w:val="auto"/>
                <w:kern w:val="0"/>
                <w:sz w:val="24"/>
                <w:szCs w:val="24"/>
                <w:highlight w:val="none"/>
                <w:lang w:bidi="ug-CN"/>
              </w:rPr>
              <w:t>可拒绝与其签订合同，以上情形将书面上报财政部门，按照《政府采购法》第七十七条规定“列入不良行为记录名单”处理。</w:t>
            </w:r>
          </w:p>
          <w:p>
            <w:pPr>
              <w:pStyle w:val="37"/>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本项目所述时间以政采云平台服务器时间为准。</w:t>
            </w:r>
          </w:p>
          <w:p>
            <w:pPr>
              <w:pStyle w:val="37"/>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ascii="仿宋" w:hAnsi="仿宋" w:eastAsia="仿宋" w:cs="仿宋"/>
                <w:b/>
                <w:bCs/>
                <w:color w:val="auto"/>
                <w:sz w:val="24"/>
                <w:szCs w:val="24"/>
                <w:highlight w:val="none"/>
              </w:rPr>
              <w:t>若</w:t>
            </w:r>
            <w:r>
              <w:rPr>
                <w:rFonts w:hint="eastAsia" w:ascii="仿宋" w:hAnsi="仿宋" w:eastAsia="仿宋" w:cs="仿宋"/>
                <w:b/>
                <w:bCs/>
                <w:color w:val="auto"/>
                <w:sz w:val="24"/>
                <w:szCs w:val="24"/>
                <w:highlight w:val="none"/>
                <w:lang w:eastAsia="zh-CN"/>
              </w:rPr>
              <w:t>招标文件</w:t>
            </w:r>
            <w:r>
              <w:rPr>
                <w:rFonts w:ascii="仿宋" w:hAnsi="仿宋" w:eastAsia="仿宋" w:cs="仿宋"/>
                <w:b/>
                <w:bCs/>
                <w:color w:val="auto"/>
                <w:sz w:val="24"/>
                <w:szCs w:val="24"/>
                <w:highlight w:val="none"/>
              </w:rPr>
              <w:t>其他部分描述与前附表不一致的</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以前附表为准。</w:t>
            </w:r>
          </w:p>
          <w:p>
            <w:pPr>
              <w:pStyle w:val="37"/>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未中标单位在退投标保证金</w:t>
            </w:r>
            <w:r>
              <w:rPr>
                <w:rFonts w:hint="eastAsia" w:ascii="仿宋" w:hAnsi="仿宋" w:eastAsia="仿宋" w:cs="仿宋"/>
                <w:b/>
                <w:bCs/>
                <w:color w:val="auto"/>
                <w:sz w:val="24"/>
                <w:szCs w:val="24"/>
                <w:highlight w:val="none"/>
                <w:lang w:eastAsia="zh-CN"/>
              </w:rPr>
              <w:t>前</w:t>
            </w:r>
            <w:r>
              <w:rPr>
                <w:rFonts w:hint="eastAsia" w:ascii="仿宋" w:hAnsi="仿宋" w:eastAsia="仿宋" w:cs="仿宋"/>
                <w:b/>
                <w:bCs/>
                <w:color w:val="auto"/>
                <w:sz w:val="24"/>
                <w:szCs w:val="24"/>
                <w:highlight w:val="none"/>
              </w:rPr>
              <w:t>须递交纸质投标文件</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胶装及盖章</w:t>
            </w:r>
            <w:r>
              <w:rPr>
                <w:rFonts w:hint="eastAsia" w:ascii="仿宋" w:hAnsi="仿宋" w:eastAsia="仿宋" w:cs="仿宋"/>
                <w:b/>
                <w:bCs/>
                <w:color w:val="auto"/>
                <w:sz w:val="24"/>
                <w:szCs w:val="24"/>
                <w:highlight w:val="none"/>
                <w:lang w:eastAsia="zh-CN"/>
              </w:rPr>
              <w:t>）。</w:t>
            </w:r>
          </w:p>
          <w:p>
            <w:pPr>
              <w:pStyle w:val="37"/>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8.本次招标中所称“较大数额罚款”具体适用问题的意见（财库[2022]3 号 ）： 本项目初步评审中所称“重大违法记录”，是指投标人因违法经营受到刑事处罚或者责令停产停业、吊销许可证或者执照、较大数额罚款等行政处罚。所称“较大数额罚款”认定为 200 万元以上的罚款。</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9.安全文明及防疫要求：严格按照国家及行业相关安全标准组织项目实施，并随时接受行业安全检查人员依法实施的监督检查，采取必要的安全防护及防疫措施。由于中标人安全及防疫措施不力造成事故的责任和因此发生的费用，全部由中标人承担。 </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10.投标人负责服务项目过程中的车辆、人员的其他相关费用，包括但不限于车辆保险、人身意外保险等，均由中标人承担，采购人不在支付其他任何费用。</w:t>
            </w:r>
          </w:p>
          <w:p>
            <w:pPr>
              <w:pStyle w:val="37"/>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11.无论何种原因，因投标人在投标文件中提供的相关资料（开标、评标相关数据和资料）模糊无法辨认的，一律视同其未提供。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33" w:type="dxa"/>
            <w:gridSpan w:val="2"/>
            <w:tcBorders>
              <w:top w:val="single" w:color="auto" w:sz="4" w:space="0"/>
              <w:left w:val="single" w:color="auto" w:sz="4" w:space="0"/>
              <w:bottom w:val="single" w:color="auto" w:sz="4" w:space="0"/>
              <w:right w:val="single" w:color="auto" w:sz="4" w:space="0"/>
            </w:tcBorders>
            <w:noWrap w:val="0"/>
            <w:vAlign w:val="center"/>
          </w:tcPr>
          <w:p>
            <w:pPr>
              <w:pStyle w:val="24"/>
              <w:widowControl/>
              <w:numPr>
                <w:ilvl w:val="0"/>
                <w:numId w:val="0"/>
              </w:num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备注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numPr>
                <w:ilvl w:val="0"/>
                <w:numId w:val="0"/>
              </w:num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自行承担投标一切费用。</w:t>
            </w:r>
          </w:p>
          <w:p>
            <w:pPr>
              <w:pStyle w:val="24"/>
              <w:widowControl/>
              <w:numPr>
                <w:ilvl w:val="0"/>
                <w:numId w:val="0"/>
              </w:numPr>
              <w:wordWrap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应在开标前确保成为新疆生产建设兵团政府采购网正式注册入库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自行承担。有意向参与兵团区域电子开评标的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可访问新疆数字证书认证中心官方网站（https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//www.xjca.com.cn/）或下载“新疆政务通app自行进行申领。如需咨询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请联系新疆CA服务热线0991-2819290</w:t>
            </w:r>
            <w:r>
              <w:rPr>
                <w:rFonts w:hint="eastAsia" w:ascii="仿宋" w:hAnsi="仿宋" w:eastAsia="仿宋" w:cs="仿宋"/>
                <w:color w:val="auto"/>
                <w:sz w:val="24"/>
                <w:szCs w:val="24"/>
                <w:highlight w:val="none"/>
                <w:lang w:eastAsia="zh-CN"/>
              </w:rPr>
              <w:t>。</w:t>
            </w:r>
          </w:p>
          <w:p>
            <w:pPr>
              <w:pStyle w:val="24"/>
              <w:widowControl/>
              <w:numPr>
                <w:ilvl w:val="0"/>
                <w:numId w:val="0"/>
              </w:numPr>
              <w:wordWrap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可通过账号密码或CA登陆客户端进行投标文件的制作。在使用政采云投标客户端时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建议使用WIN7及以上操作系统。客户端请至兵团政府采购网（https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//ccqp-binqtuan.gov.cn/）下载专区查看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如有问题可拨打政采云客户服务热线400-881-7190进行咨询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自身原因导致在规定时间内无法正常解密的（如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浏览器故障、未安装相关驱动、网络故障、加密CA与解密CA不一致等）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自动放弃投标资格</w:t>
            </w:r>
            <w:r>
              <w:rPr>
                <w:rFonts w:hint="eastAsia" w:ascii="仿宋" w:hAnsi="仿宋" w:eastAsia="仿宋" w:cs="仿宋"/>
                <w:color w:val="auto"/>
                <w:sz w:val="24"/>
                <w:szCs w:val="24"/>
                <w:highlight w:val="none"/>
                <w:lang w:eastAsia="zh-CN"/>
              </w:rPr>
              <w:t>。</w:t>
            </w:r>
          </w:p>
        </w:tc>
      </w:tr>
    </w:tbl>
    <w:p>
      <w:pPr>
        <w:pStyle w:val="24"/>
        <w:spacing w:line="440" w:lineRule="exact"/>
        <w:rPr>
          <w:rFonts w:hint="eastAsia" w:ascii="仿宋" w:hAnsi="仿宋" w:eastAsia="仿宋" w:cs="仿宋"/>
          <w:color w:val="auto"/>
          <w:kern w:val="0"/>
          <w:sz w:val="24"/>
          <w:szCs w:val="22"/>
          <w:highlight w:val="none"/>
        </w:rPr>
      </w:pPr>
      <w:bookmarkStart w:id="33" w:name="EB36ed25c3dca7460dae7bd7f7b470ae8f"/>
      <w:r>
        <w:rPr>
          <w:rFonts w:hint="eastAsia" w:ascii="仿宋" w:hAnsi="仿宋" w:eastAsia="仿宋" w:cs="仿宋"/>
          <w:color w:val="auto"/>
          <w:kern w:val="0"/>
          <w:sz w:val="20"/>
          <w:szCs w:val="22"/>
          <w:highlight w:val="none"/>
        </w:rPr>
        <w:t xml:space="preserve"> </w:t>
      </w:r>
      <w:bookmarkEnd w:id="33"/>
    </w:p>
    <w:p>
      <w:pPr>
        <w:pStyle w:val="24"/>
        <w:jc w:val="center"/>
        <w:rPr>
          <w:rFonts w:hint="eastAsia" w:ascii="仿宋" w:hAnsi="仿宋" w:eastAsia="仿宋" w:cs="仿宋"/>
          <w:b/>
          <w:color w:val="auto"/>
          <w:szCs w:val="28"/>
          <w:highlight w:val="none"/>
        </w:rPr>
      </w:pPr>
      <w:r>
        <w:rPr>
          <w:rFonts w:hint="eastAsia" w:ascii="仿宋" w:hAnsi="仿宋" w:eastAsia="仿宋" w:cs="仿宋"/>
          <w:color w:val="auto"/>
          <w:sz w:val="21"/>
          <w:szCs w:val="22"/>
          <w:highlight w:val="none"/>
        </w:rPr>
        <w:br w:type="page"/>
      </w:r>
      <w:bookmarkStart w:id="34" w:name="EB11a03e6dfb6b43ec90cf33ea8d426078"/>
      <w:r>
        <w:rPr>
          <w:rFonts w:hint="eastAsia" w:ascii="仿宋" w:hAnsi="仿宋" w:eastAsia="仿宋" w:cs="仿宋"/>
          <w:color w:val="auto"/>
          <w:sz w:val="20"/>
          <w:szCs w:val="22"/>
          <w:highlight w:val="none"/>
        </w:rPr>
        <w:t xml:space="preserve"> </w:t>
      </w:r>
      <w:bookmarkEnd w:id="34"/>
      <w:bookmarkStart w:id="35" w:name="_Toc256000003"/>
      <w:r>
        <w:rPr>
          <w:rFonts w:hint="eastAsia" w:ascii="仿宋" w:hAnsi="仿宋" w:eastAsia="仿宋" w:cs="仿宋"/>
          <w:b/>
          <w:color w:val="auto"/>
          <w:szCs w:val="28"/>
          <w:highlight w:val="none"/>
        </w:rPr>
        <w:t>投标人须知正文部分</w:t>
      </w:r>
      <w:bookmarkEnd w:id="35"/>
    </w:p>
    <w:p>
      <w:pPr>
        <w:pStyle w:val="24"/>
        <w:keepNext/>
        <w:keepLines/>
        <w:adjustRightInd w:val="0"/>
        <w:spacing w:line="360" w:lineRule="auto"/>
        <w:outlineLvl w:val="2"/>
        <w:rPr>
          <w:rFonts w:hint="eastAsia" w:ascii="仿宋" w:hAnsi="仿宋" w:eastAsia="仿宋" w:cs="仿宋"/>
          <w:b/>
          <w:bCs/>
          <w:color w:val="auto"/>
          <w:kern w:val="0"/>
          <w:sz w:val="24"/>
          <w:highlight w:val="none"/>
        </w:rPr>
      </w:pPr>
      <w:bookmarkStart w:id="36" w:name="_Toc10636"/>
      <w:bookmarkStart w:id="37" w:name="_Toc256000004"/>
      <w:r>
        <w:rPr>
          <w:rFonts w:hint="eastAsia" w:ascii="仿宋" w:hAnsi="仿宋" w:eastAsia="仿宋" w:cs="仿宋"/>
          <w:b/>
          <w:bCs/>
          <w:color w:val="auto"/>
          <w:kern w:val="0"/>
          <w:sz w:val="24"/>
          <w:highlight w:val="none"/>
        </w:rPr>
        <w:t>一、总则</w:t>
      </w:r>
      <w:bookmarkEnd w:id="36"/>
      <w:bookmarkEnd w:id="37"/>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1.说明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 本招标文件适用于本次招标采购项目的招标投标。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2.定义</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 “采购人”名称见本招标文件第二部分“投标人须知前附表”。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 “采购代理机构”名称见本招标文件第二部分“投标人须知前附表”。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 “服务”指招标文件第三部分所述投标人应该履行的承诺和义务。</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 “潜在投标人”指符合招标文件各项规定的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 “投标人”指符合招标文件规定并参加投标的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 “投标人公章”在投标文件中指与投标人标准公章一致的投标人电子签章。</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 “电子投标文件”指利用政采云平台提供的“电子投标文件制作工具”编制加密和未加密的投标文件。</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3.合格投标人的条件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 具有本项目实施能力，符合、承认并承诺履行本文件各项规定的国内法人、其他组织或自然人均可参加投标。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 遵守有关的国家法律、法规和条例，具备《中华人民共和国政府采购法》和本文件中规定的条件：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1)具有独立承担民事责任的能力；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2)具有良好的商业信誉和健全的财务会计制度；</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3)具有履行合同所必需的设备和专业技术能力；</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4)具</w:t>
      </w:r>
      <w:r>
        <w:rPr>
          <w:rFonts w:hint="eastAsia" w:ascii="仿宋" w:hAnsi="仿宋" w:eastAsia="仿宋" w:cs="仿宋"/>
          <w:color w:val="auto"/>
          <w:sz w:val="24"/>
          <w:szCs w:val="22"/>
          <w:highlight w:val="none"/>
          <w:lang w:eastAsia="zh-CN"/>
        </w:rPr>
        <w:t>有依法缴纳税收和社会保障资金的良好记录</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5)参加政府采购活动前三年内，在经营活动中没有重大违法记录；</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6)法律、行政法规规定的其他条件；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7)具有本招标文件第二部分“投标人须知前附表”中规定的资格条件。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 投标人之间如果存在下列情形之一的，不得同时参加同一包（标段）或者不分包（标段）的同一项目投标：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法定代表人为同一个人的两个及两个以上法人；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母公司、全资子公司及其控股公司；</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参加投标的其他组织之间存在特殊的利害关系的；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法律和行政法规规定的其他情形。</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 投标人在政采云平台内针对本项目报名并下载了</w:t>
      </w:r>
      <w:r>
        <w:rPr>
          <w:rFonts w:hint="eastAsia" w:ascii="仿宋" w:hAnsi="仿宋" w:eastAsia="仿宋" w:cs="仿宋"/>
          <w:color w:val="auto"/>
          <w:kern w:val="0"/>
          <w:sz w:val="24"/>
          <w:szCs w:val="22"/>
          <w:highlight w:val="none"/>
        </w:rPr>
        <w:t>电子</w:t>
      </w:r>
      <w:r>
        <w:rPr>
          <w:rFonts w:hint="eastAsia" w:ascii="仿宋" w:hAnsi="仿宋" w:eastAsia="仿宋" w:cs="仿宋"/>
          <w:color w:val="auto"/>
          <w:kern w:val="0"/>
          <w:sz w:val="24"/>
          <w:szCs w:val="22"/>
          <w:highlight w:val="none"/>
          <w:lang w:eastAsia="zh-CN"/>
        </w:rPr>
        <w:t>招标文件</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 投标人按时足额交纳投标保证金。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 本次招标是否允许由两个以上投标人组成一个联合体以一个投标人身份共同投标，按照招标文件第二部分“投标人须知前附表”中的规定。如果允许，除均应符合上述规定外，还应符合下列要求：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2）联合体各方中至少应当有一方对应满足本项目规定的相应资质条件，并且联合体投标人整体应当符合本项目的资质要求，否则，其提交的联合投标将被拒绝。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6）联合体各方均不得同时再以自己独立的名义单独投标，也不得再同时参加其他的联合体投标。若该等情形被发现，其单独的投标和与此有关的联合体的投标均将被一并拒绝。</w:t>
      </w:r>
    </w:p>
    <w:p>
      <w:pPr>
        <w:pStyle w:val="24"/>
        <w:tabs>
          <w:tab w:val="left" w:pos="1146"/>
        </w:tabs>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 投标人不得与采购人、采购代理机构等有利害关系。</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4.投标费用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4.1 投标人应承担所有与准备和参加投标有关的费用。</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5.纪律</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5.1 投标人的投标行为应遵守中国的有关法律、法规和规章。</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 有下列情形之一的，属于投标人相互串通投标：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5.2.1.1 投标人之间协商投标报价等投标文件的实质性内容；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5.2.1.2 投标人之间约定中标人；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5.2.1.3 投标人之间约定部分投标人放弃投标或者中标；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5.2.1.4 属于同一集团、协会、商会等组织成员的投标人按照该组织要求协同投标；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5.2.1.5 投标人之间为谋取中标或者排斥特定投标人而采取的其他联合行动。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 有下列情形之一的，视为投标人相互串通投标：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5.2.2.1 不同投标人的投标文件由同一单位或者个人编制；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5.2.2.2 不同投标人委托同一单位或者个人办理投标事宜，或制作电子投标文件的文件制作机器码（mac地址）一致，或制作电子投标文件的文件创建标识码一致；</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5.2.2.3 不同投标人的投标文件载明的项目管理成员为同一人；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5.2.2.4 不同投标人的投标文件异常一致或者投标报价呈规律性差异；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5.2.2.5 不同投标人的投标文件相互混装；</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5.2.2.6 不同投标人的投标保证金从同一单位或者个人的账户转出。</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6.通知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6.1 对与本项目有关的通知，采购代理机构将通过政采云平台发布通知及/或答疑文件的形式，向潜在投标人发出。潜在投标人如未及时查看造成严重后果，采购代理机构不因此承担任何责任，有关的招标活动可以继续有效地进行。</w:t>
      </w:r>
    </w:p>
    <w:p>
      <w:pPr>
        <w:pStyle w:val="24"/>
        <w:rPr>
          <w:rFonts w:hint="eastAsia" w:ascii="仿宋" w:hAnsi="仿宋" w:eastAsia="仿宋" w:cs="仿宋"/>
          <w:color w:val="auto"/>
          <w:sz w:val="21"/>
          <w:szCs w:val="22"/>
          <w:highlight w:val="none"/>
        </w:rPr>
      </w:pPr>
      <w:bookmarkStart w:id="38" w:name="EBb7ad169f5dca4521a3bb59218ea160eb"/>
      <w:r>
        <w:rPr>
          <w:rFonts w:hint="eastAsia" w:ascii="仿宋" w:hAnsi="仿宋" w:eastAsia="仿宋" w:cs="仿宋"/>
          <w:color w:val="auto"/>
          <w:sz w:val="20"/>
          <w:szCs w:val="22"/>
          <w:highlight w:val="none"/>
        </w:rPr>
        <w:t xml:space="preserve"> </w:t>
      </w:r>
      <w:bookmarkEnd w:id="38"/>
      <w:bookmarkStart w:id="39" w:name="EB5329076af7ef4078a7e06f9b6702af2d"/>
      <w:r>
        <w:rPr>
          <w:rFonts w:hint="eastAsia" w:ascii="仿宋" w:hAnsi="仿宋" w:eastAsia="仿宋" w:cs="仿宋"/>
          <w:color w:val="auto"/>
          <w:sz w:val="20"/>
          <w:szCs w:val="22"/>
          <w:highlight w:val="none"/>
        </w:rPr>
        <w:t xml:space="preserve"> </w:t>
      </w:r>
      <w:bookmarkEnd w:id="39"/>
      <w:bookmarkStart w:id="40" w:name="EBdd610f0d907f425faf59ac376a8bd170"/>
      <w:r>
        <w:rPr>
          <w:rFonts w:hint="eastAsia" w:ascii="仿宋" w:hAnsi="仿宋" w:eastAsia="仿宋" w:cs="仿宋"/>
          <w:color w:val="auto"/>
          <w:sz w:val="20"/>
          <w:szCs w:val="22"/>
          <w:highlight w:val="none"/>
        </w:rPr>
        <w:t xml:space="preserve"> </w:t>
      </w:r>
      <w:bookmarkEnd w:id="40"/>
    </w:p>
    <w:p>
      <w:pPr>
        <w:pStyle w:val="24"/>
        <w:keepNext/>
        <w:keepLines/>
        <w:adjustRightInd w:val="0"/>
        <w:spacing w:line="360" w:lineRule="auto"/>
        <w:outlineLvl w:val="2"/>
        <w:rPr>
          <w:rFonts w:hint="eastAsia" w:ascii="仿宋" w:hAnsi="仿宋" w:eastAsia="仿宋" w:cs="仿宋"/>
          <w:b/>
          <w:bCs/>
          <w:color w:val="auto"/>
          <w:kern w:val="0"/>
          <w:sz w:val="24"/>
          <w:highlight w:val="none"/>
        </w:rPr>
      </w:pPr>
      <w:bookmarkStart w:id="41" w:name="_Toc256000005"/>
      <w:bookmarkStart w:id="42" w:name="_Toc21936"/>
      <w:r>
        <w:rPr>
          <w:rFonts w:hint="eastAsia" w:ascii="仿宋" w:hAnsi="仿宋" w:eastAsia="仿宋" w:cs="仿宋"/>
          <w:b/>
          <w:bCs/>
          <w:color w:val="auto"/>
          <w:kern w:val="0"/>
          <w:sz w:val="24"/>
          <w:highlight w:val="none"/>
        </w:rPr>
        <w:t>二、招标文件</w:t>
      </w:r>
      <w:bookmarkEnd w:id="41"/>
      <w:bookmarkEnd w:id="42"/>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7.招标文件组成</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 招标文件由招标文件目录所列内容组成。</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8.踏勘现场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8.1 本项目是否统一组织投标人踏勘现场见招标文件第二部分“投标人须知前附表”中的规定。无论是否统一组织，投标人应对供货现场和周围环境进行勘察，以获取编制投标文件所需的资料。</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8.3 除非有特殊要求，招标文件不单独提供供货使用地的自然环境、气候条件、公用设施等情况，投标人被视为熟悉上述与履行合同有关的一切情况。</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8.4 除采购人原因外，投标人自行负责在踏勘现场中所发生的人员伤亡和财产损失。</w:t>
      </w:r>
    </w:p>
    <w:p>
      <w:pPr>
        <w:pStyle w:val="24"/>
        <w:spacing w:line="360" w:lineRule="auto"/>
        <w:rPr>
          <w:rFonts w:hint="eastAsia" w:ascii="仿宋" w:hAnsi="仿宋" w:eastAsia="仿宋" w:cs="仿宋"/>
          <w:bCs/>
          <w:color w:val="auto"/>
          <w:sz w:val="24"/>
          <w:szCs w:val="22"/>
          <w:highlight w:val="none"/>
        </w:rPr>
      </w:pPr>
      <w:r>
        <w:rPr>
          <w:rFonts w:hint="eastAsia" w:ascii="仿宋" w:hAnsi="仿宋" w:eastAsia="仿宋" w:cs="仿宋"/>
          <w:b/>
          <w:color w:val="auto"/>
          <w:sz w:val="24"/>
          <w:szCs w:val="22"/>
          <w:highlight w:val="none"/>
        </w:rPr>
        <w:t>9.知识产权</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9.2 投标人如欲在项目实施过程中采用自有知识成果，须在投标文件中声明，并提供相关知识产权证明文件。使用该知识成果后，投标人须提供开发接口和开发手册等技术文档。</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10.答疑及招标文件的澄清和修改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10.1 投标人如果对招标文件有疑问或要求进行澄清的，应按照招标文件第二部分“投标人须知前附表”</w:t>
      </w:r>
      <w:r>
        <w:rPr>
          <w:rFonts w:hint="eastAsia" w:ascii="仿宋" w:hAnsi="仿宋" w:eastAsia="仿宋" w:cs="仿宋"/>
          <w:color w:val="auto"/>
          <w:sz w:val="24"/>
          <w:szCs w:val="22"/>
          <w:highlight w:val="none"/>
          <w:lang w:val="en-US" w:eastAsia="zh-CN"/>
        </w:rPr>
        <w:t>中的</w:t>
      </w:r>
      <w:r>
        <w:rPr>
          <w:rFonts w:hint="eastAsia" w:ascii="仿宋" w:hAnsi="仿宋" w:eastAsia="仿宋" w:cs="仿宋"/>
          <w:color w:val="auto"/>
          <w:sz w:val="24"/>
          <w:szCs w:val="22"/>
          <w:highlight w:val="none"/>
        </w:rPr>
        <w:t>规定向采购代理机构提出。提出后，请投标人及时通过兵团政采云平台查看答疑文件或澄清文件。必要时，采购代理机构将组织相关专家召开答疑会，如召开，答疑会安排另行通知。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投标人在规定的时间内未对招标文件提出疑问或要求澄清的，采购代理机构将视其为同意，对在“答疑接受时间”后就招标文件内容提出的疑问及澄清要求将不予受理。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特殊情况下，采购代理机构发布澄清、修改文件后，征得投标人同意，可不改变投标截止时间和开标时间。</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10.4 采购代理机构对招标文件作出的澄清、修改在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4"/>
        <w:spacing w:line="360" w:lineRule="auto"/>
        <w:ind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上述澄清、修改在</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平台上发布的同时，</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平台将通过第三方短信群发方式提醒投标人进行查询。此短信仅系友情提示，并不具有任何约束性和必要性，采购代理机构不承担投标人未收到短信而引起的一切后果和法律责任。</w:t>
      </w:r>
    </w:p>
    <w:p>
      <w:pPr>
        <w:pStyle w:val="24"/>
        <w:spacing w:line="360" w:lineRule="auto"/>
        <w:ind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10.5 澄清、修改文件发出后，投标人必须使用最新的答疑、澄清文件制作电子投标文件，否则将无法完成上传。</w:t>
      </w:r>
    </w:p>
    <w:p>
      <w:pPr>
        <w:pStyle w:val="24"/>
        <w:rPr>
          <w:rFonts w:hint="eastAsia" w:ascii="仿宋" w:hAnsi="仿宋" w:eastAsia="仿宋" w:cs="仿宋"/>
          <w:color w:val="auto"/>
          <w:sz w:val="21"/>
          <w:szCs w:val="22"/>
          <w:highlight w:val="none"/>
        </w:rPr>
      </w:pPr>
      <w:bookmarkStart w:id="43" w:name="EBac939afec8874e7f8a3f1c1c91ecd53a"/>
      <w:r>
        <w:rPr>
          <w:rFonts w:hint="eastAsia" w:ascii="仿宋" w:hAnsi="仿宋" w:eastAsia="仿宋" w:cs="仿宋"/>
          <w:color w:val="auto"/>
          <w:sz w:val="20"/>
          <w:szCs w:val="22"/>
          <w:highlight w:val="none"/>
        </w:rPr>
        <w:t xml:space="preserve"> </w:t>
      </w:r>
      <w:bookmarkEnd w:id="43"/>
      <w:bookmarkStart w:id="44" w:name="EB9e0c2cece2d5471cad5c8aca4f2715bc"/>
      <w:r>
        <w:rPr>
          <w:rFonts w:hint="eastAsia" w:ascii="仿宋" w:hAnsi="仿宋" w:eastAsia="仿宋" w:cs="仿宋"/>
          <w:color w:val="auto"/>
          <w:sz w:val="20"/>
          <w:szCs w:val="22"/>
          <w:highlight w:val="none"/>
        </w:rPr>
        <w:t xml:space="preserve"> </w:t>
      </w:r>
      <w:bookmarkEnd w:id="44"/>
      <w:bookmarkStart w:id="45" w:name="EBbaf56f3c512d410ca402b14f6cef0c32"/>
      <w:r>
        <w:rPr>
          <w:rFonts w:hint="eastAsia" w:ascii="仿宋" w:hAnsi="仿宋" w:eastAsia="仿宋" w:cs="仿宋"/>
          <w:color w:val="auto"/>
          <w:sz w:val="20"/>
          <w:szCs w:val="22"/>
          <w:highlight w:val="none"/>
        </w:rPr>
        <w:t xml:space="preserve"> </w:t>
      </w:r>
      <w:bookmarkEnd w:id="45"/>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46" w:name="_Toc19648"/>
      <w:bookmarkStart w:id="47" w:name="_Toc256000006"/>
      <w:r>
        <w:rPr>
          <w:rFonts w:hint="eastAsia" w:ascii="仿宋" w:hAnsi="仿宋" w:eastAsia="仿宋" w:cs="仿宋"/>
          <w:b/>
          <w:bCs/>
          <w:color w:val="auto"/>
          <w:kern w:val="0"/>
          <w:sz w:val="24"/>
          <w:szCs w:val="32"/>
          <w:highlight w:val="none"/>
        </w:rPr>
        <w:t>三、投标文件</w:t>
      </w:r>
      <w:bookmarkEnd w:id="46"/>
      <w:bookmarkEnd w:id="47"/>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11.投标文件的语言及计量单位</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11.1 投标人提交的投标文件（包括技术文件和资料、图纸中的说明）以及投标人与采购代理机构就有关投标的所有来往函电均应使用中文简体字。</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11.3 除非招标文件另有规定，投标文件所使用的计量单位，应使用国家法定计量单位。</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11.4 对违反上述规定情形的，评标委员会有权要求投标人限期提供相应文件或决定对其投标予以拒绝。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11.5 电报、电话、传真形式的投标概不接受。投标人的投标文件一律不予退还。</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12.投标文件组成及编制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12.1 投标文件分为资格审查资料、商务文件、技术文件、服务文件。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规定提交资格审查资料、商务文件、技术文件和服务文件，其中加</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项目若有缺失或无效，将导致投标被拒绝且不允许在开标后补正。</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 投标人递交的投标文件及相关要求按照招标文件第二部分“投标人须知前附表”中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 电子投标文件的编制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12.2.1.1 电子投标文件使用兵团政采云提供的投标文件制作工具以及招标文件要求进行制作编制。投标文件制作时，不同内容按标签提示制作导入，按照招标文件中明确的投标文件目录和格式进行编制，保证目录清晰、内容完整。</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12.2.1.2 电子投标文件须使用投标人公章的电子签章以及法定代表人的电子签章。若无电子签章，则视为无效投标。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12.2.1.4 电子投标文件制作工具在生成加密投标文件时，同时生成非加密投标文件一份。未加密的电子投标文件由投标人使用光盘制作（投标人须保证启用光盘时能正常读取）。 </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13.投标报价</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13.2 投标人投报多包的，须对每包分别制作投标文件并报价</w:t>
      </w:r>
      <w:r>
        <w:rPr>
          <w:rFonts w:hint="eastAsia" w:ascii="仿宋" w:hAnsi="仿宋" w:eastAsia="仿宋" w:cs="仿宋"/>
          <w:b/>
          <w:color w:val="auto"/>
          <w:sz w:val="24"/>
          <w:szCs w:val="22"/>
          <w:highlight w:val="none"/>
        </w:rPr>
        <w:t>。</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13.3 除非招标文件另有规定，不接受可选择或可调整的投标方案和报价，任何有选择的或可调整的投标方案和报价将被视为非响应性投标而被拒绝。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13.4 本项目是否接受进口产品按照招标文件第二部分“投标人须知前附表中”中的规定。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13.6 投标人须严格按照报价明细表规定的内容填写货物单价以及其他事项。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13.7 投标人对投标报价若有说明应在投标文件中显著处注明。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除政策性文件规定以外，投标人所报价格在合同实施期间不因市场变化因素而变动。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13.9 最低报价不能作为中标的保证。</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14.投标有效期</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14.1 本项目的投标有效期按照招标文件第二部分“投标人须知前附表中”中的规定。投标有效期自开标之日起计算，短于规定期限的投标将按无效投标处理。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15.投标内容填写说明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15.3 开标一览表为在开标仪式上唱标的内容，要求按格式统一填写，不得自行增减内容。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15.5 投标人必须保证投标文件所提供的全部资料真实可靠，并接受采购代理机构或评标委员会对其中任何资料进一步审查的要求。</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4"/>
        <w:spacing w:line="360" w:lineRule="auto"/>
        <w:ind w:firstLine="480" w:firstLineChars="200"/>
        <w:rPr>
          <w:rFonts w:hint="eastAsia" w:ascii="仿宋" w:hAnsi="仿宋" w:eastAsia="仿宋" w:cs="仿宋"/>
          <w:b/>
          <w:color w:val="auto"/>
          <w:kern w:val="0"/>
          <w:sz w:val="24"/>
          <w:szCs w:val="22"/>
          <w:highlight w:val="none"/>
        </w:rPr>
      </w:pPr>
      <w:r>
        <w:rPr>
          <w:rFonts w:hint="eastAsia" w:ascii="仿宋" w:hAnsi="仿宋" w:eastAsia="仿宋" w:cs="仿宋"/>
          <w:color w:val="auto"/>
          <w:sz w:val="24"/>
          <w:szCs w:val="22"/>
          <w:highlight w:val="none"/>
        </w:rPr>
        <w:t>15.7 本项目</w:t>
      </w:r>
      <w:r>
        <w:rPr>
          <w:rFonts w:hint="eastAsia" w:ascii="仿宋" w:hAnsi="仿宋" w:eastAsia="仿宋" w:cs="仿宋"/>
          <w:color w:val="auto"/>
          <w:kern w:val="0"/>
          <w:sz w:val="24"/>
          <w:szCs w:val="22"/>
          <w:highlight w:val="none"/>
        </w:rPr>
        <w:t>技术部分是否采用“暗标”评审方式</w:t>
      </w:r>
      <w:r>
        <w:rPr>
          <w:rFonts w:hint="eastAsia" w:ascii="仿宋" w:hAnsi="仿宋" w:eastAsia="仿宋" w:cs="仿宋"/>
          <w:color w:val="auto"/>
          <w:sz w:val="24"/>
          <w:szCs w:val="22"/>
          <w:highlight w:val="none"/>
        </w:rPr>
        <w:t>按照招标文件第二部分“投标人须知前附表中”中的规定。如果采用暗标评审方式的，投标人在制作投标文件时应当以能够隐去投标人的身份为原则并需严格遵守以下各项规定：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15.7.1 技术部分中纳入“暗标”部分的内容：样品。</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 暗标的编制要求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15.7.2.3 任何情况下，技术部分（“暗标”部分）中不得出现任何投标人的审阅或者批注痕迹，否则将导致投标被拒绝。</w:t>
      </w:r>
    </w:p>
    <w:p>
      <w:pPr>
        <w:pStyle w:val="24"/>
        <w:rPr>
          <w:rFonts w:hint="eastAsia" w:ascii="仿宋" w:hAnsi="仿宋" w:eastAsia="仿宋" w:cs="仿宋"/>
          <w:color w:val="auto"/>
          <w:sz w:val="21"/>
          <w:szCs w:val="22"/>
          <w:highlight w:val="none"/>
        </w:rPr>
      </w:pPr>
      <w:bookmarkStart w:id="48" w:name="EB72d461685b9944a695e7c9740d61788e"/>
      <w:r>
        <w:rPr>
          <w:rFonts w:hint="eastAsia" w:ascii="仿宋" w:hAnsi="仿宋" w:eastAsia="仿宋" w:cs="仿宋"/>
          <w:color w:val="auto"/>
          <w:sz w:val="20"/>
          <w:szCs w:val="22"/>
          <w:highlight w:val="none"/>
        </w:rPr>
        <w:t xml:space="preserve"> </w:t>
      </w:r>
      <w:bookmarkEnd w:id="48"/>
      <w:bookmarkStart w:id="49" w:name="EBe595676a889240e6b9627a8204925a3e"/>
      <w:r>
        <w:rPr>
          <w:rFonts w:hint="eastAsia" w:ascii="仿宋" w:hAnsi="仿宋" w:eastAsia="仿宋" w:cs="仿宋"/>
          <w:color w:val="auto"/>
          <w:sz w:val="20"/>
          <w:szCs w:val="22"/>
          <w:highlight w:val="none"/>
        </w:rPr>
        <w:t xml:space="preserve"> </w:t>
      </w:r>
      <w:bookmarkEnd w:id="49"/>
      <w:bookmarkStart w:id="50" w:name="EB4f3eccb3b0eb41a5a5ac39abf7d322b5"/>
      <w:r>
        <w:rPr>
          <w:rFonts w:hint="eastAsia" w:ascii="仿宋" w:hAnsi="仿宋" w:eastAsia="仿宋" w:cs="仿宋"/>
          <w:color w:val="auto"/>
          <w:sz w:val="20"/>
          <w:szCs w:val="22"/>
          <w:highlight w:val="none"/>
        </w:rPr>
        <w:t xml:space="preserve"> </w:t>
      </w:r>
      <w:bookmarkEnd w:id="50"/>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1" w:name="_Toc18510"/>
      <w:bookmarkStart w:id="52" w:name="_Toc256000007"/>
      <w:r>
        <w:rPr>
          <w:rFonts w:hint="eastAsia" w:ascii="仿宋" w:hAnsi="仿宋" w:eastAsia="仿宋" w:cs="仿宋"/>
          <w:b/>
          <w:bCs/>
          <w:color w:val="auto"/>
          <w:kern w:val="0"/>
          <w:sz w:val="24"/>
          <w:szCs w:val="32"/>
          <w:highlight w:val="none"/>
        </w:rPr>
        <w:t>四、投标保证金</w:t>
      </w:r>
      <w:bookmarkEnd w:id="51"/>
      <w:bookmarkEnd w:id="52"/>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 xml:space="preserve">16.投标保证金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16.1 投标人应按照招标文件第二部分“投标人须知前附表”中的规定交纳。投标保证金须于到账截止时间前到帐，并经采购代理机构确认。</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16.2 未按要求提交投标保证金的，将被视为无效投标。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16.3 未中标的投标人的投标保证金在中标通知书发出之日起5个工作日内退还；中标人的投标保证金将在交纳履约保证金并于合同生效后5个工作日内退还。</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16.4 投标保证金退还一律采用网上银行转帐方式退还至投标人的汇款帐户，资金原路返回。</w:t>
      </w:r>
    </w:p>
    <w:p>
      <w:pPr>
        <w:pStyle w:val="24"/>
        <w:spacing w:line="360" w:lineRule="auto"/>
        <w:ind w:firstLine="400" w:firstLineChars="200"/>
        <w:rPr>
          <w:rFonts w:hint="eastAsia" w:ascii="仿宋" w:hAnsi="仿宋" w:eastAsia="仿宋" w:cs="仿宋"/>
          <w:color w:val="auto"/>
          <w:sz w:val="24"/>
          <w:szCs w:val="22"/>
          <w:highlight w:val="none"/>
        </w:rPr>
      </w:pPr>
      <w:bookmarkStart w:id="53" w:name="EBa90ba16225e5405a8b55b51f6fbf6913"/>
      <w:r>
        <w:rPr>
          <w:rFonts w:hint="eastAsia" w:ascii="仿宋" w:hAnsi="仿宋" w:eastAsia="仿宋" w:cs="仿宋"/>
          <w:color w:val="auto"/>
          <w:sz w:val="20"/>
          <w:szCs w:val="22"/>
          <w:highlight w:val="none"/>
        </w:rPr>
        <w:t xml:space="preserve"> </w:t>
      </w:r>
      <w:bookmarkEnd w:id="53"/>
      <w:r>
        <w:rPr>
          <w:rFonts w:hint="eastAsia" w:ascii="仿宋" w:hAnsi="仿宋" w:eastAsia="仿宋" w:cs="仿宋"/>
          <w:color w:val="auto"/>
          <w:sz w:val="24"/>
          <w:szCs w:val="22"/>
          <w:highlight w:val="none"/>
        </w:rPr>
        <w:t>16.5如开标时投标人对本单位投标保证金缴纳情况有疑义，投标人应在开标结束前向</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提交书面申请核实保证金缴纳情况。由银行或保险公司核实后出具书面材料予以答复。</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16.6开标结束后，转账、电汇、网银形式缴纳的保证金由</w:t>
      </w:r>
      <w:r>
        <w:rPr>
          <w:rFonts w:hint="eastAsia" w:ascii="仿宋" w:hAnsi="仿宋" w:eastAsia="仿宋" w:cs="仿宋"/>
          <w:color w:val="auto"/>
          <w:sz w:val="24"/>
          <w:szCs w:val="22"/>
          <w:highlight w:val="none"/>
          <w:lang w:val="en-US" w:eastAsia="zh-CN"/>
        </w:rPr>
        <w:t>采购</w:t>
      </w:r>
      <w:r>
        <w:rPr>
          <w:rFonts w:hint="eastAsia" w:ascii="仿宋" w:hAnsi="仿宋" w:eastAsia="仿宋" w:cs="仿宋"/>
          <w:color w:val="auto"/>
          <w:sz w:val="24"/>
          <w:szCs w:val="22"/>
          <w:highlight w:val="none"/>
        </w:rPr>
        <w:t>代理或</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统一办理中标人和未中标人的保证金退还事宜。如本项目招标中遇质疑，投诉，复议等特殊情况，保证金退还时间按相关规定执行。保函形式缴纳的投标保证金按协议执行，无需办理退款手续。</w:t>
      </w:r>
    </w:p>
    <w:p>
      <w:pPr>
        <w:pStyle w:val="24"/>
        <w:spacing w:line="360" w:lineRule="auto"/>
        <w:ind w:firstLine="480" w:firstLineChars="200"/>
        <w:rPr>
          <w:rFonts w:hint="eastAsia" w:ascii="仿宋" w:hAnsi="仿宋" w:eastAsia="仿宋" w:cs="仿宋"/>
          <w:color w:val="auto"/>
          <w:sz w:val="24"/>
          <w:szCs w:val="22"/>
          <w:highlight w:val="none"/>
        </w:rPr>
      </w:pPr>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4" w:name="_Toc31189"/>
      <w:bookmarkStart w:id="55" w:name="_Toc256000008"/>
      <w:r>
        <w:rPr>
          <w:rFonts w:hint="eastAsia" w:ascii="仿宋" w:hAnsi="仿宋" w:eastAsia="仿宋" w:cs="仿宋"/>
          <w:b/>
          <w:bCs/>
          <w:color w:val="auto"/>
          <w:kern w:val="0"/>
          <w:sz w:val="24"/>
          <w:szCs w:val="32"/>
          <w:highlight w:val="none"/>
        </w:rPr>
        <w:t>五、投标文件的递交</w:t>
      </w:r>
      <w:bookmarkEnd w:id="54"/>
      <w:bookmarkEnd w:id="55"/>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17.投标文件的密封和标记</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投标截止时间以兵团政采云平台显示的时间为准，逾期系统将自动关闭，未完成上传的投标文件视为逾期送达，将被拒绝。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17.2 未加密的电子投标文件光盘应封装在信封中。封口处加盖投标人公章，封皮上注明项目编号、包号、项目名称、投标人名称，并注明“未加密的电子投标文件”字样。</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投标人认为有必要提交的其他资料请于投标截止时间前一并提交。</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17.3 如果投标人未按上述要求密封及加写标记，采购代理机构对投标文件的误投和提前启封概不负责。对由此造成提前开封的投标文件，采购代理机构有权予以拒绝，并退回投标人。</w:t>
      </w:r>
    </w:p>
    <w:p>
      <w:pPr>
        <w:pStyle w:val="24"/>
        <w:spacing w:line="50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17.4是否采用不见面开标方式详见投标人须知前附表，若本项目采用不见面开标，</w:t>
      </w:r>
      <w:r>
        <w:rPr>
          <w:rFonts w:hint="eastAsia" w:ascii="仿宋" w:hAnsi="仿宋" w:eastAsia="仿宋" w:cs="仿宋"/>
          <w:color w:val="auto"/>
          <w:sz w:val="24"/>
          <w:szCs w:val="22"/>
          <w:highlight w:val="none"/>
          <w:lang w:val="en-US" w:eastAsia="zh-CN"/>
        </w:rPr>
        <w:t>开标时</w:t>
      </w:r>
      <w:r>
        <w:rPr>
          <w:rFonts w:hint="eastAsia" w:ascii="仿宋" w:hAnsi="仿宋" w:eastAsia="仿宋" w:cs="仿宋"/>
          <w:color w:val="auto"/>
          <w:sz w:val="24"/>
          <w:szCs w:val="22"/>
          <w:highlight w:val="none"/>
        </w:rPr>
        <w:t>无需提供电子投标文件U盘、纸质投标文件。</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18.投标文件的递交</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18.1 投标人应当在招标文件要求提交投标文件的截止时间前网上投标，并将未加密的电子投标文件光盘密封送达指定开标地点。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18.2 在招标文件要求提交投标文件的截止时间之后送达的投标文件，为无效投标文件，采购代理机构将拒绝接收。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18.3是否采用不见面开标详见投标人须知前附表，若项目采用不见面开标。只需将加密电子投标文件在投标截止时间前通过兵团政采云平台上传完成。上传时必须得到电脑“上传成功”的确认回复后方为上传成功。逾期上传的或者未上传到平台的投标文件，采购人不予受理。</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19.投标文件的修改和撤回</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19.1  投标人在递交投标文件后，可以修改或撤回其投标，但这种修改和撤回，必须在规定的投标截止时间前。在投标截止时间后，投标人不得要求修改或撤回其投标文件。</w:t>
      </w:r>
    </w:p>
    <w:p>
      <w:pPr>
        <w:pStyle w:val="24"/>
        <w:rPr>
          <w:rFonts w:hint="eastAsia" w:ascii="仿宋" w:hAnsi="仿宋" w:eastAsia="仿宋" w:cs="仿宋"/>
          <w:color w:val="auto"/>
          <w:sz w:val="21"/>
          <w:szCs w:val="22"/>
          <w:highlight w:val="none"/>
        </w:rPr>
      </w:pPr>
      <w:bookmarkStart w:id="56" w:name="EBdea484bda35746a2b5fd314ad05e57a5"/>
      <w:r>
        <w:rPr>
          <w:rFonts w:hint="eastAsia" w:ascii="仿宋" w:hAnsi="仿宋" w:eastAsia="仿宋" w:cs="仿宋"/>
          <w:color w:val="auto"/>
          <w:sz w:val="20"/>
          <w:szCs w:val="22"/>
          <w:highlight w:val="none"/>
        </w:rPr>
        <w:t xml:space="preserve"> </w:t>
      </w:r>
      <w:bookmarkEnd w:id="56"/>
      <w:bookmarkStart w:id="57" w:name="EB81ee8525ba154877a375e0453dfebe72"/>
      <w:r>
        <w:rPr>
          <w:rFonts w:hint="eastAsia" w:ascii="仿宋" w:hAnsi="仿宋" w:eastAsia="仿宋" w:cs="仿宋"/>
          <w:color w:val="auto"/>
          <w:sz w:val="20"/>
          <w:szCs w:val="22"/>
          <w:highlight w:val="none"/>
        </w:rPr>
        <w:t xml:space="preserve"> </w:t>
      </w:r>
      <w:bookmarkEnd w:id="57"/>
      <w:bookmarkStart w:id="58" w:name="EB59f3b3240a8b4b64960eecad995cd524"/>
      <w:r>
        <w:rPr>
          <w:rFonts w:hint="eastAsia" w:ascii="仿宋" w:hAnsi="仿宋" w:eastAsia="仿宋" w:cs="仿宋"/>
          <w:color w:val="auto"/>
          <w:sz w:val="20"/>
          <w:szCs w:val="22"/>
          <w:highlight w:val="none"/>
        </w:rPr>
        <w:t xml:space="preserve"> </w:t>
      </w:r>
      <w:bookmarkEnd w:id="58"/>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9" w:name="_Toc25942"/>
      <w:bookmarkStart w:id="60" w:name="_Toc256000009"/>
      <w:r>
        <w:rPr>
          <w:rFonts w:hint="eastAsia" w:ascii="仿宋" w:hAnsi="仿宋" w:eastAsia="仿宋" w:cs="仿宋"/>
          <w:b/>
          <w:bCs/>
          <w:color w:val="auto"/>
          <w:kern w:val="0"/>
          <w:sz w:val="24"/>
          <w:szCs w:val="32"/>
          <w:highlight w:val="none"/>
        </w:rPr>
        <w:t>六、开标</w:t>
      </w:r>
      <w:bookmarkEnd w:id="59"/>
      <w:bookmarkEnd w:id="6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20.开标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A．采用见面开标方式</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因网上招标系统故障导致所有投标人均解密失败时，投标人使用未加密的电子投标文件进行开评标。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20.4 在评审结束前，未得到采购代理机构允许，投标人法定代表人或授权代理人不得离开开标现场。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20.5 公证员对开标过程进行全程公证。</w:t>
      </w:r>
    </w:p>
    <w:p>
      <w:pPr>
        <w:pStyle w:val="35"/>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B．采用不见面开标方式</w:t>
      </w:r>
      <w:r>
        <w:rPr>
          <w:rFonts w:hint="eastAsia" w:ascii="仿宋" w:hAnsi="仿宋" w:eastAsia="仿宋" w:cs="仿宋"/>
          <w:color w:val="auto"/>
          <w:sz w:val="24"/>
          <w:highlight w:val="none"/>
        </w:rPr>
        <w:t>（是否采用详见投标人须知前附表）</w:t>
      </w:r>
    </w:p>
    <w:p>
      <w:pPr>
        <w:pStyle w:val="35"/>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规定的投标截止时间（开标时间）和投标人须知前附表规定的地点开标。投标人的法定代表人或其委托代理人无需到达开标现场，仅需在任意地点通过兵团政采云不见面开标系统，使用CA密钥完成远程解密、提疑澄清、开标唱标、结果公布等交互环节。法定代表人或法定代表人授权委托人参与远程交互，中途不得更换，在</w:t>
      </w:r>
      <w:r>
        <w:rPr>
          <w:rFonts w:hint="eastAsia" w:ascii="仿宋" w:hAnsi="仿宋" w:eastAsia="仿宋" w:cs="仿宋"/>
          <w:color w:val="auto"/>
          <w:sz w:val="24"/>
          <w:highlight w:val="none"/>
          <w:lang w:eastAsia="zh-CN"/>
        </w:rPr>
        <w:t>无效投标</w:t>
      </w:r>
      <w:r>
        <w:rPr>
          <w:rFonts w:hint="eastAsia" w:ascii="仿宋" w:hAnsi="仿宋" w:eastAsia="仿宋" w:cs="仿宋"/>
          <w:color w:val="auto"/>
          <w:sz w:val="24"/>
          <w:highlight w:val="none"/>
        </w:rPr>
        <w:t>、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24"/>
        <w:rPr>
          <w:rFonts w:hint="eastAsia" w:ascii="仿宋" w:hAnsi="仿宋" w:eastAsia="仿宋" w:cs="仿宋"/>
          <w:color w:val="auto"/>
          <w:sz w:val="21"/>
          <w:szCs w:val="22"/>
          <w:highlight w:val="none"/>
        </w:rPr>
      </w:pPr>
      <w:bookmarkStart w:id="61" w:name="EB762c78e93eba4b72af2df5b3efee4779"/>
      <w:r>
        <w:rPr>
          <w:rFonts w:hint="eastAsia" w:ascii="仿宋" w:hAnsi="仿宋" w:eastAsia="仿宋" w:cs="仿宋"/>
          <w:color w:val="auto"/>
          <w:sz w:val="20"/>
          <w:szCs w:val="22"/>
          <w:highlight w:val="none"/>
        </w:rPr>
        <w:t xml:space="preserve"> </w:t>
      </w:r>
      <w:bookmarkEnd w:id="61"/>
      <w:bookmarkStart w:id="62" w:name="EBd11563aac94641bcbce64c740b54f3c6"/>
      <w:r>
        <w:rPr>
          <w:rFonts w:hint="eastAsia" w:ascii="仿宋" w:hAnsi="仿宋" w:eastAsia="仿宋" w:cs="仿宋"/>
          <w:color w:val="auto"/>
          <w:sz w:val="20"/>
          <w:szCs w:val="22"/>
          <w:highlight w:val="none"/>
        </w:rPr>
        <w:t xml:space="preserve"> </w:t>
      </w:r>
      <w:bookmarkEnd w:id="62"/>
      <w:bookmarkStart w:id="63" w:name="EBb2fe5bffca4b463885814e2aee93745c"/>
      <w:r>
        <w:rPr>
          <w:rFonts w:hint="eastAsia" w:ascii="仿宋" w:hAnsi="仿宋" w:eastAsia="仿宋" w:cs="仿宋"/>
          <w:color w:val="auto"/>
          <w:sz w:val="20"/>
          <w:szCs w:val="22"/>
          <w:highlight w:val="none"/>
        </w:rPr>
        <w:t xml:space="preserve"> </w:t>
      </w:r>
      <w:bookmarkEnd w:id="63"/>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64" w:name="_Toc256000010"/>
      <w:bookmarkStart w:id="65" w:name="_Toc7300"/>
      <w:r>
        <w:rPr>
          <w:rFonts w:hint="eastAsia" w:ascii="仿宋" w:hAnsi="仿宋" w:eastAsia="仿宋" w:cs="仿宋"/>
          <w:b/>
          <w:bCs/>
          <w:color w:val="auto"/>
          <w:kern w:val="0"/>
          <w:sz w:val="24"/>
          <w:szCs w:val="32"/>
          <w:highlight w:val="none"/>
        </w:rPr>
        <w:t>七、评标步骤和要求</w:t>
      </w:r>
      <w:bookmarkEnd w:id="64"/>
      <w:bookmarkEnd w:id="65"/>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21.组建评标委员会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21.2 参与过本项目的论证专家不得作为评标专家参加评标，采购人不得以专家身份参与评标。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22、资格审查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22.1公开招标采购项目开标结束后，采购人或者采购代理机构应当依法对投标人的资格进行审查。合格投标人不足3家的，不得评标。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23.初步评审</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23.1 评标委员会审查投标文件是否符合招标文件的基本要求：内容是否完整、资格证明文件是否合格、文件签署是否齐全、有无计算错误等。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23.2 评标委员会审查投标文件是否实质上响应招标文件的要求。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1）实质上响应的投标是指与招标文件上的条款、条件和规格相符，没有重大偏离或保留，否则将视为无效投标。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重大偏离或保留系指投标服务的服务期限等明显不能满足招标文件的要求，或者实质上与招标文件不一致，纠正这些偏离或保留将对其他实质上响应要求的投标人的竞争地位产生不公正的影响。包括但不限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A、招标文件第二部分“投标人须知前附表”带“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”号部分的证明文件不全或无效的；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B、投标文件未按招标文件的规定签章的；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C、未按投标文件份数要求提交投标文件的；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D、招标文件带“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”号部分任意一款不满足要求的；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E、报价超过项目预算或经评标委员会认定低于成本的；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F、投标有效期不足的；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G、联合体投标文件未附联合体投标协议书的；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H、不符合招标文件中有关分包规定的；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I、有串通投标或弄虚作假或有其他违法行为的；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J、投标人递交的电子投标文件（加密电子投标文件和未加密电子投标文件）均无法满足正常开标、评标使用功能的；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K、投标人名称或组织结构与领取</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时不一致且无有效变更证明的；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L、不符合招标文件中规定的其他实质性要求。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23.4 初步评审中，对明显的文字和计算错误按下述原则处理，若出现相互矛盾之处，应以排列在先的原则为准优先处理：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1）投标文件中的开标一览表与明细表内容不一致的，以开标一览表为准。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2）如果以文字表示的数据与数字表示的有差别，以文字为准修正数字。如果大写金额和小写金额不一致的，以大写金额为准；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3）如果单价乘以数量不等于总价，以单价为准修正总价，但单价金额小数点有明显错位的，应以总价为准，并修改单价。如果明细价格相加不等于汇总价格，以明细价格为准。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4）调整后的数据对投标人具有约束力，投标人不同意以上修正，其投标将被拒绝。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23.5 评标委员会对投标文件的判定，只依据投标文件内容本身，不依据其他外来证明。</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24.投标的澄清</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24.4 公开招标采购项目开标结束后，采购人或者采购代理机构应当依法对投标人的资格进行审查。合格投标人不足3家的，不得评标。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25.详细评审</w:t>
      </w:r>
    </w:p>
    <w:p>
      <w:pPr>
        <w:pStyle w:val="24"/>
        <w:spacing w:line="360" w:lineRule="auto"/>
        <w:rPr>
          <w:rFonts w:hint="eastAsia" w:ascii="仿宋" w:hAnsi="仿宋" w:eastAsia="仿宋" w:cs="仿宋"/>
          <w:b/>
          <w:sz w:val="24"/>
          <w:szCs w:val="22"/>
          <w:highlight w:val="none"/>
        </w:rPr>
      </w:pPr>
      <w:r>
        <w:rPr>
          <w:rFonts w:hint="eastAsia" w:ascii="仿宋" w:hAnsi="仿宋" w:eastAsia="仿宋" w:cs="仿宋"/>
          <w:b/>
          <w:sz w:val="24"/>
          <w:szCs w:val="22"/>
          <w:highlight w:val="none"/>
          <w:lang w:val="en-US" w:eastAsia="zh-CN"/>
        </w:rPr>
        <w:t>25.1</w:t>
      </w:r>
      <w:r>
        <w:rPr>
          <w:rFonts w:hint="eastAsia" w:ascii="仿宋" w:hAnsi="仿宋" w:eastAsia="仿宋" w:cs="仿宋"/>
          <w:b/>
          <w:sz w:val="24"/>
          <w:szCs w:val="22"/>
          <w:highlight w:val="none"/>
        </w:rPr>
        <w:t>同品牌多家投标人处理原则</w:t>
      </w:r>
    </w:p>
    <w:p>
      <w:pPr>
        <w:pStyle w:val="24"/>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pacing w:line="360" w:lineRule="auto"/>
        <w:ind w:firstLine="480" w:firstLineChars="200"/>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评标委员会只对实质上响应招标文件的投标进行评价和比较；评审应严格按照招标文件第二部分“投标人须知前附表”中规定以及招标文件的要求进行。具体要求等详见招标文件第四部分“评审方法”。</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 xml:space="preserve">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26.确定中标人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26.2 评标委员会根据评审结果及招标文件的规定确定中标人。</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27.评标过程要求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27.1 开标之后，直到签订合同止，凡是属于审查、澄清、评价和比较投标的有关资料以及定标意向等，均不向投标人或者其他与评标无关的人员透露。</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27.2 在确定中标人之前，投标人试图在投标文件审查、澄清、比较和评标时对评标委员会、采购人和采购代理机构施加任何影响都可能导致其投标无效。</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 电子招投标的应急措施</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27.3.1 电子开标、评标如出现下列原因，导致系统无法正常运行或无法正常评标时，应采取应急措施。</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（1）系统服务器发生故障，无法访问或无法使用系统；</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（2）系统的软件或数据库出现错误，不能进行正常操作；</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（3）系统发现有安全漏洞，有潜在的泄密危险；</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（4）病毒发作或受到外来病毒的攻击；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（5）出现其他不可抗拒的客观原因造成开评标系统无法正常使用。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出现上述情况时，应对未开标的暂停开标。已在系统内开标、评标的立即停止。采取应急措施时，必须对原有资料及信息作出妥善保密处理。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27.3.2 因系统原因导致投标人均无法解密电子投标文件时，采购代理机构可在开标现场直接导入投标人在投标截止时间前递交的未加密的电子投标文件进行开标、评标。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28.投标人瑕疵滞后发现的处理规则</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4"/>
        <w:spacing w:line="360" w:lineRule="auto"/>
        <w:rPr>
          <w:rFonts w:hint="eastAsia" w:ascii="仿宋" w:hAnsi="仿宋" w:eastAsia="仿宋" w:cs="仿宋"/>
          <w:b/>
          <w:color w:val="auto"/>
          <w:sz w:val="24"/>
          <w:szCs w:val="22"/>
          <w:highlight w:val="none"/>
          <w:lang w:eastAsia="zh-CN"/>
        </w:rPr>
      </w:pPr>
      <w:r>
        <w:rPr>
          <w:rFonts w:hint="eastAsia" w:ascii="仿宋" w:hAnsi="仿宋" w:eastAsia="仿宋" w:cs="仿宋"/>
          <w:b/>
          <w:color w:val="auto"/>
          <w:sz w:val="24"/>
          <w:szCs w:val="22"/>
          <w:highlight w:val="none"/>
        </w:rPr>
        <w:t>29.采购项目</w:t>
      </w:r>
      <w:r>
        <w:rPr>
          <w:rFonts w:hint="eastAsia" w:ascii="仿宋" w:hAnsi="仿宋" w:eastAsia="仿宋" w:cs="仿宋"/>
          <w:b/>
          <w:color w:val="auto"/>
          <w:sz w:val="24"/>
          <w:szCs w:val="22"/>
          <w:highlight w:val="none"/>
          <w:lang w:eastAsia="zh-CN"/>
        </w:rPr>
        <w:t>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29.1 在评标过程中，评标委员会发现有下列情形之一的，应对采购项目予以</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1）符合专业条件的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或者对招标文件作实质响应的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数量不足，导致进入详细评审、打分阶段的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 xml:space="preserve">不足3家的；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2）投标人的报价均超过了采购预算；</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3）出现影响采购公正的违法、违规行为的；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4）因重大变故，采购任务取消的。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除前款第四项规定的情形外，项目</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后，如未变更采购方式，采购代理机构将依法重新组织招标。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 有前款第一项规定的情形导致</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时，</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只有2家的，可以改为竞争性谈判方式，在书面征得</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同意并报经财政部门核准后，由采购人、采购代理机构按照竞争性谈判方式的程序组织采购。</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29.2.1 转为谈判后，若</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未能在评标委员会指定时间内（原则上不超过60分钟）提交符合要求的补充资料或未作出实质性响应的，投标无效。经过审查符合谈判要求的有效</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少于两家的，作</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29.2.2 评标委员会根据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内容与实质性响应</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要求的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分别进行谈判，并给予所有参加谈判的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平等的谈判机会。在谈判过程中，评标委员会可以根据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和谈判情况实质性变动采购需求中的技术、服务要求以及合同草案条款，但不得变动</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中的其他内容。实质性变动的内容，须经采购人代表确认。对</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作出的实质性变动是</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的有效组成部分，评标委员会应当及时以书面形式同时通知所有参加谈判的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应当按照</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的变动情况和评标委员会的要求重新提交</w:t>
      </w:r>
      <w:r>
        <w:rPr>
          <w:rFonts w:hint="eastAsia" w:ascii="仿宋" w:hAnsi="仿宋" w:eastAsia="仿宋" w:cs="仿宋"/>
          <w:color w:val="auto"/>
          <w:sz w:val="24"/>
          <w:szCs w:val="22"/>
          <w:highlight w:val="none"/>
          <w:lang w:eastAsia="zh-CN"/>
        </w:rPr>
        <w:t>投标文件</w:t>
      </w:r>
      <w:r>
        <w:rPr>
          <w:rFonts w:hint="eastAsia" w:ascii="仿宋" w:hAnsi="仿宋" w:eastAsia="仿宋" w:cs="仿宋"/>
          <w:color w:val="auto"/>
          <w:sz w:val="24"/>
          <w:szCs w:val="22"/>
          <w:highlight w:val="none"/>
        </w:rPr>
        <w:t>，并由其法定代表人或授权代表签字或者加盖公章。</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29.2.3 投标文件的报价视为谈判时的首次报价。谈判结束后，评标委员会应当要求所有继续参加谈判的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在规定时间内提交不超过两轮的报价。</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的各轮报价是</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报价文件的有效组成部分。除最终报价外，谈判时将公开各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每轮报价。</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29.2.4 在谈判内容不作实质性变更及重大调整的前提下，</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次轮报价不得高于上一轮报价，否则将视为重大偏离并导致报价被拒绝。</w:t>
      </w:r>
    </w:p>
    <w:p>
      <w:pPr>
        <w:pStyle w:val="24"/>
        <w:rPr>
          <w:rFonts w:hint="eastAsia" w:ascii="仿宋" w:hAnsi="仿宋" w:eastAsia="仿宋" w:cs="仿宋"/>
          <w:color w:val="auto"/>
          <w:sz w:val="21"/>
          <w:szCs w:val="22"/>
          <w:highlight w:val="none"/>
        </w:rPr>
      </w:pPr>
      <w:bookmarkStart w:id="66" w:name="EB89510c3b3a30480c8610f449b19e4e0a"/>
      <w:r>
        <w:rPr>
          <w:rFonts w:hint="eastAsia" w:ascii="仿宋" w:hAnsi="仿宋" w:eastAsia="仿宋" w:cs="仿宋"/>
          <w:color w:val="auto"/>
          <w:sz w:val="20"/>
          <w:szCs w:val="22"/>
          <w:highlight w:val="none"/>
        </w:rPr>
        <w:t xml:space="preserve"> </w:t>
      </w:r>
      <w:bookmarkEnd w:id="66"/>
      <w:bookmarkStart w:id="67" w:name="EBcfcb2aa810f9473284463cee8dd57e95"/>
      <w:r>
        <w:rPr>
          <w:rFonts w:hint="eastAsia" w:ascii="仿宋" w:hAnsi="仿宋" w:eastAsia="仿宋" w:cs="仿宋"/>
          <w:color w:val="auto"/>
          <w:sz w:val="20"/>
          <w:szCs w:val="22"/>
          <w:highlight w:val="none"/>
        </w:rPr>
        <w:t xml:space="preserve"> </w:t>
      </w:r>
      <w:bookmarkEnd w:id="67"/>
      <w:bookmarkStart w:id="68" w:name="EBaf0501d4fc0047abb4da5d9e147222a8"/>
      <w:r>
        <w:rPr>
          <w:rFonts w:hint="eastAsia" w:ascii="仿宋" w:hAnsi="仿宋" w:eastAsia="仿宋" w:cs="仿宋"/>
          <w:color w:val="auto"/>
          <w:sz w:val="20"/>
          <w:szCs w:val="22"/>
          <w:highlight w:val="none"/>
        </w:rPr>
        <w:t xml:space="preserve"> </w:t>
      </w:r>
      <w:bookmarkEnd w:id="68"/>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69" w:name="_Toc23581"/>
      <w:bookmarkStart w:id="70" w:name="_Toc256000011"/>
      <w:r>
        <w:rPr>
          <w:rFonts w:hint="eastAsia" w:ascii="仿宋" w:hAnsi="仿宋" w:eastAsia="仿宋" w:cs="仿宋"/>
          <w:b/>
          <w:bCs/>
          <w:color w:val="auto"/>
          <w:kern w:val="0"/>
          <w:sz w:val="24"/>
          <w:szCs w:val="32"/>
          <w:highlight w:val="none"/>
        </w:rPr>
        <w:t>八、履约保证金</w:t>
      </w:r>
      <w:bookmarkEnd w:id="69"/>
      <w:bookmarkEnd w:id="7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30.履约保证金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30.1 履约保证金按照招标文件第二部分“投标人须知前附表”中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规定，在签订合同前交纳。</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30.2 中标人在中标公告发布后及时足额交纳履约保证金。</w:t>
      </w:r>
    </w:p>
    <w:p>
      <w:pPr>
        <w:pStyle w:val="24"/>
        <w:rPr>
          <w:rFonts w:hint="eastAsia" w:ascii="仿宋" w:hAnsi="仿宋" w:eastAsia="仿宋" w:cs="仿宋"/>
          <w:color w:val="auto"/>
          <w:sz w:val="21"/>
          <w:szCs w:val="22"/>
          <w:highlight w:val="none"/>
        </w:rPr>
      </w:pPr>
      <w:bookmarkStart w:id="71" w:name="EB09ff709202054180b10e7298446abc62"/>
      <w:r>
        <w:rPr>
          <w:rFonts w:hint="eastAsia" w:ascii="仿宋" w:hAnsi="仿宋" w:eastAsia="仿宋" w:cs="仿宋"/>
          <w:color w:val="auto"/>
          <w:sz w:val="20"/>
          <w:szCs w:val="22"/>
          <w:highlight w:val="none"/>
        </w:rPr>
        <w:t xml:space="preserve"> </w:t>
      </w:r>
      <w:bookmarkEnd w:id="71"/>
      <w:bookmarkStart w:id="72" w:name="EBa2782dfe55b145cf925f57f312c27ae5"/>
      <w:r>
        <w:rPr>
          <w:rFonts w:hint="eastAsia" w:ascii="仿宋" w:hAnsi="仿宋" w:eastAsia="仿宋" w:cs="仿宋"/>
          <w:color w:val="auto"/>
          <w:sz w:val="20"/>
          <w:szCs w:val="22"/>
          <w:highlight w:val="none"/>
        </w:rPr>
        <w:t xml:space="preserve"> </w:t>
      </w:r>
      <w:bookmarkEnd w:id="72"/>
      <w:bookmarkStart w:id="73" w:name="EBbe8c5d3558184a138eebad6fbda2d8b7"/>
      <w:r>
        <w:rPr>
          <w:rFonts w:hint="eastAsia" w:ascii="仿宋" w:hAnsi="仿宋" w:eastAsia="仿宋" w:cs="仿宋"/>
          <w:color w:val="auto"/>
          <w:sz w:val="20"/>
          <w:szCs w:val="22"/>
          <w:highlight w:val="none"/>
        </w:rPr>
        <w:t xml:space="preserve"> </w:t>
      </w:r>
      <w:bookmarkEnd w:id="73"/>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74" w:name="_Toc14168"/>
      <w:bookmarkStart w:id="75" w:name="_Toc256000012"/>
      <w:r>
        <w:rPr>
          <w:rFonts w:hint="eastAsia" w:ascii="仿宋" w:hAnsi="仿宋" w:eastAsia="仿宋" w:cs="仿宋"/>
          <w:b/>
          <w:bCs/>
          <w:color w:val="auto"/>
          <w:kern w:val="0"/>
          <w:sz w:val="24"/>
          <w:szCs w:val="32"/>
          <w:highlight w:val="none"/>
        </w:rPr>
        <w:t>九、代理服务费、公证费</w:t>
      </w:r>
      <w:bookmarkEnd w:id="74"/>
      <w:bookmarkEnd w:id="75"/>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31.代理服务费、公证费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31.1 代理服务费、公证费按照招标文件第二部分“投标人须知前附表”中的规定由中标人交纳，请投标人在测算投标报价时充分考虑这一因素。</w:t>
      </w:r>
    </w:p>
    <w:p>
      <w:pPr>
        <w:pStyle w:val="24"/>
        <w:rPr>
          <w:rFonts w:hint="eastAsia" w:ascii="仿宋" w:hAnsi="仿宋" w:eastAsia="仿宋" w:cs="仿宋"/>
          <w:color w:val="auto"/>
          <w:sz w:val="21"/>
          <w:szCs w:val="22"/>
          <w:highlight w:val="none"/>
        </w:rPr>
      </w:pPr>
      <w:bookmarkStart w:id="76" w:name="EB3d5290ec12874590b73093f235eb4b9c"/>
      <w:r>
        <w:rPr>
          <w:rFonts w:hint="eastAsia" w:ascii="仿宋" w:hAnsi="仿宋" w:eastAsia="仿宋" w:cs="仿宋"/>
          <w:color w:val="auto"/>
          <w:sz w:val="20"/>
          <w:szCs w:val="22"/>
          <w:highlight w:val="none"/>
        </w:rPr>
        <w:t xml:space="preserve"> </w:t>
      </w:r>
      <w:bookmarkEnd w:id="76"/>
      <w:bookmarkStart w:id="77" w:name="EBa88a30bffaa84b308ae0078153f9e940"/>
      <w:r>
        <w:rPr>
          <w:rFonts w:hint="eastAsia" w:ascii="仿宋" w:hAnsi="仿宋" w:eastAsia="仿宋" w:cs="仿宋"/>
          <w:color w:val="auto"/>
          <w:sz w:val="20"/>
          <w:szCs w:val="22"/>
          <w:highlight w:val="none"/>
        </w:rPr>
        <w:t xml:space="preserve"> </w:t>
      </w:r>
      <w:bookmarkEnd w:id="77"/>
      <w:bookmarkStart w:id="78" w:name="EB8594d7a587344cd4b5015c7adff7aa6f"/>
      <w:r>
        <w:rPr>
          <w:rFonts w:hint="eastAsia" w:ascii="仿宋" w:hAnsi="仿宋" w:eastAsia="仿宋" w:cs="仿宋"/>
          <w:color w:val="auto"/>
          <w:sz w:val="20"/>
          <w:szCs w:val="22"/>
          <w:highlight w:val="none"/>
        </w:rPr>
        <w:t xml:space="preserve"> </w:t>
      </w:r>
      <w:bookmarkEnd w:id="78"/>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79" w:name="_Toc15174"/>
      <w:bookmarkStart w:id="80" w:name="_Toc256000013"/>
      <w:r>
        <w:rPr>
          <w:rFonts w:hint="eastAsia" w:ascii="仿宋" w:hAnsi="仿宋" w:eastAsia="仿宋" w:cs="仿宋"/>
          <w:b/>
          <w:bCs/>
          <w:color w:val="auto"/>
          <w:kern w:val="0"/>
          <w:sz w:val="24"/>
          <w:szCs w:val="32"/>
          <w:highlight w:val="none"/>
        </w:rPr>
        <w:t>十、签订、审核合同</w:t>
      </w:r>
      <w:bookmarkEnd w:id="79"/>
      <w:bookmarkEnd w:id="8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32.中标通知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32.2 采购代理机构对未中标的投标人不作未中标原因的解释，但中标结果的有效性不以未中标的投标人是否收到相应的通知为前提。</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32.3 中标通知书是合同的组成部分。</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33.签订合同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中标人须在中标通知书发出之日起30日内与采购人签订采购合同。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中标人须按照招标文件、投标文件及评标过程中的有关澄清、说明或者补正文件的内容与采购人签订合同。中标人不得再与采购人签订背离合同实质性内容的其他协议或声明。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采购人如需追加与合同标的相同的货物，在不改变合同其他条款的前提下，提交追加合同的申请报经同级财政部门审核，可与中标人签订补充合同，但所有补充合同的采购金额不得超过原合同金额的百分之十。</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中标人一旦中标及签订合同后，不得转包，亦不得将合同全部及任何权利、义务向第三方转让。</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33.5 中标人不履行合同的，采购人可在报经同级人民政府财政部门核准后，与排位在中标人之后的第一位中标候选</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签订合同，以此类推；或在报经同级人民政府财政部门核准后重新组织采购。</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33.6 违反32.1条、32.2条的规定，给对方造成损失的，应承担赔偿责任。</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34.审核合同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34.1 中标人持政府采购合同于签订合同之日起3个工作日内到兵团政采云</w:t>
      </w:r>
      <w:r>
        <w:rPr>
          <w:rFonts w:hint="eastAsia" w:ascii="仿宋" w:hAnsi="仿宋" w:eastAsia="仿宋" w:cs="仿宋"/>
          <w:color w:val="auto"/>
          <w:sz w:val="24"/>
          <w:szCs w:val="22"/>
          <w:highlight w:val="none"/>
          <w:lang w:val="en-US" w:eastAsia="zh-CN"/>
        </w:rPr>
        <w:t>平台</w:t>
      </w:r>
      <w:r>
        <w:rPr>
          <w:rFonts w:hint="eastAsia" w:ascii="仿宋" w:hAnsi="仿宋" w:eastAsia="仿宋" w:cs="仿宋"/>
          <w:color w:val="auto"/>
          <w:sz w:val="24"/>
          <w:szCs w:val="22"/>
          <w:highlight w:val="none"/>
        </w:rPr>
        <w:t>进行备案留存。</w:t>
      </w:r>
    </w:p>
    <w:p>
      <w:pPr>
        <w:pStyle w:val="24"/>
        <w:rPr>
          <w:rFonts w:hint="eastAsia" w:ascii="仿宋" w:hAnsi="仿宋" w:eastAsia="仿宋" w:cs="仿宋"/>
          <w:color w:val="auto"/>
          <w:sz w:val="21"/>
          <w:szCs w:val="22"/>
          <w:highlight w:val="none"/>
        </w:rPr>
      </w:pPr>
      <w:bookmarkStart w:id="81" w:name="EB65972bcfd405439a8ed92726140c4e40"/>
      <w:r>
        <w:rPr>
          <w:rFonts w:hint="eastAsia" w:ascii="仿宋" w:hAnsi="仿宋" w:eastAsia="仿宋" w:cs="仿宋"/>
          <w:color w:val="auto"/>
          <w:sz w:val="20"/>
          <w:szCs w:val="22"/>
          <w:highlight w:val="none"/>
        </w:rPr>
        <w:t xml:space="preserve"> </w:t>
      </w:r>
      <w:bookmarkEnd w:id="81"/>
      <w:bookmarkStart w:id="82" w:name="EB6c0abc09bb1f4a6bbedf613e9381b7f4"/>
      <w:r>
        <w:rPr>
          <w:rFonts w:hint="eastAsia" w:ascii="仿宋" w:hAnsi="仿宋" w:eastAsia="仿宋" w:cs="仿宋"/>
          <w:color w:val="auto"/>
          <w:sz w:val="20"/>
          <w:szCs w:val="22"/>
          <w:highlight w:val="none"/>
        </w:rPr>
        <w:t xml:space="preserve"> </w:t>
      </w:r>
      <w:bookmarkEnd w:id="82"/>
      <w:bookmarkStart w:id="83" w:name="EB26d94f6935064ca08c11486392c4dde2"/>
      <w:r>
        <w:rPr>
          <w:rFonts w:hint="eastAsia" w:ascii="仿宋" w:hAnsi="仿宋" w:eastAsia="仿宋" w:cs="仿宋"/>
          <w:color w:val="auto"/>
          <w:sz w:val="20"/>
          <w:szCs w:val="22"/>
          <w:highlight w:val="none"/>
        </w:rPr>
        <w:t xml:space="preserve"> </w:t>
      </w:r>
      <w:bookmarkEnd w:id="83"/>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84" w:name="_Toc907"/>
      <w:bookmarkStart w:id="85" w:name="_Toc256000014"/>
      <w:r>
        <w:rPr>
          <w:rFonts w:hint="eastAsia" w:ascii="仿宋" w:hAnsi="仿宋" w:eastAsia="仿宋" w:cs="仿宋"/>
          <w:b/>
          <w:bCs/>
          <w:color w:val="auto"/>
          <w:kern w:val="0"/>
          <w:sz w:val="24"/>
          <w:szCs w:val="32"/>
          <w:highlight w:val="none"/>
        </w:rPr>
        <w:t>十一、处罚、询问和质疑</w:t>
      </w:r>
      <w:bookmarkEnd w:id="84"/>
      <w:bookmarkEnd w:id="85"/>
      <w:r>
        <w:rPr>
          <w:rFonts w:hint="eastAsia" w:ascii="仿宋" w:hAnsi="仿宋" w:eastAsia="仿宋" w:cs="仿宋"/>
          <w:b/>
          <w:bCs/>
          <w:color w:val="auto"/>
          <w:kern w:val="0"/>
          <w:sz w:val="24"/>
          <w:szCs w:val="32"/>
          <w:highlight w:val="none"/>
        </w:rPr>
        <w:t xml:space="preserve"> </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35.处罚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35.1 发生下列情况之一，投标人的保证金不予退还；情节严重的将其列入不良记录名单。</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1）开标后在投标有效期内，投标人撤回其投标；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2）中标后无正当理由不与采购人签订合同的；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3）中标人与采购人订立背离合同实质性内容的其他协议；</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4）将中标项目转让给他人，或者在投标文件中未说明，且未经采购代理机构同意，将中标项目分包给他人的；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5）存在串通投标行为的；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6）存在弄虚作假或提供虚假材料谋取中标的；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7）投标人其他未按招标文件规定和合同约定履行义务的行为。</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36.询问</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36.1 投标人对采购事项有疑问的，可以向采购人或采购代理机构提出询问。</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37.投标人有权就招标事宜提出质疑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37.1 投标人认为招标文件、采购过程和中标结果使自已的权益受到损害的，可以在知道或者应知其权益受到损害之日起7个工作日内，以书面形式提出质疑。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37.2 质疑应当按照《中华人民共和国政府采购法》、《中华人民共和国政府采购法实施条例》、《</w:t>
      </w:r>
      <w:r>
        <w:rPr>
          <w:rFonts w:hint="eastAsia" w:ascii="仿宋" w:hAnsi="仿宋" w:eastAsia="仿宋" w:cs="仿宋"/>
          <w:color w:val="auto"/>
          <w:kern w:val="0"/>
          <w:sz w:val="24"/>
          <w:highlight w:val="none"/>
        </w:rPr>
        <w:t>政府采购质疑和投诉办法</w:t>
      </w:r>
      <w:r>
        <w:rPr>
          <w:rFonts w:hint="eastAsia" w:ascii="仿宋" w:hAnsi="仿宋" w:eastAsia="仿宋" w:cs="仿宋"/>
          <w:color w:val="auto"/>
          <w:sz w:val="24"/>
          <w:szCs w:val="22"/>
          <w:highlight w:val="none"/>
        </w:rPr>
        <w:t>》等法律法规的相关规定，以书面形式向采购代理机构提出。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37.3 质疑书应当附上相关证明材料，否则质疑将视为无有效证据支持，将被予以驳回，并不得以上述理由要求延长质疑有效期。未递交投标文件的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，其未参加后续采购活动，不得对递交投标文件截止后的采购过程、采购结果提出质疑。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37.4 质疑人可以采取直接送达或者邮寄方式提交质疑书。采购代理机构收到质疑书后，对质疑书进行审查，对符合质疑条件的将办理签收手续，自签收质疑书之日起即为受理。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37.5 采购代理机构将在受理书面质疑后7个工作日内审查质疑事项，作出答复或相关处理决定，并以书面形式通知质疑人和其他相关</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，但答复的内容不涉及商业秘密。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37.6 投标人进行虚假和恶意质疑的，采购代理机构将提请有关部门将其列入不良记录名单，在一至三年内禁止参加政府采购活动，并将处理决定在相关政府采购媒体上公布。</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37.7 质疑人对答复不满意以及采购代理机构未在规定的时间内作出答复的，可以在答复期满后15个工作日内向财政部门投拆。</w:t>
      </w:r>
    </w:p>
    <w:p>
      <w:pPr>
        <w:pStyle w:val="24"/>
        <w:rPr>
          <w:rFonts w:hint="eastAsia" w:ascii="仿宋" w:hAnsi="仿宋" w:eastAsia="仿宋" w:cs="仿宋"/>
          <w:color w:val="auto"/>
          <w:sz w:val="21"/>
          <w:szCs w:val="22"/>
          <w:highlight w:val="none"/>
        </w:rPr>
      </w:pPr>
      <w:bookmarkStart w:id="86" w:name="EB39c71293e74d40469078ba26d6416c98"/>
      <w:r>
        <w:rPr>
          <w:rFonts w:hint="eastAsia" w:ascii="仿宋" w:hAnsi="仿宋" w:eastAsia="仿宋" w:cs="仿宋"/>
          <w:color w:val="auto"/>
          <w:sz w:val="20"/>
          <w:szCs w:val="22"/>
          <w:highlight w:val="none"/>
        </w:rPr>
        <w:t xml:space="preserve"> </w:t>
      </w:r>
      <w:bookmarkEnd w:id="86"/>
      <w:bookmarkStart w:id="87" w:name="EB271efed5eb2c4571a51ef86245b10499"/>
      <w:r>
        <w:rPr>
          <w:rFonts w:hint="eastAsia" w:ascii="仿宋" w:hAnsi="仿宋" w:eastAsia="仿宋" w:cs="仿宋"/>
          <w:color w:val="auto"/>
          <w:sz w:val="20"/>
          <w:szCs w:val="22"/>
          <w:highlight w:val="none"/>
        </w:rPr>
        <w:t xml:space="preserve"> </w:t>
      </w:r>
      <w:bookmarkEnd w:id="87"/>
      <w:bookmarkStart w:id="88" w:name="EB1019d0c475354d278c10922fbe210b36"/>
      <w:r>
        <w:rPr>
          <w:rFonts w:hint="eastAsia" w:ascii="仿宋" w:hAnsi="仿宋" w:eastAsia="仿宋" w:cs="仿宋"/>
          <w:color w:val="auto"/>
          <w:sz w:val="20"/>
          <w:szCs w:val="22"/>
          <w:highlight w:val="none"/>
        </w:rPr>
        <w:t xml:space="preserve"> </w:t>
      </w:r>
      <w:bookmarkEnd w:id="88"/>
    </w:p>
    <w:bookmarkEnd w:id="16"/>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89" w:name="_Toc12223"/>
      <w:bookmarkStart w:id="90" w:name="_Toc256000015"/>
      <w:bookmarkStart w:id="91" w:name="_Toc30563"/>
      <w:bookmarkStart w:id="92" w:name="EB24095aed30e8447c97a82272874e1305"/>
      <w:r>
        <w:rPr>
          <w:rFonts w:hint="eastAsia" w:ascii="仿宋" w:hAnsi="仿宋" w:eastAsia="仿宋" w:cs="仿宋"/>
          <w:b/>
          <w:bCs/>
          <w:color w:val="auto"/>
          <w:kern w:val="0"/>
          <w:sz w:val="24"/>
          <w:szCs w:val="32"/>
          <w:highlight w:val="none"/>
        </w:rPr>
        <w:t>十二、保密和披露</w:t>
      </w:r>
      <w:bookmarkEnd w:id="89"/>
      <w:bookmarkEnd w:id="9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38.保密和披露</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38.2 采购代理机构有权将投标人提供的所有资料向有关政府部门或评审标书的有关人员披露。</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4"/>
        <w:rPr>
          <w:rFonts w:hint="eastAsia" w:ascii="仿宋" w:hAnsi="仿宋" w:eastAsia="仿宋" w:cs="仿宋"/>
          <w:color w:val="auto"/>
          <w:sz w:val="21"/>
          <w:szCs w:val="22"/>
          <w:highlight w:val="none"/>
        </w:rPr>
      </w:pPr>
      <w:bookmarkStart w:id="93" w:name="EB25a5329124b74315b236b5ababbb0bae"/>
      <w:r>
        <w:rPr>
          <w:rFonts w:hint="eastAsia" w:ascii="仿宋" w:hAnsi="仿宋" w:eastAsia="仿宋" w:cs="仿宋"/>
          <w:color w:val="auto"/>
          <w:sz w:val="20"/>
          <w:szCs w:val="22"/>
          <w:highlight w:val="none"/>
        </w:rPr>
        <w:t xml:space="preserve"> </w:t>
      </w:r>
      <w:bookmarkEnd w:id="93"/>
    </w:p>
    <w:p>
      <w:pPr>
        <w:rPr>
          <w:rFonts w:hint="eastAsia" w:ascii="仿宋" w:hAnsi="仿宋" w:eastAsia="仿宋" w:cs="仿宋"/>
          <w:color w:val="auto"/>
          <w:sz w:val="20"/>
          <w:highlight w:val="none"/>
        </w:rPr>
      </w:pPr>
    </w:p>
    <w:p>
      <w:pPr>
        <w:pStyle w:val="7"/>
        <w:numPr>
          <w:ilvl w:val="0"/>
          <w:numId w:val="0"/>
        </w:numPr>
        <w:tabs>
          <w:tab w:val="left" w:pos="0"/>
        </w:tabs>
        <w:spacing w:line="240" w:lineRule="auto"/>
        <w:outlineLvl w:val="9"/>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ind w:firstLine="1440" w:firstLineChars="450"/>
        <w:jc w:val="both"/>
        <w:outlineLvl w:val="0"/>
        <w:rPr>
          <w:rFonts w:eastAsia="方正小标宋_GBK" w:cs="Times New Roman"/>
          <w:sz w:val="32"/>
          <w:szCs w:val="32"/>
        </w:rPr>
      </w:pPr>
      <w:r>
        <w:rPr>
          <w:rFonts w:hint="eastAsia" w:eastAsia="方正小标宋_GBK" w:cs="Times New Roman"/>
          <w:sz w:val="32"/>
          <w:szCs w:val="32"/>
        </w:rPr>
        <w:t xml:space="preserve">第三部分   </w:t>
      </w:r>
      <w:bookmarkStart w:id="94" w:name="_Toc13196"/>
      <w:bookmarkStart w:id="95" w:name="_Toc7892"/>
      <w:bookmarkStart w:id="96" w:name="_Toc3542"/>
      <w:bookmarkStart w:id="97" w:name="_Toc6917845"/>
      <w:bookmarkStart w:id="98" w:name="_Toc19710"/>
      <w:bookmarkStart w:id="99" w:name="_Toc505930499"/>
      <w:bookmarkStart w:id="100" w:name="_Toc267320049"/>
      <w:bookmarkStart w:id="101" w:name="_Toc74759564"/>
      <w:bookmarkStart w:id="102" w:name="EBe6f29cfd18e6459587ecf2aa36a0140e"/>
      <w:bookmarkStart w:id="103" w:name="_Toc5269041"/>
      <w:bookmarkStart w:id="104" w:name="_Toc28827"/>
      <w:r>
        <w:rPr>
          <w:rFonts w:eastAsia="方正小标宋_GBK" w:cs="Times New Roman"/>
          <w:sz w:val="32"/>
          <w:szCs w:val="32"/>
        </w:rPr>
        <w:t>政府采购项目采购需求</w:t>
      </w:r>
      <w:bookmarkEnd w:id="91"/>
    </w:p>
    <w:p>
      <w:pPr>
        <w:pStyle w:val="7"/>
        <w:tabs>
          <w:tab w:val="left" w:pos="0"/>
        </w:tabs>
        <w:spacing w:line="240" w:lineRule="auto"/>
        <w:ind w:left="0" w:leftChars="0" w:firstLine="0" w:firstLineChars="0"/>
        <w:jc w:val="center"/>
        <w:outlineLvl w:val="9"/>
        <w:rPr>
          <w:rFonts w:hint="eastAsia" w:ascii="仿宋" w:hAnsi="仿宋" w:eastAsia="仿宋" w:cs="仿宋"/>
          <w:sz w:val="28"/>
          <w:szCs w:val="28"/>
          <w:highlight w:val="none"/>
        </w:rPr>
      </w:pPr>
    </w:p>
    <w:bookmarkEnd w:id="94"/>
    <w:bookmarkEnd w:id="95"/>
    <w:bookmarkEnd w:id="96"/>
    <w:bookmarkEnd w:id="97"/>
    <w:bookmarkEnd w:id="98"/>
    <w:bookmarkEnd w:id="99"/>
    <w:bookmarkEnd w:id="100"/>
    <w:bookmarkEnd w:id="101"/>
    <w:bookmarkEnd w:id="102"/>
    <w:bookmarkEnd w:id="103"/>
    <w:bookmarkEnd w:id="104"/>
    <w:p>
      <w:pPr>
        <w:jc w:val="center"/>
        <w:rPr>
          <w:rFonts w:eastAsia="方正小标宋简体"/>
          <w:sz w:val="44"/>
          <w:szCs w:val="44"/>
        </w:rPr>
      </w:pPr>
    </w:p>
    <w:p>
      <w:pPr>
        <w:pStyle w:val="18"/>
        <w:rPr>
          <w:rFonts w:eastAsia="方正小标宋简体"/>
          <w:sz w:val="44"/>
          <w:szCs w:val="44"/>
        </w:rPr>
      </w:pPr>
    </w:p>
    <w:p>
      <w:pPr>
        <w:rPr>
          <w:rFonts w:eastAsia="方正小标宋简体"/>
          <w:sz w:val="44"/>
          <w:szCs w:val="44"/>
        </w:rPr>
      </w:pPr>
    </w:p>
    <w:p>
      <w:pPr>
        <w:pStyle w:val="18"/>
        <w:rPr>
          <w:rFonts w:eastAsia="方正小标宋简体"/>
          <w:sz w:val="44"/>
          <w:szCs w:val="44"/>
        </w:rPr>
      </w:pPr>
    </w:p>
    <w:p>
      <w:pPr>
        <w:rPr>
          <w:rFonts w:eastAsia="方正小标宋简体"/>
          <w:sz w:val="44"/>
          <w:szCs w:val="44"/>
        </w:rPr>
      </w:pPr>
    </w:p>
    <w:p>
      <w:pPr>
        <w:pStyle w:val="18"/>
      </w:pPr>
    </w:p>
    <w:p>
      <w:pPr>
        <w:jc w:val="left"/>
        <w:rPr>
          <w:rFonts w:hint="eastAsia" w:ascii="仿宋" w:hAnsi="仿宋" w:eastAsia="仿宋" w:cs="仿宋"/>
          <w:kern w:val="0"/>
          <w:sz w:val="24"/>
          <w:szCs w:val="24"/>
          <w:highlight w:val="none"/>
          <w:u w:val="single"/>
          <w:shd w:val="clear" w:color="auto" w:fill="auto"/>
          <w:lang w:val="en-US" w:eastAsia="zh-CN" w:bidi="ar-SA"/>
        </w:rPr>
      </w:pPr>
      <w:r>
        <w:rPr>
          <w:rFonts w:hint="eastAsia" w:ascii="宋体" w:hAnsi="宋体" w:eastAsia="宋体" w:cs="宋体"/>
          <w:b/>
          <w:bCs/>
          <w:sz w:val="28"/>
          <w:szCs w:val="28"/>
          <w:highlight w:val="none"/>
        </w:rPr>
        <w:t>项目名称：</w:t>
      </w:r>
      <w:r>
        <w:rPr>
          <w:rFonts w:hint="eastAsia" w:ascii="仿宋" w:hAnsi="仿宋" w:eastAsia="仿宋" w:cs="仿宋"/>
          <w:kern w:val="0"/>
          <w:sz w:val="24"/>
          <w:szCs w:val="24"/>
          <w:highlight w:val="none"/>
          <w:u w:val="single"/>
          <w:shd w:val="clear" w:color="auto" w:fill="auto"/>
          <w:lang w:val="en-US" w:eastAsia="zh-CN" w:bidi="ar-SA"/>
        </w:rPr>
        <w:t>第三师总医院（一期）医疗设施设备购置项目（第二包）（标项10）</w:t>
      </w:r>
    </w:p>
    <w:p>
      <w:pPr>
        <w:jc w:val="left"/>
        <w:rPr>
          <w:rFonts w:hint="eastAsia" w:ascii="仿宋" w:hAnsi="仿宋" w:eastAsia="仿宋" w:cs="仿宋"/>
          <w:kern w:val="0"/>
          <w:sz w:val="24"/>
          <w:szCs w:val="24"/>
          <w:highlight w:val="none"/>
          <w:u w:val="single"/>
          <w:shd w:val="clear" w:color="auto" w:fill="auto"/>
          <w:lang w:val="en-US" w:eastAsia="zh-CN" w:bidi="ar-SA"/>
        </w:rPr>
      </w:pPr>
      <w:r>
        <w:rPr>
          <w:rFonts w:hint="eastAsia" w:ascii="宋体" w:hAnsi="宋体" w:eastAsia="宋体" w:cs="宋体"/>
          <w:b/>
          <w:bCs/>
          <w:sz w:val="28"/>
          <w:szCs w:val="28"/>
        </w:rPr>
        <w:t>项目分类：</w:t>
      </w:r>
      <w:r>
        <w:rPr>
          <w:rFonts w:hint="eastAsia" w:ascii="仿宋" w:hAnsi="仿宋" w:eastAsia="仿宋" w:cs="仿宋"/>
          <w:kern w:val="0"/>
          <w:sz w:val="24"/>
          <w:szCs w:val="24"/>
          <w:highlight w:val="none"/>
          <w:u w:val="single"/>
          <w:shd w:val="clear" w:color="auto" w:fill="auto"/>
          <w:lang w:val="en-US" w:eastAsia="zh-CN" w:bidi="ar-SA"/>
        </w:rPr>
        <w:t xml:space="preserve">货物类                                   </w:t>
      </w:r>
    </w:p>
    <w:p>
      <w:pPr>
        <w:jc w:val="left"/>
        <w:rPr>
          <w:rFonts w:eastAsia="方正小标宋_GBK" w:cs="Times New Roman"/>
          <w:sz w:val="32"/>
          <w:szCs w:val="32"/>
        </w:rPr>
      </w:pPr>
      <w:r>
        <w:rPr>
          <w:rFonts w:hint="eastAsia" w:ascii="宋体" w:hAnsi="宋体" w:eastAsia="宋体" w:cs="宋体"/>
          <w:b/>
          <w:bCs/>
          <w:sz w:val="28"/>
          <w:szCs w:val="28"/>
        </w:rPr>
        <w:t>采购单位：</w:t>
      </w:r>
      <w:r>
        <w:rPr>
          <w:rFonts w:hint="eastAsia" w:ascii="仿宋" w:hAnsi="仿宋" w:eastAsia="仿宋" w:cs="仿宋"/>
          <w:kern w:val="0"/>
          <w:sz w:val="24"/>
          <w:szCs w:val="24"/>
          <w:highlight w:val="none"/>
          <w:u w:val="single"/>
          <w:shd w:val="clear" w:color="auto" w:fill="auto"/>
          <w:lang w:val="en-US" w:eastAsia="zh-CN" w:bidi="ar-SA"/>
        </w:rPr>
        <w:t xml:space="preserve">新疆生产建设兵团第三师总医院             </w:t>
      </w:r>
      <w:r>
        <w:rPr>
          <w:rFonts w:eastAsia="方正小标宋_GBK" w:cs="Times New Roman"/>
          <w:sz w:val="32"/>
          <w:szCs w:val="32"/>
        </w:rPr>
        <w:t xml:space="preserve"> </w:t>
      </w:r>
    </w:p>
    <w:p>
      <w:pPr>
        <w:jc w:val="left"/>
        <w:rPr>
          <w:rFonts w:eastAsia="方正小标宋_GBK" w:cs="Times New Roman"/>
          <w:sz w:val="32"/>
          <w:szCs w:val="32"/>
        </w:rPr>
      </w:pPr>
      <w:r>
        <w:rPr>
          <w:rFonts w:hint="eastAsia" w:ascii="宋体" w:hAnsi="宋体" w:eastAsia="宋体" w:cs="宋体"/>
          <w:b/>
          <w:bCs/>
          <w:sz w:val="28"/>
          <w:szCs w:val="28"/>
        </w:rPr>
        <w:t>编制单位：</w:t>
      </w:r>
      <w:r>
        <w:rPr>
          <w:rFonts w:hint="eastAsia" w:ascii="仿宋" w:hAnsi="仿宋" w:eastAsia="仿宋" w:cs="仿宋"/>
          <w:kern w:val="0"/>
          <w:sz w:val="24"/>
          <w:szCs w:val="24"/>
          <w:highlight w:val="none"/>
          <w:u w:val="single"/>
          <w:shd w:val="clear" w:color="auto" w:fill="auto"/>
          <w:lang w:val="en-US" w:eastAsia="zh-CN" w:bidi="ar-SA"/>
        </w:rPr>
        <w:t xml:space="preserve">新疆生产建设兵团第三师总医院             </w:t>
      </w:r>
      <w:r>
        <w:rPr>
          <w:rFonts w:eastAsia="方正小标宋_GBK" w:cs="Times New Roman"/>
          <w:sz w:val="32"/>
          <w:szCs w:val="32"/>
        </w:rPr>
        <w:t xml:space="preserve">           </w:t>
      </w:r>
    </w:p>
    <w:p>
      <w:pPr>
        <w:jc w:val="left"/>
        <w:rPr>
          <w:rFonts w:eastAsia="方正小标宋_GBK" w:cs="Times New Roman"/>
          <w:sz w:val="32"/>
          <w:szCs w:val="32"/>
          <w:u w:val="single"/>
        </w:rPr>
      </w:pPr>
      <w:r>
        <w:rPr>
          <w:rFonts w:hint="eastAsia" w:ascii="宋体" w:hAnsi="宋体" w:eastAsia="宋体" w:cs="宋体"/>
          <w:b/>
          <w:bCs/>
          <w:sz w:val="28"/>
          <w:szCs w:val="28"/>
        </w:rPr>
        <w:t>编制时间：</w:t>
      </w:r>
      <w:r>
        <w:rPr>
          <w:rFonts w:hint="eastAsia" w:ascii="仿宋" w:hAnsi="仿宋" w:eastAsia="仿宋" w:cs="仿宋"/>
          <w:kern w:val="0"/>
          <w:sz w:val="24"/>
          <w:szCs w:val="24"/>
          <w:highlight w:val="none"/>
          <w:u w:val="single"/>
          <w:shd w:val="clear" w:color="auto" w:fill="auto"/>
          <w:lang w:val="en-US" w:eastAsia="zh-CN" w:bidi="ar-SA"/>
        </w:rPr>
        <w:t xml:space="preserve"> 2022年12月                             </w:t>
      </w:r>
      <w:r>
        <w:rPr>
          <w:rFonts w:hint="eastAsia" w:ascii="仿宋" w:hAnsi="仿宋" w:eastAsia="仿宋" w:cs="仿宋"/>
          <w:kern w:val="0"/>
          <w:sz w:val="24"/>
          <w:szCs w:val="24"/>
          <w:highlight w:val="none"/>
          <w:u w:val="none"/>
          <w:shd w:val="clear" w:color="auto" w:fill="auto"/>
          <w:lang w:val="en-US" w:eastAsia="zh-CN" w:bidi="ar-SA"/>
        </w:rPr>
        <w:t xml:space="preserve">     </w:t>
      </w:r>
    </w:p>
    <w:p>
      <w:pPr>
        <w:pStyle w:val="80"/>
        <w:ind w:left="1747" w:firstLine="472"/>
        <w:rPr>
          <w:rFonts w:hint="eastAsia" w:ascii="仿宋" w:hAnsi="仿宋" w:eastAsia="仿宋" w:cs="仿宋"/>
          <w:b/>
          <w:bCs/>
          <w:highlight w:val="none"/>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8"/>
          <w:szCs w:val="28"/>
          <w:highlight w:val="none"/>
          <w:lang w:val="en-US" w:eastAsia="zh-CN" w:bidi="ar-SA"/>
        </w:rPr>
        <w:t xml:space="preserve"> 需求详情</w:t>
      </w: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（一）采购项目预算金额</w:t>
      </w:r>
    </w:p>
    <w:p>
      <w:pPr>
        <w:pStyle w:val="88"/>
        <w:numPr>
          <w:ilvl w:val="0"/>
          <w:numId w:val="0"/>
        </w:numPr>
        <w:shd w:val="clear" w:color="auto" w:fill="auto"/>
        <w:spacing w:line="573" w:lineRule="exac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预算金额：</w:t>
      </w:r>
      <w:r>
        <w:rPr>
          <w:rFonts w:hint="eastAsia" w:ascii="仿宋" w:hAnsi="仿宋" w:eastAsia="仿宋" w:cs="仿宋"/>
          <w:kern w:val="0"/>
          <w:sz w:val="24"/>
          <w:szCs w:val="24"/>
          <w:highlight w:val="none"/>
          <w:lang w:val="en-US" w:eastAsia="zh-CN" w:bidi="ar-SA"/>
        </w:rPr>
        <w:t>5090000.00元</w:t>
      </w:r>
    </w:p>
    <w:p>
      <w:pPr>
        <w:pStyle w:val="88"/>
        <w:numPr>
          <w:ilvl w:val="0"/>
          <w:numId w:val="0"/>
        </w:numPr>
        <w:shd w:val="clear" w:color="auto" w:fill="auto"/>
        <w:spacing w:line="573" w:lineRule="exact"/>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（二）采购标的汇总表</w:t>
      </w:r>
    </w:p>
    <w:tbl>
      <w:tblPr>
        <w:tblStyle w:val="19"/>
        <w:tblpPr w:leftFromText="180" w:rightFromText="180" w:vertAnchor="text" w:horzAnchor="page" w:tblpXSpec="center" w:tblpY="554"/>
        <w:tblOverlap w:val="never"/>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75"/>
        <w:gridCol w:w="829"/>
        <w:gridCol w:w="639"/>
        <w:gridCol w:w="1155"/>
        <w:gridCol w:w="120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56" w:type="dxa"/>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2875" w:type="dxa"/>
            <w:noWrap w:val="0"/>
            <w:vAlign w:val="center"/>
          </w:tcPr>
          <w:p>
            <w:pPr>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标的名称</w:t>
            </w:r>
          </w:p>
        </w:tc>
        <w:tc>
          <w:tcPr>
            <w:tcW w:w="829" w:type="dxa"/>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计量</w:t>
            </w:r>
          </w:p>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单位</w:t>
            </w:r>
          </w:p>
        </w:tc>
        <w:tc>
          <w:tcPr>
            <w:tcW w:w="639" w:type="dxa"/>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数量</w:t>
            </w:r>
          </w:p>
        </w:tc>
        <w:tc>
          <w:tcPr>
            <w:tcW w:w="1155" w:type="dxa"/>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是否</w:t>
            </w:r>
          </w:p>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进口</w:t>
            </w:r>
          </w:p>
        </w:tc>
        <w:tc>
          <w:tcPr>
            <w:tcW w:w="1204" w:type="dxa"/>
            <w:noWrap w:val="0"/>
            <w:vAlign w:val="center"/>
          </w:tcPr>
          <w:p>
            <w:pPr>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政府采购品目分类</w:t>
            </w:r>
          </w:p>
        </w:tc>
        <w:tc>
          <w:tcPr>
            <w:tcW w:w="1578" w:type="dxa"/>
            <w:noWrap w:val="0"/>
            <w:vAlign w:val="center"/>
          </w:tcPr>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品目</w:t>
            </w:r>
          </w:p>
          <w:p>
            <w:pPr>
              <w:spacing w:line="5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分类编码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1</w:t>
            </w:r>
          </w:p>
        </w:tc>
        <w:tc>
          <w:tcPr>
            <w:tcW w:w="2875" w:type="dxa"/>
            <w:noWrap w:val="0"/>
            <w:vAlign w:val="center"/>
          </w:tcPr>
          <w:p>
            <w:pPr>
              <w:keepNext w:val="0"/>
              <w:keepLines w:val="0"/>
              <w:widowControl/>
              <w:suppressLineNumbers w:val="0"/>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全自动快速发药机</w:t>
            </w:r>
          </w:p>
        </w:tc>
        <w:tc>
          <w:tcPr>
            <w:tcW w:w="82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red"/>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台</w:t>
            </w:r>
          </w:p>
        </w:tc>
        <w:tc>
          <w:tcPr>
            <w:tcW w:w="63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1</w:t>
            </w:r>
          </w:p>
        </w:tc>
        <w:tc>
          <w:tcPr>
            <w:tcW w:w="1155"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否</w:t>
            </w:r>
          </w:p>
        </w:tc>
        <w:tc>
          <w:tcPr>
            <w:tcW w:w="1204"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药房设备及器具</w:t>
            </w:r>
          </w:p>
        </w:tc>
        <w:tc>
          <w:tcPr>
            <w:tcW w:w="1578"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A02322000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2</w:t>
            </w:r>
          </w:p>
        </w:tc>
        <w:tc>
          <w:tcPr>
            <w:tcW w:w="2875" w:type="dxa"/>
            <w:noWrap w:val="0"/>
            <w:vAlign w:val="center"/>
          </w:tcPr>
          <w:p>
            <w:pPr>
              <w:keepNext w:val="0"/>
              <w:keepLines w:val="0"/>
              <w:widowControl/>
              <w:suppressLineNumbers w:val="0"/>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全自动药品分包机</w:t>
            </w:r>
          </w:p>
        </w:tc>
        <w:tc>
          <w:tcPr>
            <w:tcW w:w="82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台</w:t>
            </w:r>
          </w:p>
        </w:tc>
        <w:tc>
          <w:tcPr>
            <w:tcW w:w="63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1</w:t>
            </w:r>
          </w:p>
        </w:tc>
        <w:tc>
          <w:tcPr>
            <w:tcW w:w="1155"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否</w:t>
            </w:r>
          </w:p>
        </w:tc>
        <w:tc>
          <w:tcPr>
            <w:tcW w:w="1204"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药品专用包装机械</w:t>
            </w:r>
          </w:p>
        </w:tc>
        <w:tc>
          <w:tcPr>
            <w:tcW w:w="1578"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A02310700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3</w:t>
            </w:r>
          </w:p>
        </w:tc>
        <w:tc>
          <w:tcPr>
            <w:tcW w:w="2875" w:type="dxa"/>
            <w:noWrap w:val="0"/>
            <w:vAlign w:val="center"/>
          </w:tcPr>
          <w:p>
            <w:pPr>
              <w:keepNext w:val="0"/>
              <w:keepLines w:val="0"/>
              <w:widowControl/>
              <w:suppressLineNumbers w:val="0"/>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麻精药品管理柜</w:t>
            </w:r>
          </w:p>
        </w:tc>
        <w:tc>
          <w:tcPr>
            <w:tcW w:w="82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台</w:t>
            </w:r>
          </w:p>
        </w:tc>
        <w:tc>
          <w:tcPr>
            <w:tcW w:w="63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1</w:t>
            </w:r>
          </w:p>
        </w:tc>
        <w:tc>
          <w:tcPr>
            <w:tcW w:w="1155"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否</w:t>
            </w:r>
          </w:p>
        </w:tc>
        <w:tc>
          <w:tcPr>
            <w:tcW w:w="1204"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药房设备及器具</w:t>
            </w:r>
          </w:p>
        </w:tc>
        <w:tc>
          <w:tcPr>
            <w:tcW w:w="1578"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A02322000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4</w:t>
            </w:r>
          </w:p>
        </w:tc>
        <w:tc>
          <w:tcPr>
            <w:tcW w:w="2875" w:type="dxa"/>
            <w:noWrap w:val="0"/>
            <w:vAlign w:val="center"/>
          </w:tcPr>
          <w:p>
            <w:pPr>
              <w:keepNext w:val="0"/>
              <w:keepLines w:val="0"/>
              <w:widowControl/>
              <w:suppressLineNumbers w:val="0"/>
              <w:jc w:val="center"/>
              <w:rPr>
                <w:rFonts w:hint="eastAsia"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PIVAS管理软件系统</w:t>
            </w:r>
          </w:p>
        </w:tc>
        <w:tc>
          <w:tcPr>
            <w:tcW w:w="82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台</w:t>
            </w:r>
          </w:p>
        </w:tc>
        <w:tc>
          <w:tcPr>
            <w:tcW w:w="63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1</w:t>
            </w:r>
          </w:p>
        </w:tc>
        <w:tc>
          <w:tcPr>
            <w:tcW w:w="1155"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否</w:t>
            </w:r>
          </w:p>
        </w:tc>
        <w:tc>
          <w:tcPr>
            <w:tcW w:w="1204"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应用软件</w:t>
            </w:r>
          </w:p>
        </w:tc>
        <w:tc>
          <w:tcPr>
            <w:tcW w:w="1578"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highlight w:val="none"/>
                <w:lang w:val="en-US" w:eastAsia="zh-CN" w:bidi="ar"/>
              </w:rPr>
            </w:pPr>
            <w:r>
              <w:rPr>
                <w:rFonts w:hint="eastAsia" w:ascii="仿宋" w:hAnsi="仿宋" w:eastAsia="仿宋" w:cs="仿宋"/>
                <w:b w:val="0"/>
                <w:bCs/>
                <w:color w:val="000000"/>
                <w:kern w:val="0"/>
                <w:sz w:val="24"/>
                <w:szCs w:val="24"/>
                <w:highlight w:val="none"/>
                <w:lang w:val="en-US" w:eastAsia="zh-CN" w:bidi="ar"/>
              </w:rPr>
              <w:t>A08060303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5</w:t>
            </w:r>
          </w:p>
        </w:tc>
        <w:tc>
          <w:tcPr>
            <w:tcW w:w="2875" w:type="dxa"/>
            <w:noWrap w:val="0"/>
            <w:vAlign w:val="center"/>
          </w:tcPr>
          <w:p>
            <w:pPr>
              <w:keepNext w:val="0"/>
              <w:keepLines w:val="0"/>
              <w:widowControl/>
              <w:suppressLineNumbers w:val="0"/>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水平层流操作台</w:t>
            </w:r>
          </w:p>
        </w:tc>
        <w:tc>
          <w:tcPr>
            <w:tcW w:w="829" w:type="dxa"/>
            <w:noWrap w:val="0"/>
            <w:vAlign w:val="center"/>
          </w:tcPr>
          <w:p>
            <w:pPr>
              <w:adjustRightInd w:val="0"/>
              <w:snapToGrid w:val="0"/>
              <w:spacing w:line="560" w:lineRule="exact"/>
              <w:jc w:val="center"/>
              <w:rPr>
                <w:rFonts w:hint="default"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台</w:t>
            </w:r>
          </w:p>
        </w:tc>
        <w:tc>
          <w:tcPr>
            <w:tcW w:w="63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6</w:t>
            </w:r>
          </w:p>
        </w:tc>
        <w:tc>
          <w:tcPr>
            <w:tcW w:w="1155"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否</w:t>
            </w:r>
          </w:p>
        </w:tc>
        <w:tc>
          <w:tcPr>
            <w:tcW w:w="1204"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临床检验设备</w:t>
            </w:r>
          </w:p>
        </w:tc>
        <w:tc>
          <w:tcPr>
            <w:tcW w:w="1578"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A02321900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6</w:t>
            </w:r>
          </w:p>
        </w:tc>
        <w:tc>
          <w:tcPr>
            <w:tcW w:w="2875" w:type="dxa"/>
            <w:noWrap w:val="0"/>
            <w:vAlign w:val="center"/>
          </w:tcPr>
          <w:p>
            <w:pPr>
              <w:keepNext w:val="0"/>
              <w:keepLines w:val="0"/>
              <w:widowControl/>
              <w:suppressLineNumbers w:val="0"/>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生物安全柜</w:t>
            </w:r>
          </w:p>
        </w:tc>
        <w:tc>
          <w:tcPr>
            <w:tcW w:w="829" w:type="dxa"/>
            <w:noWrap w:val="0"/>
            <w:vAlign w:val="center"/>
          </w:tcPr>
          <w:p>
            <w:pPr>
              <w:adjustRightInd w:val="0"/>
              <w:snapToGrid w:val="0"/>
              <w:spacing w:line="560" w:lineRule="exact"/>
              <w:jc w:val="center"/>
              <w:rPr>
                <w:rFonts w:hint="default"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台</w:t>
            </w:r>
          </w:p>
        </w:tc>
        <w:tc>
          <w:tcPr>
            <w:tcW w:w="63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5</w:t>
            </w:r>
          </w:p>
        </w:tc>
        <w:tc>
          <w:tcPr>
            <w:tcW w:w="1155"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否</w:t>
            </w:r>
          </w:p>
        </w:tc>
        <w:tc>
          <w:tcPr>
            <w:tcW w:w="1204"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临床检验设备</w:t>
            </w:r>
          </w:p>
        </w:tc>
        <w:tc>
          <w:tcPr>
            <w:tcW w:w="1578"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 xml:space="preserve">A02321900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7</w:t>
            </w:r>
          </w:p>
        </w:tc>
        <w:tc>
          <w:tcPr>
            <w:tcW w:w="2875" w:type="dxa"/>
            <w:noWrap w:val="0"/>
            <w:vAlign w:val="center"/>
          </w:tcPr>
          <w:p>
            <w:pPr>
              <w:keepNext w:val="0"/>
              <w:keepLines w:val="0"/>
              <w:widowControl/>
              <w:suppressLineNumbers w:val="0"/>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医用冷藏柜</w:t>
            </w:r>
          </w:p>
        </w:tc>
        <w:tc>
          <w:tcPr>
            <w:tcW w:w="829" w:type="dxa"/>
            <w:noWrap w:val="0"/>
            <w:vAlign w:val="center"/>
          </w:tcPr>
          <w:p>
            <w:pPr>
              <w:adjustRightInd w:val="0"/>
              <w:snapToGrid w:val="0"/>
              <w:spacing w:line="560" w:lineRule="exact"/>
              <w:jc w:val="center"/>
              <w:rPr>
                <w:rFonts w:hint="default"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台</w:t>
            </w:r>
          </w:p>
        </w:tc>
        <w:tc>
          <w:tcPr>
            <w:tcW w:w="639"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5</w:t>
            </w:r>
          </w:p>
        </w:tc>
        <w:tc>
          <w:tcPr>
            <w:tcW w:w="1155" w:type="dxa"/>
            <w:noWrap w:val="0"/>
            <w:vAlign w:val="center"/>
          </w:tcPr>
          <w:p>
            <w:pPr>
              <w:adjustRightInd w:val="0"/>
              <w:snapToGrid w:val="0"/>
              <w:spacing w:line="560" w:lineRule="exact"/>
              <w:jc w:val="center"/>
              <w:rPr>
                <w:rFonts w:hint="eastAsia" w:ascii="仿宋" w:hAnsi="仿宋" w:eastAsia="仿宋" w:cs="仿宋"/>
                <w:b w:val="0"/>
                <w:bCs/>
                <w:kern w:val="0"/>
                <w:sz w:val="24"/>
                <w:szCs w:val="24"/>
                <w:highlight w:val="none"/>
                <w:u w:val="none"/>
                <w:shd w:val="clear" w:color="auto" w:fill="auto"/>
                <w:lang w:val="en-US" w:eastAsia="zh-CN" w:bidi="ar-SA"/>
              </w:rPr>
            </w:pPr>
            <w:r>
              <w:rPr>
                <w:rFonts w:hint="eastAsia" w:ascii="仿宋" w:hAnsi="仿宋" w:eastAsia="仿宋" w:cs="仿宋"/>
                <w:b w:val="0"/>
                <w:bCs/>
                <w:kern w:val="0"/>
                <w:sz w:val="24"/>
                <w:szCs w:val="24"/>
                <w:highlight w:val="none"/>
                <w:u w:val="none"/>
                <w:shd w:val="clear" w:color="auto" w:fill="auto"/>
                <w:lang w:val="en-US" w:eastAsia="zh-CN" w:bidi="ar-SA"/>
              </w:rPr>
              <w:t>否</w:t>
            </w:r>
          </w:p>
        </w:tc>
        <w:tc>
          <w:tcPr>
            <w:tcW w:w="1204"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医用低温、冷疗设备</w:t>
            </w:r>
          </w:p>
        </w:tc>
        <w:tc>
          <w:tcPr>
            <w:tcW w:w="1578" w:type="dxa"/>
            <w:noWrap w:val="0"/>
            <w:vAlign w:val="center"/>
          </w:tcPr>
          <w:p>
            <w:pPr>
              <w:keepNext w:val="0"/>
              <w:keepLines w:val="0"/>
              <w:widowControl/>
              <w:suppressLineNumbers w:val="0"/>
              <w:jc w:val="left"/>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A02322900</w:t>
            </w:r>
          </w:p>
        </w:tc>
      </w:tr>
    </w:tbl>
    <w:p>
      <w:pPr>
        <w:pStyle w:val="88"/>
        <w:numPr>
          <w:ilvl w:val="0"/>
          <w:numId w:val="0"/>
        </w:numPr>
        <w:shd w:val="clear" w:color="auto" w:fill="auto"/>
        <w:spacing w:line="573" w:lineRule="exact"/>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(三）需落实的政府采购政策功能</w:t>
      </w:r>
    </w:p>
    <w:p>
      <w:pPr>
        <w:pStyle w:val="80"/>
        <w:numPr>
          <w:ilvl w:val="0"/>
          <w:numId w:val="0"/>
        </w:numP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1.</w:t>
      </w:r>
      <w:r>
        <w:rPr>
          <w:rFonts w:hint="eastAsia" w:ascii="仿宋" w:hAnsi="仿宋" w:eastAsia="仿宋" w:cs="仿宋"/>
          <w:b/>
          <w:bCs/>
          <w:color w:val="auto"/>
          <w:kern w:val="0"/>
          <w:sz w:val="24"/>
          <w:szCs w:val="24"/>
          <w:highlight w:val="none"/>
          <w:lang w:val="en-US" w:eastAsia="zh-CN" w:bidi="ar-SA"/>
        </w:rPr>
        <w:t>支持绿色发展</w:t>
      </w:r>
    </w:p>
    <w:p>
      <w:pPr>
        <w:pStyle w:val="80"/>
        <w:ind w:left="0" w:leftChars="0" w:firstLine="0" w:firstLineChars="0"/>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1）本次采购内容中所包含的节能产品政府采购品目清单：无。</w:t>
      </w:r>
    </w:p>
    <w:p>
      <w:pPr>
        <w:pStyle w:val="80"/>
        <w:numPr>
          <w:ilvl w:val="0"/>
          <w:numId w:val="0"/>
        </w:numPr>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2）本次采购内容中所包含的环境标志产品：无。</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根据《商品包装政府采购需求标准（试行）》、《快递包装政府采购需求标准（试行）》（财办库〔2020〕123号文）商品包装、快递包装的要求。</w:t>
      </w:r>
    </w:p>
    <w:p>
      <w:pPr>
        <w:pStyle w:val="8"/>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2.商品包装环保要求：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1）.商品包装层数不得超过 3 层，空隙率不大于 40%；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2).商品包装尽可能使用单一材质的包装材料，如因功能需求必需使用不同材质，不同材质间应便于分离；</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3）.商品包装中铅、汞、镉、六价铬的总含量应不大于100mg/kg；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4).商品包装印刷使用的油墨中挥发性有机化合物(VOCs)含量应不大于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5).塑料材质商品包装上呈现的印刷颜色不得超过 6 色；</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6).纸质商品包装应使用 75%以上的可再生纤维原料生产；</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7).木质商品包装的原料应来源于可持续性森林。</w:t>
      </w:r>
    </w:p>
    <w:p>
      <w:pPr>
        <w:pStyle w:val="8"/>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3.快递包装环保要求：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1).快递包装中重金属（铅、汞、镉、六价铬）总量应不大于100mg/kg；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2).快递包装印刷使用的油墨中不应添加邻苯二甲酸酯，其挥发性有机化合物(VOCs)含量应不大于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3).快递包装中使用纸基材的包装材料，纸基材中的有机氯的含量应不大于 150 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5).快递中使用的塑料包装袋不得使用聚氯乙烯作为原料，且原料应为单一材质制成，生物分解率大于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6).快递中使用的充气类填充物不得使用聚氯乙烯作为原料，且原料为单一材质制成，生物分解率大于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7).快递中使用的集装袋应为单一材质制成，其重复使用次数应不小于 80 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8).快递中应使用幅宽不大于 45mm 的生物降解胶带；</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9).快递包装中不得使用溶剂型胶粘剂；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10).快递应使用电子面单；</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11).直接使用商品包装作为快递包装的商品，其商品包装满足《商品包装政府采购需求标准（试行）》即可；</w:t>
      </w:r>
    </w:p>
    <w:p>
      <w:pPr>
        <w:pStyle w:val="80"/>
        <w:numPr>
          <w:ilvl w:val="0"/>
          <w:numId w:val="0"/>
        </w:numPr>
        <w:rPr>
          <w:rFonts w:hint="default" w:ascii="仿宋" w:hAnsi="仿宋" w:eastAsia="仿宋" w:cs="仿宋"/>
          <w:color w:val="auto"/>
          <w:kern w:val="0"/>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12).快递包装产品质量和封装方式应符合相关国家或行业标准技术指标要求。</w:t>
      </w:r>
    </w:p>
    <w:p>
      <w:pPr>
        <w:pStyle w:val="80"/>
        <w:numPr>
          <w:ilvl w:val="0"/>
          <w:numId w:val="0"/>
        </w:numPr>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4.支持中小企业发展</w:t>
      </w:r>
    </w:p>
    <w:p>
      <w:pPr>
        <w:pStyle w:val="80"/>
        <w:numPr>
          <w:ilvl w:val="0"/>
          <w:numId w:val="0"/>
        </w:numP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1）本项目为非专门面向中小企业采购的项目。</w:t>
      </w:r>
    </w:p>
    <w:p>
      <w:pPr>
        <w:pStyle w:val="80"/>
        <w:numPr>
          <w:ilvl w:val="0"/>
          <w:numId w:val="0"/>
        </w:numP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rPr>
        <w:t>2）本次采购小型和微型企业的货物价格扣除幅度：</w:t>
      </w:r>
      <w:r>
        <w:rPr>
          <w:rFonts w:hint="eastAsia" w:ascii="仿宋" w:hAnsi="仿宋" w:eastAsia="仿宋" w:cs="仿宋"/>
          <w:b/>
          <w:bCs/>
          <w:kern w:val="0"/>
          <w:sz w:val="24"/>
          <w:szCs w:val="24"/>
          <w:highlight w:val="none"/>
          <w:lang w:val="en-US" w:eastAsia="zh-CN"/>
        </w:rPr>
        <w:t>价格给予15%的扣除，用扣除后的价格参加评审。</w:t>
      </w:r>
    </w:p>
    <w:p>
      <w:pPr>
        <w:pStyle w:val="80"/>
        <w:numPr>
          <w:ilvl w:val="0"/>
          <w:numId w:val="0"/>
        </w:numPr>
        <w:rPr>
          <w:rFonts w:hint="eastAsia" w:ascii="仿宋" w:hAnsi="仿宋" w:eastAsia="仿宋" w:cs="仿宋"/>
          <w:b/>
          <w:bCs/>
          <w:i w:val="0"/>
          <w:iCs w:val="0"/>
          <w:caps w:val="0"/>
          <w:color w:val="000000"/>
          <w:spacing w:val="0"/>
          <w:w w:val="10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80"/>
        <w:numPr>
          <w:ilvl w:val="0"/>
          <w:numId w:val="0"/>
        </w:numPr>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5.本采购项目所属行业：</w:t>
      </w:r>
      <w:r>
        <w:rPr>
          <w:rFonts w:hint="eastAsia" w:ascii="仿宋" w:hAnsi="仿宋" w:eastAsia="仿宋" w:cs="仿宋"/>
          <w:b w:val="0"/>
          <w:bCs w:val="0"/>
          <w:kern w:val="0"/>
          <w:sz w:val="24"/>
          <w:szCs w:val="24"/>
          <w:highlight w:val="none"/>
          <w:lang w:val="en-US" w:eastAsia="zh-CN" w:bidi="ar-SA"/>
        </w:rPr>
        <w:t>工业（专用设备制造业-医疗仪器设备及器械制造）</w:t>
      </w: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（四）技术商务要求</w:t>
      </w: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yellow"/>
          <w:lang w:val="en-US" w:eastAsia="zh-CN" w:bidi="ar-SA"/>
        </w:rPr>
      </w:pP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全自动快速发药机</w:t>
      </w:r>
    </w:p>
    <w:p>
      <w:pPr>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一、整体要求</w:t>
      </w:r>
    </w:p>
    <w:p>
      <w:pPr>
        <w:numPr>
          <w:ilvl w:val="0"/>
          <w:numId w:val="0"/>
        </w:num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基本要求</w:t>
      </w:r>
      <w:r>
        <w:rPr>
          <w:rFonts w:hint="eastAsia" w:ascii="仿宋" w:hAnsi="仿宋" w:eastAsia="仿宋" w:cs="仿宋"/>
          <w:color w:val="000000"/>
          <w:sz w:val="24"/>
          <w:szCs w:val="24"/>
          <w:lang w:eastAsia="zh-CN"/>
        </w:rPr>
        <w:t>：</w:t>
      </w:r>
    </w:p>
    <w:p>
      <w:pPr>
        <w:numPr>
          <w:ilvl w:val="0"/>
          <w:numId w:val="6"/>
        </w:numPr>
        <w:snapToGrid w:val="0"/>
        <w:spacing w:before="156" w:beforeLines="50" w:after="156" w:afterLines="50"/>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发药机</w:t>
      </w:r>
      <w:r>
        <w:rPr>
          <w:rFonts w:hint="eastAsia" w:ascii="仿宋" w:hAnsi="仿宋" w:eastAsia="仿宋" w:cs="仿宋"/>
          <w:color w:val="000000"/>
          <w:sz w:val="24"/>
          <w:szCs w:val="24"/>
        </w:rPr>
        <w:t>须与医院HIS实现无缝隙链接，确保医嘱和处方信息无障碍传输，整套设备系统的控制软件操作界面为简体中文。</w:t>
      </w:r>
    </w:p>
    <w:p>
      <w:pPr>
        <w:numPr>
          <w:ilvl w:val="0"/>
          <w:numId w:val="6"/>
        </w:numPr>
        <w:snapToGrid w:val="0"/>
        <w:spacing w:before="156" w:beforeLines="50" w:after="156" w:afterLines="50"/>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发药机</w:t>
      </w:r>
      <w:r>
        <w:rPr>
          <w:rFonts w:hint="eastAsia" w:ascii="仿宋" w:hAnsi="仿宋" w:eastAsia="仿宋" w:cs="仿宋"/>
          <w:color w:val="000000"/>
          <w:sz w:val="24"/>
          <w:szCs w:val="24"/>
        </w:rPr>
        <w:t>能够根据HIS指令智能调配处方，可满足各种规格药品的智能调剂发放。整盒的中、西药品处方，可通过传输装置自动传至发药前台。非盒装药品或特殊药品通过规划的集中补药区进行人工半自动调配，通过智能分拣传输手段传输至系统自动分配的窗口。单套整体智能发药系统能够满足</w:t>
      </w:r>
      <w:r>
        <w:rPr>
          <w:rFonts w:hint="eastAsia" w:ascii="仿宋" w:hAnsi="仿宋" w:eastAsia="仿宋" w:cs="仿宋"/>
          <w:color w:val="000000"/>
          <w:sz w:val="24"/>
          <w:szCs w:val="24"/>
          <w:lang w:val="en-US" w:eastAsia="zh-CN"/>
        </w:rPr>
        <w:t>400</w:t>
      </w:r>
      <w:r>
        <w:rPr>
          <w:rFonts w:hint="eastAsia" w:ascii="仿宋" w:hAnsi="仿宋" w:eastAsia="仿宋" w:cs="仿宋"/>
          <w:color w:val="000000"/>
          <w:sz w:val="24"/>
          <w:szCs w:val="24"/>
        </w:rPr>
        <w:t>张</w:t>
      </w:r>
      <w:r>
        <w:rPr>
          <w:rFonts w:hint="eastAsia" w:ascii="仿宋" w:hAnsi="仿宋" w:eastAsia="仿宋" w:cs="仿宋"/>
          <w:color w:val="000000"/>
          <w:sz w:val="24"/>
          <w:szCs w:val="24"/>
          <w:lang w:val="en-US" w:eastAsia="zh-CN"/>
        </w:rPr>
        <w:t>以上</w:t>
      </w:r>
      <w:r>
        <w:rPr>
          <w:rFonts w:hint="eastAsia" w:ascii="仿宋" w:hAnsi="仿宋" w:eastAsia="仿宋" w:cs="仿宋"/>
          <w:color w:val="000000"/>
          <w:sz w:val="24"/>
          <w:szCs w:val="24"/>
        </w:rPr>
        <w:t>/小时处方量的工作需求，同时上药能满足医院药房实际药品补充速度的要求 。系统同时具备窗口视觉核对装置。</w:t>
      </w:r>
    </w:p>
    <w:p>
      <w:pPr>
        <w:numPr>
          <w:ilvl w:val="0"/>
          <w:numId w:val="7"/>
        </w:numPr>
        <w:snapToGrid w:val="0"/>
        <w:spacing w:before="156" w:beforeLines="50" w:after="156" w:afterLines="50"/>
        <w:rPr>
          <w:rFonts w:hint="eastAsia" w:ascii="仿宋" w:hAnsi="仿宋" w:eastAsia="仿宋" w:cs="仿宋"/>
          <w:color w:val="000000"/>
          <w:sz w:val="24"/>
          <w:szCs w:val="24"/>
        </w:rPr>
      </w:pPr>
      <w:r>
        <w:rPr>
          <w:rFonts w:hint="eastAsia" w:ascii="仿宋" w:hAnsi="仿宋" w:eastAsia="仿宋" w:cs="仿宋"/>
          <w:color w:val="000000"/>
          <w:sz w:val="24"/>
          <w:szCs w:val="24"/>
        </w:rPr>
        <w:t>全自动快速发药机的完整组成配置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快速发药</w:t>
      </w:r>
      <w:r>
        <w:rPr>
          <w:rFonts w:hint="eastAsia" w:ascii="仿宋" w:hAnsi="仿宋" w:eastAsia="仿宋" w:cs="仿宋"/>
          <w:color w:val="000000"/>
          <w:sz w:val="24"/>
          <w:szCs w:val="24"/>
          <w:lang w:val="en-US" w:eastAsia="zh-CN"/>
        </w:rPr>
        <w:t>系统</w:t>
      </w:r>
      <w:r>
        <w:rPr>
          <w:rFonts w:hint="eastAsia" w:ascii="仿宋" w:hAnsi="仿宋" w:eastAsia="仿宋" w:cs="仿宋"/>
          <w:color w:val="000000"/>
          <w:sz w:val="24"/>
          <w:szCs w:val="24"/>
        </w:rPr>
        <w:t>、直发传送系统</w:t>
      </w:r>
    </w:p>
    <w:p>
      <w:pPr>
        <w:numPr>
          <w:ilvl w:val="0"/>
          <w:numId w:val="0"/>
        </w:numPr>
        <w:snapToGrid w:val="0"/>
        <w:spacing w:before="156" w:beforeLines="50" w:after="156" w:afterLines="50"/>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val="en-US" w:eastAsia="zh-CN" w:bidi="ar"/>
        </w:rPr>
        <w:t>二、</w:t>
      </w:r>
      <w:r>
        <w:rPr>
          <w:rFonts w:hint="eastAsia" w:ascii="仿宋" w:hAnsi="仿宋" w:eastAsia="仿宋" w:cs="仿宋"/>
          <w:b/>
          <w:bCs/>
          <w:color w:val="000000"/>
          <w:kern w:val="0"/>
          <w:sz w:val="24"/>
          <w:szCs w:val="24"/>
          <w:lang w:bidi="ar"/>
        </w:rPr>
        <w:t>快速发药系统</w:t>
      </w:r>
    </w:p>
    <w:p>
      <w:pPr>
        <w:numPr>
          <w:ilvl w:val="0"/>
          <w:numId w:val="8"/>
        </w:numPr>
        <w:snapToGrid w:val="0"/>
        <w:spacing w:before="156" w:beforeLines="50" w:after="156" w:afterLines="5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组成部分</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主体分为出药、储存、上药三个部分，必须为模组化结构。</w:t>
      </w:r>
    </w:p>
    <w:p>
      <w:pPr>
        <w:numPr>
          <w:ilvl w:val="0"/>
          <w:numId w:val="0"/>
        </w:numPr>
        <w:snapToGrid w:val="0"/>
        <w:spacing w:before="156" w:beforeLines="50" w:after="156" w:afterLines="5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出药方式</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全方位储药槽响应药品批量输出方式，必须为全方位同时落药方式，出药方式采取一次性全屏落药，每个储药槽具有独立的执行机构和计数传感器，且为提高药品落药安全性，避免药品在落药过程中损坏，采用安全缓冲结构进行落药接药，将药品传输到指定落药口。双处方同时运行。</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出药口设置</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单台设备可设置多个出药缓存口, 单台设备不少于</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个，每个缓存后可以设置对应的发药窗口号，并可侧面出药。</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处方跟踪</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每侧出药口有显示屏，可对处方进行实时跟踪，随时了解处方的调配进程</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发药速度</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平均小于10秒/处方</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（自系统发出指令到药品到达出药口，提供国家相关机构报告储药方式）</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储药方式</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药品应按照品种储存在相对独立的药槽中，为了确保药品放置的稳定性，每种药品必须基于药槽水平放置，放置高度必须为药品的最短边。</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0"/>
          <w:sz w:val="24"/>
          <w:szCs w:val="24"/>
          <w:lang w:bidi="ar"/>
        </w:rPr>
        <w:t>不间断处理速度</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350～500张处方/小时</w:t>
      </w:r>
      <w:r>
        <w:rPr>
          <w:rFonts w:hint="eastAsia" w:ascii="仿宋" w:hAnsi="仿宋" w:eastAsia="仿宋" w:cs="仿宋"/>
          <w:color w:val="000000"/>
          <w:kern w:val="0"/>
          <w:sz w:val="24"/>
          <w:szCs w:val="24"/>
          <w:lang w:eastAsia="zh-CN" w:bidi="ar"/>
        </w:rPr>
        <w:t>。</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计数功能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为了保证出药的准确性每个槽位具有光电计数和电磁铁动作计数双重计数功能。</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0"/>
          <w:sz w:val="24"/>
          <w:szCs w:val="24"/>
          <w:lang w:bidi="ar"/>
        </w:rPr>
        <w:t>上药安全保护</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采用安全光幕传感方式测控上药过程，当上药工作人员非正常操作误操作进入机械手运行区域时，保护光幕制动机械手停止运动起到保护作用。在设备上药运行时，上药工作人员非规范操作打开上药侧门时，机械手自动停止运行，予以保护状态</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占地面积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主机占地面积小于1</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平方米</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themeColor="text1"/>
          <w:sz w:val="24"/>
          <w:szCs w:val="24"/>
          <w14:textFill>
            <w14:solidFill>
              <w14:schemeClr w14:val="tx1"/>
            </w14:solidFill>
          </w14:textFill>
        </w:rPr>
        <w:t>（给出具体尺寸说明）</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储药轨道</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单台储药轨道≥</w:t>
      </w:r>
      <w:r>
        <w:rPr>
          <w:rFonts w:hint="eastAsia" w:ascii="仿宋" w:hAnsi="仿宋" w:eastAsia="仿宋" w:cs="仿宋"/>
          <w:color w:val="000000"/>
          <w:kern w:val="0"/>
          <w:sz w:val="24"/>
          <w:szCs w:val="24"/>
          <w:lang w:val="en-US" w:eastAsia="zh-CN" w:bidi="ar"/>
        </w:rPr>
        <w:t>700</w:t>
      </w:r>
      <w:r>
        <w:rPr>
          <w:rFonts w:hint="eastAsia" w:ascii="仿宋" w:hAnsi="仿宋" w:eastAsia="仿宋" w:cs="仿宋"/>
          <w:color w:val="000000"/>
          <w:kern w:val="0"/>
          <w:sz w:val="24"/>
          <w:szCs w:val="24"/>
          <w:lang w:bidi="ar"/>
        </w:rPr>
        <w:t>个，储药轨道长度≥156cm</w:t>
      </w:r>
      <w:r>
        <w:rPr>
          <w:rFonts w:hint="eastAsia" w:ascii="仿宋" w:hAnsi="仿宋" w:eastAsia="仿宋" w:cs="仿宋"/>
          <w:color w:val="000000"/>
          <w:kern w:val="0"/>
          <w:sz w:val="24"/>
          <w:szCs w:val="24"/>
          <w:lang w:eastAsia="zh-CN" w:bidi="ar"/>
        </w:rPr>
        <w:t>。</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0"/>
          <w:sz w:val="24"/>
          <w:szCs w:val="24"/>
          <w:lang w:bidi="ar"/>
        </w:rPr>
        <w:t>储药槽结构</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为了提高药盒整体的出药顺滑度和储药槽防尘，防灰功能，储药槽内部与药盒接触面采用线性接触结构方式</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（提供现场使用备结构照片证明）</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13.</w:t>
      </w:r>
      <w:r>
        <w:rPr>
          <w:rFonts w:hint="eastAsia" w:ascii="仿宋" w:hAnsi="仿宋" w:eastAsia="仿宋" w:cs="仿宋"/>
          <w:color w:val="000000"/>
          <w:kern w:val="0"/>
          <w:sz w:val="24"/>
          <w:szCs w:val="24"/>
          <w:lang w:bidi="ar"/>
        </w:rPr>
        <w:t>存储能力</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密集型存储，储存量≥</w:t>
      </w:r>
      <w:r>
        <w:rPr>
          <w:rFonts w:hint="eastAsia" w:ascii="仿宋" w:hAnsi="仿宋" w:eastAsia="仿宋" w:cs="仿宋"/>
          <w:color w:val="000000"/>
          <w:kern w:val="0"/>
          <w:sz w:val="24"/>
          <w:szCs w:val="24"/>
          <w:lang w:val="en-US" w:eastAsia="zh-CN" w:bidi="ar"/>
        </w:rPr>
        <w:t>1500</w:t>
      </w:r>
      <w:r>
        <w:rPr>
          <w:rFonts w:hint="eastAsia" w:ascii="仿宋" w:hAnsi="仿宋" w:eastAsia="仿宋" w:cs="仿宋"/>
          <w:color w:val="000000"/>
          <w:kern w:val="0"/>
          <w:sz w:val="24"/>
          <w:szCs w:val="24"/>
          <w:lang w:bidi="ar"/>
        </w:rPr>
        <w:t>0盒，提供计算公式和计算结果</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(以常规药盒尺寸≥</w:t>
      </w:r>
      <w:r>
        <w:rPr>
          <w:rFonts w:hint="eastAsia" w:ascii="仿宋" w:hAnsi="仿宋" w:eastAsia="仿宋" w:cs="仿宋"/>
          <w:color w:val="000000"/>
          <w:kern w:val="0"/>
          <w:sz w:val="24"/>
          <w:szCs w:val="24"/>
          <w:lang w:val="en-US" w:eastAsia="zh-CN" w:bidi="ar"/>
        </w:rPr>
        <w:t>10cm*6cm*2cm,</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计算）</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14.</w:t>
      </w:r>
      <w:r>
        <w:rPr>
          <w:rFonts w:hint="eastAsia" w:ascii="仿宋" w:hAnsi="仿宋" w:eastAsia="仿宋" w:cs="仿宋"/>
          <w:color w:val="000000"/>
          <w:kern w:val="0"/>
          <w:sz w:val="24"/>
          <w:szCs w:val="24"/>
          <w:lang w:bidi="ar"/>
        </w:rPr>
        <w:t>储药斜槽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储药斜槽有多种规格的，不少于6种规格。满足不同包装大小的盒</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瓶</w:t>
      </w:r>
      <w:r>
        <w:rPr>
          <w:rFonts w:hint="eastAsia" w:ascii="仿宋" w:hAnsi="仿宋" w:eastAsia="仿宋" w:cs="仿宋"/>
          <w:color w:val="000000"/>
          <w:kern w:val="0"/>
          <w:sz w:val="24"/>
          <w:szCs w:val="24"/>
          <w:lang w:bidi="ar"/>
        </w:rPr>
        <w:t>装药品上药机械手</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（提供瓶装药品入机图片）</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15.</w:t>
      </w:r>
      <w:r>
        <w:rPr>
          <w:rFonts w:hint="eastAsia" w:ascii="仿宋" w:hAnsi="仿宋" w:eastAsia="仿宋" w:cs="仿宋"/>
          <w:color w:val="000000"/>
          <w:kern w:val="0"/>
          <w:sz w:val="24"/>
          <w:szCs w:val="24"/>
          <w:lang w:bidi="ar"/>
        </w:rPr>
        <w:t>上药机械手</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上药机械手独立工作，上药过程中不影响发药。</w:t>
      </w:r>
    </w:p>
    <w:p>
      <w:pPr>
        <w:numPr>
          <w:ilvl w:val="0"/>
          <w:numId w:val="0"/>
        </w:numPr>
        <w:snapToGrid w:val="0"/>
        <w:spacing w:before="156" w:beforeLines="50" w:after="156" w:afterLines="50"/>
        <w:ind w:leftChars="0"/>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16.</w:t>
      </w:r>
      <w:r>
        <w:rPr>
          <w:rFonts w:hint="eastAsia" w:ascii="仿宋" w:hAnsi="仿宋" w:eastAsia="仿宋" w:cs="仿宋"/>
          <w:color w:val="000000"/>
          <w:kern w:val="0"/>
          <w:sz w:val="24"/>
          <w:szCs w:val="24"/>
          <w:lang w:bidi="ar"/>
        </w:rPr>
        <w:t>批量上药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themeColor="text1"/>
          <w:kern w:val="0"/>
          <w:sz w:val="24"/>
          <w:szCs w:val="24"/>
          <w:lang w:bidi="ar"/>
          <w14:textFill>
            <w14:solidFill>
              <w14:schemeClr w14:val="tx1"/>
            </w14:solidFill>
          </w14:textFill>
        </w:rPr>
        <w:t>采用全自动平板式机械手，2</w:t>
      </w:r>
      <w:r>
        <w:rPr>
          <w:rFonts w:hint="eastAsia" w:ascii="仿宋" w:hAnsi="仿宋" w:eastAsia="仿宋" w:cs="仿宋"/>
          <w:color w:val="000000" w:themeColor="text1"/>
          <w:kern w:val="0"/>
          <w:sz w:val="24"/>
          <w:szCs w:val="24"/>
          <w:lang w:val="en-US" w:eastAsia="zh-CN" w:bidi="ar"/>
          <w14:textFill>
            <w14:solidFill>
              <w14:schemeClr w14:val="tx1"/>
            </w14:solidFill>
          </w14:textFill>
        </w:rPr>
        <w:t>个及以上</w:t>
      </w:r>
      <w:r>
        <w:rPr>
          <w:rFonts w:hint="eastAsia" w:ascii="仿宋" w:hAnsi="仿宋" w:eastAsia="仿宋" w:cs="仿宋"/>
          <w:color w:val="000000" w:themeColor="text1"/>
          <w:kern w:val="0"/>
          <w:sz w:val="24"/>
          <w:szCs w:val="24"/>
          <w:lang w:bidi="ar"/>
          <w14:textFill>
            <w14:solidFill>
              <w14:schemeClr w14:val="tx1"/>
            </w14:solidFill>
          </w14:textFill>
        </w:rPr>
        <w:t>通道批量自动上药。单批次平均上药约20盒或以上。不同品规可同时上药，实现加药过程中药品数量的时时更新。兼容结合自动加药系统使用。</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17.</w:t>
      </w:r>
      <w:r>
        <w:rPr>
          <w:rFonts w:hint="eastAsia" w:ascii="仿宋" w:hAnsi="仿宋" w:eastAsia="仿宋" w:cs="仿宋"/>
          <w:color w:val="000000"/>
          <w:kern w:val="0"/>
          <w:sz w:val="24"/>
          <w:szCs w:val="24"/>
          <w:lang w:bidi="ar"/>
        </w:rPr>
        <w:t>智能上药数量补差</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在上药操作界面上无需修改上药数量，机械手自动识别上药数量。</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18.</w:t>
      </w:r>
      <w:r>
        <w:rPr>
          <w:rFonts w:hint="eastAsia" w:ascii="仿宋" w:hAnsi="仿宋" w:eastAsia="仿宋" w:cs="仿宋"/>
          <w:color w:val="000000"/>
          <w:kern w:val="0"/>
          <w:sz w:val="24"/>
          <w:szCs w:val="24"/>
          <w:lang w:bidi="ar"/>
        </w:rPr>
        <w:t>药品核对方式</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上药核对方式为条码核对，同时机械手可以对上药数量进行自动判定修改</w:t>
      </w:r>
      <w:r>
        <w:rPr>
          <w:rFonts w:hint="eastAsia" w:ascii="仿宋" w:hAnsi="仿宋" w:eastAsia="仿宋" w:cs="仿宋"/>
          <w:color w:val="000000"/>
          <w:kern w:val="0"/>
          <w:sz w:val="24"/>
          <w:szCs w:val="24"/>
          <w:lang w:eastAsia="zh-CN" w:bidi="ar"/>
        </w:rPr>
        <w:t>。</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19.</w:t>
      </w:r>
      <w:r>
        <w:rPr>
          <w:rFonts w:hint="eastAsia" w:ascii="仿宋" w:hAnsi="仿宋" w:eastAsia="仿宋" w:cs="仿宋"/>
          <w:color w:val="000000"/>
          <w:kern w:val="0"/>
          <w:sz w:val="24"/>
          <w:szCs w:val="24"/>
          <w:lang w:bidi="ar"/>
        </w:rPr>
        <w:t>传送方式</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独立的药品传送系统，可自由设定出药口</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采用</w:t>
      </w:r>
      <w:r>
        <w:rPr>
          <w:rFonts w:hint="eastAsia" w:ascii="仿宋" w:hAnsi="仿宋" w:eastAsia="仿宋" w:cs="仿宋"/>
          <w:color w:val="000000"/>
          <w:kern w:val="0"/>
          <w:sz w:val="24"/>
          <w:szCs w:val="24"/>
          <w:lang w:bidi="ar"/>
        </w:rPr>
        <w:t>地轨传送方式</w:t>
      </w:r>
      <w:r>
        <w:rPr>
          <w:rFonts w:hint="eastAsia" w:ascii="仿宋" w:hAnsi="仿宋" w:eastAsia="仿宋" w:cs="仿宋"/>
          <w:color w:val="000000"/>
          <w:kern w:val="0"/>
          <w:sz w:val="24"/>
          <w:szCs w:val="24"/>
          <w:lang w:eastAsia="zh-CN" w:bidi="ar"/>
        </w:rPr>
        <w:t>。</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20.</w:t>
      </w:r>
      <w:r>
        <w:rPr>
          <w:rFonts w:hint="eastAsia" w:ascii="仿宋" w:hAnsi="仿宋" w:eastAsia="仿宋" w:cs="仿宋"/>
          <w:color w:val="000000"/>
          <w:kern w:val="0"/>
          <w:sz w:val="24"/>
          <w:szCs w:val="24"/>
          <w:lang w:bidi="ar"/>
        </w:rPr>
        <w:t>模块化设计</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整体结构为模块化设计，相嵌高速发药机模组可配套同机使用。提供图片证明</w:t>
      </w:r>
      <w:r>
        <w:rPr>
          <w:rFonts w:hint="eastAsia" w:ascii="仿宋" w:hAnsi="仿宋" w:eastAsia="仿宋" w:cs="仿宋"/>
          <w:color w:val="000000"/>
          <w:kern w:val="0"/>
          <w:sz w:val="24"/>
          <w:szCs w:val="24"/>
          <w:lang w:eastAsia="zh-CN" w:bidi="ar"/>
        </w:rPr>
        <w:t>。</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21.</w:t>
      </w:r>
      <w:r>
        <w:rPr>
          <w:rFonts w:hint="eastAsia" w:ascii="仿宋" w:hAnsi="仿宋" w:eastAsia="仿宋" w:cs="仿宋"/>
          <w:color w:val="000000"/>
          <w:kern w:val="0"/>
          <w:sz w:val="24"/>
          <w:szCs w:val="24"/>
          <w:lang w:bidi="ar"/>
        </w:rPr>
        <w:t>功率、电源</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功率为3000</w:t>
      </w:r>
      <w:r>
        <w:rPr>
          <w:rFonts w:hint="eastAsia" w:ascii="仿宋" w:hAnsi="仿宋" w:eastAsia="仿宋" w:cs="仿宋"/>
          <w:color w:val="000000"/>
          <w:kern w:val="0"/>
          <w:sz w:val="24"/>
          <w:szCs w:val="24"/>
          <w:lang w:val="en-US" w:eastAsia="zh-CN" w:bidi="ar"/>
        </w:rPr>
        <w:t>-4000</w:t>
      </w:r>
      <w:r>
        <w:rPr>
          <w:rFonts w:hint="eastAsia" w:ascii="仿宋" w:hAnsi="仿宋" w:eastAsia="仿宋" w:cs="仿宋"/>
          <w:color w:val="000000"/>
          <w:kern w:val="0"/>
          <w:sz w:val="24"/>
          <w:szCs w:val="24"/>
          <w:lang w:bidi="ar"/>
        </w:rPr>
        <w:t>W，电源为AC</w:t>
      </w:r>
      <w:r>
        <w:rPr>
          <w:rFonts w:hint="eastAsia" w:ascii="仿宋" w:hAnsi="仿宋" w:eastAsia="仿宋" w:cs="仿宋"/>
          <w:color w:val="000000"/>
          <w:kern w:val="0"/>
          <w:sz w:val="24"/>
          <w:szCs w:val="24"/>
          <w:lang w:val="en-US" w:eastAsia="zh-CN" w:bidi="ar"/>
        </w:rPr>
        <w:t>220</w:t>
      </w:r>
      <w:r>
        <w:rPr>
          <w:rFonts w:hint="eastAsia" w:ascii="仿宋" w:hAnsi="仿宋" w:eastAsia="仿宋" w:cs="仿宋"/>
          <w:color w:val="000000"/>
          <w:kern w:val="0"/>
          <w:sz w:val="24"/>
          <w:szCs w:val="24"/>
          <w:lang w:bidi="ar"/>
        </w:rPr>
        <w:t>V±10%、50/60Hz</w:t>
      </w:r>
      <w:r>
        <w:rPr>
          <w:rFonts w:hint="eastAsia" w:ascii="仿宋" w:hAnsi="仿宋" w:eastAsia="仿宋" w:cs="仿宋"/>
          <w:color w:val="000000"/>
          <w:kern w:val="0"/>
          <w:sz w:val="24"/>
          <w:szCs w:val="24"/>
          <w:lang w:eastAsia="zh-CN" w:bidi="ar"/>
        </w:rPr>
        <w:t>。</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22.</w:t>
      </w:r>
      <w:r>
        <w:rPr>
          <w:rFonts w:hint="eastAsia" w:ascii="仿宋" w:hAnsi="仿宋" w:eastAsia="仿宋" w:cs="仿宋"/>
          <w:color w:val="000000"/>
          <w:kern w:val="0"/>
          <w:sz w:val="24"/>
          <w:szCs w:val="24"/>
          <w:lang w:bidi="ar"/>
        </w:rPr>
        <w:t>同步功能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盒装药品自动发送系统的发药与上药为两个独立的系统，可同时进行。</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23.</w:t>
      </w:r>
      <w:r>
        <w:rPr>
          <w:rFonts w:hint="eastAsia" w:ascii="仿宋" w:hAnsi="仿宋" w:eastAsia="仿宋" w:cs="仿宋"/>
          <w:color w:val="000000"/>
          <w:kern w:val="0"/>
          <w:sz w:val="24"/>
          <w:szCs w:val="24"/>
          <w:lang w:bidi="ar"/>
        </w:rPr>
        <w:t>上药信息提示和软件功能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自动提示单次上药数量、药品储存位置、药品上药数量、药品图文等信息。能够智能分析库存信息及报警提示，可以实现药品的库存、效期和批号等信息管理。配备库存补药信息打印功能</w:t>
      </w:r>
      <w:r>
        <w:rPr>
          <w:rFonts w:hint="eastAsia" w:ascii="仿宋" w:hAnsi="仿宋" w:eastAsia="仿宋" w:cs="仿宋"/>
          <w:color w:val="000000"/>
          <w:kern w:val="0"/>
          <w:sz w:val="24"/>
          <w:szCs w:val="24"/>
          <w:lang w:eastAsia="zh-CN" w:bidi="ar"/>
        </w:rPr>
        <w:t>。</w:t>
      </w:r>
    </w:p>
    <w:p>
      <w:pPr>
        <w:spacing w:line="360" w:lineRule="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24.</w:t>
      </w:r>
      <w:r>
        <w:rPr>
          <w:rFonts w:hint="eastAsia" w:ascii="仿宋" w:hAnsi="仿宋" w:eastAsia="仿宋" w:cs="仿宋"/>
          <w:color w:val="000000"/>
          <w:kern w:val="0"/>
          <w:sz w:val="24"/>
          <w:szCs w:val="24"/>
          <w:lang w:bidi="ar"/>
        </w:rPr>
        <w:t>上药识别功能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具备条形码识别支持药品名称、简码、条形码扫描以及图像识别等多种方式的上药识别，减轻上药人员的疲劳程度以及人为上药错误</w:t>
      </w:r>
      <w:r>
        <w:rPr>
          <w:rFonts w:hint="eastAsia" w:ascii="仿宋" w:hAnsi="仿宋" w:eastAsia="仿宋" w:cs="仿宋"/>
          <w:color w:val="000000"/>
          <w:kern w:val="0"/>
          <w:sz w:val="24"/>
          <w:szCs w:val="24"/>
          <w:lang w:eastAsia="zh-CN" w:bidi="ar"/>
        </w:rPr>
        <w:t>。</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25.</w:t>
      </w:r>
      <w:r>
        <w:rPr>
          <w:rFonts w:hint="eastAsia" w:ascii="仿宋" w:hAnsi="仿宋" w:eastAsia="仿宋" w:cs="仿宋"/>
          <w:color w:val="000000"/>
          <w:kern w:val="0"/>
          <w:sz w:val="24"/>
          <w:szCs w:val="24"/>
          <w:lang w:bidi="ar"/>
        </w:rPr>
        <w:t>自动盘库功能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无人值守快速准确盘点，整机盘库时间小于35分钟。双通道盘点功能。</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26.</w:t>
      </w:r>
      <w:r>
        <w:rPr>
          <w:rFonts w:hint="eastAsia" w:ascii="仿宋" w:hAnsi="仿宋" w:eastAsia="仿宋" w:cs="仿宋"/>
          <w:color w:val="000000"/>
          <w:kern w:val="0"/>
          <w:sz w:val="24"/>
          <w:szCs w:val="24"/>
          <w:lang w:bidi="ar"/>
        </w:rPr>
        <w:t>自动补偿功能</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所需药品在出药时，由于槽位库存数量或其它因素不能满足所需数量时，同品规的其它槽位自动补偿发药，以满足处方调剂要求。</w:t>
      </w:r>
    </w:p>
    <w:p>
      <w:pPr>
        <w:numPr>
          <w:ilvl w:val="0"/>
          <w:numId w:val="0"/>
        </w:numPr>
        <w:snapToGrid w:val="0"/>
        <w:spacing w:before="156" w:beforeLines="50" w:after="156" w:afterLines="50"/>
        <w:ind w:leftChars="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27.</w:t>
      </w:r>
      <w:r>
        <w:rPr>
          <w:rFonts w:hint="eastAsia" w:ascii="仿宋" w:hAnsi="仿宋" w:eastAsia="仿宋" w:cs="仿宋"/>
          <w:color w:val="000000"/>
          <w:kern w:val="0"/>
          <w:sz w:val="24"/>
          <w:szCs w:val="24"/>
          <w:lang w:bidi="ar"/>
        </w:rPr>
        <w:t>储存通道智能锁定</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系统针对出现出药数量与需求数量不匹配时，系统具有记忆功能，并针对大于2次以上的通道自动锁定，提高药品自动调剂的准确度，不影响其他通道继续出药，并在软件界面提示检修，再次启用功能，提供资料证明。</w:t>
      </w:r>
    </w:p>
    <w:p>
      <w:pPr>
        <w:numPr>
          <w:ilvl w:val="0"/>
          <w:numId w:val="0"/>
        </w:numPr>
        <w:snapToGrid w:val="0"/>
        <w:spacing w:before="156" w:beforeLines="50" w:after="156" w:afterLines="50"/>
        <w:ind w:leftChars="0"/>
        <w:rPr>
          <w:rFonts w:hint="eastAsia" w:ascii="仿宋" w:hAnsi="仿宋" w:eastAsia="仿宋" w:cs="仿宋"/>
          <w:b/>
          <w:bCs/>
          <w:color w:val="000000"/>
          <w:spacing w:val="-6"/>
          <w:sz w:val="24"/>
          <w:szCs w:val="24"/>
        </w:rPr>
      </w:pPr>
      <w:r>
        <w:rPr>
          <w:rFonts w:hint="eastAsia" w:ascii="仿宋" w:hAnsi="仿宋" w:eastAsia="仿宋" w:cs="仿宋"/>
          <w:b/>
          <w:bCs/>
          <w:color w:val="000000"/>
          <w:spacing w:val="-6"/>
          <w:sz w:val="24"/>
          <w:szCs w:val="24"/>
          <w:lang w:val="en-US" w:eastAsia="zh-CN"/>
        </w:rPr>
        <w:t>三、</w:t>
      </w:r>
      <w:r>
        <w:rPr>
          <w:rFonts w:hint="eastAsia" w:ascii="仿宋" w:hAnsi="仿宋" w:eastAsia="仿宋" w:cs="仿宋"/>
          <w:b/>
          <w:bCs/>
          <w:color w:val="000000"/>
          <w:spacing w:val="-6"/>
          <w:sz w:val="24"/>
          <w:szCs w:val="24"/>
        </w:rPr>
        <w:t>直发传送系统</w:t>
      </w:r>
    </w:p>
    <w:p>
      <w:pPr>
        <w:numPr>
          <w:ilvl w:val="0"/>
          <w:numId w:val="9"/>
        </w:numPr>
        <w:snapToGrid w:val="0"/>
        <w:spacing w:before="156" w:beforeLines="50" w:after="156" w:afterLines="50"/>
        <w:ind w:leftChars="0"/>
        <w:rPr>
          <w:rFonts w:hint="eastAsia" w:ascii="仿宋" w:hAnsi="仿宋" w:eastAsia="仿宋" w:cs="仿宋"/>
          <w:color w:val="000000"/>
          <w:sz w:val="24"/>
          <w:szCs w:val="24"/>
        </w:rPr>
      </w:pPr>
      <w:r>
        <w:rPr>
          <w:rFonts w:hint="eastAsia" w:ascii="仿宋" w:hAnsi="仿宋" w:eastAsia="仿宋" w:cs="仿宋"/>
          <w:color w:val="000000"/>
          <w:sz w:val="24"/>
          <w:szCs w:val="24"/>
        </w:rPr>
        <w:t>基本功能</w:t>
      </w:r>
      <w:r>
        <w:rPr>
          <w:rFonts w:hint="eastAsia" w:ascii="仿宋" w:hAnsi="仿宋" w:eastAsia="仿宋" w:cs="仿宋"/>
          <w:color w:val="000000"/>
          <w:sz w:val="24"/>
          <w:szCs w:val="24"/>
          <w:lang w:eastAsia="zh-CN"/>
        </w:rPr>
        <w:t>：</w:t>
      </w:r>
      <w:r>
        <w:rPr>
          <w:rFonts w:hint="eastAsia" w:ascii="仿宋" w:hAnsi="仿宋" w:eastAsia="仿宋" w:cs="仿宋"/>
          <w:b w:val="0"/>
          <w:bCs w:val="0"/>
          <w:sz w:val="24"/>
          <w:szCs w:val="24"/>
          <w:lang w:val="en-US" w:eastAsia="zh-CN"/>
        </w:rPr>
        <w:t>自动接收处方信息，</w:t>
      </w:r>
      <w:r>
        <w:rPr>
          <w:rFonts w:hint="eastAsia" w:ascii="仿宋" w:hAnsi="仿宋" w:eastAsia="仿宋" w:cs="仿宋"/>
          <w:color w:val="000000"/>
          <w:sz w:val="24"/>
          <w:szCs w:val="24"/>
        </w:rPr>
        <w:t>通过地面轨道模式，与发药机连接，通过传输带把设备内药品传送到药房发药前台。</w:t>
      </w:r>
    </w:p>
    <w:p>
      <w:pPr>
        <w:numPr>
          <w:ilvl w:val="0"/>
          <w:numId w:val="9"/>
        </w:numPr>
        <w:snapToGrid w:val="0"/>
        <w:spacing w:before="156" w:beforeLines="50" w:after="156" w:afterLines="50"/>
        <w:ind w:lef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出药口</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根据医院处方量和药品使用情况配置多个直发窗口通道</w:t>
      </w:r>
      <w:r>
        <w:rPr>
          <w:rFonts w:hint="eastAsia" w:ascii="仿宋" w:hAnsi="仿宋" w:eastAsia="仿宋" w:cs="仿宋"/>
          <w:color w:val="000000"/>
          <w:sz w:val="24"/>
          <w:szCs w:val="24"/>
          <w:lang w:eastAsia="zh-CN"/>
        </w:rPr>
        <w:t>。</w:t>
      </w:r>
    </w:p>
    <w:p>
      <w:pPr>
        <w:numPr>
          <w:ilvl w:val="0"/>
          <w:numId w:val="9"/>
        </w:numPr>
        <w:snapToGrid w:val="0"/>
        <w:spacing w:before="156" w:beforeLines="50" w:after="156" w:afterLines="50"/>
        <w:ind w:lef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传送方式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快速发药系统的辅助设备，将处方药品直接传输至发药窗口，无需人工取药。</w:t>
      </w:r>
    </w:p>
    <w:p>
      <w:pPr>
        <w:numPr>
          <w:ilvl w:val="0"/>
          <w:numId w:val="9"/>
        </w:numPr>
        <w:snapToGrid w:val="0"/>
        <w:spacing w:before="156" w:beforeLines="50" w:after="156" w:afterLines="50"/>
        <w:ind w:left="0" w:leftChars="0" w:firstLine="0" w:firstLineChars="0"/>
        <w:rPr>
          <w:rFonts w:hint="eastAsia"/>
          <w:lang w:val="en-US" w:eastAsia="zh-CN"/>
        </w:rPr>
      </w:pPr>
      <w:r>
        <w:rPr>
          <w:rFonts w:hint="eastAsia" w:ascii="仿宋" w:hAnsi="仿宋" w:eastAsia="仿宋" w:cs="仿宋"/>
          <w:b w:val="0"/>
          <w:bCs w:val="0"/>
          <w:sz w:val="24"/>
          <w:szCs w:val="24"/>
          <w:lang w:val="en-US" w:eastAsia="zh-CN"/>
        </w:rPr>
        <w:t>提供与传送轨道匹配的药筐≥15个。</w:t>
      </w:r>
    </w:p>
    <w:p>
      <w:pPr>
        <w:numPr>
          <w:ilvl w:val="0"/>
          <w:numId w:val="0"/>
        </w:numPr>
        <w:snapToGrid w:val="0"/>
        <w:spacing w:before="156" w:beforeLines="50" w:after="156" w:afterLines="50"/>
        <w:ind w:leftChars="0"/>
        <w:rPr>
          <w:rFonts w:hint="eastAsia" w:ascii="仿宋" w:hAnsi="仿宋" w:eastAsia="仿宋" w:cs="仿宋"/>
          <w:b/>
          <w:bCs/>
          <w:sz w:val="24"/>
          <w:szCs w:val="24"/>
          <w:lang w:val="en-US" w:eastAsia="zh-CN"/>
        </w:rPr>
      </w:pPr>
    </w:p>
    <w:p>
      <w:pPr>
        <w:jc w:val="both"/>
        <w:rPr>
          <w:rFonts w:hint="eastAsia" w:ascii="仿宋" w:hAnsi="仿宋" w:eastAsia="仿宋" w:cs="仿宋"/>
          <w:b/>
          <w:sz w:val="24"/>
          <w:szCs w:val="24"/>
          <w:highlight w:val="none"/>
        </w:rPr>
      </w:pPr>
    </w:p>
    <w:p>
      <w:pPr>
        <w:jc w:val="center"/>
        <w:rPr>
          <w:rFonts w:hint="eastAsia" w:ascii="仿宋" w:hAnsi="仿宋" w:eastAsia="仿宋" w:cs="仿宋"/>
          <w:b/>
          <w:sz w:val="24"/>
          <w:szCs w:val="24"/>
          <w:highlight w:val="none"/>
        </w:rPr>
      </w:pPr>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全自动药品分包机</w:t>
      </w:r>
    </w:p>
    <w:p>
      <w:pPr>
        <w:jc w:val="both"/>
        <w:rPr>
          <w:rFonts w:hint="eastAsia" w:ascii="仿宋" w:hAnsi="仿宋" w:eastAsia="仿宋" w:cs="仿宋"/>
          <w:b/>
          <w:sz w:val="24"/>
          <w:szCs w:val="24"/>
        </w:rPr>
      </w:pPr>
    </w:p>
    <w:p>
      <w:pPr>
        <w:numPr>
          <w:ilvl w:val="0"/>
          <w:numId w:val="10"/>
        </w:numPr>
        <w:rPr>
          <w:rFonts w:hint="eastAsia" w:ascii="仿宋" w:hAnsi="仿宋" w:eastAsia="仿宋" w:cs="仿宋"/>
          <w:b/>
          <w:bCs/>
          <w:sz w:val="24"/>
          <w:szCs w:val="24"/>
        </w:rPr>
      </w:pPr>
      <w:r>
        <w:rPr>
          <w:rFonts w:hint="eastAsia" w:ascii="仿宋" w:hAnsi="仿宋" w:eastAsia="仿宋" w:cs="仿宋"/>
          <w:b/>
          <w:bCs/>
          <w:sz w:val="24"/>
          <w:szCs w:val="24"/>
        </w:rPr>
        <w:t>整体技术要求</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HIS连接</w:t>
      </w:r>
      <w:r>
        <w:rPr>
          <w:rFonts w:hint="eastAsia" w:ascii="仿宋" w:hAnsi="仿宋" w:eastAsia="仿宋" w:cs="仿宋"/>
          <w:sz w:val="24"/>
          <w:szCs w:val="24"/>
          <w:lang w:eastAsia="zh-CN"/>
        </w:rPr>
        <w:t>：</w:t>
      </w:r>
      <w:r>
        <w:rPr>
          <w:rFonts w:hint="eastAsia" w:ascii="仿宋" w:hAnsi="仿宋" w:eastAsia="仿宋" w:cs="仿宋"/>
          <w:sz w:val="24"/>
          <w:szCs w:val="24"/>
        </w:rPr>
        <w:t>能与HIS系统无缝连接控制软件操作界面为简体中文。实时接收HIS传过来的医嘱用药信息，并提供相应的接口升级服务。配备独立的核心控制系统处理与HIS之间的通信，同时每台设备有自己独立的服务器。各子系统服务器统一由核心控制系统进行控制调配。可根据医院HIS系统及药师具体要求，提供软件定制服务。</w:t>
      </w:r>
    </w:p>
    <w:p>
      <w:pPr>
        <w:numPr>
          <w:ilvl w:val="0"/>
          <w:numId w:val="0"/>
        </w:numPr>
        <w:rPr>
          <w:rFonts w:hint="eastAsia" w:ascii="仿宋" w:hAnsi="仿宋" w:eastAsia="仿宋" w:cs="仿宋"/>
          <w:b/>
          <w:bCs/>
          <w:sz w:val="24"/>
          <w:szCs w:val="24"/>
        </w:rPr>
      </w:pPr>
      <w:r>
        <w:rPr>
          <w:rFonts w:hint="eastAsia" w:ascii="仿宋" w:hAnsi="仿宋" w:eastAsia="仿宋" w:cs="仿宋"/>
          <w:b/>
          <w:bCs/>
          <w:sz w:val="24"/>
          <w:szCs w:val="24"/>
        </w:rPr>
        <w:t>二. 基本参数</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1.1 </w:t>
      </w:r>
      <w:r>
        <w:rPr>
          <w:rFonts w:hint="eastAsia" w:ascii="仿宋" w:hAnsi="仿宋" w:eastAsia="仿宋" w:cs="仿宋"/>
          <w:sz w:val="24"/>
          <w:szCs w:val="24"/>
          <w:lang w:val="zh-CN"/>
        </w:rPr>
        <w:t>全自动药品分包机标配独立带RFID芯片药盒</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320个，机内可装储</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320种不同片剂、胶囊药品。</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lang w:eastAsia="zh-CN"/>
        </w:rPr>
        <w:t>▲</w:t>
      </w:r>
      <w:r>
        <w:rPr>
          <w:rFonts w:hint="eastAsia" w:ascii="仿宋" w:hAnsi="仿宋" w:eastAsia="仿宋" w:cs="仿宋"/>
          <w:sz w:val="24"/>
          <w:szCs w:val="24"/>
        </w:rPr>
        <w:t>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具有非机储药、半片药外摆药托盘</w:t>
      </w:r>
      <w:r>
        <w:rPr>
          <w:rFonts w:hint="eastAsia" w:ascii="仿宋" w:hAnsi="仿宋" w:eastAsia="仿宋" w:cs="仿宋"/>
          <w:sz w:val="24"/>
          <w:szCs w:val="24"/>
          <w:lang w:val="en-US" w:eastAsia="zh-CN"/>
        </w:rPr>
        <w:t>≥40</w:t>
      </w:r>
      <w:r>
        <w:rPr>
          <w:rFonts w:hint="eastAsia" w:ascii="仿宋" w:hAnsi="仿宋" w:eastAsia="仿宋" w:cs="仿宋"/>
          <w:sz w:val="24"/>
          <w:szCs w:val="24"/>
          <w:lang w:val="zh-CN"/>
        </w:rPr>
        <w:t>格，双托盘结构，可交替使用。（提供设备实际照片）</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1.3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设备高度≤2M占地面积≤2㎡。</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1.4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全中文操作系统，支持一维条码和二维条码的识别。</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1.5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设备最高分包速度≥60包/分。</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6 </w:t>
      </w:r>
      <w:r>
        <w:rPr>
          <w:rFonts w:hint="eastAsia" w:ascii="仿宋" w:hAnsi="仿宋" w:eastAsia="仿宋" w:cs="仿宋"/>
          <w:sz w:val="24"/>
          <w:szCs w:val="24"/>
          <w:lang w:val="zh-CN"/>
        </w:rPr>
        <w:t>设备内带电脑主机及及中文液晶操作面板且操作面板</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英寸的超大液晶触摸屏</w:t>
      </w:r>
      <w:r>
        <w:rPr>
          <w:rFonts w:hint="eastAsia" w:ascii="仿宋" w:hAnsi="仿宋" w:eastAsia="仿宋" w:cs="仿宋"/>
          <w:sz w:val="24"/>
          <w:szCs w:val="24"/>
        </w:rPr>
        <w:t>。</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设备自带除湿、恒温功能，在潮湿环境下防止药品受潮、变质。</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设备带有自动检测功能，能通过屏幕界面及语音提示错包信息并在不停机的情况下自动分补。</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1.9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电源：AC220V±10%  50~60HZ</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1.10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主机自带紧急停止按钮</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lang w:eastAsia="zh-CN"/>
        </w:rPr>
        <w:t>▲</w:t>
      </w:r>
      <w:r>
        <w:rPr>
          <w:rFonts w:hint="eastAsia" w:ascii="仿宋" w:hAnsi="仿宋" w:eastAsia="仿宋" w:cs="仿宋"/>
          <w:sz w:val="24"/>
          <w:szCs w:val="24"/>
        </w:rPr>
        <w:t>1.11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标配正面出药口，可定制侧面出药口。（提供设备实际照片）</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1.12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安全性能符合相关设备安全标准，产品质量可靠</w:t>
      </w:r>
      <w:r>
        <w:rPr>
          <w:rFonts w:hint="eastAsia" w:ascii="仿宋" w:hAnsi="仿宋" w:eastAsia="仿宋" w:cs="仿宋"/>
          <w:sz w:val="24"/>
          <w:szCs w:val="24"/>
          <w:lang w:val="zh-CN"/>
        </w:rPr>
        <w:t>。</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1.13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侧面开窗透明设计，可以实现包药过程中取放药盒，不停机加药功能。</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1.14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整机采用避光设计，保证药品安全性。</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lang w:eastAsia="zh-CN"/>
        </w:rPr>
        <w:t>▲</w:t>
      </w:r>
      <w:r>
        <w:rPr>
          <w:rFonts w:hint="eastAsia" w:ascii="仿宋" w:hAnsi="仿宋" w:eastAsia="仿宋" w:cs="仿宋"/>
          <w:sz w:val="24"/>
          <w:szCs w:val="24"/>
        </w:rPr>
        <w:t>1.15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配置临时药盒双预摆盘，在设备摆药过程中，可以在不停机的情况下，预加临时药品，从而提高摆药效率。</w:t>
      </w:r>
      <w:r>
        <w:rPr>
          <w:rFonts w:hint="eastAsia" w:ascii="仿宋" w:hAnsi="仿宋" w:eastAsia="仿宋" w:cs="仿宋"/>
          <w:sz w:val="24"/>
          <w:szCs w:val="24"/>
          <w:lang w:val="zh-CN"/>
        </w:rPr>
        <w:t>（提供设备实际照片）</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1.16 随机配置同品牌药品切片器5个，可用于1/2、1/4、1/8等非规则药片的切片。（提供实际照片及切片效果图）</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lang w:val="zh-CN"/>
        </w:rPr>
        <w:t>1.17配置同品牌自动剥药机1台：可简单方便的对各种铝塑泡眼包装药品进行剥粒，间距尺寸可调，避免手工操作污染。</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lang w:val="zh-CN"/>
        </w:rPr>
        <w:t>1.18 配置同品牌数粒机1台：可快速准确的实现全自动片剂、胶囊点数。可双通道同时点数。</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设备技术性能</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2.1 </w:t>
      </w:r>
      <w:r>
        <w:rPr>
          <w:rFonts w:hint="eastAsia" w:ascii="仿宋" w:hAnsi="仿宋" w:eastAsia="仿宋" w:cs="仿宋"/>
          <w:sz w:val="24"/>
          <w:szCs w:val="24"/>
        </w:rPr>
        <w:t>机储药品部</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2.1.1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机储药品药盒采用抽屉式结构容纳，</w:t>
      </w:r>
      <w:r>
        <w:rPr>
          <w:rFonts w:hint="eastAsia" w:ascii="仿宋" w:hAnsi="仿宋" w:eastAsia="仿宋" w:cs="仿宋"/>
          <w:sz w:val="24"/>
          <w:szCs w:val="24"/>
          <w:lang w:val="zh-CN"/>
        </w:rPr>
        <w:t>药品可以分区摆放，防止药品交叉感染。</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储药盒前段需具备LED灯显示储位信息。</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2.1.3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机储药品落药通道为开放式结构，方便日常设备清洁。</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智能分包设置</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可根据药品的形状、重量、质地等设置该药片的个性化落药参数，以保证药品分包过程中同一处方同一餐的药品落入一个包装袋内，避免错包和串包现象发生。</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可根据医院调剂习惯，自主设置按照病区病人分包或按照同一分餐分包。</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一个医嘱单剂量药品颗粒数过多时，可自动拆分成两包或多包。</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2.2.4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具有单品种片剂或胶囊单独分包的功能，可设置单独分包药品标记，设备可自动记忆单独分包；单独分包药品的打印信息可单独编辑，单独存储和查询、统计。</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2.2.5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设备自带在线运功摄像头监控功能，保证药品在彻底落地停止运动后进行药品分包，根据药品数量不同而造成的包装时长，实时调整包装时间。（提供监控采集的照片）</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2.2.6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视觉摄像头可以全程记录药仓落药及药包出药情况，并且包药过程中可以实时查看，便于药师核对。（提供视觉核对采集的照片）</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2.2.7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具备自动纠错功能，利用分包尾端运动捕捉及自动识别传感器等技术，能在分包错误袋之后的第一或第二个药袋的整个打印范围内打印醒目标识，且能在不停机的状态下打印：“分包错误”字样或者“X”的标识进行提示，且显示屏上会发出提示和询问；并可设置自动分补，或者询问确认后再分补，自动对错误的分包袋进行重新包装，从而不会改变原来的包药顺序。</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2.2.8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具备药包阻断检测功能，摆药过程中，药包如果在非正常因素影响下出现的卡包、药包阻断等现象会被检测系统实时侦测到，并在触摸屏显示告警和语音提示，并自动暂停放药动作，等待工作人员检查和处理故障。</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2.2.9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放药装置配备异常落药检测，可以实时检测放药装置在放药处理异常时出现漏药、溢药及时反应，及时在触摸屏输出落药告警并语音提示，暂停放药动作，等待工作人员检查和处理故障。</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药盒</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2.3.1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药盒规格≥</w:t>
      </w:r>
      <w:r>
        <w:rPr>
          <w:rFonts w:hint="eastAsia" w:ascii="仿宋" w:hAnsi="仿宋" w:eastAsia="仿宋" w:cs="仿宋"/>
          <w:sz w:val="24"/>
          <w:szCs w:val="24"/>
          <w:lang w:val="en-US" w:eastAsia="zh-CN"/>
        </w:rPr>
        <w:t>3</w:t>
      </w:r>
      <w:r>
        <w:rPr>
          <w:rFonts w:hint="eastAsia" w:ascii="仿宋" w:hAnsi="仿宋" w:eastAsia="仿宋" w:cs="仿宋"/>
          <w:sz w:val="24"/>
          <w:szCs w:val="24"/>
        </w:rPr>
        <w:t>种。</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2.3.2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药盒为透明、避光设计，具有防潮、防尘、防紫外线功能。</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2.3.3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所有药盒为RFID智能芯片药盒，药盒可任意摆放从而避免药盒位置放错,所有药盒在运行过程中可随意更换位置，系统会做出提示，不影响药品分包。</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2.3.4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多药盒级联功能，用药量大的药品可分装于多个药盒内，系统自动分配多药盒同时并准确发药。</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2.3.5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药盒底部采用RFID数字识别显示器技术，使得药品位置更容易识别。</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2.3.6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具有特殊形状自由包装技术，可以将半片药、特殊形状的药品和临时添加的药品做全自动分包，不需提前定制药品模具，节省时间，并且处理单元的增加或减少不会影响机储药品存储数量。</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2.3.7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每个药盒有独立防潮层，免费提供药盒及最快捷的药盒调整服务，免费数量</w:t>
      </w:r>
      <w:r>
        <w:rPr>
          <w:rFonts w:hint="eastAsia" w:ascii="仿宋" w:hAnsi="仿宋" w:eastAsia="仿宋" w:cs="仿宋"/>
          <w:sz w:val="24"/>
          <w:szCs w:val="24"/>
          <w:lang w:val="en-US" w:eastAsia="zh-CN"/>
        </w:rPr>
        <w:t>为</w:t>
      </w:r>
      <w:r>
        <w:rPr>
          <w:rFonts w:hint="eastAsia" w:ascii="仿宋" w:hAnsi="仿宋" w:eastAsia="仿宋" w:cs="仿宋"/>
          <w:sz w:val="24"/>
          <w:szCs w:val="24"/>
        </w:rPr>
        <w:t>所售机型的最大药盒摆放数。</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外摆药槽</w:t>
      </w:r>
      <w:r>
        <w:rPr>
          <w:rFonts w:hint="eastAsia" w:ascii="仿宋" w:hAnsi="仿宋" w:eastAsia="仿宋" w:cs="仿宋"/>
          <w:sz w:val="24"/>
          <w:szCs w:val="24"/>
          <w:lang w:eastAsia="zh-CN"/>
        </w:rPr>
        <w:t>。</w:t>
      </w:r>
      <w:r>
        <w:rPr>
          <w:rFonts w:hint="eastAsia" w:ascii="仿宋" w:hAnsi="仿宋" w:eastAsia="仿宋" w:cs="仿宋"/>
          <w:sz w:val="24"/>
          <w:szCs w:val="24"/>
        </w:rPr>
        <w:t>（非机储药）</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2.4.1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处方信息中有非机储药品需要添加时，外摆药槽可自动弹出，方便药师按照提示添加非机储药品。</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非机储药品添加信息在分包机悬臂式的液晶触摸屏中显示，屏幕仰角大小可调，方便药师按照触摸屏的提示添加非机储药品，且无需打印出加药提示单，满足医院无纸化办公需要，节省办公用品支出，符合国家倡导的低碳环保政策。</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可以选装外置热敏打印机，且采用无线互联技术，可以按照医院要求随意摆放位置，实现非机储药品添加信息实时打印，且方便装订存档。实现医院标准化管理记录流程。</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2.4.4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临时药盒外摆药品，可一次性多病区满格加药，减少外摆药盘弹出次数，减少工作量，提升工作效率。也可选择分病区加药模式，方便医院加药管理，满足医院使用需求。</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2.5 </w:t>
      </w:r>
      <w:r>
        <w:rPr>
          <w:rFonts w:hint="eastAsia" w:ascii="仿宋" w:hAnsi="仿宋" w:eastAsia="仿宋" w:cs="仿宋"/>
          <w:sz w:val="24"/>
          <w:szCs w:val="24"/>
          <w:lang w:val="zh-CN"/>
        </w:rPr>
        <w:t>分包袋</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分包袋采用可降解环保材料，印字面覆哑膜，包装好的药袋在保证韧性的同时不用剪刀即可撕开。</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使用图形打印技术,可在包装袋表面任意编辑打印内容。以简体中文在药袋上打印服药信息〔包括</w:t>
      </w:r>
      <w:r>
        <w:rPr>
          <w:rFonts w:hint="eastAsia" w:ascii="仿宋" w:hAnsi="仿宋" w:eastAsia="仿宋" w:cs="仿宋"/>
          <w:sz w:val="24"/>
          <w:szCs w:val="24"/>
          <w:lang w:val="en-US" w:eastAsia="zh-CN"/>
        </w:rPr>
        <w:t>不限于</w:t>
      </w:r>
      <w:r>
        <w:rPr>
          <w:rFonts w:hint="eastAsia" w:ascii="仿宋" w:hAnsi="仿宋" w:eastAsia="仿宋" w:cs="仿宋"/>
          <w:sz w:val="24"/>
          <w:szCs w:val="24"/>
          <w:lang w:val="zh-CN"/>
        </w:rPr>
        <w:t>病区、病房、病床、患者ID、厂家等），可选择不同字体、图标及打印方向。</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分包袋采用半透明医用级材料制成，可打印患者信息、医嘱信息和药品信息便于核对，打印内容也可根据医院需求进行自由设定。</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分包袋更换方便</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碳带</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2.6.1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打印字迹清晰</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2.6.2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碳带更换方便</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打印系统功能</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2.7.1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可在药品包装袋上自动打印患者信息、医嘱信息、药品信息，其内容可自行编辑。</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2.7.2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字体可打印在不透明的一面，打印字体清晰不掉色。</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系统操作界面</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2.8.1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设备携带的操作和信息显示系统为液晶触摸屏，直观、方便操作。</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2.8.2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操作界面为中文显示。</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2.8.3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各种预警以图文方式显示于操作界面。</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2.8.4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使用悬臂式多角度可调节电脑触摸屏操作，操作人员能及时了解机器的运行情况，以及错误提示、补充药品提示、掌握半片剂特殊形状药品投放。</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系统控制软件</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2.9.1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药品种类、数量显示</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2.9.2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药品实时盘点，药品消耗统计</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2.9.3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药品种类、存量、用量、批次等信息管理</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2.9.4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可设置最低储药量预警值</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val="zh-CN"/>
        </w:rPr>
      </w:pPr>
      <w:r>
        <w:rPr>
          <w:rFonts w:hint="eastAsia" w:ascii="仿宋" w:hAnsi="仿宋" w:eastAsia="仿宋" w:cs="仿宋"/>
          <w:sz w:val="24"/>
          <w:szCs w:val="24"/>
        </w:rPr>
        <w:t>2.9.5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开机自检功能，</w:t>
      </w:r>
      <w:r>
        <w:rPr>
          <w:rFonts w:hint="eastAsia" w:ascii="仿宋" w:hAnsi="仿宋" w:eastAsia="仿宋" w:cs="仿宋"/>
          <w:sz w:val="24"/>
          <w:szCs w:val="24"/>
          <w:lang w:val="zh-CN"/>
        </w:rPr>
        <w:t>分包机内部各部件之间在运转之中的异常监测警报。</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2.9.6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分包袋少纸报警提示及碳带缺少报警提示</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2.9.7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药盒缺药报警提示</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2.9.8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具有分包药品信息自动存储功能，并具有分包药品信息统计功能</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rPr>
        <w:t>2.9.9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医嘱信息、患者信息、药品信息等可以永久保存于数据库，也可以导出存储，便于日后查询</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p>
    <w:p>
      <w:pPr>
        <w:numPr>
          <w:ilvl w:val="0"/>
          <w:numId w:val="0"/>
        </w:numPr>
        <w:snapToGrid w:val="0"/>
        <w:spacing w:before="156" w:beforeLines="50" w:after="156" w:afterLines="50"/>
        <w:ind w:leftChars="0"/>
        <w:rPr>
          <w:rFonts w:hint="eastAsia" w:ascii="仿宋" w:hAnsi="仿宋" w:eastAsia="仿宋" w:cs="仿宋"/>
          <w:b/>
          <w:bCs/>
          <w:sz w:val="24"/>
          <w:szCs w:val="24"/>
          <w:lang w:val="en-US" w:eastAsia="zh-CN"/>
        </w:rPr>
      </w:pPr>
    </w:p>
    <w:p>
      <w:pPr>
        <w:numPr>
          <w:ilvl w:val="0"/>
          <w:numId w:val="0"/>
        </w:numPr>
        <w:snapToGrid w:val="0"/>
        <w:spacing w:before="156" w:beforeLines="50" w:after="156" w:afterLines="50"/>
        <w:ind w:lef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麻精药品管理柜</w:t>
      </w:r>
    </w:p>
    <w:p>
      <w:pPr>
        <w:numPr>
          <w:ilvl w:val="0"/>
          <w:numId w:val="11"/>
        </w:numPr>
        <w:ind w:left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与医院HIS实现无缝隙连接，直接接收HIS传输过来的信息。内嵌式液晶触摸屏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中文简体操作，处方信息和药品信息直接显示在触摸屏上</w:t>
      </w:r>
      <w:r>
        <w:rPr>
          <w:rFonts w:hint="eastAsia" w:ascii="仿宋" w:hAnsi="仿宋" w:eastAsia="仿宋" w:cs="仿宋"/>
          <w:color w:val="000000"/>
          <w:sz w:val="24"/>
          <w:szCs w:val="24"/>
          <w:lang w:eastAsia="zh-CN"/>
        </w:rPr>
        <w:t>。</w:t>
      </w:r>
    </w:p>
    <w:p>
      <w:pPr>
        <w:numPr>
          <w:ilvl w:val="0"/>
          <w:numId w:val="11"/>
        </w:numPr>
        <w:ind w:left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基本要求</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设备具有IC卡、用户密码、指纹等多级安全登陆方式，适用于麻精药品的管理。系统接收处方信息后，设备需要确认取药人身份并审核通过后，根据处方信息自动将药品推出，并通过LED灯提示药品所在位置，通过人工按钮打开对应的药品存储单元，完成取药过程，未在处方内的药品无法打开，确保安全性,取药全过程拍照、摄像头视频记录，同时根据处方信息可快速查询。柜体为立式柜体。</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安全防护</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多方位摄像头监控操作环境以及药品出入库，可追溯查询。</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发药要求</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接受处方信息后，对药品进行单品种独立处理，确保药品发放和保管安全</w:t>
      </w:r>
      <w:r>
        <w:rPr>
          <w:rFonts w:hint="eastAsia" w:ascii="仿宋" w:hAnsi="仿宋" w:eastAsia="仿宋" w:cs="仿宋"/>
          <w:color w:val="000000"/>
          <w:sz w:val="24"/>
          <w:szCs w:val="24"/>
          <w:lang w:eastAsia="zh-CN"/>
        </w:rPr>
        <w:t>。</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安装方式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落地式</w:t>
      </w:r>
      <w:r>
        <w:rPr>
          <w:rFonts w:hint="eastAsia" w:ascii="仿宋" w:hAnsi="仿宋" w:eastAsia="仿宋" w:cs="仿宋"/>
          <w:color w:val="000000"/>
          <w:sz w:val="24"/>
          <w:szCs w:val="24"/>
          <w:lang w:eastAsia="zh-CN"/>
        </w:rPr>
        <w:t>。</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储药规格</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抽屉式，可定制储药格，单台设备不低于</w:t>
      </w:r>
      <w:r>
        <w:rPr>
          <w:rFonts w:hint="eastAsia" w:ascii="仿宋" w:hAnsi="仿宋" w:eastAsia="仿宋" w:cs="仿宋"/>
          <w:color w:val="000000"/>
          <w:sz w:val="24"/>
          <w:szCs w:val="24"/>
          <w:lang w:val="en-US" w:eastAsia="zh-CN"/>
        </w:rPr>
        <w:t>40</w:t>
      </w:r>
      <w:r>
        <w:rPr>
          <w:rFonts w:hint="eastAsia" w:ascii="仿宋" w:hAnsi="仿宋" w:eastAsia="仿宋" w:cs="仿宋"/>
          <w:color w:val="000000"/>
          <w:sz w:val="24"/>
          <w:szCs w:val="24"/>
        </w:rPr>
        <w:t>个独立控制单元格</w:t>
      </w:r>
      <w:r>
        <w:rPr>
          <w:rFonts w:hint="eastAsia" w:ascii="仿宋" w:hAnsi="仿宋" w:eastAsia="仿宋" w:cs="仿宋"/>
          <w:color w:val="000000"/>
          <w:sz w:val="24"/>
          <w:szCs w:val="24"/>
          <w:lang w:eastAsia="zh-CN"/>
        </w:rPr>
        <w:t>。</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单抽屉最大容积</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L</w:t>
      </w:r>
      <w:r>
        <w:rPr>
          <w:rFonts w:hint="eastAsia" w:ascii="仿宋" w:hAnsi="仿宋" w:eastAsia="仿宋" w:cs="仿宋"/>
          <w:color w:val="000000"/>
          <w:sz w:val="24"/>
          <w:szCs w:val="24"/>
          <w:lang w:eastAsia="zh-CN"/>
        </w:rPr>
        <w:t>。</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操作方式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特有物品查询与LED定位指示系统，可以帮助使用者准确快速取得所需要的麻精药品。全触屏的操作界面直观高效。</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报表功能</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可根据处方信息，自动完成麻精药品登记报表，并可导出打印，替代纸质人工登记，提高登记信息的准确度以及及时性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提供打印报表照片）</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应急方案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在停电、设备故障等应急状态下，通过授权后，可通过物理锁，打开每个单元格，取出药品，满足紧急状况下用药的需求</w:t>
      </w:r>
      <w:r>
        <w:rPr>
          <w:rFonts w:hint="eastAsia" w:ascii="仿宋" w:hAnsi="仿宋" w:eastAsia="仿宋" w:cs="仿宋"/>
          <w:color w:val="000000"/>
          <w:sz w:val="24"/>
          <w:szCs w:val="24"/>
          <w:lang w:eastAsia="zh-CN"/>
        </w:rPr>
        <w:t>。</w:t>
      </w:r>
    </w:p>
    <w:p>
      <w:pPr>
        <w:numPr>
          <w:ilvl w:val="0"/>
          <w:numId w:val="11"/>
        </w:numPr>
        <w:ind w:left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五专管理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用实际使用照片说明设备的“五专管理”功能</w:t>
      </w:r>
      <w:r>
        <w:rPr>
          <w:rFonts w:hint="eastAsia" w:ascii="仿宋" w:hAnsi="仿宋" w:eastAsia="仿宋" w:cs="仿宋"/>
          <w:color w:val="000000"/>
          <w:sz w:val="24"/>
          <w:szCs w:val="24"/>
          <w:lang w:eastAsia="zh-CN"/>
        </w:rPr>
        <w:t>。</w:t>
      </w:r>
    </w:p>
    <w:p>
      <w:pPr>
        <w:numPr>
          <w:ilvl w:val="0"/>
          <w:numId w:val="0"/>
        </w:numPr>
        <w:jc w:val="left"/>
        <w:rPr>
          <w:rFonts w:hint="eastAsia" w:ascii="仿宋" w:hAnsi="仿宋" w:eastAsia="仿宋" w:cs="仿宋"/>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p>
    <w:p>
      <w:pPr>
        <w:spacing w:line="360" w:lineRule="auto"/>
        <w:ind w:firstLine="1124" w:firstLineChars="4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静脉用药调配中心（PIVAS）管理软件系统</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一、静配审方</w:t>
      </w:r>
    </w:p>
    <w:p>
      <w:pPr>
        <w:spacing w:line="360" w:lineRule="auto"/>
        <w:rPr>
          <w:rFonts w:hint="eastAsia" w:ascii="仿宋" w:hAnsi="仿宋" w:eastAsia="仿宋" w:cs="仿宋"/>
          <w:color w:val="000000"/>
          <w:sz w:val="24"/>
          <w:szCs w:val="24"/>
        </w:rPr>
      </w:pPr>
      <w:r>
        <w:rPr>
          <w:rFonts w:hint="eastAsia" w:ascii="宋体" w:hAnsi="宋体" w:eastAsia="宋体" w:cs="宋体"/>
          <w:color w:val="000000"/>
          <w:sz w:val="24"/>
          <w:szCs w:val="24"/>
        </w:rPr>
        <w:t>▲</w:t>
      </w:r>
      <w:r>
        <w:rPr>
          <w:rFonts w:hint="eastAsia" w:ascii="仿宋" w:hAnsi="仿宋" w:eastAsia="仿宋" w:cs="仿宋"/>
          <w:color w:val="000000"/>
          <w:sz w:val="24"/>
          <w:szCs w:val="24"/>
        </w:rPr>
        <w:t>（1）审方软件留有药师规则自维护空间。可对配伍禁忌、滴速、适应症、疗程等进行维护。</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为确保审方准确性，在以专业药师的角度出发，静配管理系统在配液前对医嘱保留二次审方功能，医生在医生工作站，根据患者实际情况开立医嘱，系统应自动获取医嘱数据，由配液中心药师，在进行静脉药物配置流程前，对各科室的医嘱进行合理用药审查。须内置基础合理用药审查系统，并支持对接第三方合理用药系统，支持对接移动护理系统。</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（3）支持肠外营养用药TPN处方审核；支持添加审方规则</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 自动批次管理</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（一）确保患者用药连续性、合理性：</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静脉输液药物自动批次划分：针对长期/临医嘱，按照医嘱下达时间灵活设置批次配液工作时间段，先根据频次、给药优先顺序、用量、科室输注上限、医嘱用法、临床用药习惯、药物稳定性等因素实现自动批次划分。对已排批数据，可实现手工修改用药批次。做到合理、准确、高效，符合患者的实际用药需要。</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三、静配追溯</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（一）输液瓶签应用管理：</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（1）患者静脉药物瓶签唯一且内容丰富完整，包含患者基本信息和药物所有关键信息，包括</w:t>
      </w:r>
      <w:r>
        <w:rPr>
          <w:rFonts w:hint="eastAsia" w:ascii="仿宋" w:hAnsi="仿宋" w:eastAsia="仿宋" w:cs="仿宋"/>
          <w:color w:val="000000"/>
          <w:sz w:val="24"/>
          <w:szCs w:val="24"/>
          <w:lang w:val="en-US" w:eastAsia="zh-CN"/>
        </w:rPr>
        <w:t>不限于</w:t>
      </w:r>
      <w:r>
        <w:rPr>
          <w:rFonts w:hint="eastAsia" w:ascii="仿宋" w:hAnsi="仿宋" w:eastAsia="仿宋" w:cs="仿宋"/>
          <w:color w:val="000000"/>
          <w:sz w:val="24"/>
          <w:szCs w:val="24"/>
        </w:rPr>
        <w:t>患者姓名、年龄、体重、科室、住院号/门诊号，床位，以及药品明细、配置类别、非整只用量突出提醒、抗生素与肿瘤药品的突出标识、滴速提醒、过敏史、诊断等</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提供实际使用场景瓶签照片</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（2）患者瓶签集中打印也可按医院实际需求，实现不同的打印方式，如先按批次、再按药品品种连续打印，或者先按科室、再按批次与药品品种打印等。</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（3）静脉药物瓶贴需包含患者及药物所有关键信息：患者姓名、年龄、科室、住院号、门诊号、床位号、房间号、过敏史、诊断、体重、药品明细、滴速、药物实际冲配量、输液号、输液条码等。</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提供实际使用场景瓶签照片</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（二）瓶签集中打印：</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系统应提供功能强大、设计灵活的报表设计工具，方便标签的快速更改；可根据不同情况，配备不同打印模式，如住院患者的标签集中打印，可以自由选择批次、单科室或多科室的标签打印；可以根据药品分类，把相同批次的相同种类注射剂连续打印，方便相同种类药品的排药、核对及配置；标签内容应突出显示各种关键信息，如非整只用量、不同药物配置类别属性、高危/危险药品标识、避光、冷藏、是否冲管等药物属性提示。</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（2）支持智能贴签机。具备完善、快速的设备对接能力，做到标签格式统一，内置基本的对接视图。能够严格区分出标签打印来源，配合院方完成流程梳理，方便科室操作。</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（三）条码计算技术应用：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（1）依托条形码应用技术对患者每份输液形成唯一身份标识，应用于整体业务管理模式，反映输液状态，并记录相应操作记录，做到每一份输液的实时管理控与任意时刻的逆向追溯。</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（四）静配全过程节点信息摆药、核对（包括半成品核对（打包核对））、冲配、成品核对、装箱、配送、接收等全流程：</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流程节点，包括：摆药、摆药核对、贴签、贴签核对、冲配、分拣打包、配送、接收。摆药、摆药核对、贴签、贴签核对、冲配支持退药提醒，即当扫描患者标签，系统自动核对医嘱信息，根据医嘱状态（如作废、停止）自动判断是否继续用药。</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支持PC及PDA客户端、洁净电脑端扫描功能实现。可追踪操作人员、时间，具有自管理和维护的功能，静配中心管理人员在实际岗位操作人员的基础上，根据操作流程的难易程度设置不同的量化因子，各岗位工作人员的每一操作均被纳入到绩效考核过程中。</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（3）支持人员排班管理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系统应支持人员排班自定义功能，并能够将排班信息导出excel。</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（五）配置界面：</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配药前扫描时可提示是否退药，能提示非整支药品、高危药品，可实现工作量统计，设有难度系数可维护。接收记录：接收人员，接收药品、袋数，接收时间。输液单追踪：输液单追踪应可以清楚的反映输液单的当前状态、每个步骤的状态，详细地记录操作时间及操作人，确保每组输液都能逆向追踪；在输液单追踪功能上还应支持查看患者医嘱审查历史、修改单组输液的批次及配液类型等功能批次排定后药师手动修改批次以及配液类型更改记录。</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（六）复核装箱：</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根据医嘱以及对应的摆药信息，静配中心会赋予每组用药唯一的静配单号，扫描静配单条码，系统提示该输液单所在病区、批次，并对本批次的药品数量进行统计显示，PDA执行时程序会自动判断该病区、本批次药品总数量，已扫描数/未扫描数，确保药品实际装箱数复核正确；出库复核具备补充配置扫描功能，防止在配置扫描时遗漏或人为疏忽而引起的配置扫描不成功</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（不配置的药品直接在此进行复核扫描，即将配置扫描与复核扫描整合一步完成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（2）支持成品分拣机设备。具备完善、快速的设备对接能力。支持分拣机药品分拣模式。能够区分成品复核来源，支持分拣机打印交接单功能。</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四、静配中心上屏系统参数</w:t>
      </w:r>
    </w:p>
    <w:p>
      <w:pPr>
        <w:numPr>
          <w:ilvl w:val="0"/>
          <w:numId w:val="12"/>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支持和静配中心pivas系统对接，获取数据信息。</w:t>
      </w:r>
    </w:p>
    <w:p>
      <w:pPr>
        <w:numPr>
          <w:ilvl w:val="0"/>
          <w:numId w:val="12"/>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支持全面展示静配中心各个工作流程的节点数据信息和状态。</w:t>
      </w:r>
    </w:p>
    <w:p>
      <w:pPr>
        <w:numPr>
          <w:ilvl w:val="0"/>
          <w:numId w:val="12"/>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支持对接静配中心智能设备如贴签机、分拣机、温湿度记录仪、摄像头等，将设备状态信息实时集中显示在大屏特定区域上。</w:t>
      </w:r>
    </w:p>
    <w:p>
      <w:pPr>
        <w:numPr>
          <w:ilvl w:val="0"/>
          <w:numId w:val="12"/>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支持将pivas系统的各工作数据进行统计并以折线、饼状、柱状图显示出来，以辅助静配中心工作决策，支持根据用户需求开发定制。（提供现场图片）</w:t>
      </w:r>
    </w:p>
    <w:p>
      <w:pPr>
        <w:numPr>
          <w:ilvl w:val="0"/>
          <w:numId w:val="0"/>
        </w:numPr>
        <w:spacing w:line="360" w:lineRule="auto"/>
        <w:rPr>
          <w:rFonts w:hint="eastAsia" w:ascii="仿宋" w:hAnsi="仿宋" w:eastAsia="仿宋" w:cs="仿宋"/>
          <w:bCs/>
          <w:color w:val="000000"/>
          <w:sz w:val="28"/>
          <w:szCs w:val="28"/>
        </w:rPr>
      </w:pPr>
    </w:p>
    <w:p>
      <w:pPr>
        <w:numPr>
          <w:ilvl w:val="0"/>
          <w:numId w:val="0"/>
        </w:numPr>
        <w:spacing w:line="360" w:lineRule="auto"/>
        <w:rPr>
          <w:rFonts w:hint="eastAsia" w:ascii="仿宋" w:hAnsi="仿宋" w:eastAsia="仿宋" w:cs="仿宋"/>
          <w:bCs/>
          <w:color w:val="000000"/>
          <w:sz w:val="28"/>
          <w:szCs w:val="28"/>
        </w:rPr>
      </w:pPr>
    </w:p>
    <w:p>
      <w:pPr>
        <w:numPr>
          <w:ilvl w:val="0"/>
          <w:numId w:val="0"/>
        </w:numPr>
        <w:spacing w:line="360" w:lineRule="auto"/>
        <w:jc w:val="center"/>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水平层流操作台</w:t>
      </w:r>
    </w:p>
    <w:p>
      <w:pPr>
        <w:widowControl/>
        <w:spacing w:before="75" w:after="75"/>
        <w:rPr>
          <w:rFonts w:hint="eastAsia" w:ascii="仿宋" w:hAnsi="仿宋" w:eastAsia="仿宋" w:cs="仿宋"/>
          <w:b/>
          <w:bCs w:val="0"/>
          <w:color w:val="000000"/>
          <w:sz w:val="24"/>
          <w:szCs w:val="24"/>
        </w:rPr>
      </w:pPr>
      <w:r>
        <w:rPr>
          <w:rFonts w:hint="eastAsia" w:ascii="仿宋" w:hAnsi="仿宋" w:eastAsia="仿宋" w:cs="仿宋"/>
          <w:b/>
          <w:bCs w:val="0"/>
          <w:kern w:val="0"/>
          <w:sz w:val="24"/>
          <w:szCs w:val="24"/>
        </w:rPr>
        <w:t>1、技术参数</w:t>
      </w:r>
    </w:p>
    <w:p>
      <w:pPr>
        <w:numPr>
          <w:ilvl w:val="0"/>
          <w:numId w:val="0"/>
        </w:numPr>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1.1 外部尺寸：≥1800mm×808mm×1890mm</w:t>
      </w:r>
      <w:r>
        <w:rPr>
          <w:rFonts w:hint="eastAsia" w:ascii="仿宋" w:hAnsi="仿宋" w:eastAsia="仿宋" w:cs="仿宋"/>
          <w:bCs/>
          <w:color w:val="000000"/>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bCs/>
          <w:color w:val="000000"/>
          <w:sz w:val="24"/>
          <w:szCs w:val="24"/>
          <w:highlight w:val="none"/>
        </w:rPr>
        <w:t>；</w:t>
      </w:r>
    </w:p>
    <w:p>
      <w:pPr>
        <w:numPr>
          <w:ilvl w:val="0"/>
          <w:numId w:val="0"/>
        </w:numPr>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1.2 内部尺寸：≥1700mm ×500mm×800mm</w:t>
      </w:r>
      <w:r>
        <w:rPr>
          <w:rFonts w:hint="eastAsia" w:ascii="仿宋" w:hAnsi="仿宋" w:eastAsia="仿宋" w:cs="仿宋"/>
          <w:bCs/>
          <w:color w:val="000000"/>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bCs/>
          <w:color w:val="000000"/>
          <w:sz w:val="24"/>
          <w:szCs w:val="24"/>
          <w:highlight w:val="none"/>
        </w:rPr>
        <w:t>；</w:t>
      </w:r>
    </w:p>
    <w:p>
      <w:pPr>
        <w:numPr>
          <w:ilvl w:val="0"/>
          <w:numId w:val="0"/>
        </w:numPr>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1.3 过滤器尺寸：≥1720mm ×830mm×69mm</w:t>
      </w:r>
      <w:r>
        <w:rPr>
          <w:rFonts w:hint="eastAsia" w:ascii="仿宋" w:hAnsi="仿宋" w:eastAsia="仿宋" w:cs="仿宋"/>
          <w:bCs/>
          <w:color w:val="000000"/>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bCs/>
          <w:color w:val="000000"/>
          <w:sz w:val="24"/>
          <w:szCs w:val="24"/>
          <w:highlight w:val="none"/>
        </w:rPr>
        <w:t>；</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1.4 额定功率：1400 W(电源消耗功率包括柜体插座负载的功率（负载不能超过500W）)；</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1.5 气流流速：0.30～0.45m/s；</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1.6 紫外灯功率：20W*2；</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1.7 LED日光灯功率：16W*2；</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1.8 工作台到地面高度：750mm；</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1.9 噪音≤65dB(A)；</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1.10风机型号：YSK-14018004-YK01转速:1370 RPM，功率180W；</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1.11 产品安全性：菌落数≤0.5CFU/30min；</w:t>
      </w:r>
    </w:p>
    <w:p>
      <w:pPr>
        <w:numPr>
          <w:ilvl w:val="0"/>
          <w:numId w:val="0"/>
        </w:numPr>
        <w:spacing w:line="360" w:lineRule="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1.12 照明：≥300lx</w:t>
      </w:r>
      <w:r>
        <w:rPr>
          <w:rFonts w:hint="eastAsia" w:ascii="仿宋" w:hAnsi="仿宋" w:eastAsia="仿宋" w:cs="仿宋"/>
          <w:bCs/>
          <w:color w:val="000000"/>
          <w:sz w:val="24"/>
          <w:szCs w:val="24"/>
          <w:lang w:eastAsia="zh-CN"/>
        </w:rPr>
        <w:t>。</w:t>
      </w:r>
    </w:p>
    <w:p>
      <w:pPr>
        <w:numPr>
          <w:ilvl w:val="0"/>
          <w:numId w:val="0"/>
        </w:numPr>
        <w:spacing w:line="360" w:lineRule="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2、结构特点</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2.1洁净台分类：水平层流、单面操作；</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2.2过滤效率:过滤器均采用无隔板高效过滤器，对直径0.3μm颗粒过滤效率为99.999%；</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2.3 具有预过滤器，能够有效拦截大的颗粒物及杂质，有效延长高效过滤器的使用寿命；</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2.4工作区采用四面（左右二侧玻璃、顶部、底部）正压环绕设计工作区内，保护产品；</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2.5可在洁净台顶部更换、维修风机，后部更换过滤器；</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2.6箱体部分采用优质冷轧钢板且表面静电喷涂，增强了结构强度，整个装置更加稳重；</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2.7工作区台面为不锈钢材质，美观耐腐蚀；</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2.8控制面板采用轻触式开关，按键由风机键、照明键、紫外键、电源键、插座键、风量减小键、风量增大键组成，易于操作；显示屏显示内容有：风机的风速、显示时间、紫外灯的工作时间、过滤器的工作时间；</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2.9紫外灯与风机、日光灯互锁功能，即当风机、日光灯工作时，紫外灯无法开启，保护操作人员；</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2.10 紫外灯延时5S开启，保护操作人员安全；</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2.11 具有紫外灯、风机预约定时功能；</w:t>
      </w:r>
    </w:p>
    <w:p>
      <w:pPr>
        <w:numPr>
          <w:ilvl w:val="0"/>
          <w:numId w:val="0"/>
        </w:num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2.12 具有压力单位转换功能，进行PA和m/s之间的单位切换；</w:t>
      </w:r>
    </w:p>
    <w:p>
      <w:pPr>
        <w:numPr>
          <w:ilvl w:val="0"/>
          <w:numId w:val="0"/>
        </w:numPr>
        <w:spacing w:line="360" w:lineRule="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2.13 福马脚轮设计，方便柜体移动与固定</w:t>
      </w:r>
      <w:r>
        <w:rPr>
          <w:rFonts w:hint="eastAsia" w:ascii="仿宋" w:hAnsi="仿宋" w:eastAsia="仿宋" w:cs="仿宋"/>
          <w:bCs/>
          <w:color w:val="000000"/>
          <w:sz w:val="24"/>
          <w:szCs w:val="24"/>
          <w:lang w:eastAsia="zh-CN"/>
        </w:rPr>
        <w:t>。</w:t>
      </w:r>
    </w:p>
    <w:p>
      <w:pPr>
        <w:numPr>
          <w:ilvl w:val="0"/>
          <w:numId w:val="0"/>
        </w:numPr>
        <w:spacing w:line="360" w:lineRule="auto"/>
        <w:rPr>
          <w:rFonts w:hint="eastAsia" w:ascii="仿宋" w:hAnsi="仿宋" w:eastAsia="仿宋" w:cs="仿宋"/>
          <w:bCs/>
          <w:color w:val="000000"/>
          <w:sz w:val="24"/>
          <w:szCs w:val="24"/>
        </w:rPr>
      </w:pPr>
    </w:p>
    <w:p>
      <w:pPr>
        <w:numPr>
          <w:ilvl w:val="0"/>
          <w:numId w:val="0"/>
        </w:numPr>
        <w:spacing w:line="360" w:lineRule="auto"/>
        <w:rPr>
          <w:rFonts w:hint="eastAsia" w:ascii="仿宋" w:hAnsi="仿宋" w:eastAsia="仿宋" w:cs="仿宋"/>
          <w:b/>
          <w:bCs w:val="0"/>
          <w:color w:val="000000"/>
          <w:sz w:val="28"/>
          <w:szCs w:val="28"/>
        </w:rPr>
      </w:pPr>
    </w:p>
    <w:p>
      <w:pPr>
        <w:numPr>
          <w:ilvl w:val="0"/>
          <w:numId w:val="0"/>
        </w:numPr>
        <w:spacing w:line="360" w:lineRule="auto"/>
        <w:jc w:val="center"/>
        <w:rPr>
          <w:rFonts w:hint="eastAsia" w:ascii="仿宋" w:hAnsi="仿宋" w:eastAsia="仿宋" w:cs="仿宋"/>
          <w:b/>
          <w:bCs w:val="0"/>
          <w:color w:val="000000"/>
          <w:sz w:val="28"/>
          <w:szCs w:val="28"/>
        </w:rPr>
      </w:pPr>
      <w:r>
        <w:rPr>
          <w:rFonts w:hint="eastAsia" w:ascii="仿宋" w:hAnsi="仿宋" w:eastAsia="仿宋" w:cs="仿宋"/>
          <w:b/>
          <w:bCs w:val="0"/>
          <w:sz w:val="28"/>
          <w:szCs w:val="28"/>
        </w:rPr>
        <w:t>生物安全柜</w:t>
      </w:r>
    </w:p>
    <w:p>
      <w:pPr>
        <w:numPr>
          <w:ilvl w:val="0"/>
          <w:numId w:val="13"/>
        </w:num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p>
      <w:pPr>
        <w:numPr>
          <w:ilvl w:val="0"/>
          <w:numId w:val="14"/>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安全柜基本参数：</w:t>
      </w:r>
    </w:p>
    <w:p>
      <w:pPr>
        <w:numPr>
          <w:ilvl w:val="0"/>
          <w:numId w:val="0"/>
        </w:num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（1）分类：</w:t>
      </w:r>
      <w:r>
        <w:rPr>
          <w:rFonts w:hint="eastAsia" w:ascii="仿宋" w:hAnsi="仿宋" w:eastAsia="仿宋" w:cs="仿宋"/>
          <w:bCs/>
          <w:color w:val="000000"/>
          <w:sz w:val="24"/>
          <w:szCs w:val="24"/>
        </w:rPr>
        <w:t>II级</w:t>
      </w:r>
      <w:r>
        <w:rPr>
          <w:rFonts w:hint="eastAsia" w:ascii="仿宋" w:hAnsi="仿宋" w:eastAsia="仿宋" w:cs="仿宋"/>
          <w:color w:val="000000"/>
          <w:sz w:val="24"/>
          <w:szCs w:val="24"/>
        </w:rPr>
        <w:t>A2型，30%外排，70%循环</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（2）外部尺寸（L×D×H）</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≥1800mm×775mm×2290mm；</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（3）内部尺寸（L×D×H）</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≥1625mm ×600mm×660mm</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（4）台面距离地面高度：750mm（尺寸可根据要求订制修改）</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（5）风速： 平均下降风速：0.33±0.025m/s； 平均吸入口风速0.53±0.025m/s</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（6）系统排风总量：620 m³/h</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（7）额定功率：1800W（包含操作区插座负载500W）</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（8）噪音等级：≤67dB（A）</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（9）照明：≥1000lx</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（10）过滤效率:送风和排风过滤器均采用世界知名品牌的硼硅酸盐玻璃纤维材质的ULPA高效过滤器，对0.12μm颗粒过滤效率≥99.9995%</w:t>
      </w:r>
      <w:r>
        <w:rPr>
          <w:rFonts w:hint="eastAsia" w:ascii="仿宋" w:hAnsi="仿宋" w:eastAsia="仿宋" w:cs="仿宋"/>
          <w:color w:val="000000"/>
          <w:sz w:val="24"/>
          <w:szCs w:val="24"/>
          <w:lang w:val="en-US" w:eastAsia="zh-CN"/>
        </w:rPr>
        <w:t xml:space="preserve"> 。</w:t>
      </w:r>
    </w:p>
    <w:p>
      <w:pPr>
        <w:spacing w:line="36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2、生物安全性</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（1） 人员安全性：用碘化钾（KI）法测试，前窗操作口的保护因子应不小于1×105 </w:t>
      </w:r>
      <w:r>
        <w:rPr>
          <w:rFonts w:hint="eastAsia" w:ascii="仿宋" w:hAnsi="仿宋" w:eastAsia="仿宋" w:cs="仿宋"/>
          <w:color w:val="000000"/>
          <w:sz w:val="24"/>
          <w:szCs w:val="24"/>
          <w:lang w:eastAsia="zh-CN"/>
        </w:rPr>
        <w:t>；</w:t>
      </w:r>
    </w:p>
    <w:p>
      <w:pPr>
        <w:numPr>
          <w:ilvl w:val="0"/>
          <w:numId w:val="6"/>
        </w:numPr>
        <w:spacing w:line="360" w:lineRule="auto"/>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产品安全性：菌落数≤5CFU/次 </w:t>
      </w:r>
      <w:r>
        <w:rPr>
          <w:rFonts w:hint="eastAsia" w:ascii="仿宋" w:hAnsi="仿宋" w:eastAsia="仿宋" w:cs="仿宋"/>
          <w:color w:val="000000"/>
          <w:sz w:val="24"/>
          <w:szCs w:val="24"/>
          <w:lang w:eastAsia="zh-CN"/>
        </w:rPr>
        <w:t>；</w:t>
      </w:r>
    </w:p>
    <w:p>
      <w:pPr>
        <w:numPr>
          <w:ilvl w:val="0"/>
          <w:numId w:val="0"/>
        </w:numPr>
        <w:spacing w:line="360" w:lineRule="auto"/>
        <w:ind w:left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 交叉污染安全性：菌落数≤2CFU/次</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二、结构功能特点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符合</w:t>
      </w:r>
      <w:r>
        <w:rPr>
          <w:rFonts w:hint="eastAsia" w:ascii="仿宋" w:hAnsi="仿宋" w:eastAsia="仿宋" w:cs="仿宋"/>
          <w:color w:val="000000"/>
          <w:sz w:val="24"/>
          <w:szCs w:val="24"/>
        </w:rPr>
        <w:t>中华人民共和国医药行业YY0569-2011生物安全柜产品标准；</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2、柜体采用10°倾斜角设计，符合人体工程学原理，视角更大，操作方便且更加人性化；   </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3、安全柜裸露工作区三侧壁板采用优质304#不锈钢一体化结构，内部可清洗部位采用8mm大圆角处理，不留死角，易于清洁；</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4、工作区采用四面（左右二侧、后部、底部）负压环绕设计工作区内，保护性更好、更安全；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5、工作台面材质为优质304#不锈钢，采用盆状式设计，即使实验有废液溢出，也不会流入积液槽中，便于清理；</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6、福马脚轮设计：脚轮与支架一体化设计，安全柜即可通过脚轮安全移动，也可以通过调节脚轮支脚进行固定和调平；</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7、柜体和支架可分离，支架高度可根据实际情况订制修改；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8、结构设计：安全柜过滤器和风机的维修、更换，都可在安全柜的前侧进行，更加方便、快捷；</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9、前窗玻璃采用双层夹胶防爆安全玻璃；即使玻璃破损，也不会伤人，并且生物安全柜还能正常工作，直到实验结束，更好的保护了人员及实验的安全；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w:t>
      </w: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液晶显示屏≥4.5寸</w:t>
      </w:r>
      <w:r>
        <w:rPr>
          <w:rFonts w:hint="eastAsia" w:ascii="仿宋" w:hAnsi="仿宋" w:eastAsia="仿宋" w:cs="仿宋"/>
          <w:color w:val="000000"/>
          <w:sz w:val="24"/>
          <w:szCs w:val="24"/>
          <w:highlight w:val="none"/>
        </w:rPr>
        <w:t>LCD液晶显示屏，全</w:t>
      </w:r>
      <w:r>
        <w:rPr>
          <w:rFonts w:hint="eastAsia" w:ascii="仿宋" w:hAnsi="仿宋" w:eastAsia="仿宋" w:cs="仿宋"/>
          <w:color w:val="000000"/>
          <w:sz w:val="24"/>
          <w:szCs w:val="24"/>
        </w:rPr>
        <w:t>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11、脚踏电动、手动按键、遥控电动三种方式灵活控制玻璃门升降，玻璃门升降到安全操作高度时，自动停止升降，使操作更加方便；且玻璃门升降时不用直接接触玻璃，使实验人员更安全；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12、遥控控制：安全柜的所有按键操作，都可通过遥控控制实现，使安全柜的使用更加快捷方便；且遥控器的使用，大大减少了使用者与安全柜的直接接触，更加保护了使用者的人身安全；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13、具有预约定时功能，能自动设定安全柜定时开机、关机及紫外灯消毒时间，大大节省了工作时间，提高了工作效率；</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14、气密性检测：安全柜内加压500Pa，保持30min后气压不低于450Pa；</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15、前窗气流隔断设计：防止了气流通过前窗侧壁及上侧进行泄露，使试验更加安全；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16、风机选用：风机的电机当安全柜在正常运行而不调整电机的速度控制，经过滤器的风压下降50%时，风机的排气量下降不超过10%；</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17、报警系统：</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（1）玻璃门不在安全高度报警：玻璃门安全高度为200mm，当安全柜前侧高于或低于安全高度时，安全柜会声光报警；</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（2）过滤器压力超高报警：当过滤器的阻力变大，安全柜会声光报警；</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（3）过滤器失效更换报警：当过滤器寿命使用到期后，会有过滤器更换声光报警；</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（4）气流波动报警：当安全柜的气流波动超过标称值的20%时，声光报警</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18、安全的连锁保护设计：对误操作均设置连锁保护，即使误操作，也不会造成伤害</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（1）安全柜风机与玻璃门互锁：当安全柜玻璃门落到最底部时，安全柜风机自动关闭，更改保护了安全柜的使用，增加了安全柜的使用寿命；</w:t>
      </w:r>
    </w:p>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（2）紫外灯与安全柜玻璃门、风机及照明灯互锁：当玻璃落到底部且照明灯不开启时，紫外灯才能开启，防止紫外灯误操作对人体造成危害，更加保护了人员的安全</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三、资格证明和技术文件</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国家食品药品监督管理局核发的生物安全柜产品注册证</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四、设备配置清单</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主机1台、底座1套、内风机1台、送风过滤器1套、排风过滤器1套、国标插座2个、遥控器1件、脚踏开关1件、紫外灯1件、照明灯2件、10寸显示屏2件、扫描模块2件、无线摄像头1件。</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rPr>
        <w:t>医用冷藏柜</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2-8℃</w:t>
      </w:r>
      <w:r>
        <w:rPr>
          <w:rFonts w:hint="eastAsia" w:ascii="仿宋" w:hAnsi="仿宋" w:eastAsia="仿宋" w:cs="仿宋"/>
          <w:b/>
          <w:bCs/>
          <w:sz w:val="28"/>
          <w:szCs w:val="28"/>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立式对开门设计，箱内有效容积</w:t>
      </w:r>
      <w:r>
        <w:rPr>
          <w:rFonts w:hint="eastAsia" w:ascii="仿宋" w:hAnsi="仿宋" w:eastAsia="仿宋" w:cs="仿宋"/>
          <w:color w:val="000000"/>
          <w:sz w:val="24"/>
          <w:szCs w:val="24"/>
          <w:lang w:val="en-US" w:eastAsia="zh-CN"/>
        </w:rPr>
        <w:t>为</w:t>
      </w:r>
      <w:r>
        <w:rPr>
          <w:rFonts w:hint="eastAsia" w:ascii="仿宋" w:hAnsi="仿宋" w:eastAsia="仿宋" w:cs="仿宋"/>
          <w:color w:val="000000"/>
          <w:sz w:val="24"/>
          <w:szCs w:val="24"/>
        </w:rPr>
        <w:t>650L</w:t>
      </w:r>
      <w:r>
        <w:rPr>
          <w:rFonts w:hint="eastAsia" w:ascii="仿宋" w:hAnsi="仿宋" w:eastAsia="仿宋" w:cs="仿宋"/>
          <w:color w:val="000000"/>
          <w:sz w:val="24"/>
          <w:szCs w:val="24"/>
          <w:lang w:val="en-US" w:eastAsia="zh-CN"/>
        </w:rPr>
        <w:t>-750L</w:t>
      </w:r>
      <w:r>
        <w:rPr>
          <w:rFonts w:hint="eastAsia" w:ascii="仿宋" w:hAnsi="仿宋" w:eastAsia="仿宋" w:cs="仿宋"/>
          <w:color w:val="000000"/>
          <w:sz w:val="24"/>
          <w:szCs w:val="24"/>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箱体材料：冷轧钢板，喷塑。</w:t>
      </w: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内胆材料：SUS304不锈钢板。</w:t>
      </w: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保温材料：无CFC聚氨酯发泡。</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压缩机：采用名牌高效压缩机，品牌风扇电机，节能高效、静音。R600a制冷剂。</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风冷式高效冷凝器，翅片式蒸发器，冷藏内置吸风风扇，制冷迅速，</w:t>
      </w:r>
      <w:r>
        <w:rPr>
          <w:rFonts w:hint="eastAsia" w:ascii="仿宋" w:hAnsi="仿宋" w:eastAsia="仿宋" w:cs="仿宋"/>
          <w:sz w:val="24"/>
          <w:szCs w:val="24"/>
          <w:lang w:val="en-US" w:eastAsia="zh-CN"/>
        </w:rPr>
        <w:t>无霜</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高精度微电脑温度控制系统，内置显示/控制温度、环温等多路传感器，确保运行状态安全稳定。</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color w:val="000000"/>
          <w:sz w:val="24"/>
          <w:szCs w:val="24"/>
        </w:rPr>
        <w:t>数字显示箱内温度，微电脑控制,显示精度0.1，带电源指示灯，可显示箱内上部、下部温度以及平均温度</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箱内温度波动范围±3℃,可通过设定温度使箱内温度保持在2~8℃范围内。风道式强制冷气循环系统，确保箱体内部温度均匀性。</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rPr>
        <w:t>声光报警功能：具有高温、低温、高低环温报警、传感器故警、开门等多种报警功能。开门蜂鸣报警，门关闭报警消除，小角度自动关门功能。</w:t>
      </w:r>
    </w:p>
    <w:p>
      <w:pPr>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报警模式：声音蜂鸣、报警代码3秒/次间隔闪烁，物品存放更安全，具备远程报警功能。</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w:t>
      </w:r>
      <w:r>
        <w:rPr>
          <w:rFonts w:hint="eastAsia" w:ascii="仿宋" w:hAnsi="仿宋" w:eastAsia="仿宋" w:cs="仿宋"/>
          <w:sz w:val="24"/>
          <w:szCs w:val="24"/>
        </w:rPr>
        <w:t>冷凝水汇集后自动蒸发，免除人工处理冷凝水。</w:t>
      </w:r>
    </w:p>
    <w:p>
      <w:pPr>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门开风扇电机停止运行，门关风扇电机自动开始运行。</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14</w:t>
      </w:r>
      <w:r>
        <w:rPr>
          <w:rFonts w:hint="eastAsia" w:ascii="仿宋" w:hAnsi="仿宋" w:eastAsia="仿宋" w:cs="仿宋"/>
          <w:sz w:val="24"/>
          <w:szCs w:val="24"/>
        </w:rPr>
        <w:t>、标配USB数据导出接口，接入U盘可自动存储当月及上月温度数据。U盘持续连</w:t>
      </w:r>
    </w:p>
    <w:p>
      <w:pPr>
        <w:rPr>
          <w:rFonts w:hint="eastAsia" w:ascii="仿宋" w:hAnsi="仿宋" w:eastAsia="仿宋" w:cs="仿宋"/>
          <w:sz w:val="24"/>
          <w:szCs w:val="24"/>
        </w:rPr>
      </w:pPr>
      <w:r>
        <w:rPr>
          <w:rFonts w:hint="eastAsia" w:ascii="仿宋" w:hAnsi="仿宋" w:eastAsia="仿宋" w:cs="仿宋"/>
          <w:sz w:val="24"/>
          <w:szCs w:val="24"/>
        </w:rPr>
        <w:t>接可自动持续存储温度数据。</w:t>
      </w:r>
    </w:p>
    <w:p>
      <w:pPr>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标配10个高密度钢丝浸塑搁架(间距小于1公分，防止物品掉落),带标签卡，</w:t>
      </w:r>
    </w:p>
    <w:p>
      <w:pPr>
        <w:rPr>
          <w:rFonts w:hint="eastAsia" w:ascii="仿宋" w:hAnsi="仿宋" w:eastAsia="仿宋" w:cs="仿宋"/>
          <w:sz w:val="24"/>
          <w:szCs w:val="24"/>
        </w:rPr>
      </w:pPr>
      <w:r>
        <w:rPr>
          <w:rFonts w:hint="eastAsia" w:ascii="仿宋" w:hAnsi="仿宋" w:eastAsia="仿宋" w:cs="仿宋"/>
          <w:sz w:val="24"/>
          <w:szCs w:val="24"/>
        </w:rPr>
        <w:t>方便存放物品标识。</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16</w:t>
      </w:r>
      <w:r>
        <w:rPr>
          <w:rFonts w:hint="eastAsia" w:ascii="仿宋" w:hAnsi="仿宋" w:eastAsia="仿宋" w:cs="仿宋"/>
          <w:sz w:val="24"/>
          <w:szCs w:val="24"/>
        </w:rPr>
        <w:t>左侧标配一个测试孔，方便监控箱内温度。</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17</w:t>
      </w:r>
      <w:r>
        <w:rPr>
          <w:rFonts w:hint="eastAsia" w:ascii="仿宋" w:hAnsi="仿宋" w:eastAsia="仿宋" w:cs="仿宋"/>
          <w:sz w:val="24"/>
          <w:szCs w:val="24"/>
        </w:rPr>
        <w:t>箱内LED照明系统，功耗低，亮度高，箱体内部一目了然。</w:t>
      </w:r>
    </w:p>
    <w:p>
      <w:pPr>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 xml:space="preserve"> 箱体标配机械锁，双门双锁，防止随意开启，保证物品安全。</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19</w:t>
      </w:r>
      <w:r>
        <w:rPr>
          <w:rFonts w:hint="eastAsia" w:ascii="仿宋" w:hAnsi="仿宋" w:eastAsia="仿宋" w:cs="仿宋"/>
          <w:sz w:val="24"/>
          <w:szCs w:val="24"/>
        </w:rPr>
        <w:t>前后四个万向脚轮设计，方便移动安放。</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w:t>
      </w:r>
      <w:r>
        <w:rPr>
          <w:rFonts w:hint="eastAsia" w:ascii="仿宋" w:hAnsi="仿宋" w:eastAsia="仿宋" w:cs="仿宋"/>
          <w:sz w:val="24"/>
          <w:szCs w:val="24"/>
        </w:rPr>
        <w:t>选配RS485接口、远程报警接口、温度记录打印机。</w:t>
      </w:r>
    </w:p>
    <w:p>
      <w:pPr>
        <w:rPr>
          <w:rFonts w:hint="eastAsia" w:ascii="仿宋" w:hAnsi="仿宋" w:eastAsia="仿宋" w:cs="仿宋"/>
          <w:b/>
          <w:bCs/>
          <w:sz w:val="24"/>
          <w:szCs w:val="24"/>
        </w:rPr>
      </w:pPr>
    </w:p>
    <w:p>
      <w:pPr>
        <w:rPr>
          <w:rFonts w:hint="eastAsia" w:ascii="仿宋" w:hAnsi="仿宋" w:eastAsia="仿宋" w:cs="仿宋"/>
          <w:sz w:val="24"/>
          <w:szCs w:val="24"/>
        </w:rPr>
      </w:pPr>
      <w:r>
        <w:rPr>
          <w:rFonts w:hint="eastAsia" w:ascii="仿宋" w:hAnsi="仿宋" w:eastAsia="仿宋" w:cs="仿宋"/>
          <w:b/>
          <w:bCs/>
          <w:sz w:val="24"/>
          <w:szCs w:val="24"/>
        </w:rPr>
        <w:t>资质：</w:t>
      </w:r>
    </w:p>
    <w:p>
      <w:pPr>
        <w:rPr>
          <w:rFonts w:hint="eastAsia" w:ascii="仿宋" w:hAnsi="仿宋" w:eastAsia="仿宋" w:cs="仿宋"/>
          <w:sz w:val="24"/>
          <w:szCs w:val="24"/>
        </w:rPr>
      </w:pPr>
      <w:r>
        <w:rPr>
          <w:rFonts w:hint="eastAsia" w:ascii="仿宋" w:hAnsi="仿宋" w:eastAsia="仿宋" w:cs="仿宋"/>
          <w:sz w:val="24"/>
          <w:szCs w:val="24"/>
        </w:rPr>
        <w:t>医疗器械产品注册证(型号注册)</w:t>
      </w: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商务要求</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自合同签订之日起30日内完成安装验收调试</w:t>
      </w:r>
      <w:r>
        <w:rPr>
          <w:rFonts w:hint="eastAsia" w:ascii="仿宋" w:hAnsi="仿宋" w:eastAsia="仿宋" w:cs="仿宋"/>
          <w:color w:val="auto"/>
          <w:sz w:val="24"/>
          <w:szCs w:val="24"/>
          <w:highlight w:val="none"/>
          <w:u w:val="none"/>
          <w:lang w:val="en-US" w:eastAsia="zh-CN"/>
        </w:rPr>
        <w:t>。</w:t>
      </w:r>
    </w:p>
    <w:p>
      <w:pPr>
        <w:pStyle w:val="88"/>
        <w:shd w:val="clear" w:color="auto" w:fill="auto"/>
        <w:spacing w:line="573" w:lineRule="exact"/>
        <w:rPr>
          <w:rFonts w:hint="default" w:ascii="仿宋" w:hAnsi="仿宋" w:eastAsia="仿宋" w:cs="仿宋"/>
          <w:kern w:val="0"/>
          <w:sz w:val="24"/>
          <w:szCs w:val="24"/>
          <w:highlight w:val="none"/>
          <w:u w:val="single"/>
          <w:shd w:val="clear" w:color="auto" w:fill="auto"/>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（2）交付（实施）的地点（范围）：</w:t>
      </w:r>
      <w:r>
        <w:rPr>
          <w:rFonts w:hint="eastAsia" w:ascii="仿宋" w:hAnsi="仿宋" w:eastAsia="仿宋" w:cs="仿宋"/>
          <w:b w:val="0"/>
          <w:bCs w:val="0"/>
          <w:kern w:val="0"/>
          <w:sz w:val="24"/>
          <w:szCs w:val="24"/>
          <w:highlight w:val="none"/>
          <w:u w:val="single"/>
          <w:lang w:val="en-US" w:eastAsia="zh-CN" w:bidi="ar-SA"/>
        </w:rPr>
        <w:t>采购人指定地点</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（3）付款条件（进度和方式）</w:t>
      </w:r>
      <w:r>
        <w:rPr>
          <w:rFonts w:hint="default" w:ascii="仿宋" w:hAnsi="仿宋" w:eastAsia="仿宋" w:cs="仿宋"/>
          <w:b w:val="0"/>
          <w:bCs w:val="0"/>
          <w:kern w:val="0"/>
          <w:sz w:val="24"/>
          <w:szCs w:val="24"/>
          <w:highlight w:val="none"/>
          <w:u w:val="single"/>
          <w:lang w:val="en-US" w:eastAsia="zh-CN" w:bidi="ar-SA"/>
        </w:rPr>
        <w:t>：</w:t>
      </w:r>
      <w:r>
        <w:rPr>
          <w:rFonts w:hint="eastAsia" w:ascii="仿宋" w:hAnsi="仿宋" w:eastAsia="仿宋" w:cs="仿宋"/>
          <w:b w:val="0"/>
          <w:bCs w:val="0"/>
          <w:kern w:val="0"/>
          <w:sz w:val="24"/>
          <w:szCs w:val="24"/>
          <w:highlight w:val="none"/>
          <w:u w:val="single"/>
          <w:lang w:val="en-US" w:eastAsia="zh-CN" w:bidi="ar-SA"/>
        </w:rPr>
        <w:t>签订合同后预付合同款项的30%，经采购人（使用单位）验收合格后，买方凭验收合格证明及完税发票支付给卖方合同款项的70%。</w:t>
      </w:r>
      <w:r>
        <w:rPr>
          <w:rFonts w:hint="default" w:ascii="仿宋" w:hAnsi="仿宋" w:eastAsia="仿宋" w:cs="仿宋"/>
          <w:b w:val="0"/>
          <w:bCs w:val="0"/>
          <w:kern w:val="0"/>
          <w:sz w:val="24"/>
          <w:szCs w:val="24"/>
          <w:highlight w:val="none"/>
          <w:lang w:val="en-US" w:eastAsia="zh-CN" w:bidi="ar-SA"/>
        </w:rPr>
        <w:t xml:space="preserve">                 </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（4）售后服务要求：</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u w:val="single"/>
          <w:lang w:val="en-US" w:eastAsia="zh-CN" w:bidi="ar-SA"/>
        </w:rPr>
        <w:t>维保及</w:t>
      </w:r>
      <w:r>
        <w:rPr>
          <w:rFonts w:hint="default" w:ascii="仿宋" w:hAnsi="仿宋" w:eastAsia="仿宋" w:cs="仿宋"/>
          <w:b w:val="0"/>
          <w:bCs w:val="0"/>
          <w:kern w:val="0"/>
          <w:sz w:val="24"/>
          <w:szCs w:val="24"/>
          <w:highlight w:val="none"/>
          <w:u w:val="single"/>
          <w:lang w:val="en-US" w:eastAsia="zh-CN" w:bidi="ar-SA"/>
        </w:rPr>
        <w:t>质保期限：项目验收合格起3年内免费质保及维保，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default" w:ascii="仿宋" w:hAnsi="仿宋" w:eastAsia="仿宋" w:cs="仿宋"/>
          <w:b w:val="0"/>
          <w:bCs w:val="0"/>
          <w:kern w:val="0"/>
          <w:sz w:val="24"/>
          <w:szCs w:val="24"/>
          <w:highlight w:val="none"/>
          <w:lang w:val="en-US" w:eastAsia="zh-CN" w:bidi="ar-SA"/>
        </w:rPr>
        <w:t xml:space="preserve">                              </w:t>
      </w:r>
    </w:p>
    <w:p>
      <w:pPr>
        <w:pStyle w:val="88"/>
        <w:shd w:val="clear" w:color="auto" w:fill="auto"/>
        <w:spacing w:line="573" w:lineRule="exact"/>
        <w:rPr>
          <w:rFonts w:hint="eastAsia" w:ascii="仿宋" w:hAnsi="仿宋" w:eastAsia="仿宋" w:cs="仿宋"/>
          <w:b/>
          <w:bCs/>
          <w:i w:val="0"/>
          <w:iCs w:val="0"/>
          <w:caps w:val="0"/>
          <w:color w:val="000000"/>
          <w:spacing w:val="0"/>
          <w:w w:val="100"/>
          <w:kern w:val="0"/>
          <w:sz w:val="24"/>
          <w:szCs w:val="24"/>
          <w:highlight w:val="none"/>
          <w:lang w:val="en-US" w:eastAsia="zh-CN"/>
        </w:rPr>
      </w:pPr>
      <w:r>
        <w:rPr>
          <w:rFonts w:hint="default" w:ascii="仿宋" w:hAnsi="仿宋" w:eastAsia="仿宋" w:cs="仿宋"/>
          <w:b w:val="0"/>
          <w:bCs w:val="0"/>
          <w:kern w:val="0"/>
          <w:sz w:val="24"/>
          <w:szCs w:val="24"/>
          <w:highlight w:val="none"/>
          <w:lang w:val="en-US" w:eastAsia="zh-CN" w:bidi="ar-SA"/>
        </w:rPr>
        <w:t>（5）其他商务要求：</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eastAsia" w:ascii="仿宋" w:hAnsi="仿宋" w:eastAsia="仿宋" w:cs="仿宋"/>
          <w:b/>
          <w:bCs/>
          <w:kern w:val="2"/>
          <w:sz w:val="24"/>
          <w:szCs w:val="24"/>
          <w:highlight w:val="none"/>
          <w:u w:val="none"/>
          <w:shd w:val="clear"/>
          <w:lang w:val="en-US" w:eastAsia="zh-CN" w:bidi="ar-SA"/>
        </w:rPr>
        <w:t>1）</w:t>
      </w:r>
      <w:r>
        <w:rPr>
          <w:rFonts w:hint="default" w:ascii="仿宋" w:hAnsi="仿宋" w:eastAsia="仿宋" w:cs="仿宋"/>
          <w:b/>
          <w:bCs/>
          <w:kern w:val="2"/>
          <w:sz w:val="24"/>
          <w:szCs w:val="24"/>
          <w:highlight w:val="none"/>
          <w:u w:val="none"/>
          <w:shd w:val="clear"/>
          <w:lang w:val="en-US" w:eastAsia="zh-CN" w:bidi="ar-SA"/>
        </w:rPr>
        <w:t>中标人须承担所投设备安装时产生的水电改造、机房改造等所有费用（如有）。</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2</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中标人所投设备如需适配Lis、His、Pacs系统，所产生的费用由中标人承担（如有）。</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3</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中标人需提供所投设备配套的办公桌椅及电脑、打印机等。</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4</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中标人需提供所投设备的试剂和配套耗材，具体数量待设备培训时确定（如有）。</w:t>
      </w:r>
    </w:p>
    <w:p>
      <w:pPr>
        <w:pStyle w:val="88"/>
        <w:numPr>
          <w:ilvl w:val="0"/>
          <w:numId w:val="0"/>
        </w:numPr>
        <w:shd w:val="clear" w:color="auto" w:fill="auto"/>
        <w:spacing w:line="573" w:lineRule="exact"/>
        <w:ind w:left="400" w:leftChars="0"/>
        <w:rPr>
          <w:rFonts w:hint="eastAsia"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5</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中标人需承担所投设备验收检测费用（如有）。</w:t>
      </w:r>
    </w:p>
    <w:p>
      <w:pPr>
        <w:pStyle w:val="33"/>
        <w:numPr>
          <w:ilvl w:val="0"/>
          <w:numId w:val="0"/>
        </w:numPr>
        <w:spacing w:line="360" w:lineRule="auto"/>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6</w:t>
      </w:r>
      <w:r>
        <w:rPr>
          <w:rFonts w:hint="eastAsia" w:ascii="仿宋" w:hAnsi="仿宋" w:eastAsia="仿宋" w:cs="仿宋"/>
          <w:b w:val="0"/>
          <w:bCs w:val="0"/>
          <w:kern w:val="2"/>
          <w:sz w:val="24"/>
          <w:szCs w:val="24"/>
          <w:highlight w:val="none"/>
          <w:lang w:val="zh-CN" w:eastAsia="zh-CN"/>
        </w:rPr>
        <w:t>）提供7×24小时运行维护服务</w:t>
      </w:r>
      <w:r>
        <w:rPr>
          <w:rFonts w:hint="eastAsia" w:ascii="仿宋" w:hAnsi="仿宋" w:eastAsia="仿宋" w:cs="仿宋"/>
          <w:b w:val="0"/>
          <w:bCs w:val="0"/>
          <w:kern w:val="2"/>
          <w:sz w:val="24"/>
          <w:szCs w:val="24"/>
          <w:highlight w:val="none"/>
          <w:lang w:val="en-US" w:eastAsia="zh-CN"/>
        </w:rPr>
        <w:t>。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pStyle w:val="33"/>
        <w:numPr>
          <w:ilvl w:val="0"/>
          <w:numId w:val="0"/>
        </w:numPr>
        <w:spacing w:line="360" w:lineRule="auto"/>
        <w:ind w:leftChars="0"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7)本次采购需求</w:t>
      </w:r>
      <w:r>
        <w:rPr>
          <w:rFonts w:hint="eastAsia" w:ascii="仿宋" w:hAnsi="仿宋" w:eastAsia="仿宋" w:cs="仿宋"/>
          <w:sz w:val="24"/>
          <w:szCs w:val="24"/>
          <w:highlight w:val="none"/>
          <w:lang w:val="zh-CN" w:eastAsia="zh-CN"/>
        </w:rPr>
        <w:t>内容是根据采购项目的实际需求制定的。</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lang w:val="zh-CN" w:eastAsia="zh-CN"/>
        </w:rPr>
        <w:t>投标人所报价格应</w:t>
      </w:r>
      <w:r>
        <w:rPr>
          <w:rFonts w:hint="eastAsia" w:ascii="仿宋" w:hAnsi="仿宋" w:eastAsia="仿宋" w:cs="仿宋"/>
          <w:b/>
          <w:bCs/>
          <w:sz w:val="24"/>
          <w:szCs w:val="24"/>
          <w:highlight w:val="none"/>
          <w:lang w:val="en-US" w:eastAsia="zh-CN"/>
        </w:rPr>
        <w:t>充分考虑</w:t>
      </w:r>
      <w:r>
        <w:rPr>
          <w:rFonts w:hint="eastAsia" w:ascii="仿宋" w:hAnsi="仿宋" w:eastAsia="仿宋" w:cs="仿宋"/>
          <w:b/>
          <w:bCs/>
          <w:sz w:val="24"/>
          <w:szCs w:val="24"/>
          <w:highlight w:val="none"/>
          <w:lang w:val="zh-CN" w:eastAsia="zh-CN"/>
        </w:rPr>
        <w:t>为含税全包价，包括</w:t>
      </w:r>
      <w:r>
        <w:rPr>
          <w:rFonts w:hint="eastAsia" w:ascii="仿宋" w:hAnsi="仿宋" w:eastAsia="仿宋" w:cs="仿宋"/>
          <w:b/>
          <w:bCs/>
          <w:sz w:val="24"/>
          <w:szCs w:val="24"/>
          <w:highlight w:val="none"/>
          <w:lang w:val="en-US" w:eastAsia="zh-CN"/>
        </w:rPr>
        <w:t>但不限于</w:t>
      </w:r>
      <w:r>
        <w:rPr>
          <w:rFonts w:hint="eastAsia" w:ascii="仿宋" w:hAnsi="仿宋" w:eastAsia="仿宋" w:cs="仿宋"/>
          <w:b/>
          <w:bCs/>
          <w:sz w:val="24"/>
          <w:szCs w:val="24"/>
          <w:highlight w:val="none"/>
          <w:lang w:val="zh-CN" w:eastAsia="zh-CN"/>
        </w:rPr>
        <w:t>产品的设计、制作、包装、保险、运输、装卸、安装、检测、税费、验收、保修等一切费用。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11）采购需求清单</w:t>
      </w:r>
      <w:r>
        <w:rPr>
          <w:rFonts w:hint="eastAsia" w:ascii="仿宋" w:hAnsi="仿宋" w:eastAsia="仿宋" w:cs="仿宋"/>
          <w:sz w:val="24"/>
          <w:szCs w:val="24"/>
          <w:highlight w:val="none"/>
          <w:lang w:val="zh-CN" w:eastAsia="zh-CN"/>
        </w:rPr>
        <w:t>的条款内容为本项目的实质性技术或服务要求，如不满足，按无效投标处理。</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rPr>
        <w:t xml:space="preserve">13）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sz w:val="24"/>
          <w:szCs w:val="24"/>
          <w:highlight w:val="none"/>
          <w:lang w:val="en-US" w:eastAsia="zh-CN"/>
        </w:rPr>
        <w:t>（或证明材料）的，评标委员会可不予承认，并可认为该技术应答不符合招标文件要求。由此产生的评标风险，由投标人承担。</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14）</w:t>
      </w:r>
      <w:r>
        <w:rPr>
          <w:rFonts w:hint="eastAsia" w:ascii="仿宋" w:hAnsi="仿宋" w:eastAsia="仿宋" w:cs="仿宋"/>
          <w:b/>
          <w:bCs/>
          <w:sz w:val="24"/>
          <w:szCs w:val="24"/>
          <w:highlight w:val="none"/>
          <w:lang w:val="en-US" w:eastAsia="zh-CN"/>
        </w:rPr>
        <w:t>投标人所提供的产品技术规格应符合招标文件的要求。如所供产品存在技术偏离，投标人应如实填写技术要求偏离表（格式自拟）并详细列出设备的品牌、型号、配置参数及所投产品的技术支持资料，不得完全复制招标文件中的技术参数，否自视为无效响应。若采购人掌握了确切事实说明某投标人没有如实填写技术规格偏离表或有欺诈行为，该投标文件将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sz w:val="24"/>
          <w:szCs w:val="24"/>
          <w:highlight w:val="none"/>
          <w:lang w:val="zh-CN" w:eastAsia="zh-CN"/>
        </w:rPr>
        <w:cr/>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val="zh-CN" w:eastAsia="zh-CN"/>
        </w:rPr>
        <w:t>如对本招标文件有任何疑问或要求澄清，请按本招标文件的规定提出，否则视同理解和接受。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val="zh-CN" w:eastAsia="zh-CN"/>
        </w:rPr>
        <w:t>疫情防控要求:必须完全遵守采购人疫情防控的其他要求。</w:t>
      </w:r>
    </w:p>
    <w:p>
      <w:pPr>
        <w:widowControl/>
        <w:numPr>
          <w:ilvl w:val="0"/>
          <w:numId w:val="0"/>
        </w:numPr>
        <w:spacing w:line="360" w:lineRule="auto"/>
        <w:ind w:leftChars="200"/>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 xml:space="preserve">18）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pPr>
        <w:pStyle w:val="7"/>
        <w:tabs>
          <w:tab w:val="left" w:pos="0"/>
        </w:tabs>
        <w:spacing w:line="240" w:lineRule="auto"/>
        <w:ind w:left="0" w:leftChars="0"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20）</w:t>
      </w:r>
      <w:r>
        <w:rPr>
          <w:rFonts w:hint="eastAsia" w:ascii="仿宋" w:hAnsi="仿宋" w:eastAsia="仿宋" w:cs="仿宋"/>
          <w:b/>
          <w:bCs/>
          <w:color w:val="auto"/>
          <w:kern w:val="2"/>
          <w:sz w:val="24"/>
          <w:szCs w:val="24"/>
          <w:highlight w:val="none"/>
          <w:lang w:val="en-US" w:eastAsia="zh-CN" w:bidi="ar-SA"/>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采购需求中标注“★”项为实质性条款，负偏离将导致响应被否决。</w:t>
      </w:r>
    </w:p>
    <w:p>
      <w:pPr>
        <w:pStyle w:val="17"/>
        <w:tabs>
          <w:tab w:val="left" w:pos="630"/>
        </w:tabs>
        <w:ind w:left="0" w:leftChars="0" w:firstLine="0" w:firstLineChars="0"/>
        <w:rPr>
          <w:rFonts w:hint="eastAsia" w:ascii="仿宋" w:hAnsi="仿宋" w:eastAsia="仿宋" w:cs="仿宋"/>
          <w:color w:val="auto"/>
          <w:sz w:val="24"/>
          <w:szCs w:val="24"/>
          <w:highlight w:val="none"/>
        </w:rPr>
      </w:pPr>
    </w:p>
    <w:bookmarkEnd w:id="92"/>
    <w:p>
      <w:pPr>
        <w:pStyle w:val="49"/>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b w:val="0"/>
          <w:bCs w:val="0"/>
          <w:color w:val="auto"/>
          <w:sz w:val="24"/>
          <w:szCs w:val="24"/>
          <w:highlight w:val="none"/>
          <w:lang w:val="en-US" w:eastAsia="zh-CN"/>
        </w:rPr>
        <w:br w:type="page"/>
      </w:r>
      <w:bookmarkStart w:id="105" w:name="_Toc24762"/>
      <w:r>
        <w:rPr>
          <w:rFonts w:hint="eastAsia" w:ascii="仿宋" w:hAnsi="仿宋" w:eastAsia="仿宋" w:cs="仿宋"/>
          <w:b/>
          <w:color w:val="auto"/>
          <w:sz w:val="36"/>
          <w:highlight w:val="none"/>
        </w:rPr>
        <w:t>第四部分   评审方法（综合评分法）</w:t>
      </w:r>
      <w:bookmarkEnd w:id="105"/>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评分细则如下：</w:t>
      </w:r>
      <w:bookmarkStart w:id="106" w:name="EBb28a6449d2394405ae581c05a80bd7bd"/>
    </w:p>
    <w:p>
      <w:pPr>
        <w:pStyle w:val="10"/>
        <w:rPr>
          <w:rFonts w:hint="eastAsia"/>
          <w:color w:val="auto"/>
          <w:highlight w:val="none"/>
        </w:rPr>
      </w:pPr>
    </w:p>
    <w:p>
      <w:pPr>
        <w:pStyle w:val="10"/>
        <w:outlineLvl w:val="9"/>
        <w:rPr>
          <w:rFonts w:hint="default" w:eastAsia="仿宋"/>
          <w:b/>
          <w:bCs/>
          <w:color w:val="auto"/>
          <w:highlight w:val="none"/>
          <w:lang w:val="en-US" w:eastAsia="zh-CN"/>
        </w:rPr>
      </w:pPr>
      <w:r>
        <w:rPr>
          <w:rFonts w:hint="eastAsia" w:ascii="仿宋" w:hAnsi="仿宋" w:eastAsia="仿宋" w:cs="仿宋"/>
          <w:b/>
          <w:bCs/>
          <w:color w:val="auto"/>
          <w:kern w:val="0"/>
          <w:sz w:val="24"/>
          <w:highlight w:val="none"/>
          <w:lang w:eastAsia="zh-CN"/>
        </w:rPr>
        <w:t>初步评审</w:t>
      </w:r>
    </w:p>
    <w:bookmarkEnd w:id="106"/>
    <w:tbl>
      <w:tblPr>
        <w:tblStyle w:val="19"/>
        <w:tblpPr w:leftFromText="180" w:rightFromText="180" w:vertAnchor="text" w:horzAnchor="page" w:tblpX="1287" w:tblpY="468"/>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8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4" w:hRule="atLeast"/>
        </w:trPr>
        <w:tc>
          <w:tcPr>
            <w:tcW w:w="702" w:type="pct"/>
            <w:gridSpan w:val="2"/>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评分因素</w:t>
            </w:r>
          </w:p>
        </w:tc>
        <w:tc>
          <w:tcPr>
            <w:tcW w:w="4297" w:type="pct"/>
            <w:noWrap w:val="0"/>
            <w:vAlign w:val="center"/>
          </w:tcPr>
          <w:p>
            <w:pPr>
              <w:pStyle w:val="50"/>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初步评审</w:t>
            </w:r>
          </w:p>
        </w:tc>
        <w:tc>
          <w:tcPr>
            <w:tcW w:w="402"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资格检查</w:t>
            </w:r>
          </w:p>
        </w:tc>
        <w:tc>
          <w:tcPr>
            <w:tcW w:w="4297" w:type="pct"/>
            <w:noWrap w:val="0"/>
            <w:vAlign w:val="center"/>
          </w:tcPr>
          <w:p>
            <w:pPr>
              <w:pStyle w:val="27"/>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一、具有独立承担民事责任的能力</w:t>
            </w:r>
          </w:p>
          <w:p>
            <w:pPr>
              <w:pStyle w:val="27"/>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27"/>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法定代表人身份证明及法定代表人授权书</w:t>
            </w:r>
          </w:p>
          <w:p>
            <w:pPr>
              <w:pStyle w:val="95"/>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r>
              <w:rPr>
                <w:rFonts w:hint="eastAsia" w:ascii="仿宋" w:hAnsi="仿宋" w:eastAsia="仿宋" w:cs="仿宋"/>
                <w:b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spacing w:line="288"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二、具有良好的商业信誉和健全的财务会计制度</w:t>
            </w:r>
          </w:p>
          <w:p>
            <w:pPr>
              <w:pStyle w:val="27"/>
              <w:widowControl/>
              <w:spacing w:line="288"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spacing w:line="28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三、具有履行合同所必需的设备和专业技术能力</w:t>
            </w:r>
          </w:p>
          <w:p>
            <w:pPr>
              <w:pStyle w:val="50"/>
              <w:jc w:val="both"/>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投标人须提供相关资料或书面声明（格式可自拟）。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四、有依法缴纳税收和社会保障资金的良好记录</w:t>
            </w:r>
          </w:p>
          <w:p>
            <w:pPr>
              <w:pStyle w:val="35"/>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color w:val="auto"/>
                <w:sz w:val="24"/>
                <w:highlight w:val="none"/>
                <w:lang w:val="en-US" w:eastAsia="zh-CN"/>
              </w:rPr>
              <w:t>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numPr>
                <w:ilvl w:val="0"/>
                <w:numId w:val="15"/>
              </w:numPr>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参加政府采购活动前三年内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在经营活动中没有重大违法记录</w:t>
            </w:r>
          </w:p>
          <w:p>
            <w:pPr>
              <w:pStyle w:val="42"/>
              <w:numPr>
                <w:ilvl w:val="0"/>
                <w:numId w:val="16"/>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投标人参加政府采购活动前3年内在经营活动中没有重大违法记录的书面声明（格式可自拟）；</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color w:val="auto"/>
                <w:sz w:val="24"/>
                <w:highlight w:val="none"/>
                <w:lang w:val="en-US" w:eastAsia="zh-CN"/>
              </w:rPr>
              <w:t>2.投标人必须为前三年内（2019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numPr>
                <w:ilvl w:val="0"/>
                <w:numId w:val="15"/>
              </w:numPr>
              <w:spacing w:line="288" w:lineRule="auto"/>
              <w:ind w:left="0" w:leftChars="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具备法律、行政法规规定的其他条件的证明材料</w:t>
            </w:r>
          </w:p>
          <w:p>
            <w:pPr>
              <w:pStyle w:val="27"/>
              <w:widowControl/>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1.本项目的特定资格要求：投标人应符合《医疗器械经营监督管理办法》、《医疗器械生产监督管理办法》的规定：（1）投标人为所投产品制造商的，投标产品属于一类医疗器械的须提供《第一类医疗器械生产备案凭证》，所投产品属于二类、三类医疗器械须提供《医疗器械生产许可证》；（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0"/>
              <w:numPr>
                <w:ilvl w:val="0"/>
                <w:numId w:val="0"/>
              </w:numPr>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2.</w:t>
            </w:r>
            <w:r>
              <w:rPr>
                <w:rFonts w:hint="eastAsia" w:ascii="仿宋" w:hAnsi="仿宋" w:eastAsia="仿宋" w:cs="仿宋"/>
                <w:b w:val="0"/>
                <w:bCs/>
                <w:i w:val="0"/>
                <w:iCs w:val="0"/>
                <w:color w:val="auto"/>
                <w:sz w:val="24"/>
                <w:szCs w:val="24"/>
                <w:highlight w:val="none"/>
                <w:lang w:eastAsia="zh-CN"/>
              </w:rPr>
              <w:t>投标人</w:t>
            </w:r>
            <w:r>
              <w:rPr>
                <w:rFonts w:hint="eastAsia" w:ascii="仿宋" w:hAnsi="仿宋" w:eastAsia="仿宋" w:cs="仿宋"/>
                <w:b w:val="0"/>
                <w:bCs/>
                <w:i w:val="0"/>
                <w:iCs w:val="0"/>
                <w:color w:val="auto"/>
                <w:sz w:val="24"/>
                <w:szCs w:val="24"/>
                <w:highlight w:val="none"/>
              </w:rPr>
              <w:t>除《中华人民共和国政府采购法》第二十二条</w:t>
            </w:r>
            <w:r>
              <w:rPr>
                <w:rFonts w:hint="eastAsia" w:ascii="仿宋" w:hAnsi="仿宋" w:eastAsia="仿宋" w:cs="仿宋"/>
                <w:b w:val="0"/>
                <w:bCs/>
                <w:i w:val="0"/>
                <w:iCs w:val="0"/>
                <w:color w:val="auto"/>
                <w:sz w:val="24"/>
                <w:szCs w:val="24"/>
                <w:highlight w:val="none"/>
                <w:lang w:val="en-US" w:eastAsia="zh-CN"/>
              </w:rPr>
              <w:t>的</w:t>
            </w:r>
            <w:r>
              <w:rPr>
                <w:rFonts w:hint="eastAsia" w:ascii="仿宋" w:hAnsi="仿宋" w:eastAsia="仿宋" w:cs="仿宋"/>
                <w:b w:val="0"/>
                <w:bCs/>
                <w:i w:val="0"/>
                <w:iCs w:val="0"/>
                <w:color w:val="auto"/>
                <w:sz w:val="24"/>
                <w:szCs w:val="24"/>
                <w:highlight w:val="none"/>
              </w:rPr>
              <w:t>规定条件以外不满足政府采购类其他法律法规的情形。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符合性检查</w:t>
            </w:r>
          </w:p>
        </w:tc>
        <w:tc>
          <w:tcPr>
            <w:tcW w:w="4297" w:type="pct"/>
            <w:noWrap w:val="0"/>
            <w:vAlign w:val="center"/>
          </w:tcPr>
          <w:p>
            <w:pPr>
              <w:pStyle w:val="3"/>
              <w:numPr>
                <w:ilvl w:val="0"/>
                <w:numId w:val="0"/>
              </w:numPr>
              <w:spacing w:before="0" w:after="0" w:line="240" w:lineRule="auto"/>
              <w:ind w:left="0" w:leftChars="0" w:firstLine="0" w:firstLineChars="0"/>
              <w:jc w:val="left"/>
              <w:rPr>
                <w:rFonts w:hint="eastAsia" w:ascii="仿宋" w:hAnsi="仿宋" w:eastAsia="仿宋" w:cs="仿宋"/>
                <w:color w:val="auto"/>
                <w:sz w:val="24"/>
                <w:szCs w:val="24"/>
                <w:highlight w:val="none"/>
              </w:rPr>
            </w:pPr>
            <w:bookmarkStart w:id="107" w:name="_Toc21713"/>
            <w:bookmarkStart w:id="108" w:name="_Toc24694"/>
            <w:bookmarkStart w:id="109" w:name="_Toc18885"/>
            <w:r>
              <w:rPr>
                <w:rFonts w:hint="eastAsia" w:ascii="仿宋" w:hAnsi="仿宋" w:eastAsia="仿宋" w:cs="仿宋"/>
                <w:b w:val="0"/>
                <w:bCs w:val="0"/>
                <w:color w:val="auto"/>
                <w:kern w:val="2"/>
                <w:sz w:val="24"/>
                <w:szCs w:val="24"/>
                <w:highlight w:val="none"/>
                <w:lang w:val="en-US" w:eastAsia="zh-CN" w:bidi="ar-SA"/>
              </w:rPr>
              <w:t>一、</w:t>
            </w:r>
            <w:r>
              <w:rPr>
                <w:rFonts w:hint="eastAsia" w:ascii="仿宋" w:hAnsi="仿宋" w:eastAsia="仿宋" w:cs="仿宋"/>
                <w:color w:val="auto"/>
                <w:sz w:val="24"/>
                <w:szCs w:val="24"/>
                <w:highlight w:val="none"/>
              </w:rPr>
              <w:t>电子投标文件签署</w:t>
            </w:r>
            <w:bookmarkEnd w:id="107"/>
            <w:bookmarkEnd w:id="108"/>
            <w:bookmarkEnd w:id="109"/>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电子投标文件上公司签章、法定代表人或其授权代表人的签章是否符合招标文件要求。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50"/>
              <w:jc w:val="lef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二、投标</w:t>
            </w:r>
            <w:r>
              <w:rPr>
                <w:rFonts w:hint="eastAsia" w:ascii="仿宋" w:hAnsi="仿宋" w:eastAsia="仿宋" w:cs="仿宋"/>
                <w:b/>
                <w:bCs/>
                <w:i w:val="0"/>
                <w:iCs w:val="0"/>
                <w:color w:val="auto"/>
                <w:sz w:val="24"/>
                <w:szCs w:val="24"/>
                <w:highlight w:val="none"/>
              </w:rPr>
              <w:t>报价唯一性</w:t>
            </w:r>
          </w:p>
          <w:p>
            <w:pPr>
              <w:pStyle w:val="5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具有唯一性</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报价未超过招标文件中规定的预算金额或者最高限价</w:t>
            </w:r>
            <w:r>
              <w:rPr>
                <w:rFonts w:hint="eastAsia" w:ascii="仿宋" w:hAnsi="仿宋" w:eastAsia="仿宋" w:cs="仿宋"/>
                <w:i w:val="0"/>
                <w:i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18"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三、投标有效期</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kern w:val="2"/>
                <w:sz w:val="24"/>
                <w:szCs w:val="24"/>
                <w:highlight w:val="none"/>
                <w:lang w:val="en-US" w:eastAsia="zh-CN" w:bidi="ar-SA"/>
              </w:rPr>
              <w:t>自提交投标文件截止之日起90日历日。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四、投标保证金</w:t>
            </w:r>
          </w:p>
          <w:p>
            <w:pPr>
              <w:numPr>
                <w:ilvl w:val="0"/>
                <w:numId w:val="0"/>
              </w:numPr>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1.通过基本账户转出的保证金汇款凭证（备注项目名称或项目编号）；</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2.投标人基本账户开户许可证或基本存款账户信息。如提供采用银行保函缴纳的，应出具保函的银行级别（应为国有商业银行或股份制商业银行的支行及其以上的银行）及保函的有效期。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17"/>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实质性响应</w:t>
            </w:r>
          </w:p>
          <w:p>
            <w:pPr>
              <w:numPr>
                <w:ilvl w:val="0"/>
                <w:numId w:val="0"/>
              </w:numPr>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是否满足招标文件前附表或“第三部分 采购需求”中标“★”条款的实质性要求和条件。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44"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六、其它</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1.投标文件是否含有采购人不能接受的附加条件；</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2.是否违反国家法律、法规和招标文件规定的其他无效情形；</w:t>
            </w:r>
          </w:p>
          <w:p>
            <w:pPr>
              <w:numPr>
                <w:ilvl w:val="0"/>
                <w:numId w:val="0"/>
              </w:numPr>
              <w:ind w:leftChars="0"/>
              <w:jc w:val="left"/>
              <w:rPr>
                <w:rFonts w:hint="default"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3.未与其他投标人串通投标,或者与采购人串通投标。</w:t>
            </w:r>
          </w:p>
        </w:tc>
      </w:tr>
    </w:tbl>
    <w:p/>
    <w:tbl>
      <w:tblPr>
        <w:tblStyle w:val="19"/>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02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46"/>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评分因素</w:t>
            </w:r>
          </w:p>
        </w:tc>
        <w:tc>
          <w:tcPr>
            <w:tcW w:w="642" w:type="pct"/>
            <w:noWrap w:val="0"/>
            <w:vAlign w:val="center"/>
          </w:tcPr>
          <w:p>
            <w:pPr>
              <w:pStyle w:val="46"/>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评分点</w:t>
            </w:r>
          </w:p>
        </w:tc>
        <w:tc>
          <w:tcPr>
            <w:tcW w:w="3654" w:type="pct"/>
            <w:gridSpan w:val="2"/>
            <w:noWrap w:val="0"/>
            <w:vAlign w:val="center"/>
          </w:tcPr>
          <w:p>
            <w:pPr>
              <w:spacing w:line="240" w:lineRule="auto"/>
              <w:jc w:val="center"/>
              <w:rPr>
                <w:rFonts w:hint="eastAsia" w:ascii="仿宋" w:hAnsi="仿宋" w:eastAsia="仿宋"/>
                <w:color w:val="auto"/>
                <w:kern w:val="2"/>
                <w:sz w:val="24"/>
                <w:szCs w:val="24"/>
                <w:highlight w:val="none"/>
                <w:lang w:val="en-US" w:eastAsia="en-US" w:bidi="ar-SA"/>
              </w:rPr>
            </w:pPr>
            <w:r>
              <w:rPr>
                <w:rFonts w:hint="eastAsia" w:ascii="仿宋" w:hAnsi="仿宋" w:eastAsia="仿宋" w:cs="仿宋"/>
                <w:b/>
                <w:i w:val="0"/>
                <w:iCs w:val="0"/>
                <w:color w:val="auto"/>
                <w:sz w:val="24"/>
                <w:szCs w:val="24"/>
                <w:highlight w:val="none"/>
                <w:lang w:eastAsia="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before="7"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ind w:left="150" w:right="134"/>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详细评审</w:t>
            </w: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价格评审</w:t>
            </w:r>
          </w:p>
          <w:p>
            <w:pPr>
              <w:pStyle w:val="46"/>
              <w:spacing w:line="240" w:lineRule="auto"/>
              <w:jc w:val="center"/>
              <w:rPr>
                <w:rFonts w:hint="eastAsia" w:ascii="仿宋" w:hAnsi="仿宋" w:eastAsia="仿宋" w:cs="仿宋"/>
                <w:i w:val="0"/>
                <w:iCs w:val="0"/>
                <w:color w:val="auto"/>
                <w:kern w:val="0"/>
                <w:sz w:val="24"/>
                <w:szCs w:val="24"/>
                <w:highlight w:val="none"/>
                <w:lang w:val="zh-CN" w:eastAsia="en-US" w:bidi="zh-CN"/>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30</w:t>
            </w:r>
            <w:r>
              <w:rPr>
                <w:rFonts w:hint="eastAsia" w:ascii="仿宋" w:hAnsi="仿宋" w:eastAsia="仿宋" w:cs="仿宋"/>
                <w:i w:val="0"/>
                <w:iCs w:val="0"/>
                <w:color w:val="auto"/>
                <w:sz w:val="24"/>
                <w:szCs w:val="24"/>
                <w:highlight w:val="none"/>
                <w:lang w:eastAsia="en-US"/>
              </w:rPr>
              <w:t>分）</w:t>
            </w:r>
          </w:p>
        </w:tc>
        <w:tc>
          <w:tcPr>
            <w:tcW w:w="642" w:type="pct"/>
            <w:vMerge w:val="restart"/>
            <w:noWrap w:val="0"/>
            <w:vAlign w:val="center"/>
          </w:tcPr>
          <w:p>
            <w:pPr>
              <w:spacing w:line="240" w:lineRule="auto"/>
              <w:jc w:val="center"/>
              <w:rPr>
                <w:rFonts w:hint="eastAsia" w:ascii="仿宋" w:hAnsi="仿宋" w:eastAsia="仿宋" w:cs="仿宋"/>
                <w:i w:val="0"/>
                <w:iCs w:val="0"/>
                <w:color w:val="auto"/>
                <w:kern w:val="2"/>
                <w:sz w:val="24"/>
                <w:szCs w:val="24"/>
                <w:highlight w:val="none"/>
                <w:lang w:val="en-US" w:eastAsia="en-US" w:bidi="ar-SA"/>
              </w:rPr>
            </w:pPr>
            <w:r>
              <w:rPr>
                <w:rFonts w:hint="eastAsia" w:ascii="仿宋" w:hAnsi="仿宋" w:eastAsia="仿宋" w:cs="仿宋"/>
                <w:color w:val="auto"/>
                <w:sz w:val="24"/>
                <w:szCs w:val="24"/>
                <w:highlight w:val="none"/>
              </w:rPr>
              <w:t>投标报价</w:t>
            </w:r>
          </w:p>
        </w:tc>
        <w:tc>
          <w:tcPr>
            <w:tcW w:w="3654" w:type="pct"/>
            <w:gridSpan w:val="2"/>
            <w:noWrap w:val="0"/>
            <w:vAlign w:val="center"/>
          </w:tcPr>
          <w:p>
            <w:pPr>
              <w:keepNext w:val="0"/>
              <w:keepLines w:val="0"/>
              <w:widowControl/>
              <w:suppressLineNumbers w:val="0"/>
              <w:jc w:val="left"/>
              <w:rPr>
                <w:rFonts w:hint="eastAsia" w:ascii="仿宋" w:hAnsi="仿宋" w:eastAsia="仿宋" w:cs="仿宋"/>
                <w:b w:val="0"/>
                <w:bCs w:val="0"/>
                <w:i w:val="0"/>
                <w:iCs w:val="0"/>
                <w:kern w:val="0"/>
                <w:sz w:val="24"/>
                <w:szCs w:val="24"/>
                <w:highlight w:val="none"/>
                <w:lang w:val="en-US" w:eastAsia="zh-CN" w:bidi="ar-SA"/>
              </w:rPr>
            </w:pPr>
            <w:r>
              <w:rPr>
                <w:rFonts w:hint="eastAsia" w:ascii="仿宋" w:hAnsi="仿宋" w:eastAsia="仿宋" w:cs="仿宋"/>
                <w:b w:val="0"/>
                <w:bCs w:val="0"/>
                <w:i w:val="0"/>
                <w:iCs w:val="0"/>
                <w:kern w:val="0"/>
                <w:sz w:val="24"/>
                <w:szCs w:val="24"/>
                <w:highlight w:val="none"/>
                <w:lang w:val="en-US" w:eastAsia="zh-CN" w:bidi="ar-SA"/>
              </w:rPr>
              <w:t>评标基准价=有效投标报价的最低值,有效投标报价等于基准值的得满分,投标报价得分=（评标基准价/投标报价）×30。</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b w:val="0"/>
                <w:bCs w:val="0"/>
                <w:i w:val="0"/>
                <w:iCs w:val="0"/>
                <w:kern w:val="0"/>
                <w:sz w:val="24"/>
                <w:szCs w:val="24"/>
                <w:highlight w:val="none"/>
                <w:lang w:val="en-US" w:eastAsia="zh-CN" w:bidi="ar-SA"/>
              </w:rPr>
              <w:t>注：有效投标报价为通过初步审查的投标人的有效报价。</w:t>
            </w:r>
            <w:r>
              <w:rPr>
                <w:rFonts w:hint="eastAsia" w:ascii="仿宋" w:hAnsi="仿宋" w:eastAsia="仿宋" w:cs="仿宋"/>
                <w:sz w:val="24"/>
                <w:szCs w:val="24"/>
                <w:lang w:val="en-US" w:eastAsia="zh-CN"/>
              </w:rPr>
              <w:t>投标人报价依据政府采购政策进行扣除，用扣除后的价格作为评审报价（如投标人为非小微企业的，投标报价即为评审报价）</w:t>
            </w:r>
          </w:p>
          <w:p>
            <w:pPr>
              <w:numPr>
                <w:ilvl w:val="0"/>
                <w:numId w:val="0"/>
              </w:numPr>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依据财政部《关于印发《政府采购促进中小企业发展管理办法》 的通知》（财库〔2020〕46号）、关于进一步加大政府采购支持中小企业力度的通知（财库〔2022〕19号）规定。本项目对小型和微型企业产品的价格给予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 xml:space="preserve">15% </w:t>
            </w:r>
            <w:r>
              <w:rPr>
                <w:rFonts w:hint="eastAsia" w:ascii="仿宋" w:hAnsi="仿宋" w:eastAsia="仿宋" w:cs="仿宋"/>
                <w:sz w:val="24"/>
                <w:szCs w:val="24"/>
                <w:highlight w:val="none"/>
                <w:lang w:val="en-US" w:eastAsia="zh-CN"/>
              </w:rPr>
              <w:t>的价格扣除优惠，用扣除后的价格参与评审，参加本次采购活动的中小企业应当提供本办法规定的《中小企业声明函》。</w:t>
            </w:r>
          </w:p>
          <w:p>
            <w:pPr>
              <w:pStyle w:val="80"/>
              <w:numPr>
                <w:ilvl w:val="0"/>
                <w:numId w:val="0"/>
              </w:num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80"/>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b/>
                <w:bCs/>
                <w:sz w:val="24"/>
                <w:szCs w:val="24"/>
                <w:highlight w:val="none"/>
                <w:lang w:eastAsia="zh-CN"/>
              </w:rPr>
              <w:t>本项目采购所属行业：</w:t>
            </w:r>
            <w:r>
              <w:rPr>
                <w:rFonts w:hint="default" w:ascii="仿宋" w:hAnsi="仿宋" w:eastAsia="仿宋" w:cs="仿宋"/>
                <w:b/>
                <w:bCs/>
                <w:kern w:val="0"/>
                <w:sz w:val="24"/>
                <w:szCs w:val="24"/>
                <w:highlight w:val="none"/>
                <w:lang w:val="en-US" w:eastAsia="zh-CN" w:bidi="ar-SA"/>
              </w:rPr>
              <w:t>工业【专用设备制造业-医疗仪器设备及器械制造】</w:t>
            </w:r>
          </w:p>
          <w:p>
            <w:pPr>
              <w:ind w:firstLine="480" w:firstLineChars="200"/>
              <w:jc w:val="left"/>
              <w:rPr>
                <w:rFonts w:hint="default"/>
                <w:color w:val="auto"/>
                <w:sz w:val="24"/>
                <w:szCs w:val="24"/>
                <w:highlight w:val="none"/>
                <w:lang w:val="en-US" w:eastAsia="zh-CN"/>
              </w:rPr>
            </w:pPr>
            <w:r>
              <w:rPr>
                <w:rFonts w:hint="eastAsia" w:ascii="仿宋" w:hAnsi="仿宋" w:eastAsia="仿宋" w:cs="仿宋"/>
                <w:sz w:val="24"/>
                <w:szCs w:val="24"/>
                <w:highlight w:val="none"/>
                <w:lang w:eastAsia="zh-CN"/>
              </w:rPr>
              <w:t>认定标准：</w:t>
            </w:r>
            <w:r>
              <w:rPr>
                <w:rFonts w:hint="eastAsia" w:ascii="仿宋" w:hAnsi="仿宋" w:eastAsia="仿宋" w:cs="仿宋"/>
                <w:sz w:val="24"/>
                <w:szCs w:val="24"/>
                <w:highlight w:val="none"/>
              </w:rPr>
              <w:t>从业人员1000人以下或营业收入40000万元以下的为中小微型企业。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69" w:hRule="atLeast"/>
        </w:trPr>
        <w:tc>
          <w:tcPr>
            <w:tcW w:w="300" w:type="pct"/>
            <w:vMerge w:val="continue"/>
            <w:noWrap w:val="0"/>
            <w:vAlign w:val="center"/>
          </w:tcPr>
          <w:p>
            <w:pPr>
              <w:pStyle w:val="46"/>
              <w:spacing w:line="240" w:lineRule="auto"/>
              <w:ind w:left="150" w:right="134"/>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rPr>
            </w:pPr>
          </w:p>
        </w:tc>
        <w:tc>
          <w:tcPr>
            <w:tcW w:w="642" w:type="pct"/>
            <w:vMerge w:val="continue"/>
            <w:noWrap w:val="0"/>
            <w:vAlign w:val="center"/>
          </w:tcPr>
          <w:p>
            <w:pPr>
              <w:spacing w:line="240" w:lineRule="auto"/>
              <w:jc w:val="center"/>
              <w:rPr>
                <w:rFonts w:hint="eastAsia" w:ascii="仿宋" w:hAnsi="仿宋" w:eastAsia="仿宋" w:cs="仿宋"/>
                <w:i w:val="0"/>
                <w:iCs w:val="0"/>
                <w:color w:val="auto"/>
                <w:sz w:val="24"/>
                <w:szCs w:val="24"/>
                <w:highlight w:val="none"/>
              </w:rPr>
            </w:pPr>
          </w:p>
        </w:tc>
        <w:tc>
          <w:tcPr>
            <w:tcW w:w="3654" w:type="pct"/>
            <w:gridSpan w:val="2"/>
            <w:noWrap w:val="0"/>
            <w:vAlign w:val="center"/>
          </w:tcPr>
          <w:p>
            <w:pPr>
              <w:widowControl/>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1.依据财政部第87号令第六十条规定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有可能影响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质量或者不能诚信履约的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必须在评标现场合理的时间内提供成本构成说明、相关证明材料原件、保证按招标文件项目需求提供承诺书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否则按无效投标处理。</w:t>
            </w:r>
          </w:p>
          <w:p>
            <w:pPr>
              <w:widowControl/>
              <w:spacing w:line="240" w:lineRule="auto"/>
              <w:ind w:firstLine="240" w:firstLineChars="100"/>
              <w:jc w:val="left"/>
              <w:rPr>
                <w:rFonts w:hint="default"/>
                <w:color w:val="auto"/>
                <w:sz w:val="24"/>
                <w:szCs w:val="24"/>
                <w:highlight w:val="none"/>
                <w:lang w:val="en-US" w:eastAsia="zh-CN"/>
              </w:rPr>
            </w:pPr>
            <w:r>
              <w:rPr>
                <w:rFonts w:hint="eastAsia" w:ascii="仿宋" w:hAnsi="仿宋" w:eastAsia="仿宋" w:cs="仿宋"/>
                <w:color w:val="auto"/>
                <w:sz w:val="24"/>
                <w:szCs w:val="24"/>
                <w:highlight w:val="none"/>
                <w:lang w:eastAsia="zh-CN"/>
              </w:rPr>
              <w:t>2.投标报价高于采购预算价的视为无效</w:t>
            </w:r>
            <w:r>
              <w:rPr>
                <w:rFonts w:hint="eastAsia" w:ascii="仿宋" w:hAnsi="仿宋" w:eastAsia="仿宋" w:cs="仿宋"/>
                <w:color w:val="auto"/>
                <w:sz w:val="24"/>
                <w:szCs w:val="24"/>
                <w:highlight w:val="none"/>
                <w:lang w:val="en-US" w:eastAsia="zh-CN"/>
              </w:rPr>
              <w:t>投</w:t>
            </w:r>
            <w:r>
              <w:rPr>
                <w:rFonts w:hint="eastAsia" w:ascii="仿宋" w:hAnsi="仿宋" w:eastAsia="仿宋" w:cs="仿宋"/>
                <w:color w:val="auto"/>
                <w:sz w:val="24"/>
                <w:szCs w:val="24"/>
                <w:highlight w:val="none"/>
                <w:lang w:eastAsia="zh-CN"/>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83" w:hRule="atLeast"/>
        </w:trPr>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商务标</w:t>
            </w:r>
            <w:r>
              <w:rPr>
                <w:rFonts w:hint="eastAsia" w:ascii="仿宋" w:hAnsi="仿宋" w:eastAsia="仿宋" w:cs="仿宋"/>
                <w:i w:val="0"/>
                <w:iCs w:val="0"/>
                <w:color w:val="auto"/>
                <w:sz w:val="24"/>
                <w:szCs w:val="24"/>
                <w:highlight w:val="none"/>
                <w:lang w:val="en-US"/>
              </w:rPr>
              <w:t>评</w:t>
            </w:r>
            <w:r>
              <w:rPr>
                <w:rFonts w:hint="eastAsia" w:ascii="仿宋" w:hAnsi="仿宋" w:eastAsia="仿宋" w:cs="仿宋"/>
                <w:i w:val="0"/>
                <w:iCs w:val="0"/>
                <w:color w:val="auto"/>
                <w:sz w:val="24"/>
                <w:szCs w:val="24"/>
                <w:highlight w:val="none"/>
                <w:lang w:eastAsia="en-US"/>
              </w:rPr>
              <w:t>审</w:t>
            </w:r>
          </w:p>
          <w:p>
            <w:pPr>
              <w:pStyle w:val="46"/>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20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p>
            <w:pPr>
              <w:pStyle w:val="51"/>
              <w:keepNext w:val="0"/>
              <w:keepLines w:val="0"/>
              <w:pageBreakBefore w:val="0"/>
              <w:kinsoku/>
              <w:wordWrap/>
              <w:overflowPunct/>
              <w:topLinePunct w:val="0"/>
              <w:bidi w:val="0"/>
              <w:spacing w:afterAutospacing="0"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p>
        </w:tc>
        <w:tc>
          <w:tcPr>
            <w:tcW w:w="3174" w:type="pct"/>
            <w:noWrap w:val="0"/>
            <w:vAlign w:val="center"/>
          </w:tcPr>
          <w:p>
            <w:pPr>
              <w:pStyle w:val="51"/>
              <w:keepNext w:val="0"/>
              <w:keepLines w:val="0"/>
              <w:pageBreakBefore w:val="0"/>
              <w:kinsoku/>
              <w:wordWrap/>
              <w:overflowPunct/>
              <w:topLinePunct w:val="0"/>
              <w:bidi w:val="0"/>
              <w:spacing w:afterAutospacing="0" w:line="240" w:lineRule="auto"/>
              <w:ind w:left="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每提供1项</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注:业绩证明材料须提供合同原件扫描件</w:t>
            </w:r>
            <w:r>
              <w:rPr>
                <w:rFonts w:hint="eastAsia" w:ascii="仿宋" w:hAnsi="仿宋" w:eastAsia="仿宋" w:cs="仿宋"/>
                <w:color w:val="auto"/>
                <w:kern w:val="2"/>
                <w:sz w:val="24"/>
                <w:szCs w:val="24"/>
                <w:highlight w:val="none"/>
                <w:lang w:val="en-US" w:eastAsia="zh-CN" w:bidi="ar-SA"/>
              </w:rPr>
              <w:t>（或协议书）</w:t>
            </w:r>
            <w:r>
              <w:rPr>
                <w:rFonts w:hint="eastAsia" w:ascii="仿宋" w:hAnsi="仿宋" w:eastAsia="仿宋" w:cs="仿宋"/>
                <w:color w:val="auto"/>
                <w:sz w:val="24"/>
                <w:szCs w:val="24"/>
                <w:highlight w:val="none"/>
              </w:rPr>
              <w:t>加盖投标单位公章,以合同签订时间为准。未按要求提供证明材料的不得分;提供的证明文件未显示日期、未显示项目名称、无法定代表人或授权代表签字（签章）,则该合同视为无效业绩,不予以得分。</w:t>
            </w:r>
            <w:r>
              <w:rPr>
                <w:rFonts w:hint="eastAsia" w:ascii="仿宋" w:hAnsi="仿宋" w:eastAsia="仿宋" w:cs="仿宋"/>
                <w:color w:val="auto"/>
                <w:kern w:val="2"/>
                <w:sz w:val="24"/>
                <w:szCs w:val="24"/>
                <w:highlight w:val="none"/>
                <w:lang w:val="en-US" w:eastAsia="zh-CN" w:bidi="ar-SA"/>
              </w:rPr>
              <w:t>）</w:t>
            </w:r>
          </w:p>
        </w:tc>
        <w:tc>
          <w:tcPr>
            <w:tcW w:w="480" w:type="pct"/>
            <w:noWrap w:val="0"/>
            <w:vAlign w:val="center"/>
          </w:tcPr>
          <w:p>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1218" w:type="dxa"/>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w:t>
            </w:r>
          </w:p>
        </w:tc>
        <w:tc>
          <w:tcPr>
            <w:tcW w:w="6021" w:type="dxa"/>
            <w:noWrap w:val="0"/>
            <w:vAlign w:val="center"/>
          </w:tcPr>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1、根据投标人是否符合招标文件“第三部分 采购需求中快递包装环保要求”，提供出具检测报告的证明文件的得2分。</w:t>
            </w:r>
          </w:p>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2、根据投标人是否符合招标文件“第三部分 采购需求中商品包装环保要求”，提供出具检测报告的证明文件的得2分。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供货产品质量控制措施</w:t>
            </w:r>
          </w:p>
        </w:tc>
        <w:tc>
          <w:tcPr>
            <w:tcW w:w="3174" w:type="pct"/>
            <w:noWrap w:val="0"/>
            <w:vAlign w:val="center"/>
          </w:tcPr>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投标人对产品使用效果、质量标准进行科学合理的描述，具有质量控制措施且描述完整者得5分。</w:t>
            </w:r>
          </w:p>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注：每有一项方案内容与采购内容不符或不切实际的扣1分，扣完为止，未提供者不得分。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疫情防控控制措施</w:t>
            </w:r>
          </w:p>
        </w:tc>
        <w:tc>
          <w:tcPr>
            <w:tcW w:w="3174"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投标人提供完善可行的疫情防控方案：</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1、提供投入该项目人员的疫情安全防卫措施的得1.5分，经评审方案不适宜本项目或未提供不得分。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2、提供设备出库与收货环节的防疫消杀防卫措施的得1.5分，经评审方案不适宜本项目或未提供不得分。</w:t>
            </w:r>
          </w:p>
        </w:tc>
        <w:tc>
          <w:tcPr>
            <w:tcW w:w="480" w:type="pct"/>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3174" w:type="pct"/>
            <w:noWrap w:val="0"/>
            <w:vAlign w:val="center"/>
          </w:tcPr>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1、投标人提供7*24响应、能够完成采购人紧急维修任务（为抑制事态扩大的可能，临时增派人员、设备）的承诺的得2分。</w:t>
            </w:r>
          </w:p>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2、投标人提供积极主动配合采购人完成、积极主动配合采购人临时性工作的服务承诺的得1分。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5"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技术标评审</w:t>
            </w:r>
          </w:p>
          <w:p>
            <w:pPr>
              <w:pStyle w:val="46"/>
              <w:spacing w:before="2"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50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对招标文件技术参数要求的响应程度</w:t>
            </w:r>
          </w:p>
        </w:tc>
        <w:tc>
          <w:tcPr>
            <w:tcW w:w="3174" w:type="pct"/>
            <w:noWrap w:val="0"/>
            <w:vAlign w:val="center"/>
          </w:tcPr>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根据投标人是否符合采购文件技术参数中的要求进行评审：</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1、技术参数完全满足或优于采购文件技术参数及要求的得满分30分。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2、技术参数中标“▲”条款，每出现一项负偏离，扣2分；[标“▲”条款5项（不含5项）以上负偏离，则该项不得分]</w:t>
            </w:r>
          </w:p>
          <w:p>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3、未标“▲”条款，每出现一项负偏离，扣1分；[10项（不含10项）以上负偏离，则该项不得分]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人须对本招标文件“第三部分-政府采购项目采购需求”中技术要求进行点对点应答，必须在引用本采购文件的基础上,进行逐条逐项答复、说明和解释,特别对有具体参数要求的指标，投标人必须提供所投产品的具体参数值并详细列出设备的品牌、型号、配置参数及所投产品的技术支持资料。不得完全复制招标文件中的技术参数，照搬照抄采购文件参数，不注明实际参数值者或未按要求提供者视为负偏离，</w:t>
            </w:r>
            <w:r>
              <w:rPr>
                <w:rFonts w:hint="eastAsia" w:ascii="仿宋" w:hAnsi="仿宋" w:eastAsia="仿宋" w:cs="仿宋"/>
                <w:color w:val="000000"/>
                <w:sz w:val="24"/>
                <w:szCs w:val="24"/>
                <w:highlight w:val="none"/>
                <w:lang w:bidi="ar"/>
              </w:rPr>
              <w:t>投标文件商务技术偏离表响应情况与所附证明材料不一致的情况，按负偏离处理</w:t>
            </w:r>
            <w:r>
              <w:rPr>
                <w:rFonts w:hint="eastAsia" w:ascii="仿宋" w:hAnsi="仿宋" w:eastAsia="仿宋" w:cs="仿宋"/>
                <w:kern w:val="2"/>
                <w:sz w:val="24"/>
                <w:szCs w:val="24"/>
                <w:highlight w:val="none"/>
                <w:lang w:val="en-US" w:eastAsia="zh-CN" w:bidi="ar-SA"/>
              </w:rPr>
              <w:t>。）</w:t>
            </w:r>
          </w:p>
        </w:tc>
        <w:tc>
          <w:tcPr>
            <w:tcW w:w="480" w:type="pct"/>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项目实施方案</w:t>
            </w:r>
          </w:p>
        </w:tc>
        <w:tc>
          <w:tcPr>
            <w:tcW w:w="3174" w:type="pct"/>
            <w:noWrap w:val="0"/>
            <w:vAlign w:val="center"/>
          </w:tcPr>
          <w:p>
            <w:pPr>
              <w:widowControl/>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对本项目总体要求的理解，包括:（1）功能说明、性能指标、设备选型说明详尽；（2）投标人的项目实施进度计划安排具体，且相关保障措施详细;（3）对各项关键工作安排合理，有风险预见；（4）应急保障措施完备，有完善的项目应急解决方案;（5）项目管理方案完整,组织机构完善，人员有保障。</w:t>
            </w:r>
          </w:p>
          <w:p>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注：以上要求内容均能够完全满足的得5分，每缺少一项或每有一项方案内容与项目不符的扣1分，扣完为止。未提供者不得分。</w:t>
            </w:r>
          </w:p>
        </w:tc>
        <w:tc>
          <w:tcPr>
            <w:tcW w:w="480" w:type="pct"/>
            <w:noWrap w:val="0"/>
            <w:vAlign w:val="center"/>
          </w:tcPr>
          <w:p>
            <w:pPr>
              <w:pStyle w:val="46"/>
              <w:spacing w:before="74" w:line="282" w:lineRule="exact"/>
              <w:jc w:val="center"/>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项目培训方案</w:t>
            </w:r>
          </w:p>
        </w:tc>
        <w:tc>
          <w:tcPr>
            <w:tcW w:w="3174"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单位提供本项目培训方案，方案需包括培训的思路、内容专业度、安排的合理度、培训人员专业资格等因素，评估培训方案与本项目需求的吻合程度等评比。能完全响应并按照承诺内容为采购人提供全面优质的培训服务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pStyle w:val="46"/>
              <w:spacing w:before="74" w:line="282" w:lineRule="exact"/>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安装技术水平</w:t>
            </w:r>
          </w:p>
        </w:tc>
        <w:tc>
          <w:tcPr>
            <w:tcW w:w="3174" w:type="pct"/>
            <w:noWrap w:val="0"/>
            <w:vAlign w:val="center"/>
          </w:tcPr>
          <w:p>
            <w:pPr>
              <w:pStyle w:val="83"/>
              <w:numPr>
                <w:ilvl w:val="0"/>
                <w:numId w:val="18"/>
              </w:num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投标人根据招标人项目需求的情况，提供安装实施方案、安装组织计划、安装技术、人员配备及安装进度等整体运行实施方案满足项目功能需求的得2分。</w:t>
            </w:r>
          </w:p>
          <w:p>
            <w:pPr>
              <w:pStyle w:val="83"/>
              <w:numPr>
                <w:ilvl w:val="0"/>
                <w:numId w:val="18"/>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投标人提供交货期和技术设备的先进性及对仪器设备的安装调试和操作步骤、使用方法的得1分。</w:t>
            </w:r>
          </w:p>
          <w:p>
            <w:pPr>
              <w:pStyle w:val="83"/>
              <w:numPr>
                <w:ilvl w:val="0"/>
                <w:numId w:val="0"/>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default"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应急事件处理预案</w:t>
            </w:r>
          </w:p>
          <w:p>
            <w:pPr>
              <w:pStyle w:val="83"/>
              <w:rPr>
                <w:rFonts w:hint="eastAsia" w:ascii="仿宋" w:hAnsi="仿宋" w:eastAsia="仿宋" w:cs="仿宋"/>
                <w:kern w:val="2"/>
                <w:sz w:val="24"/>
                <w:szCs w:val="24"/>
                <w:highlight w:val="none"/>
                <w:lang w:val="en-US" w:eastAsia="zh-CN" w:bidi="ar-SA"/>
              </w:rPr>
            </w:pPr>
          </w:p>
        </w:tc>
        <w:tc>
          <w:tcPr>
            <w:tcW w:w="3174" w:type="pct"/>
            <w:noWrap w:val="0"/>
            <w:vAlign w:val="center"/>
          </w:tcPr>
          <w:p>
            <w:pPr>
              <w:pStyle w:val="14"/>
              <w:numPr>
                <w:ilvl w:val="0"/>
                <w:numId w:val="0"/>
              </w:numPr>
              <w:ind w:right="0" w:righ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应针对本项目实际工作内容和环境，提供应急方案，要求切实合理可行</w:t>
            </w:r>
            <w:r>
              <w:rPr>
                <w:rFonts w:hint="eastAsia" w:ascii="仿宋" w:hAnsi="仿宋" w:eastAsia="仿宋" w:cs="仿宋"/>
                <w:sz w:val="24"/>
                <w:szCs w:val="24"/>
                <w:highlight w:val="none"/>
                <w:lang w:eastAsia="zh-CN"/>
              </w:rPr>
              <w:t>：</w:t>
            </w:r>
            <w:r>
              <w:rPr>
                <w:rFonts w:hint="eastAsia" w:ascii="仿宋" w:hAnsi="仿宋" w:eastAsia="仿宋" w:cs="仿宋"/>
                <w:i w:val="0"/>
                <w:iCs w:val="0"/>
                <w:sz w:val="24"/>
                <w:szCs w:val="24"/>
                <w:highlight w:val="none"/>
                <w:lang w:val="en-US" w:eastAsia="zh-CN"/>
              </w:rPr>
              <w:t>投标人</w:t>
            </w:r>
            <w:r>
              <w:rPr>
                <w:rFonts w:hint="eastAsia" w:ascii="仿宋" w:hAnsi="仿宋" w:eastAsia="仿宋" w:cs="仿宋"/>
                <w:sz w:val="24"/>
                <w:szCs w:val="24"/>
                <w:highlight w:val="none"/>
                <w:lang w:val="en-US" w:eastAsia="zh-CN"/>
              </w:rPr>
              <w:t>综合应急预案包含系统在安装实施及后期运行过程中可能遇到的故障所指定的应急方针、应急行动、措施和保障等基本要求和程序，</w:t>
            </w:r>
            <w:r>
              <w:rPr>
                <w:rFonts w:hint="eastAsia" w:ascii="仿宋" w:hAnsi="仿宋" w:eastAsia="仿宋" w:cs="仿宋"/>
                <w:i w:val="0"/>
                <w:iCs w:val="0"/>
                <w:sz w:val="24"/>
                <w:szCs w:val="24"/>
                <w:highlight w:val="none"/>
                <w:lang w:val="en-US" w:eastAsia="zh-CN"/>
              </w:rPr>
              <w:t>需提供公司承诺及故障处理的技术人员的相关证明材料，</w:t>
            </w:r>
            <w:r>
              <w:rPr>
                <w:rFonts w:hint="eastAsia" w:ascii="仿宋" w:hAnsi="仿宋" w:eastAsia="仿宋" w:cs="仿宋"/>
                <w:sz w:val="24"/>
                <w:szCs w:val="24"/>
                <w:highlight w:val="none"/>
                <w:lang w:val="en-US" w:eastAsia="zh-CN"/>
              </w:rPr>
              <w:t>满足要求的得3分。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售后服务方案</w:t>
            </w:r>
          </w:p>
        </w:tc>
        <w:tc>
          <w:tcPr>
            <w:tcW w:w="3174" w:type="pct"/>
            <w:noWrap w:val="0"/>
            <w:vAlign w:val="center"/>
          </w:tcPr>
          <w:p>
            <w:pPr>
              <w:pStyle w:val="83"/>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投标人在满足招标文件要求的质保期内，对本项目实施的售后服务方案及承诺（包括响应时间和对产品使用效果、包括生产厂商的选择、制造过程、检测措施、实验过程、运输过程、产品交接过程、网点分布，修复时间、设备生产厂家技术售后服务承诺、技术指导承诺、安装调试方案、售后服务措施等）进行综合评价：标准严格、承诺详尽且完善、保障措施服务方案描述完整者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2、投标人质保期满后，投标人负责提供终身维修服务方案（包括响应时间、网点分布、设备收取零配件、备件费等）进行综合评价：维修服务方案描述完整者得3分。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注：经专家评审所提供方案缺项漏项或不满足项目需求的扣1分，扣完为止；未提供不得分。</w:t>
            </w:r>
          </w:p>
        </w:tc>
        <w:tc>
          <w:tcPr>
            <w:tcW w:w="480" w:type="pct"/>
            <w:noWrap w:val="0"/>
            <w:vAlign w:val="center"/>
          </w:tcPr>
          <w:p>
            <w:pPr>
              <w:pStyle w:val="46"/>
              <w:spacing w:before="74" w:line="282" w:lineRule="exact"/>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rPr>
              <w:t>汇总</w:t>
            </w:r>
          </w:p>
        </w:tc>
        <w:tc>
          <w:tcPr>
            <w:tcW w:w="4219" w:type="pct"/>
            <w:gridSpan w:val="3"/>
            <w:noWrap w:val="0"/>
            <w:vAlign w:val="center"/>
          </w:tcPr>
          <w:p>
            <w:pPr>
              <w:pStyle w:val="46"/>
              <w:spacing w:line="240" w:lineRule="auto"/>
              <w:jc w:val="both"/>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rPr>
              <w:t>合计</w:t>
            </w:r>
          </w:p>
        </w:tc>
        <w:tc>
          <w:tcPr>
            <w:tcW w:w="480" w:type="pct"/>
            <w:noWrap w:val="0"/>
            <w:vAlign w:val="center"/>
          </w:tcPr>
          <w:p>
            <w:pPr>
              <w:pStyle w:val="46"/>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rPr>
              <w:t>100</w:t>
            </w:r>
            <w:r>
              <w:rPr>
                <w:rFonts w:hint="eastAsia" w:ascii="仿宋" w:hAnsi="仿宋" w:eastAsia="仿宋" w:cs="仿宋"/>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699" w:type="pct"/>
            <w:gridSpan w:val="4"/>
            <w:noWrap w:val="0"/>
            <w:vAlign w:val="center"/>
          </w:tcPr>
          <w:p>
            <w:pPr>
              <w:pStyle w:val="46"/>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评分分值计算保留小数点后两位</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5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无效投标</w:t>
            </w:r>
            <w:r>
              <w:rPr>
                <w:rFonts w:hint="eastAsia" w:ascii="仿宋" w:hAnsi="仿宋" w:eastAsia="仿宋" w:cs="仿宋"/>
                <w:i w:val="0"/>
                <w:iCs w:val="0"/>
                <w:color w:val="auto"/>
                <w:sz w:val="24"/>
                <w:szCs w:val="24"/>
                <w:highlight w:val="none"/>
              </w:rPr>
              <w:t>条款</w:t>
            </w:r>
          </w:p>
        </w:tc>
        <w:tc>
          <w:tcPr>
            <w:tcW w:w="3816" w:type="pct"/>
            <w:gridSpan w:val="2"/>
            <w:noWrap w:val="0"/>
            <w:vAlign w:val="center"/>
          </w:tcPr>
          <w:p>
            <w:pPr>
              <w:pStyle w:val="50"/>
              <w:numPr>
                <w:ilvl w:val="0"/>
                <w:numId w:val="19"/>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未按照</w:t>
            </w:r>
            <w:r>
              <w:rPr>
                <w:rFonts w:hint="eastAsia" w:ascii="仿宋" w:hAnsi="仿宋" w:eastAsia="仿宋" w:cs="仿宋"/>
                <w:i w:val="0"/>
                <w:iCs w:val="0"/>
                <w:color w:val="auto"/>
                <w:sz w:val="24"/>
                <w:szCs w:val="24"/>
                <w:highlight w:val="none"/>
                <w:lang w:val="en-US" w:eastAsia="zh-CN"/>
              </w:rPr>
              <w:t>招标文件</w:t>
            </w:r>
            <w:r>
              <w:rPr>
                <w:rFonts w:hint="eastAsia" w:ascii="仿宋" w:hAnsi="仿宋" w:eastAsia="仿宋" w:cs="仿宋"/>
                <w:i w:val="0"/>
                <w:iCs w:val="0"/>
                <w:color w:val="auto"/>
                <w:sz w:val="24"/>
                <w:szCs w:val="24"/>
                <w:highlight w:val="none"/>
              </w:rPr>
              <w:t>的规定提交投标保证金的</w:t>
            </w:r>
          </w:p>
          <w:p>
            <w:pPr>
              <w:pStyle w:val="50"/>
              <w:numPr>
                <w:ilvl w:val="0"/>
                <w:numId w:val="19"/>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投标文件未按招标文件要求签署、盖章的</w:t>
            </w:r>
          </w:p>
          <w:p>
            <w:pPr>
              <w:pStyle w:val="50"/>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(3) 不具备招标文件中规定的资格要求</w:t>
            </w:r>
            <w:r>
              <w:rPr>
                <w:rFonts w:hint="eastAsia" w:ascii="仿宋" w:hAnsi="仿宋" w:eastAsia="仿宋" w:cs="仿宋"/>
                <w:i w:val="0"/>
                <w:iCs w:val="0"/>
                <w:color w:val="auto"/>
                <w:sz w:val="24"/>
                <w:szCs w:val="24"/>
                <w:highlight w:val="none"/>
                <w:lang w:val="en-US" w:eastAsia="zh-CN"/>
              </w:rPr>
              <w:t xml:space="preserve"> </w:t>
            </w:r>
          </w:p>
          <w:p>
            <w:pPr>
              <w:pStyle w:val="50"/>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(4) 报价超过招标文件中规定的预算金额或者最高限价的</w:t>
            </w:r>
          </w:p>
          <w:p>
            <w:pPr>
              <w:pStyle w:val="50"/>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(5) 投标文件含有采购人不能接受的附加条件的</w:t>
            </w:r>
          </w:p>
          <w:p>
            <w:pPr>
              <w:pStyle w:val="50"/>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 法律、法规和招标文件规定的其他无效情形</w:t>
            </w:r>
          </w:p>
        </w:tc>
        <w:tc>
          <w:tcPr>
            <w:tcW w:w="480" w:type="pct"/>
            <w:noWrap w:val="0"/>
            <w:vAlign w:val="center"/>
          </w:tcPr>
          <w:p>
            <w:pPr>
              <w:pStyle w:val="50"/>
              <w:spacing w:line="240" w:lineRule="auto"/>
              <w:jc w:val="center"/>
              <w:rPr>
                <w:rFonts w:hint="eastAsia" w:ascii="仿宋" w:hAnsi="仿宋" w:eastAsia="仿宋" w:cs="仿宋"/>
                <w:i w:val="0"/>
                <w:iCs w:val="0"/>
                <w:color w:val="auto"/>
                <w:sz w:val="24"/>
                <w:szCs w:val="24"/>
                <w:highlight w:val="none"/>
              </w:rPr>
            </w:pPr>
          </w:p>
        </w:tc>
      </w:tr>
    </w:tbl>
    <w:p>
      <w:pPr>
        <w:rPr>
          <w:rFonts w:hint="eastAsia"/>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1、经评标委员会认可小、微企业产品和产品报价后，投标人相应产品政策计算公式如下：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中小微企业产品价格扣除后的投标人报价=投标人总报价-中小微企业产品报价*扣除幅度。（以价格扣除后的投标人报价作为评审依据）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4、在任何评标环节中，需评标委员会就某项评审结论做出表决的，由评标委员会全体成员按照少数服从多数的原则，以记名投票方式表决。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5、确定成交投标人采购代理机构应当自评审结束之日起2个工作日内将评审报告送交 采购人。采购人应当自收到评审报告之日起5个工作日内在评审报告推荐的中标或者 成交候选人中按顺序确定中标或者成交投标人。</w:t>
      </w:r>
    </w:p>
    <w:p>
      <w:pPr>
        <w:spacing w:line="360" w:lineRule="auto"/>
        <w:ind w:firstLine="420" w:firstLineChars="200"/>
        <w:rPr>
          <w:rFonts w:hint="eastAsia" w:ascii="仿宋" w:hAnsi="仿宋" w:eastAsia="仿宋" w:cs="仿宋"/>
          <w:color w:val="auto"/>
          <w:highlight w:val="none"/>
        </w:rPr>
      </w:pPr>
    </w:p>
    <w:p>
      <w:pPr>
        <w:pStyle w:val="17"/>
        <w:ind w:left="0" w:leftChars="0" w:firstLine="0" w:firstLineChars="0"/>
        <w:rPr>
          <w:rFonts w:hint="eastAsia" w:ascii="仿宋" w:hAnsi="仿宋" w:eastAsia="仿宋" w:cs="仿宋"/>
          <w:color w:val="auto"/>
          <w:highlight w:val="none"/>
        </w:rPr>
      </w:pPr>
    </w:p>
    <w:p>
      <w:pPr>
        <w:rPr>
          <w:rFonts w:hint="eastAsia"/>
        </w:rPr>
      </w:pPr>
    </w:p>
    <w:p>
      <w:pPr>
        <w:pStyle w:val="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lang w:eastAsia="zh-CN"/>
        </w:rPr>
      </w:pPr>
      <w:bookmarkStart w:id="110" w:name="EB52f6984251c942469dcd80a82d573493"/>
      <w:bookmarkEnd w:id="110"/>
      <w:bookmarkStart w:id="111" w:name="_Toc18169"/>
      <w:bookmarkStart w:id="112" w:name="_Toc18735"/>
      <w:bookmarkStart w:id="113" w:name="_Toc6623"/>
      <w:bookmarkStart w:id="114" w:name="_Toc6447"/>
      <w:bookmarkStart w:id="115" w:name="_Toc14119"/>
      <w:bookmarkStart w:id="116" w:name="_Toc30820"/>
      <w:bookmarkStart w:id="117" w:name="EB988aaeb746df41ed91835b8cac8f5d69"/>
      <w:bookmarkStart w:id="118" w:name="_Toc15608"/>
      <w:r>
        <w:rPr>
          <w:rFonts w:hint="eastAsia" w:ascii="仿宋" w:hAnsi="仿宋" w:eastAsia="仿宋" w:cs="仿宋"/>
          <w:b/>
          <w:color w:val="auto"/>
          <w:sz w:val="36"/>
          <w:highlight w:val="none"/>
        </w:rPr>
        <w:t>第五部分</w:t>
      </w:r>
      <w:r>
        <w:rPr>
          <w:rFonts w:hint="eastAsia" w:ascii="仿宋" w:hAnsi="仿宋" w:eastAsia="仿宋" w:cs="仿宋"/>
          <w:b/>
          <w:color w:val="auto"/>
          <w:sz w:val="36"/>
          <w:highlight w:val="none"/>
          <w:lang w:val="en-US" w:eastAsia="zh-CN"/>
        </w:rPr>
        <w:t xml:space="preserve">   </w:t>
      </w:r>
      <w:r>
        <w:rPr>
          <w:rFonts w:hint="eastAsia" w:ascii="仿宋" w:hAnsi="仿宋" w:eastAsia="仿宋" w:cs="仿宋"/>
          <w:b/>
          <w:color w:val="auto"/>
          <w:sz w:val="36"/>
          <w:highlight w:val="none"/>
        </w:rPr>
        <w:t>政府采购合同</w:t>
      </w:r>
      <w:bookmarkEnd w:id="111"/>
      <w:bookmarkEnd w:id="112"/>
      <w:bookmarkEnd w:id="113"/>
      <w:bookmarkEnd w:id="114"/>
      <w:bookmarkEnd w:id="115"/>
      <w:bookmarkEnd w:id="116"/>
      <w:r>
        <w:rPr>
          <w:rFonts w:hint="eastAsia" w:ascii="仿宋" w:hAnsi="仿宋" w:eastAsia="仿宋" w:cs="仿宋"/>
          <w:b/>
          <w:color w:val="auto"/>
          <w:sz w:val="36"/>
          <w:highlight w:val="none"/>
          <w:lang w:eastAsia="zh-CN"/>
        </w:rPr>
        <w:t>（</w:t>
      </w:r>
      <w:r>
        <w:rPr>
          <w:rFonts w:hint="eastAsia" w:ascii="仿宋" w:hAnsi="仿宋" w:eastAsia="仿宋" w:cs="仿宋"/>
          <w:b/>
          <w:color w:val="auto"/>
          <w:sz w:val="36"/>
          <w:highlight w:val="none"/>
          <w:lang w:val="en-US" w:eastAsia="zh-CN"/>
        </w:rPr>
        <w:t>示范文本</w:t>
      </w:r>
      <w:r>
        <w:rPr>
          <w:rFonts w:hint="eastAsia" w:ascii="仿宋" w:hAnsi="仿宋" w:eastAsia="仿宋" w:cs="仿宋"/>
          <w:b/>
          <w:color w:val="auto"/>
          <w:sz w:val="36"/>
          <w:highlight w:val="none"/>
          <w:lang w:eastAsia="zh-CN"/>
        </w:rPr>
        <w:t>）</w:t>
      </w:r>
    </w:p>
    <w:p>
      <w:pPr>
        <w:rPr>
          <w:rFonts w:hint="eastAsia" w:ascii="仿宋" w:hAnsi="仿宋" w:eastAsia="仿宋" w:cs="仿宋"/>
          <w:color w:val="auto"/>
          <w:highlight w:val="none"/>
        </w:rPr>
      </w:pPr>
    </w:p>
    <w:p>
      <w:pPr>
        <w:pStyle w:val="52"/>
        <w:tabs>
          <w:tab w:val="left" w:pos="720"/>
        </w:tabs>
        <w:spacing w:line="360" w:lineRule="auto"/>
        <w:jc w:val="center"/>
        <w:rPr>
          <w:rFonts w:hint="eastAsia" w:ascii="仿宋" w:hAnsi="仿宋" w:eastAsia="仿宋" w:cs="仿宋"/>
          <w:b/>
          <w:color w:val="auto"/>
          <w:sz w:val="28"/>
          <w:szCs w:val="28"/>
          <w:highlight w:val="none"/>
          <w:u w:val="single"/>
        </w:rPr>
      </w:pPr>
    </w:p>
    <w:p>
      <w:pPr>
        <w:pStyle w:val="52"/>
        <w:tabs>
          <w:tab w:val="left" w:pos="720"/>
        </w:tabs>
        <w:spacing w:line="360" w:lineRule="auto"/>
        <w:jc w:val="center"/>
        <w:rPr>
          <w:rFonts w:hint="eastAsia" w:ascii="仿宋" w:hAnsi="仿宋" w:eastAsia="仿宋" w:cs="仿宋"/>
          <w:b/>
          <w:color w:val="auto"/>
          <w:sz w:val="28"/>
          <w:szCs w:val="28"/>
          <w:highlight w:val="none"/>
          <w:u w:val="single"/>
        </w:rPr>
      </w:pPr>
    </w:p>
    <w:p>
      <w:pPr>
        <w:pStyle w:val="52"/>
        <w:tabs>
          <w:tab w:val="left" w:pos="720"/>
        </w:tabs>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w:t>
      </w:r>
    </w:p>
    <w:p>
      <w:pPr>
        <w:pStyle w:val="52"/>
        <w:tabs>
          <w:tab w:val="left" w:pos="720"/>
        </w:tabs>
        <w:spacing w:line="360" w:lineRule="auto"/>
        <w:jc w:val="center"/>
        <w:rPr>
          <w:rFonts w:hint="eastAsia" w:ascii="仿宋" w:hAnsi="仿宋" w:eastAsia="仿宋" w:cs="仿宋"/>
          <w:b/>
          <w:color w:val="auto"/>
          <w:sz w:val="28"/>
          <w:szCs w:val="28"/>
          <w:highlight w:val="none"/>
        </w:rPr>
      </w:pPr>
    </w:p>
    <w:p>
      <w:pPr>
        <w:pStyle w:val="52"/>
        <w:tabs>
          <w:tab w:val="left" w:pos="720"/>
        </w:tabs>
        <w:spacing w:line="360" w:lineRule="auto"/>
        <w:jc w:val="center"/>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采购编号：</w:t>
      </w: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注：本协议书仅为参考文本，签订双方可根据项目的具体要求进行修订。</w:t>
      </w:r>
    </w:p>
    <w:p>
      <w:pPr>
        <w:pStyle w:val="35"/>
        <w:spacing w:line="360" w:lineRule="auto"/>
        <w:ind w:firstLine="480" w:firstLineChars="20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（甲方）所需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val="en-US" w:eastAsia="zh-CN"/>
        </w:rPr>
        <w:t>新疆锦辰工程项目管理有限公司</w:t>
      </w:r>
      <w:r>
        <w:rPr>
          <w:rFonts w:hint="eastAsia" w:ascii="仿宋" w:hAnsi="仿宋" w:eastAsia="仿宋" w:cs="仿宋"/>
          <w:sz w:val="24"/>
          <w:szCs w:val="24"/>
          <w:highlight w:val="none"/>
        </w:rPr>
        <w:t>以公开招标方式进行采购。经评标委员会</w:t>
      </w:r>
      <w:r>
        <w:rPr>
          <w:rFonts w:hint="eastAsia" w:ascii="仿宋" w:hAnsi="仿宋" w:eastAsia="仿宋" w:cs="仿宋"/>
          <w:sz w:val="24"/>
          <w:szCs w:val="24"/>
          <w:highlight w:val="none"/>
          <w:lang w:val="en-US" w:eastAsia="zh-CN"/>
        </w:rPr>
        <w:t>推荐，</w:t>
      </w:r>
      <w:r>
        <w:rPr>
          <w:rFonts w:hint="eastAsia" w:ascii="仿宋" w:hAnsi="仿宋" w:eastAsia="仿宋" w:cs="仿宋"/>
          <w:sz w:val="24"/>
          <w:szCs w:val="24"/>
          <w:highlight w:val="none"/>
        </w:rPr>
        <w:t>确定         （乙方）为中标人。甲、乙双方根据《中华人民共和国政府采购法》、《中华人民共和国民法典》等相关法律以及本项目招标文件的规定，经平等协商达成合同如下</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一、合同文件</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本合同所附下列文件是构成本合同不可分割的部分</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（一）本项目招标文件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（二）中标人投标文件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（三）合同格式、合同条款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（四）中标人在评标过程中做出的有关澄清、说明或者补正文件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（五）中标通知书</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（六）本合同附件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二、合同的范围和条件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本合同的范围和条件应与上述合同文件的规定相一致。</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三、货物、数量及规格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本合同所提供的货物、数量及规格详见合同货物清单（附件一）（同投标文件中报价明细表，下同）。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四、合同金额</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根据上述合同文件要求，合同金额为人民币         元，大写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。（分项价格详见合同货物清单）。</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乙方开户单位</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帐号</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五、付款途径</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国库集中支付   □甲方支付    □ 国库与甲方共同支付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财政性资金       元          □ 自筹性资金         元</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属国库集中支付的财政性资金，甲方应按合同约定的付款期限，通过《新疆兵团政府采购管理系统》及时向财政部门报送资金支付申请，财政部门对支付申请审核无误后，将货款直接支付至乙方账户。</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六、付款方式</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七、交付日期、地点</w:t>
      </w:r>
    </w:p>
    <w:p>
      <w:pPr>
        <w:pStyle w:val="35"/>
        <w:spacing w:line="360" w:lineRule="auto"/>
        <w:ind w:firstLine="480" w:firstLineChars="20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2、交付地点</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八、履约保证金</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履约保证金在项目交付验收合格无质量问题后，填写《履约保证金退付表》、《政府采购项目验收单》和资金往来收款收据交招标人后20个工作日内退还。九、合同生效</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本合同经甲乙双方签字盖章，乙方提交履约保证金后生效。</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十、合同保存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式</w:t>
      </w:r>
      <w:r>
        <w:rPr>
          <w:rFonts w:hint="eastAsia" w:ascii="仿宋" w:hAnsi="仿宋" w:eastAsia="仿宋" w:cs="仿宋"/>
          <w:sz w:val="24"/>
          <w:szCs w:val="24"/>
          <w:highlight w:val="none"/>
          <w:lang w:eastAsia="zh-CN"/>
        </w:rPr>
        <w:t>叁</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eastAsia="zh-CN"/>
        </w:rPr>
        <w:t>贰</w:t>
      </w:r>
      <w:r>
        <w:rPr>
          <w:rFonts w:hint="eastAsia" w:ascii="仿宋" w:hAnsi="仿宋" w:eastAsia="仿宋" w:cs="仿宋"/>
          <w:sz w:val="24"/>
          <w:szCs w:val="24"/>
          <w:highlight w:val="none"/>
        </w:rPr>
        <w:t>份，乙方一份</w:t>
      </w:r>
      <w:r>
        <w:rPr>
          <w:rFonts w:hint="eastAsia" w:ascii="仿宋" w:hAnsi="仿宋" w:eastAsia="仿宋" w:cs="仿宋"/>
          <w:sz w:val="24"/>
          <w:szCs w:val="24"/>
          <w:highlight w:val="none"/>
          <w:lang w:eastAsia="zh-CN"/>
        </w:rPr>
        <w:t>，具有同等法律效应</w:t>
      </w:r>
      <w:r>
        <w:rPr>
          <w:rFonts w:hint="eastAsia" w:ascii="仿宋" w:hAnsi="仿宋" w:eastAsia="仿宋" w:cs="仿宋"/>
          <w:sz w:val="24"/>
          <w:szCs w:val="24"/>
          <w:highlight w:val="none"/>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lang w:eastAsia="zh-CN"/>
        </w:rPr>
      </w:pPr>
      <w:bookmarkStart w:id="119" w:name="_Toc1894"/>
      <w:bookmarkStart w:id="120" w:name="_Toc25383"/>
      <w:bookmarkStart w:id="121" w:name="_Toc25449"/>
      <w:bookmarkStart w:id="122" w:name="_Toc23214"/>
      <w:r>
        <w:rPr>
          <w:rFonts w:hint="eastAsia" w:ascii="仿宋" w:hAnsi="仿宋" w:eastAsia="仿宋" w:cs="仿宋"/>
          <w:sz w:val="24"/>
          <w:szCs w:val="24"/>
          <w:highlight w:val="none"/>
        </w:rPr>
        <w:t>甲    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乙    方</w:t>
      </w:r>
      <w:bookmarkEnd w:id="119"/>
      <w:bookmarkEnd w:id="120"/>
      <w:bookmarkEnd w:id="121"/>
      <w:bookmarkEnd w:id="122"/>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单位名称(公章)</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      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电    话</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签订日期</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2" w:firstLineChars="200"/>
        <w:outlineLvl w:val="9"/>
        <w:rPr>
          <w:rFonts w:hint="eastAsia" w:ascii="仿宋" w:hAnsi="仿宋" w:eastAsia="仿宋" w:cs="仿宋"/>
          <w:sz w:val="24"/>
          <w:szCs w:val="24"/>
          <w:highlight w:val="none"/>
        </w:rPr>
      </w:pPr>
      <w:r>
        <w:rPr>
          <w:rFonts w:hint="eastAsia" w:ascii="宋体" w:hAnsi="宋体"/>
          <w:b/>
          <w:color w:val="000000"/>
          <w:kern w:val="0"/>
          <w:sz w:val="24"/>
          <w:highlight w:val="none"/>
        </w:rPr>
        <w:br w:type="page"/>
      </w:r>
      <w:r>
        <w:rPr>
          <w:rFonts w:hint="eastAsia" w:ascii="仿宋" w:hAnsi="仿宋" w:eastAsia="仿宋" w:cs="仿宋"/>
          <w:sz w:val="24"/>
          <w:szCs w:val="24"/>
          <w:highlight w:val="none"/>
        </w:rPr>
        <w:t>二、合同条款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方在本项目中所需货物和服务由新疆锦辰工程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bookmarkStart w:id="123" w:name="_Toc86202594"/>
      <w:bookmarkStart w:id="124" w:name="_Toc175644041"/>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一、定义</w:t>
      </w:r>
      <w:bookmarkEnd w:id="123"/>
      <w:bookmarkEnd w:id="124"/>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除非另有特别解释或说明，在本合同及与本合同相关的，双方另行签署的其他文件（包括但不限于本合同的附件）中，下述词语均依如下定义进行解释</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1、“合同”指甲乙双方签署的，与本项目相关的协议、附件、附录和其他一切文件，还包括招标文件、投标文件中的相关内容及其有效补充文件。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2、“附件”是指与本合同的订立、履行有关的，经甲乙双方认可的，对本合同约定的内容进行细化、补充、修改、变更的文件、图纸、音像制品等资料。</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3、“货物”指合同货物清单（附件1）（同投标文件中货物明细表，下同）中所规定的硬件、软件、安装材料、备件及专用器具、文件资料等内容。</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5、“检验”指按照本合同约定的标准对合同货物进行的检测与查验。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6、“政府采购项目验收单”指甲、乙双方验收完成后由合同双方签署的最终验收确认书。</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7、“技术资料”指安装、调试、使用、维修合同货物所应具备的产品使用说明书和／或使用指南、操作手册、维修指南、服务手册、电路图、产品演示等文件。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8、“保修期”指自验收单签署之日起，乙方免费对所卖给甲方货物更换整件或零部件，维修、保养及技术支持、产品升级并以自担费用方式保证项目正常运行的时期。</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9、“第三人”是指本合同双方以外的任何中国境内、外的自然人、法人或其他经济组织。</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11、“招标文件”指采购代理机构发布的本项目招标文件。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12、“投标文件”指乙方按照本项目招标文件的要求编制和投递，并最终经采购代理机构接收的投标文件。</w:t>
      </w:r>
    </w:p>
    <w:p>
      <w:pPr>
        <w:pStyle w:val="35"/>
        <w:spacing w:line="360" w:lineRule="auto"/>
        <w:ind w:firstLine="480" w:firstLineChars="200"/>
        <w:outlineLvl w:val="9"/>
        <w:rPr>
          <w:rFonts w:hint="eastAsia" w:ascii="仿宋" w:hAnsi="仿宋" w:eastAsia="仿宋" w:cs="仿宋"/>
          <w:sz w:val="24"/>
          <w:szCs w:val="24"/>
          <w:highlight w:val="none"/>
        </w:rPr>
      </w:pPr>
      <w:bookmarkStart w:id="125" w:name="_Toc86202595"/>
      <w:bookmarkStart w:id="126" w:name="_Toc175644043"/>
      <w:r>
        <w:rPr>
          <w:rFonts w:hint="eastAsia" w:ascii="仿宋" w:hAnsi="仿宋" w:eastAsia="仿宋" w:cs="仿宋"/>
          <w:sz w:val="24"/>
          <w:szCs w:val="24"/>
          <w:highlight w:val="none"/>
        </w:rPr>
        <w:t>二、货物、数量及规格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三、合同价格</w:t>
      </w:r>
      <w:bookmarkEnd w:id="125"/>
      <w:bookmarkEnd w:id="12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1、合同金额详见合同格式。</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3、合同货物详细目录及销售价格详见合同格式附件1合同货物清单（同投标文件中报价明细表）。</w:t>
      </w:r>
      <w:bookmarkStart w:id="127" w:name="_Toc175644044"/>
      <w:bookmarkStart w:id="128" w:name="_Toc8620259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w:t>
      </w:r>
      <w:bookmarkEnd w:id="127"/>
      <w:bookmarkEnd w:id="128"/>
      <w:r>
        <w:rPr>
          <w:rFonts w:hint="eastAsia" w:ascii="仿宋" w:hAnsi="仿宋" w:eastAsia="仿宋" w:cs="仿宋"/>
          <w:sz w:val="24"/>
          <w:szCs w:val="24"/>
          <w:highlight w:val="none"/>
        </w:rPr>
        <w:t>付款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1、双方因本合同发生的一切费用均以人民币结算及支付。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2、双方的帐户名称、开户银行及帐号以本合同提供的为准。</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3、付款途径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4、付款方式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bookmarkStart w:id="129" w:name="_Toc86202597"/>
      <w:r>
        <w:rPr>
          <w:rFonts w:hint="eastAsia" w:ascii="仿宋" w:hAnsi="仿宋" w:eastAsia="仿宋" w:cs="仿宋"/>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6、甲方直接与乙方付款结算，采购代理机构不对其付款承担连带责任或任何其它责任，在任何情形下乙方亦只能直接向甲方追索而不应当向采购代理机构追索。</w:t>
      </w:r>
    </w:p>
    <w:p>
      <w:pPr>
        <w:pStyle w:val="35"/>
        <w:spacing w:line="360" w:lineRule="auto"/>
        <w:ind w:firstLine="480" w:firstLineChars="200"/>
        <w:outlineLvl w:val="9"/>
        <w:rPr>
          <w:rFonts w:hint="eastAsia" w:ascii="仿宋" w:hAnsi="仿宋" w:eastAsia="仿宋" w:cs="仿宋"/>
          <w:sz w:val="24"/>
          <w:szCs w:val="24"/>
          <w:highlight w:val="none"/>
        </w:rPr>
      </w:pPr>
      <w:bookmarkStart w:id="130" w:name="_Toc175644045"/>
      <w:r>
        <w:rPr>
          <w:rFonts w:hint="eastAsia" w:ascii="仿宋" w:hAnsi="仿宋" w:eastAsia="仿宋" w:cs="仿宋"/>
          <w:sz w:val="24"/>
          <w:szCs w:val="24"/>
          <w:highlight w:val="none"/>
        </w:rPr>
        <w:t>五、</w:t>
      </w:r>
      <w:bookmarkEnd w:id="129"/>
      <w:bookmarkEnd w:id="130"/>
      <w:r>
        <w:rPr>
          <w:rFonts w:hint="eastAsia" w:ascii="仿宋" w:hAnsi="仿宋" w:eastAsia="仿宋" w:cs="仿宋"/>
          <w:sz w:val="24"/>
          <w:szCs w:val="24"/>
          <w:highlight w:val="none"/>
        </w:rPr>
        <w:t>交付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1、乙方负责办理运输和保险，将货物运抵交货地点。有关运输、保险和装卸等一切相关的费用由乙方承担。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2、货物应运至甲方指定地点，并卸至甲方指定位置，开箱清点及初步检验时双方应派人员参加。</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5、交付地点</w:t>
      </w:r>
      <w:bookmarkStart w:id="131" w:name="_Toc86202598"/>
      <w:bookmarkStart w:id="132" w:name="_Toc175644046"/>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六、包装和标记</w:t>
      </w:r>
      <w:bookmarkEnd w:id="131"/>
      <w:bookmarkEnd w:id="132"/>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33" w:name="_Toc86202599"/>
      <w:bookmarkStart w:id="134" w:name="_Toc17564404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七、质量标准和检验</w:t>
      </w:r>
      <w:bookmarkEnd w:id="133"/>
      <w:r>
        <w:rPr>
          <w:rFonts w:hint="eastAsia" w:ascii="仿宋" w:hAnsi="仿宋" w:eastAsia="仿宋" w:cs="仿宋"/>
          <w:sz w:val="24"/>
          <w:szCs w:val="24"/>
          <w:highlight w:val="none"/>
        </w:rPr>
        <w:t>方式</w:t>
      </w:r>
      <w:bookmarkEnd w:id="13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招标人接受) 相一致，同时，乙方提供的货物质量应符合中华人民共和国相关标准及相应的技术规范、本次采购相关文件中的全部相关要求及相关标准及相应的技术规范中之较高者。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6、甲方对合同货物的数量、规格和质量的检验，应依据本项目招标文件中的有关规定进行。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35"/>
        <w:spacing w:line="360" w:lineRule="auto"/>
        <w:ind w:firstLine="480" w:firstLineChars="200"/>
        <w:outlineLvl w:val="9"/>
        <w:rPr>
          <w:rFonts w:hint="eastAsia" w:ascii="仿宋" w:hAnsi="仿宋" w:eastAsia="仿宋" w:cs="仿宋"/>
          <w:sz w:val="24"/>
          <w:szCs w:val="24"/>
          <w:highlight w:val="none"/>
        </w:rPr>
      </w:pPr>
      <w:bookmarkStart w:id="135" w:name="_Toc86202601"/>
      <w:bookmarkStart w:id="136" w:name="_Toc175644048"/>
      <w:r>
        <w:rPr>
          <w:rFonts w:hint="eastAsia" w:ascii="仿宋" w:hAnsi="仿宋" w:eastAsia="仿宋" w:cs="仿宋"/>
          <w:sz w:val="24"/>
          <w:szCs w:val="24"/>
          <w:highlight w:val="none"/>
        </w:rPr>
        <w:t>八、技术服务和保修责任</w:t>
      </w:r>
      <w:bookmarkEnd w:id="135"/>
      <w:bookmarkEnd w:id="13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1、乙方对合同货物、服务的保修期按照招标文件第二部分“投标人须知前附表”</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7、若由于甲方提出增加并不涉及安全性的新功能而引起的软件升级，相关成本费由甲方承担，乙方不得赚取利润或拒绝、拖延。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8、若由于乙方增加并不涉及安全性的新功能引起软件升级，而且甲方愿意增加该新功能时，由双方协商解决。</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35"/>
        <w:spacing w:line="360" w:lineRule="auto"/>
        <w:ind w:firstLine="480" w:firstLineChars="200"/>
        <w:outlineLvl w:val="9"/>
        <w:rPr>
          <w:rFonts w:hint="eastAsia" w:ascii="仿宋" w:hAnsi="仿宋" w:eastAsia="仿宋" w:cs="仿宋"/>
          <w:sz w:val="24"/>
          <w:szCs w:val="24"/>
          <w:highlight w:val="none"/>
        </w:rPr>
      </w:pPr>
      <w:bookmarkStart w:id="137" w:name="_Toc175644049"/>
      <w:bookmarkStart w:id="138" w:name="_Toc86202602"/>
      <w:r>
        <w:rPr>
          <w:rFonts w:hint="eastAsia" w:ascii="仿宋" w:hAnsi="仿宋" w:eastAsia="仿宋" w:cs="仿宋"/>
          <w:sz w:val="24"/>
          <w:szCs w:val="24"/>
          <w:highlight w:val="none"/>
        </w:rPr>
        <w:t>九、违约责任</w:t>
      </w:r>
      <w:bookmarkEnd w:id="137"/>
      <w:bookmarkEnd w:id="138"/>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1）在甲方同意延长的期限内交付全部货物、提供服务并承担由此给甲方造成的直接损失及甲方因此产生的对第三方的责任。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4）按合同规定的同种货币将甲方所退货物已支付的货款全部退还给甲方，并承担由此发生的直接损失和相关费用及甲方因此产生的对第三方的责任。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5）甲方有权部分或全部解除合同并要求乙方赔偿由此造成的损失及甲方因此产生的对第三方的责任。此时甲方可采取必要的补救措施，相关费用由乙方承担。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6）此外，上述情形下甲方为采取必要的补救措施或因防止损失扩大而支出的合理费用应由乙方承担。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4、除有另行约定外，甲方如延期付款，每逾期1日，按应付金额0.3‰支付违约金；乙方如延期交付，每延迟1日，按应交付货物总额0.3‰支付违约金。</w:t>
      </w:r>
    </w:p>
    <w:p>
      <w:pPr>
        <w:pStyle w:val="35"/>
        <w:spacing w:line="360" w:lineRule="auto"/>
        <w:ind w:firstLine="480" w:firstLineChars="200"/>
        <w:outlineLvl w:val="9"/>
        <w:rPr>
          <w:rFonts w:hint="eastAsia" w:ascii="仿宋" w:hAnsi="仿宋" w:eastAsia="仿宋" w:cs="仿宋"/>
          <w:sz w:val="24"/>
          <w:szCs w:val="24"/>
          <w:highlight w:val="none"/>
        </w:rPr>
      </w:pPr>
      <w:bookmarkStart w:id="139" w:name="_Toc86202603"/>
      <w:r>
        <w:rPr>
          <w:rFonts w:hint="eastAsia" w:ascii="仿宋" w:hAnsi="仿宋" w:eastAsia="仿宋" w:cs="仿宋"/>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7、以上各项交付的违约金并不影响违约方履行合同的各项义务。</w:t>
      </w:r>
    </w:p>
    <w:p>
      <w:pPr>
        <w:pStyle w:val="35"/>
        <w:spacing w:line="360" w:lineRule="auto"/>
        <w:ind w:firstLine="480" w:firstLineChars="200"/>
        <w:outlineLvl w:val="9"/>
        <w:rPr>
          <w:rFonts w:hint="eastAsia" w:ascii="仿宋" w:hAnsi="仿宋" w:eastAsia="仿宋" w:cs="仿宋"/>
          <w:sz w:val="24"/>
          <w:szCs w:val="24"/>
          <w:highlight w:val="none"/>
        </w:rPr>
      </w:pPr>
      <w:bookmarkStart w:id="140" w:name="_Toc175644050"/>
      <w:r>
        <w:rPr>
          <w:rFonts w:hint="eastAsia" w:ascii="仿宋" w:hAnsi="仿宋" w:eastAsia="仿宋" w:cs="仿宋"/>
          <w:sz w:val="24"/>
          <w:szCs w:val="24"/>
          <w:highlight w:val="none"/>
        </w:rPr>
        <w:t>十、不可抗力</w:t>
      </w:r>
      <w:bookmarkEnd w:id="139"/>
      <w:bookmarkEnd w:id="140"/>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1、不可抗力指下列事件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战争、动乱、瘟疫、严重火灾、洪水、地震、风暴或其他自然灾害，以及本合同各方不可预见、不可防止并不能避免或克服的一切其他因素及事件。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4、合同各方应根据不可抗力对本合同履行的影响程度，协商确定是否终止本合同，或是继续履行本合同。</w:t>
      </w:r>
      <w:bookmarkStart w:id="141" w:name="_Toc175644051"/>
      <w:bookmarkStart w:id="142" w:name="_Toc8620260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十一、联系方式</w:t>
      </w:r>
      <w:bookmarkEnd w:id="141"/>
      <w:bookmarkEnd w:id="142"/>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3、上述发出通知、回复的费用由发出一方承担。</w:t>
      </w:r>
    </w:p>
    <w:p>
      <w:pPr>
        <w:pStyle w:val="35"/>
        <w:spacing w:line="360" w:lineRule="auto"/>
        <w:ind w:firstLine="480" w:firstLineChars="200"/>
        <w:outlineLvl w:val="9"/>
        <w:rPr>
          <w:rFonts w:hint="eastAsia" w:ascii="仿宋" w:hAnsi="仿宋" w:eastAsia="仿宋" w:cs="仿宋"/>
          <w:sz w:val="24"/>
          <w:szCs w:val="24"/>
          <w:highlight w:val="none"/>
        </w:rPr>
      </w:pPr>
      <w:bookmarkStart w:id="143" w:name="_Toc86202605"/>
      <w:bookmarkStart w:id="144" w:name="_Toc175644052"/>
      <w:r>
        <w:rPr>
          <w:rFonts w:hint="eastAsia" w:ascii="仿宋" w:hAnsi="仿宋" w:eastAsia="仿宋" w:cs="仿宋"/>
          <w:sz w:val="24"/>
          <w:szCs w:val="24"/>
          <w:highlight w:val="none"/>
        </w:rPr>
        <w:t>十二、保密条款</w:t>
      </w:r>
      <w:bookmarkEnd w:id="143"/>
      <w:bookmarkEnd w:id="14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1、任何一方对其获知的本合同及附件中其他各方的商业秘密和国家秘密负有保密义务。</w:t>
      </w:r>
    </w:p>
    <w:p>
      <w:pPr>
        <w:pStyle w:val="35"/>
        <w:spacing w:line="360" w:lineRule="auto"/>
        <w:ind w:firstLine="480" w:firstLineChars="200"/>
        <w:outlineLvl w:val="9"/>
        <w:rPr>
          <w:rFonts w:hint="eastAsia" w:ascii="仿宋" w:hAnsi="仿宋" w:eastAsia="仿宋" w:cs="仿宋"/>
          <w:sz w:val="24"/>
          <w:szCs w:val="24"/>
          <w:highlight w:val="none"/>
        </w:rPr>
      </w:pPr>
      <w:bookmarkStart w:id="145" w:name="_Toc86202606"/>
      <w:r>
        <w:rPr>
          <w:rFonts w:hint="eastAsia" w:ascii="仿宋" w:hAnsi="仿宋" w:eastAsia="仿宋" w:cs="仿宋"/>
          <w:sz w:val="24"/>
          <w:szCs w:val="24"/>
          <w:highlight w:val="none"/>
        </w:rPr>
        <w:t>2、在下列情形下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35"/>
        <w:spacing w:line="360" w:lineRule="auto"/>
        <w:ind w:firstLine="480" w:firstLineChars="200"/>
        <w:outlineLvl w:val="9"/>
        <w:rPr>
          <w:rFonts w:hint="eastAsia" w:ascii="仿宋" w:hAnsi="仿宋" w:eastAsia="仿宋" w:cs="仿宋"/>
          <w:sz w:val="24"/>
          <w:szCs w:val="24"/>
          <w:highlight w:val="none"/>
        </w:rPr>
      </w:pPr>
      <w:bookmarkStart w:id="146" w:name="_Toc175644053"/>
      <w:r>
        <w:rPr>
          <w:rFonts w:hint="eastAsia" w:ascii="仿宋" w:hAnsi="仿宋" w:eastAsia="仿宋" w:cs="仿宋"/>
          <w:sz w:val="24"/>
          <w:szCs w:val="24"/>
          <w:highlight w:val="none"/>
        </w:rPr>
        <w:t>十三、合同的解释</w:t>
      </w:r>
      <w:bookmarkEnd w:id="145"/>
      <w:bookmarkEnd w:id="14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1、任何一方对本合同及其附件的解释均应遵循诚实信用原则,依照本合同签订时有效的中国法律、法规以及通常的理解进行。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2、本合同标题仅供查阅方便，并非对本合同的诠释或解释；本合同中以日表述的时间期限均指自然日。</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3、对本合同的任何解释均应以书面做出。</w:t>
      </w:r>
    </w:p>
    <w:p>
      <w:pPr>
        <w:pStyle w:val="35"/>
        <w:spacing w:line="360" w:lineRule="auto"/>
        <w:ind w:firstLine="480" w:firstLineChars="200"/>
        <w:outlineLvl w:val="9"/>
        <w:rPr>
          <w:rFonts w:hint="eastAsia" w:ascii="仿宋" w:hAnsi="仿宋" w:eastAsia="仿宋" w:cs="仿宋"/>
          <w:sz w:val="24"/>
          <w:szCs w:val="24"/>
          <w:highlight w:val="none"/>
        </w:rPr>
      </w:pPr>
      <w:bookmarkStart w:id="147" w:name="_Toc175644054"/>
      <w:bookmarkStart w:id="148" w:name="_Toc86202607"/>
      <w:r>
        <w:rPr>
          <w:rFonts w:hint="eastAsia" w:ascii="仿宋" w:hAnsi="仿宋" w:eastAsia="仿宋" w:cs="仿宋"/>
          <w:sz w:val="24"/>
          <w:szCs w:val="24"/>
          <w:highlight w:val="none"/>
        </w:rPr>
        <w:t>十四、合同的终止</w:t>
      </w:r>
      <w:bookmarkEnd w:id="147"/>
      <w:bookmarkEnd w:id="148"/>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1、本合同因下列原因而终止</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1）本合同正常履行完毕；</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2）合同双方协议终止本合同的履行；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3）不可抗力事件导致本合同无法履行或履行不必要；</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4）任何一方行使解除权，解除本合同。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2、对本合同终止有过错的一方应赔偿另一方因合同终止而受到的损失。对合同终止双方均无过错的，则各自承担所受到的损失。</w:t>
      </w:r>
    </w:p>
    <w:p>
      <w:pPr>
        <w:pStyle w:val="35"/>
        <w:spacing w:line="360" w:lineRule="auto"/>
        <w:ind w:firstLine="480" w:firstLineChars="200"/>
        <w:outlineLvl w:val="9"/>
        <w:rPr>
          <w:rFonts w:hint="eastAsia" w:ascii="仿宋" w:hAnsi="仿宋" w:eastAsia="仿宋" w:cs="仿宋"/>
          <w:sz w:val="24"/>
          <w:szCs w:val="24"/>
          <w:highlight w:val="none"/>
        </w:rPr>
      </w:pPr>
      <w:bookmarkStart w:id="149" w:name="_Toc175644055"/>
      <w:bookmarkStart w:id="150" w:name="_Toc86202608"/>
      <w:r>
        <w:rPr>
          <w:rFonts w:hint="eastAsia" w:ascii="仿宋" w:hAnsi="仿宋" w:eastAsia="仿宋" w:cs="仿宋"/>
          <w:sz w:val="24"/>
          <w:szCs w:val="24"/>
          <w:highlight w:val="none"/>
        </w:rPr>
        <w:t>十五、法律适用</w:t>
      </w:r>
      <w:bookmarkEnd w:id="149"/>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1、本合同及附件的订立、效力、解释、履行、争议的解决等适用本合同签订时有效的中华人民共和国法律、法规的有关规定。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35"/>
        <w:spacing w:line="360" w:lineRule="auto"/>
        <w:ind w:firstLine="480" w:firstLineChars="200"/>
        <w:outlineLvl w:val="9"/>
        <w:rPr>
          <w:rFonts w:hint="eastAsia" w:ascii="仿宋" w:hAnsi="仿宋" w:eastAsia="仿宋" w:cs="仿宋"/>
          <w:sz w:val="24"/>
          <w:szCs w:val="24"/>
          <w:highlight w:val="none"/>
        </w:rPr>
      </w:pPr>
      <w:bookmarkStart w:id="151" w:name="_Toc175644056"/>
      <w:r>
        <w:rPr>
          <w:rFonts w:hint="eastAsia" w:ascii="仿宋" w:hAnsi="仿宋" w:eastAsia="仿宋" w:cs="仿宋"/>
          <w:sz w:val="24"/>
          <w:szCs w:val="24"/>
          <w:highlight w:val="none"/>
        </w:rPr>
        <w:t>十六、权利的保留</w:t>
      </w:r>
      <w:bookmarkEnd w:id="150"/>
      <w:bookmarkEnd w:id="151"/>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35"/>
        <w:spacing w:line="360" w:lineRule="auto"/>
        <w:ind w:firstLine="480" w:firstLineChars="200"/>
        <w:outlineLvl w:val="9"/>
        <w:rPr>
          <w:rFonts w:hint="eastAsia" w:ascii="仿宋" w:hAnsi="仿宋" w:eastAsia="仿宋" w:cs="仿宋"/>
          <w:sz w:val="24"/>
          <w:szCs w:val="24"/>
          <w:highlight w:val="none"/>
        </w:rPr>
      </w:pPr>
      <w:bookmarkStart w:id="152" w:name="_Toc86202609"/>
      <w:bookmarkStart w:id="153" w:name="_Toc175644057"/>
      <w:r>
        <w:rPr>
          <w:rFonts w:hint="eastAsia" w:ascii="仿宋" w:hAnsi="仿宋" w:eastAsia="仿宋" w:cs="仿宋"/>
          <w:sz w:val="24"/>
          <w:szCs w:val="24"/>
          <w:highlight w:val="none"/>
        </w:rPr>
        <w:t>十七、争议的解决</w:t>
      </w:r>
      <w:bookmarkEnd w:id="152"/>
      <w:bookmarkEnd w:id="153"/>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1、合同双方应通过友好协商解决因解释﹑执行本合同所发生的和本合同有关的一切争议。如果经协商不能达成协议，可以采用以下方式解决（按照招标文件第二部分“投标人须知前附表”第32项的规定）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（1）提交兵团仲裁委员会仲裁；（2）向甲方所在地人民法院起诉。</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3、在争议解决期间，除了诉讼或仲裁进行过程中正在解决的那部分问题外，合同其余部分应继续履行。</w:t>
      </w:r>
    </w:p>
    <w:p>
      <w:pPr>
        <w:pStyle w:val="35"/>
        <w:spacing w:line="360" w:lineRule="auto"/>
        <w:ind w:firstLine="480" w:firstLineChars="200"/>
        <w:outlineLvl w:val="9"/>
        <w:rPr>
          <w:rFonts w:hint="eastAsia" w:ascii="仿宋" w:hAnsi="仿宋" w:eastAsia="仿宋" w:cs="仿宋"/>
          <w:sz w:val="24"/>
          <w:szCs w:val="24"/>
          <w:highlight w:val="none"/>
        </w:rPr>
      </w:pPr>
      <w:bookmarkStart w:id="154" w:name="_Toc175644059"/>
      <w:bookmarkStart w:id="155" w:name="_Toc86202611"/>
      <w:r>
        <w:rPr>
          <w:rFonts w:hint="eastAsia" w:ascii="仿宋" w:hAnsi="仿宋" w:eastAsia="仿宋" w:cs="仿宋"/>
          <w:sz w:val="24"/>
          <w:szCs w:val="24"/>
          <w:highlight w:val="none"/>
        </w:rPr>
        <w:t>十八、合同的生效</w:t>
      </w:r>
      <w:bookmarkEnd w:id="154"/>
      <w:bookmarkEnd w:id="155"/>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本合同经甲乙双方法定代表人或授权代理人签字加盖单位公章，乙方按时、足额提交履约保证金后生效。</w:t>
      </w:r>
    </w:p>
    <w:p>
      <w:pPr>
        <w:pStyle w:val="35"/>
        <w:spacing w:line="360" w:lineRule="auto"/>
        <w:ind w:firstLine="480" w:firstLineChars="200"/>
        <w:outlineLvl w:val="9"/>
        <w:rPr>
          <w:rFonts w:hint="eastAsia" w:ascii="仿宋" w:hAnsi="仿宋" w:eastAsia="仿宋" w:cs="仿宋"/>
          <w:sz w:val="24"/>
          <w:szCs w:val="24"/>
          <w:highlight w:val="none"/>
        </w:rPr>
      </w:pPr>
      <w:bookmarkStart w:id="156" w:name="_Toc86202612"/>
      <w:bookmarkStart w:id="157" w:name="_Toc175644060"/>
      <w:r>
        <w:rPr>
          <w:rFonts w:hint="eastAsia" w:ascii="仿宋" w:hAnsi="仿宋" w:eastAsia="仿宋" w:cs="仿宋"/>
          <w:sz w:val="24"/>
          <w:szCs w:val="24"/>
          <w:highlight w:val="none"/>
        </w:rPr>
        <w:t>十九、其他约定事项</w:t>
      </w:r>
      <w:bookmarkEnd w:id="156"/>
      <w:bookmarkEnd w:id="15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1、本合同中的附件均为本合同不可分割的部分，与本合同具有相同的法律效力。</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3、本合同一式</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份，具有同等法律效力。</w:t>
      </w:r>
    </w:p>
    <w:p>
      <w:pPr>
        <w:pStyle w:val="52"/>
        <w:rPr>
          <w:rFonts w:hint="eastAsia" w:ascii="仿宋" w:hAnsi="仿宋" w:eastAsia="仿宋" w:cs="仿宋"/>
          <w:color w:val="auto"/>
          <w:sz w:val="28"/>
          <w:szCs w:val="28"/>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color w:val="auto"/>
          <w:highlight w:val="none"/>
        </w:rPr>
        <w:br w:type="page"/>
      </w:r>
      <w:bookmarkEnd w:id="117"/>
      <w:bookmarkEnd w:id="118"/>
      <w:bookmarkStart w:id="158" w:name="_Toc2727"/>
      <w:r>
        <w:rPr>
          <w:rFonts w:hint="eastAsia" w:ascii="仿宋" w:hAnsi="仿宋" w:eastAsia="仿宋" w:cs="仿宋"/>
          <w:b/>
          <w:color w:val="auto"/>
          <w:sz w:val="36"/>
          <w:highlight w:val="none"/>
        </w:rPr>
        <w:t xml:space="preserve">第六部分   </w:t>
      </w:r>
      <w:r>
        <w:rPr>
          <w:rFonts w:hint="eastAsia" w:ascii="仿宋" w:hAnsi="仿宋" w:eastAsia="仿宋" w:cs="仿宋"/>
          <w:b/>
          <w:color w:val="auto"/>
          <w:sz w:val="36"/>
          <w:highlight w:val="none"/>
          <w:lang w:val="en-US" w:eastAsia="zh-CN"/>
        </w:rPr>
        <w:t>投标</w:t>
      </w:r>
      <w:r>
        <w:rPr>
          <w:rFonts w:hint="eastAsia" w:ascii="仿宋" w:hAnsi="仿宋" w:eastAsia="仿宋" w:cs="仿宋"/>
          <w:b/>
          <w:color w:val="auto"/>
          <w:sz w:val="36"/>
          <w:highlight w:val="none"/>
        </w:rPr>
        <w:t>文件格式</w:t>
      </w:r>
      <w:bookmarkEnd w:id="158"/>
    </w:p>
    <w:p>
      <w:pPr>
        <w:pStyle w:val="3"/>
        <w:numPr>
          <w:ilvl w:val="0"/>
          <w:numId w:val="0"/>
        </w:numPr>
        <w:spacing w:before="0" w:line="360" w:lineRule="auto"/>
        <w:ind w:leftChars="-257" w:firstLine="723" w:firstLineChars="300"/>
        <w:jc w:val="center"/>
        <w:outlineLvl w:val="0"/>
        <w:rPr>
          <w:rFonts w:ascii="宋体" w:hAnsi="宋体" w:eastAsia="宋体"/>
          <w:color w:val="auto"/>
          <w:sz w:val="24"/>
          <w:highlight w:val="none"/>
        </w:rPr>
      </w:pPr>
      <w:bookmarkStart w:id="159" w:name="_Toc26661"/>
      <w:bookmarkStart w:id="160" w:name="_Toc518923107"/>
      <w:bookmarkStart w:id="161" w:name="_Toc10088"/>
      <w:bookmarkStart w:id="162" w:name="_Toc98265618"/>
      <w:r>
        <w:rPr>
          <w:rFonts w:hint="eastAsia" w:ascii="宋体" w:hAnsi="宋体" w:eastAsia="宋体"/>
          <w:color w:val="auto"/>
          <w:sz w:val="24"/>
          <w:highlight w:val="none"/>
          <w:lang w:val="en-US" w:eastAsia="zh-CN"/>
        </w:rPr>
        <w:t>一、</w:t>
      </w:r>
      <w:r>
        <w:rPr>
          <w:rFonts w:hint="eastAsia" w:ascii="宋体" w:hAnsi="宋体" w:eastAsia="宋体"/>
          <w:color w:val="auto"/>
          <w:sz w:val="24"/>
          <w:highlight w:val="none"/>
        </w:rPr>
        <w:t xml:space="preserve"> 资格证明文件</w:t>
      </w:r>
      <w:bookmarkEnd w:id="159"/>
      <w:bookmarkEnd w:id="160"/>
      <w:bookmarkEnd w:id="161"/>
      <w:bookmarkEnd w:id="162"/>
    </w:p>
    <w:p>
      <w:pPr>
        <w:spacing w:line="360" w:lineRule="auto"/>
        <w:ind w:left="708" w:hanging="708" w:hangingChars="295"/>
        <w:jc w:val="center"/>
        <w:outlineLvl w:val="9"/>
        <w:rPr>
          <w:rFonts w:ascii="宋体" w:hAnsi="宋体"/>
          <w:color w:val="auto"/>
          <w:sz w:val="24"/>
          <w:highlight w:val="none"/>
        </w:rPr>
      </w:pP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.具有良好的商业信誉和健全的财务会计制度的证明文件</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tabs>
          <w:tab w:val="left" w:pos="5580"/>
        </w:tabs>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有依法缴纳税收和社会保障资金的良好记录</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.参加政府采购活动前3年内在经营活动中没有重大违法记录的书面声明</w:t>
      </w:r>
    </w:p>
    <w:p>
      <w:pPr>
        <w:tabs>
          <w:tab w:val="left" w:pos="5580"/>
        </w:tabs>
        <w:spacing w:line="360" w:lineRule="auto"/>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具备法律、行政法规规定的其他条件的证明材料</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7.本项目特定资格条件</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8.投标保证金</w:t>
      </w:r>
    </w:p>
    <w:p>
      <w:pPr>
        <w:pStyle w:val="17"/>
        <w:rPr>
          <w:rFonts w:hint="eastAsia"/>
          <w:color w:val="auto"/>
          <w:sz w:val="24"/>
          <w:szCs w:val="24"/>
          <w:highlight w:val="none"/>
        </w:rPr>
      </w:pPr>
    </w:p>
    <w:p>
      <w:pPr>
        <w:pStyle w:val="5"/>
        <w:rPr>
          <w:rFonts w:hint="eastAsia" w:ascii="宋体" w:hAnsi="宋体"/>
          <w:color w:val="auto"/>
          <w:szCs w:val="21"/>
          <w:highlight w:val="none"/>
        </w:rPr>
      </w:pPr>
    </w:p>
    <w:p>
      <w:pPr>
        <w:rPr>
          <w:color w:val="auto"/>
          <w:highlight w:val="none"/>
        </w:rPr>
      </w:pPr>
    </w:p>
    <w:p>
      <w:pPr>
        <w:tabs>
          <w:tab w:val="left" w:pos="5580"/>
        </w:tabs>
        <w:spacing w:line="360" w:lineRule="auto"/>
        <w:outlineLvl w:val="1"/>
        <w:rPr>
          <w:rFonts w:hint="eastAsia" w:ascii="宋体" w:hAnsi="宋体" w:eastAsia="宋体" w:cs="Times New Roman"/>
          <w:b/>
          <w:bCs/>
          <w:color w:val="auto"/>
          <w:kern w:val="0"/>
          <w:sz w:val="24"/>
          <w:szCs w:val="32"/>
          <w:highlight w:val="none"/>
          <w:lang w:val="en-US" w:eastAsia="zh-CN" w:bidi="ar-SA"/>
        </w:rPr>
      </w:pPr>
      <w:r>
        <w:rPr>
          <w:rFonts w:hint="eastAsia" w:ascii="仿宋" w:hAnsi="仿宋" w:eastAsia="仿宋" w:cs="仿宋"/>
          <w:color w:val="auto"/>
          <w:highlight w:val="none"/>
        </w:rPr>
        <w:br w:type="page"/>
      </w:r>
      <w:bookmarkStart w:id="163" w:name="_Toc29047"/>
      <w:r>
        <w:rPr>
          <w:rFonts w:hint="eastAsia" w:ascii="宋体" w:hAnsi="宋体" w:eastAsia="宋体" w:cs="Times New Roman"/>
          <w:b/>
          <w:bCs/>
          <w:color w:val="auto"/>
          <w:kern w:val="0"/>
          <w:sz w:val="24"/>
          <w:szCs w:val="32"/>
          <w:highlight w:val="none"/>
          <w:lang w:val="en-US" w:eastAsia="zh-CN" w:bidi="ar-SA"/>
        </w:rPr>
        <w:t>1.具有独立承担民事责任的能力</w:t>
      </w:r>
      <w:bookmarkEnd w:id="163"/>
    </w:p>
    <w:p>
      <w:pPr>
        <w:pStyle w:val="27"/>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宋体" w:hAnsi="宋体" w:eastAsia="宋体" w:cs="Times New Roman"/>
          <w:b/>
          <w:bCs/>
          <w:color w:val="auto"/>
          <w:kern w:val="0"/>
          <w:sz w:val="24"/>
          <w:szCs w:val="32"/>
          <w:highlight w:val="none"/>
          <w:lang w:val="en-US" w:eastAsia="zh-CN" w:bidi="ar-SA"/>
        </w:rPr>
      </w:pPr>
    </w:p>
    <w:p>
      <w:pPr>
        <w:pStyle w:val="58"/>
        <w:jc w:val="both"/>
        <w:outlineLvl w:val="9"/>
        <w:rPr>
          <w:rFonts w:hint="default" w:ascii="宋体" w:hAnsi="宋体" w:eastAsia="宋体" w:cs="Times New Roman"/>
          <w:b/>
          <w:bCs/>
          <w:color w:val="auto"/>
          <w:kern w:val="0"/>
          <w:sz w:val="24"/>
          <w:szCs w:val="32"/>
          <w:highlight w:val="none"/>
          <w:lang w:val="en-US" w:eastAsia="zh-CN" w:bidi="ar-SA"/>
        </w:rPr>
      </w:pPr>
      <w:r>
        <w:rPr>
          <w:rFonts w:hint="eastAsia" w:ascii="宋体" w:hAnsi="宋体" w:eastAsia="宋体" w:cs="Times New Roman"/>
          <w:b/>
          <w:bCs/>
          <w:color w:val="auto"/>
          <w:kern w:val="0"/>
          <w:sz w:val="24"/>
          <w:szCs w:val="32"/>
          <w:highlight w:val="none"/>
          <w:lang w:val="en-US" w:eastAsia="zh-CN" w:bidi="ar-SA"/>
        </w:rPr>
        <w:t>(2)法定代表人身份证明及法定代表人授权书</w:t>
      </w: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法定代表人资格证明文件</w:t>
      </w:r>
    </w:p>
    <w:p>
      <w:pPr>
        <w:pStyle w:val="59"/>
        <w:adjustRightInd w:val="0"/>
        <w:snapToGrid w:val="0"/>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代表我公司办理一切社会公务事宜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具有法律效力。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附法定代表人基本情况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19"/>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法定代表人《居民身份证》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9"/>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投标人名称（签章）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签名/签章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6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p>
    <w:p>
      <w:pPr>
        <w:pStyle w:val="60"/>
        <w:outlineLvl w:val="9"/>
        <w:rPr>
          <w:rFonts w:hint="eastAsia" w:ascii="仿宋" w:hAnsi="仿宋" w:eastAsia="仿宋" w:cs="仿宋"/>
          <w:color w:val="auto"/>
          <w:highlight w:val="none"/>
          <w:lang w:eastAsia="zh-CN"/>
        </w:rPr>
      </w:pPr>
    </w:p>
    <w:p>
      <w:pPr>
        <w:pStyle w:val="60"/>
        <w:outlineLvl w:val="9"/>
        <w:rPr>
          <w:rFonts w:hint="eastAsia" w:ascii="仿宋" w:hAnsi="仿宋" w:eastAsia="仿宋" w:cs="仿宋"/>
          <w:color w:val="auto"/>
          <w:highlight w:val="none"/>
          <w:lang w:eastAsia="zh-CN"/>
        </w:rPr>
      </w:pPr>
    </w:p>
    <w:p>
      <w:pPr>
        <w:pStyle w:val="59"/>
        <w:outlineLvl w:val="9"/>
        <w:rPr>
          <w:rFonts w:hint="eastAsia" w:ascii="仿宋" w:hAnsi="仿宋" w:eastAsia="仿宋" w:cs="仿宋"/>
          <w:color w:val="auto"/>
          <w:highlight w:val="none"/>
        </w:rPr>
      </w:pPr>
    </w:p>
    <w:p>
      <w:pPr>
        <w:pStyle w:val="59"/>
        <w:outlineLvl w:val="9"/>
        <w:rPr>
          <w:rFonts w:hint="eastAsia" w:ascii="仿宋" w:hAnsi="仿宋" w:eastAsia="仿宋" w:cs="仿宋"/>
          <w:color w:val="auto"/>
          <w:highlight w:val="none"/>
        </w:rPr>
      </w:pP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w:t>
      </w:r>
    </w:p>
    <w:p>
      <w:pPr>
        <w:pStyle w:val="59"/>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9"/>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同志为我公司参加贵单位组织的编号为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 目 名 称）</w:t>
      </w:r>
      <w:r>
        <w:rPr>
          <w:rFonts w:hint="eastAsia" w:ascii="仿宋" w:hAnsi="仿宋" w:eastAsia="仿宋" w:cs="仿宋"/>
          <w:color w:val="auto"/>
          <w:sz w:val="24"/>
          <w:szCs w:val="24"/>
          <w:highlight w:val="none"/>
        </w:rPr>
        <w:t>采购活动的投标代表人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全权代表我公司处理在该项目采购活动中的一切事宜。代理期限从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日止。 </w:t>
      </w: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代理人工作单位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left="-88" w:leftChars="-42" w:firstLine="600" w:firstLineChars="250"/>
        <w:outlineLvl w:val="9"/>
        <w:rPr>
          <w:rFonts w:hint="eastAsia" w:ascii="仿宋" w:hAnsi="仿宋" w:eastAsia="仿宋" w:cs="仿宋"/>
          <w:color w:val="auto"/>
          <w:sz w:val="24"/>
          <w:szCs w:val="24"/>
          <w:highlight w:val="none"/>
          <w:u w:val="single"/>
        </w:rPr>
      </w:pPr>
    </w:p>
    <w:tbl>
      <w:tblPr>
        <w:tblStyle w:val="19"/>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粘贴被授权人身份证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42"/>
        <w:spacing w:line="288" w:lineRule="auto"/>
        <w:jc w:val="left"/>
        <w:outlineLvl w:val="1"/>
        <w:rPr>
          <w:rFonts w:hint="eastAsia" w:ascii="宋体" w:hAnsi="宋体" w:eastAsia="宋体" w:cs="宋体"/>
          <w:b/>
          <w:bCs/>
          <w:color w:val="auto"/>
          <w:sz w:val="24"/>
          <w:szCs w:val="24"/>
          <w:highlight w:val="none"/>
          <w:lang w:val="en-US" w:eastAsia="zh-CN"/>
        </w:rPr>
      </w:pPr>
      <w:bookmarkStart w:id="164" w:name="_Toc8580"/>
      <w:r>
        <w:rPr>
          <w:rFonts w:hint="eastAsia" w:ascii="宋体" w:hAnsi="宋体" w:eastAsia="宋体" w:cs="宋体"/>
          <w:b/>
          <w:bCs/>
          <w:color w:val="auto"/>
          <w:sz w:val="24"/>
          <w:szCs w:val="24"/>
          <w:highlight w:val="none"/>
          <w:lang w:val="en-US" w:eastAsia="zh-CN"/>
        </w:rPr>
        <w:t>2.具有良好的商业信誉和健全的财务会计制度</w:t>
      </w:r>
      <w:bookmarkEnd w:id="164"/>
    </w:p>
    <w:p>
      <w:pPr>
        <w:pStyle w:val="27"/>
        <w:widowControl/>
        <w:spacing w:line="288"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42"/>
        <w:spacing w:line="288" w:lineRule="auto"/>
        <w:jc w:val="both"/>
        <w:outlineLvl w:val="1"/>
        <w:rPr>
          <w:rFonts w:hint="eastAsia" w:ascii="宋体" w:hAnsi="宋体" w:eastAsia="宋体" w:cs="宋体"/>
          <w:b/>
          <w:bCs/>
          <w:color w:val="auto"/>
          <w:sz w:val="24"/>
          <w:szCs w:val="24"/>
          <w:highlight w:val="none"/>
          <w:lang w:val="en-US" w:eastAsia="zh-CN"/>
        </w:rPr>
      </w:pPr>
      <w:bookmarkStart w:id="165" w:name="_Toc22817"/>
      <w:r>
        <w:rPr>
          <w:rFonts w:hint="eastAsia" w:ascii="宋体" w:hAnsi="宋体" w:eastAsia="宋体" w:cs="宋体"/>
          <w:b/>
          <w:bCs/>
          <w:color w:val="auto"/>
          <w:sz w:val="24"/>
          <w:szCs w:val="24"/>
          <w:highlight w:val="none"/>
          <w:lang w:val="en-US" w:eastAsia="zh-CN"/>
        </w:rPr>
        <w:t>3.具有履行合同所必需的设备和专业技术能力</w:t>
      </w:r>
      <w:bookmarkEnd w:id="165"/>
    </w:p>
    <w:p>
      <w:pPr>
        <w:pStyle w:val="58"/>
        <w:ind w:firstLine="240" w:firstLineChars="100"/>
        <w:jc w:val="both"/>
        <w:outlineLvl w:val="9"/>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投标人须提供相关资料或书面声明（格式可自拟）。</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spacing w:line="360" w:lineRule="auto"/>
        <w:jc w:val="both"/>
        <w:rPr>
          <w:rFonts w:hint="eastAsia" w:ascii="宋体" w:hAnsi="宋体" w:eastAsia="宋体" w:cs="宋体"/>
          <w:b/>
          <w:bCs/>
          <w:color w:val="auto"/>
          <w:sz w:val="24"/>
          <w:szCs w:val="24"/>
          <w:highlight w:val="none"/>
          <w:lang w:val="en-US" w:eastAsia="zh-CN"/>
        </w:rPr>
      </w:pPr>
    </w:p>
    <w:p>
      <w:pPr>
        <w:spacing w:line="360" w:lineRule="auto"/>
        <w:jc w:val="both"/>
        <w:outlineLvl w:val="1"/>
        <w:rPr>
          <w:rFonts w:hint="eastAsia" w:ascii="宋体" w:hAnsi="宋体" w:eastAsia="宋体" w:cs="宋体"/>
          <w:b/>
          <w:bCs/>
          <w:color w:val="auto"/>
          <w:sz w:val="24"/>
          <w:szCs w:val="24"/>
          <w:highlight w:val="none"/>
          <w:lang w:val="en-US" w:eastAsia="zh-CN"/>
        </w:rPr>
      </w:pPr>
      <w:bookmarkStart w:id="166" w:name="_Toc17329"/>
      <w:r>
        <w:rPr>
          <w:rFonts w:hint="eastAsia" w:ascii="宋体" w:hAnsi="宋体" w:eastAsia="宋体" w:cs="宋体"/>
          <w:b/>
          <w:bCs/>
          <w:color w:val="auto"/>
          <w:sz w:val="24"/>
          <w:szCs w:val="24"/>
          <w:highlight w:val="none"/>
          <w:lang w:val="en-US" w:eastAsia="zh-CN"/>
        </w:rPr>
        <w:t>4.</w:t>
      </w:r>
      <w:bookmarkEnd w:id="166"/>
      <w:r>
        <w:rPr>
          <w:rFonts w:hint="eastAsia" w:ascii="宋体" w:hAnsi="宋体" w:cs="宋体"/>
          <w:b/>
          <w:bCs/>
          <w:color w:val="auto"/>
          <w:sz w:val="24"/>
          <w:szCs w:val="24"/>
          <w:highlight w:val="none"/>
          <w:lang w:val="en-US" w:eastAsia="zh-CN"/>
        </w:rPr>
        <w:t>有依法缴纳税收和社会保障资金的良好记录</w:t>
      </w:r>
    </w:p>
    <w:p>
      <w:pPr>
        <w:pStyle w:val="35"/>
        <w:spacing w:line="360" w:lineRule="exact"/>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4.2.投标人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p>
      <w:pPr>
        <w:pStyle w:val="42"/>
        <w:numPr>
          <w:ilvl w:val="0"/>
          <w:numId w:val="0"/>
        </w:numPr>
        <w:spacing w:line="288" w:lineRule="auto"/>
        <w:jc w:val="left"/>
        <w:outlineLvl w:val="1"/>
        <w:rPr>
          <w:rFonts w:hint="eastAsia" w:ascii="仿宋" w:hAnsi="仿宋" w:eastAsia="仿宋" w:cs="仿宋"/>
          <w:b w:val="0"/>
          <w:bCs/>
          <w:color w:val="auto"/>
          <w:sz w:val="24"/>
          <w:highlight w:val="none"/>
          <w:lang w:eastAsia="zh-CN"/>
        </w:rPr>
        <w:sectPr>
          <w:footerReference r:id="rId7" w:type="default"/>
          <w:pgSz w:w="11906" w:h="16838"/>
          <w:pgMar w:top="1440" w:right="1797" w:bottom="1440" w:left="1797" w:header="851" w:footer="992" w:gutter="0"/>
          <w:pgNumType w:fmt="decimal"/>
          <w:cols w:space="720" w:num="1"/>
          <w:titlePg/>
          <w:docGrid w:type="lines" w:linePitch="312" w:charSpace="0"/>
        </w:sectPr>
      </w:pPr>
    </w:p>
    <w:p>
      <w:pPr>
        <w:pStyle w:val="42"/>
        <w:numPr>
          <w:ilvl w:val="0"/>
          <w:numId w:val="0"/>
        </w:numPr>
        <w:spacing w:line="288" w:lineRule="auto"/>
        <w:jc w:val="left"/>
        <w:outlineLvl w:val="1"/>
        <w:rPr>
          <w:rFonts w:hint="eastAsia" w:ascii="宋体" w:hAnsi="宋体" w:eastAsia="宋体" w:cs="宋体"/>
          <w:b/>
          <w:bCs/>
          <w:color w:val="auto"/>
          <w:sz w:val="24"/>
          <w:szCs w:val="24"/>
          <w:highlight w:val="none"/>
        </w:rPr>
      </w:pPr>
      <w:bookmarkStart w:id="167" w:name="_Toc21942"/>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参加政府采购活动前三年内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在经营活动中没有重大违法记录</w:t>
      </w:r>
      <w:bookmarkEnd w:id="167"/>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（1）投标人参加政府采购活动前3年内在经营活动中没有重大违法记录的书面声明（格式可自拟）；</w:t>
      </w: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（2）投标人必须为前三年内（2019 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 </w:t>
      </w: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42"/>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42"/>
        <w:numPr>
          <w:ilvl w:val="0"/>
          <w:numId w:val="0"/>
        </w:numPr>
        <w:spacing w:line="288" w:lineRule="auto"/>
        <w:ind w:leftChars="0"/>
        <w:jc w:val="both"/>
        <w:outlineLvl w:val="1"/>
        <w:rPr>
          <w:rFonts w:hint="eastAsia" w:ascii="宋体" w:hAnsi="宋体" w:eastAsia="宋体" w:cs="宋体"/>
          <w:b/>
          <w:bCs/>
          <w:color w:val="auto"/>
          <w:sz w:val="24"/>
          <w:szCs w:val="24"/>
          <w:highlight w:val="none"/>
          <w:lang w:val="en-US" w:eastAsia="zh-CN"/>
        </w:rPr>
      </w:pPr>
      <w:bookmarkStart w:id="168" w:name="_Toc22711"/>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.具备法律、行政法规规定的其他条件的证明材料</w:t>
      </w:r>
      <w:bookmarkEnd w:id="168"/>
    </w:p>
    <w:p>
      <w:pPr>
        <w:pStyle w:val="58"/>
        <w:jc w:val="both"/>
        <w:outlineLvl w:val="9"/>
        <w:rPr>
          <w:rFonts w:hint="default" w:ascii="仿宋" w:hAnsi="仿宋" w:eastAsia="仿宋" w:cs="仿宋"/>
          <w:color w:val="auto"/>
          <w:highlight w:val="none"/>
          <w:lang w:val="en-US" w:eastAsia="zh-CN"/>
        </w:rPr>
      </w:pPr>
    </w:p>
    <w:p>
      <w:pPr>
        <w:pStyle w:val="61"/>
        <w:widowControl/>
        <w:spacing w:before="100" w:beforeAutospacing="1" w:after="100" w:afterAutospacing="1" w:line="360" w:lineRule="auto"/>
        <w:jc w:val="both"/>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6.1投标单位（投标人）反商业贿赂承诺书</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Cs w:val="21"/>
          <w:highlight w:val="none"/>
        </w:rPr>
        <w:t> </w:t>
      </w:r>
      <w:r>
        <w:rPr>
          <w:rFonts w:hint="eastAsia" w:ascii="仿宋" w:hAnsi="仿宋" w:eastAsia="仿宋" w:cs="仿宋"/>
          <w:color w:val="auto"/>
          <w:szCs w:val="21"/>
          <w:highlight w:val="none"/>
        </w:rPr>
        <w:t>   </w:t>
      </w: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）承诺书 </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我公司承诺在参加本次投标前三年内，无以下行为：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重大违法行为；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商业贿赂行为；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政府采购法《第七十七条》，列入不良行为记录名单的各种行为；</w:t>
      </w:r>
    </w:p>
    <w:p>
      <w:pPr>
        <w:pStyle w:val="61"/>
        <w:widowControl/>
        <w:spacing w:line="48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如有上述行为，我公司及项目参与人员自愿放弃本次项目的投标、报价资格，若为预中标、成交人，也自愿放弃中标、成交资格。 </w:t>
      </w:r>
    </w:p>
    <w:p>
      <w:pPr>
        <w:pStyle w:val="61"/>
        <w:widowControl/>
        <w:spacing w:line="480" w:lineRule="auto"/>
        <w:jc w:val="left"/>
        <w:outlineLvl w:val="9"/>
        <w:rPr>
          <w:rFonts w:hint="eastAsia" w:ascii="仿宋" w:hAnsi="仿宋" w:eastAsia="仿宋" w:cs="仿宋"/>
          <w:color w:val="auto"/>
          <w:sz w:val="24"/>
          <w:szCs w:val="24"/>
          <w:highlight w:val="none"/>
        </w:rPr>
      </w:pPr>
    </w:p>
    <w:p>
      <w:pPr>
        <w:pStyle w:val="61"/>
        <w:widowControl/>
        <w:spacing w:line="480" w:lineRule="auto"/>
        <w:jc w:val="left"/>
        <w:outlineLvl w:val="9"/>
        <w:rPr>
          <w:rFonts w:hint="eastAsia" w:ascii="仿宋" w:hAnsi="仿宋" w:eastAsia="仿宋" w:cs="仿宋"/>
          <w:color w:val="auto"/>
          <w:sz w:val="24"/>
          <w:szCs w:val="24"/>
          <w:highlight w:val="none"/>
        </w:rPr>
      </w:pPr>
    </w:p>
    <w:p>
      <w:pPr>
        <w:pStyle w:val="61"/>
        <w:widowControl/>
        <w:spacing w:line="480" w:lineRule="auto"/>
        <w:ind w:firstLine="6240" w:firstLineChars="26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投标人（签章）：</w:t>
      </w:r>
    </w:p>
    <w:p>
      <w:pPr>
        <w:pStyle w:val="61"/>
        <w:widowControl/>
        <w:spacing w:line="480" w:lineRule="auto"/>
        <w:ind w:firstLine="5280" w:firstLineChars="2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公司法人代表签</w:t>
      </w:r>
      <w:r>
        <w:rPr>
          <w:rFonts w:hint="eastAsia" w:ascii="仿宋" w:hAnsi="仿宋" w:eastAsia="仿宋" w:cs="仿宋"/>
          <w:color w:val="auto"/>
          <w:sz w:val="24"/>
          <w:szCs w:val="24"/>
          <w:highlight w:val="none"/>
          <w:lang w:val="en-US" w:eastAsia="zh-CN"/>
        </w:rPr>
        <w:t>名或签章</w:t>
      </w:r>
      <w:r>
        <w:rPr>
          <w:rFonts w:hint="eastAsia" w:ascii="仿宋" w:hAnsi="仿宋" w:eastAsia="仿宋" w:cs="仿宋"/>
          <w:color w:val="auto"/>
          <w:sz w:val="24"/>
          <w:szCs w:val="24"/>
          <w:highlight w:val="none"/>
        </w:rPr>
        <w:t>：</w:t>
      </w:r>
    </w:p>
    <w:p>
      <w:pPr>
        <w:pStyle w:val="61"/>
        <w:widowControl/>
        <w:spacing w:line="480" w:lineRule="auto"/>
        <w:ind w:firstLine="6480" w:firstLineChars="27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58"/>
        <w:numPr>
          <w:ilvl w:val="0"/>
          <w:numId w:val="0"/>
        </w:numPr>
        <w:jc w:val="both"/>
        <w:outlineLvl w:val="9"/>
        <w:rPr>
          <w:rFonts w:hint="default"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sectPr>
          <w:pgSz w:w="11906" w:h="16838"/>
          <w:pgMar w:top="1440" w:right="1797" w:bottom="1440" w:left="1797" w:header="851" w:footer="992" w:gutter="0"/>
          <w:pgNumType w:fmt="decimal"/>
          <w:cols w:space="720" w:num="1"/>
          <w:titlePg/>
          <w:docGrid w:type="lines" w:linePitch="312" w:charSpace="0"/>
        </w:sectPr>
      </w:pPr>
    </w:p>
    <w:p>
      <w:pPr>
        <w:pStyle w:val="62"/>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6.2不参与围标串标承诺书</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本人作为</w:t>
      </w:r>
      <w:r>
        <w:rPr>
          <w:rFonts w:hint="eastAsia" w:ascii="仿宋" w:hAnsi="仿宋" w:eastAsia="仿宋" w:cs="仿宋"/>
          <w:b w:val="0"/>
          <w:bCs/>
          <w:color w:val="auto"/>
          <w:sz w:val="24"/>
          <w:highlight w:val="none"/>
          <w:u w:val="single"/>
          <w:lang w:val="en-US" w:eastAsia="zh-CN"/>
        </w:rPr>
        <w:t xml:space="preserve">（单位名称）                    </w:t>
      </w:r>
      <w:r>
        <w:rPr>
          <w:rFonts w:hint="eastAsia" w:ascii="仿宋" w:hAnsi="仿宋" w:eastAsia="仿宋" w:cs="仿宋"/>
          <w:b w:val="0"/>
          <w:bCs/>
          <w:color w:val="auto"/>
          <w:sz w:val="24"/>
          <w:highlight w:val="none"/>
          <w:lang w:val="en-US" w:eastAsia="zh-CN"/>
        </w:rPr>
        <w:t>的法人，清楚知晓我公司本项目投标活动，对以下事项作出承诺：</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一、我单位遵循公开、公平、公正、诚实守信的原则，依法依规参与本项目竞标。</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二、我单位在本项目招标投标活动中，未参与围标串标。</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项目编号：    </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项目名称：    </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w:t>
      </w:r>
    </w:p>
    <w:p>
      <w:pPr>
        <w:pStyle w:val="63"/>
        <w:spacing w:line="640" w:lineRule="exact"/>
        <w:jc w:val="left"/>
        <w:outlineLvl w:val="9"/>
        <w:rPr>
          <w:rFonts w:hint="eastAsia" w:ascii="仿宋" w:hAnsi="仿宋" w:eastAsia="仿宋" w:cs="仿宋"/>
          <w:b w:val="0"/>
          <w:bCs/>
          <w:color w:val="auto"/>
          <w:sz w:val="24"/>
          <w:highlight w:val="none"/>
          <w:lang w:val="en-US" w:eastAsia="zh-CN"/>
        </w:rPr>
      </w:pP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投标人（签章）：</w:t>
      </w: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公司法人代表签名或签章：</w:t>
      </w: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年   月   日</w:t>
      </w: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27"/>
        <w:widowControl/>
        <w:numPr>
          <w:ilvl w:val="0"/>
          <w:numId w:val="20"/>
        </w:numPr>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本项目的特定资格要求：</w:t>
      </w:r>
      <w:r>
        <w:rPr>
          <w:rFonts w:hint="eastAsia" w:ascii="仿宋" w:hAnsi="仿宋" w:eastAsia="仿宋" w:cs="仿宋"/>
          <w:color w:val="auto"/>
          <w:sz w:val="24"/>
          <w:szCs w:val="24"/>
          <w:highlight w:val="none"/>
          <w:lang w:val="en-US" w:eastAsia="zh-CN"/>
        </w:rPr>
        <w:t>投标人应符合《医疗器械经营监督管理办法》、《医疗器械生产监督管理办法》的规定：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1"/>
        <w:rPr>
          <w:rFonts w:hint="eastAsia" w:ascii="仿宋" w:hAnsi="仿宋" w:eastAsia="仿宋" w:cs="仿宋"/>
          <w:b/>
          <w:bCs/>
          <w:color w:val="auto"/>
          <w:kern w:val="2"/>
          <w:sz w:val="24"/>
          <w:szCs w:val="24"/>
          <w:highlight w:val="none"/>
          <w:lang w:val="en-US" w:eastAsia="zh-CN" w:bidi="ug-CN"/>
        </w:rPr>
      </w:pPr>
      <w:bookmarkStart w:id="169" w:name="_Toc23031"/>
      <w:r>
        <w:rPr>
          <w:rFonts w:hint="eastAsia" w:ascii="仿宋" w:hAnsi="仿宋" w:eastAsia="仿宋" w:cs="仿宋"/>
          <w:b/>
          <w:bCs/>
          <w:color w:val="auto"/>
          <w:kern w:val="2"/>
          <w:sz w:val="24"/>
          <w:szCs w:val="24"/>
          <w:highlight w:val="none"/>
          <w:lang w:val="en-US" w:eastAsia="zh-CN" w:bidi="ug-CN"/>
        </w:rPr>
        <w:t>8、投标保证金</w:t>
      </w:r>
      <w:bookmarkEnd w:id="169"/>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8.1通过基本账户转出的投标保证金汇款凭证（备注项目名称或项目编号）</w:t>
      </w: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如提供采用银行保函缴纳的，应出具保函的银行级别（应为国有商业银行或股份制商业银行的支行及其以上的银行）及保函的有效期。</w:t>
      </w:r>
    </w:p>
    <w:p>
      <w:pPr>
        <w:pStyle w:val="58"/>
        <w:numPr>
          <w:ilvl w:val="0"/>
          <w:numId w:val="0"/>
        </w:numPr>
        <w:jc w:val="both"/>
        <w:outlineLvl w:val="0"/>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70" w:name="_Toc22216"/>
    </w:p>
    <w:p>
      <w:pPr>
        <w:pStyle w:val="58"/>
        <w:numPr>
          <w:ilvl w:val="0"/>
          <w:numId w:val="0"/>
        </w:numPr>
        <w:jc w:val="center"/>
        <w:outlineLvl w:val="0"/>
        <w:rPr>
          <w:rFonts w:hint="eastAsia" w:ascii="仿宋" w:hAnsi="仿宋" w:eastAsia="仿宋" w:cs="仿宋"/>
          <w:color w:val="auto"/>
          <w:highlight w:val="none"/>
          <w:lang w:val="en-US" w:eastAsia="zh-CN"/>
        </w:rPr>
      </w:pPr>
      <w:bookmarkStart w:id="171" w:name="_Toc22300"/>
      <w:r>
        <w:rPr>
          <w:rFonts w:hint="eastAsia" w:ascii="仿宋" w:hAnsi="仿宋" w:eastAsia="仿宋" w:cs="仿宋"/>
          <w:color w:val="auto"/>
          <w:highlight w:val="none"/>
          <w:lang w:val="en-US" w:eastAsia="zh-CN"/>
        </w:rPr>
        <w:t>二、投标报价文件</w:t>
      </w:r>
      <w:bookmarkEnd w:id="170"/>
      <w:bookmarkEnd w:id="171"/>
    </w:p>
    <w:p>
      <w:pPr>
        <w:pStyle w:val="58"/>
        <w:numPr>
          <w:ilvl w:val="0"/>
          <w:numId w:val="0"/>
        </w:numPr>
        <w:jc w:val="both"/>
        <w:outlineLvl w:val="9"/>
        <w:rPr>
          <w:rFonts w:hint="eastAsia" w:ascii="仿宋" w:hAnsi="仿宋" w:eastAsia="仿宋" w:cs="仿宋"/>
          <w:b w:val="0"/>
          <w:bCs/>
          <w:color w:val="auto"/>
          <w:kern w:val="2"/>
          <w:sz w:val="24"/>
          <w:szCs w:val="24"/>
          <w:highlight w:val="none"/>
          <w:lang w:val="en-US" w:eastAsia="zh-CN"/>
        </w:rPr>
      </w:pPr>
    </w:p>
    <w:p>
      <w:pPr>
        <w:pStyle w:val="58"/>
        <w:numPr>
          <w:ilvl w:val="0"/>
          <w:numId w:val="21"/>
        </w:numPr>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报价函</w:t>
      </w:r>
    </w:p>
    <w:p>
      <w:pPr>
        <w:pStyle w:val="58"/>
        <w:numPr>
          <w:ilvl w:val="0"/>
          <w:numId w:val="21"/>
        </w:numPr>
        <w:jc w:val="both"/>
        <w:outlineLvl w:val="9"/>
        <w:rPr>
          <w:rFonts w:hint="default" w:ascii="仿宋" w:hAnsi="仿宋" w:eastAsia="仿宋" w:cs="仿宋"/>
          <w:b w:val="0"/>
          <w:bCs/>
          <w:color w:val="auto"/>
          <w:kern w:val="2"/>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rPr>
        <w:t>开标一览表</w:t>
      </w:r>
    </w:p>
    <w:p>
      <w:pPr>
        <w:pStyle w:val="58"/>
        <w:numPr>
          <w:ilvl w:val="0"/>
          <w:numId w:val="21"/>
        </w:numPr>
        <w:jc w:val="both"/>
        <w:outlineLvl w:val="9"/>
        <w:rPr>
          <w:rFonts w:hint="default"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报价明细表</w:t>
      </w:r>
    </w:p>
    <w:p>
      <w:pPr>
        <w:pStyle w:val="58"/>
        <w:numPr>
          <w:ilvl w:val="0"/>
          <w:numId w:val="21"/>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监狱企业证明文件（如适用）</w:t>
      </w:r>
    </w:p>
    <w:p>
      <w:pPr>
        <w:pStyle w:val="58"/>
        <w:numPr>
          <w:ilvl w:val="0"/>
          <w:numId w:val="21"/>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残疾人福利性单位声明函（如适用）</w:t>
      </w:r>
    </w:p>
    <w:p>
      <w:pPr>
        <w:pStyle w:val="58"/>
        <w:numPr>
          <w:ilvl w:val="0"/>
          <w:numId w:val="21"/>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中、小微企业声明函</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8"/>
        <w:numPr>
          <w:ilvl w:val="0"/>
          <w:numId w:val="0"/>
        </w:numPr>
        <w:jc w:val="left"/>
        <w:outlineLvl w:val="1"/>
        <w:rPr>
          <w:rFonts w:hint="eastAsia" w:ascii="仿宋" w:hAnsi="仿宋" w:eastAsia="仿宋" w:cs="仿宋"/>
          <w:b/>
          <w:color w:val="auto"/>
          <w:kern w:val="2"/>
          <w:sz w:val="24"/>
          <w:szCs w:val="24"/>
          <w:highlight w:val="none"/>
          <w:lang w:val="en-US" w:eastAsia="zh-CN"/>
        </w:rPr>
      </w:pPr>
      <w:bookmarkStart w:id="172" w:name="_Toc15859"/>
      <w:r>
        <w:rPr>
          <w:rFonts w:hint="eastAsia" w:ascii="宋体" w:hAnsi="宋体" w:eastAsia="宋体" w:cs="宋体"/>
          <w:b/>
          <w:color w:val="auto"/>
          <w:kern w:val="2"/>
          <w:sz w:val="28"/>
          <w:szCs w:val="28"/>
          <w:highlight w:val="none"/>
          <w:lang w:val="en-US" w:eastAsia="zh-CN"/>
        </w:rPr>
        <w:t>1.报价函</w:t>
      </w:r>
      <w:bookmarkEnd w:id="172"/>
    </w:p>
    <w:p>
      <w:pPr>
        <w:pStyle w:val="67"/>
        <w:widowControl/>
        <w:spacing w:line="360" w:lineRule="auto"/>
        <w:ind w:left="0" w:left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新疆锦辰工程项目管理有限公司:</w:t>
      </w:r>
    </w:p>
    <w:p>
      <w:pPr>
        <w:pStyle w:val="67"/>
        <w:widowControl/>
        <w:spacing w:line="360" w:lineRule="auto"/>
        <w:ind w:left="0" w:leftChars="0" w:firstLine="480" w:firstLineChars="200"/>
        <w:jc w:val="left"/>
        <w:outlineLvl w:val="9"/>
        <w:rPr>
          <w:rFonts w:hint="eastAsia" w:ascii="仿宋" w:hAnsi="仿宋" w:eastAsia="仿宋" w:cs="仿宋"/>
          <w:b w:val="0"/>
          <w:bCs w:val="0"/>
          <w:color w:val="auto"/>
          <w:sz w:val="24"/>
          <w:highlight w:val="none"/>
          <w:lang w:val="en-US" w:eastAsia="zh-CN" w:bidi="ar-SA"/>
        </w:rPr>
      </w:pPr>
      <w:r>
        <w:rPr>
          <w:rFonts w:hint="eastAsia" w:ascii="仿宋" w:hAnsi="仿宋" w:eastAsia="仿宋" w:cs="仿宋"/>
          <w:color w:val="auto"/>
          <w:sz w:val="24"/>
          <w:highlight w:val="none"/>
        </w:rPr>
        <w:t>依据贵方_____</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招标采购的邀请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我方代表____经正式授权并代表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val="en-US" w:eastAsia="zh-CN"/>
        </w:rPr>
        <w:t>以下投标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bidi="ar-SA"/>
        </w:rPr>
        <w:t>其中包含在项目所属电子交易平台上传电子投标文件一份。</w:t>
      </w:r>
    </w:p>
    <w:p>
      <w:pPr>
        <w:pStyle w:val="67"/>
        <w:widowControl/>
        <w:spacing w:line="360" w:lineRule="auto"/>
        <w:ind w:left="0" w:leftChars="0" w:firstLine="720" w:firstLineChars="300"/>
        <w:outlineLvl w:val="9"/>
        <w:rPr>
          <w:rFonts w:hint="eastAsia" w:ascii="仿宋" w:hAnsi="仿宋" w:eastAsia="仿宋" w:cs="仿宋"/>
          <w:color w:val="auto"/>
          <w:sz w:val="24"/>
          <w:highlight w:val="none"/>
        </w:rPr>
      </w:pP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2.开标一览表;</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3.报价明细表;</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4.按</w:t>
      </w:r>
      <w:r>
        <w:rPr>
          <w:rFonts w:hint="eastAsia" w:ascii="仿宋" w:hAnsi="仿宋" w:eastAsia="仿宋" w:cs="仿宋"/>
          <w:color w:val="auto"/>
          <w:sz w:val="24"/>
          <w:highlight w:val="none"/>
          <w:lang w:eastAsia="zh-CN"/>
        </w:rPr>
        <w:t>招标文件投标人</w:t>
      </w:r>
      <w:r>
        <w:rPr>
          <w:rFonts w:hint="eastAsia" w:ascii="仿宋" w:hAnsi="仿宋" w:eastAsia="仿宋" w:cs="仿宋"/>
          <w:color w:val="auto"/>
          <w:sz w:val="24"/>
          <w:highlight w:val="none"/>
        </w:rPr>
        <w:t>须知和技术规格要求提供的有关文件;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5.资格证明文件;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我方宣布同意如下;</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1.所附《报价表》中规定的应提交和交付的/（</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）投标总价为人民币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）（注明文字和数字表示的投标总价）。</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2.将按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的约定履行合同责任和义务。</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修正或补充文件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对此无异议。</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4.本投标有效期为自开标日起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共</w:t>
      </w:r>
      <w:r>
        <w:rPr>
          <w:rFonts w:hint="eastAsia" w:ascii="仿宋" w:hAnsi="仿宋" w:eastAsia="仿宋" w:cs="仿宋"/>
          <w:b w:val="0"/>
          <w:bCs w:val="0"/>
          <w:color w:val="auto"/>
          <w:sz w:val="24"/>
          <w:highlight w:val="none"/>
          <w:u w:val="single"/>
          <w:lang w:val="en-US" w:eastAsia="zh-CN"/>
        </w:rPr>
        <w:t>90</w:t>
      </w:r>
      <w:r>
        <w:rPr>
          <w:rFonts w:hint="eastAsia" w:ascii="仿宋" w:hAnsi="仿宋" w:eastAsia="仿宋" w:cs="仿宋"/>
          <w:color w:val="auto"/>
          <w:sz w:val="24"/>
          <w:highlight w:val="none"/>
        </w:rPr>
        <w:t>个日历日。</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5.接受招标文件所列须知中关于没收投标保证金的约定。</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 同意提供按照贵方可能要求的与其投标有关的一切数据或资料。</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7.与本投标有关的一切正式往来信函请寄: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8.其他:_____</w:t>
      </w:r>
    </w:p>
    <w:p>
      <w:pPr>
        <w:pStyle w:val="67"/>
        <w:widowControl/>
        <w:spacing w:line="360" w:lineRule="auto"/>
        <w:ind w:left="0" w:leftChars="0" w:firstLine="482" w:firstLineChars="200"/>
        <w:outlineLvl w:val="9"/>
        <w:rPr>
          <w:rFonts w:hint="eastAsia" w:ascii="仿宋" w:hAnsi="仿宋" w:eastAsia="仿宋" w:cs="仿宋"/>
          <w:b/>
          <w:bCs/>
          <w:color w:val="auto"/>
          <w:sz w:val="24"/>
          <w:highlight w:val="none"/>
          <w:lang w:val="en-US" w:eastAsia="zh-CN"/>
        </w:rPr>
      </w:pPr>
    </w:p>
    <w:p>
      <w:pPr>
        <w:pStyle w:val="67"/>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投标人法定代表人或授权代表人（签章或签名）:</w:t>
      </w:r>
      <w:r>
        <w:rPr>
          <w:rFonts w:hint="eastAsia" w:ascii="仿宋" w:hAnsi="仿宋" w:eastAsia="仿宋" w:cs="仿宋"/>
          <w:b/>
          <w:bCs/>
          <w:color w:val="auto"/>
          <w:sz w:val="24"/>
          <w:highlight w:val="none"/>
          <w:u w:val="single"/>
          <w:lang w:val="en-US" w:eastAsia="zh-CN"/>
        </w:rPr>
        <w:t xml:space="preserve">            </w:t>
      </w:r>
    </w:p>
    <w:p>
      <w:pPr>
        <w:pStyle w:val="67"/>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投标人名称（签章）:</w:t>
      </w:r>
      <w:r>
        <w:rPr>
          <w:rFonts w:hint="eastAsia" w:ascii="仿宋" w:hAnsi="仿宋" w:eastAsia="仿宋" w:cs="仿宋"/>
          <w:b/>
          <w:bCs/>
          <w:color w:val="auto"/>
          <w:sz w:val="24"/>
          <w:highlight w:val="none"/>
          <w:u w:val="single"/>
          <w:lang w:val="en-US" w:eastAsia="zh-CN"/>
        </w:rPr>
        <w:t xml:space="preserve">                                     </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                   电话:</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日期:  年  月  日     </w:t>
      </w:r>
    </w:p>
    <w:p>
      <w:pPr>
        <w:bidi w:val="0"/>
        <w:outlineLvl w:val="9"/>
        <w:rPr>
          <w:rFonts w:hint="eastAsia" w:ascii="宋体" w:hAnsi="宋体" w:eastAsia="宋体" w:cs="宋体"/>
          <w:b/>
          <w:bCs w:val="0"/>
          <w:color w:val="auto"/>
          <w:sz w:val="28"/>
          <w:szCs w:val="28"/>
          <w:highlight w:val="none"/>
          <w:lang w:val="en-US" w:eastAsia="zh-CN"/>
        </w:rPr>
      </w:pPr>
    </w:p>
    <w:p>
      <w:pPr>
        <w:bidi w:val="0"/>
        <w:outlineLvl w:val="1"/>
        <w:rPr>
          <w:rFonts w:hAnsi="宋体" w:cs="宋体"/>
          <w:b/>
          <w:color w:val="auto"/>
          <w:highlight w:val="none"/>
        </w:rPr>
      </w:pPr>
      <w:bookmarkStart w:id="173" w:name="_Toc3021"/>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开标一览表</w:t>
      </w:r>
      <w:bookmarkEnd w:id="173"/>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w:t>
      </w:r>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报价单位</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人民币  元</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768"/>
        <w:gridCol w:w="42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5968" w:type="dxa"/>
            <w:gridSpan w:val="2"/>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投标总价</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元</w:t>
            </w:r>
            <w:r>
              <w:rPr>
                <w:rFonts w:hint="eastAsia" w:ascii="仿宋" w:hAnsi="仿宋" w:eastAsia="仿宋" w:cs="仿宋"/>
                <w:b/>
                <w:color w:val="auto"/>
                <w:szCs w:val="21"/>
                <w:highlight w:val="none"/>
                <w:lang w:eastAsia="zh-CN"/>
              </w:rPr>
              <w:t>）</w:t>
            </w:r>
          </w:p>
        </w:tc>
        <w:tc>
          <w:tcPr>
            <w:tcW w:w="1283"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w:t>
            </w:r>
          </w:p>
        </w:tc>
        <w:tc>
          <w:tcPr>
            <w:tcW w:w="5968" w:type="dxa"/>
            <w:gridSpan w:val="2"/>
            <w:noWrap w:val="0"/>
            <w:vAlign w:val="center"/>
          </w:tcPr>
          <w:p>
            <w:pPr>
              <w:tabs>
                <w:tab w:val="left" w:pos="5580"/>
              </w:tabs>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lang w:eastAsia="zh-CN"/>
              </w:rPr>
              <w:t>:</w:t>
            </w:r>
          </w:p>
          <w:p>
            <w:pPr>
              <w:tabs>
                <w:tab w:val="left" w:pos="5580"/>
              </w:tabs>
              <w:spacing w:line="400" w:lineRule="exact"/>
              <w:jc w:val="left"/>
              <w:rPr>
                <w:rFonts w:hint="eastAsia" w:ascii="仿宋" w:hAnsi="仿宋" w:eastAsia="仿宋" w:cs="仿宋"/>
                <w:color w:val="auto"/>
                <w:szCs w:val="21"/>
                <w:highlight w:val="none"/>
              </w:rPr>
            </w:pPr>
          </w:p>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lang w:eastAsia="zh-CN"/>
              </w:rPr>
              <w:t>:</w:t>
            </w: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2</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交货期</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3</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质保期限</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4</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质量标准</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5</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备注</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bl>
    <w:p>
      <w:pPr>
        <w:pStyle w:val="69"/>
        <w:tabs>
          <w:tab w:val="left" w:pos="5580"/>
        </w:tabs>
        <w:spacing w:line="240" w:lineRule="atLeast"/>
        <w:ind w:left="1080" w:leftChars="257" w:hanging="540"/>
        <w:rPr>
          <w:rFonts w:hint="eastAsia" w:ascii="仿宋" w:hAnsi="仿宋" w:eastAsia="仿宋" w:cs="仿宋"/>
          <w:color w:val="auto"/>
          <w:szCs w:val="21"/>
          <w:highlight w:val="none"/>
        </w:rPr>
      </w:pPr>
    </w:p>
    <w:p>
      <w:pPr>
        <w:pStyle w:val="69"/>
        <w:tabs>
          <w:tab w:val="left" w:pos="5580"/>
        </w:tabs>
        <w:spacing w:line="360" w:lineRule="auto"/>
        <w:ind w:left="1080"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投标人名称（单位</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pPr>
        <w:pStyle w:val="69"/>
        <w:tabs>
          <w:tab w:val="left" w:pos="5580"/>
        </w:tabs>
        <w:spacing w:line="360" w:lineRule="auto"/>
        <w:ind w:left="1080" w:leftChars="257" w:hanging="54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法定代表人或委托代理(签</w:t>
      </w:r>
      <w:r>
        <w:rPr>
          <w:rFonts w:hint="eastAsia" w:ascii="仿宋" w:hAnsi="仿宋" w:eastAsia="仿宋" w:cs="仿宋"/>
          <w:color w:val="auto"/>
          <w:szCs w:val="21"/>
          <w:highlight w:val="none"/>
          <w:lang w:val="en-US" w:eastAsia="zh-CN"/>
        </w:rPr>
        <w:t>名</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ab/>
      </w:r>
    </w:p>
    <w:p>
      <w:pPr>
        <w:pStyle w:val="69"/>
        <w:tabs>
          <w:tab w:val="left" w:pos="5580"/>
        </w:tabs>
        <w:spacing w:line="360" w:lineRule="auto"/>
        <w:ind w:left="1080" w:leftChars="257" w:hanging="540"/>
        <w:rPr>
          <w:rFonts w:hint="eastAsia" w:ascii="仿宋" w:hAnsi="仿宋" w:eastAsia="仿宋" w:cs="仿宋"/>
          <w:color w:val="auto"/>
          <w:szCs w:val="21"/>
          <w:highlight w:val="none"/>
        </w:rPr>
      </w:pPr>
    </w:p>
    <w:p>
      <w:pPr>
        <w:pStyle w:val="68"/>
        <w:rPr>
          <w:rFonts w:hint="eastAsia" w:ascii="仿宋" w:hAnsi="仿宋" w:eastAsia="仿宋" w:cs="仿宋"/>
          <w:color w:val="auto"/>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此表中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投标总价应和投标分项报价表的总价相一致。</w:t>
      </w:r>
    </w:p>
    <w:p>
      <w:pPr>
        <w:pStyle w:val="68"/>
        <w:rPr>
          <w:rFonts w:hint="eastAsia" w:ascii="仿宋" w:hAnsi="仿宋" w:eastAsia="仿宋" w:cs="仿宋"/>
          <w:color w:val="auto"/>
          <w:sz w:val="24"/>
          <w:highlight w:val="none"/>
        </w:rPr>
      </w:pPr>
    </w:p>
    <w:p>
      <w:pPr>
        <w:pStyle w:val="68"/>
        <w:rPr>
          <w:rFonts w:hint="eastAsia" w:ascii="仿宋" w:hAnsi="仿宋" w:eastAsia="仿宋" w:cs="仿宋"/>
          <w:color w:val="auto"/>
          <w:sz w:val="24"/>
          <w:highlight w:val="none"/>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8"/>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8"/>
        <w:numPr>
          <w:ilvl w:val="0"/>
          <w:numId w:val="0"/>
        </w:numPr>
        <w:ind w:leftChars="0"/>
        <w:jc w:val="both"/>
        <w:outlineLvl w:val="1"/>
        <w:rPr>
          <w:rFonts w:hint="eastAsia" w:ascii="仿宋" w:hAnsi="仿宋" w:eastAsia="仿宋" w:cs="仿宋"/>
          <w:b/>
          <w:bCs w:val="0"/>
          <w:color w:val="auto"/>
          <w:kern w:val="2"/>
          <w:sz w:val="28"/>
          <w:szCs w:val="28"/>
          <w:highlight w:val="none"/>
          <w:lang w:val="en-US" w:eastAsia="zh-CN"/>
        </w:rPr>
      </w:pPr>
      <w:bookmarkStart w:id="174" w:name="_Toc912"/>
      <w:r>
        <w:rPr>
          <w:rFonts w:hint="eastAsia" w:ascii="仿宋" w:hAnsi="仿宋" w:eastAsia="仿宋" w:cs="仿宋"/>
          <w:b/>
          <w:bCs w:val="0"/>
          <w:color w:val="auto"/>
          <w:kern w:val="2"/>
          <w:sz w:val="28"/>
          <w:szCs w:val="28"/>
          <w:highlight w:val="none"/>
          <w:lang w:val="en-US" w:eastAsia="zh-CN"/>
        </w:rPr>
        <w:t>3.报价明细表</w:t>
      </w:r>
      <w:bookmarkEnd w:id="174"/>
    </w:p>
    <w:p>
      <w:pPr>
        <w:pStyle w:val="7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价格单位：元</w:t>
      </w:r>
    </w:p>
    <w:tbl>
      <w:tblPr>
        <w:tblStyle w:val="19"/>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92"/>
        <w:gridCol w:w="818"/>
        <w:gridCol w:w="851"/>
        <w:gridCol w:w="901"/>
        <w:gridCol w:w="769"/>
        <w:gridCol w:w="679"/>
        <w:gridCol w:w="1006"/>
        <w:gridCol w:w="1090"/>
        <w:gridCol w:w="149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90" w:type="dxa"/>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p>
        </w:tc>
        <w:tc>
          <w:tcPr>
            <w:tcW w:w="1592" w:type="dxa"/>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18" w:type="dxa"/>
            <w:noWrap w:val="0"/>
            <w:vAlign w:val="center"/>
          </w:tcPr>
          <w:p>
            <w:pPr>
              <w:pStyle w:val="72"/>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51" w:type="dxa"/>
            <w:noWrap w:val="0"/>
            <w:vAlign w:val="center"/>
          </w:tcPr>
          <w:p>
            <w:pPr>
              <w:pStyle w:val="72"/>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01" w:type="dxa"/>
            <w:noWrap w:val="0"/>
            <w:vAlign w:val="center"/>
          </w:tcPr>
          <w:p>
            <w:pPr>
              <w:pStyle w:val="72"/>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769" w:type="dxa"/>
            <w:noWrap w:val="0"/>
            <w:vAlign w:val="center"/>
          </w:tcPr>
          <w:p>
            <w:pPr>
              <w:pStyle w:val="72"/>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4265" w:type="dxa"/>
            <w:gridSpan w:val="4"/>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749" w:type="dxa"/>
            <w:noWrap w:val="0"/>
            <w:vAlign w:val="center"/>
          </w:tcPr>
          <w:p>
            <w:pPr>
              <w:pStyle w:val="72"/>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90" w:type="dxa"/>
            <w:vMerge w:val="restart"/>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w:t>
            </w:r>
          </w:p>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号</w:t>
            </w:r>
          </w:p>
        </w:tc>
        <w:tc>
          <w:tcPr>
            <w:tcW w:w="1592" w:type="dxa"/>
            <w:vMerge w:val="restart"/>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818" w:type="dxa"/>
            <w:vMerge w:val="restart"/>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品牌</w:t>
            </w:r>
          </w:p>
        </w:tc>
        <w:tc>
          <w:tcPr>
            <w:tcW w:w="851" w:type="dxa"/>
            <w:vMerge w:val="restart"/>
            <w:noWrap w:val="0"/>
            <w:vAlign w:val="center"/>
          </w:tcPr>
          <w:p>
            <w:pPr>
              <w:pStyle w:val="72"/>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产地</w:t>
            </w:r>
          </w:p>
        </w:tc>
        <w:tc>
          <w:tcPr>
            <w:tcW w:w="901" w:type="dxa"/>
            <w:vMerge w:val="restart"/>
            <w:noWrap w:val="0"/>
            <w:vAlign w:val="center"/>
          </w:tcPr>
          <w:p>
            <w:pPr>
              <w:pStyle w:val="72"/>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规格</w:t>
            </w:r>
          </w:p>
        </w:tc>
        <w:tc>
          <w:tcPr>
            <w:tcW w:w="769" w:type="dxa"/>
            <w:vMerge w:val="restart"/>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型号</w:t>
            </w:r>
          </w:p>
        </w:tc>
        <w:tc>
          <w:tcPr>
            <w:tcW w:w="4265" w:type="dxa"/>
            <w:gridSpan w:val="4"/>
            <w:noWrap w:val="0"/>
            <w:vAlign w:val="center"/>
          </w:tcPr>
          <w:p>
            <w:pPr>
              <w:pStyle w:val="72"/>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价格</w:t>
            </w:r>
          </w:p>
        </w:tc>
        <w:tc>
          <w:tcPr>
            <w:tcW w:w="749" w:type="dxa"/>
            <w:vMerge w:val="restart"/>
            <w:noWrap w:val="0"/>
            <w:vAlign w:val="center"/>
          </w:tcPr>
          <w:p>
            <w:pPr>
              <w:pStyle w:val="72"/>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90"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1592"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18"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51"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901"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769"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67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单</w:t>
            </w:r>
            <w:r>
              <w:rPr>
                <w:rFonts w:hint="eastAsia" w:ascii="仿宋" w:hAnsi="仿宋" w:eastAsia="仿宋" w:cs="仿宋"/>
                <w:color w:val="000000"/>
                <w:sz w:val="24"/>
                <w:szCs w:val="24"/>
                <w:highlight w:val="none"/>
                <w:lang w:val="en-US" w:eastAsia="zh-CN"/>
              </w:rPr>
              <w:t>位</w:t>
            </w:r>
          </w:p>
        </w:tc>
        <w:tc>
          <w:tcPr>
            <w:tcW w:w="1006" w:type="dxa"/>
            <w:noWrap w:val="0"/>
            <w:vAlign w:val="center"/>
          </w:tcPr>
          <w:p>
            <w:pPr>
              <w:pStyle w:val="72"/>
              <w:widowControl/>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单价（元）</w:t>
            </w:r>
          </w:p>
        </w:tc>
        <w:tc>
          <w:tcPr>
            <w:tcW w:w="1090" w:type="dxa"/>
            <w:noWrap w:val="0"/>
            <w:vAlign w:val="center"/>
          </w:tcPr>
          <w:p>
            <w:pPr>
              <w:pStyle w:val="72"/>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数量</w:t>
            </w:r>
          </w:p>
        </w:tc>
        <w:tc>
          <w:tcPr>
            <w:tcW w:w="1490" w:type="dxa"/>
            <w:noWrap w:val="0"/>
            <w:vAlign w:val="center"/>
          </w:tcPr>
          <w:p>
            <w:pPr>
              <w:pStyle w:val="72"/>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合计金额（元）</w:t>
            </w:r>
          </w:p>
        </w:tc>
        <w:tc>
          <w:tcPr>
            <w:tcW w:w="749" w:type="dxa"/>
            <w:vMerge w:val="continue"/>
            <w:noWrap w:val="0"/>
            <w:vAlign w:val="center"/>
          </w:tcPr>
          <w:p>
            <w:pPr>
              <w:pStyle w:val="72"/>
              <w:widowControl/>
              <w:spacing w:line="360" w:lineRule="auto"/>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18"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货物费用小计</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安装调试费用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维护与技术支持费用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备品备件费用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运输与保险费用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共</w:t>
            </w:r>
            <w:r>
              <w:rPr>
                <w:rFonts w:hint="eastAsia" w:ascii="仿宋" w:hAnsi="仿宋" w:eastAsia="仿宋" w:cs="仿宋"/>
                <w:color w:val="000000"/>
                <w:sz w:val="21"/>
                <w:szCs w:val="21"/>
                <w:highlight w:val="none"/>
              </w:rPr>
              <w:t>计</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bl>
    <w:p>
      <w:pPr>
        <w:pStyle w:val="72"/>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bCs/>
          <w:color w:val="auto"/>
          <w:sz w:val="24"/>
          <w:szCs w:val="24"/>
          <w:highlight w:val="none"/>
        </w:rPr>
        <w:t>投标人必须填写报价明细表，否则将导致投标被拒绝</w:t>
      </w:r>
      <w:bookmarkStart w:id="175" w:name="_Toc8996"/>
    </w:p>
    <w:p>
      <w:pPr>
        <w:pStyle w:val="72"/>
        <w:spacing w:line="360" w:lineRule="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1．所有价格均用人民币表示，单位为元。</w:t>
      </w:r>
      <w:bookmarkEnd w:id="175"/>
    </w:p>
    <w:p>
      <w:pPr>
        <w:pStyle w:val="68"/>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bookmarkStart w:id="176" w:name="_Toc22192"/>
      <w:bookmarkStart w:id="177" w:name="_Toc22666"/>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分项报价总计价格必须与《开标一览表》报价一致。</w:t>
      </w:r>
      <w:bookmarkEnd w:id="176"/>
      <w:bookmarkEnd w:id="177"/>
      <w:bookmarkStart w:id="178" w:name="_Toc28058"/>
    </w:p>
    <w:p>
      <w:pPr>
        <w:pStyle w:val="68"/>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bookmarkStart w:id="179" w:name="_Toc22415"/>
      <w:r>
        <w:rPr>
          <w:rFonts w:hint="eastAsia" w:ascii="仿宋" w:hAnsi="仿宋" w:eastAsia="仿宋" w:cs="仿宋"/>
          <w:color w:val="auto"/>
          <w:sz w:val="22"/>
          <w:szCs w:val="22"/>
          <w:highlight w:val="none"/>
        </w:rPr>
        <w:t>如果不提供详细的投标分项报价表将被视为没有实质性响应</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文件。</w:t>
      </w:r>
      <w:bookmarkEnd w:id="178"/>
      <w:bookmarkEnd w:id="179"/>
    </w:p>
    <w:p>
      <w:pPr>
        <w:pStyle w:val="68"/>
        <w:adjustRightInd w:val="0"/>
        <w:snapToGrid w:val="0"/>
        <w:spacing w:line="500" w:lineRule="exact"/>
        <w:outlineLvl w:val="9"/>
        <w:rPr>
          <w:rFonts w:hint="eastAsia" w:ascii="仿宋" w:hAnsi="仿宋" w:eastAsia="仿宋" w:cs="仿宋"/>
          <w:color w:val="auto"/>
          <w:sz w:val="22"/>
          <w:szCs w:val="22"/>
          <w:highlight w:val="none"/>
        </w:rPr>
      </w:pPr>
      <w:bookmarkStart w:id="180" w:name="_Toc16527"/>
      <w:bookmarkStart w:id="181" w:name="_Toc13998"/>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必须按此表格式中的对应栏目内容填写，若需增加栏目，请在栏目“其它”中填写，并作详细说明。</w:t>
      </w:r>
      <w:bookmarkEnd w:id="180"/>
      <w:bookmarkEnd w:id="181"/>
    </w:p>
    <w:p>
      <w:pPr>
        <w:pStyle w:val="71"/>
        <w:rPr>
          <w:rFonts w:hint="eastAsia" w:ascii="仿宋" w:hAnsi="仿宋" w:eastAsia="仿宋" w:cs="仿宋"/>
          <w:color w:val="auto"/>
          <w:sz w:val="24"/>
          <w:highlight w:val="none"/>
        </w:rPr>
      </w:pPr>
    </w:p>
    <w:p>
      <w:pPr>
        <w:pStyle w:val="71"/>
        <w:ind w:firstLine="5542" w:firstLineChars="2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w:t>
      </w:r>
      <w:r>
        <w:rPr>
          <w:rFonts w:hint="eastAsia" w:ascii="仿宋" w:hAnsi="仿宋" w:eastAsia="仿宋" w:cs="仿宋"/>
          <w:b/>
          <w:bCs/>
          <w:color w:val="auto"/>
          <w:sz w:val="24"/>
          <w:highlight w:val="none"/>
          <w:lang w:val="en-US" w:eastAsia="zh-CN"/>
        </w:rPr>
        <w:t>签</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p>
    <w:p>
      <w:pPr>
        <w:pStyle w:val="71"/>
        <w:ind w:firstLine="6000" w:firstLineChars="2500"/>
        <w:rPr>
          <w:rFonts w:hint="eastAsia" w:ascii="仿宋" w:hAnsi="仿宋" w:eastAsia="仿宋" w:cs="仿宋"/>
          <w:color w:val="auto"/>
          <w:highlight w:val="none"/>
        </w:rPr>
      </w:pPr>
      <w:r>
        <w:rPr>
          <w:rFonts w:hint="eastAsia" w:ascii="仿宋" w:hAnsi="仿宋" w:eastAsia="仿宋" w:cs="仿宋"/>
          <w:color w:val="auto"/>
          <w:sz w:val="24"/>
          <w:highlight w:val="none"/>
        </w:rPr>
        <w:t>年   月   日</w:t>
      </w:r>
    </w:p>
    <w:p>
      <w:pPr>
        <w:pStyle w:val="6"/>
        <w:outlineLvl w:val="9"/>
        <w:rPr>
          <w:rFonts w:hint="eastAsia"/>
          <w:color w:val="auto"/>
          <w:highlight w:val="none"/>
        </w:rPr>
      </w:pPr>
      <w:r>
        <w:rPr>
          <w:rFonts w:hint="eastAsia" w:ascii="仿宋" w:hAnsi="仿宋" w:eastAsia="仿宋" w:cs="仿宋"/>
          <w:color w:val="auto"/>
          <w:highlight w:val="none"/>
        </w:rPr>
        <w:br w:type="page"/>
      </w:r>
    </w:p>
    <w:p>
      <w:pPr>
        <w:pStyle w:val="73"/>
        <w:ind w:left="0" w:leftChars="0" w:firstLine="0" w:firstLineChars="0"/>
        <w:jc w:val="both"/>
        <w:outlineLvl w:val="1"/>
        <w:rPr>
          <w:rFonts w:hint="eastAsia" w:ascii="仿宋" w:hAnsi="仿宋" w:eastAsia="仿宋" w:cs="仿宋"/>
          <w:color w:val="auto"/>
          <w:kern w:val="2"/>
          <w:highlight w:val="none"/>
        </w:rPr>
      </w:pPr>
      <w:bookmarkStart w:id="182" w:name="_Toc32514"/>
      <w:r>
        <w:rPr>
          <w:rFonts w:hint="eastAsia" w:ascii="仿宋" w:hAnsi="仿宋" w:eastAsia="仿宋" w:cs="仿宋"/>
          <w:color w:val="auto"/>
          <w:kern w:val="2"/>
          <w:highlight w:val="none"/>
          <w:lang w:val="en-US" w:eastAsia="zh-CN"/>
        </w:rPr>
        <w:t>4.</w:t>
      </w:r>
      <w:r>
        <w:rPr>
          <w:rFonts w:hint="eastAsia" w:ascii="仿宋" w:hAnsi="仿宋" w:eastAsia="仿宋" w:cs="仿宋"/>
          <w:color w:val="auto"/>
          <w:kern w:val="2"/>
          <w:highlight w:val="none"/>
        </w:rPr>
        <w:t>监狱企业证明文件（如适用）</w:t>
      </w:r>
      <w:bookmarkEnd w:id="182"/>
    </w:p>
    <w:p>
      <w:pPr>
        <w:pStyle w:val="7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jc w:val="center"/>
        <w:outlineLvl w:val="9"/>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监狱企业声明函</w:t>
      </w:r>
    </w:p>
    <w:p>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【服务类，监狱企业如需享受优惠政策，还须另行提供省级以上监狱管理局、戒毒管理局（含新疆生产建设兵团）出具的监狱企业证明文件】</w:t>
      </w:r>
    </w:p>
    <w:p>
      <w:pPr>
        <w:ind w:firstLine="420" w:firstLineChars="200"/>
        <w:outlineLvl w:val="9"/>
        <w:rPr>
          <w:rFonts w:hint="eastAsia" w:ascii="仿宋" w:hAnsi="仿宋" w:eastAsia="仿宋" w:cs="仿宋"/>
          <w:color w:val="auto"/>
          <w:szCs w:val="21"/>
          <w:highlight w:val="none"/>
        </w:rPr>
      </w:pP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采购活动，</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服务全部由符合政策要求的监狱企业承接。相关监狱企业的具体情况如下：</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本投标人对上述声明内容的真实性负责。如有虚假，将依法承担相应责任。</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附：省级以上监狱管理局、戒毒管理局（含新疆生产建设兵团）出具的监狱企业证明文件。</w:t>
      </w:r>
    </w:p>
    <w:p>
      <w:pPr>
        <w:spacing w:line="240" w:lineRule="atLeast"/>
        <w:ind w:firstLine="567"/>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企业名称（盖章）： </w:t>
      </w:r>
    </w:p>
    <w:p>
      <w:pPr>
        <w:spacing w:line="240" w:lineRule="atLeast"/>
        <w:ind w:firstLine="567"/>
        <w:jc w:val="center"/>
        <w:outlineLvl w:val="9"/>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4"/>
          <w:highlight w:val="none"/>
          <w:lang w:val="en-US" w:eastAsia="zh-CN"/>
        </w:rPr>
        <w:t>日 期：</w:t>
      </w:r>
    </w:p>
    <w:p>
      <w:pPr>
        <w:pStyle w:val="33"/>
        <w:spacing w:before="35" w:beforeLines="0"/>
        <w:outlineLvl w:val="9"/>
        <w:rPr>
          <w:rFonts w:hint="eastAsia" w:ascii="仿宋" w:hAnsi="仿宋" w:eastAsia="仿宋" w:cs="仿宋"/>
          <w:color w:val="auto"/>
          <w:sz w:val="24"/>
          <w:highlight w:val="none"/>
          <w:lang w:val="en-US" w:eastAsia="zh-CN"/>
        </w:rPr>
      </w:pPr>
    </w:p>
    <w:p>
      <w:pPr>
        <w:pStyle w:val="74"/>
        <w:outlineLvl w:val="9"/>
        <w:rPr>
          <w:rFonts w:hint="eastAsia" w:ascii="仿宋" w:hAnsi="仿宋" w:eastAsia="仿宋" w:cs="仿宋"/>
          <w:color w:val="auto"/>
          <w:sz w:val="24"/>
          <w:szCs w:val="24"/>
          <w:highlight w:val="none"/>
        </w:rPr>
      </w:pPr>
    </w:p>
    <w:p>
      <w:pPr>
        <w:pStyle w:val="73"/>
        <w:spacing w:line="340" w:lineRule="exact"/>
        <w:ind w:left="0" w:leftChars="0" w:firstLine="0" w:firstLineChars="0"/>
        <w:jc w:val="both"/>
        <w:outlineLvl w:val="1"/>
        <w:rPr>
          <w:rFonts w:hint="eastAsia" w:ascii="仿宋" w:hAnsi="仿宋" w:eastAsia="仿宋" w:cs="仿宋"/>
          <w:color w:val="auto"/>
          <w:kern w:val="2"/>
          <w:highlight w:val="none"/>
        </w:rPr>
      </w:pPr>
      <w:r>
        <w:rPr>
          <w:rFonts w:hint="eastAsia" w:ascii="仿宋" w:hAnsi="仿宋" w:eastAsia="仿宋" w:cs="仿宋"/>
          <w:color w:val="auto"/>
          <w:kern w:val="2"/>
          <w:highlight w:val="none"/>
        </w:rPr>
        <w:br w:type="page"/>
      </w:r>
      <w:bookmarkStart w:id="183" w:name="_Toc4204"/>
      <w:r>
        <w:rPr>
          <w:rFonts w:hint="eastAsia" w:ascii="仿宋" w:hAnsi="仿宋" w:eastAsia="仿宋" w:cs="仿宋"/>
          <w:color w:val="auto"/>
          <w:kern w:val="2"/>
          <w:highlight w:val="none"/>
          <w:lang w:val="en-US" w:eastAsia="zh-CN"/>
        </w:rPr>
        <w:t>5.</w:t>
      </w:r>
      <w:r>
        <w:rPr>
          <w:rFonts w:hint="eastAsia" w:ascii="仿宋" w:hAnsi="仿宋" w:eastAsia="仿宋" w:cs="仿宋"/>
          <w:color w:val="auto"/>
          <w:kern w:val="2"/>
          <w:highlight w:val="none"/>
        </w:rPr>
        <w:t>残疾人福利性单位声明函（如适用）</w:t>
      </w:r>
      <w:bookmarkEnd w:id="183"/>
    </w:p>
    <w:p>
      <w:pPr>
        <w:pStyle w:val="75"/>
        <w:spacing w:before="123" w:beforeLines="0" w:line="340" w:lineRule="exact"/>
        <w:ind w:left="0" w:right="12"/>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pStyle w:val="74"/>
        <w:spacing w:before="84" w:beforeLines="0" w:line="340" w:lineRule="exact"/>
        <w:ind w:left="62" w:right="72"/>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残疾人福利性单位声明函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3"/>
        <w:spacing w:before="35" w:beforeLines="0" w:line="340" w:lineRule="exact"/>
        <w:ind w:right="274" w:firstLine="444"/>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33"/>
        <w:spacing w:before="46" w:beforeLines="0" w:line="340" w:lineRule="exact"/>
        <w:ind w:right="464"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本单位对上述声明的真实性负责。如有虚假,将依法承担相应责任。 </w:t>
      </w:r>
    </w:p>
    <w:p>
      <w:pPr>
        <w:pStyle w:val="74"/>
        <w:spacing w:before="10" w:beforeLines="0"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3"/>
        <w:spacing w:line="340" w:lineRule="exact"/>
        <w:ind w:right="1716"/>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投标人（签章）: </w:t>
      </w:r>
    </w:p>
    <w:p>
      <w:pPr>
        <w:pStyle w:val="33"/>
        <w:spacing w:line="340" w:lineRule="exact"/>
        <w:ind w:right="1728"/>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 期: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spacing w:before="38" w:beforeLines="0" w:line="340" w:lineRule="exact"/>
        <w:ind w:left="15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享受政府采购支持政策的残疾人福利性单位应当同时满足以下条件</w:t>
      </w:r>
      <w:r>
        <w:rPr>
          <w:rFonts w:hint="eastAsia" w:ascii="仿宋" w:hAnsi="仿宋" w:eastAsia="仿宋" w:cs="仿宋"/>
          <w:color w:val="auto"/>
          <w:sz w:val="24"/>
          <w:szCs w:val="24"/>
          <w:highlight w:val="none"/>
          <w:lang w:eastAsia="zh-CN"/>
        </w:rPr>
        <w:t>:</w:t>
      </w:r>
    </w:p>
    <w:p>
      <w:pPr>
        <w:pStyle w:val="74"/>
        <w:spacing w:before="36" w:beforeLines="0" w:line="340" w:lineRule="exact"/>
        <w:ind w:left="157" w:right="2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 25%（含 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并且安置的残疾人 人数不少于 10 人（含 10 人）；</w:t>
      </w:r>
    </w:p>
    <w:p>
      <w:pPr>
        <w:pStyle w:val="74"/>
        <w:spacing w:before="5" w:beforeLines="0" w:line="340" w:lineRule="exact"/>
        <w:ind w:left="55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（2）依法与安置的每位残疾人签订了一年以上（含一年）的劳动合同或服务协议；</w:t>
      </w:r>
    </w:p>
    <w:p>
      <w:pPr>
        <w:pStyle w:val="74"/>
        <w:spacing w:before="21"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（3）为安置的每位残疾人按月足额缴纳了基本养老保险、基本医疗保险、失业保险、工伤保 险和生育保险等社会保险费；</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（4）通过银行等金融机构向安置的每位残疾人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按月支付了不低于单位所在区县适用的经省 级人民政府批准的月最低工资标准的工资；</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（5）提供本单位制造的货物、承担的工程或者服务（以下简称产品）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或者提供其他残疾人 福利性单位制造的货物（不包括使用非残疾人福利性单位注册商标的货物）。</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前款所称残疾人是指法定劳动年龄内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持有《中华人民共和国残疾人证》或者《中华人民共和 国残疾军人证（1 至 8 级）》的自然人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包括具有劳动条件和劳动意愿的精神残疾人。在职职工人 数是指与残疾人福利性单位建立劳动关系并依法签订劳动合同或者服务协议的雇员人数。</w:t>
      </w:r>
    </w:p>
    <w:p>
      <w:pPr>
        <w:pStyle w:val="76"/>
        <w:ind w:firstLine="560" w:firstLineChars="200"/>
        <w:outlineLvl w:val="9"/>
        <w:rPr>
          <w:rFonts w:hint="eastAsia" w:ascii="仿宋" w:hAnsi="仿宋" w:eastAsia="仿宋" w:cs="仿宋"/>
          <w:color w:val="auto"/>
          <w:highlight w:val="none"/>
        </w:rPr>
      </w:pPr>
    </w:p>
    <w:p>
      <w:pPr>
        <w:pStyle w:val="76"/>
        <w:ind w:firstLine="560" w:firstLineChars="200"/>
        <w:outlineLvl w:val="9"/>
        <w:rPr>
          <w:rFonts w:hint="eastAsia" w:ascii="仿宋" w:hAnsi="仿宋" w:eastAsia="仿宋" w:cs="仿宋"/>
          <w:color w:val="auto"/>
          <w:highlight w:val="none"/>
        </w:rPr>
      </w:pPr>
    </w:p>
    <w:p>
      <w:pPr>
        <w:pStyle w:val="76"/>
        <w:ind w:firstLine="560" w:firstLineChars="200"/>
        <w:outlineLvl w:val="9"/>
        <w:rPr>
          <w:rFonts w:hint="eastAsia" w:ascii="仿宋" w:hAnsi="仿宋" w:eastAsia="仿宋" w:cs="仿宋"/>
          <w:color w:val="auto"/>
          <w:highlight w:val="none"/>
        </w:rPr>
      </w:pPr>
    </w:p>
    <w:p>
      <w:pPr>
        <w:numPr>
          <w:ilvl w:val="0"/>
          <w:numId w:val="0"/>
        </w:numPr>
        <w:tabs>
          <w:tab w:val="left" w:pos="360"/>
          <w:tab w:val="left" w:pos="480"/>
          <w:tab w:val="left" w:pos="1413"/>
        </w:tabs>
        <w:spacing w:line="360" w:lineRule="auto"/>
        <w:outlineLvl w:val="1"/>
        <w:rPr>
          <w:rFonts w:hint="eastAsia" w:ascii="仿宋" w:hAnsi="仿宋" w:eastAsia="仿宋" w:cs="仿宋"/>
          <w:b/>
          <w:kern w:val="0"/>
          <w:sz w:val="32"/>
          <w:szCs w:val="24"/>
          <w:highlight w:val="none"/>
        </w:rPr>
      </w:pPr>
      <w:bookmarkStart w:id="184" w:name="_Toc3355"/>
      <w:r>
        <w:rPr>
          <w:rFonts w:hint="eastAsia" w:ascii="宋体" w:hAnsi="宋体" w:eastAsia="宋体" w:cs="宋体"/>
          <w:b/>
          <w:color w:val="auto"/>
          <w:kern w:val="0"/>
          <w:sz w:val="28"/>
          <w:szCs w:val="28"/>
          <w:highlight w:val="none"/>
          <w:lang w:val="en-US" w:eastAsia="zh-CN" w:bidi="ar-SA"/>
        </w:rPr>
        <w:t>6.</w:t>
      </w:r>
      <w:bookmarkEnd w:id="184"/>
      <w:r>
        <w:rPr>
          <w:rFonts w:hint="eastAsia" w:ascii="仿宋" w:hAnsi="仿宋" w:eastAsia="仿宋" w:cs="仿宋"/>
          <w:b/>
          <w:kern w:val="0"/>
          <w:sz w:val="32"/>
          <w:szCs w:val="24"/>
          <w:highlight w:val="none"/>
        </w:rPr>
        <w:t>中、小微企业声明函（中、小、微型企业产品价格需扣除的须提供）</w:t>
      </w:r>
    </w:p>
    <w:p>
      <w:pPr>
        <w:pStyle w:val="89"/>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85" w:name="_Toc12536"/>
      <w:bookmarkStart w:id="186" w:name="_Toc16342"/>
      <w:r>
        <w:rPr>
          <w:rFonts w:hint="eastAsia" w:ascii="仿宋" w:hAnsi="仿宋" w:eastAsia="仿宋" w:cs="仿宋"/>
          <w:b/>
          <w:bCs/>
          <w:color w:val="auto"/>
          <w:spacing w:val="-2"/>
          <w:kern w:val="2"/>
          <w:sz w:val="24"/>
          <w:szCs w:val="24"/>
          <w:highlight w:val="none"/>
          <w:u w:val="none"/>
          <w:lang w:val="en-US" w:eastAsia="zh-CN"/>
        </w:rPr>
        <w:t>中小企业声明函（货物）</w:t>
      </w:r>
      <w:bookmarkEnd w:id="185"/>
      <w:bookmarkEnd w:id="186"/>
    </w:p>
    <w:p>
      <w:pPr>
        <w:pStyle w:val="56"/>
        <w:rPr>
          <w:rFonts w:hint="eastAsia" w:ascii="仿宋" w:hAnsi="仿宋" w:eastAsia="仿宋" w:cs="仿宋"/>
          <w:b w:val="0"/>
          <w:bCs w:val="0"/>
          <w:color w:val="auto"/>
          <w:spacing w:val="-2"/>
          <w:kern w:val="2"/>
          <w:sz w:val="24"/>
          <w:szCs w:val="24"/>
          <w:highlight w:val="none"/>
          <w:u w:val="none"/>
          <w:lang w:val="en-US" w:eastAsia="zh-CN"/>
        </w:rPr>
      </w:pP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i/>
          <w:iCs/>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31"/>
        <w:spacing w:line="560" w:lineRule="exact"/>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pPr>
        <w:pStyle w:val="31"/>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31"/>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pPr>
        <w:pStyle w:val="31"/>
        <w:spacing w:before="35" w:beforeLines="0" w:line="314"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pPr>
        <w:pStyle w:val="39"/>
        <w:spacing w:line="52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pPr>
        <w:pStyle w:val="31"/>
        <w:spacing w:before="35" w:line="316" w:lineRule="auto"/>
        <w:ind w:right="2166"/>
        <w:outlineLvl w:val="9"/>
        <w:rPr>
          <w:rFonts w:hint="eastAsia" w:ascii="仿宋" w:hAnsi="仿宋" w:eastAsia="仿宋" w:cs="仿宋"/>
          <w:color w:val="auto"/>
          <w:sz w:val="24"/>
          <w:szCs w:val="24"/>
          <w:highlight w:val="none"/>
        </w:rPr>
      </w:pPr>
    </w:p>
    <w:p>
      <w:pPr>
        <w:pStyle w:val="6"/>
        <w:outlineLvl w:val="9"/>
        <w:rPr>
          <w:rFonts w:hint="eastAsia"/>
          <w:color w:val="auto"/>
          <w:highlight w:val="none"/>
        </w:rPr>
      </w:pPr>
    </w:p>
    <w:p>
      <w:pPr>
        <w:pStyle w:val="66"/>
        <w:spacing w:line="360" w:lineRule="auto"/>
        <w:outlineLvl w:val="9"/>
        <w:rPr>
          <w:rFonts w:hint="eastAsia" w:ascii="仿宋" w:hAnsi="仿宋" w:eastAsia="仿宋" w:cs="仿宋"/>
          <w:b/>
          <w:bCs/>
          <w:color w:val="auto"/>
          <w:sz w:val="24"/>
          <w:szCs w:val="24"/>
          <w:highlight w:val="none"/>
          <w:lang w:eastAsia="zh-CN"/>
        </w:rPr>
      </w:pPr>
      <w:bookmarkStart w:id="187" w:name="_Toc15641"/>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从业人员、营业收入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资产</w:t>
      </w:r>
      <w:r>
        <w:rPr>
          <w:rFonts w:hint="eastAsia" w:ascii="仿宋" w:hAnsi="仿宋" w:eastAsia="仿宋" w:cs="仿宋"/>
          <w:b/>
          <w:bCs/>
          <w:color w:val="auto"/>
          <w:sz w:val="24"/>
          <w:szCs w:val="24"/>
          <w:highlight w:val="none"/>
          <w:lang w:val="en-US" w:eastAsia="zh-CN"/>
        </w:rPr>
        <w:t>总额</w:t>
      </w:r>
      <w:r>
        <w:rPr>
          <w:rFonts w:hint="eastAsia" w:ascii="仿宋" w:hAnsi="仿宋" w:eastAsia="仿宋" w:cs="仿宋"/>
          <w:b/>
          <w:bCs/>
          <w:color w:val="auto"/>
          <w:sz w:val="24"/>
          <w:szCs w:val="24"/>
          <w:highlight w:val="none"/>
        </w:rPr>
        <w:t>填报上一年度</w:t>
      </w:r>
      <w:r>
        <w:rPr>
          <w:rFonts w:hint="eastAsia" w:ascii="仿宋" w:hAnsi="仿宋" w:eastAsia="仿宋" w:cs="仿宋"/>
          <w:b/>
          <w:bCs/>
          <w:color w:val="auto"/>
          <w:sz w:val="24"/>
          <w:szCs w:val="24"/>
          <w:highlight w:val="none"/>
          <w:lang w:val="en-US" w:eastAsia="zh-CN"/>
        </w:rPr>
        <w:t>数据</w:t>
      </w:r>
      <w:bookmarkEnd w:id="187"/>
      <w:r>
        <w:rPr>
          <w:rFonts w:hint="eastAsia" w:ascii="仿宋" w:hAnsi="仿宋" w:eastAsia="仿宋" w:cs="仿宋"/>
          <w:b/>
          <w:bCs/>
          <w:color w:val="auto"/>
          <w:sz w:val="24"/>
          <w:szCs w:val="24"/>
          <w:highlight w:val="none"/>
          <w:lang w:val="en-US" w:eastAsia="zh-CN"/>
        </w:rPr>
        <w:t>。</w:t>
      </w: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中小企业声明函“注释”：</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2.相关企业的具体情况：提供的货物、承建工程、承接服务的中小企业的具体情况（包括联合体中的中小企业、签订分包意向协议的中小企业）。</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（3）“相关企业”信息为上一年度数据，无上一年度数据的新成立企业可不填。</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（4）如果一个采购项目涉及多个采购标的的，应当按招标文件规定逐一填写所有采购标的对应的相关企业具体情况，并判断该企业类型。</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（5）招标文件规定：采购项目属性、采购标的对应的中小企业划分标准所属行业。</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按照《中小企业划分标准规定》（工信部联合企业〔2011〕300号）中十六个行业对应。</w:t>
      </w:r>
    </w:p>
    <w:p>
      <w:pPr>
        <w:pStyle w:val="66"/>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3.除了需要投标人应该填写的内容外，不得随意修改或删除中小企业声明函中的其他任何内容。</w:t>
      </w:r>
    </w:p>
    <w:p>
      <w:pPr>
        <w:pStyle w:val="16"/>
        <w:keepNext w:val="0"/>
        <w:keepLines w:val="0"/>
        <w:widowControl/>
        <w:suppressLineNumbers w:val="0"/>
        <w:jc w:val="center"/>
        <w:rPr>
          <w:rStyle w:val="22"/>
          <w:sz w:val="36"/>
          <w:szCs w:val="36"/>
        </w:rPr>
      </w:pPr>
    </w:p>
    <w:p>
      <w:pPr>
        <w:pStyle w:val="16"/>
        <w:keepNext w:val="0"/>
        <w:keepLines w:val="0"/>
        <w:widowControl/>
        <w:suppressLineNumbers w:val="0"/>
        <w:jc w:val="center"/>
        <w:rPr>
          <w:rStyle w:val="22"/>
          <w:sz w:val="36"/>
          <w:szCs w:val="36"/>
        </w:rPr>
      </w:pPr>
    </w:p>
    <w:p>
      <w:pPr>
        <w:pStyle w:val="76"/>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附：中小企业划型标准</w:t>
      </w:r>
      <w:r>
        <w:rPr>
          <w:rFonts w:hint="eastAsia" w:ascii="仿宋" w:hAnsi="仿宋" w:eastAsia="仿宋" w:cs="仿宋"/>
          <w:b/>
          <w:bCs/>
          <w:sz w:val="24"/>
          <w:szCs w:val="24"/>
          <w:lang w:eastAsia="zh-CN"/>
        </w:rPr>
        <w:t>（工信部联企业〔2011〕300号）</w:t>
      </w:r>
    </w:p>
    <w:p>
      <w:pPr>
        <w:pStyle w:val="76"/>
        <w:outlineLvl w:val="9"/>
        <w:rPr>
          <w:rFonts w:hint="eastAsia" w:ascii="仿宋" w:hAnsi="仿宋" w:eastAsia="仿宋" w:cs="仿宋"/>
          <w:b/>
          <w:bCs/>
          <w:sz w:val="24"/>
          <w:szCs w:val="24"/>
          <w:lang w:eastAsia="zh-CN"/>
        </w:rPr>
      </w:pP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二、中小企业划分为中型、小型、微型三种类型，具体标准根据企业从业人员、营业收入、资产总额等指标，结合行业特点制定。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四、各行业划型标准为：</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（一）农、林、牧、渔业。营业收入20000万元以下的为中小微型企业。其中，营业收入500万元及以上的为中型企业，营业收入50万元及以上的为小型企业，营业收入50万元以下的为微型企业。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（十六）其他未列明行业。从业人员300人以下的为中小微型企业。其中，从业人员100人及以上的为中型企业；从业人员10人及以上的为小型企业；从业人员10人以下的为微型企业。</w:t>
      </w:r>
    </w:p>
    <w:p>
      <w:pPr>
        <w:pStyle w:val="76"/>
        <w:ind w:firstLine="480" w:firstLineChars="200"/>
        <w:outlineLvl w:val="9"/>
        <w:rPr>
          <w:rFonts w:hint="eastAsia" w:ascii="仿宋" w:hAnsi="仿宋" w:eastAsia="仿宋" w:cs="仿宋"/>
          <w:sz w:val="24"/>
          <w:szCs w:val="24"/>
          <w:lang w:eastAsia="zh-CN"/>
        </w:rPr>
      </w:pPr>
    </w:p>
    <w:p>
      <w:pPr>
        <w:pStyle w:val="76"/>
        <w:ind w:firstLine="560" w:firstLineChars="200"/>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lang w:eastAsia="zh-CN"/>
        </w:rPr>
      </w:pPr>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pPr>
      <w:bookmarkStart w:id="188" w:name="_Toc98265629"/>
      <w:bookmarkStart w:id="189" w:name="_Toc4026"/>
      <w:bookmarkStart w:id="190" w:name="_Toc9075"/>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pPr>
    </w:p>
    <w:p>
      <w:pPr>
        <w:pStyle w:val="3"/>
        <w:numPr>
          <w:ilvl w:val="0"/>
          <w:numId w:val="0"/>
        </w:numPr>
        <w:spacing w:before="0" w:line="360" w:lineRule="auto"/>
        <w:jc w:val="center"/>
        <w:outlineLvl w:val="0"/>
        <w:rPr>
          <w:rFonts w:ascii="宋体" w:hAnsi="宋体" w:eastAsia="宋体"/>
          <w:color w:val="auto"/>
          <w:sz w:val="24"/>
          <w:highlight w:val="none"/>
        </w:rPr>
      </w:pP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商务</w:t>
      </w:r>
      <w:r>
        <w:rPr>
          <w:rFonts w:ascii="宋体" w:hAnsi="宋体" w:eastAsia="宋体"/>
          <w:color w:val="auto"/>
          <w:sz w:val="24"/>
          <w:highlight w:val="none"/>
        </w:rPr>
        <w:t>技术</w:t>
      </w:r>
      <w:r>
        <w:rPr>
          <w:rFonts w:hint="eastAsia" w:ascii="宋体" w:hAnsi="宋体" w:eastAsia="宋体"/>
          <w:color w:val="auto"/>
          <w:sz w:val="24"/>
          <w:highlight w:val="none"/>
        </w:rPr>
        <w:t>文件</w:t>
      </w:r>
      <w:bookmarkEnd w:id="188"/>
      <w:bookmarkEnd w:id="189"/>
      <w:bookmarkEnd w:id="190"/>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1.类似项目业绩（如有）</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2.商务条款偏离说明表</w:t>
      </w:r>
    </w:p>
    <w:p>
      <w:pPr>
        <w:pStyle w:val="58"/>
        <w:spacing w:line="480" w:lineRule="auto"/>
        <w:jc w:val="both"/>
        <w:outlineLvl w:val="9"/>
        <w:rPr>
          <w:rFonts w:hint="default"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3.技术参数响应</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4.投标人认为有必要提供的其他声明及文件技术资料</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5.商务技术其他评分内容</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6.退还保证金申请函</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p>
    <w:p>
      <w:pPr>
        <w:pStyle w:val="58"/>
        <w:jc w:val="both"/>
        <w:outlineLvl w:val="9"/>
        <w:rPr>
          <w:rFonts w:hint="default" w:ascii="仿宋" w:hAnsi="仿宋" w:eastAsia="仿宋" w:cs="仿宋"/>
          <w:b w:val="0"/>
          <w:bCs/>
          <w:color w:val="auto"/>
          <w:kern w:val="2"/>
          <w:sz w:val="24"/>
          <w:szCs w:val="24"/>
          <w:highlight w:val="none"/>
          <w:lang w:val="en-US" w:eastAsia="zh-CN" w:bidi="ar-SA"/>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sectPr>
          <w:footerReference r:id="rId9" w:type="first"/>
          <w:footerReference r:id="rId8" w:type="default"/>
          <w:pgSz w:w="11906" w:h="16838"/>
          <w:pgMar w:top="1440" w:right="1797" w:bottom="1440" w:left="1797" w:header="851" w:footer="992" w:gutter="0"/>
          <w:pgNumType w:fmt="decimal"/>
          <w:cols w:space="720" w:num="1"/>
          <w:titlePg/>
          <w:docGrid w:type="lines" w:linePitch="312" w:charSpace="0"/>
        </w:sectPr>
      </w:pPr>
    </w:p>
    <w:p>
      <w:pPr>
        <w:pStyle w:val="58"/>
        <w:jc w:val="both"/>
        <w:outlineLvl w:val="1"/>
        <w:rPr>
          <w:rFonts w:hint="eastAsia" w:ascii="仿宋" w:hAnsi="仿宋" w:eastAsia="仿宋" w:cs="仿宋"/>
          <w:color w:val="auto"/>
          <w:kern w:val="2"/>
          <w:sz w:val="28"/>
          <w:szCs w:val="28"/>
          <w:highlight w:val="none"/>
          <w:lang w:val="en-US" w:eastAsia="zh-CN"/>
        </w:rPr>
      </w:pPr>
      <w:bookmarkStart w:id="191" w:name="_Toc15243"/>
      <w:r>
        <w:rPr>
          <w:rFonts w:hint="eastAsia" w:ascii="仿宋" w:hAnsi="仿宋" w:eastAsia="仿宋" w:cs="仿宋"/>
          <w:color w:val="auto"/>
          <w:kern w:val="2"/>
          <w:sz w:val="28"/>
          <w:szCs w:val="28"/>
          <w:highlight w:val="none"/>
          <w:lang w:val="en-US" w:eastAsia="zh-CN"/>
        </w:rPr>
        <w:t>1.类似项目业绩（如有）</w:t>
      </w:r>
      <w:bookmarkEnd w:id="191"/>
    </w:p>
    <w:p>
      <w:pPr>
        <w:pStyle w:val="58"/>
        <w:jc w:val="both"/>
        <w:outlineLvl w:val="9"/>
        <w:rPr>
          <w:rFonts w:hint="eastAsia" w:ascii="仿宋" w:hAnsi="仿宋" w:eastAsia="仿宋" w:cs="仿宋"/>
          <w:color w:val="auto"/>
          <w:kern w:val="2"/>
          <w:sz w:val="24"/>
          <w:szCs w:val="24"/>
          <w:highlight w:val="none"/>
          <w:lang w:val="en-US" w:eastAsia="zh-CN"/>
        </w:rPr>
      </w:pPr>
    </w:p>
    <w:tbl>
      <w:tblPr>
        <w:tblStyle w:val="19"/>
        <w:tblpPr w:leftFromText="180" w:rightFromText="180" w:vertAnchor="text" w:horzAnchor="page" w:tblpX="1028" w:tblpY="4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1093"/>
        <w:gridCol w:w="933"/>
        <w:gridCol w:w="1478"/>
        <w:gridCol w:w="822"/>
        <w:gridCol w:w="1111"/>
        <w:gridCol w:w="1322"/>
        <w:gridCol w:w="1011"/>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采购单位名称</w:t>
            </w: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项目名称</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项目时间/地点</w:t>
            </w:r>
          </w:p>
        </w:tc>
        <w:tc>
          <w:tcPr>
            <w:tcW w:w="147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项目主要内容</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合同金额</w:t>
            </w:r>
          </w:p>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（元）</w:t>
            </w:r>
          </w:p>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附件</w:t>
            </w:r>
          </w:p>
        </w:tc>
        <w:tc>
          <w:tcPr>
            <w:tcW w:w="136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采购单位联系人及</w:t>
            </w:r>
          </w:p>
          <w:p>
            <w:pPr>
              <w:spacing w:before="50" w:beforeLines="0" w:after="120" w:afterLines="0" w:line="400" w:lineRule="exact"/>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4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lang w:eastAsia="zh-CN"/>
              </w:rPr>
            </w:pPr>
            <w:r>
              <w:rPr>
                <w:rFonts w:hint="eastAsia" w:ascii="仿宋" w:hAnsi="仿宋" w:eastAsia="仿宋" w:cs="仿宋"/>
                <w:color w:val="auto"/>
                <w:kern w:val="1"/>
                <w:szCs w:val="21"/>
                <w:highlight w:val="none"/>
              </w:rPr>
              <w:t>政府采购指定官方网站</w:t>
            </w:r>
            <w:r>
              <w:rPr>
                <w:rFonts w:hint="eastAsia" w:ascii="仿宋" w:hAnsi="仿宋" w:eastAsia="仿宋" w:cs="仿宋"/>
                <w:color w:val="auto"/>
                <w:kern w:val="1"/>
                <w:szCs w:val="21"/>
                <w:highlight w:val="none"/>
                <w:lang w:val="en-US" w:eastAsia="zh-CN"/>
              </w:rPr>
              <w:t>的</w:t>
            </w:r>
            <w:r>
              <w:rPr>
                <w:rFonts w:hint="eastAsia" w:ascii="仿宋" w:hAnsi="仿宋" w:eastAsia="仿宋" w:cs="仿宋"/>
                <w:color w:val="auto"/>
                <w:kern w:val="1"/>
                <w:szCs w:val="21"/>
                <w:highlight w:val="none"/>
              </w:rPr>
              <w:t>中标</w:t>
            </w:r>
            <w:r>
              <w:rPr>
                <w:rFonts w:hint="eastAsia" w:ascii="仿宋" w:hAnsi="仿宋" w:eastAsia="仿宋" w:cs="仿宋"/>
                <w:color w:val="auto"/>
                <w:kern w:val="1"/>
                <w:szCs w:val="21"/>
                <w:highlight w:val="none"/>
                <w:lang w:eastAsia="zh-CN"/>
              </w:rPr>
              <w:t>结果公告</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中标通知书</w:t>
            </w:r>
          </w:p>
        </w:tc>
        <w:tc>
          <w:tcPr>
            <w:tcW w:w="1367" w:type="dxa"/>
            <w:vMerge w:val="continue"/>
            <w:tcBorders>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bl>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4"/>
        <w:numPr>
          <w:ilvl w:val="2"/>
          <w:numId w:val="0"/>
        </w:numPr>
        <w:ind w:leftChars="0"/>
        <w:outlineLvl w:val="1"/>
        <w:rPr>
          <w:rFonts w:hint="eastAsia" w:ascii="仿宋" w:hAnsi="仿宋" w:eastAsia="仿宋" w:cs="仿宋"/>
          <w:b/>
          <w:bCs w:val="0"/>
          <w:color w:val="auto"/>
          <w:kern w:val="2"/>
          <w:sz w:val="32"/>
          <w:szCs w:val="32"/>
          <w:highlight w:val="none"/>
          <w:lang w:val="en-US" w:eastAsia="zh-CN"/>
        </w:rPr>
      </w:pPr>
      <w:bookmarkStart w:id="192" w:name="_Toc1025"/>
      <w:r>
        <w:rPr>
          <w:rFonts w:hint="eastAsia" w:ascii="仿宋" w:hAnsi="仿宋" w:eastAsia="仿宋" w:cs="仿宋"/>
          <w:b/>
          <w:bCs w:val="0"/>
          <w:color w:val="auto"/>
          <w:kern w:val="2"/>
          <w:sz w:val="32"/>
          <w:szCs w:val="32"/>
          <w:highlight w:val="none"/>
          <w:lang w:val="en-US" w:eastAsia="zh-CN"/>
        </w:rPr>
        <w:t>2.商务条款偏离说明表</w:t>
      </w:r>
      <w:bookmarkEnd w:id="192"/>
    </w:p>
    <w:p>
      <w:pPr>
        <w:numPr>
          <w:ilvl w:val="4"/>
          <w:numId w:val="0"/>
        </w:numPr>
        <w:spacing w:before="230" w:beforeLines="0"/>
        <w:ind w:left="3573" w:leftChars="0"/>
        <w:outlineLvl w:val="9"/>
        <w:rPr>
          <w:rFonts w:hint="eastAsia" w:ascii="仿宋" w:hAnsi="仿宋" w:eastAsia="仿宋" w:cs="仿宋"/>
          <w:color w:val="auto"/>
          <w:highlight w:val="none"/>
        </w:rPr>
      </w:pPr>
      <w:r>
        <w:rPr>
          <w:rFonts w:hint="eastAsia" w:ascii="仿宋" w:hAnsi="仿宋" w:eastAsia="仿宋" w:cs="仿宋"/>
          <w:color w:val="auto"/>
          <w:sz w:val="24"/>
          <w:szCs w:val="28"/>
          <w:highlight w:val="none"/>
        </w:rPr>
        <w:t>商务</w:t>
      </w:r>
      <w:r>
        <w:rPr>
          <w:rFonts w:hint="eastAsia" w:ascii="仿宋" w:hAnsi="仿宋" w:eastAsia="仿宋" w:cs="仿宋"/>
          <w:color w:val="auto"/>
          <w:sz w:val="24"/>
          <w:szCs w:val="28"/>
          <w:highlight w:val="none"/>
          <w:lang w:val="en-US" w:eastAsia="zh-CN"/>
        </w:rPr>
        <w:t>条款</w:t>
      </w:r>
      <w:r>
        <w:rPr>
          <w:rFonts w:hint="eastAsia" w:ascii="仿宋" w:hAnsi="仿宋" w:eastAsia="仿宋" w:cs="仿宋"/>
          <w:color w:val="auto"/>
          <w:sz w:val="24"/>
          <w:szCs w:val="28"/>
          <w:highlight w:val="none"/>
        </w:rPr>
        <w:t>偏离说明表</w:t>
      </w:r>
      <w:r>
        <w:rPr>
          <w:rFonts w:hint="eastAsia" w:ascii="仿宋" w:hAnsi="仿宋" w:eastAsia="仿宋" w:cs="仿宋"/>
          <w:color w:val="auto"/>
          <w:highlight w:val="none"/>
        </w:rPr>
        <w:t xml:space="preserve"> </w:t>
      </w:r>
    </w:p>
    <w:p>
      <w:pPr>
        <w:spacing w:before="140" w:beforeLines="0" w:line="336" w:lineRule="auto"/>
        <w:ind w:right="3103"/>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采购项目编号：</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 xml:space="preserve">      采购项目名称：</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19"/>
        <w:tblpPr w:leftFromText="180" w:rightFromText="180" w:vertAnchor="text" w:horzAnchor="page" w:tblpX="1511" w:tblpY="4"/>
        <w:tblOverlap w:val="never"/>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20"/>
        <w:gridCol w:w="3064"/>
        <w:gridCol w:w="2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65" w:type="dxa"/>
            <w:noWrap w:val="0"/>
            <w:vAlign w:val="top"/>
          </w:tcPr>
          <w:p>
            <w:pPr>
              <w:pStyle w:val="46"/>
              <w:spacing w:line="500" w:lineRule="exact"/>
              <w:ind w:left="107" w:right="-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920" w:type="dxa"/>
            <w:noWrap w:val="0"/>
            <w:vAlign w:val="top"/>
          </w:tcPr>
          <w:p>
            <w:pPr>
              <w:pStyle w:val="46"/>
              <w:spacing w:before="11" w:beforeLines="0"/>
              <w:rPr>
                <w:rFonts w:hint="eastAsia" w:ascii="仿宋" w:hAnsi="仿宋" w:eastAsia="仿宋" w:cs="仿宋"/>
                <w:color w:val="auto"/>
                <w:sz w:val="24"/>
                <w:szCs w:val="24"/>
                <w:highlight w:val="none"/>
              </w:rPr>
            </w:pPr>
          </w:p>
          <w:p>
            <w:pPr>
              <w:pStyle w:val="46"/>
              <w:ind w:left="2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 xml:space="preserve">要求部分 </w:t>
            </w:r>
          </w:p>
        </w:tc>
        <w:tc>
          <w:tcPr>
            <w:tcW w:w="3064" w:type="dxa"/>
            <w:noWrap w:val="0"/>
            <w:vAlign w:val="top"/>
          </w:tcPr>
          <w:p>
            <w:pPr>
              <w:pStyle w:val="46"/>
              <w:spacing w:line="500" w:lineRule="exact"/>
              <w:ind w:left="730" w:right="58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投标服务部分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如有彩页，具体所对应页码）</w:t>
            </w:r>
          </w:p>
        </w:tc>
        <w:tc>
          <w:tcPr>
            <w:tcW w:w="2629" w:type="dxa"/>
            <w:noWrap w:val="0"/>
            <w:vAlign w:val="top"/>
          </w:tcPr>
          <w:p>
            <w:pPr>
              <w:pStyle w:val="46"/>
              <w:spacing w:before="11" w:beforeLines="0"/>
              <w:rPr>
                <w:rFonts w:hint="eastAsia" w:ascii="仿宋" w:hAnsi="仿宋" w:eastAsia="仿宋" w:cs="仿宋"/>
                <w:color w:val="auto"/>
                <w:sz w:val="24"/>
                <w:szCs w:val="24"/>
                <w:highlight w:val="none"/>
              </w:rPr>
            </w:pPr>
          </w:p>
          <w:p>
            <w:pPr>
              <w:pStyle w:val="46"/>
              <w:ind w:left="78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46"/>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p>
        </w:tc>
        <w:tc>
          <w:tcPr>
            <w:tcW w:w="2920" w:type="dxa"/>
            <w:noWrap w:val="0"/>
            <w:vAlign w:val="top"/>
          </w:tcPr>
          <w:p>
            <w:pPr>
              <w:pStyle w:val="46"/>
              <w:spacing w:before="245"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.供货地点.付款方式等</w:t>
            </w:r>
            <w:r>
              <w:rPr>
                <w:rFonts w:hint="eastAsia" w:ascii="仿宋" w:hAnsi="仿宋" w:eastAsia="仿宋" w:cs="仿宋"/>
                <w:color w:val="auto"/>
                <w:sz w:val="24"/>
                <w:szCs w:val="24"/>
                <w:highlight w:val="none"/>
                <w:lang w:eastAsia="zh-CN"/>
              </w:rPr>
              <w:t>）</w:t>
            </w:r>
          </w:p>
        </w:tc>
        <w:tc>
          <w:tcPr>
            <w:tcW w:w="3064" w:type="dxa"/>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p>
        </w:tc>
        <w:tc>
          <w:tcPr>
            <w:tcW w:w="2920" w:type="dxa"/>
            <w:noWrap w:val="0"/>
            <w:vAlign w:val="top"/>
          </w:tcPr>
          <w:p>
            <w:pPr>
              <w:pStyle w:val="46"/>
              <w:spacing w:before="248" w:beforeLines="0"/>
              <w:ind w:left="107"/>
              <w:rPr>
                <w:rFonts w:hint="eastAsia" w:ascii="仿宋" w:hAnsi="仿宋" w:eastAsia="仿宋" w:cs="仿宋"/>
                <w:color w:val="auto"/>
                <w:sz w:val="24"/>
                <w:szCs w:val="24"/>
                <w:highlight w:val="none"/>
              </w:rPr>
            </w:pPr>
          </w:p>
        </w:tc>
        <w:tc>
          <w:tcPr>
            <w:tcW w:w="3064"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46"/>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920" w:type="dxa"/>
            <w:noWrap w:val="0"/>
            <w:vAlign w:val="top"/>
          </w:tcPr>
          <w:p>
            <w:pPr>
              <w:pStyle w:val="46"/>
              <w:spacing w:before="245" w:beforeLines="0"/>
              <w:ind w:left="107"/>
              <w:rPr>
                <w:rFonts w:hint="eastAsia" w:ascii="仿宋" w:hAnsi="仿宋" w:eastAsia="仿宋" w:cs="仿宋"/>
                <w:color w:val="auto"/>
                <w:sz w:val="24"/>
                <w:szCs w:val="24"/>
                <w:highlight w:val="none"/>
              </w:rPr>
            </w:pPr>
          </w:p>
        </w:tc>
        <w:tc>
          <w:tcPr>
            <w:tcW w:w="3064" w:type="dxa"/>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p>
        </w:tc>
        <w:tc>
          <w:tcPr>
            <w:tcW w:w="2920" w:type="dxa"/>
            <w:noWrap w:val="0"/>
            <w:vAlign w:val="top"/>
          </w:tcPr>
          <w:p>
            <w:pPr>
              <w:pStyle w:val="46"/>
              <w:spacing w:before="248" w:beforeLines="0"/>
              <w:ind w:left="107"/>
              <w:rPr>
                <w:rFonts w:hint="eastAsia" w:ascii="仿宋" w:hAnsi="仿宋" w:eastAsia="仿宋" w:cs="仿宋"/>
                <w:color w:val="auto"/>
                <w:sz w:val="24"/>
                <w:szCs w:val="24"/>
                <w:highlight w:val="none"/>
              </w:rPr>
            </w:pPr>
          </w:p>
        </w:tc>
        <w:tc>
          <w:tcPr>
            <w:tcW w:w="3064"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p>
        </w:tc>
        <w:tc>
          <w:tcPr>
            <w:tcW w:w="2920" w:type="dxa"/>
            <w:noWrap w:val="0"/>
            <w:vAlign w:val="top"/>
          </w:tcPr>
          <w:p>
            <w:pPr>
              <w:pStyle w:val="46"/>
              <w:spacing w:before="245" w:beforeLines="0"/>
              <w:ind w:left="107" w:leftChars="0"/>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46"/>
              <w:spacing w:before="248"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920" w:type="dxa"/>
            <w:noWrap w:val="0"/>
            <w:vAlign w:val="top"/>
          </w:tcPr>
          <w:p>
            <w:pPr>
              <w:pStyle w:val="46"/>
              <w:spacing w:before="248" w:beforeLines="0"/>
              <w:ind w:left="107" w:leftChars="0"/>
              <w:rPr>
                <w:rFonts w:hint="eastAsia" w:ascii="仿宋" w:hAnsi="仿宋" w:eastAsia="仿宋" w:cs="仿宋"/>
                <w:color w:val="auto"/>
                <w:kern w:val="0"/>
                <w:sz w:val="24"/>
                <w:szCs w:val="24"/>
                <w:highlight w:val="none"/>
                <w:lang w:val="zh-CN" w:eastAsia="zh-CN"/>
              </w:rPr>
            </w:pPr>
          </w:p>
        </w:tc>
        <w:tc>
          <w:tcPr>
            <w:tcW w:w="3064"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46"/>
              <w:spacing w:before="247" w:beforeLines="0"/>
              <w:ind w:left="107" w:right="-15"/>
              <w:rPr>
                <w:rFonts w:hint="eastAsia" w:ascii="仿宋" w:hAnsi="仿宋" w:eastAsia="仿宋" w:cs="仿宋"/>
                <w:color w:val="auto"/>
                <w:sz w:val="24"/>
                <w:szCs w:val="24"/>
                <w:highlight w:val="none"/>
              </w:rPr>
            </w:pPr>
          </w:p>
        </w:tc>
        <w:tc>
          <w:tcPr>
            <w:tcW w:w="2920" w:type="dxa"/>
            <w:noWrap w:val="0"/>
            <w:vAlign w:val="top"/>
          </w:tcPr>
          <w:p>
            <w:pPr>
              <w:pStyle w:val="46"/>
              <w:spacing w:before="247" w:beforeLines="0"/>
              <w:ind w:left="107"/>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46"/>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noWrap w:val="0"/>
            <w:vAlign w:val="top"/>
          </w:tcPr>
          <w:p>
            <w:pPr>
              <w:pStyle w:val="46"/>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46"/>
              <w:spacing w:before="247" w:beforeLines="0"/>
              <w:ind w:left="107" w:right="-15"/>
              <w:rPr>
                <w:rFonts w:hint="eastAsia" w:ascii="仿宋" w:hAnsi="仿宋" w:eastAsia="仿宋" w:cs="仿宋"/>
                <w:color w:val="auto"/>
                <w:sz w:val="24"/>
                <w:szCs w:val="24"/>
                <w:highlight w:val="none"/>
              </w:rPr>
            </w:pPr>
          </w:p>
        </w:tc>
        <w:tc>
          <w:tcPr>
            <w:tcW w:w="2920" w:type="dxa"/>
            <w:noWrap w:val="0"/>
            <w:vAlign w:val="top"/>
          </w:tcPr>
          <w:p>
            <w:pPr>
              <w:pStyle w:val="46"/>
              <w:spacing w:before="247" w:beforeLines="0"/>
              <w:ind w:left="107"/>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noWrap w:val="0"/>
            <w:vAlign w:val="top"/>
          </w:tcPr>
          <w:p>
            <w:pPr>
              <w:pStyle w:val="46"/>
              <w:spacing w:before="247" w:beforeLines="0"/>
              <w:ind w:left="104"/>
              <w:rPr>
                <w:rFonts w:hint="eastAsia" w:ascii="仿宋" w:hAnsi="仿宋" w:eastAsia="仿宋" w:cs="仿宋"/>
                <w:color w:val="auto"/>
                <w:w w:val="100"/>
                <w:sz w:val="24"/>
                <w:szCs w:val="24"/>
                <w:highlight w:val="none"/>
              </w:rPr>
            </w:pPr>
          </w:p>
        </w:tc>
        <w:tc>
          <w:tcPr>
            <w:tcW w:w="2629" w:type="dxa"/>
            <w:noWrap w:val="0"/>
            <w:vAlign w:val="top"/>
          </w:tcPr>
          <w:p>
            <w:pPr>
              <w:pStyle w:val="46"/>
              <w:spacing w:before="247" w:beforeLines="0"/>
              <w:ind w:left="104"/>
              <w:rPr>
                <w:rFonts w:hint="eastAsia" w:ascii="仿宋" w:hAnsi="仿宋" w:eastAsia="仿宋" w:cs="仿宋"/>
                <w:color w:val="auto"/>
                <w:w w:val="100"/>
                <w:sz w:val="24"/>
                <w:szCs w:val="24"/>
                <w:highlight w:val="none"/>
              </w:rPr>
            </w:pPr>
          </w:p>
        </w:tc>
      </w:tr>
    </w:tbl>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78"/>
        <w:spacing w:line="360" w:lineRule="auto"/>
        <w:ind w:right="17" w:firstLine="4320" w:firstLineChars="1800"/>
        <w:jc w:val="both"/>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outlineLvl w:val="1"/>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3.技术参数响应</w:t>
      </w:r>
    </w:p>
    <w:p>
      <w:pPr>
        <w:pStyle w:val="59"/>
        <w:numPr>
          <w:ilvl w:val="0"/>
          <w:numId w:val="0"/>
        </w:numPr>
        <w:spacing w:line="500" w:lineRule="exact"/>
        <w:jc w:val="left"/>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技术参数响应偏离说明表（格式可自拟）</w:t>
      </w:r>
    </w:p>
    <w:p>
      <w:pPr>
        <w:pStyle w:val="91"/>
        <w:tabs>
          <w:tab w:val="left" w:pos="5580"/>
        </w:tabs>
        <w:spacing w:line="360" w:lineRule="auto"/>
        <w:jc w:val="left"/>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技术规范偏离表</w:t>
      </w:r>
    </w:p>
    <w:p>
      <w:pPr>
        <w:pStyle w:val="92"/>
        <w:spacing w:line="360" w:lineRule="auto"/>
        <w:ind w:left="0" w:leftChars="0" w:firstLine="0" w:firstLineChars="0"/>
        <w:rPr>
          <w:rFonts w:hint="eastAsia" w:ascii="宋体" w:hAnsi="宋体" w:eastAsia="宋体" w:cs="宋体"/>
          <w:highlight w:val="none"/>
        </w:rPr>
      </w:pPr>
      <w:r>
        <w:rPr>
          <w:rFonts w:hint="eastAsia" w:ascii="仿宋" w:hAnsi="仿宋" w:eastAsia="仿宋" w:cs="仿宋"/>
          <w:color w:val="auto"/>
          <w:kern w:val="0"/>
          <w:sz w:val="24"/>
          <w:szCs w:val="24"/>
          <w:highlight w:val="none"/>
          <w:lang w:val="zh-CN" w:eastAsia="zh-CN" w:bidi="zh-CN"/>
        </w:rPr>
        <w:t>项目编号、包号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序号</w:t>
            </w:r>
          </w:p>
        </w:tc>
        <w:tc>
          <w:tcPr>
            <w:tcW w:w="2101"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名称及编号</w:t>
            </w:r>
          </w:p>
        </w:tc>
        <w:tc>
          <w:tcPr>
            <w:tcW w:w="1021"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数量</w:t>
            </w:r>
          </w:p>
        </w:tc>
        <w:tc>
          <w:tcPr>
            <w:tcW w:w="1707"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招标文件技术规范、要求</w:t>
            </w:r>
          </w:p>
        </w:tc>
        <w:tc>
          <w:tcPr>
            <w:tcW w:w="1337"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投标文件对应规范（</w:t>
            </w:r>
            <w:r>
              <w:rPr>
                <w:rFonts w:hint="eastAsia" w:ascii="仿宋" w:hAnsi="仿宋" w:eastAsia="仿宋" w:cs="仿宋"/>
                <w:color w:val="auto"/>
                <w:kern w:val="0"/>
                <w:sz w:val="24"/>
                <w:szCs w:val="24"/>
                <w:highlight w:val="none"/>
                <w:lang w:val="en-US" w:eastAsia="zh-CN" w:bidi="zh-CN"/>
              </w:rPr>
              <w:t>如有彩页，具有所对应页码</w:t>
            </w:r>
            <w:r>
              <w:rPr>
                <w:rFonts w:hint="eastAsia" w:ascii="仿宋" w:hAnsi="仿宋" w:eastAsia="仿宋" w:cs="仿宋"/>
                <w:color w:val="auto"/>
                <w:kern w:val="0"/>
                <w:sz w:val="24"/>
                <w:szCs w:val="24"/>
                <w:highlight w:val="none"/>
                <w:lang w:val="zh-CN" w:eastAsia="zh-CN" w:bidi="zh-CN"/>
              </w:rPr>
              <w:t>）</w:t>
            </w:r>
          </w:p>
        </w:tc>
        <w:tc>
          <w:tcPr>
            <w:tcW w:w="1337"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偏差</w:t>
            </w:r>
          </w:p>
        </w:tc>
        <w:tc>
          <w:tcPr>
            <w:tcW w:w="977" w:type="dxa"/>
            <w:tcBorders>
              <w:top w:val="single" w:color="auto" w:sz="12" w:space="0"/>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bottom w:val="single" w:color="auto" w:sz="12" w:space="0"/>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bl>
    <w:p>
      <w:pPr>
        <w:pStyle w:val="91"/>
        <w:spacing w:line="360" w:lineRule="auto"/>
        <w:ind w:left="2"/>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说明：如投标人提交的货物技术规范与招标文件的要求存在偏离，需逐项填写《货物技术规范偏离表》。</w:t>
      </w:r>
    </w:p>
    <w:p>
      <w:pPr>
        <w:pStyle w:val="94"/>
        <w:spacing w:before="0" w:after="0" w:line="360" w:lineRule="auto"/>
        <w:ind w:right="960"/>
        <w:rPr>
          <w:rFonts w:hint="eastAsia" w:ascii="宋体" w:hAnsi="宋体" w:eastAsia="宋体" w:cs="宋体"/>
          <w:color w:val="000000"/>
          <w:sz w:val="24"/>
          <w:szCs w:val="24"/>
          <w:highlight w:val="none"/>
        </w:rPr>
      </w:pPr>
    </w:p>
    <w:p>
      <w:pPr>
        <w:pStyle w:val="94"/>
        <w:spacing w:before="0" w:after="0" w:line="360" w:lineRule="auto"/>
        <w:ind w:right="17"/>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1"/>
        <w:rPr>
          <w:rFonts w:hint="eastAsia" w:ascii="仿宋" w:hAnsi="仿宋" w:eastAsia="仿宋" w:cs="仿宋"/>
          <w:b/>
          <w:color w:val="auto"/>
          <w:kern w:val="0"/>
          <w:sz w:val="32"/>
          <w:szCs w:val="24"/>
          <w:highlight w:val="none"/>
        </w:rPr>
      </w:pPr>
      <w:bookmarkStart w:id="193" w:name="_Toc21011"/>
      <w:r>
        <w:rPr>
          <w:rFonts w:hint="eastAsia" w:ascii="仿宋" w:hAnsi="仿宋" w:eastAsia="仿宋" w:cs="仿宋"/>
          <w:b/>
          <w:color w:val="auto"/>
          <w:kern w:val="0"/>
          <w:sz w:val="32"/>
          <w:szCs w:val="24"/>
          <w:highlight w:val="none"/>
          <w:lang w:val="en-US" w:eastAsia="zh-CN"/>
        </w:rPr>
        <w:t>4.</w:t>
      </w:r>
      <w:r>
        <w:rPr>
          <w:rFonts w:hint="eastAsia" w:ascii="仿宋" w:hAnsi="仿宋" w:eastAsia="仿宋" w:cs="仿宋"/>
          <w:b/>
          <w:color w:val="auto"/>
          <w:kern w:val="0"/>
          <w:sz w:val="32"/>
          <w:szCs w:val="24"/>
          <w:highlight w:val="none"/>
          <w:lang w:eastAsia="zh-CN"/>
        </w:rPr>
        <w:t>投标人</w:t>
      </w:r>
      <w:r>
        <w:rPr>
          <w:rFonts w:hint="eastAsia" w:ascii="仿宋" w:hAnsi="仿宋" w:eastAsia="仿宋" w:cs="仿宋"/>
          <w:b/>
          <w:color w:val="auto"/>
          <w:kern w:val="0"/>
          <w:sz w:val="32"/>
          <w:szCs w:val="24"/>
          <w:highlight w:val="none"/>
        </w:rPr>
        <w:t>认为有必要提供的</w:t>
      </w:r>
      <w:r>
        <w:rPr>
          <w:rFonts w:hint="eastAsia" w:ascii="仿宋" w:hAnsi="仿宋" w:eastAsia="仿宋" w:cs="仿宋"/>
          <w:b/>
          <w:color w:val="auto"/>
          <w:kern w:val="0"/>
          <w:sz w:val="32"/>
          <w:szCs w:val="24"/>
          <w:highlight w:val="none"/>
          <w:lang w:eastAsia="zh-CN"/>
        </w:rPr>
        <w:t>其他</w:t>
      </w:r>
      <w:r>
        <w:rPr>
          <w:rFonts w:hint="eastAsia" w:ascii="仿宋" w:hAnsi="仿宋" w:eastAsia="仿宋" w:cs="仿宋"/>
          <w:b/>
          <w:color w:val="auto"/>
          <w:kern w:val="0"/>
          <w:sz w:val="32"/>
          <w:szCs w:val="24"/>
          <w:highlight w:val="none"/>
        </w:rPr>
        <w:t>声明及文件</w:t>
      </w:r>
      <w:r>
        <w:rPr>
          <w:rFonts w:hint="eastAsia" w:ascii="仿宋" w:hAnsi="仿宋" w:eastAsia="仿宋" w:cs="仿宋"/>
          <w:b/>
          <w:color w:val="auto"/>
          <w:kern w:val="0"/>
          <w:sz w:val="32"/>
          <w:szCs w:val="24"/>
          <w:highlight w:val="none"/>
          <w:lang w:eastAsia="zh-CN"/>
        </w:rPr>
        <w:t>技术</w:t>
      </w:r>
      <w:r>
        <w:rPr>
          <w:rFonts w:hint="eastAsia" w:ascii="仿宋" w:hAnsi="仿宋" w:eastAsia="仿宋" w:cs="仿宋"/>
          <w:b/>
          <w:color w:val="auto"/>
          <w:kern w:val="0"/>
          <w:sz w:val="32"/>
          <w:szCs w:val="24"/>
          <w:highlight w:val="none"/>
        </w:rPr>
        <w:t>资料</w:t>
      </w:r>
      <w:bookmarkEnd w:id="193"/>
    </w:p>
    <w:p>
      <w:pPr>
        <w:pStyle w:val="78"/>
        <w:spacing w:line="360" w:lineRule="auto"/>
        <w:ind w:right="17" w:firstLine="4320" w:firstLineChars="1800"/>
        <w:jc w:val="both"/>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p>
    <w:p>
      <w:pPr>
        <w:pStyle w:val="16"/>
        <w:autoSpaceDE w:val="0"/>
        <w:spacing w:before="0" w:beforeAutospacing="0" w:after="0" w:afterAutospacing="0" w:line="360" w:lineRule="auto"/>
        <w:outlineLvl w:val="1"/>
        <w:rPr>
          <w:rFonts w:hint="eastAsia" w:ascii="宋体" w:hAnsi="宋体" w:eastAsia="宋体" w:cs="宋体"/>
          <w:b/>
          <w:color w:val="auto"/>
          <w:kern w:val="2"/>
          <w:sz w:val="28"/>
          <w:szCs w:val="28"/>
          <w:highlight w:val="none"/>
          <w:lang w:val="en-US" w:eastAsia="zh-CN" w:bidi="ar-SA"/>
        </w:rPr>
      </w:pPr>
      <w:bookmarkStart w:id="194" w:name="_Toc85987161"/>
      <w:bookmarkStart w:id="195" w:name="_Toc11123"/>
      <w:bookmarkStart w:id="196" w:name="_Toc3573"/>
      <w:bookmarkStart w:id="197" w:name="_Toc6289"/>
      <w:bookmarkStart w:id="198" w:name="_Toc4078"/>
      <w:bookmarkStart w:id="199" w:name="_Toc20891"/>
      <w:bookmarkStart w:id="200" w:name="_Toc32257"/>
      <w:bookmarkStart w:id="201" w:name="_Toc21741"/>
      <w:bookmarkStart w:id="202" w:name="_Toc6857"/>
      <w:bookmarkStart w:id="203" w:name="_Toc17113"/>
      <w:bookmarkStart w:id="204" w:name="_Toc4007"/>
      <w:bookmarkStart w:id="205" w:name="_Toc21076"/>
      <w:bookmarkStart w:id="206" w:name="_Toc6618"/>
      <w:r>
        <w:rPr>
          <w:rFonts w:hint="eastAsia" w:ascii="宋体" w:hAnsi="宋体" w:cs="宋体"/>
          <w:b/>
          <w:color w:val="auto"/>
          <w:kern w:val="2"/>
          <w:sz w:val="28"/>
          <w:szCs w:val="28"/>
          <w:highlight w:val="none"/>
          <w:lang w:val="en-US" w:eastAsia="zh-CN" w:bidi="ar-SA"/>
        </w:rPr>
        <w:t>5</w:t>
      </w:r>
      <w:r>
        <w:rPr>
          <w:rFonts w:hint="eastAsia" w:ascii="宋体" w:hAnsi="宋体" w:eastAsia="宋体" w:cs="宋体"/>
          <w:b/>
          <w:color w:val="auto"/>
          <w:kern w:val="2"/>
          <w:sz w:val="28"/>
          <w:szCs w:val="28"/>
          <w:highlight w:val="none"/>
          <w:lang w:val="en-US" w:eastAsia="zh-CN" w:bidi="ar-SA"/>
        </w:rPr>
        <w:t>.商务技术其他评分内容</w:t>
      </w:r>
      <w:bookmarkEnd w:id="194"/>
      <w:bookmarkEnd w:id="195"/>
      <w:bookmarkEnd w:id="196"/>
      <w:bookmarkEnd w:id="197"/>
      <w:bookmarkEnd w:id="198"/>
    </w:p>
    <w:p>
      <w:pPr>
        <w:pStyle w:val="16"/>
        <w:spacing w:before="0" w:beforeAutospacing="0" w:after="0" w:afterAutospacing="0" w:line="360" w:lineRule="auto"/>
        <w:ind w:left="2"/>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注：投标人根据“政采云投标客户端”结合招标文件第四部分 评审方法（综合评分法） 商务技术评审要求的内容，自行拟定格式。</w:t>
      </w:r>
    </w:p>
    <w:p>
      <w:pPr>
        <w:pStyle w:val="16"/>
        <w:autoSpaceDE w:val="0"/>
        <w:spacing w:before="0" w:beforeAutospacing="0" w:after="0" w:afterAutospacing="0" w:line="360" w:lineRule="auto"/>
        <w:outlineLvl w:val="2"/>
        <w:rPr>
          <w:rFonts w:hint="eastAsia" w:cs="宋体"/>
          <w:b/>
          <w:color w:val="auto"/>
          <w:sz w:val="36"/>
          <w:szCs w:val="36"/>
          <w:highlight w:val="none"/>
          <w:lang w:bidi="ar"/>
        </w:rPr>
        <w:sectPr>
          <w:pgSz w:w="11907" w:h="16840"/>
          <w:pgMar w:top="1134" w:right="1191" w:bottom="1134" w:left="1304" w:header="964" w:footer="992" w:gutter="0"/>
          <w:pgNumType w:fmt="decimal"/>
          <w:cols w:space="720" w:num="1"/>
          <w:docGrid w:linePitch="312" w:charSpace="0"/>
        </w:sectPr>
      </w:pPr>
    </w:p>
    <w:p>
      <w:pPr>
        <w:pStyle w:val="11"/>
        <w:spacing w:line="440" w:lineRule="exact"/>
        <w:jc w:val="left"/>
        <w:outlineLvl w:val="1"/>
        <w:rPr>
          <w:rFonts w:hint="eastAsia" w:ascii="仿宋" w:hAnsi="仿宋" w:eastAsia="仿宋" w:cs="仿宋"/>
          <w:b w:val="0"/>
          <w:bCs/>
          <w:color w:val="auto"/>
          <w:kern w:val="0"/>
          <w:sz w:val="32"/>
          <w:szCs w:val="24"/>
          <w:highlight w:val="none"/>
          <w:lang w:val="en-US" w:eastAsia="zh-CN" w:bidi="ar-SA"/>
        </w:rPr>
      </w:pPr>
      <w:r>
        <w:rPr>
          <w:rFonts w:hint="eastAsia" w:ascii="仿宋" w:hAnsi="仿宋" w:eastAsia="仿宋" w:cs="仿宋"/>
          <w:b w:val="0"/>
          <w:bCs/>
          <w:color w:val="auto"/>
          <w:kern w:val="0"/>
          <w:sz w:val="32"/>
          <w:szCs w:val="24"/>
          <w:highlight w:val="none"/>
          <w:lang w:val="en-US" w:eastAsia="zh-CN" w:bidi="ar-SA"/>
        </w:rPr>
        <w:t>6.退还保证金申请函</w:t>
      </w:r>
      <w:bookmarkEnd w:id="199"/>
      <w:bookmarkEnd w:id="200"/>
      <w:bookmarkEnd w:id="201"/>
      <w:bookmarkEnd w:id="202"/>
      <w:bookmarkEnd w:id="203"/>
      <w:bookmarkEnd w:id="204"/>
      <w:bookmarkEnd w:id="205"/>
      <w:bookmarkEnd w:id="206"/>
    </w:p>
    <w:p>
      <w:pPr>
        <w:spacing w:line="360" w:lineRule="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新疆锦辰工程项目管理有限公司</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rPr>
        <w:t>参加贵方组织的，</w:t>
      </w:r>
      <w:r>
        <w:rPr>
          <w:rFonts w:hint="eastAsia" w:ascii="仿宋" w:hAnsi="仿宋" w:eastAsia="仿宋" w:cs="仿宋"/>
          <w:b w:val="0"/>
          <w:bCs w:val="0"/>
          <w:color w:val="auto"/>
          <w:sz w:val="24"/>
          <w:szCs w:val="24"/>
          <w:highlight w:val="none"/>
          <w:u w:val="single"/>
          <w:lang w:val="en-US" w:eastAsia="zh-CN"/>
        </w:rPr>
        <w:t>（项目名称）（项目编号）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文件的规定，已通过</w:t>
      </w:r>
      <w:r>
        <w:rPr>
          <w:rFonts w:hint="eastAsia" w:ascii="仿宋" w:hAnsi="仿宋" w:eastAsia="仿宋" w:cs="仿宋"/>
          <w:color w:val="auto"/>
          <w:sz w:val="24"/>
          <w:szCs w:val="24"/>
          <w:highlight w:val="none"/>
          <w:u w:val="single"/>
        </w:rPr>
        <w:t>银行转帐/银行汇款</w:t>
      </w:r>
      <w:r>
        <w:rPr>
          <w:rFonts w:hint="eastAsia" w:ascii="仿宋" w:hAnsi="仿宋" w:eastAsia="仿宋" w:cs="仿宋"/>
          <w:color w:val="auto"/>
          <w:sz w:val="24"/>
          <w:szCs w:val="24"/>
          <w:highlight w:val="none"/>
        </w:rPr>
        <w:t>形式缴纳人民币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rPr>
        <w:t>元的保证金。</w:t>
      </w:r>
    </w:p>
    <w:p>
      <w:pPr>
        <w:autoSpaceDE w:val="0"/>
        <w:autoSpaceDN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退还保证金</w:t>
      </w:r>
      <w:r>
        <w:rPr>
          <w:rFonts w:hint="eastAsia" w:ascii="仿宋" w:hAnsi="仿宋" w:eastAsia="仿宋" w:cs="仿宋"/>
          <w:color w:val="auto"/>
          <w:sz w:val="24"/>
          <w:szCs w:val="24"/>
          <w:highlight w:val="none"/>
        </w:rPr>
        <w:t>时请按以下内容划入我方帐户。若因内容不全、错误、字迹潦草模糊导致该项目保证金未能及时退还或退还过程中发生错误，我方将承担全部责任和损失。</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i/>
          <w:i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开户银行行号：</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xml:space="preserve">                             </w:t>
      </w:r>
    </w:p>
    <w:p>
      <w:pPr>
        <w:spacing w:line="360" w:lineRule="auto"/>
        <w:ind w:firstLine="420" w:firstLineChars="200"/>
        <w:outlineLvl w:val="9"/>
        <w:rPr>
          <w:rFonts w:hint="eastAsia" w:ascii="仿宋" w:hAnsi="仿宋" w:eastAsia="仿宋" w:cs="仿宋"/>
          <w:color w:val="auto"/>
          <w:sz w:val="24"/>
          <w:szCs w:val="24"/>
          <w:highlight w:val="none"/>
          <w:lang w:val="en-US" w:eastAsia="zh-CN"/>
        </w:rPr>
      </w:pPr>
      <w:r>
        <w:rPr>
          <w:rFonts w:hint="eastAsia" w:eastAsia="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投标人姓名：</w:t>
      </w:r>
      <w:r>
        <w:rPr>
          <w:rFonts w:hint="eastAsia" w:ascii="仿宋" w:hAnsi="仿宋" w:eastAsia="仿宋" w:cs="仿宋"/>
          <w:i/>
          <w:iCs/>
          <w:color w:val="auto"/>
          <w:sz w:val="24"/>
          <w:szCs w:val="24"/>
          <w:highlight w:val="none"/>
          <w:u w:val="single"/>
        </w:rPr>
        <w:t xml:space="preserve">                                 </w:t>
      </w:r>
    </w:p>
    <w:p>
      <w:pPr>
        <w:spacing w:line="360" w:lineRule="auto"/>
        <w:ind w:firstLine="480" w:firstLineChars="200"/>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投标人联系电话：</w:t>
      </w:r>
      <w:r>
        <w:rPr>
          <w:rFonts w:hint="eastAsia" w:ascii="仿宋" w:hAnsi="仿宋" w:eastAsia="仿宋" w:cs="仿宋"/>
          <w:color w:val="auto"/>
          <w:sz w:val="24"/>
          <w:szCs w:val="24"/>
          <w:highlight w:val="none"/>
          <w:u w:val="single"/>
        </w:rPr>
        <w:t xml:space="preserve">                             </w:t>
      </w:r>
    </w:p>
    <w:p>
      <w:pPr>
        <w:adjustRightInd w:val="0"/>
        <w:snapToGrid w:val="0"/>
        <w:spacing w:line="360" w:lineRule="auto"/>
        <w:outlineLvl w:val="9"/>
        <w:rPr>
          <w:rFonts w:hint="eastAsia" w:ascii="仿宋" w:hAnsi="仿宋" w:eastAsia="仿宋" w:cs="仿宋"/>
          <w:color w:val="auto"/>
          <w:sz w:val="24"/>
          <w:szCs w:val="24"/>
          <w:highlight w:val="none"/>
        </w:rPr>
      </w:pP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法定代表人（或法定代表人授权代表）签字：</w:t>
      </w: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pPr>
        <w:adjustRightInd w:val="0"/>
        <w:snapToGrid w:val="0"/>
        <w:spacing w:line="360" w:lineRule="auto"/>
        <w:outlineLvl w:val="9"/>
        <w:rPr>
          <w:rFonts w:hint="eastAsia" w:ascii="仿宋" w:hAnsi="仿宋" w:eastAsia="仿宋" w:cs="仿宋"/>
          <w:bCs/>
          <w:color w:val="auto"/>
          <w:sz w:val="21"/>
          <w:szCs w:val="21"/>
          <w:highlight w:val="none"/>
        </w:rPr>
      </w:pPr>
      <w:r>
        <w:rPr>
          <w:rFonts w:hint="eastAsia" w:ascii="仿宋" w:hAnsi="仿宋" w:eastAsia="仿宋" w:cs="仿宋"/>
          <w:color w:val="auto"/>
          <w:sz w:val="24"/>
          <w:szCs w:val="24"/>
          <w:highlight w:val="none"/>
        </w:rPr>
        <w:t>日期：   年   月   日</w:t>
      </w:r>
    </w:p>
    <w:p>
      <w:pPr>
        <w:pStyle w:val="11"/>
        <w:spacing w:line="440" w:lineRule="exact"/>
        <w:jc w:val="both"/>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注：中标结果公告发出后，为方便代理机构后续退款事宜，维护各方的合法权益，请投标人认真填写此函信息，并后附转帐或汇款的银行凭证复印件。</w:t>
      </w:r>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220" w:type="dxa"/>
            <w:noWrap w:val="0"/>
            <w:vAlign w:val="center"/>
          </w:tcPr>
          <w:p>
            <w:pPr>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0288;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EwTDTVAAAACAEAAA8AAAAAAAAAAQAgAAAAIgAAAGRycy9kb3ducmV2&#10;LnhtbFBLAQIUABQAAAAIAIdO4kCnGxBjxgEAAIwDAAAOAAAAAAAAAAEAIAAAACQBAABkcnMvZTJv&#10;RG9jLnhtbFBLBQYAAAAABgAGAFkBAABc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4384;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MEw01QAAAAgBAAAPAAAAAAAAAAEAIAAAACIAAABkcnMvZG93bnJl&#10;di54bWxQSwECFAAUAAAACACHTuJA4+wuzMcBAACMAwAADgAAAAAAAAABACAAAAAkAQAAZHJzL2Uy&#10;b0RvYy54bWxQSwUGAAAAAAYABgBZAQAAXQU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923319563"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EFDB4"/>
    <w:multiLevelType w:val="singleLevel"/>
    <w:tmpl w:val="828EFDB4"/>
    <w:lvl w:ilvl="0" w:tentative="0">
      <w:start w:val="1"/>
      <w:numFmt w:val="decimal"/>
      <w:lvlText w:val="%1."/>
      <w:lvlJc w:val="left"/>
      <w:pPr>
        <w:tabs>
          <w:tab w:val="left" w:pos="312"/>
        </w:tabs>
      </w:pPr>
    </w:lvl>
  </w:abstractNum>
  <w:abstractNum w:abstractNumId="1">
    <w:nsid w:val="8383617C"/>
    <w:multiLevelType w:val="singleLevel"/>
    <w:tmpl w:val="8383617C"/>
    <w:lvl w:ilvl="0" w:tentative="0">
      <w:start w:val="1"/>
      <w:numFmt w:val="decimal"/>
      <w:suff w:val="space"/>
      <w:lvlText w:val="(%1)"/>
      <w:lvlJc w:val="left"/>
    </w:lvl>
  </w:abstractNum>
  <w:abstractNum w:abstractNumId="2">
    <w:nsid w:val="91A8E96D"/>
    <w:multiLevelType w:val="singleLevel"/>
    <w:tmpl w:val="91A8E96D"/>
    <w:lvl w:ilvl="0" w:tentative="0">
      <w:start w:val="7"/>
      <w:numFmt w:val="decimal"/>
      <w:lvlText w:val="%1."/>
      <w:lvlJc w:val="left"/>
      <w:pPr>
        <w:tabs>
          <w:tab w:val="left" w:pos="312"/>
        </w:tabs>
      </w:pPr>
    </w:lvl>
  </w:abstractNum>
  <w:abstractNum w:abstractNumId="3">
    <w:nsid w:val="C6A04E94"/>
    <w:multiLevelType w:val="singleLevel"/>
    <w:tmpl w:val="C6A04E94"/>
    <w:lvl w:ilvl="0" w:tentative="0">
      <w:start w:val="5"/>
      <w:numFmt w:val="chineseCounting"/>
      <w:suff w:val="nothing"/>
      <w:lvlText w:val="%1、"/>
      <w:lvlJc w:val="left"/>
      <w:rPr>
        <w:rFonts w:hint="eastAsia"/>
      </w:rPr>
    </w:lvl>
  </w:abstractNum>
  <w:abstractNum w:abstractNumId="4">
    <w:nsid w:val="C8C8D01F"/>
    <w:multiLevelType w:val="singleLevel"/>
    <w:tmpl w:val="C8C8D01F"/>
    <w:lvl w:ilvl="0" w:tentative="0">
      <w:start w:val="1"/>
      <w:numFmt w:val="decimal"/>
      <w:suff w:val="nothing"/>
      <w:lvlText w:val="%1、"/>
      <w:lvlJc w:val="left"/>
    </w:lvl>
  </w:abstractNum>
  <w:abstractNum w:abstractNumId="5">
    <w:nsid w:val="DD152217"/>
    <w:multiLevelType w:val="singleLevel"/>
    <w:tmpl w:val="DD152217"/>
    <w:lvl w:ilvl="0" w:tentative="0">
      <w:start w:val="1"/>
      <w:numFmt w:val="chineseCounting"/>
      <w:suff w:val="nothing"/>
      <w:lvlText w:val="%1、"/>
      <w:lvlJc w:val="left"/>
      <w:rPr>
        <w:rFonts w:hint="eastAsia"/>
      </w:rPr>
    </w:lvl>
  </w:abstractNum>
  <w:abstractNum w:abstractNumId="6">
    <w:nsid w:val="E0B69CF5"/>
    <w:multiLevelType w:val="singleLevel"/>
    <w:tmpl w:val="E0B69CF5"/>
    <w:lvl w:ilvl="0" w:tentative="0">
      <w:start w:val="1"/>
      <w:numFmt w:val="decimal"/>
      <w:suff w:val="nothing"/>
      <w:lvlText w:val="%1、"/>
      <w:lvlJc w:val="left"/>
    </w:lvl>
  </w:abstractNum>
  <w:abstractNum w:abstractNumId="7">
    <w:nsid w:val="FC50A0AE"/>
    <w:multiLevelType w:val="singleLevel"/>
    <w:tmpl w:val="FC50A0AE"/>
    <w:lvl w:ilvl="0" w:tentative="0">
      <w:start w:val="5"/>
      <w:numFmt w:val="chineseCounting"/>
      <w:suff w:val="nothing"/>
      <w:lvlText w:val="%1、"/>
      <w:lvlJc w:val="left"/>
      <w:rPr>
        <w:rFonts w:hint="eastAsia"/>
      </w:rPr>
    </w:lvl>
  </w:abstractNum>
  <w:abstractNum w:abstractNumId="8">
    <w:nsid w:val="FC6F1B1E"/>
    <w:multiLevelType w:val="singleLevel"/>
    <w:tmpl w:val="FC6F1B1E"/>
    <w:lvl w:ilvl="0" w:tentative="0">
      <w:start w:val="1"/>
      <w:numFmt w:val="decimal"/>
      <w:suff w:val="nothing"/>
      <w:lvlText w:val="（%1）"/>
      <w:lvlJc w:val="left"/>
    </w:lvl>
  </w:abstractNum>
  <w:abstractNum w:abstractNumId="9">
    <w:nsid w:val="FE109676"/>
    <w:multiLevelType w:val="singleLevel"/>
    <w:tmpl w:val="FE109676"/>
    <w:lvl w:ilvl="0" w:tentative="0">
      <w:start w:val="1"/>
      <w:numFmt w:val="chineseCounting"/>
      <w:suff w:val="nothing"/>
      <w:lvlText w:val="%1、"/>
      <w:lvlJc w:val="left"/>
      <w:rPr>
        <w:rFonts w:hint="eastAsia"/>
      </w:rPr>
    </w:lvl>
  </w:abstractNum>
  <w:abstractNum w:abstractNumId="10">
    <w:nsid w:val="00000006"/>
    <w:multiLevelType w:val="multilevel"/>
    <w:tmpl w:val="00000006"/>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10" w:firstLine="0"/>
      </w:pPr>
      <w:rPr>
        <w:rFonts w:hint="eastAsia" w:ascii="宋体" w:hAnsi="宋体" w:eastAsia="宋体"/>
        <w:sz w:val="24"/>
        <w:szCs w:val="24"/>
        <w:lang w:val="en-US"/>
      </w:rPr>
    </w:lvl>
    <w:lvl w:ilvl="2" w:tentative="0">
      <w:start w:val="1"/>
      <w:numFmt w:val="chineseCountingThousand"/>
      <w:pStyle w:val="2"/>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0000000E"/>
    <w:multiLevelType w:val="singleLevel"/>
    <w:tmpl w:val="0000000E"/>
    <w:lvl w:ilvl="0" w:tentative="0">
      <w:start w:val="1"/>
      <w:numFmt w:val="decimal"/>
      <w:lvlText w:val="%1."/>
      <w:lvlJc w:val="left"/>
      <w:pPr>
        <w:tabs>
          <w:tab w:val="left" w:pos="312"/>
        </w:tabs>
      </w:pPr>
    </w:lvl>
  </w:abstractNum>
  <w:abstractNum w:abstractNumId="12">
    <w:nsid w:val="16033256"/>
    <w:multiLevelType w:val="singleLevel"/>
    <w:tmpl w:val="16033256"/>
    <w:lvl w:ilvl="0" w:tentative="0">
      <w:start w:val="1"/>
      <w:numFmt w:val="decimal"/>
      <w:suff w:val="nothing"/>
      <w:lvlText w:val="（%1）"/>
      <w:lvlJc w:val="left"/>
    </w:lvl>
  </w:abstractNum>
  <w:abstractNum w:abstractNumId="13">
    <w:nsid w:val="3B3CB3F0"/>
    <w:multiLevelType w:val="singleLevel"/>
    <w:tmpl w:val="3B3CB3F0"/>
    <w:lvl w:ilvl="0" w:tentative="0">
      <w:start w:val="4"/>
      <w:numFmt w:val="chineseCounting"/>
      <w:suff w:val="nothing"/>
      <w:lvlText w:val="%1、"/>
      <w:lvlJc w:val="left"/>
      <w:rPr>
        <w:rFonts w:hint="eastAsia"/>
      </w:rPr>
    </w:lvl>
  </w:abstractNum>
  <w:abstractNum w:abstractNumId="14">
    <w:nsid w:val="4895F5B5"/>
    <w:multiLevelType w:val="singleLevel"/>
    <w:tmpl w:val="4895F5B5"/>
    <w:lvl w:ilvl="0" w:tentative="0">
      <w:start w:val="1"/>
      <w:numFmt w:val="decimal"/>
      <w:lvlText w:val="%1."/>
      <w:lvlJc w:val="left"/>
      <w:pPr>
        <w:tabs>
          <w:tab w:val="left" w:pos="312"/>
        </w:tabs>
      </w:pPr>
    </w:lvl>
  </w:abstractNum>
  <w:abstractNum w:abstractNumId="15">
    <w:nsid w:val="57EEDEAA"/>
    <w:multiLevelType w:val="singleLevel"/>
    <w:tmpl w:val="57EEDEAA"/>
    <w:lvl w:ilvl="0" w:tentative="0">
      <w:start w:val="1"/>
      <w:numFmt w:val="decimal"/>
      <w:lvlText w:val="%1."/>
      <w:lvlJc w:val="left"/>
      <w:pPr>
        <w:tabs>
          <w:tab w:val="left" w:pos="312"/>
        </w:tabs>
      </w:pPr>
    </w:lvl>
  </w:abstractNum>
  <w:abstractNum w:abstractNumId="16">
    <w:nsid w:val="59045914"/>
    <w:multiLevelType w:val="singleLevel"/>
    <w:tmpl w:val="59045914"/>
    <w:lvl w:ilvl="0" w:tentative="0">
      <w:start w:val="1"/>
      <w:numFmt w:val="chineseCounting"/>
      <w:suff w:val="nothing"/>
      <w:lvlText w:val="%1、"/>
      <w:lvlJc w:val="left"/>
      <w:rPr>
        <w:rFonts w:hint="eastAsia"/>
      </w:rPr>
    </w:lvl>
  </w:abstractNum>
  <w:abstractNum w:abstractNumId="17">
    <w:nsid w:val="65589049"/>
    <w:multiLevelType w:val="singleLevel"/>
    <w:tmpl w:val="65589049"/>
    <w:lvl w:ilvl="0" w:tentative="0">
      <w:start w:val="2"/>
      <w:numFmt w:val="decimal"/>
      <w:lvlText w:val="%1."/>
      <w:lvlJc w:val="left"/>
      <w:pPr>
        <w:tabs>
          <w:tab w:val="left" w:pos="312"/>
        </w:tabs>
      </w:pPr>
    </w:lvl>
  </w:abstractNum>
  <w:abstractNum w:abstractNumId="18">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1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9">
    <w:nsid w:val="6E232674"/>
    <w:multiLevelType w:val="singleLevel"/>
    <w:tmpl w:val="6E232674"/>
    <w:lvl w:ilvl="0" w:tentative="0">
      <w:start w:val="1"/>
      <w:numFmt w:val="decimal"/>
      <w:suff w:val="nothing"/>
      <w:lvlText w:val="%1、"/>
      <w:lvlJc w:val="left"/>
    </w:lvl>
  </w:abstractNum>
  <w:abstractNum w:abstractNumId="20">
    <w:nsid w:val="6F5A8465"/>
    <w:multiLevelType w:val="singleLevel"/>
    <w:tmpl w:val="6F5A8465"/>
    <w:lvl w:ilvl="0" w:tentative="0">
      <w:start w:val="1"/>
      <w:numFmt w:val="decimal"/>
      <w:lvlText w:val="%1."/>
      <w:lvlJc w:val="left"/>
      <w:pPr>
        <w:tabs>
          <w:tab w:val="left" w:pos="312"/>
        </w:tabs>
      </w:pPr>
    </w:lvl>
  </w:abstractNum>
  <w:num w:numId="1">
    <w:abstractNumId w:val="18"/>
  </w:num>
  <w:num w:numId="2">
    <w:abstractNumId w:val="10"/>
  </w:num>
  <w:num w:numId="3">
    <w:abstractNumId w:val="5"/>
  </w:num>
  <w:num w:numId="4">
    <w:abstractNumId w:val="13"/>
  </w:num>
  <w:num w:numId="5">
    <w:abstractNumId w:val="8"/>
  </w:num>
  <w:num w:numId="6">
    <w:abstractNumId w:val="12"/>
  </w:num>
  <w:num w:numId="7">
    <w:abstractNumId w:val="17"/>
  </w:num>
  <w:num w:numId="8">
    <w:abstractNumId w:val="15"/>
  </w:num>
  <w:num w:numId="9">
    <w:abstractNumId w:val="14"/>
  </w:num>
  <w:num w:numId="10">
    <w:abstractNumId w:val="16"/>
  </w:num>
  <w:num w:numId="11">
    <w:abstractNumId w:val="20"/>
  </w:num>
  <w:num w:numId="12">
    <w:abstractNumId w:val="6"/>
  </w:num>
  <w:num w:numId="13">
    <w:abstractNumId w:val="9"/>
  </w:num>
  <w:num w:numId="14">
    <w:abstractNumId w:val="19"/>
  </w:num>
  <w:num w:numId="15">
    <w:abstractNumId w:val="3"/>
  </w:num>
  <w:num w:numId="16">
    <w:abstractNumId w:val="0"/>
  </w:num>
  <w:num w:numId="17">
    <w:abstractNumId w:val="7"/>
  </w:num>
  <w:num w:numId="18">
    <w:abstractNumId w:val="4"/>
  </w:num>
  <w:num w:numId="19">
    <w:abstractNumId w:val="1"/>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ZGQ5NGZhMmU0MDE1YjU1OGI2ZWNlZmQ1MWM4Y2UifQ=="/>
  </w:docVars>
  <w:rsids>
    <w:rsidRoot w:val="54670EF0"/>
    <w:rsid w:val="000527DC"/>
    <w:rsid w:val="00101AE9"/>
    <w:rsid w:val="004F19C6"/>
    <w:rsid w:val="007A42CC"/>
    <w:rsid w:val="00B5443F"/>
    <w:rsid w:val="01537B4D"/>
    <w:rsid w:val="01695955"/>
    <w:rsid w:val="01761A78"/>
    <w:rsid w:val="017D31AE"/>
    <w:rsid w:val="01BF6322"/>
    <w:rsid w:val="01EE7C08"/>
    <w:rsid w:val="02182ED7"/>
    <w:rsid w:val="02913D1B"/>
    <w:rsid w:val="02C4662B"/>
    <w:rsid w:val="02E01C47"/>
    <w:rsid w:val="030F6088"/>
    <w:rsid w:val="034006F5"/>
    <w:rsid w:val="03412F6A"/>
    <w:rsid w:val="035241C7"/>
    <w:rsid w:val="035C6A51"/>
    <w:rsid w:val="036B6853"/>
    <w:rsid w:val="037979A5"/>
    <w:rsid w:val="03886477"/>
    <w:rsid w:val="03A569EC"/>
    <w:rsid w:val="03A8028B"/>
    <w:rsid w:val="03B10EED"/>
    <w:rsid w:val="03B44709"/>
    <w:rsid w:val="03F0144C"/>
    <w:rsid w:val="04161698"/>
    <w:rsid w:val="04461F7D"/>
    <w:rsid w:val="045967B2"/>
    <w:rsid w:val="04700DA8"/>
    <w:rsid w:val="047B14FB"/>
    <w:rsid w:val="04904FA7"/>
    <w:rsid w:val="04AB3B8E"/>
    <w:rsid w:val="04BA64C7"/>
    <w:rsid w:val="04C904B8"/>
    <w:rsid w:val="04C9495C"/>
    <w:rsid w:val="04CE5ACF"/>
    <w:rsid w:val="04E83035"/>
    <w:rsid w:val="05383DBD"/>
    <w:rsid w:val="059042AC"/>
    <w:rsid w:val="059E36F3"/>
    <w:rsid w:val="05BA3C15"/>
    <w:rsid w:val="05C375FE"/>
    <w:rsid w:val="060C68AF"/>
    <w:rsid w:val="061E4834"/>
    <w:rsid w:val="06322AD9"/>
    <w:rsid w:val="06412D46"/>
    <w:rsid w:val="06514C09"/>
    <w:rsid w:val="06695AAF"/>
    <w:rsid w:val="06812DBA"/>
    <w:rsid w:val="06BA3FBB"/>
    <w:rsid w:val="06C47189"/>
    <w:rsid w:val="06D01FBD"/>
    <w:rsid w:val="06E2591E"/>
    <w:rsid w:val="0708351A"/>
    <w:rsid w:val="07226DF2"/>
    <w:rsid w:val="073A744C"/>
    <w:rsid w:val="07506C6F"/>
    <w:rsid w:val="07585B24"/>
    <w:rsid w:val="0775005F"/>
    <w:rsid w:val="07A80520"/>
    <w:rsid w:val="07BE62CF"/>
    <w:rsid w:val="080A32C2"/>
    <w:rsid w:val="080C6E8F"/>
    <w:rsid w:val="082A74C0"/>
    <w:rsid w:val="08316AA1"/>
    <w:rsid w:val="083B16CD"/>
    <w:rsid w:val="084713FC"/>
    <w:rsid w:val="086F75C9"/>
    <w:rsid w:val="08745B19"/>
    <w:rsid w:val="088968DD"/>
    <w:rsid w:val="08B333B7"/>
    <w:rsid w:val="08E73DA8"/>
    <w:rsid w:val="09336848"/>
    <w:rsid w:val="095575D7"/>
    <w:rsid w:val="09864BCA"/>
    <w:rsid w:val="09F71624"/>
    <w:rsid w:val="09F75C16"/>
    <w:rsid w:val="0A00672A"/>
    <w:rsid w:val="0A0C3321"/>
    <w:rsid w:val="0A2148F3"/>
    <w:rsid w:val="0A2F7010"/>
    <w:rsid w:val="0A36039E"/>
    <w:rsid w:val="0A4D7AA8"/>
    <w:rsid w:val="0AAA50F0"/>
    <w:rsid w:val="0AB47515"/>
    <w:rsid w:val="0ACA6D38"/>
    <w:rsid w:val="0B093D05"/>
    <w:rsid w:val="0B754954"/>
    <w:rsid w:val="0BCA5242"/>
    <w:rsid w:val="0BD5582F"/>
    <w:rsid w:val="0BE508DA"/>
    <w:rsid w:val="0BE62F0A"/>
    <w:rsid w:val="0BF21886"/>
    <w:rsid w:val="0C71390F"/>
    <w:rsid w:val="0C721436"/>
    <w:rsid w:val="0C7767A9"/>
    <w:rsid w:val="0C7C1AEC"/>
    <w:rsid w:val="0C9910B8"/>
    <w:rsid w:val="0CAF4438"/>
    <w:rsid w:val="0D026384"/>
    <w:rsid w:val="0D16129B"/>
    <w:rsid w:val="0D1B781E"/>
    <w:rsid w:val="0D49017D"/>
    <w:rsid w:val="0D501777"/>
    <w:rsid w:val="0D6B4803"/>
    <w:rsid w:val="0D957AD2"/>
    <w:rsid w:val="0D961154"/>
    <w:rsid w:val="0DB461AA"/>
    <w:rsid w:val="0DC9777B"/>
    <w:rsid w:val="0DDF6EFF"/>
    <w:rsid w:val="0E0F1632"/>
    <w:rsid w:val="0E344BF5"/>
    <w:rsid w:val="0E527771"/>
    <w:rsid w:val="0E6179B4"/>
    <w:rsid w:val="0E8042DE"/>
    <w:rsid w:val="0E8F62CF"/>
    <w:rsid w:val="0E925FDE"/>
    <w:rsid w:val="0EC51CF1"/>
    <w:rsid w:val="0F0363C5"/>
    <w:rsid w:val="0F0660F2"/>
    <w:rsid w:val="0F0E18EA"/>
    <w:rsid w:val="0F663283"/>
    <w:rsid w:val="0F9744C9"/>
    <w:rsid w:val="0FD3668F"/>
    <w:rsid w:val="10042CED"/>
    <w:rsid w:val="10084372"/>
    <w:rsid w:val="1010343F"/>
    <w:rsid w:val="101747CE"/>
    <w:rsid w:val="10270349"/>
    <w:rsid w:val="102F7D69"/>
    <w:rsid w:val="10685029"/>
    <w:rsid w:val="10893213"/>
    <w:rsid w:val="109E6C9D"/>
    <w:rsid w:val="10B169D0"/>
    <w:rsid w:val="10BE2E9B"/>
    <w:rsid w:val="10C61D50"/>
    <w:rsid w:val="10DB1C9F"/>
    <w:rsid w:val="10E70644"/>
    <w:rsid w:val="11241C03"/>
    <w:rsid w:val="113A2365"/>
    <w:rsid w:val="11D52EFC"/>
    <w:rsid w:val="11F84496"/>
    <w:rsid w:val="1250027F"/>
    <w:rsid w:val="129F0AAB"/>
    <w:rsid w:val="12BD7227"/>
    <w:rsid w:val="12E75305"/>
    <w:rsid w:val="138A5BED"/>
    <w:rsid w:val="139A7BF0"/>
    <w:rsid w:val="13BA5B9C"/>
    <w:rsid w:val="1426049F"/>
    <w:rsid w:val="143664D8"/>
    <w:rsid w:val="14423DE3"/>
    <w:rsid w:val="14642576"/>
    <w:rsid w:val="14D96970"/>
    <w:rsid w:val="14DE58BA"/>
    <w:rsid w:val="14F2162C"/>
    <w:rsid w:val="150B0520"/>
    <w:rsid w:val="15204125"/>
    <w:rsid w:val="1536302F"/>
    <w:rsid w:val="155142DE"/>
    <w:rsid w:val="1585042C"/>
    <w:rsid w:val="15A63B68"/>
    <w:rsid w:val="15C90E15"/>
    <w:rsid w:val="15D373E9"/>
    <w:rsid w:val="161D2B21"/>
    <w:rsid w:val="167B28FC"/>
    <w:rsid w:val="16811179"/>
    <w:rsid w:val="16C2562D"/>
    <w:rsid w:val="171657DF"/>
    <w:rsid w:val="17312619"/>
    <w:rsid w:val="175A33FF"/>
    <w:rsid w:val="17824C23"/>
    <w:rsid w:val="17834838"/>
    <w:rsid w:val="17900D32"/>
    <w:rsid w:val="179E7583"/>
    <w:rsid w:val="17AB31BB"/>
    <w:rsid w:val="17B9260F"/>
    <w:rsid w:val="17D10514"/>
    <w:rsid w:val="18243F2C"/>
    <w:rsid w:val="187367CE"/>
    <w:rsid w:val="189D783A"/>
    <w:rsid w:val="18E878E8"/>
    <w:rsid w:val="18F7519C"/>
    <w:rsid w:val="193E101D"/>
    <w:rsid w:val="193E2DCB"/>
    <w:rsid w:val="19597C05"/>
    <w:rsid w:val="19783AB2"/>
    <w:rsid w:val="199B2D85"/>
    <w:rsid w:val="19B03FCD"/>
    <w:rsid w:val="19B45102"/>
    <w:rsid w:val="19B645E8"/>
    <w:rsid w:val="19E716B5"/>
    <w:rsid w:val="1A1E4409"/>
    <w:rsid w:val="1A3522E5"/>
    <w:rsid w:val="1A4F0D0E"/>
    <w:rsid w:val="1A8C5DB8"/>
    <w:rsid w:val="1AC76DF0"/>
    <w:rsid w:val="1B5278D9"/>
    <w:rsid w:val="1B8371BB"/>
    <w:rsid w:val="1C2269D4"/>
    <w:rsid w:val="1C3E520E"/>
    <w:rsid w:val="1C67718A"/>
    <w:rsid w:val="1C827B77"/>
    <w:rsid w:val="1CA27B15"/>
    <w:rsid w:val="1CAB69CA"/>
    <w:rsid w:val="1CFE272D"/>
    <w:rsid w:val="1D000EB9"/>
    <w:rsid w:val="1D284574"/>
    <w:rsid w:val="1D3259A3"/>
    <w:rsid w:val="1D7B7BDC"/>
    <w:rsid w:val="1DB21FDA"/>
    <w:rsid w:val="1DD261D8"/>
    <w:rsid w:val="1E88067A"/>
    <w:rsid w:val="1E8F40C9"/>
    <w:rsid w:val="1EA35AC9"/>
    <w:rsid w:val="1EDA669C"/>
    <w:rsid w:val="1F470853"/>
    <w:rsid w:val="1F7A08D5"/>
    <w:rsid w:val="1FA249C0"/>
    <w:rsid w:val="1FE52C83"/>
    <w:rsid w:val="200C3C23"/>
    <w:rsid w:val="20124FB2"/>
    <w:rsid w:val="20142AD8"/>
    <w:rsid w:val="202E04EF"/>
    <w:rsid w:val="205674A7"/>
    <w:rsid w:val="206C2914"/>
    <w:rsid w:val="2079293B"/>
    <w:rsid w:val="2091237A"/>
    <w:rsid w:val="20BC4845"/>
    <w:rsid w:val="20EE157B"/>
    <w:rsid w:val="210B021C"/>
    <w:rsid w:val="210B5C89"/>
    <w:rsid w:val="21A63C04"/>
    <w:rsid w:val="21A659B2"/>
    <w:rsid w:val="21B46321"/>
    <w:rsid w:val="21DF308D"/>
    <w:rsid w:val="21EB7868"/>
    <w:rsid w:val="22251172"/>
    <w:rsid w:val="222C235B"/>
    <w:rsid w:val="2237586F"/>
    <w:rsid w:val="224D6539"/>
    <w:rsid w:val="22592A24"/>
    <w:rsid w:val="22627F65"/>
    <w:rsid w:val="22925F36"/>
    <w:rsid w:val="229D4A1D"/>
    <w:rsid w:val="22A55C69"/>
    <w:rsid w:val="22A561D0"/>
    <w:rsid w:val="22BD2AC3"/>
    <w:rsid w:val="22FE5379"/>
    <w:rsid w:val="232A50B4"/>
    <w:rsid w:val="23344974"/>
    <w:rsid w:val="233D5EA2"/>
    <w:rsid w:val="235E01AC"/>
    <w:rsid w:val="23E52A88"/>
    <w:rsid w:val="24107A5A"/>
    <w:rsid w:val="24596D0B"/>
    <w:rsid w:val="247955FF"/>
    <w:rsid w:val="248D10AB"/>
    <w:rsid w:val="24C95142"/>
    <w:rsid w:val="24EC5DD1"/>
    <w:rsid w:val="25377290"/>
    <w:rsid w:val="25537BFE"/>
    <w:rsid w:val="258778A8"/>
    <w:rsid w:val="2593314B"/>
    <w:rsid w:val="25A77F4A"/>
    <w:rsid w:val="25BD776E"/>
    <w:rsid w:val="25BF5294"/>
    <w:rsid w:val="25C91C6F"/>
    <w:rsid w:val="25DD396C"/>
    <w:rsid w:val="25EB05D6"/>
    <w:rsid w:val="2609650F"/>
    <w:rsid w:val="26C54B2C"/>
    <w:rsid w:val="26D367BA"/>
    <w:rsid w:val="26EF1BA9"/>
    <w:rsid w:val="2708093E"/>
    <w:rsid w:val="27455C6D"/>
    <w:rsid w:val="275332DD"/>
    <w:rsid w:val="27706A3C"/>
    <w:rsid w:val="27840543"/>
    <w:rsid w:val="27B05B28"/>
    <w:rsid w:val="27BD5803"/>
    <w:rsid w:val="284B18E0"/>
    <w:rsid w:val="284E28FF"/>
    <w:rsid w:val="28A40771"/>
    <w:rsid w:val="28A67ADE"/>
    <w:rsid w:val="28BE1833"/>
    <w:rsid w:val="28C812FA"/>
    <w:rsid w:val="28D9666D"/>
    <w:rsid w:val="28DF17A9"/>
    <w:rsid w:val="28FE73D4"/>
    <w:rsid w:val="29131E0E"/>
    <w:rsid w:val="291970F1"/>
    <w:rsid w:val="29406336"/>
    <w:rsid w:val="296E5F43"/>
    <w:rsid w:val="298C1931"/>
    <w:rsid w:val="299802D6"/>
    <w:rsid w:val="29AA1DB7"/>
    <w:rsid w:val="29D55086"/>
    <w:rsid w:val="2A067935"/>
    <w:rsid w:val="2A247DBB"/>
    <w:rsid w:val="2A2653AE"/>
    <w:rsid w:val="2A5A558B"/>
    <w:rsid w:val="2A5B7D43"/>
    <w:rsid w:val="2A7965DE"/>
    <w:rsid w:val="2A8419F9"/>
    <w:rsid w:val="2AEF03C9"/>
    <w:rsid w:val="2B1971F4"/>
    <w:rsid w:val="2B3C3F0D"/>
    <w:rsid w:val="2BA32F62"/>
    <w:rsid w:val="2BBF190D"/>
    <w:rsid w:val="2BD55811"/>
    <w:rsid w:val="2BE05F64"/>
    <w:rsid w:val="2BFA7026"/>
    <w:rsid w:val="2C9D6CDB"/>
    <w:rsid w:val="2CBA67B5"/>
    <w:rsid w:val="2CBF331D"/>
    <w:rsid w:val="2CC47634"/>
    <w:rsid w:val="2CDE6947"/>
    <w:rsid w:val="2D0C1E36"/>
    <w:rsid w:val="2D320A41"/>
    <w:rsid w:val="2D3B3FF4"/>
    <w:rsid w:val="2D3C4E7A"/>
    <w:rsid w:val="2D6C14C5"/>
    <w:rsid w:val="2D6F57F1"/>
    <w:rsid w:val="2DC518B5"/>
    <w:rsid w:val="2DF87595"/>
    <w:rsid w:val="2DFB3D84"/>
    <w:rsid w:val="2E100D83"/>
    <w:rsid w:val="2E150147"/>
    <w:rsid w:val="2E57625B"/>
    <w:rsid w:val="2E6B4D52"/>
    <w:rsid w:val="2E945D50"/>
    <w:rsid w:val="2E9D1EEA"/>
    <w:rsid w:val="2EB8596B"/>
    <w:rsid w:val="2EBD4EBE"/>
    <w:rsid w:val="2F0957D2"/>
    <w:rsid w:val="2F234777"/>
    <w:rsid w:val="2F34284F"/>
    <w:rsid w:val="2F3C6083"/>
    <w:rsid w:val="2F440E7E"/>
    <w:rsid w:val="2F6804C0"/>
    <w:rsid w:val="2F9B28CE"/>
    <w:rsid w:val="300206D5"/>
    <w:rsid w:val="306D65D3"/>
    <w:rsid w:val="307373A7"/>
    <w:rsid w:val="30797DCA"/>
    <w:rsid w:val="307A7B8E"/>
    <w:rsid w:val="307B625B"/>
    <w:rsid w:val="30803872"/>
    <w:rsid w:val="308D3E7E"/>
    <w:rsid w:val="30986E0D"/>
    <w:rsid w:val="30D77936"/>
    <w:rsid w:val="30FE1366"/>
    <w:rsid w:val="31630C52"/>
    <w:rsid w:val="317258B0"/>
    <w:rsid w:val="317A2AFC"/>
    <w:rsid w:val="319B4E07"/>
    <w:rsid w:val="31D71BB7"/>
    <w:rsid w:val="31F93BC7"/>
    <w:rsid w:val="323000B8"/>
    <w:rsid w:val="326205EA"/>
    <w:rsid w:val="32A777DC"/>
    <w:rsid w:val="32C20171"/>
    <w:rsid w:val="332F7361"/>
    <w:rsid w:val="333430E4"/>
    <w:rsid w:val="33501C21"/>
    <w:rsid w:val="33A81136"/>
    <w:rsid w:val="33C661C0"/>
    <w:rsid w:val="34563267"/>
    <w:rsid w:val="346516FC"/>
    <w:rsid w:val="34667903"/>
    <w:rsid w:val="34897199"/>
    <w:rsid w:val="34A7300E"/>
    <w:rsid w:val="34BA37F6"/>
    <w:rsid w:val="34C9456A"/>
    <w:rsid w:val="34CE54F3"/>
    <w:rsid w:val="35B926C3"/>
    <w:rsid w:val="35EA4F42"/>
    <w:rsid w:val="363D3A73"/>
    <w:rsid w:val="364A3AFF"/>
    <w:rsid w:val="366559E4"/>
    <w:rsid w:val="36934452"/>
    <w:rsid w:val="36B85B13"/>
    <w:rsid w:val="36DD5106"/>
    <w:rsid w:val="36E508D2"/>
    <w:rsid w:val="36F6488E"/>
    <w:rsid w:val="36FD5C1C"/>
    <w:rsid w:val="370E1BD7"/>
    <w:rsid w:val="37144D14"/>
    <w:rsid w:val="37272C99"/>
    <w:rsid w:val="37296A11"/>
    <w:rsid w:val="37991DE9"/>
    <w:rsid w:val="37C60704"/>
    <w:rsid w:val="382611A3"/>
    <w:rsid w:val="38726196"/>
    <w:rsid w:val="387A6840"/>
    <w:rsid w:val="388561BF"/>
    <w:rsid w:val="38B478C6"/>
    <w:rsid w:val="38B62526"/>
    <w:rsid w:val="38F848ED"/>
    <w:rsid w:val="3914724D"/>
    <w:rsid w:val="39203804"/>
    <w:rsid w:val="392D7F41"/>
    <w:rsid w:val="397B3A87"/>
    <w:rsid w:val="39851322"/>
    <w:rsid w:val="39936F85"/>
    <w:rsid w:val="399C796E"/>
    <w:rsid w:val="39AF2AD3"/>
    <w:rsid w:val="39B81552"/>
    <w:rsid w:val="3A562C5F"/>
    <w:rsid w:val="3A6164C2"/>
    <w:rsid w:val="3AA2018D"/>
    <w:rsid w:val="3AA840F1"/>
    <w:rsid w:val="3AE01ADD"/>
    <w:rsid w:val="3AE97353"/>
    <w:rsid w:val="3AF105C5"/>
    <w:rsid w:val="3AFF6407"/>
    <w:rsid w:val="3B007A89"/>
    <w:rsid w:val="3B0D73E4"/>
    <w:rsid w:val="3BD827B4"/>
    <w:rsid w:val="3BE61375"/>
    <w:rsid w:val="3BEB698B"/>
    <w:rsid w:val="3BF43ABB"/>
    <w:rsid w:val="3C0641CB"/>
    <w:rsid w:val="3C0E3335"/>
    <w:rsid w:val="3C2B0859"/>
    <w:rsid w:val="3C30439E"/>
    <w:rsid w:val="3C355E58"/>
    <w:rsid w:val="3C4B11D8"/>
    <w:rsid w:val="3C5A4264"/>
    <w:rsid w:val="3C5E7E58"/>
    <w:rsid w:val="3C743AE4"/>
    <w:rsid w:val="3C7C75E3"/>
    <w:rsid w:val="3CD664C6"/>
    <w:rsid w:val="3CE3501D"/>
    <w:rsid w:val="3CFB2BFE"/>
    <w:rsid w:val="3D02720E"/>
    <w:rsid w:val="3D0C0967"/>
    <w:rsid w:val="3D801355"/>
    <w:rsid w:val="3D847E99"/>
    <w:rsid w:val="3DD05E38"/>
    <w:rsid w:val="3E3A062B"/>
    <w:rsid w:val="3E4D34AE"/>
    <w:rsid w:val="3E4D56DB"/>
    <w:rsid w:val="3E645C6A"/>
    <w:rsid w:val="3EA3354D"/>
    <w:rsid w:val="3ED100BA"/>
    <w:rsid w:val="3EE31B9B"/>
    <w:rsid w:val="3F087854"/>
    <w:rsid w:val="3F3464BF"/>
    <w:rsid w:val="3F463461"/>
    <w:rsid w:val="3FAC25BB"/>
    <w:rsid w:val="3FB862D5"/>
    <w:rsid w:val="3FD82EC6"/>
    <w:rsid w:val="4004001B"/>
    <w:rsid w:val="401F5E62"/>
    <w:rsid w:val="403A1C8F"/>
    <w:rsid w:val="403C5A07"/>
    <w:rsid w:val="408250D6"/>
    <w:rsid w:val="408465EB"/>
    <w:rsid w:val="40DE261A"/>
    <w:rsid w:val="40E90FBF"/>
    <w:rsid w:val="410733E5"/>
    <w:rsid w:val="41603534"/>
    <w:rsid w:val="417116E0"/>
    <w:rsid w:val="4177481D"/>
    <w:rsid w:val="41962EF5"/>
    <w:rsid w:val="41AC2719"/>
    <w:rsid w:val="41C6300E"/>
    <w:rsid w:val="41D41C6F"/>
    <w:rsid w:val="420E33D3"/>
    <w:rsid w:val="42243B52"/>
    <w:rsid w:val="423A41C8"/>
    <w:rsid w:val="424C6BCC"/>
    <w:rsid w:val="426052B1"/>
    <w:rsid w:val="427174BE"/>
    <w:rsid w:val="428708B5"/>
    <w:rsid w:val="42C974F2"/>
    <w:rsid w:val="42FC0536"/>
    <w:rsid w:val="430976F7"/>
    <w:rsid w:val="433B1FA6"/>
    <w:rsid w:val="43A74491"/>
    <w:rsid w:val="43C4699B"/>
    <w:rsid w:val="43E207E3"/>
    <w:rsid w:val="442C7B41"/>
    <w:rsid w:val="445D419E"/>
    <w:rsid w:val="44A41EF9"/>
    <w:rsid w:val="44A616A1"/>
    <w:rsid w:val="44A61C99"/>
    <w:rsid w:val="4508235C"/>
    <w:rsid w:val="451A208F"/>
    <w:rsid w:val="455C4456"/>
    <w:rsid w:val="4574354D"/>
    <w:rsid w:val="45801800"/>
    <w:rsid w:val="459E4A6E"/>
    <w:rsid w:val="45A1630C"/>
    <w:rsid w:val="462D5FE1"/>
    <w:rsid w:val="46337A14"/>
    <w:rsid w:val="469F3711"/>
    <w:rsid w:val="46A866FF"/>
    <w:rsid w:val="46AB1BB4"/>
    <w:rsid w:val="46D324F5"/>
    <w:rsid w:val="46F661E4"/>
    <w:rsid w:val="47097BFA"/>
    <w:rsid w:val="47222787"/>
    <w:rsid w:val="4723347D"/>
    <w:rsid w:val="477A6E15"/>
    <w:rsid w:val="47D503F1"/>
    <w:rsid w:val="47ED75E7"/>
    <w:rsid w:val="4812704D"/>
    <w:rsid w:val="4856518C"/>
    <w:rsid w:val="486755EB"/>
    <w:rsid w:val="48914416"/>
    <w:rsid w:val="489A7859"/>
    <w:rsid w:val="48BD345D"/>
    <w:rsid w:val="490746D8"/>
    <w:rsid w:val="49460652"/>
    <w:rsid w:val="49777AB0"/>
    <w:rsid w:val="49793286"/>
    <w:rsid w:val="49956DFC"/>
    <w:rsid w:val="49A95790"/>
    <w:rsid w:val="49B91E77"/>
    <w:rsid w:val="4A68578C"/>
    <w:rsid w:val="4A6E0EB3"/>
    <w:rsid w:val="4A773447"/>
    <w:rsid w:val="4A7B537E"/>
    <w:rsid w:val="4AD431DF"/>
    <w:rsid w:val="4B4154BA"/>
    <w:rsid w:val="4B5D2647"/>
    <w:rsid w:val="4B5D2CD5"/>
    <w:rsid w:val="4B6A633F"/>
    <w:rsid w:val="4BA001D7"/>
    <w:rsid w:val="4BAD5A0B"/>
    <w:rsid w:val="4BAF63DD"/>
    <w:rsid w:val="4BF21670"/>
    <w:rsid w:val="4BF932EB"/>
    <w:rsid w:val="4BFB49C8"/>
    <w:rsid w:val="4C082C41"/>
    <w:rsid w:val="4C08741E"/>
    <w:rsid w:val="4C0D64AA"/>
    <w:rsid w:val="4C166E79"/>
    <w:rsid w:val="4C6C3961"/>
    <w:rsid w:val="4C7126C7"/>
    <w:rsid w:val="4CAD0BB5"/>
    <w:rsid w:val="4CBD7AE2"/>
    <w:rsid w:val="4CCC1EC1"/>
    <w:rsid w:val="4CDD7C2A"/>
    <w:rsid w:val="4D057DED"/>
    <w:rsid w:val="4D387556"/>
    <w:rsid w:val="4D426C45"/>
    <w:rsid w:val="4D8E1E60"/>
    <w:rsid w:val="4DD239E9"/>
    <w:rsid w:val="4DDA7116"/>
    <w:rsid w:val="4DE70602"/>
    <w:rsid w:val="4DFF1E22"/>
    <w:rsid w:val="4E121B55"/>
    <w:rsid w:val="4E656129"/>
    <w:rsid w:val="4E772300"/>
    <w:rsid w:val="4E7E46D2"/>
    <w:rsid w:val="4E9F1793"/>
    <w:rsid w:val="4EC015B1"/>
    <w:rsid w:val="4EC05A55"/>
    <w:rsid w:val="4ED212E5"/>
    <w:rsid w:val="4EE71234"/>
    <w:rsid w:val="4F1D07B2"/>
    <w:rsid w:val="4F752373"/>
    <w:rsid w:val="4F894099"/>
    <w:rsid w:val="4F8B7840"/>
    <w:rsid w:val="4FC357FD"/>
    <w:rsid w:val="50106568"/>
    <w:rsid w:val="502D2C76"/>
    <w:rsid w:val="503F548A"/>
    <w:rsid w:val="50416722"/>
    <w:rsid w:val="50983B34"/>
    <w:rsid w:val="50C3263F"/>
    <w:rsid w:val="50DA0CCD"/>
    <w:rsid w:val="50DB6B76"/>
    <w:rsid w:val="50EF617E"/>
    <w:rsid w:val="5106201A"/>
    <w:rsid w:val="51064A9D"/>
    <w:rsid w:val="5139564B"/>
    <w:rsid w:val="513B7615"/>
    <w:rsid w:val="51466C7B"/>
    <w:rsid w:val="51850890"/>
    <w:rsid w:val="51F37EF0"/>
    <w:rsid w:val="51FA127E"/>
    <w:rsid w:val="51FC437E"/>
    <w:rsid w:val="52974D1F"/>
    <w:rsid w:val="52B179BB"/>
    <w:rsid w:val="52BD660C"/>
    <w:rsid w:val="52CA6EA2"/>
    <w:rsid w:val="52CC2C1B"/>
    <w:rsid w:val="536A2433"/>
    <w:rsid w:val="53733096"/>
    <w:rsid w:val="53B839DE"/>
    <w:rsid w:val="53E705CD"/>
    <w:rsid w:val="53EB5322"/>
    <w:rsid w:val="540B3F15"/>
    <w:rsid w:val="542720D3"/>
    <w:rsid w:val="544113E6"/>
    <w:rsid w:val="544D0376"/>
    <w:rsid w:val="54670EF0"/>
    <w:rsid w:val="546A2242"/>
    <w:rsid w:val="548117E3"/>
    <w:rsid w:val="54CD74A5"/>
    <w:rsid w:val="55020B76"/>
    <w:rsid w:val="552B72E1"/>
    <w:rsid w:val="55572544"/>
    <w:rsid w:val="55E5513F"/>
    <w:rsid w:val="55E97640"/>
    <w:rsid w:val="55F76E76"/>
    <w:rsid w:val="56242D6E"/>
    <w:rsid w:val="562543F0"/>
    <w:rsid w:val="56677FEB"/>
    <w:rsid w:val="567333AD"/>
    <w:rsid w:val="567C4958"/>
    <w:rsid w:val="56813D1C"/>
    <w:rsid w:val="56A46336"/>
    <w:rsid w:val="56C05CEA"/>
    <w:rsid w:val="56CA56C3"/>
    <w:rsid w:val="56DB668B"/>
    <w:rsid w:val="57007337"/>
    <w:rsid w:val="579D4B86"/>
    <w:rsid w:val="57C04D23"/>
    <w:rsid w:val="57DF519E"/>
    <w:rsid w:val="57ED3A25"/>
    <w:rsid w:val="57F15771"/>
    <w:rsid w:val="57FA1FD8"/>
    <w:rsid w:val="58187602"/>
    <w:rsid w:val="58466FCB"/>
    <w:rsid w:val="58670D41"/>
    <w:rsid w:val="587A7E63"/>
    <w:rsid w:val="58847AF3"/>
    <w:rsid w:val="593257A1"/>
    <w:rsid w:val="59833794"/>
    <w:rsid w:val="5991071A"/>
    <w:rsid w:val="59C50C0E"/>
    <w:rsid w:val="59EA7E2A"/>
    <w:rsid w:val="59F1740B"/>
    <w:rsid w:val="5A3A490E"/>
    <w:rsid w:val="5A733572"/>
    <w:rsid w:val="5A9C5B9C"/>
    <w:rsid w:val="5AB83673"/>
    <w:rsid w:val="5AEB0ABF"/>
    <w:rsid w:val="5B0D2022"/>
    <w:rsid w:val="5B1213E7"/>
    <w:rsid w:val="5B7008CE"/>
    <w:rsid w:val="5C0F3B78"/>
    <w:rsid w:val="5C50666A"/>
    <w:rsid w:val="5C7E1853"/>
    <w:rsid w:val="5C8553CC"/>
    <w:rsid w:val="5C8E2CEF"/>
    <w:rsid w:val="5C981DBF"/>
    <w:rsid w:val="5C9D30FF"/>
    <w:rsid w:val="5D13093A"/>
    <w:rsid w:val="5D276C9F"/>
    <w:rsid w:val="5D3F5111"/>
    <w:rsid w:val="5D4411D0"/>
    <w:rsid w:val="5D755F23"/>
    <w:rsid w:val="5DB1084D"/>
    <w:rsid w:val="5DE30E18"/>
    <w:rsid w:val="5E0019CA"/>
    <w:rsid w:val="5E0D45C8"/>
    <w:rsid w:val="5E1C432A"/>
    <w:rsid w:val="5E2841CF"/>
    <w:rsid w:val="5E337FF2"/>
    <w:rsid w:val="5E652175"/>
    <w:rsid w:val="5E755304"/>
    <w:rsid w:val="5E757AFE"/>
    <w:rsid w:val="5E9F11E3"/>
    <w:rsid w:val="5F04373C"/>
    <w:rsid w:val="5F337B7D"/>
    <w:rsid w:val="5F3E31FA"/>
    <w:rsid w:val="5F5E1FCD"/>
    <w:rsid w:val="5F970511"/>
    <w:rsid w:val="5FEA0B84"/>
    <w:rsid w:val="5FFB4B3F"/>
    <w:rsid w:val="60651FB9"/>
    <w:rsid w:val="60997EB4"/>
    <w:rsid w:val="609A4358"/>
    <w:rsid w:val="60CE4002"/>
    <w:rsid w:val="60E750C3"/>
    <w:rsid w:val="61212990"/>
    <w:rsid w:val="6162163A"/>
    <w:rsid w:val="61706E67"/>
    <w:rsid w:val="61776447"/>
    <w:rsid w:val="619B27FE"/>
    <w:rsid w:val="61E6537B"/>
    <w:rsid w:val="6220296C"/>
    <w:rsid w:val="6225471F"/>
    <w:rsid w:val="622639C9"/>
    <w:rsid w:val="622F6D22"/>
    <w:rsid w:val="623A1223"/>
    <w:rsid w:val="623C31ED"/>
    <w:rsid w:val="62447E65"/>
    <w:rsid w:val="62894684"/>
    <w:rsid w:val="628A21AA"/>
    <w:rsid w:val="62917095"/>
    <w:rsid w:val="62960B4F"/>
    <w:rsid w:val="6299063F"/>
    <w:rsid w:val="62C6265A"/>
    <w:rsid w:val="62EF025F"/>
    <w:rsid w:val="62F0676B"/>
    <w:rsid w:val="630737FB"/>
    <w:rsid w:val="635414A1"/>
    <w:rsid w:val="637A3FCD"/>
    <w:rsid w:val="638D08D8"/>
    <w:rsid w:val="644C6419"/>
    <w:rsid w:val="645E569D"/>
    <w:rsid w:val="647B223A"/>
    <w:rsid w:val="64C86FBA"/>
    <w:rsid w:val="64D4441E"/>
    <w:rsid w:val="64E77440"/>
    <w:rsid w:val="653E4948"/>
    <w:rsid w:val="655E28CF"/>
    <w:rsid w:val="658900F4"/>
    <w:rsid w:val="658D6624"/>
    <w:rsid w:val="65A6554D"/>
    <w:rsid w:val="65ED7BB1"/>
    <w:rsid w:val="661F70AE"/>
    <w:rsid w:val="664D3C1B"/>
    <w:rsid w:val="665B6338"/>
    <w:rsid w:val="66C40DB3"/>
    <w:rsid w:val="66E31E89"/>
    <w:rsid w:val="67175C09"/>
    <w:rsid w:val="67464633"/>
    <w:rsid w:val="677A1223"/>
    <w:rsid w:val="679F4002"/>
    <w:rsid w:val="67A07D7A"/>
    <w:rsid w:val="67DD2D7C"/>
    <w:rsid w:val="6813679E"/>
    <w:rsid w:val="683926A8"/>
    <w:rsid w:val="68752FB5"/>
    <w:rsid w:val="687E455F"/>
    <w:rsid w:val="68E1064A"/>
    <w:rsid w:val="68E72104"/>
    <w:rsid w:val="68EF0FB9"/>
    <w:rsid w:val="69074555"/>
    <w:rsid w:val="69135352"/>
    <w:rsid w:val="691463AB"/>
    <w:rsid w:val="6945507D"/>
    <w:rsid w:val="69461A26"/>
    <w:rsid w:val="699201A3"/>
    <w:rsid w:val="69CE6E20"/>
    <w:rsid w:val="69E421A0"/>
    <w:rsid w:val="69EB1780"/>
    <w:rsid w:val="69ED7AE8"/>
    <w:rsid w:val="6A452950"/>
    <w:rsid w:val="6A4E7F61"/>
    <w:rsid w:val="6A745C1A"/>
    <w:rsid w:val="6AF208ED"/>
    <w:rsid w:val="6AFD409F"/>
    <w:rsid w:val="6AFE54E3"/>
    <w:rsid w:val="6B4C26F3"/>
    <w:rsid w:val="6BC756B4"/>
    <w:rsid w:val="6C0905E4"/>
    <w:rsid w:val="6C117498"/>
    <w:rsid w:val="6C2C2166"/>
    <w:rsid w:val="6C3C2767"/>
    <w:rsid w:val="6C3F5DB4"/>
    <w:rsid w:val="6C440EAF"/>
    <w:rsid w:val="6C70605E"/>
    <w:rsid w:val="6C755C79"/>
    <w:rsid w:val="6C9365F7"/>
    <w:rsid w:val="6CCA0197"/>
    <w:rsid w:val="6D0752D9"/>
    <w:rsid w:val="6D633425"/>
    <w:rsid w:val="6D667370"/>
    <w:rsid w:val="6D6F2A8E"/>
    <w:rsid w:val="6D77157D"/>
    <w:rsid w:val="6D7C36BA"/>
    <w:rsid w:val="6DC36570"/>
    <w:rsid w:val="6E383197"/>
    <w:rsid w:val="6E6978BE"/>
    <w:rsid w:val="6E82642B"/>
    <w:rsid w:val="6E851A78"/>
    <w:rsid w:val="6EB0599B"/>
    <w:rsid w:val="6EF015E7"/>
    <w:rsid w:val="6F375468"/>
    <w:rsid w:val="6FA26D85"/>
    <w:rsid w:val="6FC860C0"/>
    <w:rsid w:val="6FE3114C"/>
    <w:rsid w:val="6FF9096F"/>
    <w:rsid w:val="70253512"/>
    <w:rsid w:val="708F6BDE"/>
    <w:rsid w:val="70BD0596"/>
    <w:rsid w:val="70F4178D"/>
    <w:rsid w:val="711A6DEF"/>
    <w:rsid w:val="715E5D2B"/>
    <w:rsid w:val="715F2A54"/>
    <w:rsid w:val="718F3339"/>
    <w:rsid w:val="71A60683"/>
    <w:rsid w:val="71FB09CF"/>
    <w:rsid w:val="71FD0569"/>
    <w:rsid w:val="72174F26"/>
    <w:rsid w:val="724F4877"/>
    <w:rsid w:val="72662F6B"/>
    <w:rsid w:val="72681AAA"/>
    <w:rsid w:val="726A7902"/>
    <w:rsid w:val="72850298"/>
    <w:rsid w:val="729529A1"/>
    <w:rsid w:val="72A72905"/>
    <w:rsid w:val="72BC63B0"/>
    <w:rsid w:val="72C10B36"/>
    <w:rsid w:val="735760D9"/>
    <w:rsid w:val="737843FF"/>
    <w:rsid w:val="737E5413"/>
    <w:rsid w:val="737F2F3A"/>
    <w:rsid w:val="738F6130"/>
    <w:rsid w:val="73A6496A"/>
    <w:rsid w:val="73EA4857"/>
    <w:rsid w:val="73FE4204"/>
    <w:rsid w:val="73FF18DA"/>
    <w:rsid w:val="74335471"/>
    <w:rsid w:val="74A376EF"/>
    <w:rsid w:val="74A72748"/>
    <w:rsid w:val="74F4471A"/>
    <w:rsid w:val="75091655"/>
    <w:rsid w:val="753541F8"/>
    <w:rsid w:val="75722D56"/>
    <w:rsid w:val="762D4ECF"/>
    <w:rsid w:val="766528BB"/>
    <w:rsid w:val="768B78A5"/>
    <w:rsid w:val="769D2054"/>
    <w:rsid w:val="76C021E7"/>
    <w:rsid w:val="76E2215D"/>
    <w:rsid w:val="76FD0D92"/>
    <w:rsid w:val="770E532B"/>
    <w:rsid w:val="77343E56"/>
    <w:rsid w:val="775217FF"/>
    <w:rsid w:val="7769044F"/>
    <w:rsid w:val="777357F7"/>
    <w:rsid w:val="77751BD4"/>
    <w:rsid w:val="77BD7908"/>
    <w:rsid w:val="77CB0E43"/>
    <w:rsid w:val="77CD0717"/>
    <w:rsid w:val="77E6733D"/>
    <w:rsid w:val="780660FE"/>
    <w:rsid w:val="782374D1"/>
    <w:rsid w:val="783469E8"/>
    <w:rsid w:val="784D3606"/>
    <w:rsid w:val="789424B4"/>
    <w:rsid w:val="78961451"/>
    <w:rsid w:val="78A42BAC"/>
    <w:rsid w:val="78AC47D1"/>
    <w:rsid w:val="78C9018C"/>
    <w:rsid w:val="78C959A2"/>
    <w:rsid w:val="78EA52F9"/>
    <w:rsid w:val="78F463A3"/>
    <w:rsid w:val="78F543CA"/>
    <w:rsid w:val="79015909"/>
    <w:rsid w:val="79627585"/>
    <w:rsid w:val="79654980"/>
    <w:rsid w:val="797177C8"/>
    <w:rsid w:val="79900B91"/>
    <w:rsid w:val="7A13262E"/>
    <w:rsid w:val="7A3F40A5"/>
    <w:rsid w:val="7A764542"/>
    <w:rsid w:val="7AC8166A"/>
    <w:rsid w:val="7AD258DE"/>
    <w:rsid w:val="7B1A0118"/>
    <w:rsid w:val="7B445194"/>
    <w:rsid w:val="7B4A5EFC"/>
    <w:rsid w:val="7BB07D14"/>
    <w:rsid w:val="7BF24BF0"/>
    <w:rsid w:val="7BF335CE"/>
    <w:rsid w:val="7BF85F7F"/>
    <w:rsid w:val="7C18299E"/>
    <w:rsid w:val="7C51712C"/>
    <w:rsid w:val="7C5C5986"/>
    <w:rsid w:val="7C6408B2"/>
    <w:rsid w:val="7C720069"/>
    <w:rsid w:val="7CCC3693"/>
    <w:rsid w:val="7CE87DA1"/>
    <w:rsid w:val="7CFB7AD5"/>
    <w:rsid w:val="7D3C3975"/>
    <w:rsid w:val="7D5176F5"/>
    <w:rsid w:val="7D741635"/>
    <w:rsid w:val="7D842307"/>
    <w:rsid w:val="7DE44A0D"/>
    <w:rsid w:val="7DFD5ACF"/>
    <w:rsid w:val="7E2968C4"/>
    <w:rsid w:val="7E3239CA"/>
    <w:rsid w:val="7E492AC2"/>
    <w:rsid w:val="7E857F9E"/>
    <w:rsid w:val="7EC565EC"/>
    <w:rsid w:val="7EEA6053"/>
    <w:rsid w:val="7F0A3FFF"/>
    <w:rsid w:val="7F695E91"/>
    <w:rsid w:val="7F761420"/>
    <w:rsid w:val="7F89586C"/>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2">
    <w:name w:val="heading 3"/>
    <w:basedOn w:val="1"/>
    <w:next w:val="1"/>
    <w:qFormat/>
    <w:uiPriority w:val="0"/>
    <w:pPr>
      <w:keepNext/>
      <w:keepLines/>
      <w:numPr>
        <w:ilvl w:val="2"/>
        <w:numId w:val="2"/>
      </w:numPr>
      <w:adjustRightInd w:val="0"/>
      <w:spacing w:before="260" w:beforeLines="0" w:after="260" w:afterLines="0" w:line="416" w:lineRule="atLeast"/>
      <w:jc w:val="left"/>
      <w:textAlignment w:val="baseline"/>
      <w:outlineLvl w:val="2"/>
    </w:pPr>
    <w:rPr>
      <w:b/>
      <w:bCs/>
      <w:kern w:val="0"/>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rPr>
      <w:rFonts w:ascii="Calibri" w:hAnsi="Calibri"/>
      <w:szCs w:val="22"/>
    </w:r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line="500" w:lineRule="exact"/>
      <w:ind w:left="1588" w:leftChars="832" w:firstLine="433" w:firstLineChars="196"/>
    </w:pPr>
    <w:rPr>
      <w:sz w:val="24"/>
    </w:rPr>
  </w:style>
  <w:style w:type="paragraph" w:styleId="8">
    <w:name w:val="envelope return"/>
    <w:basedOn w:val="1"/>
    <w:qFormat/>
    <w:uiPriority w:val="0"/>
    <w:rPr>
      <w:rFonts w:ascii="Arial" w:hAnsi="Arial"/>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toc 2"/>
    <w:basedOn w:val="1"/>
    <w:next w:val="1"/>
    <w:qFormat/>
    <w:uiPriority w:val="39"/>
    <w:pPr>
      <w:ind w:left="420" w:leftChars="200"/>
    </w:pPr>
  </w:style>
  <w:style w:type="paragraph" w:styleId="16">
    <w:name w:val="Normal (Web)"/>
    <w:basedOn w:val="1"/>
    <w:qFormat/>
    <w:uiPriority w:val="99"/>
    <w:rPr>
      <w:sz w:val="24"/>
    </w:rPr>
  </w:style>
  <w:style w:type="paragraph" w:styleId="17">
    <w:name w:val="Body Text First Indent"/>
    <w:basedOn w:val="6"/>
    <w:next w:val="1"/>
    <w:qFormat/>
    <w:uiPriority w:val="0"/>
    <w:pPr>
      <w:ind w:firstLine="100" w:firstLineChars="100"/>
    </w:pPr>
  </w:style>
  <w:style w:type="paragraph" w:styleId="18">
    <w:name w:val="Body Text First Indent 2"/>
    <w:basedOn w:val="7"/>
    <w:next w:val="1"/>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qFormat/>
    <w:uiPriority w:val="0"/>
    <w:rPr>
      <w:color w:val="0000FF"/>
      <w:u w:val="single"/>
    </w:rPr>
  </w:style>
  <w:style w:type="paragraph" w:customStyle="1" w:styleId="24">
    <w:name w:val="正文_0"/>
    <w:basedOn w:val="25"/>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5">
    <w:name w:val="正文_2"/>
    <w:basedOn w:val="26"/>
    <w:next w:val="33"/>
    <w:qFormat/>
    <w:uiPriority w:val="0"/>
    <w:pPr>
      <w:widowControl w:val="0"/>
      <w:jc w:val="both"/>
    </w:pPr>
    <w:rPr>
      <w:rFonts w:ascii="Calibri" w:hAnsi="Calibri"/>
      <w:kern w:val="2"/>
      <w:sz w:val="21"/>
      <w:szCs w:val="22"/>
      <w:lang w:val="en-US" w:eastAsia="zh-CN" w:bidi="ar-SA"/>
    </w:rPr>
  </w:style>
  <w:style w:type="paragraph" w:customStyle="1" w:styleId="26">
    <w:name w:val="正文_1_0"/>
    <w:basedOn w:val="27"/>
    <w:next w:val="30"/>
    <w:qFormat/>
    <w:uiPriority w:val="0"/>
    <w:pPr>
      <w:widowControl w:val="0"/>
      <w:jc w:val="both"/>
    </w:pPr>
    <w:rPr>
      <w:rFonts w:eastAsia="仿宋_GB2312"/>
      <w:kern w:val="2"/>
      <w:sz w:val="28"/>
      <w:szCs w:val="24"/>
      <w:lang w:val="en-US" w:eastAsia="zh-CN" w:bidi="ar-SA"/>
    </w:rPr>
  </w:style>
  <w:style w:type="paragraph" w:customStyle="1" w:styleId="27">
    <w:name w:val="正文_1_1"/>
    <w:basedOn w:val="28"/>
    <w:qFormat/>
    <w:uiPriority w:val="0"/>
    <w:pPr>
      <w:widowControl w:val="0"/>
      <w:jc w:val="both"/>
    </w:pPr>
    <w:rPr>
      <w:rFonts w:ascii="Calibri" w:hAnsi="Calibri"/>
      <w:kern w:val="2"/>
      <w:sz w:val="21"/>
      <w:szCs w:val="22"/>
      <w:lang w:val="en-US" w:eastAsia="zh-CN" w:bidi="ar-SA"/>
    </w:rPr>
  </w:style>
  <w:style w:type="paragraph" w:customStyle="1" w:styleId="28">
    <w:name w:val="正文_5"/>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引文目录标题_0"/>
    <w:basedOn w:val="28"/>
    <w:next w:val="28"/>
    <w:qFormat/>
    <w:uiPriority w:val="0"/>
    <w:pPr>
      <w:spacing w:before="120"/>
    </w:pPr>
    <w:rPr>
      <w:rFonts w:ascii="Arial" w:hAnsi="Arial"/>
      <w:sz w:val="24"/>
    </w:rPr>
  </w:style>
  <w:style w:type="paragraph" w:customStyle="1" w:styleId="30">
    <w:name w:val="正文首行缩进1"/>
    <w:basedOn w:val="31"/>
    <w:unhideWhenUsed/>
    <w:qFormat/>
    <w:uiPriority w:val="99"/>
    <w:pPr>
      <w:ind w:firstLine="420" w:firstLineChars="100"/>
    </w:pPr>
    <w:rPr>
      <w:szCs w:val="22"/>
    </w:rPr>
  </w:style>
  <w:style w:type="paragraph" w:customStyle="1" w:styleId="31">
    <w:name w:val="正文文本_0_0"/>
    <w:basedOn w:val="32"/>
    <w:qFormat/>
    <w:uiPriority w:val="0"/>
    <w:pPr>
      <w:spacing w:after="120"/>
    </w:pPr>
    <w:rPr>
      <w:rFonts w:ascii="Times New Roman" w:hAnsi="Times New Roman" w:eastAsia="宋体"/>
      <w:szCs w:val="24"/>
    </w:rPr>
  </w:style>
  <w:style w:type="paragraph" w:customStyle="1" w:styleId="32">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_1"/>
    <w:basedOn w:val="34"/>
    <w:qFormat/>
    <w:uiPriority w:val="0"/>
    <w:pPr>
      <w:spacing w:after="120"/>
    </w:pPr>
    <w:rPr>
      <w:rFonts w:ascii="Times New Roman" w:hAnsi="Times New Roman" w:eastAsia="宋体"/>
      <w:szCs w:val="24"/>
    </w:rPr>
  </w:style>
  <w:style w:type="paragraph" w:customStyle="1" w:styleId="3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
    <w:basedOn w:val="25"/>
    <w:next w:val="25"/>
    <w:qFormat/>
    <w:uiPriority w:val="0"/>
    <w:pPr>
      <w:widowControl w:val="0"/>
      <w:jc w:val="both"/>
    </w:pPr>
    <w:rPr>
      <w:rFonts w:ascii="Calibri" w:hAnsi="Calibri"/>
      <w:kern w:val="2"/>
      <w:sz w:val="21"/>
      <w:szCs w:val="22"/>
      <w:lang w:val="en-US" w:eastAsia="zh-CN" w:bidi="ar-SA"/>
    </w:rPr>
  </w:style>
  <w:style w:type="paragraph" w:customStyle="1" w:styleId="36">
    <w:name w:val="正文_3_0"/>
    <w:basedOn w:val="25"/>
    <w:next w:val="37"/>
    <w:qFormat/>
    <w:uiPriority w:val="0"/>
    <w:pPr>
      <w:widowControl w:val="0"/>
      <w:jc w:val="both"/>
    </w:pPr>
    <w:rPr>
      <w:rFonts w:ascii="Calibri" w:hAnsi="Calibri"/>
      <w:kern w:val="2"/>
      <w:sz w:val="21"/>
      <w:szCs w:val="22"/>
      <w:lang w:val="en-US" w:eastAsia="zh-CN" w:bidi="ar-SA"/>
    </w:rPr>
  </w:style>
  <w:style w:type="paragraph" w:customStyle="1" w:styleId="37">
    <w:name w:val="页脚_2"/>
    <w:basedOn w:val="38"/>
    <w:unhideWhenUsed/>
    <w:qFormat/>
    <w:uiPriority w:val="0"/>
    <w:pPr>
      <w:tabs>
        <w:tab w:val="center" w:pos="4153"/>
        <w:tab w:val="right" w:pos="8306"/>
      </w:tabs>
      <w:snapToGrid w:val="0"/>
      <w:jc w:val="left"/>
    </w:pPr>
    <w:rPr>
      <w:sz w:val="18"/>
      <w:szCs w:val="18"/>
    </w:rPr>
  </w:style>
  <w:style w:type="paragraph" w:customStyle="1" w:styleId="38">
    <w:name w:val="正文_4"/>
    <w:basedOn w:val="39"/>
    <w:next w:val="40"/>
    <w:qFormat/>
    <w:uiPriority w:val="0"/>
    <w:pPr>
      <w:widowControl w:val="0"/>
      <w:jc w:val="both"/>
    </w:pPr>
    <w:rPr>
      <w:rFonts w:ascii="Calibri" w:hAnsi="Calibri"/>
      <w:kern w:val="2"/>
      <w:sz w:val="21"/>
      <w:szCs w:val="22"/>
      <w:lang w:val="en-US" w:eastAsia="zh-CN" w:bidi="ar-SA"/>
    </w:rPr>
  </w:style>
  <w:style w:type="paragraph" w:customStyle="1" w:styleId="39">
    <w:name w:val="正文_3_1"/>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首行缩进_0"/>
    <w:basedOn w:val="33"/>
    <w:qFormat/>
    <w:uiPriority w:val="0"/>
    <w:pPr>
      <w:ind w:firstLine="420" w:firstLineChars="100"/>
    </w:pPr>
    <w:rPr>
      <w:rFonts w:ascii="Calibri" w:hAnsi="Calibri" w:eastAsia="宋体"/>
    </w:rPr>
  </w:style>
  <w:style w:type="paragraph" w:customStyle="1" w:styleId="41">
    <w:name w:val="正文_0_1"/>
    <w:basedOn w:val="35"/>
    <w:next w:val="35"/>
    <w:qFormat/>
    <w:uiPriority w:val="0"/>
    <w:rPr>
      <w:rFonts w:ascii="Times New Roman" w:hAnsi="Times New Roman" w:cs="Calibri"/>
      <w:szCs w:val="21"/>
      <w:lang w:bidi="ug-CN"/>
    </w:rPr>
  </w:style>
  <w:style w:type="paragraph" w:customStyle="1" w:styleId="42">
    <w:name w:val="正文_2_0"/>
    <w:basedOn w:val="27"/>
    <w:qFormat/>
    <w:uiPriority w:val="0"/>
    <w:pPr>
      <w:widowControl w:val="0"/>
      <w:jc w:val="both"/>
    </w:pPr>
    <w:rPr>
      <w:rFonts w:ascii="Calibri" w:hAnsi="Calibri"/>
      <w:kern w:val="2"/>
      <w:sz w:val="21"/>
      <w:szCs w:val="22"/>
      <w:lang w:val="en-US" w:eastAsia="zh-CN" w:bidi="ar-SA"/>
    </w:rPr>
  </w:style>
  <w:style w:type="paragraph" w:customStyle="1" w:styleId="43">
    <w:name w:val="正文_1_2"/>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文本缩进_0"/>
    <w:basedOn w:val="45"/>
    <w:unhideWhenUsed/>
    <w:qFormat/>
    <w:uiPriority w:val="0"/>
    <w:pPr>
      <w:spacing w:line="360" w:lineRule="auto"/>
      <w:ind w:firstLine="570"/>
    </w:pPr>
    <w:rPr>
      <w:rFonts w:ascii="宋体" w:hAnsi="宋体" w:eastAsia="宋体" w:cs="Times New Roman"/>
      <w:i/>
      <w:iCs/>
      <w:sz w:val="28"/>
      <w:szCs w:val="20"/>
    </w:rPr>
  </w:style>
  <w:style w:type="paragraph" w:customStyle="1" w:styleId="45">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Table Paragraph"/>
    <w:basedOn w:val="26"/>
    <w:qFormat/>
    <w:uiPriority w:val="1"/>
    <w:pPr>
      <w:autoSpaceDE w:val="0"/>
      <w:autoSpaceDN w:val="0"/>
      <w:jc w:val="left"/>
    </w:pPr>
    <w:rPr>
      <w:rFonts w:ascii="宋体" w:hAnsi="宋体" w:eastAsia="宋体" w:cs="宋体"/>
      <w:kern w:val="0"/>
      <w:sz w:val="22"/>
      <w:lang w:val="zh-CN" w:bidi="zh-CN"/>
    </w:rPr>
  </w:style>
  <w:style w:type="paragraph" w:customStyle="1" w:styleId="47">
    <w:name w:val="正文_0_3"/>
    <w:basedOn w:val="38"/>
    <w:qFormat/>
    <w:uiPriority w:val="0"/>
    <w:rPr>
      <w:rFonts w:ascii="Calibri" w:hAnsi="Calibri" w:cs="宋体"/>
      <w:szCs w:val="21"/>
    </w:rPr>
  </w:style>
  <w:style w:type="paragraph" w:customStyle="1" w:styleId="48">
    <w:name w:val="正文文本_0"/>
    <w:basedOn w:val="42"/>
    <w:qFormat/>
    <w:uiPriority w:val="0"/>
    <w:pPr>
      <w:spacing w:after="120"/>
    </w:pPr>
    <w:rPr>
      <w:rFonts w:ascii="Times New Roman" w:hAnsi="Times New Roman" w:eastAsia="宋体"/>
      <w:szCs w:val="24"/>
    </w:rPr>
  </w:style>
  <w:style w:type="paragraph" w:customStyle="1" w:styleId="49">
    <w:name w:val="样式 正文缩进 + 首行缩进:  2 字符"/>
    <w:basedOn w:val="5"/>
    <w:qFormat/>
    <w:uiPriority w:val="0"/>
    <w:pPr>
      <w:spacing w:after="0" w:line="360" w:lineRule="auto"/>
      <w:ind w:firstLine="200" w:firstLineChars="200"/>
    </w:pPr>
    <w:rPr>
      <w:rFonts w:cs="宋体"/>
      <w:sz w:val="24"/>
    </w:rPr>
  </w:style>
  <w:style w:type="paragraph" w:customStyle="1" w:styleId="50">
    <w:name w:val="Normal_0"/>
    <w:qFormat/>
    <w:uiPriority w:val="0"/>
    <w:rPr>
      <w:rFonts w:ascii="Times New Roman" w:hAnsi="Times New Roman" w:eastAsia="Times New Roman" w:cs="Times New Roman"/>
      <w:sz w:val="24"/>
      <w:szCs w:val="24"/>
      <w:lang w:bidi="ar-SA"/>
    </w:rPr>
  </w:style>
  <w:style w:type="paragraph" w:customStyle="1" w:styleId="5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2">
    <w:name w:val="正文_3"/>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缩进_1"/>
    <w:basedOn w:val="38"/>
    <w:unhideWhenUsed/>
    <w:qFormat/>
    <w:uiPriority w:val="0"/>
    <w:pPr>
      <w:ind w:firstLine="420" w:firstLineChars="200"/>
    </w:pPr>
    <w:rPr>
      <w:kern w:val="0"/>
      <w:sz w:val="20"/>
      <w:szCs w:val="20"/>
    </w:rPr>
  </w:style>
  <w:style w:type="paragraph" w:customStyle="1" w:styleId="5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5">
    <w:name w:val="日期_0"/>
    <w:basedOn w:val="56"/>
    <w:next w:val="52"/>
    <w:unhideWhenUsed/>
    <w:qFormat/>
    <w:uiPriority w:val="0"/>
    <w:pPr>
      <w:adjustRightInd w:val="0"/>
      <w:spacing w:line="360" w:lineRule="atLeast"/>
    </w:pPr>
    <w:rPr>
      <w:rFonts w:ascii="宋体" w:hAnsi="Calibri" w:eastAsia="宋体" w:cs="Times New Roman"/>
      <w:kern w:val="0"/>
      <w:sz w:val="24"/>
      <w:szCs w:val="20"/>
    </w:rPr>
  </w:style>
  <w:style w:type="paragraph" w:customStyle="1" w:styleId="5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Normal_2"/>
    <w:qFormat/>
    <w:uiPriority w:val="0"/>
    <w:rPr>
      <w:rFonts w:ascii="黑体" w:hAnsi="黑体" w:eastAsia="黑体" w:cs="Times New Roman"/>
      <w:b/>
      <w:sz w:val="32"/>
      <w:szCs w:val="24"/>
      <w:lang w:bidi="ar-SA"/>
    </w:rPr>
  </w:style>
  <w:style w:type="paragraph" w:customStyle="1" w:styleId="59">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0">
    <w:name w:val="标题 3_0_0"/>
    <w:basedOn w:val="59"/>
    <w:next w:val="59"/>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_8"/>
    <w:qFormat/>
    <w:uiPriority w:val="0"/>
    <w:rPr>
      <w:rFonts w:ascii="黑体" w:hAnsi="黑体" w:eastAsia="黑体" w:cs="Times New Roman"/>
      <w:b/>
      <w:sz w:val="32"/>
      <w:szCs w:val="24"/>
      <w:lang w:bidi="ar-SA"/>
    </w:rPr>
  </w:style>
  <w:style w:type="paragraph" w:customStyle="1" w:styleId="63">
    <w:name w:val="Normal_9"/>
    <w:qFormat/>
    <w:uiPriority w:val="0"/>
    <w:pPr>
      <w:widowControl w:val="0"/>
      <w:jc w:val="both"/>
    </w:pPr>
    <w:rPr>
      <w:rFonts w:ascii="Times New Roman" w:hAnsi="Times New Roman" w:eastAsia="宋体" w:cs="Times New Roman"/>
      <w:kern w:val="2"/>
      <w:sz w:val="21"/>
      <w:szCs w:val="24"/>
      <w:lang w:bidi="ar-SA"/>
    </w:rPr>
  </w:style>
  <w:style w:type="paragraph" w:customStyle="1" w:styleId="64">
    <w:name w:val="正文_4_0_0"/>
    <w:basedOn w:val="65"/>
    <w:qFormat/>
    <w:uiPriority w:val="0"/>
    <w:rPr>
      <w:rFonts w:ascii="Calibri" w:hAnsi="Calibri" w:eastAsia="宋体" w:cs="Calibri"/>
      <w:szCs w:val="21"/>
    </w:rPr>
  </w:style>
  <w:style w:type="paragraph" w:customStyle="1" w:styleId="65">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4"/>
    <w:qFormat/>
    <w:uiPriority w:val="0"/>
    <w:rPr>
      <w:rFonts w:ascii="黑体" w:hAnsi="黑体" w:eastAsia="黑体" w:cs="Times New Roman"/>
      <w:b/>
      <w:sz w:val="32"/>
      <w:szCs w:val="24"/>
      <w:lang w:bidi="ar-SA"/>
    </w:rPr>
  </w:style>
  <w:style w:type="paragraph" w:customStyle="1" w:styleId="67">
    <w:name w:val="日期_1"/>
    <w:basedOn w:val="68"/>
    <w:next w:val="68"/>
    <w:qFormat/>
    <w:uiPriority w:val="0"/>
    <w:pPr>
      <w:ind w:left="100" w:leftChars="2500"/>
    </w:pPr>
    <w:rPr>
      <w:rFonts w:ascii="Times New Roman" w:hAnsi="Times New Roman" w:eastAsia="宋体"/>
      <w:szCs w:val="24"/>
    </w:rPr>
  </w:style>
  <w:style w:type="paragraph" w:customStyle="1" w:styleId="68">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Plain Text"/>
    <w:basedOn w:val="1"/>
    <w:qFormat/>
    <w:uiPriority w:val="0"/>
    <w:rPr>
      <w:rFonts w:ascii="宋体" w:hAnsi="Courier New"/>
      <w:szCs w:val="21"/>
    </w:rPr>
  </w:style>
  <w:style w:type="paragraph" w:customStyle="1" w:styleId="70">
    <w:name w:val="正文文本缩进_2"/>
    <w:basedOn w:val="38"/>
    <w:unhideWhenUsed/>
    <w:qFormat/>
    <w:uiPriority w:val="99"/>
    <w:pPr>
      <w:spacing w:after="120"/>
      <w:ind w:left="420" w:leftChars="200"/>
    </w:pPr>
    <w:rPr>
      <w:rFonts w:ascii="Calibri" w:hAnsi="Calibri" w:eastAsia="宋体"/>
    </w:rPr>
  </w:style>
  <w:style w:type="paragraph" w:customStyle="1" w:styleId="7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Heading 5"/>
    <w:basedOn w:val="74"/>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74">
    <w:name w:val="正文_4_0_0_0"/>
    <w:basedOn w:val="65"/>
    <w:qFormat/>
    <w:uiPriority w:val="0"/>
    <w:rPr>
      <w:rFonts w:ascii="Calibri" w:hAnsi="Calibri" w:eastAsia="宋体" w:cs="Calibri"/>
      <w:szCs w:val="21"/>
    </w:rPr>
  </w:style>
  <w:style w:type="paragraph" w:customStyle="1" w:styleId="75">
    <w:name w:val="Heading 7"/>
    <w:basedOn w:val="74"/>
    <w:qFormat/>
    <w:uiPriority w:val="0"/>
    <w:pPr>
      <w:spacing w:before="35" w:after="100" w:afterAutospacing="1"/>
      <w:ind w:left="157"/>
      <w:jc w:val="left"/>
      <w:outlineLvl w:val="7"/>
    </w:pPr>
    <w:rPr>
      <w:rFonts w:ascii="宋体" w:hAnsi="宋体" w:eastAsia="宋体" w:cs="宋体"/>
      <w:b/>
      <w:bCs/>
      <w:kern w:val="0"/>
    </w:rPr>
  </w:style>
  <w:style w:type="paragraph" w:customStyle="1" w:styleId="76">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3_0_0"/>
    <w:next w:val="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文本缩进_1"/>
    <w:basedOn w:val="61"/>
    <w:qFormat/>
    <w:uiPriority w:val="0"/>
    <w:pPr>
      <w:spacing w:line="500" w:lineRule="exact"/>
      <w:ind w:left="1588" w:leftChars="832" w:firstLine="433" w:firstLineChars="196"/>
    </w:pPr>
    <w:rPr>
      <w:rFonts w:ascii="Calibri" w:hAnsi="Calibri"/>
      <w:sz w:val="24"/>
    </w:rPr>
  </w:style>
  <w:style w:type="paragraph" w:customStyle="1" w:styleId="81">
    <w:name w:val="BodyText1I2"/>
    <w:basedOn w:val="82"/>
    <w:qFormat/>
    <w:uiPriority w:val="0"/>
    <w:pPr>
      <w:spacing w:after="120" w:line="240" w:lineRule="auto"/>
      <w:ind w:left="420" w:leftChars="200" w:firstLine="420" w:firstLineChars="200"/>
      <w:jc w:val="both"/>
      <w:textAlignment w:val="baseline"/>
    </w:pPr>
  </w:style>
  <w:style w:type="paragraph" w:customStyle="1" w:styleId="82">
    <w:name w:val="BodyTextIndent"/>
    <w:basedOn w:val="1"/>
    <w:qFormat/>
    <w:uiPriority w:val="0"/>
    <w:pPr>
      <w:spacing w:after="120" w:line="240" w:lineRule="auto"/>
      <w:ind w:left="420" w:leftChars="200"/>
      <w:jc w:val="both"/>
      <w:textAlignment w:val="baseline"/>
    </w:pPr>
  </w:style>
  <w:style w:type="paragraph" w:customStyle="1" w:styleId="83">
    <w:name w:val="Normal"/>
    <w:next w:val="84"/>
    <w:qFormat/>
    <w:uiPriority w:val="0"/>
    <w:pPr>
      <w:widowControl w:val="0"/>
      <w:jc w:val="both"/>
    </w:pPr>
    <w:rPr>
      <w:rFonts w:ascii="Times New Roman" w:hAnsi="Times New Roman" w:eastAsia="Times New Roman" w:cs="Times New Roman"/>
      <w:lang w:val="en-US" w:eastAsia="zh-CN" w:bidi="ar-SA"/>
    </w:rPr>
  </w:style>
  <w:style w:type="paragraph" w:customStyle="1" w:styleId="84">
    <w:name w:val="Footnote Text"/>
    <w:basedOn w:val="83"/>
    <w:qFormat/>
    <w:uiPriority w:val="0"/>
    <w:pPr>
      <w:snapToGrid w:val="0"/>
      <w:jc w:val="left"/>
    </w:pPr>
    <w:rPr>
      <w:sz w:val="18"/>
      <w:szCs w:val="18"/>
    </w:rPr>
  </w:style>
  <w:style w:type="paragraph" w:customStyle="1" w:styleId="85">
    <w:name w:val="Body Text First Indent"/>
    <w:basedOn w:val="6"/>
    <w:qFormat/>
    <w:uiPriority w:val="0"/>
  </w:style>
  <w:style w:type="character" w:customStyle="1" w:styleId="86">
    <w:name w:val="font11"/>
    <w:basedOn w:val="21"/>
    <w:qFormat/>
    <w:uiPriority w:val="0"/>
    <w:rPr>
      <w:rFonts w:hint="eastAsia" w:ascii="宋体" w:hAnsi="宋体" w:eastAsia="宋体" w:cs="宋体"/>
      <w:color w:val="000000"/>
      <w:sz w:val="24"/>
      <w:szCs w:val="24"/>
      <w:u w:val="none"/>
    </w:rPr>
  </w:style>
  <w:style w:type="character" w:customStyle="1" w:styleId="87">
    <w:name w:val="font31"/>
    <w:basedOn w:val="21"/>
    <w:qFormat/>
    <w:uiPriority w:val="0"/>
    <w:rPr>
      <w:rFonts w:hint="default" w:ascii="Times New Roman" w:hAnsi="Times New Roman" w:cs="Times New Roman"/>
      <w:color w:val="000000"/>
      <w:sz w:val="24"/>
      <w:szCs w:val="24"/>
      <w:u w:val="none"/>
    </w:rPr>
  </w:style>
  <w:style w:type="paragraph" w:customStyle="1" w:styleId="88">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89">
    <w:name w:val="标题 1_2"/>
    <w:basedOn w:val="56"/>
    <w:next w:val="56"/>
    <w:qFormat/>
    <w:uiPriority w:val="9"/>
    <w:pPr>
      <w:spacing w:before="38"/>
      <w:ind w:left="1844"/>
      <w:outlineLvl w:val="0"/>
    </w:pPr>
    <w:rPr>
      <w:rFonts w:ascii="宋体" w:hAnsi="宋体" w:eastAsia="宋体" w:cs="宋体"/>
      <w:b/>
      <w:bCs/>
      <w:sz w:val="36"/>
      <w:szCs w:val="36"/>
    </w:rPr>
  </w:style>
  <w:style w:type="character" w:customStyle="1" w:styleId="90">
    <w:name w:val="font51"/>
    <w:basedOn w:val="21"/>
    <w:qFormat/>
    <w:uiPriority w:val="0"/>
    <w:rPr>
      <w:rFonts w:hint="eastAsia" w:ascii="宋体" w:hAnsi="宋体" w:eastAsia="宋体" w:cs="宋体"/>
      <w:color w:val="000000"/>
      <w:sz w:val="22"/>
      <w:szCs w:val="22"/>
      <w:u w:val="none"/>
    </w:rPr>
  </w:style>
  <w:style w:type="paragraph" w:customStyle="1" w:styleId="91">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文本缩进_4"/>
    <w:basedOn w:val="93"/>
    <w:qFormat/>
    <w:uiPriority w:val="0"/>
    <w:pPr>
      <w:spacing w:line="500" w:lineRule="exact"/>
      <w:ind w:left="1588" w:leftChars="832" w:firstLine="433" w:firstLineChars="196"/>
    </w:pPr>
    <w:rPr>
      <w:rFonts w:ascii="Calibri" w:hAnsi="Calibri" w:eastAsia="宋体"/>
      <w:sz w:val="24"/>
    </w:rPr>
  </w:style>
  <w:style w:type="paragraph" w:customStyle="1" w:styleId="93">
    <w:name w:val="正文_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题注_0"/>
    <w:basedOn w:val="93"/>
    <w:next w:val="91"/>
    <w:qFormat/>
    <w:uiPriority w:val="0"/>
    <w:pPr>
      <w:spacing w:before="152" w:after="160"/>
    </w:pPr>
    <w:rPr>
      <w:rFonts w:ascii="Arial" w:hAnsi="Arial" w:eastAsia="黑体" w:cs="Arial"/>
      <w:sz w:val="20"/>
      <w:szCs w:val="20"/>
    </w:rPr>
  </w:style>
  <w:style w:type="paragraph" w:customStyle="1" w:styleId="95">
    <w:name w:val="Normal_5"/>
    <w:qFormat/>
    <w:uiPriority w:val="0"/>
    <w:rPr>
      <w:rFonts w:ascii="黑体" w:hAnsi="黑体" w:eastAsia="黑体" w:cs="Times New Roman"/>
      <w:b/>
      <w:sz w:val="32"/>
      <w:szCs w:val="24"/>
      <w:lang w:bidi="ar-SA"/>
    </w:rPr>
  </w:style>
  <w:style w:type="paragraph" w:styleId="9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58805</Words>
  <Characters>62036</Characters>
  <Lines>0</Lines>
  <Paragraphs>0</Paragraphs>
  <TotalTime>36</TotalTime>
  <ScaleCrop>false</ScaleCrop>
  <LinksUpToDate>false</LinksUpToDate>
  <CharactersWithSpaces>64583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2022-10-10T08:55:00Z</dcterms:created>
  <dc:creator>エイの息子✨</dc:creator>
  <cp:lastModifiedBy>エイの息子✨</cp:lastModifiedBy>
  <dcterms:modified xsi:type="dcterms:W3CDTF">2022-12-09T12:25:08Z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BA7C0D4DD56D4063893B666773F66B9A</vt:lpwstr>
  </property>
</Properties>
</file>