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jc w:val="center"/>
        <w:rPr>
          <w:rFonts w:ascii="微软雅黑" w:hAnsi="微软雅黑" w:eastAsia="微软雅黑" w:cs="微软雅黑"/>
          <w:b/>
          <w:color w:val="auto"/>
          <w:sz w:val="52"/>
          <w:szCs w:val="52"/>
          <w:highlight w:val="none"/>
        </w:rPr>
      </w:pPr>
      <w:r>
        <w:rPr>
          <w:rFonts w:hint="eastAsia" w:ascii="微软雅黑" w:hAnsi="微软雅黑" w:eastAsia="微软雅黑" w:cs="微软雅黑"/>
          <w:b/>
          <w:color w:val="auto"/>
          <w:sz w:val="52"/>
          <w:szCs w:val="52"/>
          <w:highlight w:val="none"/>
        </w:rPr>
        <w:t>疏勒县乡村振兴平台</w:t>
      </w:r>
    </w:p>
    <w:p>
      <w:pPr>
        <w:rPr>
          <w:rFonts w:ascii="微软雅黑" w:hAnsi="微软雅黑" w:eastAsia="微软雅黑" w:cs="微软雅黑"/>
          <w:color w:val="auto"/>
          <w:highlight w:val="none"/>
        </w:rPr>
      </w:pPr>
    </w:p>
    <w:p>
      <w:pPr>
        <w:pStyle w:val="25"/>
        <w:rPr>
          <w:rFonts w:ascii="微软雅黑" w:hAnsi="微软雅黑" w:eastAsia="微软雅黑" w:cs="微软雅黑"/>
          <w:color w:val="auto"/>
          <w:highlight w:val="none"/>
        </w:rPr>
      </w:pPr>
    </w:p>
    <w:p>
      <w:pPr>
        <w:pStyle w:val="25"/>
        <w:rPr>
          <w:rFonts w:ascii="微软雅黑" w:hAnsi="微软雅黑" w:eastAsia="微软雅黑" w:cs="微软雅黑"/>
          <w:color w:val="auto"/>
          <w:highlight w:val="none"/>
        </w:rPr>
      </w:pPr>
    </w:p>
    <w:p>
      <w:pPr>
        <w:pStyle w:val="25"/>
        <w:rPr>
          <w:rFonts w:ascii="微软雅黑" w:hAnsi="微软雅黑" w:eastAsia="微软雅黑" w:cs="微软雅黑"/>
          <w:color w:val="auto"/>
          <w:highlight w:val="none"/>
        </w:rPr>
      </w:pPr>
    </w:p>
    <w:p>
      <w:pPr>
        <w:pStyle w:val="25"/>
        <w:rPr>
          <w:rFonts w:ascii="微软雅黑" w:hAnsi="微软雅黑" w:eastAsia="微软雅黑" w:cs="微软雅黑"/>
          <w:color w:val="auto"/>
          <w:highlight w:val="none"/>
        </w:rPr>
      </w:pPr>
    </w:p>
    <w:p>
      <w:pPr>
        <w:spacing w:line="240" w:lineRule="atLeast"/>
        <w:jc w:val="center"/>
        <w:rPr>
          <w:rFonts w:ascii="微软雅黑" w:hAnsi="微软雅黑" w:eastAsia="微软雅黑" w:cs="微软雅黑"/>
          <w:b/>
          <w:color w:val="auto"/>
          <w:sz w:val="96"/>
          <w:szCs w:val="96"/>
          <w:highlight w:val="none"/>
        </w:rPr>
      </w:pPr>
      <w:r>
        <w:rPr>
          <w:rFonts w:hint="eastAsia" w:ascii="微软雅黑" w:hAnsi="微软雅黑" w:eastAsia="微软雅黑" w:cs="微软雅黑"/>
          <w:b/>
          <w:color w:val="auto"/>
          <w:sz w:val="96"/>
          <w:szCs w:val="96"/>
          <w:highlight w:val="none"/>
        </w:rPr>
        <w:t>招 标 文 件</w:t>
      </w:r>
    </w:p>
    <w:p>
      <w:pPr>
        <w:pStyle w:val="25"/>
        <w:rPr>
          <w:rFonts w:ascii="微软雅黑" w:hAnsi="微软雅黑" w:eastAsia="微软雅黑" w:cs="微软雅黑"/>
          <w:color w:val="auto"/>
          <w:highlight w:val="none"/>
        </w:rPr>
      </w:pPr>
    </w:p>
    <w:p>
      <w:pPr>
        <w:spacing w:line="240" w:lineRule="atLeast"/>
        <w:jc w:val="center"/>
        <w:rPr>
          <w:rFonts w:ascii="微软雅黑" w:hAnsi="微软雅黑" w:eastAsia="微软雅黑" w:cs="微软雅黑"/>
          <w:b/>
          <w:color w:val="auto"/>
          <w:sz w:val="32"/>
          <w:highlight w:val="none"/>
        </w:rPr>
      </w:pPr>
      <w:r>
        <w:rPr>
          <w:rFonts w:hint="eastAsia" w:ascii="微软雅黑" w:hAnsi="微软雅黑" w:eastAsia="微软雅黑" w:cs="微软雅黑"/>
          <w:b/>
          <w:color w:val="auto"/>
          <w:sz w:val="32"/>
          <w:highlight w:val="none"/>
        </w:rPr>
        <w:t>项目编号：XJZH-（GKZB）007</w:t>
      </w:r>
    </w:p>
    <w:p>
      <w:pPr>
        <w:spacing w:line="240" w:lineRule="atLeast"/>
        <w:jc w:val="center"/>
        <w:rPr>
          <w:rFonts w:ascii="微软雅黑" w:hAnsi="微软雅黑" w:eastAsia="微软雅黑" w:cs="微软雅黑"/>
          <w:b/>
          <w:color w:val="auto"/>
          <w:sz w:val="32"/>
          <w:highlight w:val="none"/>
        </w:rPr>
      </w:pPr>
    </w:p>
    <w:p>
      <w:pPr>
        <w:spacing w:line="240" w:lineRule="atLeast"/>
        <w:jc w:val="center"/>
        <w:rPr>
          <w:rFonts w:ascii="微软雅黑" w:hAnsi="微软雅黑" w:eastAsia="微软雅黑" w:cs="微软雅黑"/>
          <w:b/>
          <w:color w:val="auto"/>
          <w:sz w:val="32"/>
          <w:highlight w:val="none"/>
        </w:rPr>
      </w:pPr>
    </w:p>
    <w:p>
      <w:pPr>
        <w:spacing w:line="240" w:lineRule="atLeast"/>
        <w:jc w:val="center"/>
        <w:rPr>
          <w:rFonts w:ascii="微软雅黑" w:hAnsi="微软雅黑" w:eastAsia="微软雅黑" w:cs="微软雅黑"/>
          <w:b/>
          <w:color w:val="auto"/>
          <w:sz w:val="32"/>
          <w:highlight w:val="none"/>
        </w:rPr>
      </w:pPr>
      <w:r>
        <w:rPr>
          <w:rFonts w:hint="eastAsia" w:ascii="微软雅黑" w:hAnsi="微软雅黑" w:eastAsia="微软雅黑" w:cs="微软雅黑"/>
          <w:b/>
          <w:color w:val="auto"/>
          <w:sz w:val="32"/>
          <w:highlight w:val="none"/>
        </w:rPr>
        <w:t xml:space="preserve">  </w:t>
      </w:r>
    </w:p>
    <w:p>
      <w:pPr>
        <w:tabs>
          <w:tab w:val="left" w:pos="7560"/>
          <w:tab w:val="left" w:pos="7770"/>
          <w:tab w:val="left" w:pos="7980"/>
        </w:tabs>
        <w:spacing w:line="240" w:lineRule="atLeast"/>
        <w:ind w:firstLine="560" w:firstLineChars="200"/>
        <w:rPr>
          <w:rFonts w:ascii="微软雅黑" w:hAnsi="微软雅黑" w:eastAsia="微软雅黑" w:cs="微软雅黑"/>
          <w:b/>
          <w:color w:val="auto"/>
          <w:sz w:val="28"/>
          <w:szCs w:val="28"/>
          <w:highlight w:val="none"/>
        </w:rPr>
      </w:pPr>
      <w:r>
        <w:rPr>
          <w:rFonts w:hint="eastAsia" w:ascii="微软雅黑" w:hAnsi="微软雅黑" w:eastAsia="微软雅黑" w:cs="微软雅黑"/>
          <w:b/>
          <w:color w:val="auto"/>
          <w:sz w:val="28"/>
          <w:szCs w:val="28"/>
          <w:highlight w:val="none"/>
        </w:rPr>
        <w:t xml:space="preserve">采购单位名称： </w:t>
      </w:r>
      <w:r>
        <w:rPr>
          <w:rFonts w:hint="eastAsia" w:ascii="微软雅黑" w:hAnsi="微软雅黑" w:eastAsia="微软雅黑" w:cs="微软雅黑"/>
          <w:b/>
          <w:color w:val="auto"/>
          <w:sz w:val="28"/>
          <w:szCs w:val="28"/>
          <w:highlight w:val="none"/>
          <w:u w:val="single"/>
        </w:rPr>
        <w:t xml:space="preserve">      中共疏勒县委员会组织部       </w:t>
      </w:r>
      <w:r>
        <w:rPr>
          <w:rFonts w:hint="eastAsia" w:ascii="微软雅黑" w:hAnsi="微软雅黑" w:eastAsia="微软雅黑" w:cs="微软雅黑"/>
          <w:b/>
          <w:color w:val="auto"/>
          <w:sz w:val="28"/>
          <w:szCs w:val="28"/>
          <w:highlight w:val="none"/>
        </w:rPr>
        <w:t xml:space="preserve">    </w:t>
      </w:r>
    </w:p>
    <w:p>
      <w:pPr>
        <w:tabs>
          <w:tab w:val="left" w:pos="7560"/>
          <w:tab w:val="left" w:pos="7770"/>
          <w:tab w:val="left" w:pos="7980"/>
        </w:tabs>
        <w:ind w:firstLine="560" w:firstLineChars="200"/>
        <w:rPr>
          <w:rFonts w:ascii="微软雅黑" w:hAnsi="微软雅黑" w:eastAsia="微软雅黑" w:cs="微软雅黑"/>
          <w:b/>
          <w:color w:val="auto"/>
          <w:sz w:val="28"/>
          <w:szCs w:val="28"/>
          <w:highlight w:val="none"/>
          <w:u w:val="single"/>
        </w:rPr>
      </w:pPr>
      <w:r>
        <w:rPr>
          <w:rFonts w:hint="eastAsia" w:ascii="微软雅黑" w:hAnsi="微软雅黑" w:eastAsia="微软雅黑" w:cs="微软雅黑"/>
          <w:b/>
          <w:color w:val="auto"/>
          <w:sz w:val="28"/>
          <w:szCs w:val="28"/>
          <w:highlight w:val="none"/>
        </w:rPr>
        <w:t xml:space="preserve">联   系   人： </w:t>
      </w:r>
      <w:r>
        <w:rPr>
          <w:rFonts w:hint="eastAsia" w:ascii="微软雅黑" w:hAnsi="微软雅黑" w:eastAsia="微软雅黑" w:cs="微软雅黑"/>
          <w:b/>
          <w:color w:val="auto"/>
          <w:sz w:val="28"/>
          <w:szCs w:val="28"/>
          <w:highlight w:val="none"/>
          <w:u w:val="single"/>
        </w:rPr>
        <w:t xml:space="preserve">          姑丽扎尔·胡吉        </w:t>
      </w:r>
      <w:r>
        <w:rPr>
          <w:rFonts w:hint="eastAsia" w:ascii="微软雅黑" w:hAnsi="微软雅黑" w:eastAsia="微软雅黑" w:cs="微软雅黑"/>
          <w:b/>
          <w:color w:val="auto"/>
          <w:sz w:val="28"/>
          <w:szCs w:val="28"/>
          <w:highlight w:val="none"/>
          <w:u w:val="single"/>
          <w:lang w:val="en-US" w:eastAsia="zh-CN"/>
        </w:rPr>
        <w:t xml:space="preserve"> </w:t>
      </w:r>
      <w:r>
        <w:rPr>
          <w:rFonts w:hint="eastAsia" w:ascii="微软雅黑" w:hAnsi="微软雅黑" w:eastAsia="微软雅黑" w:cs="微软雅黑"/>
          <w:b/>
          <w:color w:val="auto"/>
          <w:sz w:val="28"/>
          <w:szCs w:val="28"/>
          <w:highlight w:val="none"/>
          <w:u w:val="single"/>
        </w:rPr>
        <w:t xml:space="preserve">   </w:t>
      </w:r>
      <w:r>
        <w:rPr>
          <w:rFonts w:hint="eastAsia" w:ascii="微软雅黑" w:hAnsi="微软雅黑" w:eastAsia="微软雅黑" w:cs="微软雅黑"/>
          <w:b/>
          <w:color w:val="auto"/>
          <w:sz w:val="28"/>
          <w:szCs w:val="28"/>
          <w:highlight w:val="none"/>
        </w:rPr>
        <w:t xml:space="preserve">    </w:t>
      </w:r>
    </w:p>
    <w:p>
      <w:pPr>
        <w:spacing w:line="360" w:lineRule="auto"/>
        <w:ind w:firstLine="560" w:firstLineChars="200"/>
        <w:rPr>
          <w:rFonts w:ascii="微软雅黑" w:hAnsi="微软雅黑" w:eastAsia="微软雅黑" w:cs="微软雅黑"/>
          <w:b/>
          <w:color w:val="auto"/>
          <w:sz w:val="28"/>
          <w:szCs w:val="28"/>
          <w:highlight w:val="none"/>
          <w:u w:val="single"/>
        </w:rPr>
      </w:pPr>
      <w:r>
        <w:rPr>
          <w:rFonts w:hint="eastAsia" w:ascii="微软雅黑" w:hAnsi="微软雅黑" w:eastAsia="微软雅黑" w:cs="微软雅黑"/>
          <w:b/>
          <w:color w:val="auto"/>
          <w:sz w:val="28"/>
          <w:szCs w:val="28"/>
          <w:highlight w:val="none"/>
        </w:rPr>
        <w:t xml:space="preserve">联 系 电  话： </w:t>
      </w:r>
      <w:r>
        <w:rPr>
          <w:rFonts w:hint="eastAsia" w:ascii="微软雅黑" w:hAnsi="微软雅黑" w:eastAsia="微软雅黑" w:cs="微软雅黑"/>
          <w:b/>
          <w:color w:val="auto"/>
          <w:sz w:val="28"/>
          <w:szCs w:val="28"/>
          <w:highlight w:val="none"/>
          <w:u w:val="single"/>
        </w:rPr>
        <w:t xml:space="preserve">      15770118767               </w:t>
      </w:r>
    </w:p>
    <w:p>
      <w:pPr>
        <w:spacing w:line="240" w:lineRule="atLeast"/>
        <w:jc w:val="center"/>
        <w:rPr>
          <w:rFonts w:ascii="微软雅黑" w:hAnsi="微软雅黑" w:eastAsia="微软雅黑" w:cs="微软雅黑"/>
          <w:b/>
          <w:color w:val="auto"/>
          <w:sz w:val="28"/>
          <w:szCs w:val="28"/>
          <w:highlight w:val="none"/>
        </w:rPr>
      </w:pPr>
    </w:p>
    <w:p>
      <w:pPr>
        <w:pStyle w:val="25"/>
        <w:rPr>
          <w:rFonts w:ascii="微软雅黑" w:hAnsi="微软雅黑" w:eastAsia="微软雅黑" w:cs="微软雅黑"/>
          <w:color w:val="auto"/>
          <w:highlight w:val="none"/>
        </w:rPr>
      </w:pPr>
    </w:p>
    <w:p>
      <w:pPr>
        <w:pStyle w:val="2"/>
        <w:rPr>
          <w:rFonts w:ascii="微软雅黑" w:hAnsi="微软雅黑" w:eastAsia="微软雅黑" w:cs="微软雅黑"/>
          <w:color w:val="auto"/>
          <w:sz w:val="28"/>
          <w:szCs w:val="28"/>
          <w:highlight w:val="none"/>
        </w:rPr>
      </w:pPr>
    </w:p>
    <w:p>
      <w:pPr>
        <w:tabs>
          <w:tab w:val="left" w:pos="7560"/>
        </w:tabs>
        <w:spacing w:line="240" w:lineRule="atLeast"/>
        <w:ind w:firstLine="560" w:firstLineChars="200"/>
        <w:rPr>
          <w:rFonts w:ascii="微软雅黑" w:hAnsi="微软雅黑" w:eastAsia="微软雅黑" w:cs="微软雅黑"/>
          <w:b/>
          <w:color w:val="auto"/>
          <w:sz w:val="28"/>
          <w:szCs w:val="28"/>
          <w:highlight w:val="none"/>
        </w:rPr>
      </w:pPr>
      <w:r>
        <w:rPr>
          <w:rFonts w:hint="eastAsia" w:ascii="微软雅黑" w:hAnsi="微软雅黑" w:eastAsia="微软雅黑" w:cs="微软雅黑"/>
          <w:b/>
          <w:color w:val="auto"/>
          <w:sz w:val="28"/>
          <w:szCs w:val="28"/>
          <w:highlight w:val="none"/>
        </w:rPr>
        <w:t xml:space="preserve">代理机构名称： </w:t>
      </w:r>
      <w:r>
        <w:rPr>
          <w:rFonts w:hint="eastAsia" w:ascii="微软雅黑" w:hAnsi="微软雅黑" w:eastAsia="微软雅黑" w:cs="微软雅黑"/>
          <w:b/>
          <w:color w:val="auto"/>
          <w:sz w:val="28"/>
          <w:szCs w:val="28"/>
          <w:highlight w:val="none"/>
          <w:u w:val="single"/>
        </w:rPr>
        <w:t xml:space="preserve">  新疆众恒项目管理咨询有限公司     </w:t>
      </w:r>
      <w:r>
        <w:rPr>
          <w:rFonts w:hint="eastAsia" w:ascii="微软雅黑" w:hAnsi="微软雅黑" w:eastAsia="微软雅黑" w:cs="微软雅黑"/>
          <w:b/>
          <w:color w:val="auto"/>
          <w:sz w:val="28"/>
          <w:szCs w:val="28"/>
          <w:highlight w:val="none"/>
        </w:rPr>
        <w:t xml:space="preserve">  </w:t>
      </w:r>
    </w:p>
    <w:p>
      <w:pPr>
        <w:spacing w:line="240" w:lineRule="atLeast"/>
        <w:ind w:firstLine="560" w:firstLineChars="200"/>
        <w:rPr>
          <w:rFonts w:ascii="微软雅黑" w:hAnsi="微软雅黑" w:eastAsia="微软雅黑" w:cs="微软雅黑"/>
          <w:b/>
          <w:color w:val="auto"/>
          <w:sz w:val="28"/>
          <w:szCs w:val="28"/>
          <w:highlight w:val="none"/>
        </w:rPr>
      </w:pPr>
      <w:r>
        <w:rPr>
          <w:rFonts w:hint="eastAsia" w:ascii="微软雅黑" w:hAnsi="微软雅黑" w:eastAsia="微软雅黑" w:cs="微软雅黑"/>
          <w:b/>
          <w:color w:val="auto"/>
          <w:sz w:val="28"/>
          <w:szCs w:val="28"/>
          <w:highlight w:val="none"/>
        </w:rPr>
        <w:t xml:space="preserve">联   系   人： </w:t>
      </w:r>
      <w:r>
        <w:rPr>
          <w:rFonts w:hint="eastAsia" w:ascii="微软雅黑" w:hAnsi="微软雅黑" w:eastAsia="微软雅黑" w:cs="微软雅黑"/>
          <w:b/>
          <w:color w:val="auto"/>
          <w:sz w:val="28"/>
          <w:szCs w:val="28"/>
          <w:highlight w:val="none"/>
          <w:u w:val="single"/>
        </w:rPr>
        <w:t xml:space="preserve">         奉文玲                    </w:t>
      </w:r>
      <w:r>
        <w:rPr>
          <w:rFonts w:hint="eastAsia" w:ascii="微软雅黑" w:hAnsi="微软雅黑" w:eastAsia="微软雅黑" w:cs="微软雅黑"/>
          <w:b/>
          <w:color w:val="auto"/>
          <w:sz w:val="28"/>
          <w:szCs w:val="28"/>
          <w:highlight w:val="none"/>
        </w:rPr>
        <w:t xml:space="preserve">       </w:t>
      </w:r>
    </w:p>
    <w:p>
      <w:pPr>
        <w:tabs>
          <w:tab w:val="left" w:pos="7560"/>
        </w:tabs>
        <w:spacing w:line="240" w:lineRule="atLeast"/>
        <w:ind w:firstLine="560" w:firstLineChars="200"/>
        <w:rPr>
          <w:rFonts w:ascii="微软雅黑" w:hAnsi="微软雅黑" w:eastAsia="微软雅黑" w:cs="微软雅黑"/>
          <w:b/>
          <w:color w:val="auto"/>
          <w:sz w:val="28"/>
          <w:szCs w:val="28"/>
          <w:highlight w:val="none"/>
        </w:rPr>
      </w:pPr>
      <w:r>
        <w:rPr>
          <w:rFonts w:hint="eastAsia" w:ascii="微软雅黑" w:hAnsi="微软雅黑" w:eastAsia="微软雅黑" w:cs="微软雅黑"/>
          <w:b/>
          <w:color w:val="auto"/>
          <w:sz w:val="28"/>
          <w:szCs w:val="28"/>
          <w:highlight w:val="none"/>
        </w:rPr>
        <w:t xml:space="preserve">联 系 电 话 ： </w:t>
      </w:r>
      <w:r>
        <w:rPr>
          <w:rFonts w:hint="eastAsia" w:ascii="微软雅黑" w:hAnsi="微软雅黑" w:eastAsia="微软雅黑" w:cs="微软雅黑"/>
          <w:b/>
          <w:color w:val="auto"/>
          <w:sz w:val="28"/>
          <w:szCs w:val="28"/>
          <w:highlight w:val="none"/>
          <w:u w:val="single"/>
        </w:rPr>
        <w:t xml:space="preserve">       18799897728              </w:t>
      </w:r>
      <w:r>
        <w:rPr>
          <w:rFonts w:hint="eastAsia" w:ascii="微软雅黑" w:hAnsi="微软雅黑" w:eastAsia="微软雅黑" w:cs="微软雅黑"/>
          <w:b/>
          <w:color w:val="auto"/>
          <w:sz w:val="28"/>
          <w:szCs w:val="28"/>
          <w:highlight w:val="none"/>
        </w:rPr>
        <w:t xml:space="preserve">   </w:t>
      </w:r>
    </w:p>
    <w:p>
      <w:pPr>
        <w:pStyle w:val="2"/>
        <w:ind w:firstLine="0"/>
        <w:rPr>
          <w:rFonts w:ascii="微软雅黑" w:hAnsi="微软雅黑" w:eastAsia="微软雅黑" w:cs="微软雅黑"/>
          <w:color w:val="auto"/>
          <w:sz w:val="28"/>
          <w:szCs w:val="28"/>
          <w:highlight w:val="none"/>
        </w:rPr>
      </w:pPr>
    </w:p>
    <w:p>
      <w:pPr>
        <w:spacing w:line="240" w:lineRule="atLeast"/>
        <w:jc w:val="center"/>
        <w:rPr>
          <w:rFonts w:ascii="微软雅黑" w:hAnsi="微软雅黑" w:eastAsia="微软雅黑" w:cs="微软雅黑"/>
          <w:b/>
          <w:color w:val="auto"/>
          <w:sz w:val="28"/>
          <w:szCs w:val="28"/>
          <w:highlight w:val="none"/>
        </w:rPr>
        <w:sectPr>
          <w:headerReference r:id="rId3" w:type="default"/>
          <w:footerReference r:id="rId4" w:type="default"/>
          <w:pgSz w:w="11906" w:h="16838"/>
          <w:pgMar w:top="1440" w:right="1489" w:bottom="1440" w:left="1797" w:header="851" w:footer="992" w:gutter="0"/>
          <w:pgNumType w:start="1"/>
          <w:cols w:space="720" w:num="1"/>
          <w:docGrid w:type="linesAndChars" w:linePitch="312" w:charSpace="0"/>
        </w:sectPr>
      </w:pPr>
      <w:r>
        <w:rPr>
          <w:rFonts w:hint="eastAsia" w:ascii="微软雅黑" w:hAnsi="微软雅黑" w:eastAsia="微软雅黑" w:cs="微软雅黑"/>
          <w:b/>
          <w:color w:val="auto"/>
          <w:sz w:val="28"/>
          <w:szCs w:val="28"/>
          <w:highlight w:val="none"/>
        </w:rPr>
        <w:t>日期：2021 年11月</w:t>
      </w:r>
    </w:p>
    <w:p>
      <w:pPr>
        <w:jc w:val="center"/>
        <w:rPr>
          <w:rFonts w:ascii="微软雅黑" w:hAnsi="微软雅黑" w:eastAsia="微软雅黑" w:cs="微软雅黑"/>
          <w:b/>
          <w:bCs/>
          <w:color w:val="auto"/>
          <w:sz w:val="40"/>
          <w:szCs w:val="48"/>
          <w:highlight w:val="none"/>
        </w:rPr>
      </w:pPr>
      <w:r>
        <w:rPr>
          <w:rFonts w:hint="eastAsia" w:ascii="微软雅黑" w:hAnsi="微软雅黑" w:eastAsia="微软雅黑" w:cs="微软雅黑"/>
          <w:b/>
          <w:bCs/>
          <w:color w:val="auto"/>
          <w:sz w:val="40"/>
          <w:szCs w:val="48"/>
          <w:highlight w:val="none"/>
        </w:rPr>
        <w:t>目录</w:t>
      </w:r>
    </w:p>
    <w:p>
      <w:pPr>
        <w:pStyle w:val="2"/>
        <w:rPr>
          <w:rFonts w:ascii="微软雅黑" w:hAnsi="微软雅黑" w:eastAsia="微软雅黑" w:cs="微软雅黑"/>
          <w:color w:val="auto"/>
          <w:highlight w:val="none"/>
        </w:rPr>
      </w:pPr>
    </w:p>
    <w:p>
      <w:pPr>
        <w:pStyle w:val="21"/>
        <w:tabs>
          <w:tab w:val="right" w:leader="dot" w:pos="8312"/>
        </w:tabs>
        <w:spacing w:line="520" w:lineRule="exact"/>
        <w:rPr>
          <w:rFonts w:ascii="微软雅黑" w:hAnsi="微软雅黑" w:eastAsia="微软雅黑" w:cs="微软雅黑"/>
          <w:color w:val="auto"/>
          <w:highlight w:val="none"/>
        </w:rPr>
      </w:pPr>
      <w:r>
        <w:rPr>
          <w:rFonts w:hint="eastAsia" w:ascii="微软雅黑" w:hAnsi="微软雅黑" w:eastAsia="微软雅黑" w:cs="微软雅黑"/>
          <w:color w:val="auto"/>
          <w:kern w:val="0"/>
          <w:szCs w:val="21"/>
          <w:highlight w:val="none"/>
        </w:rPr>
        <w:fldChar w:fldCharType="begin"/>
      </w:r>
      <w:r>
        <w:rPr>
          <w:rFonts w:hint="eastAsia" w:ascii="微软雅黑" w:hAnsi="微软雅黑" w:eastAsia="微软雅黑" w:cs="微软雅黑"/>
          <w:color w:val="auto"/>
          <w:kern w:val="0"/>
          <w:szCs w:val="21"/>
          <w:highlight w:val="none"/>
        </w:rPr>
        <w:instrText xml:space="preserve">TOC \o "1-2" \h \u </w:instrText>
      </w:r>
      <w:r>
        <w:rPr>
          <w:rFonts w:hint="eastAsia" w:ascii="微软雅黑" w:hAnsi="微软雅黑" w:eastAsia="微软雅黑" w:cs="微软雅黑"/>
          <w:color w:val="auto"/>
          <w:kern w:val="0"/>
          <w:szCs w:val="21"/>
          <w:highlight w:val="none"/>
        </w:rPr>
        <w:fldChar w:fldCharType="separate"/>
      </w:r>
      <w:r>
        <w:rPr>
          <w:color w:val="auto"/>
          <w:highlight w:val="none"/>
        </w:rPr>
        <w:fldChar w:fldCharType="begin"/>
      </w:r>
      <w:r>
        <w:rPr>
          <w:color w:val="auto"/>
          <w:highlight w:val="none"/>
        </w:rPr>
        <w:instrText xml:space="preserve"> HYPERLINK \l "_Toc15762" </w:instrText>
      </w:r>
      <w:r>
        <w:rPr>
          <w:color w:val="auto"/>
          <w:highlight w:val="none"/>
        </w:rPr>
        <w:fldChar w:fldCharType="separate"/>
      </w:r>
      <w:r>
        <w:rPr>
          <w:rFonts w:hint="eastAsia" w:ascii="微软雅黑" w:hAnsi="微软雅黑" w:eastAsia="微软雅黑" w:cs="微软雅黑"/>
          <w:color w:val="auto"/>
          <w:highlight w:val="none"/>
        </w:rPr>
        <w:t>第1章   投标人须知</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_Toc15762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color w:val="auto"/>
          <w:highlight w:val="none"/>
        </w:rPr>
        <w:t>2</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28"/>
        <w:tabs>
          <w:tab w:val="right" w:leader="dot" w:pos="8312"/>
        </w:tabs>
        <w:spacing w:line="520" w:lineRule="exact"/>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"_Toc8788" </w:instrText>
      </w:r>
      <w:r>
        <w:rPr>
          <w:color w:val="auto"/>
          <w:highlight w:val="none"/>
        </w:rPr>
        <w:fldChar w:fldCharType="separate"/>
      </w:r>
      <w:r>
        <w:rPr>
          <w:rFonts w:hint="eastAsia" w:ascii="微软雅黑" w:hAnsi="微软雅黑" w:eastAsia="微软雅黑" w:cs="微软雅黑"/>
          <w:color w:val="auto"/>
          <w:highlight w:val="none"/>
        </w:rPr>
        <w:t>一   总 则</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_Toc8788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color w:val="auto"/>
          <w:highlight w:val="none"/>
        </w:rPr>
        <w:t>2</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28"/>
        <w:tabs>
          <w:tab w:val="right" w:leader="dot" w:pos="8312"/>
        </w:tabs>
        <w:spacing w:line="520" w:lineRule="exact"/>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"_Toc7404" </w:instrText>
      </w:r>
      <w:r>
        <w:rPr>
          <w:color w:val="auto"/>
          <w:highlight w:val="none"/>
        </w:rPr>
        <w:fldChar w:fldCharType="separate"/>
      </w:r>
      <w:r>
        <w:rPr>
          <w:rFonts w:hint="eastAsia" w:ascii="微软雅黑" w:hAnsi="微软雅黑" w:eastAsia="微软雅黑" w:cs="微软雅黑"/>
          <w:color w:val="auto"/>
          <w:szCs w:val="21"/>
          <w:highlight w:val="none"/>
        </w:rPr>
        <w:t>二   招标文件</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_Toc7404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color w:val="auto"/>
          <w:highlight w:val="none"/>
        </w:rPr>
        <w:t>4</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28"/>
        <w:tabs>
          <w:tab w:val="right" w:leader="dot" w:pos="8312"/>
        </w:tabs>
        <w:spacing w:line="520" w:lineRule="exact"/>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"_Toc17591" </w:instrText>
      </w:r>
      <w:r>
        <w:rPr>
          <w:color w:val="auto"/>
          <w:highlight w:val="none"/>
        </w:rPr>
        <w:fldChar w:fldCharType="separate"/>
      </w:r>
      <w:r>
        <w:rPr>
          <w:rFonts w:hint="eastAsia" w:ascii="微软雅黑" w:hAnsi="微软雅黑" w:eastAsia="微软雅黑" w:cs="微软雅黑"/>
          <w:color w:val="auto"/>
          <w:szCs w:val="21"/>
          <w:highlight w:val="none"/>
        </w:rPr>
        <w:t>三   投标文件的编制</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_Toc17591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color w:val="auto"/>
          <w:highlight w:val="none"/>
        </w:rPr>
        <w:t>5</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28"/>
        <w:tabs>
          <w:tab w:val="right" w:leader="dot" w:pos="8312"/>
        </w:tabs>
        <w:spacing w:line="520" w:lineRule="exact"/>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"_Toc4108" </w:instrText>
      </w:r>
      <w:r>
        <w:rPr>
          <w:color w:val="auto"/>
          <w:highlight w:val="none"/>
        </w:rPr>
        <w:fldChar w:fldCharType="separate"/>
      </w:r>
      <w:r>
        <w:rPr>
          <w:rFonts w:hint="eastAsia" w:ascii="微软雅黑" w:hAnsi="微软雅黑" w:eastAsia="微软雅黑" w:cs="微软雅黑"/>
          <w:color w:val="auto"/>
          <w:szCs w:val="21"/>
          <w:highlight w:val="none"/>
        </w:rPr>
        <w:t>四   投标文件的递交</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_Toc4108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color w:val="auto"/>
          <w:highlight w:val="none"/>
        </w:rPr>
        <w:t>8</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28"/>
        <w:tabs>
          <w:tab w:val="right" w:leader="dot" w:pos="8312"/>
        </w:tabs>
        <w:spacing w:line="520" w:lineRule="exact"/>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"_Toc2463" </w:instrText>
      </w:r>
      <w:r>
        <w:rPr>
          <w:color w:val="auto"/>
          <w:highlight w:val="none"/>
        </w:rPr>
        <w:fldChar w:fldCharType="separate"/>
      </w:r>
      <w:r>
        <w:rPr>
          <w:rFonts w:hint="eastAsia" w:ascii="微软雅黑" w:hAnsi="微软雅黑" w:eastAsia="微软雅黑" w:cs="微软雅黑"/>
          <w:color w:val="auto"/>
          <w:szCs w:val="21"/>
          <w:highlight w:val="none"/>
        </w:rPr>
        <w:t>五   开标及评标</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_Toc2463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color w:val="auto"/>
          <w:highlight w:val="none"/>
        </w:rPr>
        <w:t>9</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28"/>
        <w:tabs>
          <w:tab w:val="right" w:leader="dot" w:pos="8312"/>
        </w:tabs>
        <w:spacing w:line="520" w:lineRule="exact"/>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"_Toc24355" </w:instrText>
      </w:r>
      <w:r>
        <w:rPr>
          <w:color w:val="auto"/>
          <w:highlight w:val="none"/>
        </w:rPr>
        <w:fldChar w:fldCharType="separate"/>
      </w:r>
      <w:r>
        <w:rPr>
          <w:rFonts w:hint="eastAsia" w:ascii="微软雅黑" w:hAnsi="微软雅黑" w:eastAsia="微软雅黑" w:cs="微软雅黑"/>
          <w:color w:val="auto"/>
          <w:szCs w:val="21"/>
          <w:highlight w:val="none"/>
        </w:rPr>
        <w:t>六   确定中标</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_Toc24355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color w:val="auto"/>
          <w:highlight w:val="none"/>
        </w:rPr>
        <w:t>14</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21"/>
        <w:tabs>
          <w:tab w:val="right" w:leader="dot" w:pos="8312"/>
        </w:tabs>
        <w:spacing w:line="520" w:lineRule="exact"/>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"_Toc10401" </w:instrText>
      </w:r>
      <w:r>
        <w:rPr>
          <w:color w:val="auto"/>
          <w:highlight w:val="none"/>
        </w:rPr>
        <w:fldChar w:fldCharType="separate"/>
      </w:r>
      <w:r>
        <w:rPr>
          <w:rFonts w:hint="eastAsia" w:ascii="微软雅黑" w:hAnsi="微软雅黑" w:eastAsia="微软雅黑" w:cs="微软雅黑"/>
          <w:color w:val="auto"/>
          <w:szCs w:val="21"/>
          <w:highlight w:val="none"/>
        </w:rPr>
        <w:t>第2章   投标文件格式</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_Toc10401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color w:val="auto"/>
          <w:highlight w:val="none"/>
        </w:rPr>
        <w:t>25</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28"/>
        <w:tabs>
          <w:tab w:val="right" w:leader="dot" w:pos="8312"/>
        </w:tabs>
        <w:spacing w:line="520" w:lineRule="exact"/>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"_Toc13130" </w:instrText>
      </w:r>
      <w:r>
        <w:rPr>
          <w:color w:val="auto"/>
          <w:highlight w:val="none"/>
        </w:rPr>
        <w:fldChar w:fldCharType="separate"/>
      </w:r>
      <w:r>
        <w:rPr>
          <w:rFonts w:hint="eastAsia" w:ascii="微软雅黑" w:hAnsi="微软雅黑" w:eastAsia="微软雅黑" w:cs="微软雅黑"/>
          <w:color w:val="auto"/>
          <w:szCs w:val="21"/>
          <w:highlight w:val="none"/>
        </w:rPr>
        <w:t>第一部分 开标一览表及资格证明文件</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_Toc13130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color w:val="auto"/>
          <w:highlight w:val="none"/>
        </w:rPr>
        <w:t>25</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28"/>
        <w:tabs>
          <w:tab w:val="right" w:leader="dot" w:pos="8312"/>
        </w:tabs>
        <w:spacing w:line="520" w:lineRule="exact"/>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"_Toc26287" </w:instrText>
      </w:r>
      <w:r>
        <w:rPr>
          <w:color w:val="auto"/>
          <w:highlight w:val="none"/>
        </w:rPr>
        <w:fldChar w:fldCharType="separate"/>
      </w:r>
      <w:r>
        <w:rPr>
          <w:rFonts w:hint="eastAsia" w:ascii="微软雅黑" w:hAnsi="微软雅黑" w:eastAsia="微软雅黑" w:cs="微软雅黑"/>
          <w:color w:val="auto"/>
          <w:szCs w:val="21"/>
          <w:highlight w:val="none"/>
        </w:rPr>
        <w:t>第二部分 商务及技术文件</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_Toc26287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color w:val="auto"/>
          <w:highlight w:val="none"/>
        </w:rPr>
        <w:t>31</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21"/>
        <w:tabs>
          <w:tab w:val="right" w:leader="dot" w:pos="8312"/>
        </w:tabs>
        <w:spacing w:line="520" w:lineRule="exact"/>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"_Toc19204" </w:instrText>
      </w:r>
      <w:r>
        <w:rPr>
          <w:color w:val="auto"/>
          <w:highlight w:val="none"/>
        </w:rPr>
        <w:fldChar w:fldCharType="separate"/>
      </w:r>
      <w:r>
        <w:rPr>
          <w:rFonts w:hint="eastAsia" w:ascii="微软雅黑" w:hAnsi="微软雅黑" w:eastAsia="微软雅黑" w:cs="微软雅黑"/>
          <w:color w:val="auto"/>
          <w:highlight w:val="none"/>
        </w:rPr>
        <w:t>第3章  投标邀请</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_Toc19204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color w:val="auto"/>
          <w:highlight w:val="none"/>
        </w:rPr>
        <w:t>39</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21"/>
        <w:tabs>
          <w:tab w:val="right" w:leader="dot" w:pos="8312"/>
        </w:tabs>
        <w:spacing w:line="520" w:lineRule="exact"/>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"_Toc18586" </w:instrText>
      </w:r>
      <w:r>
        <w:rPr>
          <w:color w:val="auto"/>
          <w:highlight w:val="none"/>
        </w:rPr>
        <w:fldChar w:fldCharType="separate"/>
      </w:r>
      <w:r>
        <w:rPr>
          <w:rFonts w:hint="eastAsia" w:ascii="微软雅黑" w:hAnsi="微软雅黑" w:eastAsia="微软雅黑" w:cs="微软雅黑"/>
          <w:color w:val="auto"/>
          <w:highlight w:val="none"/>
        </w:rPr>
        <w:t>第4章  投标人须知资料表</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_Toc18586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color w:val="auto"/>
          <w:highlight w:val="none"/>
        </w:rPr>
        <w:t>46</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21"/>
        <w:tabs>
          <w:tab w:val="right" w:leader="dot" w:pos="8312"/>
        </w:tabs>
        <w:spacing w:line="520" w:lineRule="exact"/>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"_Toc23209" </w:instrText>
      </w:r>
      <w:r>
        <w:rPr>
          <w:color w:val="auto"/>
          <w:highlight w:val="none"/>
        </w:rPr>
        <w:fldChar w:fldCharType="separate"/>
      </w:r>
      <w:r>
        <w:rPr>
          <w:rFonts w:hint="eastAsia" w:ascii="微软雅黑" w:hAnsi="微软雅黑" w:eastAsia="微软雅黑" w:cs="微软雅黑"/>
          <w:color w:val="auto"/>
          <w:highlight w:val="none"/>
        </w:rPr>
        <w:t>第5章  需求一览表及技术规格</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_Toc23209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color w:val="auto"/>
          <w:highlight w:val="none"/>
        </w:rPr>
        <w:t>50</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21"/>
        <w:tabs>
          <w:tab w:val="right" w:leader="dot" w:pos="8312"/>
        </w:tabs>
        <w:spacing w:line="520" w:lineRule="exact"/>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"_Toc9146" </w:instrText>
      </w:r>
      <w:r>
        <w:rPr>
          <w:color w:val="auto"/>
          <w:highlight w:val="none"/>
        </w:rPr>
        <w:fldChar w:fldCharType="separate"/>
      </w:r>
      <w:r>
        <w:rPr>
          <w:rFonts w:hint="eastAsia" w:ascii="微软雅黑" w:hAnsi="微软雅黑" w:eastAsia="微软雅黑" w:cs="微软雅黑"/>
          <w:color w:val="auto"/>
          <w:highlight w:val="none"/>
        </w:rPr>
        <w:t>第6章  评标方法和标准</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_Toc9146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color w:val="auto"/>
          <w:highlight w:val="none"/>
        </w:rPr>
        <w:t>52</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21"/>
        <w:tabs>
          <w:tab w:val="right" w:leader="dot" w:pos="8312"/>
        </w:tabs>
        <w:spacing w:line="520" w:lineRule="exact"/>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"_Toc10018" </w:instrText>
      </w:r>
      <w:r>
        <w:rPr>
          <w:color w:val="auto"/>
          <w:highlight w:val="none"/>
        </w:rPr>
        <w:fldChar w:fldCharType="separate"/>
      </w:r>
      <w:r>
        <w:rPr>
          <w:rFonts w:hint="eastAsia" w:ascii="微软雅黑" w:hAnsi="微软雅黑" w:eastAsia="微软雅黑" w:cs="微软雅黑"/>
          <w:color w:val="auto"/>
          <w:highlight w:val="none"/>
        </w:rPr>
        <w:t>第7章  政府采购合同</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_Toc10018 </w:instrText>
      </w:r>
      <w:r>
        <w:rPr>
          <w:rFonts w:hint="eastAsia" w:ascii="微软雅黑" w:hAnsi="微软雅黑" w:eastAsia="微软雅黑" w:cs="微软雅黑"/>
          <w:color w:val="auto"/>
          <w:highlight w:val="none"/>
        </w:rPr>
        <w:fldChar w:fldCharType="separate"/>
      </w:r>
      <w:r>
        <w:rPr>
          <w:rFonts w:hint="eastAsia" w:ascii="微软雅黑" w:hAnsi="微软雅黑" w:eastAsia="微软雅黑" w:cs="微软雅黑"/>
          <w:color w:val="auto"/>
          <w:highlight w:val="none"/>
        </w:rPr>
        <w:t>94</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3"/>
        <w:tabs>
          <w:tab w:val="left" w:pos="0"/>
        </w:tabs>
        <w:spacing w:before="0" w:after="0" w:line="520" w:lineRule="exact"/>
        <w:jc w:val="both"/>
        <w:rPr>
          <w:rFonts w:hAnsi="宋体" w:cs="宋体"/>
          <w:color w:val="auto"/>
          <w:kern w:val="0"/>
          <w:szCs w:val="21"/>
          <w:highlight w:val="none"/>
        </w:rPr>
      </w:pPr>
      <w:r>
        <w:rPr>
          <w:rFonts w:hint="eastAsia" w:ascii="微软雅黑" w:hAnsi="微软雅黑" w:eastAsia="微软雅黑" w:cs="微软雅黑"/>
          <w:color w:val="auto"/>
          <w:kern w:val="0"/>
          <w:szCs w:val="21"/>
          <w:highlight w:val="none"/>
        </w:rPr>
        <w:fldChar w:fldCharType="end"/>
      </w:r>
    </w:p>
    <w:p>
      <w:pPr>
        <w:rPr>
          <w:rFonts w:hAnsi="宋体" w:cs="宋体"/>
          <w:color w:val="auto"/>
          <w:kern w:val="0"/>
          <w:szCs w:val="21"/>
          <w:highlight w:val="none"/>
        </w:rPr>
      </w:pPr>
    </w:p>
    <w:p>
      <w:pPr>
        <w:pStyle w:val="2"/>
        <w:rPr>
          <w:rFonts w:hAnsi="宋体" w:cs="宋体"/>
          <w:color w:val="auto"/>
          <w:szCs w:val="21"/>
          <w:highlight w:val="none"/>
        </w:rPr>
      </w:pPr>
    </w:p>
    <w:p>
      <w:pPr>
        <w:pStyle w:val="2"/>
        <w:rPr>
          <w:rFonts w:hAnsi="宋体" w:cs="宋体"/>
          <w:color w:val="auto"/>
          <w:szCs w:val="21"/>
          <w:highlight w:val="none"/>
        </w:rPr>
      </w:pPr>
    </w:p>
    <w:p>
      <w:pPr>
        <w:pStyle w:val="2"/>
        <w:rPr>
          <w:rFonts w:hAnsi="宋体" w:cs="宋体"/>
          <w:color w:val="auto"/>
          <w:szCs w:val="21"/>
          <w:highlight w:val="none"/>
        </w:rPr>
      </w:pPr>
    </w:p>
    <w:p>
      <w:pPr>
        <w:pStyle w:val="2"/>
        <w:rPr>
          <w:rFonts w:hAnsi="宋体" w:cs="宋体"/>
          <w:color w:val="auto"/>
          <w:szCs w:val="21"/>
          <w:highlight w:val="none"/>
        </w:rPr>
      </w:pPr>
    </w:p>
    <w:p>
      <w:pPr>
        <w:pStyle w:val="2"/>
        <w:rPr>
          <w:rFonts w:hAnsi="宋体" w:cs="宋体"/>
          <w:color w:val="auto"/>
          <w:szCs w:val="21"/>
          <w:highlight w:val="none"/>
        </w:rPr>
      </w:pPr>
    </w:p>
    <w:p>
      <w:pPr>
        <w:pStyle w:val="2"/>
        <w:rPr>
          <w:rFonts w:hAnsi="宋体" w:cs="宋体"/>
          <w:color w:val="auto"/>
          <w:szCs w:val="21"/>
          <w:highlight w:val="none"/>
        </w:rPr>
      </w:pPr>
    </w:p>
    <w:p>
      <w:pPr>
        <w:pStyle w:val="2"/>
        <w:rPr>
          <w:rFonts w:hAnsi="宋体" w:cs="宋体"/>
          <w:color w:val="auto"/>
          <w:szCs w:val="21"/>
          <w:highlight w:val="none"/>
        </w:rPr>
      </w:pPr>
    </w:p>
    <w:p>
      <w:pPr>
        <w:pStyle w:val="2"/>
        <w:rPr>
          <w:rFonts w:hAnsi="宋体" w:cs="宋体"/>
          <w:color w:val="auto"/>
          <w:szCs w:val="21"/>
          <w:highlight w:val="none"/>
        </w:rPr>
      </w:pPr>
    </w:p>
    <w:p>
      <w:pPr>
        <w:pStyle w:val="2"/>
        <w:rPr>
          <w:rFonts w:hAnsi="宋体" w:cs="宋体"/>
          <w:color w:val="auto"/>
          <w:szCs w:val="21"/>
          <w:highlight w:val="none"/>
        </w:rPr>
      </w:pPr>
    </w:p>
    <w:p>
      <w:pPr>
        <w:pStyle w:val="2"/>
        <w:rPr>
          <w:rFonts w:hAnsi="宋体" w:cs="宋体"/>
          <w:color w:val="auto"/>
          <w:szCs w:val="21"/>
          <w:highlight w:val="none"/>
        </w:rPr>
      </w:pPr>
    </w:p>
    <w:p>
      <w:pPr>
        <w:pStyle w:val="2"/>
        <w:rPr>
          <w:rFonts w:hAnsi="宋体" w:cs="宋体"/>
          <w:color w:val="auto"/>
          <w:szCs w:val="21"/>
          <w:highlight w:val="none"/>
        </w:rPr>
      </w:pPr>
    </w:p>
    <w:p>
      <w:pPr>
        <w:pStyle w:val="3"/>
        <w:tabs>
          <w:tab w:val="left" w:pos="0"/>
        </w:tabs>
        <w:spacing w:before="0" w:after="0" w:line="440" w:lineRule="exact"/>
        <w:rPr>
          <w:rFonts w:ascii="微软雅黑" w:hAnsi="微软雅黑" w:eastAsia="微软雅黑" w:cs="微软雅黑"/>
          <w:color w:val="auto"/>
          <w:sz w:val="24"/>
          <w:szCs w:val="24"/>
          <w:highlight w:val="none"/>
        </w:rPr>
      </w:pPr>
      <w:bookmarkStart w:id="0" w:name="_Toc15762"/>
      <w:r>
        <w:rPr>
          <w:rFonts w:hint="eastAsia" w:ascii="微软雅黑" w:hAnsi="微软雅黑" w:eastAsia="微软雅黑" w:cs="微软雅黑"/>
          <w:color w:val="auto"/>
          <w:sz w:val="24"/>
          <w:szCs w:val="24"/>
          <w:highlight w:val="none"/>
        </w:rPr>
        <w:t>第1章投标人须知</w:t>
      </w:r>
      <w:bookmarkEnd w:id="0"/>
    </w:p>
    <w:p>
      <w:pPr>
        <w:pStyle w:val="4"/>
        <w:spacing w:before="0" w:line="440" w:lineRule="exact"/>
        <w:ind w:left="1258" w:leftChars="599" w:firstLine="2500" w:firstLineChars="1042"/>
        <w:jc w:val="both"/>
        <w:rPr>
          <w:rFonts w:ascii="微软雅黑" w:hAnsi="微软雅黑" w:eastAsia="微软雅黑" w:cs="微软雅黑"/>
          <w:color w:val="auto"/>
          <w:sz w:val="24"/>
          <w:szCs w:val="24"/>
          <w:highlight w:val="none"/>
        </w:rPr>
      </w:pPr>
      <w:bookmarkStart w:id="1" w:name="_Toc216582805"/>
      <w:bookmarkStart w:id="2" w:name="_Toc520356143"/>
      <w:bookmarkStart w:id="3" w:name="_Toc515647757"/>
      <w:bookmarkStart w:id="4" w:name="_Toc21015"/>
      <w:bookmarkStart w:id="5" w:name="_Toc21215"/>
      <w:bookmarkStart w:id="6" w:name="_Toc5597"/>
      <w:bookmarkStart w:id="7" w:name="_Toc8788"/>
      <w:r>
        <w:rPr>
          <w:rFonts w:hint="eastAsia" w:ascii="微软雅黑" w:hAnsi="微软雅黑" w:eastAsia="微软雅黑" w:cs="微软雅黑"/>
          <w:color w:val="auto"/>
          <w:sz w:val="24"/>
          <w:szCs w:val="24"/>
          <w:highlight w:val="none"/>
        </w:rPr>
        <w:t xml:space="preserve">一 </w:t>
      </w:r>
      <w:bookmarkEnd w:id="1"/>
      <w:bookmarkEnd w:id="2"/>
      <w:bookmarkEnd w:id="3"/>
      <w:r>
        <w:rPr>
          <w:rFonts w:hint="eastAsia" w:ascii="微软雅黑" w:hAnsi="微软雅黑" w:eastAsia="微软雅黑" w:cs="微软雅黑"/>
          <w:color w:val="auto"/>
          <w:sz w:val="24"/>
          <w:szCs w:val="24"/>
          <w:highlight w:val="none"/>
        </w:rPr>
        <w:t>总 则</w:t>
      </w:r>
      <w:bookmarkEnd w:id="4"/>
      <w:bookmarkEnd w:id="5"/>
      <w:bookmarkEnd w:id="6"/>
      <w:bookmarkEnd w:id="7"/>
    </w:p>
    <w:p>
      <w:pPr>
        <w:pStyle w:val="5"/>
        <w:spacing w:before="0" w:after="0" w:line="440" w:lineRule="exact"/>
        <w:ind w:firstLine="480" w:firstLineChars="200"/>
        <w:rPr>
          <w:rFonts w:ascii="微软雅黑" w:hAnsi="微软雅黑" w:eastAsia="微软雅黑" w:cs="微软雅黑"/>
          <w:color w:val="auto"/>
          <w:szCs w:val="24"/>
          <w:highlight w:val="none"/>
          <w:u w:val="none"/>
        </w:rPr>
      </w:pPr>
      <w:bookmarkStart w:id="8" w:name="_Toc520356144"/>
      <w:bookmarkStart w:id="9" w:name="_Toc515647758"/>
      <w:bookmarkStart w:id="10" w:name="_Toc1120"/>
      <w:bookmarkStart w:id="11" w:name="_Toc32623"/>
      <w:bookmarkStart w:id="12" w:name="_Toc32189"/>
      <w:r>
        <w:rPr>
          <w:rFonts w:hint="eastAsia" w:ascii="微软雅黑" w:hAnsi="微软雅黑" w:eastAsia="微软雅黑" w:cs="微软雅黑"/>
          <w:color w:val="auto"/>
          <w:szCs w:val="24"/>
          <w:highlight w:val="none"/>
          <w:u w:val="none"/>
        </w:rPr>
        <w:t>1.采购人、采购代理机构及</w:t>
      </w:r>
      <w:bookmarkEnd w:id="8"/>
      <w:r>
        <w:rPr>
          <w:rFonts w:hint="eastAsia" w:ascii="微软雅黑" w:hAnsi="微软雅黑" w:eastAsia="微软雅黑" w:cs="微软雅黑"/>
          <w:color w:val="auto"/>
          <w:szCs w:val="24"/>
          <w:highlight w:val="none"/>
          <w:u w:val="none"/>
        </w:rPr>
        <w:t>投标人</w:t>
      </w:r>
      <w:bookmarkEnd w:id="9"/>
      <w:bookmarkEnd w:id="10"/>
      <w:bookmarkEnd w:id="11"/>
      <w:bookmarkEnd w:id="12"/>
    </w:p>
    <w:p>
      <w:pPr>
        <w:numPr>
          <w:ilvl w:val="1"/>
          <w:numId w:val="1"/>
        </w:numPr>
        <w:tabs>
          <w:tab w:val="left" w:pos="0"/>
          <w:tab w:val="clear" w:pos="900"/>
        </w:tabs>
        <w:spacing w:line="440" w:lineRule="exact"/>
        <w:ind w:hanging="898"/>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采购人：是指依法开展政府采购活动的国家机关、事业单位、团体组织。</w:t>
      </w:r>
    </w:p>
    <w:p>
      <w:pPr>
        <w:tabs>
          <w:tab w:val="left" w:pos="0"/>
        </w:tabs>
        <w:spacing w:line="440" w:lineRule="exact"/>
        <w:ind w:left="9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本项目的采购人见</w:t>
      </w:r>
      <w:r>
        <w:rPr>
          <w:rFonts w:hint="eastAsia" w:ascii="微软雅黑" w:hAnsi="微软雅黑" w:eastAsia="微软雅黑" w:cs="微软雅黑"/>
          <w:color w:val="auto"/>
          <w:sz w:val="24"/>
          <w:highlight w:val="none"/>
          <w:u w:val="single"/>
        </w:rPr>
        <w:t>投标人须知资料表</w:t>
      </w:r>
      <w:r>
        <w:rPr>
          <w:rFonts w:hint="eastAsia" w:ascii="微软雅黑" w:hAnsi="微软雅黑" w:eastAsia="微软雅黑" w:cs="微软雅黑"/>
          <w:color w:val="auto"/>
          <w:sz w:val="24"/>
          <w:highlight w:val="none"/>
        </w:rPr>
        <w:t>。</w:t>
      </w:r>
    </w:p>
    <w:p>
      <w:pPr>
        <w:numPr>
          <w:ilvl w:val="1"/>
          <w:numId w:val="1"/>
        </w:numPr>
        <w:tabs>
          <w:tab w:val="left" w:pos="0"/>
          <w:tab w:val="clear" w:pos="900"/>
        </w:tabs>
        <w:spacing w:line="440" w:lineRule="exact"/>
        <w:ind w:hanging="898"/>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采购代理机构：是指从事采购代理业务的社会中介机构。本项目的采购代理机构见</w:t>
      </w:r>
      <w:r>
        <w:rPr>
          <w:rFonts w:hint="eastAsia" w:ascii="微软雅黑" w:hAnsi="微软雅黑" w:eastAsia="微软雅黑" w:cs="微软雅黑"/>
          <w:color w:val="auto"/>
          <w:sz w:val="24"/>
          <w:highlight w:val="none"/>
          <w:u w:val="single"/>
        </w:rPr>
        <w:t>投标人须知资料表</w:t>
      </w:r>
      <w:r>
        <w:rPr>
          <w:rFonts w:hint="eastAsia" w:ascii="微软雅黑" w:hAnsi="微软雅黑" w:eastAsia="微软雅黑" w:cs="微软雅黑"/>
          <w:color w:val="auto"/>
          <w:sz w:val="24"/>
          <w:highlight w:val="none"/>
        </w:rPr>
        <w:t>。</w:t>
      </w:r>
    </w:p>
    <w:p>
      <w:pPr>
        <w:numPr>
          <w:ilvl w:val="1"/>
          <w:numId w:val="1"/>
        </w:numPr>
        <w:spacing w:line="440" w:lineRule="exact"/>
        <w:ind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投标人：是指向采购人提供货物、工程或者服务的法人、非法人组织或者自然人。本项目的投标人及其投标产品须满足以下条件：</w:t>
      </w:r>
    </w:p>
    <w:p>
      <w:pPr>
        <w:spacing w:line="440" w:lineRule="exact"/>
        <w:ind w:left="850" w:hanging="849" w:hangingChars="354"/>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1.3.1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在中华人民共和国境内注册，能够独立承担民事责任。</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1.3.2  具备《中华人民共和国政府采购法》第二十二条关于供应商条件的规定，遵守本项目采购人本级和上级财政部门政府采购的有关规定。</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1.3.3   以采购代理机构认可的方式获得了本项目的招标文件。</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1.3.4   符合</w:t>
      </w:r>
      <w:r>
        <w:rPr>
          <w:rFonts w:hint="eastAsia" w:ascii="微软雅黑" w:hAnsi="微软雅黑" w:eastAsia="微软雅黑" w:cs="微软雅黑"/>
          <w:color w:val="auto"/>
          <w:sz w:val="24"/>
          <w:highlight w:val="none"/>
          <w:u w:val="single"/>
        </w:rPr>
        <w:t>投标人须知资料表</w:t>
      </w:r>
      <w:r>
        <w:rPr>
          <w:rFonts w:hint="eastAsia" w:ascii="微软雅黑" w:hAnsi="微软雅黑" w:eastAsia="微软雅黑" w:cs="微软雅黑"/>
          <w:color w:val="auto"/>
          <w:sz w:val="24"/>
          <w:highlight w:val="none"/>
        </w:rPr>
        <w:t>中规定的其他要求。</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1.3.5   若</w:t>
      </w:r>
      <w:r>
        <w:rPr>
          <w:rFonts w:hint="eastAsia" w:ascii="微软雅黑" w:hAnsi="微软雅黑" w:eastAsia="微软雅黑" w:cs="微软雅黑"/>
          <w:color w:val="auto"/>
          <w:sz w:val="24"/>
          <w:highlight w:val="none"/>
          <w:u w:val="single"/>
        </w:rPr>
        <w:t>投标人须知资料表</w:t>
      </w:r>
      <w:r>
        <w:rPr>
          <w:rFonts w:hint="eastAsia" w:ascii="微软雅黑" w:hAnsi="微软雅黑" w:eastAsia="微软雅黑" w:cs="微软雅黑"/>
          <w:color w:val="auto"/>
          <w:sz w:val="24"/>
          <w:highlight w:val="none"/>
        </w:rPr>
        <w:t>中写明允许采购进口产品，投标人应保证所投产品可履行合法报通关手续进入中国关境内。</w:t>
      </w:r>
    </w:p>
    <w:p>
      <w:pPr>
        <w:spacing w:line="440" w:lineRule="exact"/>
        <w:ind w:left="899" w:leftChars="428"/>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若</w:t>
      </w:r>
      <w:r>
        <w:rPr>
          <w:rFonts w:hint="eastAsia" w:ascii="微软雅黑" w:hAnsi="微软雅黑" w:eastAsia="微软雅黑" w:cs="微软雅黑"/>
          <w:color w:val="auto"/>
          <w:sz w:val="24"/>
          <w:highlight w:val="none"/>
          <w:u w:val="single"/>
        </w:rPr>
        <w:t>投标人须知资料表</w:t>
      </w:r>
      <w:r>
        <w:rPr>
          <w:rFonts w:hint="eastAsia" w:ascii="微软雅黑" w:hAnsi="微软雅黑" w:eastAsia="微软雅黑" w:cs="微软雅黑"/>
          <w:color w:val="auto"/>
          <w:sz w:val="24"/>
          <w:highlight w:val="none"/>
        </w:rPr>
        <w:t>中未写明允许采购进口产品，投标人所投产品为进口产品，其投标将被认定为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spacing w:line="440" w:lineRule="exact"/>
        <w:ind w:left="840" w:hanging="840" w:hangingChars="35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1.3.6  若</w:t>
      </w:r>
      <w:r>
        <w:rPr>
          <w:rFonts w:hint="eastAsia" w:ascii="微软雅黑" w:hAnsi="微软雅黑" w:eastAsia="微软雅黑" w:cs="微软雅黑"/>
          <w:color w:val="auto"/>
          <w:sz w:val="24"/>
          <w:highlight w:val="none"/>
          <w:u w:val="single"/>
        </w:rPr>
        <w:t>投标人须知资料表</w:t>
      </w:r>
      <w:r>
        <w:rPr>
          <w:rFonts w:hint="eastAsia" w:ascii="微软雅黑" w:hAnsi="微软雅黑" w:eastAsia="微软雅黑" w:cs="微软雅黑"/>
          <w:color w:val="auto"/>
          <w:sz w:val="24"/>
          <w:highlight w:val="none"/>
        </w:rPr>
        <w:t>中写明专门面向中小企业采购的，投标人为非中小企业且所投产品为非中小企业产品，其投标将被认定为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     如</w:t>
      </w:r>
      <w:r>
        <w:rPr>
          <w:rFonts w:hint="eastAsia" w:ascii="微软雅黑" w:hAnsi="微软雅黑" w:eastAsia="微软雅黑" w:cs="微软雅黑"/>
          <w:color w:val="auto"/>
          <w:sz w:val="24"/>
          <w:highlight w:val="none"/>
          <w:u w:val="single"/>
        </w:rPr>
        <w:t>投标人须知资料表</w:t>
      </w:r>
      <w:r>
        <w:rPr>
          <w:rFonts w:hint="eastAsia" w:ascii="微软雅黑" w:hAnsi="微软雅黑" w:eastAsia="微软雅黑" w:cs="微软雅黑"/>
          <w:color w:val="auto"/>
          <w:sz w:val="24"/>
          <w:highlight w:val="none"/>
        </w:rPr>
        <w:t>中允许联合体投标，对联合体规定如下：</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1.4.1   两个以上供应商可以组成一个投标联合体，以一个投标人的身份投标。</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1.4.2   联合体各方均应符合《中华人民共和国政府采购法》第二十二条规定的条件。</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1.4.3   采购人根据采购项目对投标人的特殊要求，联合体中至少应当有一方符合相关规定。</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1.4.4   联合体各方应签订共同投标协议，明确约定联合体各方承担的工作和相应的责任，并将共同投标协议连同作为投标文件第一部分的内容提交。</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1.4.5   大中型企业、其他自然人、法人或者非法人组织与小型、微型企业组成联合体共同参加投标，共同投标协议中应写明小型、微型企业的协议合同金额占到共同投标协议投标总金额的比例。</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1.4.6  联合体中有同类资质的供应商按照联合体分工承担相同工作的，按照较低的资质等级确定联合体的资质等级。</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1.4.7  以联合体形式参加政府采购活动的，联合体各方不得再单独参加或者与其他供应商另外组成联合体参加本项目投标，否则相关投标将被认定为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1.4.8   对联合体投标的其他资格要求见</w:t>
      </w:r>
      <w:r>
        <w:rPr>
          <w:rFonts w:hint="eastAsia" w:ascii="微软雅黑" w:hAnsi="微软雅黑" w:eastAsia="微软雅黑" w:cs="微软雅黑"/>
          <w:color w:val="auto"/>
          <w:sz w:val="24"/>
          <w:highlight w:val="none"/>
          <w:u w:val="single"/>
        </w:rPr>
        <w:t>投标人须知资料表</w:t>
      </w:r>
      <w:r>
        <w:rPr>
          <w:rFonts w:hint="eastAsia" w:ascii="微软雅黑" w:hAnsi="微软雅黑" w:eastAsia="微软雅黑" w:cs="微软雅黑"/>
          <w:color w:val="auto"/>
          <w:sz w:val="24"/>
          <w:highlight w:val="none"/>
        </w:rPr>
        <w:t>。</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1.5    单位负责人为同一人或者存在直接控股、管理关系的不同供应商，其相关投标将被认定为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1.6    为本项目提供过整体设计、规范编制或者项目管理、监理、检测等服务的供应商，不得再参加本项目上述服务以外的其他采购活动。否则其投标将被认定为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1.7</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投标人在投标过程中不得向采购人提供、给予任何有价值的物品，影响其正常决策行为。一经发现，其将被认定为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pStyle w:val="5"/>
        <w:spacing w:before="0" w:after="0" w:line="440" w:lineRule="exact"/>
        <w:rPr>
          <w:rFonts w:ascii="微软雅黑" w:hAnsi="微软雅黑" w:eastAsia="微软雅黑" w:cs="微软雅黑"/>
          <w:color w:val="auto"/>
          <w:szCs w:val="24"/>
          <w:highlight w:val="none"/>
          <w:u w:val="none"/>
        </w:rPr>
      </w:pPr>
      <w:bookmarkStart w:id="13" w:name="_Toc515647759"/>
      <w:bookmarkStart w:id="14" w:name="_Toc5286"/>
      <w:bookmarkStart w:id="15" w:name="_Toc12139"/>
      <w:bookmarkStart w:id="16" w:name="_Toc4067"/>
      <w:r>
        <w:rPr>
          <w:rFonts w:hint="eastAsia" w:ascii="微软雅黑" w:hAnsi="微软雅黑" w:eastAsia="微软雅黑" w:cs="微软雅黑"/>
          <w:color w:val="auto"/>
          <w:szCs w:val="24"/>
          <w:highlight w:val="none"/>
          <w:u w:val="none"/>
        </w:rPr>
        <w:t>2.资金来源</w:t>
      </w:r>
      <w:bookmarkEnd w:id="13"/>
      <w:bookmarkEnd w:id="14"/>
      <w:bookmarkEnd w:id="15"/>
      <w:bookmarkEnd w:id="16"/>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本项目的采购人已获得足以支付本次招标后所签订的合同项下的资金（包括财政性资金和本项目采购中无法与财政性资金分割的非财政性资金）。</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2.2    项目预算金额和分项或分包最高限价</w:t>
      </w:r>
      <w:r>
        <w:rPr>
          <w:rFonts w:hint="eastAsia" w:ascii="微软雅黑" w:hAnsi="微软雅黑" w:eastAsia="微软雅黑" w:cs="微软雅黑"/>
          <w:color w:val="auto"/>
          <w:sz w:val="24"/>
          <w:highlight w:val="none"/>
          <w:u w:val="single"/>
        </w:rPr>
        <w:t>见投标人须知资料表</w:t>
      </w:r>
      <w:r>
        <w:rPr>
          <w:rFonts w:hint="eastAsia" w:ascii="微软雅黑" w:hAnsi="微软雅黑" w:eastAsia="微软雅黑" w:cs="微软雅黑"/>
          <w:color w:val="auto"/>
          <w:sz w:val="24"/>
          <w:highlight w:val="none"/>
        </w:rPr>
        <w:t>。</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2.3    投标人报价超过招标文件规定的预算金额或者分项、分包最高限价的，其投标将被认定为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pStyle w:val="5"/>
        <w:spacing w:before="0" w:after="0" w:line="440" w:lineRule="exact"/>
        <w:rPr>
          <w:rFonts w:ascii="微软雅黑" w:hAnsi="微软雅黑" w:eastAsia="微软雅黑" w:cs="微软雅黑"/>
          <w:color w:val="auto"/>
          <w:szCs w:val="24"/>
          <w:highlight w:val="none"/>
          <w:u w:val="none"/>
        </w:rPr>
      </w:pPr>
      <w:bookmarkStart w:id="17" w:name="_Toc515647760"/>
      <w:bookmarkStart w:id="18" w:name="_Toc20526"/>
      <w:bookmarkStart w:id="19" w:name="_Toc15936"/>
      <w:bookmarkStart w:id="20" w:name="_Toc520356145"/>
      <w:bookmarkStart w:id="21" w:name="_Toc4840"/>
      <w:r>
        <w:rPr>
          <w:rFonts w:hint="eastAsia" w:ascii="微软雅黑" w:hAnsi="微软雅黑" w:eastAsia="微软雅黑" w:cs="微软雅黑"/>
          <w:color w:val="auto"/>
          <w:szCs w:val="24"/>
          <w:highlight w:val="none"/>
          <w:u w:val="none"/>
        </w:rPr>
        <w:t>3.投标费用</w:t>
      </w:r>
      <w:bookmarkEnd w:id="17"/>
      <w:bookmarkEnd w:id="18"/>
      <w:bookmarkEnd w:id="19"/>
      <w:bookmarkEnd w:id="20"/>
      <w:bookmarkEnd w:id="21"/>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不论投标的结果如何，投标人应承担所有与准备和参加投标有关的费用。</w:t>
      </w:r>
    </w:p>
    <w:p>
      <w:pPr>
        <w:pStyle w:val="5"/>
        <w:spacing w:before="0" w:after="0" w:line="440" w:lineRule="exact"/>
        <w:rPr>
          <w:rFonts w:ascii="微软雅黑" w:hAnsi="微软雅黑" w:eastAsia="微软雅黑" w:cs="微软雅黑"/>
          <w:color w:val="auto"/>
          <w:szCs w:val="24"/>
          <w:highlight w:val="none"/>
          <w:u w:val="none"/>
        </w:rPr>
      </w:pPr>
      <w:bookmarkStart w:id="22" w:name="_Toc22810"/>
      <w:bookmarkStart w:id="23" w:name="_Toc4463"/>
      <w:bookmarkStart w:id="24" w:name="_Toc515647761"/>
      <w:bookmarkStart w:id="25" w:name="_Toc6116"/>
      <w:r>
        <w:rPr>
          <w:rFonts w:hint="eastAsia" w:ascii="微软雅黑" w:hAnsi="微软雅黑" w:eastAsia="微软雅黑" w:cs="微软雅黑"/>
          <w:color w:val="auto"/>
          <w:szCs w:val="24"/>
          <w:highlight w:val="none"/>
          <w:u w:val="none"/>
        </w:rPr>
        <w:t>4.适用法律</w:t>
      </w:r>
      <w:bookmarkEnd w:id="22"/>
      <w:bookmarkEnd w:id="23"/>
      <w:bookmarkEnd w:id="24"/>
      <w:bookmarkEnd w:id="25"/>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本项目采购人、采购代理机构、投标人、评标委员会的相关行为均受《中华人民共和国政府采购法》、《中华人民共和国政府采购法实施条例》及本项目本级和上级财政部门政府采购有关规定的约束，其权利受到上述法律法规的保护。</w:t>
      </w:r>
    </w:p>
    <w:p>
      <w:pPr>
        <w:rPr>
          <w:rFonts w:ascii="微软雅黑" w:hAnsi="微软雅黑" w:eastAsia="微软雅黑" w:cs="微软雅黑"/>
          <w:color w:val="auto"/>
          <w:sz w:val="24"/>
          <w:highlight w:val="none"/>
        </w:rPr>
      </w:pPr>
      <w:bookmarkStart w:id="26" w:name="_Toc520356146"/>
      <w:bookmarkStart w:id="27" w:name="_Toc7404"/>
      <w:bookmarkStart w:id="28" w:name="_Toc515647762"/>
      <w:bookmarkStart w:id="29" w:name="_Toc6382"/>
      <w:bookmarkStart w:id="30" w:name="_Toc21566"/>
      <w:bookmarkStart w:id="31" w:name="_Toc216582806"/>
      <w:bookmarkStart w:id="32" w:name="_Toc4365"/>
      <w:r>
        <w:rPr>
          <w:rFonts w:hint="eastAsia" w:ascii="微软雅黑" w:hAnsi="微软雅黑" w:eastAsia="微软雅黑" w:cs="微软雅黑"/>
          <w:color w:val="auto"/>
          <w:sz w:val="24"/>
          <w:highlight w:val="none"/>
        </w:rPr>
        <w:br w:type="page"/>
      </w:r>
    </w:p>
    <w:p>
      <w:pPr>
        <w:pStyle w:val="4"/>
        <w:spacing w:before="0" w:line="440" w:lineRule="exact"/>
        <w:ind w:left="1080" w:leftChars="257" w:hanging="54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   招标文件</w:t>
      </w:r>
      <w:bookmarkEnd w:id="26"/>
      <w:bookmarkEnd w:id="27"/>
      <w:bookmarkEnd w:id="28"/>
      <w:bookmarkEnd w:id="29"/>
      <w:bookmarkEnd w:id="30"/>
      <w:bookmarkEnd w:id="31"/>
      <w:bookmarkEnd w:id="32"/>
    </w:p>
    <w:p>
      <w:pPr>
        <w:pStyle w:val="5"/>
        <w:spacing w:before="0" w:after="0" w:line="440" w:lineRule="exact"/>
        <w:rPr>
          <w:rFonts w:ascii="微软雅黑" w:hAnsi="微软雅黑" w:eastAsia="微软雅黑" w:cs="微软雅黑"/>
          <w:color w:val="auto"/>
          <w:szCs w:val="24"/>
          <w:highlight w:val="none"/>
          <w:u w:val="none"/>
        </w:rPr>
      </w:pPr>
      <w:bookmarkStart w:id="33" w:name="_Toc25000"/>
      <w:bookmarkStart w:id="34" w:name="_Toc520356147"/>
      <w:bookmarkStart w:id="35" w:name="_Toc14084"/>
      <w:bookmarkStart w:id="36" w:name="_Toc515647763"/>
      <w:bookmarkStart w:id="37" w:name="_Toc25743"/>
      <w:r>
        <w:rPr>
          <w:rFonts w:hint="eastAsia" w:ascii="微软雅黑" w:hAnsi="微软雅黑" w:eastAsia="微软雅黑" w:cs="微软雅黑"/>
          <w:color w:val="auto"/>
          <w:szCs w:val="24"/>
          <w:highlight w:val="none"/>
          <w:u w:val="none"/>
        </w:rPr>
        <w:t>5.招标文件构成</w:t>
      </w:r>
      <w:bookmarkEnd w:id="33"/>
      <w:bookmarkEnd w:id="34"/>
      <w:bookmarkEnd w:id="35"/>
      <w:bookmarkEnd w:id="36"/>
      <w:bookmarkEnd w:id="37"/>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5.1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招标文件分为7章，内容如下：</w:t>
      </w:r>
    </w:p>
    <w:p>
      <w:pPr>
        <w:numPr>
          <w:ilvl w:val="0"/>
          <w:numId w:val="2"/>
        </w:numPr>
        <w:tabs>
          <w:tab w:val="left" w:pos="0"/>
        </w:tabs>
        <w:spacing w:line="440" w:lineRule="exact"/>
        <w:ind w:hanging="829"/>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投标人须知</w:t>
      </w:r>
    </w:p>
    <w:p>
      <w:pPr>
        <w:numPr>
          <w:ilvl w:val="0"/>
          <w:numId w:val="2"/>
        </w:numPr>
        <w:spacing w:line="440" w:lineRule="exact"/>
        <w:ind w:left="1081" w:leftChars="429" w:hanging="18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投标文件格式</w:t>
      </w:r>
    </w:p>
    <w:p>
      <w:pPr>
        <w:numPr>
          <w:ilvl w:val="0"/>
          <w:numId w:val="2"/>
        </w:numPr>
        <w:spacing w:line="440" w:lineRule="exact"/>
        <w:ind w:left="1081" w:leftChars="429" w:hanging="18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投标邀请</w:t>
      </w:r>
    </w:p>
    <w:p>
      <w:pPr>
        <w:numPr>
          <w:ilvl w:val="0"/>
          <w:numId w:val="2"/>
        </w:numPr>
        <w:spacing w:line="440" w:lineRule="exact"/>
        <w:ind w:left="1081" w:leftChars="429" w:hanging="18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投标人须知资料表</w:t>
      </w:r>
    </w:p>
    <w:p>
      <w:pPr>
        <w:numPr>
          <w:ilvl w:val="0"/>
          <w:numId w:val="2"/>
        </w:numPr>
        <w:spacing w:line="440" w:lineRule="exact"/>
        <w:ind w:left="1081" w:leftChars="429" w:hanging="18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需求一览表及技术规格</w:t>
      </w:r>
    </w:p>
    <w:p>
      <w:pPr>
        <w:numPr>
          <w:ilvl w:val="0"/>
          <w:numId w:val="2"/>
        </w:numPr>
        <w:spacing w:line="440" w:lineRule="exact"/>
        <w:ind w:left="1081" w:leftChars="429" w:hanging="18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评标方法和标准</w:t>
      </w:r>
    </w:p>
    <w:p>
      <w:pPr>
        <w:spacing w:line="440" w:lineRule="exact"/>
        <w:ind w:left="928" w:leftChars="442"/>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第7章 政府采购合同格式</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5.2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如本文件的前后内容不一致，以最后描述为准。</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5.3    投标人应认真阅读招标文件所有的事项、格式、条款和技术规范等。如投标人没有按照招标文件要求提交全部资料，或者投标文件没有对招标文件在各方面都做出实质性响应，可能导致其投标将被认定为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pStyle w:val="5"/>
        <w:spacing w:before="0" w:after="0" w:line="440" w:lineRule="exact"/>
        <w:rPr>
          <w:rFonts w:ascii="微软雅黑" w:hAnsi="微软雅黑" w:eastAsia="微软雅黑" w:cs="微软雅黑"/>
          <w:color w:val="auto"/>
          <w:szCs w:val="24"/>
          <w:highlight w:val="none"/>
          <w:u w:val="none"/>
        </w:rPr>
      </w:pPr>
      <w:bookmarkStart w:id="38" w:name="_Toc515904805"/>
      <w:bookmarkStart w:id="39" w:name="_Toc520356148"/>
      <w:bookmarkStart w:id="40" w:name="_Toc9232"/>
      <w:bookmarkStart w:id="41" w:name="_Toc26044"/>
      <w:bookmarkStart w:id="42" w:name="_Toc28810"/>
      <w:r>
        <w:rPr>
          <w:rFonts w:hint="eastAsia" w:ascii="微软雅黑" w:hAnsi="微软雅黑" w:eastAsia="微软雅黑" w:cs="微软雅黑"/>
          <w:color w:val="auto"/>
          <w:szCs w:val="24"/>
          <w:highlight w:val="none"/>
          <w:u w:val="none"/>
        </w:rPr>
        <w:t>6.招标文件的澄清</w:t>
      </w:r>
      <w:bookmarkEnd w:id="38"/>
      <w:bookmarkEnd w:id="39"/>
      <w:r>
        <w:rPr>
          <w:rFonts w:hint="eastAsia" w:ascii="微软雅黑" w:hAnsi="微软雅黑" w:eastAsia="微软雅黑" w:cs="微软雅黑"/>
          <w:color w:val="auto"/>
          <w:szCs w:val="24"/>
          <w:highlight w:val="none"/>
          <w:u w:val="none"/>
        </w:rPr>
        <w:t>与修改</w:t>
      </w:r>
      <w:bookmarkEnd w:id="40"/>
      <w:bookmarkEnd w:id="41"/>
      <w:bookmarkEnd w:id="42"/>
    </w:p>
    <w:p>
      <w:pPr>
        <w:pStyle w:val="2"/>
        <w:spacing w:line="440" w:lineRule="exact"/>
        <w:ind w:left="840" w:hanging="840" w:hangingChars="350"/>
        <w:rPr>
          <w:rFonts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6.1    为了保证对招标文件的澄清和修改满足法律的时限要求，任何要求对招标文件进行澄清的投标人，均应在投标截止期十日前，以书面形式将澄清要求通知采购人或采购代理机构。</w:t>
      </w:r>
    </w:p>
    <w:p>
      <w:pPr>
        <w:pStyle w:val="2"/>
        <w:spacing w:line="440" w:lineRule="exact"/>
        <w:ind w:left="840" w:hanging="840" w:hangingChars="350"/>
        <w:rPr>
          <w:rFonts w:ascii="微软雅黑" w:hAnsi="微软雅黑" w:eastAsia="微软雅黑" w:cs="微软雅黑"/>
          <w:color w:val="auto"/>
          <w:szCs w:val="24"/>
          <w:highlight w:val="none"/>
        </w:rPr>
      </w:pPr>
      <w:bookmarkStart w:id="43" w:name="_Ref467378678"/>
      <w:bookmarkStart w:id="44" w:name="_Toc520356149"/>
      <w:bookmarkStart w:id="45" w:name="_Toc515904806"/>
      <w:r>
        <w:rPr>
          <w:rFonts w:hint="eastAsia" w:ascii="微软雅黑" w:hAnsi="微软雅黑" w:eastAsia="微软雅黑" w:cs="微软雅黑"/>
          <w:color w:val="auto"/>
          <w:szCs w:val="24"/>
          <w:highlight w:val="none"/>
        </w:rPr>
        <w:t>6.2</w:t>
      </w:r>
      <w:r>
        <w:rPr>
          <w:rFonts w:hint="eastAsia" w:ascii="微软雅黑" w:hAnsi="微软雅黑" w:eastAsia="微软雅黑" w:cs="微软雅黑"/>
          <w:color w:val="auto"/>
          <w:szCs w:val="24"/>
          <w:highlight w:val="none"/>
        </w:rPr>
        <w:tab/>
      </w:r>
      <w:r>
        <w:rPr>
          <w:rFonts w:hint="eastAsia" w:ascii="微软雅黑" w:hAnsi="微软雅黑" w:eastAsia="微软雅黑" w:cs="微软雅黑"/>
          <w:color w:val="auto"/>
          <w:szCs w:val="24"/>
          <w:highlight w:val="none"/>
        </w:rPr>
        <w:t>采购人可主动地或在解答投标人提出的澄清问题时对招标文件进行澄清或修改。采购代理机构将以发布澄清（更正）公告的方式，澄清或修改招标文件，澄清或修改内容作为招标文件的组成部分。</w:t>
      </w:r>
    </w:p>
    <w:p>
      <w:pPr>
        <w:pStyle w:val="2"/>
        <w:spacing w:line="440" w:lineRule="exact"/>
        <w:ind w:left="840" w:hanging="840" w:hangingChars="350"/>
        <w:rPr>
          <w:rFonts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6.3</w:t>
      </w:r>
      <w:r>
        <w:rPr>
          <w:rFonts w:hint="eastAsia" w:ascii="微软雅黑" w:hAnsi="微软雅黑" w:eastAsia="微软雅黑" w:cs="微软雅黑"/>
          <w:color w:val="auto"/>
          <w:szCs w:val="24"/>
          <w:highlight w:val="none"/>
        </w:rPr>
        <w:tab/>
      </w:r>
      <w:r>
        <w:rPr>
          <w:rFonts w:hint="eastAsia" w:ascii="微软雅黑" w:hAnsi="微软雅黑" w:eastAsia="微软雅黑" w:cs="微软雅黑"/>
          <w:color w:val="auto"/>
          <w:szCs w:val="24"/>
          <w:highlight w:val="none"/>
        </w:rPr>
        <w:t>澄清或者修改的内容可能影响投标文件编制的，采购代理机构将以书面形式通知所有购买招标文件的潜在投标人，并对其具有约束力。投标人在收到上述通知后，应及时向采购代理机构回函确认。</w:t>
      </w:r>
    </w:p>
    <w:p>
      <w:pPr>
        <w:pStyle w:val="5"/>
        <w:tabs>
          <w:tab w:val="left" w:pos="900"/>
        </w:tabs>
        <w:spacing w:before="0" w:after="0" w:line="440" w:lineRule="exact"/>
        <w:rPr>
          <w:rFonts w:ascii="微软雅黑" w:hAnsi="微软雅黑" w:eastAsia="微软雅黑" w:cs="微软雅黑"/>
          <w:color w:val="auto"/>
          <w:szCs w:val="24"/>
          <w:highlight w:val="none"/>
          <w:u w:val="none"/>
        </w:rPr>
      </w:pPr>
      <w:bookmarkStart w:id="46" w:name="_Toc14569"/>
      <w:bookmarkStart w:id="47" w:name="_Toc17311"/>
      <w:bookmarkStart w:id="48" w:name="_Toc25635"/>
      <w:r>
        <w:rPr>
          <w:rFonts w:hint="eastAsia" w:ascii="微软雅黑" w:hAnsi="微软雅黑" w:eastAsia="微软雅黑" w:cs="微软雅黑"/>
          <w:color w:val="auto"/>
          <w:szCs w:val="24"/>
          <w:highlight w:val="none"/>
          <w:u w:val="none"/>
        </w:rPr>
        <w:t>7</w:t>
      </w:r>
      <w:bookmarkEnd w:id="43"/>
      <w:bookmarkEnd w:id="44"/>
      <w:bookmarkEnd w:id="45"/>
      <w:r>
        <w:rPr>
          <w:rFonts w:hint="eastAsia" w:ascii="微软雅黑" w:hAnsi="微软雅黑" w:eastAsia="微软雅黑" w:cs="微软雅黑"/>
          <w:color w:val="auto"/>
          <w:szCs w:val="24"/>
          <w:highlight w:val="none"/>
          <w:u w:val="none"/>
        </w:rPr>
        <w:t>.投标截止时间的顺延</w:t>
      </w:r>
      <w:bookmarkEnd w:id="46"/>
      <w:bookmarkEnd w:id="47"/>
      <w:bookmarkEnd w:id="48"/>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为使投标人准备投标时有足够的时间对招标文件的澄清或者修改部分进行研究，采购人将依法决定是否顺延投标截止时间。</w:t>
      </w:r>
    </w:p>
    <w:p>
      <w:pPr>
        <w:rPr>
          <w:rFonts w:ascii="微软雅黑" w:hAnsi="微软雅黑" w:eastAsia="微软雅黑" w:cs="微软雅黑"/>
          <w:color w:val="auto"/>
          <w:sz w:val="24"/>
          <w:highlight w:val="none"/>
        </w:rPr>
      </w:pPr>
      <w:bookmarkStart w:id="49" w:name="_Toc516367020"/>
      <w:bookmarkStart w:id="50" w:name="_Toc23138"/>
      <w:bookmarkStart w:id="51" w:name="_Toc17591"/>
      <w:bookmarkStart w:id="52" w:name="_Toc7636"/>
      <w:bookmarkStart w:id="53" w:name="_Toc30808"/>
      <w:bookmarkStart w:id="54" w:name="_Toc216582807"/>
      <w:bookmarkStart w:id="55" w:name="_Toc515647766"/>
      <w:bookmarkStart w:id="56" w:name="_Toc520356150"/>
      <w:r>
        <w:rPr>
          <w:rFonts w:hint="eastAsia" w:ascii="微软雅黑" w:hAnsi="微软雅黑" w:eastAsia="微软雅黑" w:cs="微软雅黑"/>
          <w:color w:val="auto"/>
          <w:sz w:val="24"/>
          <w:highlight w:val="none"/>
        </w:rPr>
        <w:br w:type="page"/>
      </w:r>
    </w:p>
    <w:p>
      <w:pPr>
        <w:pStyle w:val="4"/>
        <w:tabs>
          <w:tab w:val="left" w:pos="900"/>
        </w:tabs>
        <w:spacing w:before="0" w:line="440" w:lineRule="exact"/>
        <w:ind w:left="1080" w:leftChars="257" w:hanging="54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三   投标文件</w:t>
      </w:r>
      <w:bookmarkEnd w:id="49"/>
      <w:r>
        <w:rPr>
          <w:rFonts w:hint="eastAsia" w:ascii="微软雅黑" w:hAnsi="微软雅黑" w:eastAsia="微软雅黑" w:cs="微软雅黑"/>
          <w:color w:val="auto"/>
          <w:sz w:val="24"/>
          <w:szCs w:val="24"/>
          <w:highlight w:val="none"/>
        </w:rPr>
        <w:t>的编制</w:t>
      </w:r>
      <w:bookmarkEnd w:id="50"/>
      <w:bookmarkEnd w:id="51"/>
      <w:bookmarkEnd w:id="52"/>
      <w:bookmarkEnd w:id="53"/>
      <w:bookmarkEnd w:id="54"/>
      <w:bookmarkEnd w:id="55"/>
      <w:bookmarkEnd w:id="56"/>
    </w:p>
    <w:p>
      <w:pPr>
        <w:pStyle w:val="5"/>
        <w:tabs>
          <w:tab w:val="left" w:pos="900"/>
        </w:tabs>
        <w:spacing w:before="0" w:after="0" w:line="440" w:lineRule="exact"/>
        <w:rPr>
          <w:rFonts w:ascii="微软雅黑" w:hAnsi="微软雅黑" w:eastAsia="微软雅黑" w:cs="微软雅黑"/>
          <w:color w:val="auto"/>
          <w:szCs w:val="24"/>
          <w:highlight w:val="none"/>
          <w:u w:val="none"/>
        </w:rPr>
      </w:pPr>
      <w:bookmarkStart w:id="57" w:name="_Toc520356151"/>
      <w:bookmarkStart w:id="58" w:name="_Toc30852"/>
      <w:bookmarkStart w:id="59" w:name="_Toc515647767"/>
      <w:bookmarkStart w:id="60" w:name="_Toc3553"/>
      <w:bookmarkStart w:id="61" w:name="_Toc7786"/>
      <w:bookmarkStart w:id="62" w:name="_Toc516367021"/>
      <w:r>
        <w:rPr>
          <w:rFonts w:hint="eastAsia" w:ascii="微软雅黑" w:hAnsi="微软雅黑" w:eastAsia="微软雅黑" w:cs="微软雅黑"/>
          <w:color w:val="auto"/>
          <w:szCs w:val="24"/>
          <w:highlight w:val="none"/>
          <w:u w:val="none"/>
        </w:rPr>
        <w:t>8.</w:t>
      </w:r>
      <w:r>
        <w:rPr>
          <w:rFonts w:hint="eastAsia" w:ascii="微软雅黑" w:hAnsi="微软雅黑" w:eastAsia="微软雅黑" w:cs="微软雅黑"/>
          <w:color w:val="auto"/>
          <w:szCs w:val="24"/>
          <w:highlight w:val="none"/>
          <w:u w:val="none"/>
        </w:rPr>
        <w:tab/>
      </w:r>
      <w:r>
        <w:rPr>
          <w:rFonts w:hint="eastAsia" w:ascii="微软雅黑" w:hAnsi="微软雅黑" w:eastAsia="微软雅黑" w:cs="微软雅黑"/>
          <w:color w:val="auto"/>
          <w:szCs w:val="24"/>
          <w:highlight w:val="none"/>
          <w:u w:val="none"/>
        </w:rPr>
        <w:t>投标范围及投标文件中标准和计量单位的使用</w:t>
      </w:r>
      <w:bookmarkEnd w:id="57"/>
      <w:bookmarkEnd w:id="58"/>
      <w:bookmarkEnd w:id="59"/>
      <w:bookmarkEnd w:id="60"/>
      <w:bookmarkEnd w:id="61"/>
      <w:bookmarkEnd w:id="62"/>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8.1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项目有分包的，投标人可对招标文件其中某一个或几个分包货物进行投标，除非在</w:t>
      </w:r>
      <w:r>
        <w:rPr>
          <w:rFonts w:hint="eastAsia" w:ascii="微软雅黑" w:hAnsi="微软雅黑" w:eastAsia="微软雅黑" w:cs="微软雅黑"/>
          <w:color w:val="auto"/>
          <w:sz w:val="24"/>
          <w:highlight w:val="none"/>
          <w:u w:val="single"/>
        </w:rPr>
        <w:t>投标人须知资料表</w:t>
      </w:r>
      <w:r>
        <w:rPr>
          <w:rFonts w:hint="eastAsia" w:ascii="微软雅黑" w:hAnsi="微软雅黑" w:eastAsia="微软雅黑" w:cs="微软雅黑"/>
          <w:color w:val="auto"/>
          <w:sz w:val="24"/>
          <w:highlight w:val="none"/>
        </w:rPr>
        <w:t>中另有规定。</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8.2     投标人应当对所投分包招标文件中“服务需求”所列的所有内容进行投标，如仅响应某一包中的部分内容，其该包投标将被认定为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8.3     无论招标文件第5章技术需求一览表及技术规格中是否要求，投标人所投货物均应符合国家强制性标准。</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8.4     除招标文件中有特殊要求外，投标文件中所使用的计量单位，应采用中华人民共和国法定计量单位。</w:t>
      </w:r>
    </w:p>
    <w:p>
      <w:pPr>
        <w:pStyle w:val="5"/>
        <w:tabs>
          <w:tab w:val="left" w:pos="900"/>
        </w:tabs>
        <w:spacing w:before="0" w:after="0" w:line="440" w:lineRule="exact"/>
        <w:rPr>
          <w:rFonts w:ascii="微软雅黑" w:hAnsi="微软雅黑" w:eastAsia="微软雅黑" w:cs="微软雅黑"/>
          <w:color w:val="auto"/>
          <w:szCs w:val="24"/>
          <w:highlight w:val="none"/>
          <w:u w:val="none"/>
        </w:rPr>
      </w:pPr>
      <w:bookmarkStart w:id="63" w:name="_Toc516367022"/>
      <w:bookmarkStart w:id="64" w:name="_Ref467306676"/>
      <w:bookmarkStart w:id="65" w:name="_Ref467306195"/>
      <w:bookmarkStart w:id="66" w:name="_Toc10364"/>
      <w:bookmarkStart w:id="67" w:name="_Toc32655"/>
      <w:bookmarkStart w:id="68" w:name="_Toc520356152"/>
      <w:bookmarkStart w:id="69" w:name="_Toc28307"/>
      <w:bookmarkStart w:id="70" w:name="_Toc515647768"/>
      <w:bookmarkStart w:id="71" w:name="_Toc27659"/>
      <w:bookmarkStart w:id="72" w:name="_Toc515647769"/>
      <w:bookmarkStart w:id="73" w:name="_Toc4601"/>
      <w:bookmarkStart w:id="74" w:name="_Toc516367023"/>
      <w:bookmarkStart w:id="75" w:name="_Toc10379"/>
      <w:bookmarkStart w:id="76" w:name="_Toc520356153"/>
      <w:r>
        <w:rPr>
          <w:rFonts w:hint="eastAsia" w:ascii="微软雅黑" w:hAnsi="微软雅黑" w:eastAsia="微软雅黑" w:cs="微软雅黑"/>
          <w:color w:val="auto"/>
          <w:szCs w:val="24"/>
          <w:highlight w:val="none"/>
          <w:u w:val="none"/>
        </w:rPr>
        <w:t>9.投标文件</w:t>
      </w:r>
      <w:bookmarkEnd w:id="63"/>
      <w:bookmarkEnd w:id="64"/>
      <w:bookmarkEnd w:id="65"/>
      <w:r>
        <w:rPr>
          <w:rFonts w:hint="eastAsia" w:ascii="微软雅黑" w:hAnsi="微软雅黑" w:eastAsia="微软雅黑" w:cs="微软雅黑"/>
          <w:color w:val="auto"/>
          <w:szCs w:val="24"/>
          <w:highlight w:val="none"/>
          <w:u w:val="none"/>
        </w:rPr>
        <w:t>构成</w:t>
      </w:r>
      <w:bookmarkEnd w:id="66"/>
      <w:bookmarkEnd w:id="67"/>
      <w:bookmarkEnd w:id="68"/>
      <w:bookmarkEnd w:id="69"/>
      <w:bookmarkEnd w:id="70"/>
    </w:p>
    <w:p>
      <w:pPr>
        <w:tabs>
          <w:tab w:val="left" w:pos="900"/>
          <w:tab w:val="left" w:pos="5580"/>
        </w:tabs>
        <w:spacing w:line="440" w:lineRule="exact"/>
        <w:ind w:left="960" w:hanging="960" w:hangingChars="400"/>
        <w:jc w:val="left"/>
        <w:rPr>
          <w:rFonts w:ascii="微软雅黑" w:hAnsi="微软雅黑" w:eastAsia="微软雅黑" w:cs="微软雅黑"/>
          <w:color w:val="auto"/>
          <w:sz w:val="24"/>
          <w:highlight w:val="none"/>
          <w:u w:val="single"/>
        </w:rPr>
      </w:pPr>
      <w:bookmarkStart w:id="77" w:name="_Ref467052588"/>
      <w:r>
        <w:rPr>
          <w:rFonts w:hint="eastAsia" w:ascii="微软雅黑" w:hAnsi="微软雅黑" w:eastAsia="微软雅黑" w:cs="微软雅黑"/>
          <w:color w:val="auto"/>
          <w:sz w:val="24"/>
          <w:highlight w:val="none"/>
        </w:rPr>
        <w:t xml:space="preserve">9.1     </w:t>
      </w:r>
      <w:r>
        <w:rPr>
          <w:rFonts w:hint="eastAsia" w:ascii="微软雅黑" w:hAnsi="微软雅黑" w:eastAsia="微软雅黑" w:cs="微软雅黑"/>
          <w:b/>
          <w:bCs/>
          <w:color w:val="auto"/>
          <w:sz w:val="24"/>
          <w:highlight w:val="none"/>
          <w:u w:val="single"/>
        </w:rPr>
        <w:t>投标人应完整地按招标文件提供的投标文件格式及要求遍写投标文件，投标文件应包括“开标一览表及资格证明文件”和“商务及技术文件”两部分，两部分合订成一册，密封递交。投标人应承担封装失误产生的任何后果。</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9.2    上述文件应按照招标文件规定的格式填写、签署和盖章。</w:t>
      </w:r>
    </w:p>
    <w:bookmarkEnd w:id="71"/>
    <w:bookmarkEnd w:id="72"/>
    <w:bookmarkEnd w:id="73"/>
    <w:bookmarkEnd w:id="74"/>
    <w:bookmarkEnd w:id="75"/>
    <w:bookmarkEnd w:id="76"/>
    <w:bookmarkEnd w:id="77"/>
    <w:p>
      <w:pPr>
        <w:pStyle w:val="5"/>
        <w:tabs>
          <w:tab w:val="left" w:pos="900"/>
        </w:tabs>
        <w:spacing w:before="0" w:after="0" w:line="440" w:lineRule="exact"/>
        <w:rPr>
          <w:rFonts w:ascii="微软雅黑" w:hAnsi="微软雅黑" w:eastAsia="微软雅黑" w:cs="微软雅黑"/>
          <w:color w:val="auto"/>
          <w:szCs w:val="24"/>
          <w:highlight w:val="none"/>
          <w:u w:val="none"/>
        </w:rPr>
      </w:pPr>
      <w:bookmarkStart w:id="78" w:name="_Toc515647770"/>
      <w:bookmarkStart w:id="79" w:name="_Toc2248"/>
      <w:bookmarkStart w:id="80" w:name="_Toc520356155"/>
      <w:bookmarkStart w:id="81" w:name="_Toc28654"/>
      <w:bookmarkStart w:id="82" w:name="_Toc23231"/>
      <w:r>
        <w:rPr>
          <w:rFonts w:hint="eastAsia" w:ascii="微软雅黑" w:hAnsi="微软雅黑" w:eastAsia="微软雅黑" w:cs="微软雅黑"/>
          <w:color w:val="auto"/>
          <w:szCs w:val="24"/>
          <w:highlight w:val="none"/>
          <w:u w:val="none"/>
        </w:rPr>
        <w:t>10.</w:t>
      </w:r>
      <w:r>
        <w:rPr>
          <w:rFonts w:hint="eastAsia" w:ascii="微软雅黑" w:hAnsi="微软雅黑" w:eastAsia="微软雅黑" w:cs="微软雅黑"/>
          <w:color w:val="auto"/>
          <w:szCs w:val="24"/>
          <w:highlight w:val="none"/>
          <w:u w:val="none"/>
        </w:rPr>
        <w:tab/>
      </w:r>
      <w:r>
        <w:rPr>
          <w:rFonts w:hint="eastAsia" w:ascii="微软雅黑" w:hAnsi="微软雅黑" w:eastAsia="微软雅黑" w:cs="微软雅黑"/>
          <w:color w:val="auto"/>
          <w:szCs w:val="24"/>
          <w:highlight w:val="none"/>
          <w:u w:val="none"/>
        </w:rPr>
        <w:t>证明投标标的的合格性和符合招标文件规定的技术文件</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10.1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投标人应提交证明文件，证明其投标内容符合招标文件规定。该证明文件是投标文件的一部分。</w:t>
      </w:r>
    </w:p>
    <w:p>
      <w:pPr>
        <w:spacing w:line="440" w:lineRule="exact"/>
        <w:ind w:left="900" w:hanging="900" w:hangingChars="375"/>
        <w:rPr>
          <w:rFonts w:ascii="微软雅黑" w:hAnsi="微软雅黑" w:eastAsia="微软雅黑" w:cs="微软雅黑"/>
          <w:color w:val="auto"/>
          <w:sz w:val="24"/>
          <w:highlight w:val="none"/>
        </w:rPr>
      </w:pPr>
      <w:bookmarkStart w:id="83" w:name="_Ref467306244"/>
      <w:r>
        <w:rPr>
          <w:rFonts w:hint="eastAsia" w:ascii="微软雅黑" w:hAnsi="微软雅黑" w:eastAsia="微软雅黑" w:cs="微软雅黑"/>
          <w:color w:val="auto"/>
          <w:sz w:val="24"/>
          <w:highlight w:val="none"/>
        </w:rPr>
        <w:t>10.2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上款所述的证明文件，可以是文字资料、图纸和数据，</w:t>
      </w:r>
      <w:bookmarkEnd w:id="83"/>
      <w:r>
        <w:rPr>
          <w:rFonts w:hint="eastAsia" w:ascii="微软雅黑" w:hAnsi="微软雅黑" w:eastAsia="微软雅黑" w:cs="微软雅黑"/>
          <w:color w:val="auto"/>
          <w:sz w:val="24"/>
          <w:highlight w:val="none"/>
        </w:rPr>
        <w:t>它包括：</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10.2.1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货物主要技术指标和性能的详细说明；</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10.2.2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货物从买方开始使用至招标文件规定的保质期内正常、连续地使用所必须的备件和专用工具清单，包括备件和专用工具的货源及现行价格；</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10.2.3</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对照招标文件技术规格，逐条说明所提供货物及伴随的工程和服务已对招标文件的技术规格做出了实质性的响应，或申明与技术规格条文的偏差和例外。</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10.3</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投标人应注意采购人在技术规格中指出的工艺、材料和设备的参照品牌型号或分类号仅起说明作用，并没有任何限制性。投标人在投标中可以选用替代牌号或分类号，但这些替代要实质上相当于技术规格的要求。采购人、采购代理机构承诺不以上述参照品牌型号或分类号作为评标时判定其投标是否有效的标准。</w:t>
      </w:r>
    </w:p>
    <w:bookmarkEnd w:id="78"/>
    <w:bookmarkEnd w:id="79"/>
    <w:bookmarkEnd w:id="80"/>
    <w:bookmarkEnd w:id="81"/>
    <w:bookmarkEnd w:id="82"/>
    <w:p>
      <w:pPr>
        <w:pStyle w:val="5"/>
        <w:spacing w:before="0" w:after="0" w:line="440" w:lineRule="exact"/>
        <w:rPr>
          <w:rFonts w:ascii="微软雅黑" w:hAnsi="微软雅黑" w:eastAsia="微软雅黑" w:cs="微软雅黑"/>
          <w:color w:val="auto"/>
          <w:szCs w:val="24"/>
          <w:highlight w:val="none"/>
          <w:u w:val="none"/>
        </w:rPr>
      </w:pPr>
      <w:bookmarkStart w:id="84" w:name="_Toc17788"/>
      <w:bookmarkStart w:id="85" w:name="_Toc515647771"/>
      <w:bookmarkStart w:id="86" w:name="_Ref467306513"/>
      <w:bookmarkStart w:id="87" w:name="_Toc23985"/>
      <w:bookmarkStart w:id="88" w:name="_Toc520356156"/>
      <w:bookmarkStart w:id="89" w:name="_Toc11514"/>
      <w:r>
        <w:rPr>
          <w:rFonts w:hint="eastAsia" w:ascii="微软雅黑" w:hAnsi="微软雅黑" w:eastAsia="微软雅黑" w:cs="微软雅黑"/>
          <w:color w:val="auto"/>
          <w:szCs w:val="24"/>
          <w:highlight w:val="none"/>
          <w:u w:val="none"/>
        </w:rPr>
        <w:t>11.投标报价</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所有投标均以人民币报价。投标人的投标报价应遵守《中华人民共和国价格法》。同时，根据《中华人民共和国政府采购法》第二条的规定，为保证公平竞争，如有货物主体部分的赠与行为，其投标将被认定为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投标人应在投标分项报价表上标明投标产品及相关服务的单价（如适用）和总价，并由法定代表人（负责人）或其授权代表签署。</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11.3</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投标分项报价表上的价格应按下列方式填写：</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11.3.1  </w:t>
      </w:r>
      <w:r>
        <w:rPr>
          <w:rFonts w:hint="eastAsia" w:ascii="微软雅黑" w:hAnsi="微软雅黑" w:eastAsia="微软雅黑" w:cs="微软雅黑"/>
          <w:b/>
          <w:bCs/>
          <w:color w:val="auto"/>
          <w:sz w:val="24"/>
          <w:highlight w:val="none"/>
        </w:rPr>
        <w:t>投标货物（包括备品备件、专用工具等）的出厂价（包括已在中国国内的进口货物完税后的仓库交货价、展室交货价或货架交货价），投标货物安装、调试、检验、技术服务和培训等费用；</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11.3.2  货物运至最终目的地的运输费和保险费用。</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11.4</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投标人所报的各分项投标单价在合同履行过程中是固定不变的，不得以任何理由予以变更。任何包含价格调整要求的投标，其投标将被认定为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11.5</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每种货物只能有一个投标报价。采购人不接受具有附加条件的报价。</w:t>
      </w:r>
    </w:p>
    <w:p>
      <w:pPr>
        <w:pStyle w:val="5"/>
        <w:spacing w:before="0" w:after="0" w:line="440" w:lineRule="exact"/>
        <w:rPr>
          <w:rFonts w:ascii="微软雅黑" w:hAnsi="微软雅黑" w:eastAsia="微软雅黑" w:cs="微软雅黑"/>
          <w:color w:val="auto"/>
          <w:szCs w:val="24"/>
          <w:highlight w:val="none"/>
          <w:u w:val="none"/>
        </w:rPr>
      </w:pPr>
      <w:r>
        <w:rPr>
          <w:rFonts w:hint="eastAsia" w:ascii="微软雅黑" w:hAnsi="微软雅黑" w:eastAsia="微软雅黑" w:cs="微软雅黑"/>
          <w:color w:val="auto"/>
          <w:szCs w:val="24"/>
          <w:highlight w:val="none"/>
          <w:u w:val="none"/>
        </w:rPr>
        <w:t>12.投标保证金</w:t>
      </w:r>
      <w:bookmarkEnd w:id="84"/>
      <w:bookmarkEnd w:id="85"/>
      <w:bookmarkEnd w:id="86"/>
      <w:bookmarkEnd w:id="87"/>
      <w:bookmarkEnd w:id="88"/>
      <w:bookmarkEnd w:id="89"/>
    </w:p>
    <w:p>
      <w:pPr>
        <w:spacing w:line="440" w:lineRule="exact"/>
        <w:ind w:left="900" w:hanging="900" w:hangingChars="375"/>
        <w:rPr>
          <w:rFonts w:ascii="微软雅黑" w:hAnsi="微软雅黑" w:eastAsia="微软雅黑" w:cs="微软雅黑"/>
          <w:color w:val="auto"/>
          <w:sz w:val="24"/>
          <w:highlight w:val="none"/>
        </w:rPr>
      </w:pPr>
      <w:bookmarkStart w:id="90" w:name="_Ref467306302"/>
      <w:r>
        <w:rPr>
          <w:rFonts w:hint="eastAsia" w:ascii="微软雅黑" w:hAnsi="微软雅黑" w:eastAsia="微软雅黑" w:cs="微软雅黑"/>
          <w:color w:val="auto"/>
          <w:sz w:val="24"/>
          <w:highlight w:val="none"/>
        </w:rPr>
        <w:t>12.1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投标人应提交</w:t>
      </w:r>
      <w:r>
        <w:rPr>
          <w:rFonts w:hint="eastAsia" w:ascii="微软雅黑" w:hAnsi="微软雅黑" w:eastAsia="微软雅黑" w:cs="微软雅黑"/>
          <w:color w:val="auto"/>
          <w:sz w:val="24"/>
          <w:highlight w:val="none"/>
          <w:u w:val="single"/>
        </w:rPr>
        <w:t>投标人须知资料表</w:t>
      </w:r>
      <w:r>
        <w:rPr>
          <w:rFonts w:hint="eastAsia" w:ascii="微软雅黑" w:hAnsi="微软雅黑" w:eastAsia="微软雅黑" w:cs="微软雅黑"/>
          <w:color w:val="auto"/>
          <w:sz w:val="24"/>
          <w:highlight w:val="none"/>
        </w:rPr>
        <w:t>中规定的投标保证金</w:t>
      </w:r>
      <w:bookmarkEnd w:id="90"/>
      <w:r>
        <w:rPr>
          <w:rFonts w:hint="eastAsia" w:ascii="微软雅黑" w:hAnsi="微软雅黑" w:eastAsia="微软雅黑" w:cs="微软雅黑"/>
          <w:color w:val="auto"/>
          <w:sz w:val="24"/>
          <w:highlight w:val="none"/>
        </w:rPr>
        <w:t>，并作为其投标的一部分。</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投标人存在下列情形的，投标保证金不予退还：</w:t>
      </w:r>
    </w:p>
    <w:p>
      <w:pPr>
        <w:pStyle w:val="14"/>
        <w:tabs>
          <w:tab w:val="left" w:pos="2240"/>
        </w:tabs>
        <w:spacing w:line="440" w:lineRule="exact"/>
        <w:ind w:left="1079" w:leftChars="371" w:hanging="300" w:hangingChars="125"/>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（1）在投标有效期内，撤销投标的；</w:t>
      </w:r>
    </w:p>
    <w:p>
      <w:pPr>
        <w:pStyle w:val="14"/>
        <w:tabs>
          <w:tab w:val="left" w:pos="2240"/>
        </w:tabs>
        <w:spacing w:line="440" w:lineRule="exact"/>
        <w:ind w:left="1079" w:leftChars="371" w:hanging="300" w:hangingChars="125"/>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（2）中标后不按本须知第30条的规定与采购人签订合同的；</w:t>
      </w:r>
    </w:p>
    <w:p>
      <w:pPr>
        <w:pStyle w:val="14"/>
        <w:tabs>
          <w:tab w:val="left" w:pos="2240"/>
        </w:tabs>
        <w:spacing w:line="440" w:lineRule="exact"/>
        <w:ind w:left="1079" w:leftChars="371" w:hanging="300" w:hangingChars="125"/>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（3）中标后不按本须知第31条的规定提交履约保证金的；</w:t>
      </w:r>
    </w:p>
    <w:p>
      <w:pPr>
        <w:pStyle w:val="14"/>
        <w:tabs>
          <w:tab w:val="left" w:pos="2240"/>
        </w:tabs>
        <w:spacing w:line="440" w:lineRule="exact"/>
        <w:ind w:left="1079" w:leftChars="371" w:hanging="300" w:hangingChars="125"/>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（4）中标后不按本须知第32条的规定缴纳中标服务费的；</w:t>
      </w:r>
    </w:p>
    <w:p>
      <w:pPr>
        <w:pStyle w:val="14"/>
        <w:tabs>
          <w:tab w:val="left" w:pos="2240"/>
        </w:tabs>
        <w:spacing w:line="440" w:lineRule="exact"/>
        <w:ind w:left="1079" w:leftChars="371" w:hanging="300" w:hangingChars="125"/>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（5）存在其他违法违规行为的。</w:t>
      </w:r>
    </w:p>
    <w:p>
      <w:pPr>
        <w:spacing w:line="440" w:lineRule="exact"/>
        <w:ind w:left="900" w:hanging="900" w:hangingChars="375"/>
        <w:rPr>
          <w:rFonts w:ascii="微软雅黑" w:hAnsi="微软雅黑" w:eastAsia="微软雅黑" w:cs="微软雅黑"/>
          <w:color w:val="auto"/>
          <w:sz w:val="24"/>
          <w:highlight w:val="none"/>
        </w:rPr>
      </w:pPr>
      <w:bookmarkStart w:id="91" w:name="_Ref467306336"/>
      <w:r>
        <w:rPr>
          <w:rFonts w:hint="eastAsia" w:ascii="微软雅黑" w:hAnsi="微软雅黑" w:eastAsia="微软雅黑" w:cs="微软雅黑"/>
          <w:color w:val="auto"/>
          <w:sz w:val="24"/>
          <w:highlight w:val="none"/>
        </w:rPr>
        <w:t>12.3</w:t>
      </w:r>
      <w:r>
        <w:rPr>
          <w:rFonts w:hint="eastAsia" w:ascii="微软雅黑" w:hAnsi="微软雅黑" w:eastAsia="微软雅黑" w:cs="微软雅黑"/>
          <w:color w:val="auto"/>
          <w:sz w:val="24"/>
          <w:highlight w:val="none"/>
        </w:rPr>
        <w:tab/>
      </w:r>
      <w:bookmarkEnd w:id="91"/>
      <w:r>
        <w:rPr>
          <w:rFonts w:hint="eastAsia" w:ascii="微软雅黑" w:hAnsi="微软雅黑" w:eastAsia="微软雅黑" w:cs="微软雅黑"/>
          <w:color w:val="auto"/>
          <w:sz w:val="24"/>
          <w:highlight w:val="none"/>
        </w:rPr>
        <w:t>政府采购信用担保试点范围内的项目，接受符合财政部门规定的政府采购投标担保函原件。</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12.4</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投标人未按本须知第12.1和12.3条规定提交投标保证金的，其投标将被认定为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12.4.1  采用电汇形式的，一般可以实时入账。</w:t>
      </w:r>
    </w:p>
    <w:p>
      <w:pPr>
        <w:spacing w:line="440" w:lineRule="exact"/>
        <w:ind w:left="960" w:hanging="960" w:hangingChars="400"/>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12.4.2  采用支票形式的，投标人则应充分考虑支票入账时间，以确保投标保证金能按时进入指定账户。根据银行信息交换和付款时间，支票从递交至实际入账一般需要4-5个工作日。如投标人未及时提交支票或支票不符合银行委托收款要求（如污损、折叠、胶装等），导致投标保证金不能按时进入指定账户的，将按照招标文件的第22.2条相关规定处理。</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12.5   联合体投标的，可以由联合体中的一方或者共同提交投标保证金。以一方名义提交投标保证金的，对联合体各方均具有约束力。</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12.6</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投标保证金的退还</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12.6.1  中标人应在与采购人签订合同之日起5个工作日内，及时联系保证金收受机构办理投标保证金无息退还手续。</w:t>
      </w:r>
    </w:p>
    <w:p>
      <w:pPr>
        <w:spacing w:line="440" w:lineRule="exact"/>
        <w:ind w:left="960" w:hanging="960" w:hangingChars="4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12.6.2  未中标投标人的投标保证金将在中标通知书发出之日暨中标结果公告公布之日起5个工作日内无息退还。投标人应及时联系保证金收受机构办理退还投标保证金手续。</w:t>
      </w:r>
    </w:p>
    <w:p>
      <w:pPr>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12.6.3  政府采购投标担保函不予退回。</w:t>
      </w:r>
    </w:p>
    <w:p>
      <w:pPr>
        <w:spacing w:line="440" w:lineRule="exact"/>
        <w:ind w:left="960" w:hanging="960" w:hangingChars="4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12.7    因投标人自身原因导致无法及时退还的，采购人或采购代理机构将不承担相应责任。</w:t>
      </w:r>
    </w:p>
    <w:p>
      <w:pPr>
        <w:pStyle w:val="5"/>
        <w:spacing w:before="0" w:after="0" w:line="440" w:lineRule="exact"/>
        <w:rPr>
          <w:rFonts w:ascii="微软雅黑" w:hAnsi="微软雅黑" w:eastAsia="微软雅黑" w:cs="微软雅黑"/>
          <w:color w:val="auto"/>
          <w:szCs w:val="24"/>
          <w:highlight w:val="none"/>
          <w:u w:val="none"/>
        </w:rPr>
      </w:pPr>
      <w:bookmarkStart w:id="92" w:name="_Toc26580"/>
      <w:bookmarkStart w:id="93" w:name="_Toc32569"/>
      <w:bookmarkStart w:id="94" w:name="_Toc520356157"/>
      <w:bookmarkStart w:id="95" w:name="_Toc515647772"/>
      <w:bookmarkStart w:id="96" w:name="_Toc23590"/>
      <w:r>
        <w:rPr>
          <w:rFonts w:hint="eastAsia" w:ascii="微软雅黑" w:hAnsi="微软雅黑" w:eastAsia="微软雅黑" w:cs="微软雅黑"/>
          <w:color w:val="auto"/>
          <w:szCs w:val="24"/>
          <w:highlight w:val="none"/>
          <w:u w:val="none"/>
        </w:rPr>
        <w:t>13.投标有效期</w:t>
      </w:r>
      <w:bookmarkEnd w:id="92"/>
      <w:bookmarkEnd w:id="93"/>
      <w:bookmarkEnd w:id="94"/>
      <w:bookmarkEnd w:id="95"/>
      <w:bookmarkEnd w:id="96"/>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13.1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投标应在</w:t>
      </w:r>
      <w:r>
        <w:rPr>
          <w:rFonts w:hint="eastAsia" w:ascii="微软雅黑" w:hAnsi="微软雅黑" w:eastAsia="微软雅黑" w:cs="微软雅黑"/>
          <w:color w:val="auto"/>
          <w:sz w:val="24"/>
          <w:highlight w:val="none"/>
          <w:u w:val="single"/>
        </w:rPr>
        <w:t>投标人须知资料表</w:t>
      </w:r>
      <w:r>
        <w:rPr>
          <w:rFonts w:hint="eastAsia" w:ascii="微软雅黑" w:hAnsi="微软雅黑" w:eastAsia="微软雅黑" w:cs="微软雅黑"/>
          <w:color w:val="auto"/>
          <w:sz w:val="24"/>
          <w:highlight w:val="none"/>
        </w:rPr>
        <w:t>中规定时间内保持有效。投标有效期不满足要求的投标，其投标将被认定为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13.2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为保证有充分时间签订合同，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pStyle w:val="5"/>
        <w:spacing w:before="0" w:after="0" w:line="440" w:lineRule="exact"/>
        <w:rPr>
          <w:rFonts w:ascii="微软雅黑" w:hAnsi="微软雅黑" w:eastAsia="微软雅黑" w:cs="微软雅黑"/>
          <w:color w:val="auto"/>
          <w:szCs w:val="24"/>
          <w:highlight w:val="none"/>
          <w:u w:val="none"/>
        </w:rPr>
      </w:pPr>
      <w:bookmarkStart w:id="97" w:name="_Toc520356158"/>
      <w:bookmarkStart w:id="98" w:name="_Toc515647773"/>
      <w:bookmarkStart w:id="99" w:name="_Toc17074"/>
      <w:bookmarkStart w:id="100" w:name="_Toc20503"/>
      <w:bookmarkStart w:id="101" w:name="_Toc493"/>
      <w:r>
        <w:rPr>
          <w:rFonts w:hint="eastAsia" w:ascii="微软雅黑" w:hAnsi="微软雅黑" w:eastAsia="微软雅黑" w:cs="微软雅黑"/>
          <w:color w:val="auto"/>
          <w:szCs w:val="24"/>
          <w:highlight w:val="none"/>
          <w:u w:val="none"/>
        </w:rPr>
        <w:t>14.投标文件的签署</w:t>
      </w:r>
      <w:bookmarkEnd w:id="97"/>
      <w:r>
        <w:rPr>
          <w:rFonts w:hint="eastAsia" w:ascii="微软雅黑" w:hAnsi="微软雅黑" w:eastAsia="微软雅黑" w:cs="微软雅黑"/>
          <w:color w:val="auto"/>
          <w:szCs w:val="24"/>
          <w:highlight w:val="none"/>
          <w:u w:val="none"/>
        </w:rPr>
        <w:t>及规定</w:t>
      </w:r>
      <w:bookmarkEnd w:id="98"/>
      <w:bookmarkEnd w:id="99"/>
      <w:bookmarkEnd w:id="100"/>
      <w:bookmarkEnd w:id="101"/>
    </w:p>
    <w:p>
      <w:pPr>
        <w:spacing w:line="440" w:lineRule="exact"/>
        <w:ind w:left="900" w:hanging="900" w:hangingChars="375"/>
        <w:rPr>
          <w:rFonts w:ascii="微软雅黑" w:hAnsi="微软雅黑" w:eastAsia="微软雅黑" w:cs="微软雅黑"/>
          <w:color w:val="auto"/>
          <w:sz w:val="24"/>
          <w:highlight w:val="none"/>
        </w:rPr>
      </w:pPr>
      <w:bookmarkStart w:id="102" w:name="_Toc9840"/>
      <w:bookmarkStart w:id="103" w:name="_Toc515647776"/>
      <w:bookmarkStart w:id="104" w:name="_Toc520356161"/>
      <w:bookmarkStart w:id="105" w:name="_Toc12751"/>
      <w:r>
        <w:rPr>
          <w:rFonts w:hint="eastAsia" w:ascii="微软雅黑" w:hAnsi="微软雅黑" w:eastAsia="微软雅黑" w:cs="微软雅黑"/>
          <w:color w:val="auto"/>
          <w:sz w:val="24"/>
          <w:highlight w:val="none"/>
        </w:rPr>
        <w:t>14.1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投标人应按投标人须知资料表中的规定，准备和递交投标文件，每份纸质版投标文件封皮须清楚地标明“正本”或“副本”。若正本和副本不符，以正本为准。</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14.2   投标文件的正本需打印或用不褪色墨水书写，并由投标人的法定代表人（负责人）或经其正式委托代理人按招标文件规定在投标文件上签字并加盖单位印章。委托代理人须持有书面的“法定代表人（负责人）授权委托书”，并将其附在投标文件中。如对投标文件进行了修改，则应由投标人的法定代表人（负责人）或其委托代理人在每一修改处签字。投标文件的副本可采用正本的复印件。</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14.3    所有投标文件采用不可拆装的胶订方式装订，否则其投标文件将被认定为无效。</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14.4</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投标文件因字迹潦草、表达不清或装订不当所引起的后果由供应商负责。</w:t>
      </w:r>
    </w:p>
    <w:p>
      <w:pPr>
        <w:pStyle w:val="2"/>
        <w:spacing w:line="440" w:lineRule="exact"/>
        <w:ind w:firstLine="0"/>
        <w:rPr>
          <w:rFonts w:ascii="微软雅黑" w:hAnsi="微软雅黑" w:eastAsia="微软雅黑" w:cs="微软雅黑"/>
          <w:color w:val="auto"/>
          <w:kern w:val="2"/>
          <w:szCs w:val="24"/>
          <w:highlight w:val="none"/>
        </w:rPr>
      </w:pPr>
      <w:r>
        <w:rPr>
          <w:rFonts w:hint="eastAsia" w:ascii="微软雅黑" w:hAnsi="微软雅黑" w:eastAsia="微软雅黑" w:cs="微软雅黑"/>
          <w:color w:val="auto"/>
          <w:kern w:val="2"/>
          <w:szCs w:val="24"/>
          <w:highlight w:val="none"/>
        </w:rPr>
        <w:t>14.5    投标文件必须制作目录及页码，页码必须连续并与目录相对应。</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14.6    未按本须知规定编制、密封、标记及签署盖章的投标文件将被认定为无效。</w:t>
      </w:r>
    </w:p>
    <w:p>
      <w:pPr>
        <w:pStyle w:val="4"/>
        <w:spacing w:before="0" w:line="440" w:lineRule="exact"/>
        <w:ind w:left="1080" w:leftChars="257" w:hanging="540"/>
        <w:rPr>
          <w:rFonts w:ascii="微软雅黑" w:hAnsi="微软雅黑" w:eastAsia="微软雅黑" w:cs="微软雅黑"/>
          <w:bCs/>
          <w:color w:val="auto"/>
          <w:sz w:val="24"/>
          <w:szCs w:val="24"/>
          <w:highlight w:val="none"/>
        </w:rPr>
      </w:pPr>
      <w:bookmarkStart w:id="106" w:name="_Toc4108"/>
      <w:bookmarkStart w:id="107" w:name="_Toc16504"/>
      <w:r>
        <w:rPr>
          <w:rFonts w:hint="eastAsia" w:ascii="微软雅黑" w:hAnsi="微软雅黑" w:eastAsia="微软雅黑" w:cs="微软雅黑"/>
          <w:bCs/>
          <w:color w:val="auto"/>
          <w:sz w:val="24"/>
          <w:szCs w:val="24"/>
          <w:highlight w:val="none"/>
        </w:rPr>
        <w:t>四   投标文件的递交</w:t>
      </w:r>
      <w:bookmarkEnd w:id="106"/>
      <w:bookmarkEnd w:id="107"/>
    </w:p>
    <w:p>
      <w:pPr>
        <w:pStyle w:val="5"/>
        <w:spacing w:before="0" w:after="0" w:line="440" w:lineRule="exact"/>
        <w:rPr>
          <w:rFonts w:ascii="微软雅黑" w:hAnsi="微软雅黑" w:eastAsia="微软雅黑" w:cs="微软雅黑"/>
          <w:color w:val="auto"/>
          <w:szCs w:val="24"/>
          <w:highlight w:val="none"/>
          <w:u w:val="none"/>
        </w:rPr>
      </w:pPr>
      <w:bookmarkStart w:id="108" w:name="_Toc520356160"/>
      <w:bookmarkStart w:id="109" w:name="_Toc28066_WPSOffice_Level2"/>
      <w:bookmarkStart w:id="110" w:name="_Toc32337"/>
      <w:bookmarkStart w:id="111" w:name="_Toc515647775"/>
      <w:bookmarkStart w:id="112" w:name="_Toc31822"/>
      <w:bookmarkStart w:id="113" w:name="_Toc21645"/>
      <w:bookmarkStart w:id="114" w:name="_Toc25849_WPSOffice_Level2"/>
      <w:r>
        <w:rPr>
          <w:rFonts w:hint="eastAsia" w:ascii="微软雅黑" w:hAnsi="微软雅黑" w:eastAsia="微软雅黑" w:cs="微软雅黑"/>
          <w:color w:val="auto"/>
          <w:szCs w:val="24"/>
          <w:highlight w:val="none"/>
          <w:u w:val="none"/>
        </w:rPr>
        <w:t>15.投标文件的密封和标记</w:t>
      </w:r>
      <w:bookmarkEnd w:id="108"/>
      <w:bookmarkEnd w:id="109"/>
      <w:bookmarkEnd w:id="110"/>
      <w:bookmarkEnd w:id="111"/>
      <w:bookmarkEnd w:id="112"/>
      <w:bookmarkEnd w:id="113"/>
      <w:bookmarkEnd w:id="114"/>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15.1   为方便谈判开启及进行资格审查，供应商应将投标文件第一部分和第二部分的内容合订成一册密封提交，并在封皮正面标明“投标文件”字样。</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15.2   所有包装封皮和信封上均应：</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（1）注明采购公告或谈判邀请书中指明的项目名称、采购编号、供应商名称和“在（投标报价开启时间）之前不得启封”的字样。</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（2）  </w:t>
      </w:r>
      <w:r>
        <w:rPr>
          <w:rFonts w:hint="eastAsia" w:ascii="微软雅黑" w:hAnsi="微软雅黑" w:eastAsia="微软雅黑" w:cs="微软雅黑"/>
          <w:b/>
          <w:bCs/>
          <w:color w:val="auto"/>
          <w:sz w:val="24"/>
          <w:highlight w:val="none"/>
        </w:rPr>
        <w:t>在封口处加盖投标人单位章，或由法定代表人（负责人）（或其委托代理人）签字或盖章。</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15.3    如果供应商未按上述要求密封标记的，将被拒绝接收。</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15.4    未按投标文件的密封和标记制作及签署盖章的投标文件将被认定为无效。</w:t>
      </w:r>
    </w:p>
    <w:p>
      <w:pPr>
        <w:pStyle w:val="5"/>
        <w:spacing w:before="0" w:after="0" w:line="440" w:lineRule="exact"/>
        <w:rPr>
          <w:rFonts w:ascii="微软雅黑" w:hAnsi="微软雅黑" w:eastAsia="微软雅黑" w:cs="微软雅黑"/>
          <w:color w:val="auto"/>
          <w:szCs w:val="24"/>
          <w:highlight w:val="none"/>
          <w:u w:val="none"/>
        </w:rPr>
      </w:pPr>
      <w:r>
        <w:rPr>
          <w:rFonts w:hint="eastAsia" w:ascii="微软雅黑" w:hAnsi="微软雅黑" w:eastAsia="微软雅黑" w:cs="微软雅黑"/>
          <w:color w:val="auto"/>
          <w:szCs w:val="24"/>
          <w:highlight w:val="none"/>
          <w:u w:val="none"/>
        </w:rPr>
        <w:t>16.投标截止</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16.1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投标人应在</w:t>
      </w:r>
      <w:r>
        <w:rPr>
          <w:rFonts w:hint="eastAsia" w:ascii="微软雅黑" w:hAnsi="微软雅黑" w:eastAsia="微软雅黑" w:cs="微软雅黑"/>
          <w:color w:val="auto"/>
          <w:sz w:val="24"/>
          <w:highlight w:val="none"/>
          <w:u w:val="single"/>
        </w:rPr>
        <w:t>投标人须知资料表中</w:t>
      </w:r>
      <w:r>
        <w:rPr>
          <w:rFonts w:hint="eastAsia" w:ascii="微软雅黑" w:hAnsi="微软雅黑" w:eastAsia="微软雅黑" w:cs="微软雅黑"/>
          <w:color w:val="auto"/>
          <w:sz w:val="24"/>
          <w:highlight w:val="none"/>
        </w:rPr>
        <w:t>规定的截止时间前，将投标文件递交到招标公告中规定的地点。</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16.2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采购人和采购代理机构有权按本须知的规定，延迟投标截止时间。在此情况下，采购人、采购代理机构和投标人受投标截止时间制约的所有权利和义务均应延长至新的截止时间。</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16.3</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采购人和采购代理机构将拒绝接收在投标截止时间后送达的投标文件。</w:t>
      </w:r>
    </w:p>
    <w:p>
      <w:pPr>
        <w:pStyle w:val="4"/>
        <w:spacing w:before="0" w:line="440" w:lineRule="exact"/>
        <w:ind w:left="1080" w:leftChars="257" w:hanging="540"/>
        <w:rPr>
          <w:rFonts w:ascii="微软雅黑" w:hAnsi="微软雅黑" w:eastAsia="微软雅黑" w:cs="微软雅黑"/>
          <w:color w:val="auto"/>
          <w:sz w:val="24"/>
          <w:szCs w:val="24"/>
          <w:highlight w:val="none"/>
        </w:rPr>
      </w:pPr>
      <w:bookmarkStart w:id="115" w:name="_Toc28398"/>
      <w:bookmarkStart w:id="116" w:name="_Toc515647778"/>
      <w:bookmarkStart w:id="117" w:name="_Toc520356163"/>
      <w:bookmarkStart w:id="118" w:name="_Toc12436"/>
      <w:bookmarkStart w:id="119" w:name="_Toc216582809"/>
      <w:bookmarkStart w:id="120" w:name="_Toc28397"/>
      <w:bookmarkStart w:id="121" w:name="_Toc2463"/>
      <w:r>
        <w:rPr>
          <w:rFonts w:hint="eastAsia" w:ascii="微软雅黑" w:hAnsi="微软雅黑" w:eastAsia="微软雅黑" w:cs="微软雅黑"/>
          <w:color w:val="auto"/>
          <w:sz w:val="24"/>
          <w:szCs w:val="24"/>
          <w:highlight w:val="none"/>
        </w:rPr>
        <w:t>五   开标及评标</w:t>
      </w:r>
      <w:bookmarkEnd w:id="115"/>
      <w:bookmarkEnd w:id="116"/>
      <w:bookmarkEnd w:id="117"/>
      <w:bookmarkEnd w:id="118"/>
      <w:bookmarkEnd w:id="119"/>
      <w:bookmarkEnd w:id="120"/>
      <w:bookmarkEnd w:id="121"/>
    </w:p>
    <w:p>
      <w:pPr>
        <w:pStyle w:val="5"/>
        <w:numPr>
          <w:ilvl w:val="0"/>
          <w:numId w:val="3"/>
        </w:numPr>
        <w:spacing w:line="440" w:lineRule="exact"/>
        <w:rPr>
          <w:rFonts w:ascii="微软雅黑" w:hAnsi="微软雅黑" w:eastAsia="微软雅黑" w:cs="微软雅黑"/>
          <w:color w:val="auto"/>
          <w:szCs w:val="24"/>
          <w:highlight w:val="none"/>
        </w:rPr>
      </w:pPr>
      <w:bookmarkStart w:id="122" w:name="_Toc520356164"/>
      <w:bookmarkStart w:id="123" w:name="_Toc25345"/>
      <w:bookmarkStart w:id="124" w:name="_Toc31842"/>
      <w:bookmarkStart w:id="125" w:name="_Toc7186"/>
      <w:bookmarkStart w:id="126" w:name="_Toc515647779"/>
      <w:r>
        <w:rPr>
          <w:rFonts w:hint="eastAsia" w:ascii="微软雅黑" w:hAnsi="微软雅黑" w:eastAsia="微软雅黑" w:cs="微软雅黑"/>
          <w:color w:val="auto"/>
          <w:szCs w:val="24"/>
          <w:highlight w:val="none"/>
          <w:u w:val="none"/>
        </w:rPr>
        <w:t>开标</w:t>
      </w:r>
      <w:bookmarkEnd w:id="122"/>
      <w:bookmarkEnd w:id="123"/>
      <w:bookmarkEnd w:id="124"/>
      <w:bookmarkEnd w:id="125"/>
      <w:bookmarkEnd w:id="126"/>
    </w:p>
    <w:p>
      <w:pPr>
        <w:numPr>
          <w:ilvl w:val="1"/>
          <w:numId w:val="3"/>
        </w:num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采购人和采购代理机构将按</w:t>
      </w:r>
      <w:r>
        <w:rPr>
          <w:rFonts w:hint="eastAsia" w:ascii="微软雅黑" w:hAnsi="微软雅黑" w:eastAsia="微软雅黑" w:cs="微软雅黑"/>
          <w:color w:val="auto"/>
          <w:sz w:val="24"/>
          <w:highlight w:val="none"/>
          <w:u w:val="single"/>
        </w:rPr>
        <w:t>投标人须知资料表</w:t>
      </w:r>
      <w:r>
        <w:rPr>
          <w:rFonts w:hint="eastAsia" w:ascii="微软雅黑" w:hAnsi="微软雅黑" w:eastAsia="微软雅黑" w:cs="微软雅黑"/>
          <w:color w:val="auto"/>
          <w:sz w:val="24"/>
          <w:highlight w:val="none"/>
        </w:rPr>
        <w:t>中规定的开标时间和地点组织公开开标并邀请所有投标人代表参加。</w:t>
      </w:r>
    </w:p>
    <w:p>
      <w:pPr>
        <w:spacing w:line="440" w:lineRule="exact"/>
        <w:ind w:left="735" w:leftChars="350" w:firstLine="120" w:firstLineChars="5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投标人不足3家的，不得开标。</w:t>
      </w:r>
    </w:p>
    <w:p>
      <w:pPr>
        <w:spacing w:line="440" w:lineRule="exact"/>
        <w:ind w:left="720" w:hanging="720" w:hangingChars="3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18.2   开标时，由投标人或其推选的代表检查自己或所代表的投标文件的密封标记情况，经记录后，由采购人或采购代理机构当众拆封投标文件第一部分，宣读投标人名称、投标价格及招标文件规定的内容。对于投标人在投标截止期前递交的投标声明，在开标时当众宣读，评标时有效。</w:t>
      </w:r>
    </w:p>
    <w:p>
      <w:pPr>
        <w:spacing w:line="440" w:lineRule="exact"/>
        <w:ind w:left="1079" w:leftChars="428" w:hanging="180" w:hangingChars="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未宣读投标价格、价格折扣等实质内容，评标时不予承认。</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18.3    采购人或采购代理机构将对开标过程进行记录</w:t>
      </w:r>
      <w:bookmarkStart w:id="127" w:name="_Toc520356165"/>
      <w:r>
        <w:rPr>
          <w:rFonts w:hint="eastAsia" w:ascii="微软雅黑" w:hAnsi="微软雅黑" w:eastAsia="微软雅黑" w:cs="微软雅黑"/>
          <w:color w:val="auto"/>
          <w:sz w:val="24"/>
          <w:highlight w:val="none"/>
        </w:rPr>
        <w:t>，由参加开标的各投标人代表和相关工作人员签字确认，并存档备查。</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18.4    投标人代表对开标过程和开标记录有疑义，以及认为采购人、采购代理机构相关工作人员有需要回避的情形的，应当场提出询问或者回避申请。</w:t>
      </w:r>
      <w:bookmarkEnd w:id="127"/>
    </w:p>
    <w:p>
      <w:pPr>
        <w:pStyle w:val="5"/>
        <w:spacing w:before="0" w:after="0" w:line="440" w:lineRule="exact"/>
        <w:rPr>
          <w:rFonts w:ascii="微软雅黑" w:hAnsi="微软雅黑" w:eastAsia="微软雅黑" w:cs="微软雅黑"/>
          <w:color w:val="auto"/>
          <w:szCs w:val="24"/>
          <w:highlight w:val="none"/>
          <w:u w:val="none"/>
        </w:rPr>
      </w:pPr>
      <w:bookmarkStart w:id="128" w:name="_Toc19296"/>
      <w:bookmarkStart w:id="129" w:name="_Toc14136"/>
      <w:bookmarkStart w:id="130" w:name="_Toc515647780"/>
      <w:bookmarkStart w:id="131" w:name="_Toc21372"/>
      <w:bookmarkStart w:id="132" w:name="_Toc18574"/>
      <w:r>
        <w:rPr>
          <w:rFonts w:hint="eastAsia" w:ascii="微软雅黑" w:hAnsi="微软雅黑" w:eastAsia="微软雅黑" w:cs="微软雅黑"/>
          <w:color w:val="auto"/>
          <w:szCs w:val="24"/>
          <w:highlight w:val="none"/>
          <w:u w:val="none"/>
        </w:rPr>
        <w:t>19.资格审查及组建评标委员会</w:t>
      </w:r>
      <w:bookmarkEnd w:id="128"/>
      <w:bookmarkEnd w:id="129"/>
      <w:bookmarkEnd w:id="130"/>
      <w:bookmarkEnd w:id="131"/>
    </w:p>
    <w:p>
      <w:pPr>
        <w:spacing w:line="440" w:lineRule="exact"/>
        <w:ind w:left="960" w:hanging="960" w:hangingChars="400"/>
        <w:rPr>
          <w:rFonts w:ascii="微软雅黑" w:hAnsi="微软雅黑" w:eastAsia="微软雅黑" w:cs="微软雅黑"/>
          <w:b/>
          <w:bCs/>
          <w:color w:val="auto"/>
          <w:sz w:val="24"/>
          <w:highlight w:val="none"/>
        </w:rPr>
      </w:pPr>
      <w:r>
        <w:rPr>
          <w:rFonts w:hint="eastAsia" w:ascii="微软雅黑" w:hAnsi="微软雅黑" w:eastAsia="微软雅黑" w:cs="微软雅黑"/>
          <w:color w:val="auto"/>
          <w:sz w:val="24"/>
          <w:highlight w:val="none"/>
        </w:rPr>
        <w:t>19.1    采购人或采购代理机构依据法律法规和招标文件中规定的内容，对投标人及其货物的资格进行审查，</w:t>
      </w:r>
      <w:r>
        <w:rPr>
          <w:rFonts w:hint="eastAsia" w:ascii="微软雅黑" w:hAnsi="微软雅黑" w:eastAsia="微软雅黑" w:cs="微软雅黑"/>
          <w:b/>
          <w:bCs/>
          <w:color w:val="auto"/>
          <w:sz w:val="24"/>
          <w:highlight w:val="none"/>
        </w:rPr>
        <w:t>本项目审查原件内容如下（开标时需携带以下证件原件或国家认可的可扫描二维码的复印件加盖公章）：</w:t>
      </w:r>
    </w:p>
    <w:p>
      <w:pPr>
        <w:spacing w:line="440" w:lineRule="exact"/>
        <w:ind w:left="958" w:leftChars="456"/>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(1)法人、非法人组织或者自然人资格证明文件；</w:t>
      </w:r>
    </w:p>
    <w:p>
      <w:pPr>
        <w:spacing w:line="440" w:lineRule="exact"/>
        <w:ind w:left="958" w:leftChars="456"/>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授权委托人投标的需提供法人（负责人）代表资格证明书及授权委托书、被授权人身份证；法定代表人（负责人）投标的需提供法人（负责人）代表资格证明书及法人（负责人）身份证；授权委托人需提供本人在本单位近三个月单位社保缴费凭证和个人明细表；</w:t>
      </w:r>
    </w:p>
    <w:p>
      <w:pPr>
        <w:spacing w:line="440" w:lineRule="exact"/>
        <w:ind w:left="958" w:leftChars="456"/>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(3)2020年度财务审计报告（新公司或其他组织和自然人提供银行出具的资信证明）；</w:t>
      </w:r>
    </w:p>
    <w:p>
      <w:pPr>
        <w:spacing w:line="440" w:lineRule="exact"/>
        <w:ind w:left="958" w:leftChars="456"/>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(4)未被“信用中国”（www.creditchina.gov.cn）列入失信被执行人和重大税收违法案件当事人名单，未被“中国政府采购网”（www.ccgp.gov.cn） 列入政府采购严重违法失信行为记录名单，未在财政部门或行业主管部门禁止参加政府采购活动时间及地域范围内；(5)提供本单位在参加政府采购活动中前三年内无重大违法记录的承诺书；</w:t>
      </w:r>
    </w:p>
    <w:p>
      <w:pPr>
        <w:numPr>
          <w:ilvl w:val="0"/>
          <w:numId w:val="4"/>
        </w:numPr>
        <w:spacing w:line="440" w:lineRule="exact"/>
        <w:ind w:left="958" w:leftChars="456"/>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提供针对本次采购项目《反商业贿赂承诺书》；</w:t>
      </w:r>
    </w:p>
    <w:p>
      <w:pPr>
        <w:numPr>
          <w:ilvl w:val="0"/>
          <w:numId w:val="4"/>
        </w:numPr>
        <w:spacing w:line="440" w:lineRule="exact"/>
        <w:ind w:left="958" w:leftChars="456"/>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提供税务部门出具的近三个月的完税证明（或申报记录）；</w:t>
      </w:r>
    </w:p>
    <w:p>
      <w:pPr>
        <w:numPr>
          <w:ilvl w:val="0"/>
          <w:numId w:val="4"/>
        </w:numPr>
        <w:spacing w:line="440" w:lineRule="exact"/>
        <w:ind w:left="958" w:leftChars="456"/>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缴纳投标保证金收据及银行转账/电汇回执单。       </w:t>
      </w:r>
    </w:p>
    <w:p>
      <w:pPr>
        <w:spacing w:line="440" w:lineRule="exact"/>
        <w:ind w:left="958" w:leftChars="456"/>
        <w:rPr>
          <w:rFonts w:ascii="微软雅黑" w:hAnsi="微软雅黑" w:eastAsia="微软雅黑" w:cs="微软雅黑"/>
          <w:color w:val="auto"/>
          <w:sz w:val="24"/>
          <w:highlight w:val="none"/>
        </w:rPr>
      </w:pPr>
      <w:r>
        <w:rPr>
          <w:rFonts w:hint="eastAsia" w:ascii="微软雅黑" w:hAnsi="微软雅黑" w:eastAsia="微软雅黑" w:cs="微软雅黑"/>
          <w:b/>
          <w:bCs/>
          <w:color w:val="auto"/>
          <w:sz w:val="24"/>
          <w:highlight w:val="none"/>
        </w:rPr>
        <w:t>未通过资格审查的投标人不进入评标；通过资格审查的投标人少于不足三家的，不得评标。</w:t>
      </w:r>
    </w:p>
    <w:p>
      <w:pPr>
        <w:spacing w:line="440" w:lineRule="exact"/>
        <w:ind w:left="857" w:leftChars="2" w:hanging="853"/>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19.2   采购人或采购代理机构将在开标前1个工作日至投标截止后1小时的期间内查询投标人的信用记录。投标人存在不良信用记录的，其投标将被认定为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spacing w:line="440" w:lineRule="exact"/>
        <w:ind w:left="857" w:leftChars="2" w:hanging="853"/>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19.2.1 不良信用记录指：</w:t>
      </w:r>
      <w:r>
        <w:rPr>
          <w:rFonts w:hint="eastAsia" w:ascii="微软雅黑" w:hAnsi="微软雅黑" w:eastAsia="微软雅黑" w:cs="微软雅黑"/>
          <w:b/>
          <w:bCs/>
          <w:color w:val="auto"/>
          <w:sz w:val="24"/>
          <w:highlight w:val="none"/>
        </w:rPr>
        <w:t>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spacing w:line="440" w:lineRule="exact"/>
        <w:ind w:left="849" w:leftChars="401" w:hanging="7" w:hangingChars="3"/>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以联合体形式参加投标的，联合体任何成员存在以上不良信用记录的，联合体投标将被认定为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pStyle w:val="2"/>
        <w:spacing w:line="440" w:lineRule="exact"/>
        <w:ind w:left="850" w:hanging="849" w:hangingChars="354"/>
        <w:jc w:val="both"/>
        <w:rPr>
          <w:rFonts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19.2.2 查询及记录方式：采购人或采购代理机构经办人将查询网页打印、签字并存档备查。投标人不良信用记录以采购人或采购代理机构查询结果为准。在本招标文件规定的查询时间之后，网站信息发生的任何变更均不再作为评标依据。</w:t>
      </w:r>
    </w:p>
    <w:p>
      <w:pPr>
        <w:pStyle w:val="2"/>
        <w:spacing w:line="440" w:lineRule="exact"/>
        <w:ind w:firstLine="720" w:firstLineChars="300"/>
        <w:jc w:val="both"/>
        <w:rPr>
          <w:rFonts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投标人自行提供的与网站信息不一致的其他证明材料亦不作为资格审查依据。</w:t>
      </w:r>
    </w:p>
    <w:p>
      <w:pPr>
        <w:spacing w:line="440" w:lineRule="exact"/>
        <w:ind w:left="850" w:hanging="849" w:hangingChars="354"/>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19.3   按照《中华人民共和国政府采购法》、《中华人民共和国政府采购法实施条例》及本项目本级和上级财政部门的有关规定依法组建的评标委员会，负责评标工作。</w:t>
      </w:r>
    </w:p>
    <w:bookmarkEnd w:id="102"/>
    <w:bookmarkEnd w:id="103"/>
    <w:bookmarkEnd w:id="104"/>
    <w:bookmarkEnd w:id="105"/>
    <w:bookmarkEnd w:id="132"/>
    <w:p>
      <w:pPr>
        <w:pStyle w:val="5"/>
        <w:spacing w:before="0" w:after="0" w:line="440" w:lineRule="exact"/>
        <w:rPr>
          <w:rFonts w:ascii="微软雅黑" w:hAnsi="微软雅黑" w:eastAsia="微软雅黑" w:cs="微软雅黑"/>
          <w:b w:val="0"/>
          <w:bCs/>
          <w:color w:val="auto"/>
          <w:szCs w:val="24"/>
          <w:highlight w:val="none"/>
          <w:bdr w:val="single" w:color="auto" w:sz="4" w:space="0"/>
        </w:rPr>
      </w:pPr>
      <w:bookmarkStart w:id="133" w:name="_Toc520356166"/>
      <w:bookmarkStart w:id="134" w:name="_Toc28479"/>
      <w:bookmarkStart w:id="135" w:name="_Toc19949"/>
      <w:bookmarkStart w:id="136" w:name="_Toc25607"/>
      <w:bookmarkStart w:id="137" w:name="_Toc515647781"/>
      <w:r>
        <w:rPr>
          <w:rFonts w:hint="eastAsia" w:ascii="微软雅黑" w:hAnsi="微软雅黑" w:eastAsia="微软雅黑" w:cs="微软雅黑"/>
          <w:color w:val="auto"/>
          <w:szCs w:val="24"/>
          <w:highlight w:val="none"/>
          <w:u w:val="none"/>
        </w:rPr>
        <w:t>20.投标文件</w:t>
      </w:r>
      <w:bookmarkEnd w:id="133"/>
      <w:r>
        <w:rPr>
          <w:rFonts w:hint="eastAsia" w:ascii="微软雅黑" w:hAnsi="微软雅黑" w:eastAsia="微软雅黑" w:cs="微软雅黑"/>
          <w:color w:val="auto"/>
          <w:szCs w:val="24"/>
          <w:highlight w:val="none"/>
          <w:u w:val="none"/>
        </w:rPr>
        <w:t>符合性审查与澄清</w:t>
      </w:r>
      <w:bookmarkEnd w:id="134"/>
      <w:bookmarkEnd w:id="135"/>
      <w:bookmarkEnd w:id="136"/>
      <w:bookmarkEnd w:id="137"/>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20.1   符合性审查是指依据招标文件的规定，从投标文件的有效性和完整性对招标文件的响应程度进行审查，以确定是否对招标文件的实质性要求做出响应。</w:t>
      </w:r>
      <w:bookmarkStart w:id="138" w:name="_Hlt522424701"/>
      <w:bookmarkEnd w:id="138"/>
      <w:bookmarkStart w:id="139" w:name="_Toc520356167"/>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20.2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投标文件的澄清</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20.2.1  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情况作必要的澄清、说明或补正。投标人的澄清、说明或补正应在评标委员会规定的时间内以书面方式进行，并不得超出投标文件范围或者改变投标文件的实质性内容。</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20.2.2  投标人的的澄清、说明或补正将作为投标文件的一部分。</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20.3  投标文件报价出现前后不一致的，按照下列规定修正：</w:t>
      </w:r>
    </w:p>
    <w:p>
      <w:pPr>
        <w:spacing w:line="440" w:lineRule="exact"/>
        <w:ind w:left="1020" w:hanging="1020" w:hangingChars="42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（一）投标文件中开标一览表（报价表）内容与投标文件中相应内容不一致的，以开标一览表（报价表）为准；</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（二）大写金额和小写金额不一致的，以大写金额为准；</w:t>
      </w:r>
    </w:p>
    <w:p>
      <w:pPr>
        <w:spacing w:line="440" w:lineRule="exact"/>
        <w:ind w:left="1020" w:hanging="1020" w:hangingChars="42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（三）单价金额小数点或者百分比有明显错位的，以开标一览表的总价为准，并修改单价；</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（四）总价金额与按单价汇总金额不一致的，以单价金额计算结果为准。</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同时出现两种以上不一致的，按照前款规定的顺序修正。修正后的报价按照第20.2条的规定经投标人确认后产生约束力，投标人不确认的，其投标将被认定为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spacing w:line="440" w:lineRule="exact"/>
        <w:ind w:left="735" w:leftChars="350" w:firstLine="120" w:firstLineChars="5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对不同文字文本投标文件的解释发生异议的，以中文文本为准。</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20.4   如一个分包内只有一种产品，不同投标人所投产品为同一品牌的，按如下方式处理：</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20.4.1  如本项目使用最低评标价法，提供相同品牌产品的不同投标人以其中通过资格审查、符合性审查且报价最低的参加评标；报价相同的，由采购人或者采购人委托评标委员会按照招标文件中评标办法规定的方式确定一个参加评标的投标人；未规定的采取随机抽取方式确定，其他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20.4.2  如本项目使用综合评分法，提供相同品牌产品且通过资格审查、符合性审查的不同投标人，按一家投标人计算，评审后得分最高的同品牌投标人获得中标人推荐资格；评审得分相同的，由采购人或者采购人委托评标委员会按照招标文件中评标办法规定的方式确定一个投标人获得中标人推荐资格；未规定的采取随机抽取方式确定，其他同品牌投标人不作为中标候选人。</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20.5   如一个分包内包含多种产品的，采购人或采购代理机构将在</w:t>
      </w:r>
      <w:r>
        <w:rPr>
          <w:rFonts w:hint="eastAsia" w:ascii="微软雅黑" w:hAnsi="微软雅黑" w:eastAsia="微软雅黑" w:cs="微软雅黑"/>
          <w:color w:val="auto"/>
          <w:sz w:val="24"/>
          <w:highlight w:val="none"/>
          <w:u w:val="single"/>
        </w:rPr>
        <w:t>投标人须知资料表</w:t>
      </w:r>
      <w:r>
        <w:rPr>
          <w:rFonts w:hint="eastAsia" w:ascii="微软雅黑" w:hAnsi="微软雅黑" w:eastAsia="微软雅黑" w:cs="微软雅黑"/>
          <w:color w:val="auto"/>
          <w:sz w:val="24"/>
          <w:highlight w:val="none"/>
        </w:rPr>
        <w:t>中载明核心产品，多家投标人提供的核心产品品牌相同的，按第20.4条规定处理。</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20.6   投标人所投产品如被列入财政部与国家主管部门颁发的节能产品目录或环境标志产品目录或无线局域网产品目录，应提供相关证明，在评标时予以优先采购，具体优先采购办法见第六章评标方法和标准。</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如采购人所采购产品为政府强制采购的节能产品，投标人所投产品的品牌及型号必须为清单中有效期内产品并提供证明文件，否则其投标将被认定为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w:t>
      </w:r>
    </w:p>
    <w:p>
      <w:pPr>
        <w:pStyle w:val="5"/>
        <w:spacing w:before="0" w:after="0" w:line="440" w:lineRule="exact"/>
        <w:rPr>
          <w:rFonts w:ascii="微软雅黑" w:hAnsi="微软雅黑" w:eastAsia="微软雅黑" w:cs="微软雅黑"/>
          <w:color w:val="auto"/>
          <w:szCs w:val="24"/>
          <w:highlight w:val="none"/>
          <w:u w:val="none"/>
        </w:rPr>
      </w:pPr>
      <w:bookmarkStart w:id="140" w:name="_Toc515647782"/>
      <w:bookmarkStart w:id="141" w:name="_Toc28888"/>
      <w:bookmarkStart w:id="142" w:name="_Toc6364"/>
      <w:bookmarkStart w:id="143" w:name="_Toc9469"/>
      <w:r>
        <w:rPr>
          <w:rFonts w:hint="eastAsia" w:ascii="微软雅黑" w:hAnsi="微软雅黑" w:eastAsia="微软雅黑" w:cs="微软雅黑"/>
          <w:color w:val="auto"/>
          <w:szCs w:val="24"/>
          <w:highlight w:val="none"/>
          <w:u w:val="none"/>
        </w:rPr>
        <w:t>21.投标偏离</w:t>
      </w:r>
      <w:bookmarkEnd w:id="140"/>
      <w:bookmarkEnd w:id="141"/>
      <w:bookmarkEnd w:id="142"/>
      <w:bookmarkEnd w:id="143"/>
    </w:p>
    <w:p>
      <w:pPr>
        <w:spacing w:line="440" w:lineRule="exact"/>
        <w:ind w:left="848" w:leftChars="99" w:hanging="640" w:hangingChars="267"/>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评标委员会可以接受投标文件中不构成实质性偏离的不正规或不一致。</w:t>
      </w:r>
      <w:bookmarkStart w:id="144" w:name="_Toc515647783"/>
      <w:bookmarkStart w:id="145" w:name="_Toc4950"/>
      <w:bookmarkStart w:id="146" w:name="_Toc6092"/>
    </w:p>
    <w:p>
      <w:pPr>
        <w:pStyle w:val="5"/>
        <w:spacing w:before="0" w:after="0" w:line="440" w:lineRule="exact"/>
        <w:rPr>
          <w:rFonts w:ascii="微软雅黑" w:hAnsi="微软雅黑" w:eastAsia="微软雅黑" w:cs="微软雅黑"/>
          <w:color w:val="auto"/>
          <w:szCs w:val="24"/>
          <w:highlight w:val="none"/>
          <w:u w:val="none"/>
        </w:rPr>
      </w:pPr>
      <w:bookmarkStart w:id="147" w:name="_Toc20254"/>
      <w:r>
        <w:rPr>
          <w:rFonts w:hint="eastAsia" w:ascii="微软雅黑" w:hAnsi="微软雅黑" w:eastAsia="微软雅黑" w:cs="微软雅黑"/>
          <w:color w:val="auto"/>
          <w:szCs w:val="24"/>
          <w:highlight w:val="none"/>
          <w:u w:val="none"/>
        </w:rPr>
        <w:t>22.投标</w:t>
      </w:r>
      <w:bookmarkEnd w:id="144"/>
      <w:r>
        <w:rPr>
          <w:rFonts w:hint="eastAsia" w:ascii="微软雅黑" w:hAnsi="微软雅黑" w:eastAsia="微软雅黑" w:cs="微软雅黑"/>
          <w:color w:val="auto"/>
          <w:szCs w:val="24"/>
          <w:highlight w:val="none"/>
          <w:u w:val="none"/>
        </w:rPr>
        <w:t>无效</w:t>
      </w:r>
      <w:bookmarkEnd w:id="145"/>
      <w:bookmarkEnd w:id="146"/>
      <w:bookmarkEnd w:id="147"/>
    </w:p>
    <w:p>
      <w:pPr>
        <w:spacing w:line="440" w:lineRule="exact"/>
        <w:ind w:left="852" w:leftChars="-23"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22.1   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w:t>
      </w:r>
      <w:r>
        <w:rPr>
          <w:rFonts w:hint="eastAsia" w:ascii="微软雅黑" w:hAnsi="微软雅黑" w:eastAsia="微软雅黑" w:cs="微软雅黑"/>
          <w:b/>
          <w:bCs/>
          <w:color w:val="auto"/>
          <w:sz w:val="24"/>
          <w:highlight w:val="none"/>
        </w:rPr>
        <w:t>投标无效</w:t>
      </w:r>
      <w:r>
        <w:rPr>
          <w:rFonts w:hint="eastAsia" w:ascii="微软雅黑" w:hAnsi="微软雅黑" w:eastAsia="微软雅黑" w:cs="微软雅黑"/>
          <w:color w:val="auto"/>
          <w:sz w:val="24"/>
          <w:highlight w:val="none"/>
        </w:rPr>
        <w:t>。投标人不得通过修正或撤销不符合要求的偏离，从而使其投标成为实质上响应的投标。</w:t>
      </w:r>
    </w:p>
    <w:p>
      <w:pPr>
        <w:spacing w:line="440" w:lineRule="exact"/>
        <w:ind w:left="792" w:leftChars="377"/>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评标委员会决定投标的响应性只根据招标文件要求、投标文件内容及财政主管部门指定相关信息发布媒体。</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22.2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b/>
          <w:bCs/>
          <w:color w:val="auto"/>
          <w:sz w:val="24"/>
          <w:highlight w:val="none"/>
        </w:rPr>
        <w:t>如发现下列情况之一的，其投标将被认定为投标无效</w:t>
      </w:r>
      <w:r>
        <w:rPr>
          <w:rFonts w:hint="eastAsia" w:ascii="微软雅黑" w:hAnsi="微软雅黑" w:eastAsia="微软雅黑" w:cs="微软雅黑"/>
          <w:color w:val="auto"/>
          <w:sz w:val="24"/>
          <w:highlight w:val="none"/>
        </w:rPr>
        <w:t>：</w:t>
      </w:r>
    </w:p>
    <w:p>
      <w:pPr>
        <w:numPr>
          <w:ilvl w:val="0"/>
          <w:numId w:val="5"/>
        </w:numPr>
        <w:spacing w:line="440" w:lineRule="exact"/>
        <w:ind w:left="1081" w:leftChars="429" w:hanging="18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未按招标文件规定的形式和金额提交投标保证金的；</w:t>
      </w:r>
    </w:p>
    <w:p>
      <w:pPr>
        <w:numPr>
          <w:ilvl w:val="0"/>
          <w:numId w:val="5"/>
        </w:numPr>
        <w:spacing w:line="440" w:lineRule="exact"/>
        <w:ind w:left="1081" w:leftChars="429" w:hanging="18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未按照招标文件规定要求签署、盖章的；</w:t>
      </w:r>
    </w:p>
    <w:p>
      <w:pPr>
        <w:numPr>
          <w:ilvl w:val="0"/>
          <w:numId w:val="5"/>
        </w:numPr>
        <w:spacing w:line="440" w:lineRule="exact"/>
        <w:ind w:left="1081" w:leftChars="429" w:hanging="18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未满足招标文件中技术条款的实质性要求；</w:t>
      </w:r>
    </w:p>
    <w:p>
      <w:pPr>
        <w:numPr>
          <w:ilvl w:val="0"/>
          <w:numId w:val="5"/>
        </w:numPr>
        <w:spacing w:line="440" w:lineRule="exact"/>
        <w:ind w:left="1081" w:leftChars="429" w:hanging="18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与其他投标人串通投标，或者与招标人串通投标；</w:t>
      </w:r>
    </w:p>
    <w:p>
      <w:pPr>
        <w:numPr>
          <w:ilvl w:val="0"/>
          <w:numId w:val="5"/>
        </w:numPr>
        <w:spacing w:line="440" w:lineRule="exact"/>
        <w:ind w:left="1081" w:leftChars="429" w:hanging="18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属于招标文件规定的其他投标无效情形；</w:t>
      </w:r>
    </w:p>
    <w:p>
      <w:pPr>
        <w:numPr>
          <w:ilvl w:val="0"/>
          <w:numId w:val="5"/>
        </w:numPr>
        <w:spacing w:line="440" w:lineRule="exact"/>
        <w:ind w:left="1081" w:leftChars="429" w:hanging="180"/>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评标委员会认为投标人的报价明显低于其他通过符合性检查投标人的报价，有可能影响履约的，且投标人未按照规定证明其报价合理性的；</w:t>
      </w:r>
    </w:p>
    <w:p>
      <w:pPr>
        <w:numPr>
          <w:ilvl w:val="0"/>
          <w:numId w:val="5"/>
        </w:numPr>
        <w:spacing w:line="440" w:lineRule="exact"/>
        <w:ind w:left="1081" w:leftChars="429" w:hanging="18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投标文件含有采购人不能接受的附加条件的；</w:t>
      </w:r>
    </w:p>
    <w:p>
      <w:pPr>
        <w:numPr>
          <w:ilvl w:val="0"/>
          <w:numId w:val="5"/>
        </w:numPr>
        <w:tabs>
          <w:tab w:val="left" w:pos="0"/>
        </w:tabs>
        <w:spacing w:line="440" w:lineRule="exact"/>
        <w:ind w:left="1081" w:leftChars="429" w:hanging="18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不符合法规和招标文件中规定的其他实质性要求的。</w:t>
      </w:r>
    </w:p>
    <w:p>
      <w:pPr>
        <w:spacing w:line="440" w:lineRule="exact"/>
        <w:outlineLvl w:val="2"/>
        <w:rPr>
          <w:rFonts w:ascii="微软雅黑" w:hAnsi="微软雅黑" w:eastAsia="微软雅黑" w:cs="微软雅黑"/>
          <w:b/>
          <w:bCs/>
          <w:color w:val="auto"/>
          <w:sz w:val="24"/>
          <w:highlight w:val="none"/>
        </w:rPr>
      </w:pPr>
      <w:bookmarkStart w:id="148" w:name="_Toc515647784"/>
      <w:bookmarkStart w:id="149" w:name="_Toc10960"/>
      <w:bookmarkStart w:id="150" w:name="_Toc22941"/>
      <w:bookmarkStart w:id="151" w:name="_Toc13652"/>
      <w:r>
        <w:rPr>
          <w:rFonts w:hint="eastAsia" w:ascii="微软雅黑" w:hAnsi="微软雅黑" w:eastAsia="微软雅黑" w:cs="微软雅黑"/>
          <w:b/>
          <w:bCs/>
          <w:color w:val="auto"/>
          <w:sz w:val="24"/>
          <w:highlight w:val="none"/>
        </w:rPr>
        <w:t>23.</w:t>
      </w:r>
      <w:bookmarkEnd w:id="139"/>
      <w:r>
        <w:rPr>
          <w:rFonts w:hint="eastAsia" w:ascii="微软雅黑" w:hAnsi="微软雅黑" w:eastAsia="微软雅黑" w:cs="微软雅黑"/>
          <w:b/>
          <w:bCs/>
          <w:color w:val="auto"/>
          <w:sz w:val="24"/>
          <w:highlight w:val="none"/>
        </w:rPr>
        <w:t>比较与评价</w:t>
      </w:r>
      <w:bookmarkEnd w:id="148"/>
      <w:bookmarkEnd w:id="149"/>
      <w:bookmarkEnd w:id="150"/>
      <w:bookmarkEnd w:id="151"/>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23.1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b/>
          <w:bCs/>
          <w:color w:val="auto"/>
          <w:sz w:val="24"/>
          <w:highlight w:val="none"/>
        </w:rPr>
        <w:t>经符合性审查合格的投标文件，评标委员会将根据招标文件确定的评标方法和标准，对其技术部分和商务部分作进一步的比较和评价</w:t>
      </w:r>
      <w:r>
        <w:rPr>
          <w:rFonts w:hint="eastAsia" w:ascii="微软雅黑" w:hAnsi="微软雅黑" w:eastAsia="微软雅黑" w:cs="微软雅黑"/>
          <w:color w:val="auto"/>
          <w:sz w:val="24"/>
          <w:highlight w:val="none"/>
        </w:rPr>
        <w:t>。</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23.2  </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评标严格按照招标文件的要求和条件进行。根据实际情况，在</w:t>
      </w:r>
      <w:r>
        <w:rPr>
          <w:rFonts w:hint="eastAsia" w:ascii="微软雅黑" w:hAnsi="微软雅黑" w:eastAsia="微软雅黑" w:cs="微软雅黑"/>
          <w:color w:val="auto"/>
          <w:sz w:val="24"/>
          <w:highlight w:val="none"/>
          <w:u w:val="single"/>
        </w:rPr>
        <w:t>投标人须知资料表</w:t>
      </w:r>
      <w:r>
        <w:rPr>
          <w:rFonts w:hint="eastAsia" w:ascii="微软雅黑" w:hAnsi="微软雅黑" w:eastAsia="微软雅黑" w:cs="微软雅黑"/>
          <w:color w:val="auto"/>
          <w:sz w:val="24"/>
          <w:highlight w:val="none"/>
        </w:rPr>
        <w:t>中规定采用下列一种评标方法，详细评标标准见招标文件第六章：</w:t>
      </w:r>
    </w:p>
    <w:p>
      <w:pPr>
        <w:pStyle w:val="14"/>
        <w:spacing w:line="440" w:lineRule="exact"/>
        <w:ind w:left="899" w:leftChars="342" w:hanging="181"/>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 最低评标价法，是指投标文件满足招标文件全部实质性要求，且投标报价最低的投标人为中标候选人的评标方法。</w:t>
      </w:r>
    </w:p>
    <w:p>
      <w:pPr>
        <w:pStyle w:val="14"/>
        <w:spacing w:line="440" w:lineRule="exact"/>
        <w:ind w:left="898" w:leftChars="342" w:hanging="180"/>
        <w:rPr>
          <w:rFonts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（2） 综合评分法，是指投标文件满足招标文件全部实质性要求，且按照评审因素的量化指标评审得分最高的投标人为中标候选人的评标方法。</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23.3   根据《政府采购促进中小企业发展暂行办法》（财库【2020】46号）、《财政部司法部关于政府采购支持监狱企业发展有关问题的通知》（财库【2014】68号）和《三部门联合发布关于促进残疾人就业政府采购政策的通知》（</w:t>
      </w:r>
      <w:bookmarkStart w:id="152" w:name="sendNo"/>
      <w:r>
        <w:rPr>
          <w:rFonts w:hint="eastAsia" w:ascii="微软雅黑" w:hAnsi="微软雅黑" w:eastAsia="微软雅黑" w:cs="微软雅黑"/>
          <w:color w:val="auto"/>
          <w:sz w:val="24"/>
          <w:highlight w:val="none"/>
        </w:rPr>
        <w:t>财库〔</w:t>
      </w:r>
      <w:bookmarkEnd w:id="152"/>
      <w:r>
        <w:rPr>
          <w:rFonts w:hint="eastAsia" w:ascii="微软雅黑" w:hAnsi="微软雅黑" w:eastAsia="微软雅黑" w:cs="微软雅黑"/>
          <w:color w:val="auto"/>
          <w:sz w:val="24"/>
          <w:highlight w:val="none"/>
        </w:rPr>
        <w:t>2017〕141号）的规定，对满足价格扣除条件且在投标文件中提交了《投标人企业类型声明函》或省级以上监狱管理局、戒毒管理局（含新疆生产建设兵团）出具的属于监狱企业的证明文件的投标人，其投标报价扣除6-10%后参与评审。</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23.4   根据《政府采购促进中小企业发展暂行办法》（财库【2020】46号），所采购产品需符合国家节能环保要求。结合本项目具体情况，根据财政部的相关规定符合政府采购促进中小企业发展政策的供应商为小、微型企业，产品有环境标志认证证书或节能标志认证证书的依据规定给予评审优惠。监狱企业及残疾人福利性单位视同小型、微型企业，享受预留份额、评审中价格扣除等政府采购促进中小企业发展的政府采购政策。 </w:t>
      </w:r>
    </w:p>
    <w:p>
      <w:pPr>
        <w:pStyle w:val="5"/>
        <w:spacing w:before="0" w:after="0" w:line="440" w:lineRule="exact"/>
        <w:rPr>
          <w:rFonts w:ascii="微软雅黑" w:hAnsi="微软雅黑" w:eastAsia="微软雅黑" w:cs="微软雅黑"/>
          <w:color w:val="auto"/>
          <w:szCs w:val="24"/>
          <w:highlight w:val="none"/>
          <w:u w:val="none"/>
        </w:rPr>
      </w:pPr>
      <w:bookmarkStart w:id="153" w:name="_Toc520356168"/>
      <w:bookmarkStart w:id="154" w:name="_Toc26143"/>
      <w:bookmarkStart w:id="155" w:name="_Toc9378"/>
      <w:bookmarkStart w:id="156" w:name="_Toc515647785"/>
      <w:bookmarkStart w:id="157" w:name="_Toc20227"/>
      <w:r>
        <w:rPr>
          <w:rFonts w:hint="eastAsia" w:ascii="微软雅黑" w:hAnsi="微软雅黑" w:eastAsia="微软雅黑" w:cs="微软雅黑"/>
          <w:color w:val="auto"/>
          <w:szCs w:val="24"/>
          <w:highlight w:val="none"/>
          <w:u w:val="none"/>
        </w:rPr>
        <w:t>24</w:t>
      </w:r>
      <w:bookmarkEnd w:id="153"/>
      <w:r>
        <w:rPr>
          <w:rFonts w:hint="eastAsia" w:ascii="微软雅黑" w:hAnsi="微软雅黑" w:eastAsia="微软雅黑" w:cs="微软雅黑"/>
          <w:color w:val="auto"/>
          <w:szCs w:val="24"/>
          <w:highlight w:val="none"/>
          <w:u w:val="none"/>
        </w:rPr>
        <w:t>.废标</w:t>
      </w:r>
      <w:bookmarkEnd w:id="154"/>
      <w:bookmarkEnd w:id="155"/>
      <w:bookmarkEnd w:id="156"/>
      <w:bookmarkEnd w:id="157"/>
    </w:p>
    <w:p>
      <w:pPr>
        <w:spacing w:line="440" w:lineRule="exact"/>
        <w:ind w:left="898" w:leftChars="399" w:hanging="60" w:hangingChars="25"/>
        <w:rPr>
          <w:rFonts w:ascii="微软雅黑" w:hAnsi="微软雅黑" w:eastAsia="微软雅黑" w:cs="微软雅黑"/>
          <w:color w:val="auto"/>
          <w:sz w:val="24"/>
          <w:highlight w:val="none"/>
        </w:rPr>
      </w:pPr>
      <w:r>
        <w:rPr>
          <w:rFonts w:hint="eastAsia" w:ascii="微软雅黑" w:hAnsi="微软雅黑" w:eastAsia="微软雅黑" w:cs="微软雅黑"/>
          <w:b/>
          <w:bCs/>
          <w:color w:val="auto"/>
          <w:sz w:val="24"/>
          <w:highlight w:val="none"/>
        </w:rPr>
        <w:t>出现下列情形之一，将导致项目废标：</w:t>
      </w:r>
      <w:r>
        <w:rPr>
          <w:rFonts w:hint="eastAsia" w:ascii="微软雅黑" w:hAnsi="微软雅黑" w:eastAsia="微软雅黑" w:cs="微软雅黑"/>
          <w:color w:val="auto"/>
          <w:sz w:val="24"/>
          <w:highlight w:val="none"/>
        </w:rPr>
        <w:t xml:space="preserve"> </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（1）符合专业条件的供应商或者对招标文件做实质性响应的供应商不足三家；</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（2）出现影响采购公正的违法、违规行为的；</w:t>
      </w:r>
    </w:p>
    <w:p>
      <w:pPr>
        <w:spacing w:line="440" w:lineRule="exact"/>
        <w:ind w:firstLine="960" w:firstLineChars="4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（3）投标人的报价均超过了采购预算，采购人不能支付的；</w:t>
      </w:r>
    </w:p>
    <w:p>
      <w:pPr>
        <w:spacing w:line="440" w:lineRule="exact"/>
        <w:ind w:firstLine="960" w:firstLineChars="4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（4）因重大变故，采购任务取消的。   </w:t>
      </w:r>
    </w:p>
    <w:p>
      <w:pPr>
        <w:pStyle w:val="5"/>
        <w:spacing w:before="0" w:after="0" w:line="440" w:lineRule="exact"/>
        <w:rPr>
          <w:rFonts w:ascii="微软雅黑" w:hAnsi="微软雅黑" w:eastAsia="微软雅黑" w:cs="微软雅黑"/>
          <w:color w:val="auto"/>
          <w:szCs w:val="24"/>
          <w:highlight w:val="none"/>
          <w:u w:val="none"/>
        </w:rPr>
      </w:pPr>
      <w:bookmarkStart w:id="158" w:name="_Toc31289"/>
      <w:bookmarkStart w:id="159" w:name="_Toc29491"/>
      <w:bookmarkStart w:id="160" w:name="_Toc24972"/>
      <w:bookmarkStart w:id="161" w:name="_Toc515647786"/>
      <w:bookmarkStart w:id="162" w:name="_Toc520356169"/>
      <w:r>
        <w:rPr>
          <w:rFonts w:hint="eastAsia" w:ascii="微软雅黑" w:hAnsi="微软雅黑" w:eastAsia="微软雅黑" w:cs="微软雅黑"/>
          <w:color w:val="auto"/>
          <w:szCs w:val="24"/>
          <w:highlight w:val="none"/>
          <w:u w:val="none"/>
        </w:rPr>
        <w:t>25.保密原则</w:t>
      </w:r>
      <w:bookmarkEnd w:id="158"/>
      <w:bookmarkEnd w:id="159"/>
      <w:bookmarkEnd w:id="160"/>
      <w:bookmarkEnd w:id="161"/>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25.1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评标将在严格保密的情况下进行。</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25.2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政府采购评审专家应当遵守评审工作纪律，不得泄露评审文件、评审情况和评审中获悉的商业秘密。</w:t>
      </w:r>
      <w:bookmarkStart w:id="163" w:name="_Toc216582810"/>
      <w:bookmarkStart w:id="164" w:name="_Toc20578"/>
      <w:bookmarkStart w:id="165" w:name="_Toc12143"/>
      <w:bookmarkStart w:id="166" w:name="_Toc515647787"/>
      <w:bookmarkStart w:id="167" w:name="_Toc23904"/>
      <w:bookmarkStart w:id="168" w:name="_Toc24355"/>
    </w:p>
    <w:p>
      <w:pPr>
        <w:pStyle w:val="4"/>
        <w:spacing w:before="0" w:line="440" w:lineRule="exact"/>
        <w:ind w:left="1080" w:leftChars="257" w:hanging="54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六   </w:t>
      </w:r>
      <w:bookmarkEnd w:id="162"/>
      <w:r>
        <w:rPr>
          <w:rFonts w:hint="eastAsia" w:ascii="微软雅黑" w:hAnsi="微软雅黑" w:eastAsia="微软雅黑" w:cs="微软雅黑"/>
          <w:color w:val="auto"/>
          <w:sz w:val="24"/>
          <w:szCs w:val="24"/>
          <w:highlight w:val="none"/>
        </w:rPr>
        <w:t>确定中标</w:t>
      </w:r>
      <w:bookmarkEnd w:id="163"/>
      <w:bookmarkEnd w:id="164"/>
      <w:bookmarkEnd w:id="165"/>
      <w:bookmarkEnd w:id="166"/>
      <w:bookmarkEnd w:id="167"/>
      <w:bookmarkEnd w:id="168"/>
    </w:p>
    <w:p>
      <w:pPr>
        <w:pStyle w:val="2"/>
        <w:spacing w:line="440" w:lineRule="exact"/>
        <w:rPr>
          <w:rFonts w:ascii="微软雅黑" w:hAnsi="微软雅黑" w:eastAsia="微软雅黑" w:cs="微软雅黑"/>
          <w:color w:val="auto"/>
          <w:szCs w:val="24"/>
          <w:highlight w:val="none"/>
        </w:rPr>
      </w:pPr>
    </w:p>
    <w:p>
      <w:pPr>
        <w:pStyle w:val="5"/>
        <w:spacing w:before="0" w:after="0" w:line="440" w:lineRule="exact"/>
        <w:rPr>
          <w:rFonts w:ascii="微软雅黑" w:hAnsi="微软雅黑" w:eastAsia="微软雅黑" w:cs="微软雅黑"/>
          <w:color w:val="auto"/>
          <w:szCs w:val="24"/>
          <w:highlight w:val="none"/>
          <w:u w:val="none"/>
        </w:rPr>
      </w:pPr>
      <w:bookmarkStart w:id="169" w:name="_Toc515647788"/>
      <w:bookmarkStart w:id="170" w:name="_Toc520356170"/>
      <w:bookmarkStart w:id="171" w:name="_Toc10050"/>
      <w:bookmarkStart w:id="172" w:name="_Ref467307010"/>
      <w:bookmarkStart w:id="173" w:name="_Toc23617"/>
      <w:bookmarkStart w:id="174" w:name="_Toc23762"/>
      <w:r>
        <w:rPr>
          <w:rFonts w:hint="eastAsia" w:ascii="微软雅黑" w:hAnsi="微软雅黑" w:eastAsia="微软雅黑" w:cs="微软雅黑"/>
          <w:color w:val="auto"/>
          <w:szCs w:val="24"/>
          <w:highlight w:val="none"/>
          <w:u w:val="none"/>
        </w:rPr>
        <w:t>26.中标候选人的确定原则及标准</w:t>
      </w:r>
      <w:bookmarkEnd w:id="169"/>
      <w:bookmarkEnd w:id="170"/>
      <w:bookmarkEnd w:id="171"/>
      <w:bookmarkEnd w:id="172"/>
      <w:bookmarkEnd w:id="173"/>
      <w:bookmarkEnd w:id="174"/>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除第28条规定外，对实质上响应招标文件的投标人按下列方法进行排序，确定投标候选人：</w:t>
      </w:r>
    </w:p>
    <w:p>
      <w:pPr>
        <w:spacing w:line="440" w:lineRule="exact"/>
        <w:ind w:left="901"/>
        <w:rPr>
          <w:rFonts w:ascii="微软雅黑" w:hAnsi="微软雅黑" w:eastAsia="微软雅黑" w:cs="微软雅黑"/>
          <w:color w:val="auto"/>
          <w:sz w:val="24"/>
          <w:highlight w:val="none"/>
        </w:rPr>
      </w:pPr>
      <w:bookmarkStart w:id="175" w:name="_Toc520356171"/>
      <w:bookmarkStart w:id="176" w:name="_Toc515647789"/>
      <w:r>
        <w:rPr>
          <w:rFonts w:hint="eastAsia" w:ascii="微软雅黑" w:hAnsi="微软雅黑" w:eastAsia="微软雅黑" w:cs="微软雅黑"/>
          <w:color w:val="auto"/>
          <w:sz w:val="24"/>
          <w:highlight w:val="none"/>
        </w:rPr>
        <w:t>（1）采用最低评标价法的，除了算术修正和落实政府采购政策需进行的价格扣除外，不对投标人的投标价格进行任何调整。评标结果按修正和扣除后的投标报价由低到高顺序排列。报价相同的处理方式详见招标文件第6章。</w:t>
      </w:r>
    </w:p>
    <w:p>
      <w:pPr>
        <w:spacing w:line="440" w:lineRule="exact"/>
        <w:ind w:left="901"/>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（2）采用综合评分法的，评标结果按评审后得分由高到低顺序排列。得分相同的，按修正和扣除后的投标报价由低到高顺序排列。得分与投标报价均相同的处理方式详见招标文件第6章。</w:t>
      </w:r>
    </w:p>
    <w:p>
      <w:pPr>
        <w:pStyle w:val="5"/>
        <w:tabs>
          <w:tab w:val="left" w:pos="900"/>
        </w:tabs>
        <w:spacing w:before="0" w:after="0" w:line="440" w:lineRule="exact"/>
        <w:rPr>
          <w:rFonts w:ascii="微软雅黑" w:hAnsi="微软雅黑" w:eastAsia="微软雅黑" w:cs="微软雅黑"/>
          <w:color w:val="auto"/>
          <w:szCs w:val="24"/>
          <w:highlight w:val="none"/>
          <w:u w:val="none"/>
        </w:rPr>
      </w:pPr>
      <w:bookmarkStart w:id="177" w:name="_Toc23951"/>
      <w:bookmarkStart w:id="178" w:name="_Toc9653"/>
      <w:bookmarkStart w:id="179" w:name="_Toc9286"/>
      <w:r>
        <w:rPr>
          <w:rFonts w:hint="eastAsia" w:ascii="微软雅黑" w:hAnsi="微软雅黑" w:eastAsia="微软雅黑" w:cs="微软雅黑"/>
          <w:color w:val="auto"/>
          <w:szCs w:val="24"/>
          <w:highlight w:val="none"/>
          <w:u w:val="none"/>
        </w:rPr>
        <w:t>27</w:t>
      </w:r>
      <w:bookmarkEnd w:id="175"/>
      <w:r>
        <w:rPr>
          <w:rFonts w:hint="eastAsia" w:ascii="微软雅黑" w:hAnsi="微软雅黑" w:eastAsia="微软雅黑" w:cs="微软雅黑"/>
          <w:color w:val="auto"/>
          <w:szCs w:val="24"/>
          <w:highlight w:val="none"/>
          <w:u w:val="none"/>
        </w:rPr>
        <w:t>.确定中标候选人和中标人</w:t>
      </w:r>
      <w:bookmarkEnd w:id="176"/>
      <w:bookmarkEnd w:id="177"/>
      <w:bookmarkEnd w:id="178"/>
      <w:bookmarkEnd w:id="179"/>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评标委员会将根据评标标准，按</w:t>
      </w:r>
      <w:r>
        <w:rPr>
          <w:rFonts w:hint="eastAsia" w:ascii="微软雅黑" w:hAnsi="微软雅黑" w:eastAsia="微软雅黑" w:cs="微软雅黑"/>
          <w:color w:val="auto"/>
          <w:sz w:val="24"/>
          <w:highlight w:val="none"/>
          <w:u w:val="single"/>
        </w:rPr>
        <w:t>投标人须知资料表中</w:t>
      </w:r>
      <w:r>
        <w:rPr>
          <w:rFonts w:hint="eastAsia" w:ascii="微软雅黑" w:hAnsi="微软雅黑" w:eastAsia="微软雅黑" w:cs="微软雅黑"/>
          <w:color w:val="auto"/>
          <w:sz w:val="24"/>
          <w:highlight w:val="none"/>
        </w:rPr>
        <w:t>规定数量推荐中标候选人；或根据采购人的委托，直接确定中标人。</w:t>
      </w:r>
    </w:p>
    <w:p>
      <w:pPr>
        <w:pStyle w:val="5"/>
        <w:tabs>
          <w:tab w:val="left" w:pos="900"/>
        </w:tabs>
        <w:spacing w:before="0" w:after="0" w:line="440" w:lineRule="exact"/>
        <w:rPr>
          <w:rFonts w:ascii="微软雅黑" w:hAnsi="微软雅黑" w:eastAsia="微软雅黑" w:cs="微软雅黑"/>
          <w:color w:val="auto"/>
          <w:szCs w:val="24"/>
          <w:highlight w:val="none"/>
          <w:u w:val="none"/>
        </w:rPr>
      </w:pPr>
      <w:bookmarkStart w:id="180" w:name="_Toc520356173"/>
      <w:bookmarkStart w:id="181" w:name="_Ref467306874"/>
      <w:bookmarkStart w:id="182" w:name="_Toc380"/>
      <w:bookmarkStart w:id="183" w:name="_Toc515647790"/>
      <w:bookmarkStart w:id="184" w:name="_Toc28562"/>
      <w:bookmarkStart w:id="185" w:name="_Toc8389"/>
      <w:r>
        <w:rPr>
          <w:rFonts w:hint="eastAsia" w:ascii="微软雅黑" w:hAnsi="微软雅黑" w:eastAsia="微软雅黑" w:cs="微软雅黑"/>
          <w:color w:val="auto"/>
          <w:szCs w:val="24"/>
          <w:highlight w:val="none"/>
          <w:u w:val="none"/>
        </w:rPr>
        <w:t>28.</w:t>
      </w:r>
      <w:bookmarkEnd w:id="180"/>
      <w:bookmarkEnd w:id="181"/>
      <w:r>
        <w:rPr>
          <w:rFonts w:hint="eastAsia" w:ascii="微软雅黑" w:hAnsi="微软雅黑" w:eastAsia="微软雅黑" w:cs="微软雅黑"/>
          <w:color w:val="auto"/>
          <w:szCs w:val="24"/>
          <w:highlight w:val="none"/>
          <w:u w:val="none"/>
        </w:rPr>
        <w:t>采购任务取消</w:t>
      </w:r>
      <w:bookmarkEnd w:id="182"/>
      <w:bookmarkEnd w:id="183"/>
      <w:bookmarkEnd w:id="184"/>
      <w:bookmarkEnd w:id="185"/>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因重大变故采购任务取消时，采购人有权拒绝任何投标人中标，且对受影响的投标人不承担任何责任。</w:t>
      </w:r>
      <w:bookmarkStart w:id="186" w:name="_Toc520356174"/>
    </w:p>
    <w:p>
      <w:pPr>
        <w:pStyle w:val="5"/>
        <w:spacing w:before="0" w:after="0" w:line="440" w:lineRule="exact"/>
        <w:rPr>
          <w:rFonts w:ascii="微软雅黑" w:hAnsi="微软雅黑" w:eastAsia="微软雅黑" w:cs="微软雅黑"/>
          <w:color w:val="auto"/>
          <w:szCs w:val="24"/>
          <w:highlight w:val="none"/>
          <w:u w:val="none"/>
        </w:rPr>
      </w:pPr>
      <w:bookmarkStart w:id="187" w:name="_Toc8579"/>
      <w:bookmarkStart w:id="188" w:name="_Toc31099"/>
      <w:bookmarkStart w:id="189" w:name="_Toc30170"/>
      <w:bookmarkStart w:id="190" w:name="_Toc515647791"/>
      <w:r>
        <w:rPr>
          <w:rFonts w:hint="eastAsia" w:ascii="微软雅黑" w:hAnsi="微软雅黑" w:eastAsia="微软雅黑" w:cs="微软雅黑"/>
          <w:color w:val="auto"/>
          <w:szCs w:val="24"/>
          <w:highlight w:val="none"/>
          <w:u w:val="none"/>
        </w:rPr>
        <w:t>29.中标通知书</w:t>
      </w:r>
      <w:bookmarkEnd w:id="186"/>
      <w:r>
        <w:rPr>
          <w:rFonts w:hint="eastAsia" w:ascii="微软雅黑" w:hAnsi="微软雅黑" w:eastAsia="微软雅黑" w:cs="微软雅黑"/>
          <w:color w:val="auto"/>
          <w:szCs w:val="24"/>
          <w:highlight w:val="none"/>
          <w:u w:val="none"/>
        </w:rPr>
        <w:t>和招标结果通知书</w:t>
      </w:r>
      <w:bookmarkEnd w:id="187"/>
      <w:bookmarkEnd w:id="188"/>
      <w:bookmarkEnd w:id="189"/>
      <w:bookmarkEnd w:id="190"/>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29.1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在投标有效期内，中标人确定后，采购人或者采购代理机构发布中标公告，同时以书面形式向中标人发出中标通知书。</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29.2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中标通知书是合同的组成部分。</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29.3    招标结果通知书和中标通知书同时发出。招标结果通知书中将告知未通过资格审查的投标人未通过的原因；采用综合评分法评审的，还将告知未中标人本人的评审得分和排序。</w:t>
      </w:r>
    </w:p>
    <w:p>
      <w:pPr>
        <w:pStyle w:val="5"/>
        <w:spacing w:before="0" w:after="0" w:line="440" w:lineRule="exact"/>
        <w:rPr>
          <w:rFonts w:ascii="微软雅黑" w:hAnsi="微软雅黑" w:eastAsia="微软雅黑" w:cs="微软雅黑"/>
          <w:color w:val="auto"/>
          <w:szCs w:val="24"/>
          <w:highlight w:val="none"/>
          <w:u w:val="none"/>
        </w:rPr>
      </w:pPr>
      <w:bookmarkStart w:id="191" w:name="_Toc7779"/>
      <w:bookmarkStart w:id="192" w:name="_Ref467307204"/>
      <w:bookmarkStart w:id="193" w:name="_Ref467306978"/>
      <w:bookmarkStart w:id="194" w:name="_Toc520356175"/>
      <w:bookmarkStart w:id="195" w:name="_Ref467307062"/>
      <w:bookmarkStart w:id="196" w:name="_Toc790"/>
      <w:bookmarkStart w:id="197" w:name="_Ref467306377"/>
      <w:bookmarkStart w:id="198" w:name="_Toc515647792"/>
      <w:bookmarkStart w:id="199" w:name="_Toc15653"/>
      <w:r>
        <w:rPr>
          <w:rFonts w:hint="eastAsia" w:ascii="微软雅黑" w:hAnsi="微软雅黑" w:eastAsia="微软雅黑" w:cs="微软雅黑"/>
          <w:color w:val="auto"/>
          <w:szCs w:val="24"/>
          <w:highlight w:val="none"/>
          <w:u w:val="none"/>
        </w:rPr>
        <w:t>30.签订合同</w:t>
      </w:r>
      <w:bookmarkEnd w:id="191"/>
      <w:bookmarkEnd w:id="192"/>
      <w:bookmarkEnd w:id="193"/>
      <w:bookmarkEnd w:id="194"/>
      <w:bookmarkEnd w:id="195"/>
      <w:bookmarkEnd w:id="196"/>
      <w:bookmarkEnd w:id="197"/>
      <w:bookmarkEnd w:id="198"/>
      <w:bookmarkEnd w:id="199"/>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30.1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中标人应当自发出中标通知书之日起30日内，与采购人签订合同。</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30.2</w:t>
      </w:r>
      <w:r>
        <w:rPr>
          <w:rFonts w:hint="eastAsia" w:ascii="微软雅黑" w:hAnsi="微软雅黑" w:eastAsia="微软雅黑" w:cs="微软雅黑"/>
          <w:color w:val="auto"/>
          <w:sz w:val="24"/>
          <w:highlight w:val="none"/>
        </w:rPr>
        <w:tab/>
      </w:r>
      <w:bookmarkStart w:id="200" w:name="_Ref467307090"/>
      <w:bookmarkStart w:id="201" w:name="_Toc520356176"/>
      <w:bookmarkStart w:id="202" w:name="_Ref467306425"/>
      <w:r>
        <w:rPr>
          <w:rFonts w:hint="eastAsia" w:ascii="微软雅黑" w:hAnsi="微软雅黑" w:eastAsia="微软雅黑" w:cs="微软雅黑"/>
          <w:color w:val="auto"/>
          <w:sz w:val="24"/>
          <w:highlight w:val="none"/>
        </w:rPr>
        <w:t>招标文件、中标人的投标文件及其澄清文件等，均为签订合同的依据。</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30.3   中标人拒绝与采购人签订合同的，采购人可以按照评审报告推荐的中标候选人名单排序，确定下一中标候选人为中标人，也可以重新开展政府采购活动。</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30.4   当出现法规规定的</w:t>
      </w:r>
      <w:r>
        <w:rPr>
          <w:rFonts w:hint="eastAsia" w:ascii="微软雅黑" w:hAnsi="微软雅黑" w:eastAsia="微软雅黑" w:cs="微软雅黑"/>
          <w:b/>
          <w:color w:val="auto"/>
          <w:sz w:val="24"/>
          <w:highlight w:val="none"/>
        </w:rPr>
        <w:t>中标无效或中标结果无效</w:t>
      </w:r>
      <w:r>
        <w:rPr>
          <w:rFonts w:hint="eastAsia" w:ascii="微软雅黑" w:hAnsi="微软雅黑" w:eastAsia="微软雅黑" w:cs="微软雅黑"/>
          <w:color w:val="auto"/>
          <w:sz w:val="24"/>
          <w:highlight w:val="none"/>
        </w:rPr>
        <w:t>情形时，采购人可与排名下一位的中标候选人另行签订合同，或依法重新开展采购活动。</w:t>
      </w:r>
    </w:p>
    <w:p>
      <w:pPr>
        <w:pStyle w:val="5"/>
        <w:spacing w:before="0" w:after="0" w:line="440" w:lineRule="exact"/>
        <w:rPr>
          <w:rFonts w:ascii="微软雅黑" w:hAnsi="微软雅黑" w:eastAsia="微软雅黑" w:cs="微软雅黑"/>
          <w:color w:val="auto"/>
          <w:szCs w:val="24"/>
          <w:highlight w:val="none"/>
          <w:u w:val="none"/>
        </w:rPr>
      </w:pPr>
      <w:bookmarkStart w:id="203" w:name="_Toc515647793"/>
      <w:bookmarkStart w:id="204" w:name="_Toc14080"/>
      <w:bookmarkStart w:id="205" w:name="_Toc20240"/>
      <w:bookmarkStart w:id="206" w:name="_Toc22555"/>
      <w:r>
        <w:rPr>
          <w:rFonts w:hint="eastAsia" w:ascii="微软雅黑" w:hAnsi="微软雅黑" w:eastAsia="微软雅黑" w:cs="微软雅黑"/>
          <w:color w:val="auto"/>
          <w:szCs w:val="24"/>
          <w:highlight w:val="none"/>
          <w:u w:val="none"/>
        </w:rPr>
        <w:t>31.履约保证金</w:t>
      </w:r>
      <w:bookmarkEnd w:id="200"/>
      <w:bookmarkEnd w:id="201"/>
      <w:bookmarkEnd w:id="202"/>
      <w:bookmarkEnd w:id="203"/>
      <w:bookmarkEnd w:id="204"/>
      <w:bookmarkEnd w:id="205"/>
      <w:bookmarkEnd w:id="206"/>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31.1</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中标人应按照</w:t>
      </w:r>
      <w:r>
        <w:rPr>
          <w:rFonts w:hint="eastAsia" w:ascii="微软雅黑" w:hAnsi="微软雅黑" w:eastAsia="微软雅黑" w:cs="微软雅黑"/>
          <w:color w:val="auto"/>
          <w:sz w:val="24"/>
          <w:highlight w:val="none"/>
          <w:u w:val="single"/>
        </w:rPr>
        <w:t>投标人须知资料表</w:t>
      </w:r>
      <w:r>
        <w:rPr>
          <w:rFonts w:hint="eastAsia" w:ascii="微软雅黑" w:hAnsi="微软雅黑" w:eastAsia="微软雅黑" w:cs="微软雅黑"/>
          <w:color w:val="auto"/>
          <w:sz w:val="24"/>
          <w:highlight w:val="none"/>
        </w:rPr>
        <w:t>规定向采购人缴纳履约保证金（如采用保函形式，格式见本章附件1）。</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31.2</w:t>
      </w:r>
      <w:r>
        <w:rPr>
          <w:rFonts w:hint="eastAsia" w:ascii="微软雅黑" w:hAnsi="微软雅黑" w:eastAsia="微软雅黑" w:cs="微软雅黑"/>
          <w:color w:val="auto"/>
          <w:sz w:val="24"/>
          <w:highlight w:val="none"/>
        </w:rPr>
        <w:tab/>
      </w:r>
      <w:r>
        <w:rPr>
          <w:rFonts w:hint="eastAsia" w:ascii="微软雅黑" w:hAnsi="微软雅黑" w:eastAsia="微软雅黑" w:cs="微软雅黑"/>
          <w:color w:val="auto"/>
          <w:sz w:val="24"/>
          <w:highlight w:val="none"/>
        </w:rPr>
        <w:t>政府采购利用担保试点范围内的项目，除31.1规定的情形外，中标人也可以按照财政部门的规定，向采购人提供合格的履约担保函（格式见本章附件2）。</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31.3   如果中标人没有按照上述履约保证金的规定执行，将视为放弃中标资格，中标人的投标保证金将不予退还。在此情况下，采购人可确定下一候选人为中标人，也可以重新开展采购活动。</w:t>
      </w:r>
    </w:p>
    <w:p>
      <w:pPr>
        <w:pStyle w:val="5"/>
        <w:spacing w:before="0" w:after="0" w:line="440" w:lineRule="exact"/>
        <w:rPr>
          <w:rFonts w:ascii="微软雅黑" w:hAnsi="微软雅黑" w:eastAsia="微软雅黑" w:cs="微软雅黑"/>
          <w:color w:val="auto"/>
          <w:szCs w:val="24"/>
          <w:highlight w:val="none"/>
          <w:u w:val="none"/>
        </w:rPr>
      </w:pPr>
      <w:bookmarkStart w:id="207" w:name="_Toc3090"/>
      <w:bookmarkStart w:id="208" w:name="_Toc8972"/>
      <w:bookmarkStart w:id="209" w:name="_Toc515647794"/>
      <w:bookmarkStart w:id="210" w:name="_Toc29408"/>
      <w:r>
        <w:rPr>
          <w:rFonts w:hint="eastAsia" w:ascii="微软雅黑" w:hAnsi="微软雅黑" w:eastAsia="微软雅黑" w:cs="微软雅黑"/>
          <w:color w:val="auto"/>
          <w:szCs w:val="24"/>
          <w:highlight w:val="none"/>
          <w:u w:val="none"/>
        </w:rPr>
        <w:t>32.中标服务费</w:t>
      </w:r>
      <w:bookmarkEnd w:id="207"/>
      <w:bookmarkEnd w:id="208"/>
      <w:bookmarkEnd w:id="209"/>
      <w:bookmarkEnd w:id="210"/>
    </w:p>
    <w:p>
      <w:pPr>
        <w:spacing w:line="440" w:lineRule="exact"/>
        <w:ind w:left="840" w:leftChars="200" w:hanging="420" w:hangingChars="1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中标人须按照</w:t>
      </w:r>
      <w:r>
        <w:rPr>
          <w:rFonts w:hint="eastAsia" w:ascii="微软雅黑" w:hAnsi="微软雅黑" w:eastAsia="微软雅黑" w:cs="微软雅黑"/>
          <w:color w:val="auto"/>
          <w:sz w:val="24"/>
          <w:highlight w:val="none"/>
          <w:u w:val="single"/>
        </w:rPr>
        <w:t>投标须知资料表</w:t>
      </w:r>
      <w:r>
        <w:rPr>
          <w:rFonts w:hint="eastAsia" w:ascii="微软雅黑" w:hAnsi="微软雅黑" w:eastAsia="微软雅黑" w:cs="微软雅黑"/>
          <w:color w:val="auto"/>
          <w:sz w:val="24"/>
          <w:highlight w:val="none"/>
        </w:rPr>
        <w:t>规定，向采购代理机构支付中标服务费。</w:t>
      </w:r>
    </w:p>
    <w:p>
      <w:pPr>
        <w:pStyle w:val="5"/>
        <w:spacing w:before="0" w:after="0" w:line="440" w:lineRule="exact"/>
        <w:rPr>
          <w:rFonts w:ascii="微软雅黑" w:hAnsi="微软雅黑" w:eastAsia="微软雅黑" w:cs="微软雅黑"/>
          <w:color w:val="auto"/>
          <w:szCs w:val="24"/>
          <w:highlight w:val="none"/>
          <w:u w:val="none"/>
        </w:rPr>
      </w:pPr>
      <w:bookmarkStart w:id="211" w:name="_Toc6923"/>
      <w:bookmarkStart w:id="212" w:name="_Toc515647795"/>
      <w:bookmarkStart w:id="213" w:name="_Toc7049"/>
      <w:bookmarkStart w:id="214" w:name="_Toc8524"/>
      <w:r>
        <w:rPr>
          <w:rFonts w:hint="eastAsia" w:ascii="微软雅黑" w:hAnsi="微软雅黑" w:eastAsia="微软雅黑" w:cs="微软雅黑"/>
          <w:color w:val="auto"/>
          <w:szCs w:val="24"/>
          <w:highlight w:val="none"/>
          <w:u w:val="none"/>
        </w:rPr>
        <w:t>33.政府采购信用担保</w:t>
      </w:r>
      <w:bookmarkEnd w:id="211"/>
      <w:bookmarkEnd w:id="212"/>
      <w:bookmarkEnd w:id="213"/>
      <w:bookmarkEnd w:id="214"/>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33.1   本项目是否属于信用担保试点范围见</w:t>
      </w:r>
      <w:r>
        <w:rPr>
          <w:rFonts w:hint="eastAsia" w:ascii="微软雅黑" w:hAnsi="微软雅黑" w:eastAsia="微软雅黑" w:cs="微软雅黑"/>
          <w:color w:val="auto"/>
          <w:sz w:val="24"/>
          <w:highlight w:val="none"/>
          <w:u w:val="single"/>
        </w:rPr>
        <w:t>投标人须知资料表</w:t>
      </w:r>
      <w:r>
        <w:rPr>
          <w:rFonts w:hint="eastAsia" w:ascii="微软雅黑" w:hAnsi="微软雅黑" w:eastAsia="微软雅黑" w:cs="微软雅黑"/>
          <w:color w:val="auto"/>
          <w:sz w:val="24"/>
          <w:highlight w:val="none"/>
        </w:rPr>
        <w:t>。</w:t>
      </w:r>
    </w:p>
    <w:p>
      <w:pPr>
        <w:spacing w:line="440" w:lineRule="exact"/>
        <w:ind w:left="850" w:hanging="849" w:hangingChars="354"/>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33.2   如属于政府采购信用担保试点范围内，中小型企业投标人可以自由按照财政部门的规定，采用投标担保、履约担保和融资担保。</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33.2.1 投标人递交的投标担保函和履约担保函应符合本招标文件的规定。</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33.2.2 中标人可以采取融资担保的形式为政府采购项目履约进行融资。</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33.2.3 合格的政府采购专业信用担保机构名单见</w:t>
      </w:r>
      <w:r>
        <w:rPr>
          <w:rFonts w:hint="eastAsia" w:ascii="微软雅黑" w:hAnsi="微软雅黑" w:eastAsia="微软雅黑" w:cs="微软雅黑"/>
          <w:color w:val="auto"/>
          <w:sz w:val="24"/>
          <w:highlight w:val="none"/>
          <w:u w:val="single"/>
        </w:rPr>
        <w:t>投标人须知资料表</w:t>
      </w:r>
      <w:r>
        <w:rPr>
          <w:rFonts w:hint="eastAsia" w:ascii="微软雅黑" w:hAnsi="微软雅黑" w:eastAsia="微软雅黑" w:cs="微软雅黑"/>
          <w:color w:val="auto"/>
          <w:sz w:val="24"/>
          <w:highlight w:val="none"/>
        </w:rPr>
        <w:t>。</w:t>
      </w:r>
    </w:p>
    <w:p>
      <w:pPr>
        <w:pStyle w:val="5"/>
        <w:spacing w:before="0" w:after="0" w:line="440" w:lineRule="exact"/>
        <w:rPr>
          <w:rFonts w:ascii="微软雅黑" w:hAnsi="微软雅黑" w:eastAsia="微软雅黑" w:cs="微软雅黑"/>
          <w:color w:val="auto"/>
          <w:szCs w:val="24"/>
          <w:highlight w:val="none"/>
          <w:u w:val="none"/>
        </w:rPr>
      </w:pPr>
      <w:bookmarkStart w:id="215" w:name="_Toc12709"/>
      <w:bookmarkStart w:id="216" w:name="_Toc2133"/>
      <w:bookmarkStart w:id="217" w:name="_Toc23999"/>
      <w:bookmarkStart w:id="218" w:name="_Toc515647796"/>
      <w:r>
        <w:rPr>
          <w:rFonts w:hint="eastAsia" w:ascii="微软雅黑" w:hAnsi="微软雅黑" w:eastAsia="微软雅黑" w:cs="微软雅黑"/>
          <w:color w:val="auto"/>
          <w:szCs w:val="24"/>
          <w:highlight w:val="none"/>
          <w:u w:val="none"/>
        </w:rPr>
        <w:t>34.廉洁自律规定</w:t>
      </w:r>
      <w:bookmarkEnd w:id="215"/>
      <w:bookmarkEnd w:id="216"/>
      <w:bookmarkEnd w:id="217"/>
      <w:bookmarkEnd w:id="218"/>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34.1   采购代理机构工作人员不得以不正当手段获取政府采购代理业务，不得与采购人、供应商恶意串通操纵政府采购活动。</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34.2   采购代理机构工作人员不得接受采购人或者供应商组织的宴请、旅游、娱乐，不得收受礼品、现金、有价证券等，不得向采购人或者供应商报销应当由个人承担的费用。</w:t>
      </w:r>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34.3   为强化采购代理机构内部监督机制，供应商可按</w:t>
      </w:r>
      <w:r>
        <w:rPr>
          <w:rFonts w:hint="eastAsia" w:ascii="微软雅黑" w:hAnsi="微软雅黑" w:eastAsia="微软雅黑" w:cs="微软雅黑"/>
          <w:color w:val="auto"/>
          <w:sz w:val="24"/>
          <w:highlight w:val="none"/>
          <w:u w:val="single"/>
        </w:rPr>
        <w:t>投标人须知资料表中的</w:t>
      </w:r>
      <w:r>
        <w:rPr>
          <w:rFonts w:hint="eastAsia" w:ascii="微软雅黑" w:hAnsi="微软雅黑" w:eastAsia="微软雅黑" w:cs="微软雅黑"/>
          <w:color w:val="auto"/>
          <w:sz w:val="24"/>
          <w:highlight w:val="none"/>
        </w:rPr>
        <w:t>监督电话和邮箱，反映采购代理机构的廉洁自律等问题。</w:t>
      </w:r>
    </w:p>
    <w:p>
      <w:pPr>
        <w:pStyle w:val="5"/>
        <w:spacing w:before="0" w:after="0" w:line="440" w:lineRule="exact"/>
        <w:rPr>
          <w:rFonts w:ascii="微软雅黑" w:hAnsi="微软雅黑" w:eastAsia="微软雅黑" w:cs="微软雅黑"/>
          <w:color w:val="auto"/>
          <w:szCs w:val="24"/>
          <w:highlight w:val="none"/>
          <w:u w:val="none"/>
        </w:rPr>
      </w:pPr>
      <w:bookmarkStart w:id="219" w:name="_Toc12865"/>
      <w:bookmarkStart w:id="220" w:name="_Toc25480"/>
      <w:bookmarkStart w:id="221" w:name="_Toc11586"/>
      <w:bookmarkStart w:id="222" w:name="_Toc515647797"/>
      <w:r>
        <w:rPr>
          <w:rFonts w:hint="eastAsia" w:ascii="微软雅黑" w:hAnsi="微软雅黑" w:eastAsia="微软雅黑" w:cs="微软雅黑"/>
          <w:color w:val="auto"/>
          <w:szCs w:val="24"/>
          <w:highlight w:val="none"/>
          <w:u w:val="none"/>
        </w:rPr>
        <w:t>35.人员回避</w:t>
      </w:r>
      <w:bookmarkEnd w:id="219"/>
      <w:bookmarkEnd w:id="220"/>
      <w:bookmarkEnd w:id="221"/>
      <w:bookmarkEnd w:id="222"/>
    </w:p>
    <w:p>
      <w:pPr>
        <w:spacing w:line="440" w:lineRule="exact"/>
        <w:ind w:left="900" w:hanging="900" w:hangingChars="375"/>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投标人认为采购人员及其相关人员有法律法规所列与其他供应商有利害关系的，可以向采购人或采购代理机构书面提出回避申请，并说明理由。</w:t>
      </w:r>
    </w:p>
    <w:p>
      <w:pPr>
        <w:spacing w:line="440" w:lineRule="exact"/>
        <w:ind w:left="900" w:hanging="900" w:hangingChars="375"/>
        <w:jc w:val="left"/>
        <w:outlineLvl w:val="2"/>
        <w:rPr>
          <w:rFonts w:ascii="微软雅黑" w:hAnsi="微软雅黑" w:eastAsia="微软雅黑" w:cs="微软雅黑"/>
          <w:b/>
          <w:bCs/>
          <w:color w:val="auto"/>
          <w:sz w:val="24"/>
          <w:highlight w:val="none"/>
        </w:rPr>
      </w:pPr>
      <w:bookmarkStart w:id="223" w:name="_Toc21748"/>
      <w:bookmarkStart w:id="224" w:name="_Toc16186"/>
      <w:bookmarkStart w:id="225" w:name="_Toc515647799"/>
      <w:r>
        <w:rPr>
          <w:rFonts w:hint="eastAsia" w:ascii="微软雅黑" w:hAnsi="微软雅黑" w:eastAsia="微软雅黑" w:cs="微软雅黑"/>
          <w:b/>
          <w:bCs/>
          <w:color w:val="auto"/>
          <w:sz w:val="24"/>
          <w:highlight w:val="none"/>
        </w:rPr>
        <w:t>36.质疑与接收</w:t>
      </w:r>
    </w:p>
    <w:p>
      <w:pPr>
        <w:spacing w:line="440" w:lineRule="exact"/>
        <w:ind w:left="900" w:hanging="900" w:hangingChars="3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36.1    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440" w:lineRule="exact"/>
        <w:ind w:left="900" w:hanging="900" w:hangingChars="3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36.2    质疑供应商应按照财政部制定的《政府采购质疑函范本》格式（可从财政部官方网站下载）和《政府采购质疑和投诉办法》的要求，在法定质疑期内以纸质形式提出质疑，针对同一采购程序环节的质疑应一次性提出。</w:t>
      </w:r>
    </w:p>
    <w:p>
      <w:pPr>
        <w:spacing w:line="440" w:lineRule="exact"/>
        <w:ind w:left="958" w:leftChars="456" w:firstLine="60" w:firstLineChars="2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超出法定质疑期的、重复提出的、分次提出的或内容、形式不符合《政府采购质疑和投诉办法》的，质疑供应商将依法承担不利后果。</w:t>
      </w:r>
    </w:p>
    <w:p>
      <w:pPr>
        <w:spacing w:line="440" w:lineRule="exact"/>
        <w:ind w:left="900" w:hanging="900" w:hangingChars="3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36.3    采购代理机构质疑函接收部门、联系电话和通讯地址, 见投标人须知资料表。</w:t>
      </w:r>
    </w:p>
    <w:p>
      <w:pPr>
        <w:spacing w:line="440" w:lineRule="exact"/>
        <w:ind w:left="900" w:hanging="900" w:hangingChars="375"/>
        <w:jc w:val="left"/>
        <w:rPr>
          <w:rFonts w:ascii="微软雅黑" w:hAnsi="微软雅黑" w:eastAsia="微软雅黑" w:cs="微软雅黑"/>
          <w:b/>
          <w:bCs/>
          <w:color w:val="auto"/>
          <w:sz w:val="24"/>
          <w:highlight w:val="none"/>
        </w:rPr>
      </w:pPr>
      <w:r>
        <w:rPr>
          <w:rFonts w:hint="eastAsia" w:ascii="微软雅黑" w:hAnsi="微软雅黑" w:eastAsia="微软雅黑" w:cs="微软雅黑"/>
          <w:color w:val="auto"/>
          <w:sz w:val="24"/>
          <w:highlight w:val="none"/>
        </w:rPr>
        <w:t>36.4、</w:t>
      </w:r>
      <w:r>
        <w:rPr>
          <w:rFonts w:hint="eastAsia" w:ascii="微软雅黑" w:hAnsi="微软雅黑" w:eastAsia="微软雅黑" w:cs="微软雅黑"/>
          <w:b/>
          <w:bCs/>
          <w:color w:val="auto"/>
          <w:sz w:val="24"/>
          <w:highlight w:val="none"/>
        </w:rPr>
        <w:t>质疑的提出</w:t>
      </w:r>
    </w:p>
    <w:p>
      <w:pPr>
        <w:spacing w:line="440" w:lineRule="exact"/>
        <w:ind w:left="900" w:hanging="900" w:hangingChars="3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36.5   本采购文件中所称质疑及答复，是指参加本次采购活动的供应商对政府采购活动中的采购文件、采购过程和成交结果向采购方提出质疑，采购方答复质疑的行为。</w:t>
      </w:r>
    </w:p>
    <w:p>
      <w:pPr>
        <w:spacing w:line="440" w:lineRule="exact"/>
        <w:ind w:left="900" w:hanging="900" w:hangingChars="3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36.6   供应商认为采购文件、采购过程和成交结果使自己的权益受到损害的，可以在知道或者应知其权益受到损害之日起7个工作日内，以书面形式向采购方提出质疑。供应商应知其权益受到损害之日，是指：</w:t>
      </w:r>
    </w:p>
    <w:p>
      <w:pPr>
        <w:spacing w:line="440" w:lineRule="exact"/>
        <w:ind w:left="898" w:leftChars="342" w:hanging="180" w:hangingChars="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（一）对可以质疑的采购文件提出质疑的，为收到采购文件之日或者采购文件公告期限届满之日；</w:t>
      </w:r>
    </w:p>
    <w:p>
      <w:pPr>
        <w:spacing w:line="440" w:lineRule="exact"/>
        <w:ind w:left="898" w:leftChars="342" w:hanging="180" w:hangingChars="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（二）对采购过程提出质疑的，为各采购程序环节结束之日；</w:t>
      </w:r>
    </w:p>
    <w:p>
      <w:pPr>
        <w:spacing w:line="440" w:lineRule="exact"/>
        <w:ind w:firstLine="720" w:firstLineChars="300"/>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（三）对成交结果提出质疑的，为成交结果公告期限届满之日。</w:t>
      </w:r>
    </w:p>
    <w:p>
      <w:pPr>
        <w:spacing w:line="440" w:lineRule="exact"/>
        <w:ind w:left="900" w:hanging="900" w:hangingChars="3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36.7   对可以质疑的采购文件提出质疑的，质疑人为参与本项目的报价方或潜在报价方。可质疑的文件为采购公告以及采购文件（包括属于其组成部分的澄清、修改、补充文件和评审标准、合同文本等）。</w:t>
      </w:r>
    </w:p>
    <w:p>
      <w:pPr>
        <w:spacing w:line="440" w:lineRule="exact"/>
        <w:ind w:left="900" w:hanging="900" w:hangingChars="3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36.8   对采购过程和成交结果提出质疑的，质疑人为直接参与本项目的报价方。采购过程,即从采购项目信息公告发布起到成交结果公告止，包括采购文件的发出、提交响应文件、响应文件开启、评审等各个采购程序环节。</w:t>
      </w:r>
    </w:p>
    <w:p>
      <w:pPr>
        <w:spacing w:line="440" w:lineRule="exact"/>
        <w:ind w:left="900" w:hanging="900" w:hangingChars="3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36.9   提出质疑应当符合下列条件：</w:t>
      </w:r>
    </w:p>
    <w:p>
      <w:pPr>
        <w:spacing w:line="440" w:lineRule="exact"/>
        <w:ind w:left="898" w:leftChars="342" w:hanging="180" w:hangingChars="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（一）质疑主体应当符合有关规定；</w:t>
      </w:r>
    </w:p>
    <w:p>
      <w:pPr>
        <w:spacing w:line="440" w:lineRule="exact"/>
        <w:ind w:left="898" w:leftChars="342" w:hanging="180" w:hangingChars="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（二）在质疑法定期限内提出；</w:t>
      </w:r>
    </w:p>
    <w:p>
      <w:pPr>
        <w:spacing w:line="440" w:lineRule="exact"/>
        <w:ind w:left="898" w:leftChars="342" w:hanging="180" w:hangingChars="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（三）属于可以提出质疑的政府采购事项受理范围和本项目采购人的管辖权范围；</w:t>
      </w:r>
    </w:p>
    <w:p>
      <w:pPr>
        <w:spacing w:line="440" w:lineRule="exact"/>
        <w:ind w:left="898" w:leftChars="342" w:hanging="180" w:hangingChars="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（四）政府采购法律、法规、规章规定的其他条件。</w:t>
      </w:r>
    </w:p>
    <w:p>
      <w:pPr>
        <w:spacing w:line="440" w:lineRule="exact"/>
        <w:ind w:left="900" w:hanging="900" w:hangingChars="3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40.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440" w:lineRule="exact"/>
        <w:ind w:left="900" w:hanging="900" w:hangingChars="3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40.1   质疑人所提供的证明材料应当具有真实性、合法性以及与质疑事项的关联性和证明力，否则不能作为认定该质疑事项成立的依据。</w:t>
      </w:r>
    </w:p>
    <w:p>
      <w:pPr>
        <w:spacing w:line="440" w:lineRule="exact"/>
        <w:ind w:left="900" w:hanging="900" w:hangingChars="3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40.2   质疑人提出质疑时应当提交质疑函。质疑函包括下列内容：</w:t>
      </w:r>
    </w:p>
    <w:p>
      <w:pPr>
        <w:spacing w:line="440" w:lineRule="exact"/>
        <w:ind w:left="898" w:leftChars="342" w:hanging="180" w:hangingChars="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（一）提出质疑的质疑人的名称、地址、邮编、联系人及联系电话等；</w:t>
      </w:r>
    </w:p>
    <w:p>
      <w:pPr>
        <w:spacing w:line="440" w:lineRule="exact"/>
        <w:ind w:left="898" w:leftChars="342" w:hanging="180" w:hangingChars="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（二）质疑项目的名称、编号；</w:t>
      </w:r>
    </w:p>
    <w:p>
      <w:pPr>
        <w:spacing w:line="440" w:lineRule="exact"/>
        <w:ind w:left="898" w:leftChars="342" w:hanging="180" w:hangingChars="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（三）质疑事项；</w:t>
      </w:r>
    </w:p>
    <w:p>
      <w:pPr>
        <w:spacing w:line="440" w:lineRule="exact"/>
        <w:ind w:left="898" w:leftChars="342" w:hanging="180" w:hangingChars="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（四）事实依据和证明材料；</w:t>
      </w:r>
    </w:p>
    <w:p>
      <w:pPr>
        <w:spacing w:line="440" w:lineRule="exact"/>
        <w:ind w:left="898" w:leftChars="342" w:hanging="180" w:hangingChars="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（五）法律依据；</w:t>
      </w:r>
    </w:p>
    <w:p>
      <w:pPr>
        <w:spacing w:line="440" w:lineRule="exact"/>
        <w:ind w:left="898" w:leftChars="342" w:hanging="180" w:hangingChars="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（六）提出质疑的日期。</w:t>
      </w:r>
    </w:p>
    <w:p>
      <w:pPr>
        <w:spacing w:line="440" w:lineRule="exact"/>
        <w:ind w:left="958" w:leftChars="456" w:firstLine="60" w:firstLineChars="2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质疑函采用实名制。质疑人为自然人的应当由本人签字，并附有效身份证明文件；质疑人为法人或者非法人组织的应当由法定代表人或者负责人签字并加盖公章，并附有效身份证明文件。</w:t>
      </w:r>
    </w:p>
    <w:p>
      <w:pPr>
        <w:spacing w:line="440" w:lineRule="exact"/>
        <w:ind w:left="900" w:hanging="900" w:hangingChars="3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40.3    质疑人可以委托代理人进行质疑。代理人应当提交授权委托书。授权委托书应当载明委托代理的具体权限、期限和相关事项。</w:t>
      </w:r>
    </w:p>
    <w:p>
      <w:pPr>
        <w:spacing w:line="440" w:lineRule="exact"/>
        <w:ind w:left="900" w:hanging="900" w:hangingChars="3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40.4、  质疑的审查和受理</w:t>
      </w:r>
    </w:p>
    <w:p>
      <w:pPr>
        <w:spacing w:line="440" w:lineRule="exact"/>
        <w:ind w:left="958" w:leftChars="456" w:firstLine="60" w:firstLineChars="2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采购方在收到质疑函后应当及时审查是否符合质疑受理条件，对符合质疑受理条件的，及时予以受理。</w:t>
      </w:r>
    </w:p>
    <w:p>
      <w:pPr>
        <w:spacing w:line="440" w:lineRule="exact"/>
        <w:ind w:left="900" w:hanging="900" w:hangingChars="3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40.5    对不符合质疑受理条件的，分别按照下列不同情形予以处理：</w:t>
      </w:r>
    </w:p>
    <w:p>
      <w:pPr>
        <w:spacing w:line="440" w:lineRule="exact"/>
        <w:ind w:left="898" w:leftChars="342" w:hanging="180" w:hangingChars="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（一）质疑函内容不符合规定的，告知质疑人进行修改并重新提出质疑。修改后质疑事项仍不具体、不明确或者最终递交质疑函的时间超过质疑法定期限的，不予受理；</w:t>
      </w:r>
    </w:p>
    <w:p>
      <w:pPr>
        <w:spacing w:line="440" w:lineRule="exact"/>
        <w:ind w:left="898" w:leftChars="342" w:hanging="180" w:hangingChars="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（二）质疑主体不符合有关规定的，告知质疑人不予受理；</w:t>
      </w:r>
    </w:p>
    <w:p>
      <w:pPr>
        <w:spacing w:line="440" w:lineRule="exact"/>
        <w:ind w:left="898" w:leftChars="342" w:hanging="180" w:hangingChars="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（三）超过质疑法定期限提出质疑的，告知质疑人不予受理；</w:t>
      </w:r>
    </w:p>
    <w:p>
      <w:pPr>
        <w:spacing w:line="440" w:lineRule="exact"/>
        <w:ind w:left="898" w:leftChars="342" w:hanging="180" w:hangingChars="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（四）对不属于可以提出质疑的政府采购事项提出质疑的，告知质疑人不予受理；</w:t>
      </w:r>
    </w:p>
    <w:p>
      <w:pPr>
        <w:spacing w:line="440" w:lineRule="exact"/>
        <w:ind w:left="898" w:leftChars="342" w:hanging="180" w:hangingChars="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（五）质疑不属于本项目采购方管辖的，告知质疑人向有管辖权的采购人提出质疑；</w:t>
      </w:r>
    </w:p>
    <w:p>
      <w:pPr>
        <w:spacing w:line="440" w:lineRule="exact"/>
        <w:ind w:left="898" w:leftChars="342" w:hanging="180" w:hangingChars="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（六）质疑不符合其他条件的，告知质疑人不予受理。</w:t>
      </w:r>
    </w:p>
    <w:p>
      <w:pPr>
        <w:spacing w:line="440" w:lineRule="exact"/>
        <w:ind w:left="900" w:hanging="900" w:hangingChars="3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40.6、 质疑的处理和答复</w:t>
      </w:r>
    </w:p>
    <w:p>
      <w:pPr>
        <w:spacing w:line="440" w:lineRule="exact"/>
        <w:ind w:left="900" w:hanging="900" w:hangingChars="3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40.7   采购方受理质疑后，将及时把质疑函发送给被质疑人，并要求其在一定限期内提交书面答复，同时提供有关证据、依据和相关材料。</w:t>
      </w:r>
    </w:p>
    <w:p>
      <w:pPr>
        <w:spacing w:line="440" w:lineRule="exact"/>
        <w:ind w:left="900" w:hanging="900" w:hangingChars="3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40.8    对于质疑事项中涉及的问题较多、情况比较复杂的，为了全面查清事实、取得充分的证据，采购方认为有必要时，可以进行调查取证或者组织质证。</w:t>
      </w:r>
    </w:p>
    <w:p>
      <w:pPr>
        <w:spacing w:line="440" w:lineRule="exact"/>
        <w:ind w:left="900" w:hanging="900" w:hangingChars="3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40.9    对评审过程、成交结果提出质疑的，采购方可以组织原评审委员会协助答复质疑。</w:t>
      </w:r>
    </w:p>
    <w:p>
      <w:pPr>
        <w:spacing w:line="440" w:lineRule="exact"/>
        <w:ind w:left="900" w:hanging="900" w:hangingChars="3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41.    质疑处理过程中，质疑人书面申请撤回质疑的，将终止质疑处理程序。</w:t>
      </w:r>
    </w:p>
    <w:p>
      <w:pPr>
        <w:spacing w:line="440" w:lineRule="exact"/>
        <w:ind w:left="900" w:hanging="900" w:hangingChars="3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41.1   质疑人拒绝配合采购方依法对质疑进行调查处理的，采购方将按质疑人自动撤回质疑处理；被质疑人拒绝配合采购方依法对质疑进行调查处理的，采购方将视同其认可质疑事项。</w:t>
      </w:r>
    </w:p>
    <w:p>
      <w:pPr>
        <w:spacing w:line="440" w:lineRule="exact"/>
        <w:ind w:left="900" w:hanging="900" w:hangingChars="3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41.1   质疑人拒绝配合采购方依法对质疑进行调查处理的，采购方将按质疑人自动撤回质疑处理；被质疑人拒绝配合采购方依法对质疑进行调查处理的，采购方将视同其认可质疑事项。</w:t>
      </w:r>
    </w:p>
    <w:p>
      <w:pPr>
        <w:spacing w:line="440" w:lineRule="exact"/>
        <w:ind w:left="900" w:hanging="900" w:hangingChars="375"/>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41.2   采购方将在正式受理质疑后7个工作日内作出答复。</w:t>
      </w:r>
    </w:p>
    <w:p>
      <w:pPr>
        <w:pStyle w:val="57"/>
        <w:spacing w:line="44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41.3   质疑答复应当包括下列内容：</w:t>
      </w:r>
    </w:p>
    <w:p>
      <w:pPr>
        <w:pStyle w:val="57"/>
        <w:spacing w:line="44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 xml:space="preserve">        （一）质疑人的姓名或者名称；</w:t>
      </w:r>
    </w:p>
    <w:p>
      <w:pPr>
        <w:pStyle w:val="57"/>
        <w:spacing w:line="44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 xml:space="preserve">        （二）收到质疑函的日期、质疑项目名称及编号；</w:t>
      </w:r>
    </w:p>
    <w:p>
      <w:pPr>
        <w:pStyle w:val="57"/>
        <w:spacing w:line="44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 xml:space="preserve">        （三）质疑事项、质疑答复的具体内容、事实依据和法律依据；</w:t>
      </w:r>
    </w:p>
    <w:p>
      <w:pPr>
        <w:pStyle w:val="57"/>
        <w:spacing w:line="44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 xml:space="preserve">        （四）告知质疑供应商依法投诉的权利；</w:t>
      </w:r>
    </w:p>
    <w:p>
      <w:pPr>
        <w:pStyle w:val="57"/>
        <w:spacing w:line="440" w:lineRule="exact"/>
        <w:ind w:firstLine="960" w:firstLineChars="40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（五）质疑答复人名称；</w:t>
      </w:r>
    </w:p>
    <w:p>
      <w:pPr>
        <w:spacing w:line="440" w:lineRule="exact"/>
        <w:ind w:left="718" w:leftChars="342" w:firstLine="240" w:firstLineChars="100"/>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（六）答复质疑的日期。</w:t>
      </w:r>
    </w:p>
    <w:p>
      <w:pPr>
        <w:jc w:val="left"/>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br w:type="page"/>
      </w:r>
    </w:p>
    <w:p>
      <w:pPr>
        <w:spacing w:line="440" w:lineRule="exact"/>
        <w:jc w:val="center"/>
        <w:outlineLvl w:val="1"/>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质疑函范本</w:t>
      </w:r>
    </w:p>
    <w:p>
      <w:pPr>
        <w:adjustRightInd w:val="0"/>
        <w:snapToGrid w:val="0"/>
        <w:spacing w:beforeLines="100" w:line="440" w:lineRule="exact"/>
        <w:outlineLvl w:val="1"/>
        <w:rPr>
          <w:rFonts w:ascii="微软雅黑" w:hAnsi="微软雅黑" w:eastAsia="微软雅黑" w:cs="微软雅黑"/>
          <w:bCs/>
          <w:color w:val="auto"/>
          <w:sz w:val="24"/>
          <w:highlight w:val="none"/>
        </w:rPr>
      </w:pPr>
      <w:r>
        <w:rPr>
          <w:rFonts w:hint="eastAsia" w:ascii="微软雅黑" w:hAnsi="微软雅黑" w:eastAsia="微软雅黑" w:cs="微软雅黑"/>
          <w:bCs/>
          <w:color w:val="auto"/>
          <w:sz w:val="24"/>
          <w:highlight w:val="none"/>
        </w:rPr>
        <w:t>一、质疑供应商基本信息</w:t>
      </w:r>
    </w:p>
    <w:p>
      <w:pPr>
        <w:adjustRightInd w:val="0"/>
        <w:snapToGrid w:val="0"/>
        <w:spacing w:line="440" w:lineRule="exact"/>
        <w:rPr>
          <w:rFonts w:ascii="微软雅黑" w:hAnsi="微软雅黑" w:eastAsia="微软雅黑" w:cs="微软雅黑"/>
          <w:color w:val="auto"/>
          <w:sz w:val="24"/>
          <w:highlight w:val="none"/>
          <w:u w:val="dotted"/>
        </w:rPr>
      </w:pPr>
      <w:r>
        <w:rPr>
          <w:rFonts w:hint="eastAsia" w:ascii="微软雅黑" w:hAnsi="微软雅黑" w:eastAsia="微软雅黑" w:cs="微软雅黑"/>
          <w:color w:val="auto"/>
          <w:sz w:val="24"/>
          <w:highlight w:val="none"/>
        </w:rPr>
        <w:t>质疑供应商：</w:t>
      </w:r>
      <w:r>
        <w:rPr>
          <w:rFonts w:hint="eastAsia" w:ascii="微软雅黑" w:hAnsi="微软雅黑" w:eastAsia="微软雅黑" w:cs="微软雅黑"/>
          <w:color w:val="auto"/>
          <w:sz w:val="24"/>
          <w:highlight w:val="none"/>
          <w:u w:val="dotted"/>
        </w:rPr>
        <w:t xml:space="preserve">                                                          </w:t>
      </w:r>
    </w:p>
    <w:p>
      <w:pPr>
        <w:adjustRightInd w:val="0"/>
        <w:snapToGrid w:val="0"/>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地址：</w:t>
      </w:r>
      <w:r>
        <w:rPr>
          <w:rFonts w:hint="eastAsia" w:ascii="微软雅黑" w:hAnsi="微软雅黑" w:eastAsia="微软雅黑" w:cs="微软雅黑"/>
          <w:color w:val="auto"/>
          <w:sz w:val="24"/>
          <w:highlight w:val="none"/>
          <w:u w:val="dotted"/>
        </w:rPr>
        <w:t xml:space="preserve">                          </w:t>
      </w:r>
      <w:r>
        <w:rPr>
          <w:rFonts w:hint="eastAsia" w:ascii="微软雅黑" w:hAnsi="微软雅黑" w:eastAsia="微软雅黑" w:cs="微软雅黑"/>
          <w:color w:val="auto"/>
          <w:sz w:val="24"/>
          <w:highlight w:val="none"/>
        </w:rPr>
        <w:t>邮编：</w:t>
      </w:r>
      <w:r>
        <w:rPr>
          <w:rFonts w:hint="eastAsia" w:ascii="微软雅黑" w:hAnsi="微软雅黑" w:eastAsia="微软雅黑" w:cs="微软雅黑"/>
          <w:color w:val="auto"/>
          <w:sz w:val="24"/>
          <w:highlight w:val="none"/>
          <w:u w:val="dotted"/>
        </w:rPr>
        <w:t xml:space="preserve">                                                   </w:t>
      </w:r>
    </w:p>
    <w:p>
      <w:pPr>
        <w:adjustRightInd w:val="0"/>
        <w:snapToGrid w:val="0"/>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联系人：</w:t>
      </w:r>
      <w:r>
        <w:rPr>
          <w:rFonts w:hint="eastAsia" w:ascii="微软雅黑" w:hAnsi="微软雅黑" w:eastAsia="微软雅黑" w:cs="微软雅黑"/>
          <w:color w:val="auto"/>
          <w:sz w:val="24"/>
          <w:highlight w:val="none"/>
          <w:u w:val="dotted"/>
        </w:rPr>
        <w:t xml:space="preserve">                      </w:t>
      </w:r>
      <w:r>
        <w:rPr>
          <w:rFonts w:hint="eastAsia" w:ascii="微软雅黑" w:hAnsi="微软雅黑" w:eastAsia="微软雅黑" w:cs="微软雅黑"/>
          <w:color w:val="auto"/>
          <w:sz w:val="24"/>
          <w:highlight w:val="none"/>
        </w:rPr>
        <w:t>联系电话：</w:t>
      </w:r>
      <w:r>
        <w:rPr>
          <w:rFonts w:hint="eastAsia" w:ascii="微软雅黑" w:hAnsi="微软雅黑" w:eastAsia="微软雅黑" w:cs="微软雅黑"/>
          <w:color w:val="auto"/>
          <w:sz w:val="24"/>
          <w:highlight w:val="none"/>
          <w:u w:val="dotted"/>
        </w:rPr>
        <w:t xml:space="preserve">                              </w:t>
      </w:r>
    </w:p>
    <w:p>
      <w:pPr>
        <w:adjustRightInd w:val="0"/>
        <w:snapToGrid w:val="0"/>
        <w:spacing w:line="440" w:lineRule="exact"/>
        <w:rPr>
          <w:rFonts w:ascii="微软雅黑" w:hAnsi="微软雅黑" w:eastAsia="微软雅黑" w:cs="微软雅黑"/>
          <w:color w:val="auto"/>
          <w:sz w:val="24"/>
          <w:highlight w:val="none"/>
          <w:u w:val="dotted"/>
        </w:rPr>
      </w:pPr>
      <w:r>
        <w:rPr>
          <w:rFonts w:hint="eastAsia" w:ascii="微软雅黑" w:hAnsi="微软雅黑" w:eastAsia="微软雅黑" w:cs="微软雅黑"/>
          <w:color w:val="auto"/>
          <w:sz w:val="24"/>
          <w:highlight w:val="none"/>
        </w:rPr>
        <w:t>授权代表：</w:t>
      </w:r>
      <w:r>
        <w:rPr>
          <w:rFonts w:hint="eastAsia" w:ascii="微软雅黑" w:hAnsi="微软雅黑" w:eastAsia="微软雅黑" w:cs="微软雅黑"/>
          <w:color w:val="auto"/>
          <w:sz w:val="24"/>
          <w:highlight w:val="none"/>
          <w:u w:val="dotted"/>
        </w:rPr>
        <w:t xml:space="preserve">                                                                 </w:t>
      </w:r>
    </w:p>
    <w:p>
      <w:pPr>
        <w:adjustRightInd w:val="0"/>
        <w:snapToGrid w:val="0"/>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联系电话：</w:t>
      </w:r>
      <w:r>
        <w:rPr>
          <w:rFonts w:hint="eastAsia" w:ascii="微软雅黑" w:hAnsi="微软雅黑" w:eastAsia="微软雅黑" w:cs="微软雅黑"/>
          <w:color w:val="auto"/>
          <w:sz w:val="24"/>
          <w:highlight w:val="none"/>
          <w:u w:val="dotted"/>
        </w:rPr>
        <w:t xml:space="preserve">                                                              </w:t>
      </w:r>
      <w:r>
        <w:rPr>
          <w:rFonts w:hint="eastAsia" w:ascii="微软雅黑" w:hAnsi="微软雅黑" w:eastAsia="微软雅黑" w:cs="微软雅黑"/>
          <w:color w:val="auto"/>
          <w:sz w:val="24"/>
          <w:highlight w:val="none"/>
        </w:rPr>
        <w:t xml:space="preserve"> </w:t>
      </w:r>
    </w:p>
    <w:p>
      <w:pPr>
        <w:adjustRightInd w:val="0"/>
        <w:snapToGrid w:val="0"/>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地址： </w:t>
      </w:r>
      <w:r>
        <w:rPr>
          <w:rFonts w:hint="eastAsia" w:ascii="微软雅黑" w:hAnsi="微软雅黑" w:eastAsia="微软雅黑" w:cs="微软雅黑"/>
          <w:color w:val="auto"/>
          <w:sz w:val="24"/>
          <w:highlight w:val="none"/>
          <w:u w:val="dotted"/>
        </w:rPr>
        <w:t xml:space="preserve">                        </w:t>
      </w:r>
      <w:r>
        <w:rPr>
          <w:rFonts w:hint="eastAsia" w:ascii="微软雅黑" w:hAnsi="微软雅黑" w:eastAsia="微软雅黑" w:cs="微软雅黑"/>
          <w:color w:val="auto"/>
          <w:sz w:val="24"/>
          <w:highlight w:val="none"/>
        </w:rPr>
        <w:t>邮编：</w:t>
      </w:r>
      <w:r>
        <w:rPr>
          <w:rFonts w:hint="eastAsia" w:ascii="微软雅黑" w:hAnsi="微软雅黑" w:eastAsia="微软雅黑" w:cs="微软雅黑"/>
          <w:color w:val="auto"/>
          <w:sz w:val="24"/>
          <w:highlight w:val="none"/>
          <w:u w:val="dotted"/>
        </w:rPr>
        <w:t xml:space="preserve">                                                </w:t>
      </w:r>
    </w:p>
    <w:p>
      <w:pPr>
        <w:adjustRightInd w:val="0"/>
        <w:snapToGrid w:val="0"/>
        <w:spacing w:line="440" w:lineRule="exact"/>
        <w:outlineLvl w:val="1"/>
        <w:rPr>
          <w:rFonts w:ascii="微软雅黑" w:hAnsi="微软雅黑" w:eastAsia="微软雅黑" w:cs="微软雅黑"/>
          <w:bCs/>
          <w:color w:val="auto"/>
          <w:sz w:val="24"/>
          <w:highlight w:val="none"/>
        </w:rPr>
      </w:pPr>
      <w:r>
        <w:rPr>
          <w:rFonts w:hint="eastAsia" w:ascii="微软雅黑" w:hAnsi="微软雅黑" w:eastAsia="微软雅黑" w:cs="微软雅黑"/>
          <w:bCs/>
          <w:color w:val="auto"/>
          <w:sz w:val="24"/>
          <w:highlight w:val="none"/>
        </w:rPr>
        <w:t>二、质疑项目基本情况</w:t>
      </w:r>
    </w:p>
    <w:p>
      <w:pPr>
        <w:adjustRightInd w:val="0"/>
        <w:snapToGrid w:val="0"/>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质疑项目的名称：</w:t>
      </w:r>
      <w:r>
        <w:rPr>
          <w:rFonts w:hint="eastAsia" w:ascii="微软雅黑" w:hAnsi="微软雅黑" w:eastAsia="微软雅黑" w:cs="微软雅黑"/>
          <w:color w:val="auto"/>
          <w:sz w:val="24"/>
          <w:highlight w:val="none"/>
          <w:u w:val="dotted"/>
        </w:rPr>
        <w:t xml:space="preserve">                                                          </w:t>
      </w:r>
    </w:p>
    <w:p>
      <w:pPr>
        <w:adjustRightInd w:val="0"/>
        <w:snapToGrid w:val="0"/>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质疑项目的编号：</w:t>
      </w:r>
      <w:r>
        <w:rPr>
          <w:rFonts w:hint="eastAsia" w:ascii="微软雅黑" w:hAnsi="微软雅黑" w:eastAsia="微软雅黑" w:cs="微软雅黑"/>
          <w:color w:val="auto"/>
          <w:sz w:val="24"/>
          <w:highlight w:val="none"/>
          <w:u w:val="dotted"/>
        </w:rPr>
        <w:t xml:space="preserve">               </w:t>
      </w:r>
      <w:r>
        <w:rPr>
          <w:rFonts w:hint="eastAsia" w:ascii="微软雅黑" w:hAnsi="微软雅黑" w:eastAsia="微软雅黑" w:cs="微软雅黑"/>
          <w:color w:val="auto"/>
          <w:sz w:val="24"/>
          <w:highlight w:val="none"/>
        </w:rPr>
        <w:t>包号：</w:t>
      </w:r>
      <w:r>
        <w:rPr>
          <w:rFonts w:hint="eastAsia" w:ascii="微软雅黑" w:hAnsi="微软雅黑" w:eastAsia="微软雅黑" w:cs="微软雅黑"/>
          <w:color w:val="auto"/>
          <w:sz w:val="24"/>
          <w:highlight w:val="none"/>
          <w:u w:val="dotted"/>
        </w:rPr>
        <w:t xml:space="preserve">                                      </w:t>
      </w:r>
    </w:p>
    <w:p>
      <w:pPr>
        <w:adjustRightInd w:val="0"/>
        <w:snapToGrid w:val="0"/>
        <w:spacing w:line="440" w:lineRule="exact"/>
        <w:rPr>
          <w:rFonts w:ascii="微软雅黑" w:hAnsi="微软雅黑" w:eastAsia="微软雅黑" w:cs="微软雅黑"/>
          <w:color w:val="auto"/>
          <w:sz w:val="24"/>
          <w:highlight w:val="none"/>
          <w:u w:val="dotted"/>
        </w:rPr>
      </w:pPr>
      <w:r>
        <w:rPr>
          <w:rFonts w:hint="eastAsia" w:ascii="微软雅黑" w:hAnsi="微软雅黑" w:eastAsia="微软雅黑" w:cs="微软雅黑"/>
          <w:color w:val="auto"/>
          <w:sz w:val="24"/>
          <w:highlight w:val="none"/>
        </w:rPr>
        <w:t>采购人名称：</w:t>
      </w:r>
      <w:r>
        <w:rPr>
          <w:rFonts w:hint="eastAsia" w:ascii="微软雅黑" w:hAnsi="微软雅黑" w:eastAsia="微软雅黑" w:cs="微软雅黑"/>
          <w:color w:val="auto"/>
          <w:sz w:val="24"/>
          <w:highlight w:val="none"/>
          <w:u w:val="dotted"/>
        </w:rPr>
        <w:t xml:space="preserve">                                                            </w:t>
      </w:r>
    </w:p>
    <w:p>
      <w:pPr>
        <w:adjustRightInd w:val="0"/>
        <w:snapToGrid w:val="0"/>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采购文件获取日期：</w:t>
      </w:r>
      <w:r>
        <w:rPr>
          <w:rFonts w:hint="eastAsia" w:ascii="微软雅黑" w:hAnsi="微软雅黑" w:eastAsia="微软雅黑" w:cs="微软雅黑"/>
          <w:color w:val="auto"/>
          <w:sz w:val="24"/>
          <w:highlight w:val="none"/>
          <w:u w:val="dotted"/>
        </w:rPr>
        <w:t xml:space="preserve">                                                        </w:t>
      </w:r>
    </w:p>
    <w:p>
      <w:pPr>
        <w:adjustRightInd w:val="0"/>
        <w:snapToGrid w:val="0"/>
        <w:spacing w:line="440" w:lineRule="exact"/>
        <w:outlineLvl w:val="1"/>
        <w:rPr>
          <w:rFonts w:ascii="微软雅黑" w:hAnsi="微软雅黑" w:eastAsia="微软雅黑" w:cs="微软雅黑"/>
          <w:bCs/>
          <w:color w:val="auto"/>
          <w:sz w:val="24"/>
          <w:highlight w:val="none"/>
        </w:rPr>
      </w:pPr>
      <w:r>
        <w:rPr>
          <w:rFonts w:hint="eastAsia" w:ascii="微软雅黑" w:hAnsi="微软雅黑" w:eastAsia="微软雅黑" w:cs="微软雅黑"/>
          <w:bCs/>
          <w:color w:val="auto"/>
          <w:sz w:val="24"/>
          <w:highlight w:val="none"/>
        </w:rPr>
        <w:t>三、质疑事项具体内容</w:t>
      </w:r>
    </w:p>
    <w:p>
      <w:pPr>
        <w:adjustRightInd w:val="0"/>
        <w:snapToGrid w:val="0"/>
        <w:spacing w:line="440" w:lineRule="exact"/>
        <w:rPr>
          <w:rFonts w:ascii="微软雅黑" w:hAnsi="微软雅黑" w:eastAsia="微软雅黑" w:cs="微软雅黑"/>
          <w:color w:val="auto"/>
          <w:sz w:val="24"/>
          <w:highlight w:val="none"/>
          <w:u w:val="dotted"/>
        </w:rPr>
      </w:pPr>
      <w:r>
        <w:rPr>
          <w:rFonts w:hint="eastAsia" w:ascii="微软雅黑" w:hAnsi="微软雅黑" w:eastAsia="微软雅黑" w:cs="微软雅黑"/>
          <w:color w:val="auto"/>
          <w:sz w:val="24"/>
          <w:highlight w:val="none"/>
        </w:rPr>
        <w:t>质疑事项1：</w:t>
      </w:r>
      <w:r>
        <w:rPr>
          <w:rFonts w:hint="eastAsia" w:ascii="微软雅黑" w:hAnsi="微软雅黑" w:eastAsia="微软雅黑" w:cs="微软雅黑"/>
          <w:color w:val="auto"/>
          <w:sz w:val="24"/>
          <w:highlight w:val="none"/>
          <w:u w:val="dotted"/>
        </w:rPr>
        <w:t xml:space="preserve">                                                               </w:t>
      </w:r>
    </w:p>
    <w:p>
      <w:pPr>
        <w:adjustRightInd w:val="0"/>
        <w:snapToGrid w:val="0"/>
        <w:spacing w:line="440" w:lineRule="exact"/>
        <w:rPr>
          <w:rFonts w:ascii="微软雅黑" w:hAnsi="微软雅黑" w:eastAsia="微软雅黑" w:cs="微软雅黑"/>
          <w:color w:val="auto"/>
          <w:sz w:val="24"/>
          <w:highlight w:val="none"/>
          <w:u w:val="dotted"/>
        </w:rPr>
      </w:pPr>
      <w:r>
        <w:rPr>
          <w:rFonts w:hint="eastAsia" w:ascii="微软雅黑" w:hAnsi="微软雅黑" w:eastAsia="微软雅黑" w:cs="微软雅黑"/>
          <w:color w:val="auto"/>
          <w:sz w:val="24"/>
          <w:highlight w:val="none"/>
        </w:rPr>
        <w:t>事实依据：</w:t>
      </w:r>
      <w:r>
        <w:rPr>
          <w:rFonts w:hint="eastAsia" w:ascii="微软雅黑" w:hAnsi="微软雅黑" w:eastAsia="微软雅黑" w:cs="微软雅黑"/>
          <w:color w:val="auto"/>
          <w:sz w:val="24"/>
          <w:highlight w:val="none"/>
          <w:u w:val="dotted"/>
        </w:rPr>
        <w:t xml:space="preserve">                                                            </w:t>
      </w:r>
    </w:p>
    <w:p>
      <w:pPr>
        <w:adjustRightInd w:val="0"/>
        <w:snapToGrid w:val="0"/>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u w:val="dotted"/>
        </w:rPr>
        <w:t xml:space="preserve">                                                                      </w:t>
      </w:r>
    </w:p>
    <w:p>
      <w:pPr>
        <w:adjustRightInd w:val="0"/>
        <w:snapToGrid w:val="0"/>
        <w:spacing w:line="440" w:lineRule="exact"/>
        <w:rPr>
          <w:rFonts w:ascii="微软雅黑" w:hAnsi="微软雅黑" w:eastAsia="微软雅黑" w:cs="微软雅黑"/>
          <w:color w:val="auto"/>
          <w:sz w:val="24"/>
          <w:highlight w:val="none"/>
          <w:u w:val="dotted"/>
        </w:rPr>
      </w:pPr>
      <w:r>
        <w:rPr>
          <w:rFonts w:hint="eastAsia" w:ascii="微软雅黑" w:hAnsi="微软雅黑" w:eastAsia="微软雅黑" w:cs="微软雅黑"/>
          <w:color w:val="auto"/>
          <w:sz w:val="24"/>
          <w:highlight w:val="none"/>
        </w:rPr>
        <w:t>法律依据：</w:t>
      </w:r>
      <w:r>
        <w:rPr>
          <w:rFonts w:hint="eastAsia" w:ascii="微软雅黑" w:hAnsi="微软雅黑" w:eastAsia="微软雅黑" w:cs="微软雅黑"/>
          <w:color w:val="auto"/>
          <w:sz w:val="24"/>
          <w:highlight w:val="none"/>
          <w:u w:val="dotted"/>
        </w:rPr>
        <w:t xml:space="preserve">                                                            </w:t>
      </w:r>
    </w:p>
    <w:p>
      <w:pPr>
        <w:adjustRightInd w:val="0"/>
        <w:snapToGrid w:val="0"/>
        <w:spacing w:line="440" w:lineRule="exact"/>
        <w:rPr>
          <w:rFonts w:ascii="微软雅黑" w:hAnsi="微软雅黑" w:eastAsia="微软雅黑" w:cs="微软雅黑"/>
          <w:color w:val="auto"/>
          <w:sz w:val="24"/>
          <w:highlight w:val="none"/>
          <w:u w:val="dotted"/>
        </w:rPr>
      </w:pPr>
      <w:r>
        <w:rPr>
          <w:rFonts w:hint="eastAsia" w:ascii="微软雅黑" w:hAnsi="微软雅黑" w:eastAsia="微软雅黑" w:cs="微软雅黑"/>
          <w:color w:val="auto"/>
          <w:sz w:val="24"/>
          <w:highlight w:val="none"/>
          <w:u w:val="dotted"/>
        </w:rPr>
        <w:t xml:space="preserve">                                                                       </w:t>
      </w:r>
    </w:p>
    <w:p>
      <w:pPr>
        <w:adjustRightInd w:val="0"/>
        <w:snapToGrid w:val="0"/>
        <w:spacing w:line="440" w:lineRule="exact"/>
        <w:rPr>
          <w:rFonts w:ascii="微软雅黑" w:hAnsi="微软雅黑" w:eastAsia="微软雅黑" w:cs="微软雅黑"/>
          <w:color w:val="auto"/>
          <w:sz w:val="24"/>
          <w:highlight w:val="none"/>
          <w:u w:val="dotted"/>
        </w:rPr>
      </w:pPr>
      <w:r>
        <w:rPr>
          <w:rFonts w:hint="eastAsia" w:ascii="微软雅黑" w:hAnsi="微软雅黑" w:eastAsia="微软雅黑" w:cs="微软雅黑"/>
          <w:color w:val="auto"/>
          <w:sz w:val="24"/>
          <w:highlight w:val="none"/>
        </w:rPr>
        <w:t>质疑事项2</w:t>
      </w:r>
    </w:p>
    <w:p>
      <w:pPr>
        <w:adjustRightInd w:val="0"/>
        <w:snapToGrid w:val="0"/>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w:t>
      </w:r>
    </w:p>
    <w:p>
      <w:pPr>
        <w:adjustRightInd w:val="0"/>
        <w:snapToGrid w:val="0"/>
        <w:spacing w:line="440" w:lineRule="exact"/>
        <w:outlineLvl w:val="1"/>
        <w:rPr>
          <w:rFonts w:ascii="微软雅黑" w:hAnsi="微软雅黑" w:eastAsia="微软雅黑" w:cs="微软雅黑"/>
          <w:bCs/>
          <w:color w:val="auto"/>
          <w:sz w:val="24"/>
          <w:highlight w:val="none"/>
        </w:rPr>
      </w:pPr>
      <w:r>
        <w:rPr>
          <w:rFonts w:hint="eastAsia" w:ascii="微软雅黑" w:hAnsi="微软雅黑" w:eastAsia="微软雅黑" w:cs="微软雅黑"/>
          <w:bCs/>
          <w:color w:val="auto"/>
          <w:sz w:val="24"/>
          <w:highlight w:val="none"/>
        </w:rPr>
        <w:t>四、与质疑事项相关的质疑请求</w:t>
      </w:r>
    </w:p>
    <w:p>
      <w:pPr>
        <w:adjustRightInd w:val="0"/>
        <w:snapToGrid w:val="0"/>
        <w:spacing w:line="440" w:lineRule="exact"/>
        <w:rPr>
          <w:rFonts w:ascii="微软雅黑" w:hAnsi="微软雅黑" w:eastAsia="微软雅黑" w:cs="微软雅黑"/>
          <w:color w:val="auto"/>
          <w:sz w:val="24"/>
          <w:highlight w:val="none"/>
          <w:u w:val="dotted"/>
        </w:rPr>
      </w:pPr>
      <w:r>
        <w:rPr>
          <w:rFonts w:hint="eastAsia" w:ascii="微软雅黑" w:hAnsi="微软雅黑" w:eastAsia="微软雅黑" w:cs="微软雅黑"/>
          <w:color w:val="auto"/>
          <w:sz w:val="24"/>
          <w:highlight w:val="none"/>
        </w:rPr>
        <w:t>请求：</w:t>
      </w:r>
      <w:r>
        <w:rPr>
          <w:rFonts w:hint="eastAsia" w:ascii="微软雅黑" w:hAnsi="微软雅黑" w:eastAsia="微软雅黑" w:cs="微软雅黑"/>
          <w:color w:val="auto"/>
          <w:sz w:val="24"/>
          <w:highlight w:val="none"/>
          <w:u w:val="dotted"/>
        </w:rPr>
        <w:t xml:space="preserve">                                               </w:t>
      </w:r>
    </w:p>
    <w:p>
      <w:pPr>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签字(签章)：                   公章：                      </w:t>
      </w:r>
    </w:p>
    <w:p>
      <w:pPr>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日期：    </w:t>
      </w:r>
    </w:p>
    <w:p>
      <w:pPr>
        <w:adjustRightInd w:val="0"/>
        <w:snapToGrid w:val="0"/>
        <w:spacing w:line="360" w:lineRule="auto"/>
        <w:rPr>
          <w:rFonts w:ascii="微软雅黑" w:hAnsi="微软雅黑" w:eastAsia="微软雅黑" w:cs="微软雅黑"/>
          <w:color w:val="auto"/>
          <w:sz w:val="24"/>
          <w:highlight w:val="none"/>
        </w:rPr>
      </w:pPr>
    </w:p>
    <w:p>
      <w:pP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br w:type="page"/>
      </w:r>
    </w:p>
    <w:p>
      <w:pPr>
        <w:pStyle w:val="2"/>
        <w:rPr>
          <w:color w:val="auto"/>
          <w:highlight w:val="none"/>
        </w:rPr>
      </w:pPr>
    </w:p>
    <w:p>
      <w:pPr>
        <w:spacing w:line="440" w:lineRule="exact"/>
        <w:rPr>
          <w:rFonts w:ascii="微软雅黑" w:hAnsi="微软雅黑" w:eastAsia="微软雅黑" w:cs="微软雅黑"/>
          <w:b/>
          <w:color w:val="auto"/>
          <w:sz w:val="24"/>
          <w:highlight w:val="none"/>
        </w:rPr>
      </w:pPr>
      <w:r>
        <w:rPr>
          <w:rFonts w:hint="eastAsia" w:ascii="微软雅黑" w:hAnsi="微软雅黑" w:eastAsia="微软雅黑" w:cs="微软雅黑"/>
          <w:b/>
          <w:color w:val="auto"/>
          <w:sz w:val="24"/>
          <w:highlight w:val="none"/>
        </w:rPr>
        <w:t>质疑函制作说明：</w:t>
      </w:r>
    </w:p>
    <w:p>
      <w:pPr>
        <w:widowControl/>
        <w:spacing w:line="440" w:lineRule="exact"/>
        <w:ind w:firstLine="480" w:firstLineChars="200"/>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1.供应商提出质疑时，应提交质疑函和必要的证明材料。</w:t>
      </w:r>
    </w:p>
    <w:p>
      <w:pPr>
        <w:widowControl/>
        <w:spacing w:line="440" w:lineRule="exact"/>
        <w:ind w:firstLine="480" w:firstLineChars="200"/>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2.质疑供应商若委托代理人进行质疑的，质疑函应按要求列明“授权代表”的有关内容，并在附件中提交由质疑</w:t>
      </w:r>
      <w:r>
        <w:rPr>
          <w:rFonts w:hint="eastAsia" w:ascii="微软雅黑" w:hAnsi="微软雅黑" w:eastAsia="微软雅黑" w:cs="微软雅黑"/>
          <w:color w:val="auto"/>
          <w:kern w:val="0"/>
          <w:sz w:val="24"/>
          <w:highlight w:val="none"/>
        </w:rPr>
        <w:t>供应商签署的授权委托书。授权委托书应载明代理人的姓名或者名称、代理事项、具体权限、期限和相关事项。</w:t>
      </w:r>
    </w:p>
    <w:p>
      <w:pPr>
        <w:widowControl/>
        <w:spacing w:line="440" w:lineRule="exact"/>
        <w:ind w:firstLine="480" w:firstLineChars="200"/>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3.质疑供应商若对项目的某一分包进行质疑，质疑函中应列明具体分包号。</w:t>
      </w:r>
    </w:p>
    <w:p>
      <w:pPr>
        <w:widowControl/>
        <w:spacing w:line="440" w:lineRule="exact"/>
        <w:ind w:firstLine="480" w:firstLineChars="200"/>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4.质疑函的质疑事项应具体、明确，并有必要的事实依据和法律依据。</w:t>
      </w:r>
    </w:p>
    <w:p>
      <w:pPr>
        <w:widowControl/>
        <w:spacing w:line="440" w:lineRule="exact"/>
        <w:ind w:firstLine="480" w:firstLineChars="200"/>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5.质疑函的质疑请求应与质疑事项相关。</w:t>
      </w:r>
    </w:p>
    <w:p>
      <w:pPr>
        <w:widowControl/>
        <w:spacing w:line="440" w:lineRule="exact"/>
        <w:ind w:firstLine="480" w:firstLineChars="200"/>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6.质疑供应商为自然人的，质疑函应由本人签字；质疑供应商为法人或者其他组织的，质疑函应由法定代表人、主要负责人，或者其授权代表签字或者盖章，并加盖公章。</w:t>
      </w:r>
    </w:p>
    <w:p>
      <w:pPr>
        <w:spacing w:line="400" w:lineRule="exact"/>
        <w:ind w:left="900" w:hanging="900" w:hangingChars="375"/>
        <w:rPr>
          <w:rFonts w:ascii="微软雅黑" w:hAnsi="微软雅黑" w:eastAsia="微软雅黑" w:cs="微软雅黑"/>
          <w:color w:val="auto"/>
          <w:sz w:val="24"/>
          <w:highlight w:val="none"/>
        </w:rPr>
      </w:pPr>
    </w:p>
    <w:p>
      <w:pPr>
        <w:pStyle w:val="2"/>
        <w:rPr>
          <w:rFonts w:ascii="微软雅黑" w:hAnsi="微软雅黑" w:eastAsia="微软雅黑" w:cs="微软雅黑"/>
          <w:color w:val="auto"/>
          <w:szCs w:val="24"/>
          <w:highlight w:val="none"/>
        </w:rPr>
      </w:pPr>
    </w:p>
    <w:p>
      <w:pPr>
        <w:rPr>
          <w:color w:val="auto"/>
          <w:highlight w:val="none"/>
        </w:rPr>
      </w:pPr>
      <w:r>
        <w:rPr>
          <w:rFonts w:hint="eastAsia"/>
          <w:color w:val="auto"/>
          <w:highlight w:val="none"/>
        </w:rPr>
        <w:br w:type="page"/>
      </w:r>
    </w:p>
    <w:p>
      <w:pPr>
        <w:pStyle w:val="2"/>
        <w:rPr>
          <w:color w:val="auto"/>
          <w:highlight w:val="none"/>
        </w:rPr>
      </w:pPr>
    </w:p>
    <w:p>
      <w:pPr>
        <w:pStyle w:val="4"/>
        <w:spacing w:before="0" w:line="240" w:lineRule="atLeast"/>
        <w:ind w:left="1080" w:leftChars="257" w:hanging="540"/>
        <w:rPr>
          <w:rFonts w:ascii="微软雅黑" w:hAnsi="微软雅黑" w:eastAsia="微软雅黑" w:cs="微软雅黑"/>
          <w:color w:val="auto"/>
          <w:sz w:val="24"/>
          <w:szCs w:val="24"/>
          <w:highlight w:val="none"/>
        </w:rPr>
      </w:pPr>
      <w:bookmarkStart w:id="226" w:name="_Toc350"/>
      <w:bookmarkStart w:id="227" w:name="_Toc18045"/>
      <w:bookmarkStart w:id="228" w:name="_Toc22796"/>
      <w:bookmarkStart w:id="229" w:name="_Toc9538"/>
      <w:bookmarkStart w:id="230" w:name="_Toc26168"/>
      <w:r>
        <w:rPr>
          <w:rFonts w:hint="eastAsia" w:ascii="微软雅黑" w:hAnsi="微软雅黑" w:eastAsia="微软雅黑" w:cs="微软雅黑"/>
          <w:color w:val="auto"/>
          <w:sz w:val="24"/>
          <w:szCs w:val="24"/>
          <w:highlight w:val="none"/>
        </w:rPr>
        <w:t>附件1：履约保证金保函（格式）</w:t>
      </w:r>
      <w:bookmarkEnd w:id="223"/>
      <w:bookmarkEnd w:id="224"/>
      <w:bookmarkEnd w:id="225"/>
      <w:bookmarkEnd w:id="226"/>
      <w:bookmarkEnd w:id="227"/>
      <w:bookmarkEnd w:id="228"/>
      <w:bookmarkEnd w:id="229"/>
      <w:bookmarkEnd w:id="230"/>
    </w:p>
    <w:p>
      <w:pPr>
        <w:pStyle w:val="14"/>
        <w:spacing w:line="240" w:lineRule="atLeast"/>
        <w:ind w:left="1080" w:leftChars="257" w:hanging="540"/>
        <w:rPr>
          <w:rFonts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 xml:space="preserve">                        （中标后开具）</w:t>
      </w:r>
    </w:p>
    <w:p>
      <w:pPr>
        <w:pStyle w:val="14"/>
        <w:spacing w:line="440" w:lineRule="exact"/>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致: (</w:t>
      </w:r>
      <w:r>
        <w:rPr>
          <w:rFonts w:hint="eastAsia" w:ascii="微软雅黑" w:hAnsi="微软雅黑" w:eastAsia="微软雅黑" w:cs="微软雅黑"/>
          <w:i/>
          <w:color w:val="auto"/>
          <w:sz w:val="24"/>
          <w:szCs w:val="24"/>
          <w:highlight w:val="none"/>
          <w:u w:val="single"/>
        </w:rPr>
        <w:t>买方名称</w:t>
      </w:r>
      <w:r>
        <w:rPr>
          <w:rFonts w:hint="eastAsia" w:ascii="微软雅黑" w:hAnsi="微软雅黑" w:eastAsia="微软雅黑" w:cs="微软雅黑"/>
          <w:color w:val="auto"/>
          <w:sz w:val="24"/>
          <w:szCs w:val="24"/>
          <w:highlight w:val="none"/>
        </w:rPr>
        <w:t>)</w:t>
      </w:r>
    </w:p>
    <w:p>
      <w:pPr>
        <w:pStyle w:val="14"/>
        <w:spacing w:line="440" w:lineRule="exact"/>
        <w:ind w:left="1080" w:leftChars="257" w:hanging="540"/>
        <w:jc w:val="center"/>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号合同履约保函</w:t>
      </w:r>
    </w:p>
    <w:p>
      <w:pPr>
        <w:pStyle w:val="14"/>
        <w:spacing w:line="440" w:lineRule="exact"/>
        <w:ind w:firstLine="600" w:firstLineChars="25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本保函作为贵方与(</w:t>
      </w:r>
      <w:r>
        <w:rPr>
          <w:rFonts w:hint="eastAsia" w:ascii="微软雅黑" w:hAnsi="微软雅黑" w:eastAsia="微软雅黑" w:cs="微软雅黑"/>
          <w:i/>
          <w:color w:val="auto"/>
          <w:sz w:val="24"/>
          <w:szCs w:val="24"/>
          <w:highlight w:val="none"/>
          <w:u w:val="single"/>
        </w:rPr>
        <w:t>卖方名称</w:t>
      </w:r>
      <w:r>
        <w:rPr>
          <w:rFonts w:hint="eastAsia" w:ascii="微软雅黑" w:hAnsi="微软雅黑" w:eastAsia="微软雅黑" w:cs="微软雅黑"/>
          <w:color w:val="auto"/>
          <w:sz w:val="24"/>
          <w:szCs w:val="24"/>
          <w:highlight w:val="none"/>
        </w:rPr>
        <w:t>)(以下简称卖方)于</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年</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日就</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项目(以下简称项目)项下提供(</w:t>
      </w:r>
      <w:r>
        <w:rPr>
          <w:rFonts w:hint="eastAsia" w:ascii="微软雅黑" w:hAnsi="微软雅黑" w:eastAsia="微软雅黑" w:cs="微软雅黑"/>
          <w:i/>
          <w:color w:val="auto"/>
          <w:sz w:val="24"/>
          <w:szCs w:val="24"/>
          <w:highlight w:val="none"/>
          <w:u w:val="single"/>
        </w:rPr>
        <w:t>货物名称</w:t>
      </w:r>
      <w:r>
        <w:rPr>
          <w:rFonts w:hint="eastAsia" w:ascii="微软雅黑" w:hAnsi="微软雅黑" w:eastAsia="微软雅黑" w:cs="微软雅黑"/>
          <w:color w:val="auto"/>
          <w:sz w:val="24"/>
          <w:szCs w:val="24"/>
          <w:highlight w:val="none"/>
        </w:rPr>
        <w:t>)(以下简称货物)签订的(</w:t>
      </w:r>
      <w:r>
        <w:rPr>
          <w:rFonts w:hint="eastAsia" w:ascii="微软雅黑" w:hAnsi="微软雅黑" w:eastAsia="微软雅黑" w:cs="微软雅黑"/>
          <w:i/>
          <w:color w:val="auto"/>
          <w:sz w:val="24"/>
          <w:szCs w:val="24"/>
          <w:highlight w:val="none"/>
          <w:u w:val="single"/>
        </w:rPr>
        <w:t>合同号</w:t>
      </w:r>
      <w:r>
        <w:rPr>
          <w:rFonts w:hint="eastAsia" w:ascii="微软雅黑" w:hAnsi="微软雅黑" w:eastAsia="微软雅黑" w:cs="微软雅黑"/>
          <w:color w:val="auto"/>
          <w:sz w:val="24"/>
          <w:szCs w:val="24"/>
          <w:highlight w:val="none"/>
        </w:rPr>
        <w:t>)号合同的履约保函。</w:t>
      </w:r>
    </w:p>
    <w:p>
      <w:pPr>
        <w:pStyle w:val="14"/>
        <w:spacing w:line="440" w:lineRule="exact"/>
        <w:ind w:firstLine="540" w:firstLineChars="225"/>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i/>
          <w:color w:val="auto"/>
          <w:sz w:val="24"/>
          <w:szCs w:val="24"/>
          <w:highlight w:val="none"/>
          <w:u w:val="single"/>
        </w:rPr>
        <w:t>出具保函的银行名称</w:t>
      </w:r>
      <w:r>
        <w:rPr>
          <w:rFonts w:hint="eastAsia" w:ascii="微软雅黑" w:hAnsi="微软雅黑" w:eastAsia="微软雅黑" w:cs="微软雅黑"/>
          <w:color w:val="auto"/>
          <w:sz w:val="24"/>
          <w:szCs w:val="24"/>
          <w:highlight w:val="none"/>
        </w:rPr>
        <w:t>)(以下简称银行)无条件地、不可撤销地具结保证本行、其继承人和受让人无追索地向贵方以(</w:t>
      </w:r>
      <w:r>
        <w:rPr>
          <w:rFonts w:hint="eastAsia" w:ascii="微软雅黑" w:hAnsi="微软雅黑" w:eastAsia="微软雅黑" w:cs="微软雅黑"/>
          <w:i/>
          <w:color w:val="auto"/>
          <w:sz w:val="24"/>
          <w:szCs w:val="24"/>
          <w:highlight w:val="none"/>
          <w:u w:val="single"/>
        </w:rPr>
        <w:t>货币名称</w:t>
      </w:r>
      <w:r>
        <w:rPr>
          <w:rFonts w:hint="eastAsia" w:ascii="微软雅黑" w:hAnsi="微软雅黑" w:eastAsia="微软雅黑" w:cs="微软雅黑"/>
          <w:color w:val="auto"/>
          <w:sz w:val="24"/>
          <w:szCs w:val="24"/>
          <w:highlight w:val="none"/>
        </w:rPr>
        <w:t>)支付总额不超过(</w:t>
      </w:r>
      <w:r>
        <w:rPr>
          <w:rFonts w:hint="eastAsia" w:ascii="微软雅黑" w:hAnsi="微软雅黑" w:eastAsia="微软雅黑" w:cs="微软雅黑"/>
          <w:i/>
          <w:color w:val="auto"/>
          <w:sz w:val="24"/>
          <w:szCs w:val="24"/>
          <w:highlight w:val="none"/>
          <w:u w:val="single"/>
        </w:rPr>
        <w:t>货币数量</w:t>
      </w:r>
      <w:r>
        <w:rPr>
          <w:rFonts w:hint="eastAsia" w:ascii="微软雅黑" w:hAnsi="微软雅黑" w:eastAsia="微软雅黑" w:cs="微软雅黑"/>
          <w:color w:val="auto"/>
          <w:sz w:val="24"/>
          <w:szCs w:val="24"/>
          <w:highlight w:val="none"/>
        </w:rPr>
        <w:t>),即相当于合同价格的</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%,并以此约定如下:</w:t>
      </w:r>
    </w:p>
    <w:p>
      <w:pPr>
        <w:pStyle w:val="14"/>
        <w:spacing w:line="440" w:lineRule="exact"/>
        <w:ind w:left="540" w:leftChars="257"/>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1.只要贵方确定卖方未能忠实地履行所有合同文件的规定和双方此后一致 同意的修改、补充和变动,包括更改和/或修补贵方认为有缺陷的货物(以下简称违约),无论卖方有任何反对,本行将凭贵方关于卖方违约说明的书面通知,立即按贵方提出的累计总额不超过上述金额的款项和按贵方通知规定的方式付给贵方。</w:t>
      </w:r>
    </w:p>
    <w:p>
      <w:pPr>
        <w:pStyle w:val="14"/>
        <w:spacing w:line="440" w:lineRule="exact"/>
        <w:ind w:left="54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2.本保函项下的任何支付应为免税和净值。对于现有或将来的税收、关税、收费、费用扣减或预提税款，不论这些款项是何种性质和由谁征收，都不应从本保函项下的支付中扣除。</w:t>
      </w:r>
    </w:p>
    <w:p>
      <w:pPr>
        <w:pStyle w:val="14"/>
        <w:spacing w:line="440" w:lineRule="exact"/>
        <w:ind w:left="54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4"/>
        <w:spacing w:line="440" w:lineRule="exact"/>
        <w:ind w:left="1080" w:leftChars="257" w:hanging="54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4.本保函在本合同规定的保证期期满前完全有效。</w:t>
      </w:r>
    </w:p>
    <w:p>
      <w:pPr>
        <w:pStyle w:val="14"/>
        <w:spacing w:line="440" w:lineRule="exact"/>
        <w:ind w:left="1080" w:leftChars="257" w:hanging="54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谨启</w:t>
      </w:r>
    </w:p>
    <w:p>
      <w:pPr>
        <w:pStyle w:val="14"/>
        <w:spacing w:line="440" w:lineRule="exact"/>
        <w:ind w:left="1080" w:leftChars="257" w:hanging="54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出具保函银行名称：</w:t>
      </w:r>
      <w:r>
        <w:rPr>
          <w:rFonts w:hint="eastAsia" w:ascii="微软雅黑" w:hAnsi="微软雅黑" w:eastAsia="微软雅黑" w:cs="微软雅黑"/>
          <w:color w:val="auto"/>
          <w:sz w:val="24"/>
          <w:szCs w:val="24"/>
          <w:highlight w:val="none"/>
          <w:u w:val="single"/>
        </w:rPr>
        <w:t xml:space="preserve">                             </w:t>
      </w:r>
    </w:p>
    <w:p>
      <w:pPr>
        <w:pStyle w:val="14"/>
        <w:spacing w:line="440" w:lineRule="exact"/>
        <w:ind w:left="1080" w:leftChars="257" w:hanging="540"/>
        <w:rPr>
          <w:rFonts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签字人姓名和职务：</w:t>
      </w:r>
      <w:r>
        <w:rPr>
          <w:rFonts w:hint="eastAsia" w:ascii="微软雅黑" w:hAnsi="微软雅黑" w:eastAsia="微软雅黑" w:cs="微软雅黑"/>
          <w:color w:val="auto"/>
          <w:sz w:val="24"/>
          <w:szCs w:val="24"/>
          <w:highlight w:val="none"/>
          <w:u w:val="single"/>
        </w:rPr>
        <w:t xml:space="preserve">                             </w:t>
      </w:r>
    </w:p>
    <w:p>
      <w:pPr>
        <w:pStyle w:val="14"/>
        <w:spacing w:line="440" w:lineRule="exact"/>
        <w:ind w:left="1080" w:leftChars="257" w:hanging="54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签字人签名：</w:t>
      </w:r>
      <w:r>
        <w:rPr>
          <w:rFonts w:hint="eastAsia" w:ascii="微软雅黑" w:hAnsi="微软雅黑" w:eastAsia="微软雅黑" w:cs="微软雅黑"/>
          <w:color w:val="auto"/>
          <w:sz w:val="24"/>
          <w:szCs w:val="24"/>
          <w:highlight w:val="none"/>
          <w:u w:val="single"/>
        </w:rPr>
        <w:t xml:space="preserve">                                   </w:t>
      </w:r>
    </w:p>
    <w:p>
      <w:pPr>
        <w:pStyle w:val="14"/>
        <w:spacing w:line="440" w:lineRule="exact"/>
        <w:ind w:left="1080" w:leftChars="257" w:hanging="540"/>
        <w:rPr>
          <w:rFonts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公章：</w:t>
      </w:r>
      <w:r>
        <w:rPr>
          <w:rFonts w:hint="eastAsia" w:ascii="微软雅黑" w:hAnsi="微软雅黑" w:eastAsia="微软雅黑" w:cs="微软雅黑"/>
          <w:color w:val="auto"/>
          <w:sz w:val="24"/>
          <w:szCs w:val="24"/>
          <w:highlight w:val="none"/>
          <w:u w:val="single"/>
        </w:rPr>
        <w:t xml:space="preserve">                                         </w:t>
      </w:r>
    </w:p>
    <w:p>
      <w:pPr>
        <w:pStyle w:val="4"/>
        <w:spacing w:before="0" w:line="440" w:lineRule="exact"/>
        <w:ind w:left="1080" w:leftChars="257" w:hanging="54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br w:type="page"/>
      </w:r>
      <w:bookmarkStart w:id="231" w:name="_Toc515647800"/>
      <w:bookmarkStart w:id="232" w:name="_Toc6548"/>
      <w:bookmarkStart w:id="233" w:name="_Toc10951"/>
      <w:bookmarkStart w:id="234" w:name="_Toc25280"/>
      <w:bookmarkStart w:id="235" w:name="_Toc218"/>
      <w:bookmarkStart w:id="236" w:name="_Toc7938"/>
      <w:bookmarkStart w:id="237" w:name="_Toc30821"/>
      <w:bookmarkStart w:id="238" w:name="_Toc32401"/>
      <w:r>
        <w:rPr>
          <w:rFonts w:hint="eastAsia" w:ascii="微软雅黑" w:hAnsi="微软雅黑" w:eastAsia="微软雅黑" w:cs="微软雅黑"/>
          <w:color w:val="auto"/>
          <w:sz w:val="24"/>
          <w:szCs w:val="24"/>
          <w:highlight w:val="none"/>
        </w:rPr>
        <w:t>附件2：履约担保函格式</w:t>
      </w:r>
      <w:bookmarkEnd w:id="231"/>
      <w:bookmarkEnd w:id="232"/>
      <w:bookmarkEnd w:id="233"/>
      <w:r>
        <w:rPr>
          <w:rFonts w:hint="eastAsia" w:ascii="微软雅黑" w:hAnsi="微软雅黑" w:eastAsia="微软雅黑" w:cs="微软雅黑"/>
          <w:color w:val="auto"/>
          <w:sz w:val="24"/>
          <w:szCs w:val="24"/>
          <w:highlight w:val="none"/>
        </w:rPr>
        <w:t xml:space="preserve"> 本项目不适用</w:t>
      </w:r>
      <w:bookmarkEnd w:id="234"/>
      <w:bookmarkEnd w:id="235"/>
      <w:bookmarkEnd w:id="236"/>
      <w:bookmarkEnd w:id="237"/>
      <w:bookmarkEnd w:id="238"/>
      <w:bookmarkStart w:id="239" w:name="_Toc11129"/>
      <w:bookmarkStart w:id="240" w:name="_Toc515647801"/>
      <w:bookmarkStart w:id="241" w:name="_Toc162"/>
      <w:bookmarkStart w:id="242" w:name="_Toc10315"/>
      <w:bookmarkStart w:id="243" w:name="_Toc23195"/>
      <w:bookmarkStart w:id="244" w:name="_Toc13962"/>
      <w:bookmarkStart w:id="245" w:name="_Toc22578"/>
      <w:bookmarkStart w:id="246" w:name="_Toc15824"/>
    </w:p>
    <w:p>
      <w:pPr>
        <w:pStyle w:val="4"/>
        <w:spacing w:before="0" w:line="440" w:lineRule="exact"/>
        <w:ind w:left="1080" w:leftChars="257" w:hanging="540"/>
        <w:rPr>
          <w:rFonts w:ascii="微软雅黑" w:hAnsi="微软雅黑" w:eastAsia="微软雅黑" w:cs="微软雅黑"/>
          <w:b/>
          <w:color w:val="auto"/>
          <w:sz w:val="24"/>
          <w:szCs w:val="24"/>
          <w:highlight w:val="none"/>
        </w:rPr>
      </w:pPr>
      <w:r>
        <w:rPr>
          <w:rFonts w:hint="eastAsia" w:ascii="微软雅黑" w:hAnsi="微软雅黑" w:eastAsia="微软雅黑" w:cs="微软雅黑"/>
          <w:color w:val="auto"/>
          <w:sz w:val="24"/>
          <w:szCs w:val="24"/>
          <w:highlight w:val="none"/>
        </w:rPr>
        <w:t>（采用政府采购信用担保形式时使用）</w:t>
      </w:r>
      <w:bookmarkEnd w:id="239"/>
      <w:bookmarkEnd w:id="240"/>
      <w:bookmarkEnd w:id="241"/>
      <w:bookmarkEnd w:id="242"/>
      <w:bookmarkEnd w:id="243"/>
      <w:bookmarkEnd w:id="244"/>
      <w:bookmarkEnd w:id="245"/>
      <w:bookmarkEnd w:id="246"/>
    </w:p>
    <w:p>
      <w:pPr>
        <w:spacing w:line="44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政府采购履约担保函（项目用）</w:t>
      </w:r>
    </w:p>
    <w:p>
      <w:pPr>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编号：</w:t>
      </w:r>
    </w:p>
    <w:p>
      <w:pPr>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（采购人）：</w:t>
      </w:r>
    </w:p>
    <w:p>
      <w:pPr>
        <w:spacing w:line="440" w:lineRule="exact"/>
        <w:ind w:firstLine="480" w:firstLineChars="200"/>
        <w:rPr>
          <w:rFonts w:ascii="微软雅黑" w:hAnsi="微软雅黑" w:eastAsia="微软雅黑" w:cs="微软雅黑"/>
          <w:color w:val="auto"/>
          <w:sz w:val="24"/>
          <w:highlight w:val="none"/>
        </w:rPr>
      </w:pP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鉴于你方与</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（以下简称供应商）于</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年</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月</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日签定编号为   的《</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政府采购合同》（以下简称主合同），且依据该合同的约定，供应商应在</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年</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月</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日前向你方交纳履约保证金，且可以履约担保函的形式交纳履约保证金。应供应商的申请，我方以保证的方式向你方提供如下履约保证金担保：</w:t>
      </w:r>
    </w:p>
    <w:p>
      <w:pPr>
        <w:spacing w:line="440" w:lineRule="exact"/>
        <w:ind w:firstLine="480" w:firstLineChars="200"/>
        <w:outlineLvl w:val="0"/>
        <w:rPr>
          <w:rFonts w:ascii="微软雅黑" w:hAnsi="微软雅黑" w:eastAsia="微软雅黑" w:cs="微软雅黑"/>
          <w:color w:val="auto"/>
          <w:sz w:val="24"/>
          <w:highlight w:val="none"/>
        </w:rPr>
      </w:pPr>
      <w:bookmarkStart w:id="247" w:name="_Toc30096"/>
      <w:bookmarkStart w:id="248" w:name="_Toc3247"/>
      <w:bookmarkStart w:id="249" w:name="_Toc32218"/>
      <w:bookmarkStart w:id="250" w:name="_Toc25371"/>
      <w:r>
        <w:rPr>
          <w:rFonts w:hint="eastAsia" w:ascii="微软雅黑" w:hAnsi="微软雅黑" w:eastAsia="微软雅黑" w:cs="微软雅黑"/>
          <w:color w:val="auto"/>
          <w:sz w:val="24"/>
          <w:highlight w:val="none"/>
        </w:rPr>
        <w:t>一、保证责任的情形及保证金额</w:t>
      </w:r>
      <w:bookmarkEnd w:id="247"/>
      <w:bookmarkEnd w:id="248"/>
      <w:bookmarkEnd w:id="249"/>
      <w:bookmarkEnd w:id="250"/>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（一）在供应商出现下列情形之一时，我方承担保证责任：</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1．将中标项目转让给他人，或者在投标文件中未说明，且未经采购招标机构人同意，将中标项目分包给他人的；</w:t>
      </w:r>
    </w:p>
    <w:p>
      <w:pPr>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2．主合同约定的应当缴纳履约保证金的情形: </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（1）未按主合同约定的质量、数量和期限供应货物/提供服务/完成工程的；</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（二）我方的保证范围是主合同约定的合同价款总额的</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%数额为</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元（大写</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），币种为</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。（即主合同履约保证金金额）</w:t>
      </w:r>
    </w:p>
    <w:p>
      <w:pPr>
        <w:spacing w:line="440" w:lineRule="exact"/>
        <w:ind w:firstLine="480" w:firstLineChars="200"/>
        <w:outlineLvl w:val="0"/>
        <w:rPr>
          <w:rFonts w:ascii="微软雅黑" w:hAnsi="微软雅黑" w:eastAsia="微软雅黑" w:cs="微软雅黑"/>
          <w:color w:val="auto"/>
          <w:sz w:val="24"/>
          <w:highlight w:val="none"/>
        </w:rPr>
      </w:pPr>
      <w:bookmarkStart w:id="251" w:name="_Toc2714"/>
      <w:bookmarkStart w:id="252" w:name="_Toc13003"/>
      <w:bookmarkStart w:id="253" w:name="_Toc8329"/>
      <w:bookmarkStart w:id="254" w:name="_Toc11625"/>
      <w:r>
        <w:rPr>
          <w:rFonts w:hint="eastAsia" w:ascii="微软雅黑" w:hAnsi="微软雅黑" w:eastAsia="微软雅黑" w:cs="微软雅黑"/>
          <w:color w:val="auto"/>
          <w:sz w:val="24"/>
          <w:highlight w:val="none"/>
        </w:rPr>
        <w:t>二、保证的方式及保证期间</w:t>
      </w:r>
      <w:bookmarkEnd w:id="251"/>
      <w:bookmarkEnd w:id="252"/>
      <w:bookmarkEnd w:id="253"/>
      <w:bookmarkEnd w:id="254"/>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我方保证的方式为：连带责任保证。</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我方保证的期间为：自本合同生效之日起至供应商按照主合同约定的供货/完工期限届满后</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日内。</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如果供应商未按主合同约定向贵方供应货物/提供服务/完成工程的，由我方在保证金额内向你方支付上述款项。</w:t>
      </w:r>
    </w:p>
    <w:p>
      <w:pPr>
        <w:spacing w:line="440" w:lineRule="exact"/>
        <w:ind w:firstLine="480" w:firstLineChars="200"/>
        <w:outlineLvl w:val="0"/>
        <w:rPr>
          <w:rFonts w:ascii="微软雅黑" w:hAnsi="微软雅黑" w:eastAsia="微软雅黑" w:cs="微软雅黑"/>
          <w:color w:val="auto"/>
          <w:sz w:val="24"/>
          <w:highlight w:val="none"/>
        </w:rPr>
      </w:pPr>
      <w:bookmarkStart w:id="255" w:name="_Toc27427"/>
      <w:bookmarkStart w:id="256" w:name="_Toc7341"/>
      <w:bookmarkStart w:id="257" w:name="_Toc25720"/>
      <w:bookmarkStart w:id="258" w:name="_Toc10132"/>
      <w:r>
        <w:rPr>
          <w:rFonts w:hint="eastAsia" w:ascii="微软雅黑" w:hAnsi="微软雅黑" w:eastAsia="微软雅黑" w:cs="微软雅黑"/>
          <w:color w:val="auto"/>
          <w:sz w:val="24"/>
          <w:highlight w:val="none"/>
        </w:rPr>
        <w:t>三、承担保证责任的程序</w:t>
      </w:r>
      <w:bookmarkEnd w:id="255"/>
      <w:bookmarkEnd w:id="256"/>
      <w:bookmarkEnd w:id="257"/>
      <w:bookmarkEnd w:id="258"/>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1．你方要求我方承担保证责任的，应在本保函保证期间内向我方发出书面索赔通知。索赔通知应写明要求索赔的金额，支付款项应到达的帐号。并附有证明供应商违约事实的证明材料。</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如果你方与供应商因货物质量问题产生争议，你方还需同时提供</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部门出具的质量检测报告，或经诉讼（仲裁）程序裁决后的裁决书、调解书，本保证人即按照检测结果或裁决书、调解书决定是否承担保证责任。</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 我方收到你方的书面索赔通知及相应证明材料，在</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工作日内进行核定后按照本保函的承诺承担保证责任。</w:t>
      </w:r>
    </w:p>
    <w:p>
      <w:pPr>
        <w:spacing w:line="440" w:lineRule="exact"/>
        <w:ind w:firstLine="480" w:firstLineChars="200"/>
        <w:outlineLvl w:val="0"/>
        <w:rPr>
          <w:rFonts w:ascii="微软雅黑" w:hAnsi="微软雅黑" w:eastAsia="微软雅黑" w:cs="微软雅黑"/>
          <w:color w:val="auto"/>
          <w:sz w:val="24"/>
          <w:highlight w:val="none"/>
        </w:rPr>
      </w:pPr>
      <w:bookmarkStart w:id="259" w:name="_Toc4574"/>
      <w:bookmarkStart w:id="260" w:name="_Toc8026"/>
      <w:bookmarkStart w:id="261" w:name="_Toc3818"/>
      <w:bookmarkStart w:id="262" w:name="_Toc15833"/>
      <w:r>
        <w:rPr>
          <w:rFonts w:hint="eastAsia" w:ascii="微软雅黑" w:hAnsi="微软雅黑" w:eastAsia="微软雅黑" w:cs="微软雅黑"/>
          <w:color w:val="auto"/>
          <w:sz w:val="24"/>
          <w:highlight w:val="none"/>
        </w:rPr>
        <w:t>四、保证责任的终止</w:t>
      </w:r>
      <w:bookmarkEnd w:id="259"/>
      <w:bookmarkEnd w:id="260"/>
      <w:bookmarkEnd w:id="261"/>
      <w:bookmarkEnd w:id="262"/>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2．我方按照本保函向你方履行了保证责任后，自我方向你方支付款项（支付款项从我方账户划出）之日起，保证责任即终止。</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3．按照法律法规的规定或出现应终止我方保证责任的其它情形的，我方在本保函项下的保证责任亦终止。</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line="440" w:lineRule="exact"/>
        <w:ind w:firstLine="480" w:firstLineChars="200"/>
        <w:outlineLvl w:val="0"/>
        <w:rPr>
          <w:rFonts w:ascii="微软雅黑" w:hAnsi="微软雅黑" w:eastAsia="微软雅黑" w:cs="微软雅黑"/>
          <w:color w:val="auto"/>
          <w:sz w:val="24"/>
          <w:highlight w:val="none"/>
        </w:rPr>
      </w:pPr>
      <w:bookmarkStart w:id="263" w:name="_Toc6003"/>
      <w:bookmarkStart w:id="264" w:name="_Toc11285"/>
      <w:bookmarkStart w:id="265" w:name="_Toc3766"/>
      <w:bookmarkStart w:id="266" w:name="_Toc20173"/>
      <w:r>
        <w:rPr>
          <w:rFonts w:hint="eastAsia" w:ascii="微软雅黑" w:hAnsi="微软雅黑" w:eastAsia="微软雅黑" w:cs="微软雅黑"/>
          <w:color w:val="auto"/>
          <w:sz w:val="24"/>
          <w:highlight w:val="none"/>
        </w:rPr>
        <w:t>五、免责条款</w:t>
      </w:r>
      <w:bookmarkEnd w:id="263"/>
      <w:bookmarkEnd w:id="264"/>
      <w:bookmarkEnd w:id="265"/>
      <w:bookmarkEnd w:id="266"/>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1．因你方违反主合同约定致使供应商不能履行义务的，我方不承担保证责任。</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2．依照法律法规的规定或你方与供应商的另行约定，全部或者部分免除供应商应缴纳的保证金义务的，我方亦免除相应的保证责任。</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3．因不可抗力造成供应商不能履行供货义务的，我方不承担保证责任。</w:t>
      </w:r>
    </w:p>
    <w:p>
      <w:pPr>
        <w:spacing w:line="440" w:lineRule="exact"/>
        <w:ind w:firstLine="480" w:firstLineChars="200"/>
        <w:outlineLvl w:val="0"/>
        <w:rPr>
          <w:rFonts w:ascii="微软雅黑" w:hAnsi="微软雅黑" w:eastAsia="微软雅黑" w:cs="微软雅黑"/>
          <w:color w:val="auto"/>
          <w:sz w:val="24"/>
          <w:highlight w:val="none"/>
        </w:rPr>
      </w:pPr>
      <w:bookmarkStart w:id="267" w:name="_Toc3926"/>
      <w:bookmarkStart w:id="268" w:name="_Toc11837"/>
      <w:bookmarkStart w:id="269" w:name="_Toc21003"/>
      <w:bookmarkStart w:id="270" w:name="_Toc15993"/>
      <w:r>
        <w:rPr>
          <w:rFonts w:hint="eastAsia" w:ascii="微软雅黑" w:hAnsi="微软雅黑" w:eastAsia="微软雅黑" w:cs="微软雅黑"/>
          <w:color w:val="auto"/>
          <w:sz w:val="24"/>
          <w:highlight w:val="none"/>
        </w:rPr>
        <w:t>六、争议的解决</w:t>
      </w:r>
      <w:bookmarkEnd w:id="267"/>
      <w:bookmarkEnd w:id="268"/>
      <w:bookmarkEnd w:id="269"/>
      <w:bookmarkEnd w:id="270"/>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因本保函发生的纠纷，由你我双方协商解决，协商不成的，通过诉讼程序解决，诉讼管辖地法院为</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法院。</w:t>
      </w:r>
    </w:p>
    <w:p>
      <w:pPr>
        <w:spacing w:line="440" w:lineRule="exact"/>
        <w:ind w:firstLine="480" w:firstLineChars="200"/>
        <w:outlineLvl w:val="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七、保函的生效</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本保函自我方加盖公章之日起生效。</w:t>
      </w:r>
    </w:p>
    <w:p>
      <w:pPr>
        <w:spacing w:line="440" w:lineRule="exact"/>
        <w:jc w:val="righ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保证人：（公章）</w:t>
      </w:r>
    </w:p>
    <w:p>
      <w:pPr>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年     月      日</w:t>
      </w:r>
    </w:p>
    <w:p>
      <w:pPr>
        <w:pStyle w:val="7"/>
        <w:rPr>
          <w:rFonts w:ascii="宋体" w:hAnsi="宋体" w:cs="宋体"/>
          <w:color w:val="auto"/>
          <w:sz w:val="21"/>
          <w:szCs w:val="21"/>
          <w:highlight w:val="none"/>
        </w:rPr>
      </w:pPr>
    </w:p>
    <w:p>
      <w:pPr>
        <w:pStyle w:val="7"/>
        <w:rPr>
          <w:color w:val="auto"/>
          <w:highlight w:val="none"/>
        </w:rPr>
      </w:pPr>
    </w:p>
    <w:p>
      <w:pPr>
        <w:pStyle w:val="3"/>
        <w:spacing w:before="0" w:after="0" w:line="240" w:lineRule="atLeast"/>
        <w:rPr>
          <w:rFonts w:ascii="微软雅黑" w:hAnsi="微软雅黑" w:eastAsia="微软雅黑" w:cs="微软雅黑"/>
          <w:color w:val="auto"/>
          <w:sz w:val="24"/>
          <w:szCs w:val="24"/>
          <w:highlight w:val="none"/>
        </w:rPr>
      </w:pPr>
      <w:bookmarkStart w:id="271" w:name="_Toc216582812"/>
      <w:bookmarkStart w:id="272" w:name="_Toc728"/>
      <w:bookmarkStart w:id="273" w:name="_Toc29770"/>
      <w:bookmarkStart w:id="274" w:name="_Toc515647802"/>
      <w:bookmarkStart w:id="275" w:name="_Toc10401"/>
      <w:bookmarkStart w:id="276" w:name="_Toc702"/>
      <w:bookmarkStart w:id="277" w:name="_Toc22572"/>
      <w:bookmarkStart w:id="278" w:name="_Toc13130"/>
      <w:bookmarkStart w:id="279" w:name="_Toc18694"/>
      <w:bookmarkStart w:id="280" w:name="_Toc515647803"/>
      <w:bookmarkStart w:id="281" w:name="_Toc18974"/>
      <w:bookmarkStart w:id="282" w:name="_Toc19768"/>
      <w:bookmarkStart w:id="283" w:name="_Toc2369"/>
      <w:bookmarkStart w:id="284" w:name="_Toc11366"/>
      <w:bookmarkStart w:id="285" w:name="_Toc20963"/>
      <w:r>
        <w:rPr>
          <w:rFonts w:hint="eastAsia" w:ascii="微软雅黑" w:hAnsi="微软雅黑" w:eastAsia="微软雅黑" w:cs="微软雅黑"/>
          <w:color w:val="auto"/>
          <w:sz w:val="24"/>
          <w:szCs w:val="24"/>
          <w:highlight w:val="none"/>
        </w:rPr>
        <w:t>第2章   投标文件格式</w:t>
      </w:r>
      <w:bookmarkEnd w:id="271"/>
      <w:bookmarkEnd w:id="272"/>
      <w:bookmarkEnd w:id="273"/>
      <w:bookmarkEnd w:id="274"/>
      <w:bookmarkEnd w:id="275"/>
      <w:bookmarkEnd w:id="276"/>
    </w:p>
    <w:p>
      <w:pPr>
        <w:pStyle w:val="4"/>
        <w:spacing w:before="0" w:line="240" w:lineRule="atLeast"/>
        <w:ind w:left="1080" w:leftChars="257" w:hanging="54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第一部分 开标一览表及资格证明文件</w:t>
      </w:r>
      <w:bookmarkEnd w:id="277"/>
      <w:bookmarkEnd w:id="278"/>
      <w:bookmarkEnd w:id="279"/>
      <w:bookmarkEnd w:id="280"/>
      <w:bookmarkEnd w:id="281"/>
    </w:p>
    <w:p>
      <w:pPr>
        <w:tabs>
          <w:tab w:val="left" w:pos="5580"/>
        </w:tabs>
        <w:spacing w:line="400" w:lineRule="exact"/>
        <w:ind w:firstLine="48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1、开标一览表;</w:t>
      </w:r>
    </w:p>
    <w:p>
      <w:pPr>
        <w:pStyle w:val="7"/>
        <w:spacing w:line="400" w:lineRule="exact"/>
        <w:ind w:left="479" w:leftChars="228"/>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2、法人、非法人组织或者自然人资格证明文件；（加盖公章）</w:t>
      </w:r>
    </w:p>
    <w:p>
      <w:pPr>
        <w:pStyle w:val="7"/>
        <w:spacing w:line="400" w:lineRule="exact"/>
        <w:ind w:left="479" w:leftChars="228"/>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3、授权委托人投标的需提供法人（负责人）代表资格证明书及授权委托书、被授权人身份证；法定代表人（负责人）投标的需提供法人（负责人）代表资格证明书及法人（负责人）身份证；授权委托人需提供本人在本单位近三个月单位社保缴费凭证和个人明细表；（加盖公章）</w:t>
      </w:r>
    </w:p>
    <w:p>
      <w:pPr>
        <w:pStyle w:val="7"/>
        <w:spacing w:line="400" w:lineRule="exact"/>
        <w:ind w:left="479" w:leftChars="228"/>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4、2020年度财务审计报告（（新公司或其他组织和自然人提供银行出具的资信证明））（加盖公章）；</w:t>
      </w:r>
    </w:p>
    <w:p>
      <w:pPr>
        <w:pStyle w:val="7"/>
        <w:spacing w:line="400" w:lineRule="exact"/>
        <w:ind w:left="479" w:leftChars="228"/>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5、未被“信用中国”（www.creditchina.gov.cn）列入失信被执行人和重大税收违法案件当事人名单，未被“中国政府采购网”（www.ccgp.gov.cn） 列入政府采购严重违法失信行为记录名单，未在财政部门或行业主管部门禁止参加政府采购活动时间及地域范围内（相关查询截图加盖公章）；</w:t>
      </w:r>
    </w:p>
    <w:p>
      <w:pPr>
        <w:pStyle w:val="7"/>
        <w:spacing w:line="400" w:lineRule="exact"/>
        <w:ind w:left="479" w:leftChars="228"/>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6、提供本单位在参加政府采购活动中前三年内无重大违法记录的承诺书（加盖公章）；</w:t>
      </w:r>
    </w:p>
    <w:p>
      <w:pPr>
        <w:pStyle w:val="7"/>
        <w:spacing w:line="400" w:lineRule="exact"/>
        <w:ind w:firstLine="480" w:firstLineChars="20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7、提供针对本次采购项目《反商业贿赂承诺书》（加盖公章）；</w:t>
      </w:r>
    </w:p>
    <w:p>
      <w:pPr>
        <w:pStyle w:val="7"/>
        <w:spacing w:line="400" w:lineRule="exact"/>
        <w:ind w:firstLine="480" w:firstLineChars="20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8、提供税务部门出具的近三个月的完税证明（或申报记录）（加盖公章）；</w:t>
      </w:r>
    </w:p>
    <w:p>
      <w:pPr>
        <w:pStyle w:val="7"/>
        <w:spacing w:line="400" w:lineRule="exact"/>
        <w:ind w:firstLine="480" w:firstLineChars="20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9、缴纳投标保证金收据及银行转账/电汇回执单复印件（加盖公章）；</w:t>
      </w:r>
    </w:p>
    <w:p>
      <w:pPr>
        <w:pStyle w:val="7"/>
        <w:spacing w:line="400" w:lineRule="exact"/>
        <w:ind w:firstLine="480" w:firstLineChars="20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10、提供有利于投标的其他证明材料。</w:t>
      </w:r>
    </w:p>
    <w:p>
      <w:pPr>
        <w:pStyle w:val="7"/>
        <w:rPr>
          <w:rFonts w:ascii="微软雅黑" w:hAnsi="微软雅黑" w:eastAsia="微软雅黑" w:cs="微软雅黑"/>
          <w:color w:val="auto"/>
          <w:highlight w:val="none"/>
        </w:rPr>
      </w:pPr>
    </w:p>
    <w:p>
      <w:pPr>
        <w:pStyle w:val="2"/>
        <w:rPr>
          <w:rFonts w:ascii="微软雅黑" w:hAnsi="微软雅黑" w:eastAsia="微软雅黑" w:cs="微软雅黑"/>
          <w:color w:val="auto"/>
          <w:szCs w:val="24"/>
          <w:highlight w:val="none"/>
        </w:rPr>
      </w:pPr>
    </w:p>
    <w:p>
      <w:pPr>
        <w:pStyle w:val="2"/>
        <w:rPr>
          <w:rFonts w:hAnsi="宋体" w:cs="宋体"/>
          <w:color w:val="auto"/>
          <w:sz w:val="21"/>
          <w:szCs w:val="21"/>
          <w:highlight w:val="none"/>
        </w:rPr>
      </w:pPr>
    </w:p>
    <w:p>
      <w:pPr>
        <w:pStyle w:val="2"/>
        <w:rPr>
          <w:rFonts w:hAnsi="宋体" w:cs="宋体"/>
          <w:color w:val="auto"/>
          <w:sz w:val="21"/>
          <w:szCs w:val="21"/>
          <w:highlight w:val="none"/>
        </w:rPr>
      </w:pPr>
    </w:p>
    <w:p>
      <w:pPr>
        <w:pStyle w:val="2"/>
        <w:rPr>
          <w:rFonts w:hAnsi="宋体" w:cs="宋体"/>
          <w:color w:val="auto"/>
          <w:sz w:val="21"/>
          <w:szCs w:val="21"/>
          <w:highlight w:val="none"/>
        </w:rPr>
      </w:pPr>
    </w:p>
    <w:p>
      <w:pPr>
        <w:pStyle w:val="2"/>
        <w:rPr>
          <w:rFonts w:hAnsi="宋体" w:cs="宋体"/>
          <w:color w:val="auto"/>
          <w:sz w:val="21"/>
          <w:szCs w:val="21"/>
          <w:highlight w:val="none"/>
        </w:rPr>
      </w:pPr>
    </w:p>
    <w:p>
      <w:pPr>
        <w:rPr>
          <w:rFonts w:ascii="宋体" w:hAnsi="宋体" w:cs="宋体"/>
          <w:color w:val="auto"/>
          <w:szCs w:val="21"/>
          <w:highlight w:val="none"/>
        </w:rPr>
      </w:pPr>
      <w:r>
        <w:rPr>
          <w:rFonts w:hint="eastAsia" w:ascii="宋体" w:hAnsi="宋体" w:cs="宋体"/>
          <w:color w:val="auto"/>
          <w:szCs w:val="21"/>
          <w:highlight w:val="none"/>
        </w:rPr>
        <w:br w:type="page"/>
      </w:r>
    </w:p>
    <w:p>
      <w:pPr>
        <w:rPr>
          <w:color w:val="auto"/>
          <w:highlight w:val="none"/>
        </w:rPr>
      </w:pPr>
    </w:p>
    <w:bookmarkEnd w:id="282"/>
    <w:bookmarkEnd w:id="283"/>
    <w:bookmarkEnd w:id="284"/>
    <w:bookmarkEnd w:id="285"/>
    <w:p>
      <w:pPr>
        <w:pStyle w:val="4"/>
        <w:spacing w:before="0" w:line="240" w:lineRule="atLeast"/>
        <w:ind w:left="1080" w:leftChars="257" w:hanging="540"/>
        <w:rPr>
          <w:rFonts w:ascii="微软雅黑" w:hAnsi="微软雅黑" w:eastAsia="微软雅黑" w:cs="微软雅黑"/>
          <w:b/>
          <w:bCs/>
          <w:color w:val="auto"/>
          <w:sz w:val="24"/>
          <w:szCs w:val="24"/>
          <w:highlight w:val="none"/>
        </w:rPr>
      </w:pPr>
      <w:bookmarkStart w:id="286" w:name="_Toc10957"/>
      <w:bookmarkStart w:id="287" w:name="_Toc30524"/>
      <w:bookmarkStart w:id="288" w:name="_Toc15286"/>
      <w:bookmarkStart w:id="289" w:name="_Toc515647804"/>
      <w:bookmarkStart w:id="290" w:name="_Toc16568"/>
      <w:r>
        <w:rPr>
          <w:rFonts w:hint="eastAsia" w:ascii="微软雅黑" w:hAnsi="微软雅黑" w:eastAsia="微软雅黑" w:cs="微软雅黑"/>
          <w:b/>
          <w:bCs/>
          <w:color w:val="auto"/>
          <w:sz w:val="24"/>
          <w:szCs w:val="24"/>
          <w:highlight w:val="none"/>
        </w:rPr>
        <w:t>1  开标一览表</w:t>
      </w:r>
      <w:bookmarkEnd w:id="286"/>
      <w:bookmarkEnd w:id="287"/>
      <w:bookmarkEnd w:id="288"/>
      <w:bookmarkEnd w:id="289"/>
      <w:bookmarkEnd w:id="290"/>
    </w:p>
    <w:p>
      <w:pPr>
        <w:pStyle w:val="2"/>
        <w:tabs>
          <w:tab w:val="left" w:pos="5580"/>
        </w:tabs>
        <w:spacing w:line="240" w:lineRule="atLeast"/>
        <w:ind w:left="1080" w:leftChars="257" w:hanging="540"/>
        <w:jc w:val="center"/>
        <w:rPr>
          <w:rFonts w:ascii="仿宋" w:hAnsi="仿宋" w:eastAsia="仿宋" w:cs="仿宋"/>
          <w:color w:val="auto"/>
          <w:highlight w:val="none"/>
        </w:rPr>
      </w:pPr>
      <w:bookmarkStart w:id="291" w:name="_Hlt520356241"/>
      <w:bookmarkEnd w:id="291"/>
      <w:bookmarkStart w:id="292" w:name="_Toc31862"/>
      <w:bookmarkStart w:id="293" w:name="_Toc520356217"/>
      <w:bookmarkStart w:id="294" w:name="_Toc216582813"/>
      <w:bookmarkStart w:id="295" w:name="_Ref467988698"/>
      <w:bookmarkStart w:id="296" w:name="_Toc480942349"/>
      <w:r>
        <w:rPr>
          <w:rFonts w:hint="eastAsia" w:ascii="微软雅黑" w:hAnsi="微软雅黑" w:eastAsia="微软雅黑" w:cs="微软雅黑"/>
          <w:b/>
          <w:color w:val="auto"/>
          <w:szCs w:val="24"/>
          <w:highlight w:val="none"/>
        </w:rPr>
        <w:t>开标一览表</w:t>
      </w:r>
    </w:p>
    <w:p>
      <w:pPr>
        <w:tabs>
          <w:tab w:val="left" w:pos="1800"/>
          <w:tab w:val="left" w:pos="5580"/>
        </w:tabs>
        <w:spacing w:line="400" w:lineRule="exact"/>
        <w:ind w:left="1080" w:leftChars="257" w:right="-867" w:rightChars="-413" w:hanging="54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项目名称：</w:t>
      </w:r>
    </w:p>
    <w:p>
      <w:pPr>
        <w:tabs>
          <w:tab w:val="left" w:pos="1800"/>
          <w:tab w:val="left" w:pos="5580"/>
        </w:tabs>
        <w:spacing w:line="400" w:lineRule="exact"/>
        <w:ind w:left="1080" w:leftChars="257" w:right="-867" w:rightChars="-413" w:hanging="54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项目编号：</w:t>
      </w:r>
    </w:p>
    <w:tbl>
      <w:tblPr>
        <w:tblStyle w:val="35"/>
        <w:tblW w:w="4998" w:type="pct"/>
        <w:tblInd w:w="0" w:type="dxa"/>
        <w:tblLayout w:type="fixed"/>
        <w:tblCellMar>
          <w:top w:w="0" w:type="dxa"/>
          <w:left w:w="108" w:type="dxa"/>
          <w:bottom w:w="0" w:type="dxa"/>
          <w:right w:w="108" w:type="dxa"/>
        </w:tblCellMar>
      </w:tblPr>
      <w:tblGrid>
        <w:gridCol w:w="881"/>
        <w:gridCol w:w="1540"/>
        <w:gridCol w:w="1482"/>
        <w:gridCol w:w="1130"/>
        <w:gridCol w:w="1200"/>
        <w:gridCol w:w="1298"/>
        <w:gridCol w:w="994"/>
      </w:tblGrid>
      <w:tr>
        <w:tblPrEx>
          <w:tblCellMar>
            <w:top w:w="0" w:type="dxa"/>
            <w:left w:w="108" w:type="dxa"/>
            <w:bottom w:w="0" w:type="dxa"/>
            <w:right w:w="108" w:type="dxa"/>
          </w:tblCellMar>
        </w:tblPrEx>
        <w:trPr>
          <w:trHeight w:val="330" w:hRule="atLeast"/>
        </w:trPr>
        <w:tc>
          <w:tcPr>
            <w:tcW w:w="516" w:type="pct"/>
            <w:vMerge w:val="restart"/>
            <w:tcBorders>
              <w:top w:val="double" w:color="000000" w:sz="4" w:space="0"/>
              <w:left w:val="double" w:color="000000" w:sz="4"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序号</w:t>
            </w:r>
          </w:p>
        </w:tc>
        <w:tc>
          <w:tcPr>
            <w:tcW w:w="903" w:type="pct"/>
            <w:vMerge w:val="restart"/>
            <w:tcBorders>
              <w:top w:val="double" w:color="000000"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物资名称</w:t>
            </w:r>
          </w:p>
        </w:tc>
        <w:tc>
          <w:tcPr>
            <w:tcW w:w="869" w:type="pct"/>
            <w:vMerge w:val="restart"/>
            <w:tcBorders>
              <w:top w:val="double" w:color="000000"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规格型号参数</w:t>
            </w:r>
          </w:p>
        </w:tc>
        <w:tc>
          <w:tcPr>
            <w:tcW w:w="663" w:type="pct"/>
            <w:vMerge w:val="restart"/>
            <w:tcBorders>
              <w:top w:val="double" w:color="000000" w:sz="4" w:space="0"/>
              <w:left w:val="single" w:color="000000" w:sz="8" w:space="0"/>
              <w:bottom w:val="single" w:color="000000" w:sz="8" w:space="0"/>
              <w:right w:val="double" w:color="000000" w:sz="4" w:space="0"/>
            </w:tcBorders>
            <w:shd w:val="clear" w:color="auto" w:fill="auto"/>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计量单位</w:t>
            </w:r>
          </w:p>
        </w:tc>
        <w:tc>
          <w:tcPr>
            <w:tcW w:w="704" w:type="pct"/>
            <w:vMerge w:val="restart"/>
            <w:tcBorders>
              <w:top w:val="double" w:color="000000" w:sz="4" w:space="0"/>
              <w:left w:val="single" w:color="000000" w:sz="8" w:space="0"/>
              <w:bottom w:val="single" w:color="000000" w:sz="8" w:space="0"/>
              <w:right w:val="double" w:color="000000" w:sz="4" w:space="0"/>
            </w:tcBorders>
            <w:shd w:val="clear" w:color="auto" w:fill="auto"/>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采购数量</w:t>
            </w:r>
          </w:p>
        </w:tc>
        <w:tc>
          <w:tcPr>
            <w:tcW w:w="761" w:type="pct"/>
            <w:vMerge w:val="restart"/>
            <w:tcBorders>
              <w:top w:val="double" w:color="000000" w:sz="4" w:space="0"/>
              <w:left w:val="single" w:color="000000" w:sz="8" w:space="0"/>
              <w:bottom w:val="single" w:color="000000" w:sz="8" w:space="0"/>
              <w:right w:val="double" w:color="000000" w:sz="4" w:space="0"/>
            </w:tcBorders>
            <w:shd w:val="clear" w:color="auto" w:fill="auto"/>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单价（元）</w:t>
            </w:r>
          </w:p>
        </w:tc>
        <w:tc>
          <w:tcPr>
            <w:tcW w:w="582" w:type="pct"/>
            <w:vMerge w:val="restart"/>
            <w:tcBorders>
              <w:top w:val="double" w:color="000000" w:sz="4" w:space="0"/>
              <w:left w:val="single" w:color="000000" w:sz="8" w:space="0"/>
              <w:bottom w:val="single" w:color="000000" w:sz="8" w:space="0"/>
              <w:right w:val="double" w:color="000000" w:sz="4" w:space="0"/>
            </w:tcBorders>
            <w:shd w:val="clear" w:color="auto" w:fill="auto"/>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合价（元）</w:t>
            </w:r>
          </w:p>
        </w:tc>
      </w:tr>
      <w:tr>
        <w:tblPrEx>
          <w:tblCellMar>
            <w:top w:w="0" w:type="dxa"/>
            <w:left w:w="108" w:type="dxa"/>
            <w:bottom w:w="0" w:type="dxa"/>
            <w:right w:w="108" w:type="dxa"/>
          </w:tblCellMar>
        </w:tblPrEx>
        <w:trPr>
          <w:trHeight w:val="300" w:hRule="atLeast"/>
        </w:trPr>
        <w:tc>
          <w:tcPr>
            <w:tcW w:w="516" w:type="pct"/>
            <w:vMerge w:val="continue"/>
            <w:tcBorders>
              <w:top w:val="double" w:color="000000" w:sz="4" w:space="0"/>
              <w:left w:val="double" w:color="000000" w:sz="4" w:space="0"/>
              <w:bottom w:val="single" w:color="000000" w:sz="8" w:space="0"/>
              <w:right w:val="single" w:color="000000" w:sz="8" w:space="0"/>
            </w:tcBorders>
            <w:shd w:val="clear" w:color="auto" w:fill="auto"/>
            <w:vAlign w:val="center"/>
          </w:tcPr>
          <w:p>
            <w:pPr>
              <w:jc w:val="center"/>
              <w:rPr>
                <w:rFonts w:ascii="黑体" w:hAnsi="宋体" w:eastAsia="黑体" w:cs="黑体"/>
                <w:color w:val="auto"/>
                <w:szCs w:val="21"/>
                <w:highlight w:val="none"/>
              </w:rPr>
            </w:pPr>
          </w:p>
        </w:tc>
        <w:tc>
          <w:tcPr>
            <w:tcW w:w="903" w:type="pct"/>
            <w:vMerge w:val="continue"/>
            <w:tcBorders>
              <w:top w:val="double" w:color="000000" w:sz="4"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color w:val="auto"/>
                <w:szCs w:val="21"/>
                <w:highlight w:val="none"/>
              </w:rPr>
            </w:pPr>
          </w:p>
        </w:tc>
        <w:tc>
          <w:tcPr>
            <w:tcW w:w="869" w:type="pct"/>
            <w:vMerge w:val="continue"/>
            <w:tcBorders>
              <w:top w:val="double" w:color="000000" w:sz="4"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color w:val="auto"/>
                <w:szCs w:val="21"/>
                <w:highlight w:val="none"/>
              </w:rPr>
            </w:pPr>
          </w:p>
        </w:tc>
        <w:tc>
          <w:tcPr>
            <w:tcW w:w="663" w:type="pct"/>
            <w:vMerge w:val="continue"/>
            <w:tcBorders>
              <w:top w:val="double" w:color="000000" w:sz="4" w:space="0"/>
              <w:left w:val="single" w:color="000000" w:sz="8" w:space="0"/>
              <w:bottom w:val="single" w:color="000000" w:sz="8" w:space="0"/>
              <w:right w:val="double" w:color="000000" w:sz="4" w:space="0"/>
            </w:tcBorders>
            <w:shd w:val="clear" w:color="auto" w:fill="auto"/>
            <w:vAlign w:val="center"/>
          </w:tcPr>
          <w:p>
            <w:pPr>
              <w:jc w:val="center"/>
              <w:rPr>
                <w:rFonts w:ascii="黑体" w:hAnsi="宋体" w:eastAsia="黑体" w:cs="黑体"/>
                <w:color w:val="auto"/>
                <w:szCs w:val="21"/>
                <w:highlight w:val="none"/>
              </w:rPr>
            </w:pPr>
          </w:p>
        </w:tc>
        <w:tc>
          <w:tcPr>
            <w:tcW w:w="704" w:type="pct"/>
            <w:vMerge w:val="continue"/>
            <w:tcBorders>
              <w:top w:val="double" w:color="000000" w:sz="4" w:space="0"/>
              <w:left w:val="single" w:color="000000" w:sz="8" w:space="0"/>
              <w:bottom w:val="single" w:color="000000" w:sz="8" w:space="0"/>
              <w:right w:val="double" w:color="000000" w:sz="4" w:space="0"/>
            </w:tcBorders>
            <w:shd w:val="clear" w:color="auto" w:fill="auto"/>
            <w:vAlign w:val="center"/>
          </w:tcPr>
          <w:p>
            <w:pPr>
              <w:jc w:val="center"/>
              <w:rPr>
                <w:rFonts w:ascii="黑体" w:hAnsi="宋体" w:eastAsia="黑体" w:cs="黑体"/>
                <w:color w:val="auto"/>
                <w:szCs w:val="21"/>
                <w:highlight w:val="none"/>
              </w:rPr>
            </w:pPr>
          </w:p>
        </w:tc>
        <w:tc>
          <w:tcPr>
            <w:tcW w:w="761" w:type="pct"/>
            <w:vMerge w:val="continue"/>
            <w:tcBorders>
              <w:top w:val="double" w:color="000000" w:sz="4" w:space="0"/>
              <w:left w:val="single" w:color="000000" w:sz="8" w:space="0"/>
              <w:bottom w:val="single" w:color="000000" w:sz="8" w:space="0"/>
              <w:right w:val="double" w:color="000000" w:sz="4" w:space="0"/>
            </w:tcBorders>
            <w:shd w:val="clear" w:color="auto" w:fill="auto"/>
            <w:vAlign w:val="center"/>
          </w:tcPr>
          <w:p>
            <w:pPr>
              <w:jc w:val="center"/>
              <w:rPr>
                <w:rFonts w:ascii="黑体" w:hAnsi="宋体" w:eastAsia="黑体" w:cs="黑体"/>
                <w:color w:val="auto"/>
                <w:szCs w:val="21"/>
                <w:highlight w:val="none"/>
              </w:rPr>
            </w:pPr>
          </w:p>
        </w:tc>
        <w:tc>
          <w:tcPr>
            <w:tcW w:w="582" w:type="pct"/>
            <w:vMerge w:val="continue"/>
            <w:tcBorders>
              <w:top w:val="double" w:color="000000" w:sz="4" w:space="0"/>
              <w:left w:val="single" w:color="000000" w:sz="8" w:space="0"/>
              <w:bottom w:val="single" w:color="000000" w:sz="8" w:space="0"/>
              <w:right w:val="double" w:color="000000" w:sz="4" w:space="0"/>
            </w:tcBorders>
            <w:shd w:val="clear" w:color="auto" w:fill="auto"/>
            <w:vAlign w:val="center"/>
          </w:tcPr>
          <w:p>
            <w:pPr>
              <w:jc w:val="center"/>
              <w:rPr>
                <w:rFonts w:ascii="黑体" w:hAnsi="宋体" w:eastAsia="黑体" w:cs="黑体"/>
                <w:color w:val="auto"/>
                <w:szCs w:val="21"/>
                <w:highlight w:val="none"/>
              </w:rPr>
            </w:pPr>
          </w:p>
        </w:tc>
      </w:tr>
      <w:tr>
        <w:tblPrEx>
          <w:tblCellMar>
            <w:top w:w="0" w:type="dxa"/>
            <w:left w:w="108" w:type="dxa"/>
            <w:bottom w:w="0" w:type="dxa"/>
            <w:right w:w="108" w:type="dxa"/>
          </w:tblCellMar>
        </w:tblPrEx>
        <w:trPr>
          <w:trHeight w:val="780" w:hRule="atLeast"/>
        </w:trPr>
        <w:tc>
          <w:tcPr>
            <w:tcW w:w="516" w:type="pct"/>
            <w:tcBorders>
              <w:top w:val="single" w:color="000000" w:sz="8" w:space="0"/>
              <w:left w:val="double" w:color="000000" w:sz="4"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1</w:t>
            </w:r>
          </w:p>
        </w:tc>
        <w:tc>
          <w:tcPr>
            <w:tcW w:w="90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乡村振兴管理平台</w:t>
            </w:r>
          </w:p>
        </w:tc>
        <w:tc>
          <w:tcPr>
            <w:tcW w:w="86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统一门户、大数据驾驶舱</w:t>
            </w:r>
          </w:p>
        </w:tc>
        <w:tc>
          <w:tcPr>
            <w:tcW w:w="66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套</w:t>
            </w:r>
          </w:p>
        </w:tc>
        <w:tc>
          <w:tcPr>
            <w:tcW w:w="70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1</w:t>
            </w:r>
          </w:p>
        </w:tc>
        <w:tc>
          <w:tcPr>
            <w:tcW w:w="7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color w:val="auto"/>
                <w:szCs w:val="21"/>
                <w:highlight w:val="none"/>
              </w:rPr>
            </w:pPr>
          </w:p>
        </w:tc>
        <w:tc>
          <w:tcPr>
            <w:tcW w:w="582" w:type="pct"/>
            <w:tcBorders>
              <w:top w:val="single" w:color="000000" w:sz="8" w:space="0"/>
              <w:left w:val="single" w:color="000000" w:sz="8" w:space="0"/>
              <w:bottom w:val="single" w:color="000000" w:sz="8" w:space="0"/>
              <w:right w:val="double" w:color="000000" w:sz="4" w:space="0"/>
            </w:tcBorders>
            <w:shd w:val="clear" w:color="auto" w:fill="auto"/>
            <w:vAlign w:val="center"/>
          </w:tcPr>
          <w:p>
            <w:pPr>
              <w:jc w:val="center"/>
              <w:rPr>
                <w:rFonts w:ascii="黑体" w:hAnsi="宋体" w:eastAsia="黑体" w:cs="黑体"/>
                <w:color w:val="auto"/>
                <w:szCs w:val="21"/>
                <w:highlight w:val="none"/>
              </w:rPr>
            </w:pPr>
          </w:p>
        </w:tc>
      </w:tr>
      <w:tr>
        <w:tblPrEx>
          <w:tblCellMar>
            <w:top w:w="0" w:type="dxa"/>
            <w:left w:w="108" w:type="dxa"/>
            <w:bottom w:w="0" w:type="dxa"/>
            <w:right w:w="108" w:type="dxa"/>
          </w:tblCellMar>
        </w:tblPrEx>
        <w:trPr>
          <w:trHeight w:val="90" w:hRule="atLeast"/>
        </w:trPr>
        <w:tc>
          <w:tcPr>
            <w:tcW w:w="516" w:type="pct"/>
            <w:tcBorders>
              <w:top w:val="single" w:color="000000" w:sz="8" w:space="0"/>
              <w:left w:val="double" w:color="000000" w:sz="4"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2</w:t>
            </w:r>
          </w:p>
        </w:tc>
        <w:tc>
          <w:tcPr>
            <w:tcW w:w="90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乡村治理</w:t>
            </w:r>
          </w:p>
        </w:tc>
        <w:tc>
          <w:tcPr>
            <w:tcW w:w="86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智慧党建、政务管理、平安家园、积分管理、事项管理、数字门牌、三农服务、三农数据管理</w:t>
            </w:r>
          </w:p>
        </w:tc>
        <w:tc>
          <w:tcPr>
            <w:tcW w:w="66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套</w:t>
            </w:r>
          </w:p>
        </w:tc>
        <w:tc>
          <w:tcPr>
            <w:tcW w:w="70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1</w:t>
            </w:r>
          </w:p>
        </w:tc>
        <w:tc>
          <w:tcPr>
            <w:tcW w:w="7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color w:val="auto"/>
                <w:szCs w:val="21"/>
                <w:highlight w:val="none"/>
              </w:rPr>
            </w:pPr>
          </w:p>
        </w:tc>
        <w:tc>
          <w:tcPr>
            <w:tcW w:w="582" w:type="pct"/>
            <w:tcBorders>
              <w:top w:val="single" w:color="000000" w:sz="8" w:space="0"/>
              <w:left w:val="single" w:color="000000" w:sz="8" w:space="0"/>
              <w:bottom w:val="single" w:color="000000" w:sz="8" w:space="0"/>
              <w:right w:val="double" w:color="000000" w:sz="4" w:space="0"/>
            </w:tcBorders>
            <w:shd w:val="clear" w:color="auto" w:fill="auto"/>
            <w:vAlign w:val="center"/>
          </w:tcPr>
          <w:p>
            <w:pPr>
              <w:jc w:val="center"/>
              <w:rPr>
                <w:rFonts w:ascii="黑体" w:hAnsi="宋体" w:eastAsia="黑体" w:cs="黑体"/>
                <w:color w:val="auto"/>
                <w:szCs w:val="21"/>
                <w:highlight w:val="none"/>
              </w:rPr>
            </w:pPr>
          </w:p>
        </w:tc>
      </w:tr>
      <w:tr>
        <w:tblPrEx>
          <w:tblCellMar>
            <w:top w:w="0" w:type="dxa"/>
            <w:left w:w="108" w:type="dxa"/>
            <w:bottom w:w="0" w:type="dxa"/>
            <w:right w:w="108" w:type="dxa"/>
          </w:tblCellMar>
        </w:tblPrEx>
        <w:trPr>
          <w:trHeight w:val="540" w:hRule="atLeast"/>
        </w:trPr>
        <w:tc>
          <w:tcPr>
            <w:tcW w:w="516" w:type="pct"/>
            <w:vMerge w:val="restart"/>
            <w:tcBorders>
              <w:top w:val="single" w:color="000000" w:sz="8" w:space="0"/>
              <w:left w:val="double" w:color="000000" w:sz="4"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3</w:t>
            </w:r>
          </w:p>
        </w:tc>
        <w:tc>
          <w:tcPr>
            <w:tcW w:w="903"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健康小屋</w:t>
            </w:r>
          </w:p>
        </w:tc>
        <w:tc>
          <w:tcPr>
            <w:tcW w:w="869" w:type="pct"/>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智能检测模块</w:t>
            </w:r>
          </w:p>
        </w:tc>
        <w:tc>
          <w:tcPr>
            <w:tcW w:w="663"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套</w:t>
            </w:r>
          </w:p>
        </w:tc>
        <w:tc>
          <w:tcPr>
            <w:tcW w:w="704"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5</w:t>
            </w:r>
          </w:p>
        </w:tc>
        <w:tc>
          <w:tcPr>
            <w:tcW w:w="761"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color w:val="auto"/>
                <w:szCs w:val="21"/>
                <w:highlight w:val="none"/>
              </w:rPr>
            </w:pPr>
          </w:p>
        </w:tc>
        <w:tc>
          <w:tcPr>
            <w:tcW w:w="582" w:type="pct"/>
            <w:vMerge w:val="restart"/>
            <w:tcBorders>
              <w:top w:val="single" w:color="000000" w:sz="8" w:space="0"/>
              <w:left w:val="single" w:color="000000" w:sz="8" w:space="0"/>
              <w:bottom w:val="single" w:color="000000" w:sz="8" w:space="0"/>
              <w:right w:val="double" w:color="000000" w:sz="4" w:space="0"/>
            </w:tcBorders>
            <w:shd w:val="clear" w:color="auto" w:fill="auto"/>
            <w:vAlign w:val="center"/>
          </w:tcPr>
          <w:p>
            <w:pPr>
              <w:jc w:val="center"/>
              <w:rPr>
                <w:rFonts w:ascii="黑体" w:hAnsi="宋体" w:eastAsia="黑体" w:cs="黑体"/>
                <w:color w:val="auto"/>
                <w:szCs w:val="21"/>
                <w:highlight w:val="none"/>
              </w:rPr>
            </w:pPr>
          </w:p>
        </w:tc>
      </w:tr>
      <w:tr>
        <w:tblPrEx>
          <w:tblCellMar>
            <w:top w:w="0" w:type="dxa"/>
            <w:left w:w="108" w:type="dxa"/>
            <w:bottom w:w="0" w:type="dxa"/>
            <w:right w:w="108" w:type="dxa"/>
          </w:tblCellMar>
        </w:tblPrEx>
        <w:trPr>
          <w:trHeight w:val="285" w:hRule="atLeast"/>
        </w:trPr>
        <w:tc>
          <w:tcPr>
            <w:tcW w:w="516" w:type="pct"/>
            <w:vMerge w:val="continue"/>
            <w:tcBorders>
              <w:top w:val="single" w:color="000000" w:sz="8" w:space="0"/>
              <w:left w:val="double" w:color="000000" w:sz="4" w:space="0"/>
              <w:bottom w:val="single" w:color="000000" w:sz="8" w:space="0"/>
              <w:right w:val="single" w:color="000000" w:sz="8" w:space="0"/>
            </w:tcBorders>
            <w:shd w:val="clear" w:color="auto" w:fill="auto"/>
            <w:vAlign w:val="center"/>
          </w:tcPr>
          <w:p>
            <w:pPr>
              <w:jc w:val="center"/>
              <w:rPr>
                <w:rFonts w:ascii="黑体" w:hAnsi="宋体" w:eastAsia="黑体" w:cs="黑体"/>
                <w:color w:val="auto"/>
                <w:szCs w:val="21"/>
                <w:highlight w:val="none"/>
              </w:rPr>
            </w:pPr>
          </w:p>
        </w:tc>
        <w:tc>
          <w:tcPr>
            <w:tcW w:w="903"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b/>
                <w:bCs/>
                <w:color w:val="auto"/>
                <w:szCs w:val="21"/>
                <w:highlight w:val="none"/>
              </w:rPr>
            </w:pPr>
          </w:p>
        </w:tc>
        <w:tc>
          <w:tcPr>
            <w:tcW w:w="869" w:type="pct"/>
            <w:tcBorders>
              <w:top w:val="nil"/>
              <w:left w:val="single" w:color="000000" w:sz="8" w:space="0"/>
              <w:bottom w:val="nil"/>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耗材配件</w:t>
            </w:r>
          </w:p>
        </w:tc>
        <w:tc>
          <w:tcPr>
            <w:tcW w:w="663"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b/>
                <w:bCs/>
                <w:color w:val="auto"/>
                <w:szCs w:val="21"/>
                <w:highlight w:val="none"/>
              </w:rPr>
            </w:pPr>
          </w:p>
        </w:tc>
        <w:tc>
          <w:tcPr>
            <w:tcW w:w="704"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b/>
                <w:bCs/>
                <w:color w:val="auto"/>
                <w:szCs w:val="21"/>
                <w:highlight w:val="none"/>
              </w:rPr>
            </w:pPr>
          </w:p>
        </w:tc>
        <w:tc>
          <w:tcPr>
            <w:tcW w:w="76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color w:val="auto"/>
                <w:szCs w:val="21"/>
                <w:highlight w:val="none"/>
              </w:rPr>
            </w:pPr>
          </w:p>
        </w:tc>
        <w:tc>
          <w:tcPr>
            <w:tcW w:w="582" w:type="pct"/>
            <w:vMerge w:val="continue"/>
            <w:tcBorders>
              <w:top w:val="single" w:color="000000" w:sz="8" w:space="0"/>
              <w:left w:val="single" w:color="000000" w:sz="8" w:space="0"/>
              <w:bottom w:val="single" w:color="000000" w:sz="8" w:space="0"/>
              <w:right w:val="double" w:color="000000" w:sz="4" w:space="0"/>
            </w:tcBorders>
            <w:shd w:val="clear" w:color="auto" w:fill="auto"/>
            <w:vAlign w:val="center"/>
          </w:tcPr>
          <w:p>
            <w:pPr>
              <w:jc w:val="center"/>
              <w:rPr>
                <w:rFonts w:ascii="黑体" w:hAnsi="宋体" w:eastAsia="黑体" w:cs="黑体"/>
                <w:color w:val="auto"/>
                <w:szCs w:val="21"/>
                <w:highlight w:val="none"/>
              </w:rPr>
            </w:pPr>
          </w:p>
        </w:tc>
      </w:tr>
      <w:tr>
        <w:tblPrEx>
          <w:tblCellMar>
            <w:top w:w="0" w:type="dxa"/>
            <w:left w:w="108" w:type="dxa"/>
            <w:bottom w:w="0" w:type="dxa"/>
            <w:right w:w="108" w:type="dxa"/>
          </w:tblCellMar>
        </w:tblPrEx>
        <w:trPr>
          <w:trHeight w:val="285" w:hRule="atLeast"/>
        </w:trPr>
        <w:tc>
          <w:tcPr>
            <w:tcW w:w="516" w:type="pct"/>
            <w:vMerge w:val="continue"/>
            <w:tcBorders>
              <w:top w:val="single" w:color="000000" w:sz="8" w:space="0"/>
              <w:left w:val="double" w:color="000000" w:sz="4" w:space="0"/>
              <w:bottom w:val="single" w:color="000000" w:sz="8" w:space="0"/>
              <w:right w:val="single" w:color="000000" w:sz="8" w:space="0"/>
            </w:tcBorders>
            <w:shd w:val="clear" w:color="auto" w:fill="auto"/>
            <w:vAlign w:val="center"/>
          </w:tcPr>
          <w:p>
            <w:pPr>
              <w:jc w:val="center"/>
              <w:rPr>
                <w:rFonts w:ascii="黑体" w:hAnsi="宋体" w:eastAsia="黑体" w:cs="黑体"/>
                <w:color w:val="auto"/>
                <w:szCs w:val="21"/>
                <w:highlight w:val="none"/>
              </w:rPr>
            </w:pPr>
          </w:p>
        </w:tc>
        <w:tc>
          <w:tcPr>
            <w:tcW w:w="903"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b/>
                <w:bCs/>
                <w:color w:val="auto"/>
                <w:szCs w:val="21"/>
                <w:highlight w:val="none"/>
              </w:rPr>
            </w:pPr>
          </w:p>
        </w:tc>
        <w:tc>
          <w:tcPr>
            <w:tcW w:w="869"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装饰设计</w:t>
            </w:r>
          </w:p>
        </w:tc>
        <w:tc>
          <w:tcPr>
            <w:tcW w:w="663"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b/>
                <w:bCs/>
                <w:color w:val="auto"/>
                <w:szCs w:val="21"/>
                <w:highlight w:val="none"/>
              </w:rPr>
            </w:pPr>
          </w:p>
        </w:tc>
        <w:tc>
          <w:tcPr>
            <w:tcW w:w="704"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b/>
                <w:bCs/>
                <w:color w:val="auto"/>
                <w:szCs w:val="21"/>
                <w:highlight w:val="none"/>
              </w:rPr>
            </w:pPr>
          </w:p>
        </w:tc>
        <w:tc>
          <w:tcPr>
            <w:tcW w:w="76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color w:val="auto"/>
                <w:szCs w:val="21"/>
                <w:highlight w:val="none"/>
              </w:rPr>
            </w:pPr>
          </w:p>
        </w:tc>
        <w:tc>
          <w:tcPr>
            <w:tcW w:w="582" w:type="pct"/>
            <w:vMerge w:val="continue"/>
            <w:tcBorders>
              <w:top w:val="single" w:color="000000" w:sz="8" w:space="0"/>
              <w:left w:val="single" w:color="000000" w:sz="8" w:space="0"/>
              <w:bottom w:val="single" w:color="000000" w:sz="8" w:space="0"/>
              <w:right w:val="double" w:color="000000" w:sz="4" w:space="0"/>
            </w:tcBorders>
            <w:shd w:val="clear" w:color="auto" w:fill="auto"/>
            <w:vAlign w:val="center"/>
          </w:tcPr>
          <w:p>
            <w:pPr>
              <w:jc w:val="center"/>
              <w:rPr>
                <w:rFonts w:ascii="黑体" w:hAnsi="宋体" w:eastAsia="黑体" w:cs="黑体"/>
                <w:color w:val="auto"/>
                <w:szCs w:val="21"/>
                <w:highlight w:val="none"/>
              </w:rPr>
            </w:pPr>
          </w:p>
        </w:tc>
      </w:tr>
      <w:tr>
        <w:tblPrEx>
          <w:tblCellMar>
            <w:top w:w="0" w:type="dxa"/>
            <w:left w:w="108" w:type="dxa"/>
            <w:bottom w:w="0" w:type="dxa"/>
            <w:right w:w="108" w:type="dxa"/>
          </w:tblCellMar>
        </w:tblPrEx>
        <w:trPr>
          <w:trHeight w:val="1965" w:hRule="atLeast"/>
        </w:trPr>
        <w:tc>
          <w:tcPr>
            <w:tcW w:w="516" w:type="pct"/>
            <w:vMerge w:val="continue"/>
            <w:tcBorders>
              <w:top w:val="single" w:color="000000" w:sz="8" w:space="0"/>
              <w:left w:val="double" w:color="000000" w:sz="4" w:space="0"/>
              <w:bottom w:val="single" w:color="000000" w:sz="8" w:space="0"/>
              <w:right w:val="single" w:color="000000" w:sz="8" w:space="0"/>
            </w:tcBorders>
            <w:shd w:val="clear" w:color="auto" w:fill="auto"/>
            <w:vAlign w:val="center"/>
          </w:tcPr>
          <w:p>
            <w:pPr>
              <w:jc w:val="center"/>
              <w:rPr>
                <w:rFonts w:ascii="黑体" w:hAnsi="宋体" w:eastAsia="黑体" w:cs="黑体"/>
                <w:color w:val="auto"/>
                <w:szCs w:val="21"/>
                <w:highlight w:val="none"/>
              </w:rPr>
            </w:pPr>
          </w:p>
        </w:tc>
        <w:tc>
          <w:tcPr>
            <w:tcW w:w="903"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b/>
                <w:bCs/>
                <w:color w:val="auto"/>
                <w:szCs w:val="21"/>
                <w:highlight w:val="none"/>
              </w:rPr>
            </w:pPr>
          </w:p>
        </w:tc>
        <w:tc>
          <w:tcPr>
            <w:tcW w:w="86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实名认证、帮助中心、身体数据测量、中医体质辨识、智能导诊、健康测试、健康宣教</w:t>
            </w:r>
          </w:p>
        </w:tc>
        <w:tc>
          <w:tcPr>
            <w:tcW w:w="66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套</w:t>
            </w:r>
          </w:p>
        </w:tc>
        <w:tc>
          <w:tcPr>
            <w:tcW w:w="70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1</w:t>
            </w:r>
          </w:p>
        </w:tc>
        <w:tc>
          <w:tcPr>
            <w:tcW w:w="7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color w:val="auto"/>
                <w:szCs w:val="21"/>
                <w:highlight w:val="none"/>
              </w:rPr>
            </w:pPr>
          </w:p>
        </w:tc>
        <w:tc>
          <w:tcPr>
            <w:tcW w:w="582" w:type="pct"/>
            <w:tcBorders>
              <w:top w:val="single" w:color="000000" w:sz="8" w:space="0"/>
              <w:left w:val="single" w:color="000000" w:sz="8" w:space="0"/>
              <w:bottom w:val="single" w:color="000000" w:sz="8" w:space="0"/>
              <w:right w:val="double" w:color="000000" w:sz="4" w:space="0"/>
            </w:tcBorders>
            <w:shd w:val="clear" w:color="auto" w:fill="auto"/>
            <w:vAlign w:val="center"/>
          </w:tcPr>
          <w:p>
            <w:pPr>
              <w:jc w:val="center"/>
              <w:rPr>
                <w:rFonts w:ascii="黑体" w:hAnsi="宋体" w:eastAsia="黑体" w:cs="黑体"/>
                <w:color w:val="auto"/>
                <w:szCs w:val="21"/>
                <w:highlight w:val="none"/>
              </w:rPr>
            </w:pPr>
          </w:p>
        </w:tc>
      </w:tr>
      <w:tr>
        <w:tblPrEx>
          <w:tblCellMar>
            <w:top w:w="0" w:type="dxa"/>
            <w:left w:w="108" w:type="dxa"/>
            <w:bottom w:w="0" w:type="dxa"/>
            <w:right w:w="108" w:type="dxa"/>
          </w:tblCellMar>
        </w:tblPrEx>
        <w:trPr>
          <w:trHeight w:val="525" w:hRule="atLeast"/>
        </w:trPr>
        <w:tc>
          <w:tcPr>
            <w:tcW w:w="516" w:type="pct"/>
            <w:vMerge w:val="continue"/>
            <w:tcBorders>
              <w:top w:val="single" w:color="000000" w:sz="8" w:space="0"/>
              <w:left w:val="double" w:color="000000" w:sz="4" w:space="0"/>
              <w:bottom w:val="single" w:color="000000" w:sz="8" w:space="0"/>
              <w:right w:val="single" w:color="000000" w:sz="8" w:space="0"/>
            </w:tcBorders>
            <w:shd w:val="clear" w:color="auto" w:fill="auto"/>
            <w:vAlign w:val="center"/>
          </w:tcPr>
          <w:p>
            <w:pPr>
              <w:jc w:val="center"/>
              <w:rPr>
                <w:rFonts w:ascii="黑体" w:hAnsi="宋体" w:eastAsia="黑体" w:cs="黑体"/>
                <w:color w:val="auto"/>
                <w:szCs w:val="21"/>
                <w:highlight w:val="none"/>
              </w:rPr>
            </w:pPr>
          </w:p>
        </w:tc>
        <w:tc>
          <w:tcPr>
            <w:tcW w:w="903"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b/>
                <w:bCs/>
                <w:color w:val="auto"/>
                <w:szCs w:val="21"/>
                <w:highlight w:val="none"/>
              </w:rPr>
            </w:pPr>
          </w:p>
        </w:tc>
        <w:tc>
          <w:tcPr>
            <w:tcW w:w="86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产品使用培训</w:t>
            </w:r>
          </w:p>
        </w:tc>
        <w:tc>
          <w:tcPr>
            <w:tcW w:w="66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套</w:t>
            </w:r>
          </w:p>
        </w:tc>
        <w:tc>
          <w:tcPr>
            <w:tcW w:w="70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ascii="黑体" w:hAnsi="宋体" w:eastAsia="黑体" w:cs="黑体"/>
                <w:b/>
                <w:bCs/>
                <w:color w:val="auto"/>
                <w:kern w:val="0"/>
                <w:szCs w:val="21"/>
                <w:highlight w:val="none"/>
              </w:rPr>
              <w:t>1</w:t>
            </w:r>
          </w:p>
        </w:tc>
        <w:tc>
          <w:tcPr>
            <w:tcW w:w="7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color w:val="auto"/>
                <w:szCs w:val="21"/>
                <w:highlight w:val="none"/>
              </w:rPr>
            </w:pPr>
          </w:p>
        </w:tc>
        <w:tc>
          <w:tcPr>
            <w:tcW w:w="582" w:type="pct"/>
            <w:tcBorders>
              <w:top w:val="single" w:color="000000" w:sz="8" w:space="0"/>
              <w:left w:val="single" w:color="000000" w:sz="8" w:space="0"/>
              <w:bottom w:val="single" w:color="000000" w:sz="8" w:space="0"/>
              <w:right w:val="double" w:color="000000" w:sz="4" w:space="0"/>
            </w:tcBorders>
            <w:shd w:val="clear" w:color="auto" w:fill="auto"/>
            <w:vAlign w:val="center"/>
          </w:tcPr>
          <w:p>
            <w:pPr>
              <w:jc w:val="center"/>
              <w:rPr>
                <w:rFonts w:ascii="黑体" w:hAnsi="宋体" w:eastAsia="黑体" w:cs="黑体"/>
                <w:color w:val="auto"/>
                <w:szCs w:val="21"/>
                <w:highlight w:val="none"/>
              </w:rPr>
            </w:pPr>
          </w:p>
        </w:tc>
      </w:tr>
      <w:tr>
        <w:tblPrEx>
          <w:tblCellMar>
            <w:top w:w="0" w:type="dxa"/>
            <w:left w:w="108" w:type="dxa"/>
            <w:bottom w:w="0" w:type="dxa"/>
            <w:right w:w="108" w:type="dxa"/>
          </w:tblCellMar>
        </w:tblPrEx>
        <w:trPr>
          <w:trHeight w:val="1625" w:hRule="atLeast"/>
        </w:trPr>
        <w:tc>
          <w:tcPr>
            <w:tcW w:w="516" w:type="pct"/>
            <w:vMerge w:val="restart"/>
            <w:tcBorders>
              <w:top w:val="single" w:color="000000" w:sz="8" w:space="0"/>
              <w:left w:val="double" w:color="000000" w:sz="4"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4</w:t>
            </w:r>
          </w:p>
        </w:tc>
        <w:tc>
          <w:tcPr>
            <w:tcW w:w="903"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5G应急救援</w:t>
            </w:r>
          </w:p>
        </w:tc>
        <w:tc>
          <w:tcPr>
            <w:tcW w:w="86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5G应急救援系统服务，远程急救车载服务，车载多媒体服务，车载音视频服务等</w:t>
            </w:r>
          </w:p>
        </w:tc>
        <w:tc>
          <w:tcPr>
            <w:tcW w:w="66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套</w:t>
            </w:r>
          </w:p>
        </w:tc>
        <w:tc>
          <w:tcPr>
            <w:tcW w:w="70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5</w:t>
            </w:r>
          </w:p>
        </w:tc>
        <w:tc>
          <w:tcPr>
            <w:tcW w:w="7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color w:val="auto"/>
                <w:szCs w:val="21"/>
                <w:highlight w:val="none"/>
              </w:rPr>
            </w:pPr>
          </w:p>
        </w:tc>
        <w:tc>
          <w:tcPr>
            <w:tcW w:w="582" w:type="pct"/>
            <w:tcBorders>
              <w:top w:val="single" w:color="000000" w:sz="8" w:space="0"/>
              <w:left w:val="single" w:color="000000" w:sz="8" w:space="0"/>
              <w:bottom w:val="single" w:color="000000" w:sz="8" w:space="0"/>
              <w:right w:val="double" w:color="000000" w:sz="4" w:space="0"/>
            </w:tcBorders>
            <w:shd w:val="clear" w:color="auto" w:fill="auto"/>
            <w:vAlign w:val="center"/>
          </w:tcPr>
          <w:p>
            <w:pPr>
              <w:jc w:val="center"/>
              <w:rPr>
                <w:rFonts w:ascii="黑体" w:hAnsi="宋体" w:eastAsia="黑体" w:cs="黑体"/>
                <w:color w:val="auto"/>
                <w:szCs w:val="21"/>
                <w:highlight w:val="none"/>
              </w:rPr>
            </w:pPr>
          </w:p>
        </w:tc>
      </w:tr>
      <w:tr>
        <w:tblPrEx>
          <w:tblCellMar>
            <w:top w:w="0" w:type="dxa"/>
            <w:left w:w="108" w:type="dxa"/>
            <w:bottom w:w="0" w:type="dxa"/>
            <w:right w:w="108" w:type="dxa"/>
          </w:tblCellMar>
        </w:tblPrEx>
        <w:trPr>
          <w:trHeight w:val="1185" w:hRule="atLeast"/>
        </w:trPr>
        <w:tc>
          <w:tcPr>
            <w:tcW w:w="516" w:type="pct"/>
            <w:vMerge w:val="continue"/>
            <w:tcBorders>
              <w:top w:val="single" w:color="000000" w:sz="8" w:space="0"/>
              <w:left w:val="double" w:color="000000" w:sz="4" w:space="0"/>
              <w:bottom w:val="single" w:color="000000" w:sz="8" w:space="0"/>
              <w:right w:val="single" w:color="000000" w:sz="8" w:space="0"/>
            </w:tcBorders>
            <w:shd w:val="clear" w:color="auto" w:fill="auto"/>
            <w:vAlign w:val="center"/>
          </w:tcPr>
          <w:p>
            <w:pPr>
              <w:jc w:val="center"/>
              <w:rPr>
                <w:rFonts w:ascii="黑体" w:hAnsi="宋体" w:eastAsia="黑体" w:cs="黑体"/>
                <w:color w:val="auto"/>
                <w:szCs w:val="21"/>
                <w:highlight w:val="none"/>
              </w:rPr>
            </w:pPr>
          </w:p>
        </w:tc>
        <w:tc>
          <w:tcPr>
            <w:tcW w:w="903"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b/>
                <w:bCs/>
                <w:color w:val="auto"/>
                <w:szCs w:val="21"/>
                <w:highlight w:val="none"/>
              </w:rPr>
            </w:pPr>
          </w:p>
        </w:tc>
        <w:tc>
          <w:tcPr>
            <w:tcW w:w="86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院内指挥中心远程急救指导服务，远程指导音视频服务</w:t>
            </w:r>
          </w:p>
        </w:tc>
        <w:tc>
          <w:tcPr>
            <w:tcW w:w="66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套</w:t>
            </w:r>
          </w:p>
        </w:tc>
        <w:tc>
          <w:tcPr>
            <w:tcW w:w="70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1</w:t>
            </w:r>
          </w:p>
        </w:tc>
        <w:tc>
          <w:tcPr>
            <w:tcW w:w="7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color w:val="auto"/>
                <w:szCs w:val="21"/>
                <w:highlight w:val="none"/>
              </w:rPr>
            </w:pPr>
          </w:p>
        </w:tc>
        <w:tc>
          <w:tcPr>
            <w:tcW w:w="582" w:type="pct"/>
            <w:tcBorders>
              <w:top w:val="single" w:color="000000" w:sz="8" w:space="0"/>
              <w:left w:val="single" w:color="000000" w:sz="8" w:space="0"/>
              <w:bottom w:val="single" w:color="000000" w:sz="8" w:space="0"/>
              <w:right w:val="double" w:color="000000" w:sz="4" w:space="0"/>
            </w:tcBorders>
            <w:shd w:val="clear" w:color="auto" w:fill="auto"/>
            <w:vAlign w:val="center"/>
          </w:tcPr>
          <w:p>
            <w:pPr>
              <w:jc w:val="center"/>
              <w:rPr>
                <w:rFonts w:ascii="黑体" w:hAnsi="宋体" w:eastAsia="黑体" w:cs="黑体"/>
                <w:color w:val="auto"/>
                <w:szCs w:val="21"/>
                <w:highlight w:val="none"/>
              </w:rPr>
            </w:pPr>
          </w:p>
        </w:tc>
      </w:tr>
      <w:tr>
        <w:tblPrEx>
          <w:tblCellMar>
            <w:top w:w="0" w:type="dxa"/>
            <w:left w:w="108" w:type="dxa"/>
            <w:bottom w:w="0" w:type="dxa"/>
            <w:right w:w="108" w:type="dxa"/>
          </w:tblCellMar>
        </w:tblPrEx>
        <w:trPr>
          <w:trHeight w:val="1290" w:hRule="atLeast"/>
        </w:trPr>
        <w:tc>
          <w:tcPr>
            <w:tcW w:w="516" w:type="pct"/>
            <w:tcBorders>
              <w:top w:val="single" w:color="000000" w:sz="8" w:space="0"/>
              <w:left w:val="double" w:color="000000" w:sz="4"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5</w:t>
            </w:r>
          </w:p>
        </w:tc>
        <w:tc>
          <w:tcPr>
            <w:tcW w:w="90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VR静态全景展示</w:t>
            </w:r>
          </w:p>
        </w:tc>
        <w:tc>
          <w:tcPr>
            <w:tcW w:w="86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地拍全景制作、航拍全景制作、单次现场服务</w:t>
            </w:r>
          </w:p>
        </w:tc>
        <w:tc>
          <w:tcPr>
            <w:tcW w:w="66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套</w:t>
            </w:r>
          </w:p>
        </w:tc>
        <w:tc>
          <w:tcPr>
            <w:tcW w:w="70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1</w:t>
            </w:r>
          </w:p>
        </w:tc>
        <w:tc>
          <w:tcPr>
            <w:tcW w:w="7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color w:val="auto"/>
                <w:szCs w:val="21"/>
                <w:highlight w:val="none"/>
              </w:rPr>
            </w:pPr>
          </w:p>
        </w:tc>
        <w:tc>
          <w:tcPr>
            <w:tcW w:w="582" w:type="pct"/>
            <w:tcBorders>
              <w:top w:val="single" w:color="000000" w:sz="8" w:space="0"/>
              <w:left w:val="single" w:color="000000" w:sz="8" w:space="0"/>
              <w:bottom w:val="single" w:color="000000" w:sz="8" w:space="0"/>
              <w:right w:val="double" w:color="000000" w:sz="4" w:space="0"/>
            </w:tcBorders>
            <w:shd w:val="clear" w:color="auto" w:fill="auto"/>
            <w:vAlign w:val="center"/>
          </w:tcPr>
          <w:p>
            <w:pPr>
              <w:jc w:val="center"/>
              <w:rPr>
                <w:rFonts w:ascii="黑体" w:hAnsi="宋体" w:eastAsia="黑体" w:cs="黑体"/>
                <w:color w:val="auto"/>
                <w:szCs w:val="21"/>
                <w:highlight w:val="none"/>
              </w:rPr>
            </w:pPr>
          </w:p>
        </w:tc>
      </w:tr>
      <w:tr>
        <w:tblPrEx>
          <w:tblCellMar>
            <w:top w:w="0" w:type="dxa"/>
            <w:left w:w="108" w:type="dxa"/>
            <w:bottom w:w="0" w:type="dxa"/>
            <w:right w:w="108" w:type="dxa"/>
          </w:tblCellMar>
        </w:tblPrEx>
        <w:trPr>
          <w:trHeight w:val="1035" w:hRule="atLeast"/>
        </w:trPr>
        <w:tc>
          <w:tcPr>
            <w:tcW w:w="516" w:type="pct"/>
            <w:vMerge w:val="restart"/>
            <w:tcBorders>
              <w:top w:val="single" w:color="000000" w:sz="8" w:space="0"/>
              <w:left w:val="double" w:color="000000" w:sz="4"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color w:val="auto"/>
                <w:szCs w:val="21"/>
                <w:highlight w:val="none"/>
              </w:rPr>
            </w:pPr>
            <w:r>
              <w:rPr>
                <w:rFonts w:hint="eastAsia" w:ascii="黑体" w:hAnsi="宋体" w:eastAsia="黑体" w:cs="黑体"/>
                <w:color w:val="auto"/>
                <w:kern w:val="0"/>
                <w:szCs w:val="21"/>
                <w:highlight w:val="none"/>
              </w:rPr>
              <w:t>6</w:t>
            </w:r>
          </w:p>
        </w:tc>
        <w:tc>
          <w:tcPr>
            <w:tcW w:w="903"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基层治理</w:t>
            </w:r>
          </w:p>
        </w:tc>
        <w:tc>
          <w:tcPr>
            <w:tcW w:w="869" w:type="pct"/>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核心板块：智慧综治、智慧民生、智慧党建、智慧安防；</w:t>
            </w:r>
          </w:p>
        </w:tc>
        <w:tc>
          <w:tcPr>
            <w:tcW w:w="663"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套</w:t>
            </w:r>
          </w:p>
        </w:tc>
        <w:tc>
          <w:tcPr>
            <w:tcW w:w="704"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1</w:t>
            </w:r>
          </w:p>
        </w:tc>
        <w:tc>
          <w:tcPr>
            <w:tcW w:w="761"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color w:val="auto"/>
                <w:szCs w:val="21"/>
                <w:highlight w:val="none"/>
              </w:rPr>
            </w:pPr>
          </w:p>
        </w:tc>
        <w:tc>
          <w:tcPr>
            <w:tcW w:w="582" w:type="pct"/>
            <w:vMerge w:val="restart"/>
            <w:tcBorders>
              <w:top w:val="single" w:color="000000" w:sz="8" w:space="0"/>
              <w:left w:val="single" w:color="000000" w:sz="8" w:space="0"/>
              <w:bottom w:val="single" w:color="000000" w:sz="8" w:space="0"/>
              <w:right w:val="double" w:color="000000" w:sz="4" w:space="0"/>
            </w:tcBorders>
            <w:shd w:val="clear" w:color="auto" w:fill="auto"/>
            <w:vAlign w:val="center"/>
          </w:tcPr>
          <w:p>
            <w:pPr>
              <w:jc w:val="center"/>
              <w:rPr>
                <w:rFonts w:ascii="黑体" w:hAnsi="宋体" w:eastAsia="黑体" w:cs="黑体"/>
                <w:color w:val="auto"/>
                <w:szCs w:val="21"/>
                <w:highlight w:val="none"/>
              </w:rPr>
            </w:pPr>
          </w:p>
        </w:tc>
      </w:tr>
      <w:tr>
        <w:tblPrEx>
          <w:tblCellMar>
            <w:top w:w="0" w:type="dxa"/>
            <w:left w:w="108" w:type="dxa"/>
            <w:bottom w:w="0" w:type="dxa"/>
            <w:right w:w="108" w:type="dxa"/>
          </w:tblCellMar>
        </w:tblPrEx>
        <w:trPr>
          <w:trHeight w:val="2025" w:hRule="atLeast"/>
        </w:trPr>
        <w:tc>
          <w:tcPr>
            <w:tcW w:w="516" w:type="pct"/>
            <w:vMerge w:val="continue"/>
            <w:tcBorders>
              <w:top w:val="single" w:color="000000" w:sz="8" w:space="0"/>
              <w:left w:val="double" w:color="000000" w:sz="4" w:space="0"/>
              <w:bottom w:val="single" w:color="000000" w:sz="8" w:space="0"/>
              <w:right w:val="single" w:color="000000" w:sz="8" w:space="0"/>
            </w:tcBorders>
            <w:shd w:val="clear" w:color="auto" w:fill="auto"/>
            <w:vAlign w:val="center"/>
          </w:tcPr>
          <w:p>
            <w:pPr>
              <w:jc w:val="center"/>
              <w:rPr>
                <w:rFonts w:ascii="黑体" w:hAnsi="宋体" w:eastAsia="黑体" w:cs="黑体"/>
                <w:color w:val="auto"/>
                <w:szCs w:val="21"/>
                <w:highlight w:val="none"/>
              </w:rPr>
            </w:pPr>
          </w:p>
        </w:tc>
        <w:tc>
          <w:tcPr>
            <w:tcW w:w="903"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b/>
                <w:bCs/>
                <w:color w:val="auto"/>
                <w:szCs w:val="21"/>
                <w:highlight w:val="none"/>
              </w:rPr>
            </w:pPr>
          </w:p>
        </w:tc>
        <w:tc>
          <w:tcPr>
            <w:tcW w:w="869"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特色功能：全域信息概览、智能决策分析、智慧档案管理、身份安全识别、电子签到统计、线上积分商城、数据安全管理</w:t>
            </w:r>
          </w:p>
        </w:tc>
        <w:tc>
          <w:tcPr>
            <w:tcW w:w="663"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b/>
                <w:bCs/>
                <w:color w:val="auto"/>
                <w:szCs w:val="21"/>
                <w:highlight w:val="none"/>
              </w:rPr>
            </w:pPr>
          </w:p>
        </w:tc>
        <w:tc>
          <w:tcPr>
            <w:tcW w:w="704"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b/>
                <w:bCs/>
                <w:color w:val="auto"/>
                <w:szCs w:val="21"/>
                <w:highlight w:val="none"/>
              </w:rPr>
            </w:pPr>
          </w:p>
        </w:tc>
        <w:tc>
          <w:tcPr>
            <w:tcW w:w="76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color w:val="auto"/>
                <w:szCs w:val="21"/>
                <w:highlight w:val="none"/>
              </w:rPr>
            </w:pPr>
          </w:p>
        </w:tc>
        <w:tc>
          <w:tcPr>
            <w:tcW w:w="582" w:type="pct"/>
            <w:vMerge w:val="continue"/>
            <w:tcBorders>
              <w:top w:val="single" w:color="000000" w:sz="8" w:space="0"/>
              <w:left w:val="single" w:color="000000" w:sz="8" w:space="0"/>
              <w:bottom w:val="single" w:color="000000" w:sz="8" w:space="0"/>
              <w:right w:val="double" w:color="000000" w:sz="4" w:space="0"/>
            </w:tcBorders>
            <w:shd w:val="clear" w:color="auto" w:fill="auto"/>
            <w:vAlign w:val="center"/>
          </w:tcPr>
          <w:p>
            <w:pPr>
              <w:jc w:val="center"/>
              <w:rPr>
                <w:rFonts w:ascii="黑体" w:hAnsi="宋体" w:eastAsia="黑体" w:cs="黑体"/>
                <w:color w:val="auto"/>
                <w:szCs w:val="21"/>
                <w:highlight w:val="none"/>
              </w:rPr>
            </w:pPr>
          </w:p>
        </w:tc>
      </w:tr>
      <w:tr>
        <w:tblPrEx>
          <w:tblCellMar>
            <w:top w:w="0" w:type="dxa"/>
            <w:left w:w="108" w:type="dxa"/>
            <w:bottom w:w="0" w:type="dxa"/>
            <w:right w:w="108" w:type="dxa"/>
          </w:tblCellMar>
        </w:tblPrEx>
        <w:trPr>
          <w:trHeight w:val="1745" w:hRule="atLeast"/>
        </w:trPr>
        <w:tc>
          <w:tcPr>
            <w:tcW w:w="516" w:type="pct"/>
            <w:vMerge w:val="restart"/>
            <w:tcBorders>
              <w:top w:val="single" w:color="000000" w:sz="8" w:space="0"/>
              <w:left w:val="double" w:color="000000" w:sz="4"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kern w:val="0"/>
                <w:szCs w:val="21"/>
                <w:highlight w:val="none"/>
              </w:rPr>
            </w:pPr>
            <w:r>
              <w:rPr>
                <w:rFonts w:hint="eastAsia" w:ascii="黑体" w:hAnsi="宋体" w:eastAsia="黑体" w:cs="黑体"/>
                <w:b/>
                <w:bCs/>
                <w:color w:val="auto"/>
                <w:kern w:val="0"/>
                <w:szCs w:val="21"/>
                <w:highlight w:val="none"/>
              </w:rPr>
              <w:t>7</w:t>
            </w:r>
          </w:p>
        </w:tc>
        <w:tc>
          <w:tcPr>
            <w:tcW w:w="903"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智慧停车</w:t>
            </w:r>
          </w:p>
        </w:tc>
        <w:tc>
          <w:tcPr>
            <w:tcW w:w="86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停车云管理平台：统一身份认证、数据中心、车辆管理；智慧车牌识别一体机</w:t>
            </w:r>
          </w:p>
        </w:tc>
        <w:tc>
          <w:tcPr>
            <w:tcW w:w="66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套</w:t>
            </w:r>
          </w:p>
        </w:tc>
        <w:tc>
          <w:tcPr>
            <w:tcW w:w="70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1</w:t>
            </w:r>
          </w:p>
        </w:tc>
        <w:tc>
          <w:tcPr>
            <w:tcW w:w="7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color w:val="auto"/>
                <w:szCs w:val="21"/>
                <w:highlight w:val="none"/>
              </w:rPr>
            </w:pPr>
          </w:p>
        </w:tc>
        <w:tc>
          <w:tcPr>
            <w:tcW w:w="582" w:type="pct"/>
            <w:tcBorders>
              <w:top w:val="single" w:color="000000" w:sz="8" w:space="0"/>
              <w:left w:val="single" w:color="000000" w:sz="8" w:space="0"/>
              <w:bottom w:val="single" w:color="000000" w:sz="8" w:space="0"/>
              <w:right w:val="double" w:color="000000" w:sz="4" w:space="0"/>
            </w:tcBorders>
            <w:shd w:val="clear" w:color="auto" w:fill="auto"/>
            <w:vAlign w:val="center"/>
          </w:tcPr>
          <w:p>
            <w:pPr>
              <w:jc w:val="center"/>
              <w:rPr>
                <w:rFonts w:ascii="黑体" w:hAnsi="宋体" w:eastAsia="黑体" w:cs="黑体"/>
                <w:color w:val="auto"/>
                <w:szCs w:val="21"/>
                <w:highlight w:val="none"/>
              </w:rPr>
            </w:pPr>
          </w:p>
        </w:tc>
      </w:tr>
      <w:tr>
        <w:tblPrEx>
          <w:tblCellMar>
            <w:top w:w="0" w:type="dxa"/>
            <w:left w:w="108" w:type="dxa"/>
            <w:bottom w:w="0" w:type="dxa"/>
            <w:right w:w="108" w:type="dxa"/>
          </w:tblCellMar>
        </w:tblPrEx>
        <w:trPr>
          <w:trHeight w:val="780" w:hRule="atLeast"/>
        </w:trPr>
        <w:tc>
          <w:tcPr>
            <w:tcW w:w="516" w:type="pct"/>
            <w:vMerge w:val="continue"/>
            <w:tcBorders>
              <w:top w:val="single" w:color="000000" w:sz="8" w:space="0"/>
              <w:left w:val="double" w:color="000000" w:sz="4"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b/>
                <w:bCs/>
                <w:color w:val="auto"/>
                <w:kern w:val="0"/>
                <w:szCs w:val="21"/>
                <w:highlight w:val="none"/>
              </w:rPr>
            </w:pPr>
          </w:p>
        </w:tc>
        <w:tc>
          <w:tcPr>
            <w:tcW w:w="903"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黑体" w:hAnsi="宋体" w:eastAsia="黑体" w:cs="黑体"/>
                <w:b/>
                <w:bCs/>
                <w:color w:val="auto"/>
                <w:szCs w:val="21"/>
                <w:highlight w:val="none"/>
              </w:rPr>
            </w:pPr>
          </w:p>
        </w:tc>
        <w:tc>
          <w:tcPr>
            <w:tcW w:w="869" w:type="pct"/>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智慧车牌识别一体机服务</w:t>
            </w:r>
          </w:p>
        </w:tc>
        <w:tc>
          <w:tcPr>
            <w:tcW w:w="663" w:type="pct"/>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套</w:t>
            </w:r>
          </w:p>
        </w:tc>
        <w:tc>
          <w:tcPr>
            <w:tcW w:w="704" w:type="pct"/>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ascii="黑体" w:hAnsi="宋体" w:eastAsia="黑体" w:cs="黑体"/>
                <w:b/>
                <w:bCs/>
                <w:color w:val="auto"/>
                <w:szCs w:val="21"/>
                <w:highlight w:val="none"/>
              </w:rPr>
            </w:pPr>
            <w:r>
              <w:rPr>
                <w:rFonts w:hint="eastAsia" w:ascii="黑体" w:hAnsi="宋体" w:eastAsia="黑体" w:cs="黑体"/>
                <w:b/>
                <w:bCs/>
                <w:color w:val="auto"/>
                <w:kern w:val="0"/>
                <w:szCs w:val="21"/>
                <w:highlight w:val="none"/>
              </w:rPr>
              <w:t>140</w:t>
            </w:r>
          </w:p>
        </w:tc>
        <w:tc>
          <w:tcPr>
            <w:tcW w:w="761" w:type="pct"/>
            <w:tcBorders>
              <w:top w:val="single" w:color="000000" w:sz="8" w:space="0"/>
              <w:left w:val="single" w:color="000000" w:sz="8" w:space="0"/>
              <w:bottom w:val="nil"/>
              <w:right w:val="single" w:color="000000" w:sz="8" w:space="0"/>
            </w:tcBorders>
            <w:shd w:val="clear" w:color="auto" w:fill="auto"/>
            <w:vAlign w:val="center"/>
          </w:tcPr>
          <w:p>
            <w:pPr>
              <w:jc w:val="center"/>
              <w:rPr>
                <w:rFonts w:ascii="黑体" w:hAnsi="宋体" w:eastAsia="黑体" w:cs="黑体"/>
                <w:color w:val="auto"/>
                <w:szCs w:val="21"/>
                <w:highlight w:val="none"/>
              </w:rPr>
            </w:pPr>
          </w:p>
        </w:tc>
        <w:tc>
          <w:tcPr>
            <w:tcW w:w="582" w:type="pct"/>
            <w:tcBorders>
              <w:top w:val="single" w:color="000000" w:sz="8" w:space="0"/>
              <w:left w:val="single" w:color="000000" w:sz="8" w:space="0"/>
              <w:bottom w:val="nil"/>
              <w:right w:val="double" w:color="000000" w:sz="4" w:space="0"/>
            </w:tcBorders>
            <w:shd w:val="clear" w:color="auto" w:fill="auto"/>
            <w:vAlign w:val="center"/>
          </w:tcPr>
          <w:p>
            <w:pPr>
              <w:jc w:val="center"/>
              <w:rPr>
                <w:rFonts w:ascii="黑体" w:hAnsi="宋体" w:eastAsia="黑体" w:cs="黑体"/>
                <w:color w:val="auto"/>
                <w:szCs w:val="21"/>
                <w:highlight w:val="none"/>
              </w:rPr>
            </w:pPr>
          </w:p>
        </w:tc>
      </w:tr>
      <w:tr>
        <w:tblPrEx>
          <w:tblCellMar>
            <w:top w:w="0" w:type="dxa"/>
            <w:left w:w="108" w:type="dxa"/>
            <w:bottom w:w="0" w:type="dxa"/>
            <w:right w:w="108" w:type="dxa"/>
          </w:tblCellMar>
        </w:tblPrEx>
        <w:trPr>
          <w:trHeight w:val="585" w:hRule="atLeast"/>
        </w:trPr>
        <w:tc>
          <w:tcPr>
            <w:tcW w:w="516" w:type="pct"/>
            <w:tcBorders>
              <w:top w:val="nil"/>
              <w:left w:val="double" w:color="000000" w:sz="4" w:space="0"/>
              <w:bottom w:val="nil"/>
              <w:right w:val="nil"/>
            </w:tcBorders>
            <w:shd w:val="clear" w:color="auto" w:fill="auto"/>
            <w:vAlign w:val="center"/>
          </w:tcPr>
          <w:p>
            <w:pPr>
              <w:widowControl/>
              <w:jc w:val="center"/>
              <w:textAlignment w:val="center"/>
              <w:rPr>
                <w:rFonts w:ascii="黑体" w:hAnsi="宋体" w:eastAsia="黑体" w:cs="黑体"/>
                <w:b/>
                <w:bCs/>
                <w:color w:val="auto"/>
                <w:kern w:val="0"/>
                <w:szCs w:val="21"/>
                <w:highlight w:val="none"/>
              </w:rPr>
            </w:pPr>
            <w:r>
              <w:rPr>
                <w:rFonts w:hint="eastAsia" w:ascii="黑体" w:hAnsi="宋体" w:eastAsia="黑体" w:cs="黑体"/>
                <w:b/>
                <w:bCs/>
                <w:color w:val="auto"/>
                <w:kern w:val="0"/>
                <w:szCs w:val="21"/>
                <w:highlight w:val="none"/>
              </w:rPr>
              <w:t>合计（元）</w:t>
            </w:r>
          </w:p>
        </w:tc>
        <w:tc>
          <w:tcPr>
            <w:tcW w:w="4483" w:type="pct"/>
            <w:gridSpan w:val="6"/>
            <w:tcBorders>
              <w:top w:val="single" w:color="000000" w:sz="4" w:space="0"/>
              <w:left w:val="single" w:color="000000" w:sz="4" w:space="0"/>
              <w:bottom w:val="single" w:color="000000" w:sz="4" w:space="0"/>
              <w:right w:val="double" w:color="000000" w:sz="4" w:space="0"/>
            </w:tcBorders>
            <w:shd w:val="clear" w:color="auto" w:fill="auto"/>
            <w:noWrap/>
            <w:vAlign w:val="center"/>
          </w:tcPr>
          <w:p>
            <w:pPr>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585" w:hRule="atLeast"/>
        </w:trPr>
        <w:tc>
          <w:tcPr>
            <w:tcW w:w="516" w:type="pct"/>
            <w:tcBorders>
              <w:top w:val="nil"/>
              <w:left w:val="double" w:color="000000" w:sz="4" w:space="0"/>
              <w:bottom w:val="double" w:color="000000" w:sz="4" w:space="0"/>
              <w:right w:val="nil"/>
            </w:tcBorders>
            <w:shd w:val="clear" w:color="auto" w:fill="auto"/>
            <w:vAlign w:val="center"/>
          </w:tcPr>
          <w:p>
            <w:pPr>
              <w:widowControl/>
              <w:jc w:val="center"/>
              <w:textAlignment w:val="center"/>
              <w:rPr>
                <w:rFonts w:hint="eastAsia" w:ascii="黑体" w:hAnsi="宋体" w:eastAsia="黑体" w:cs="黑体"/>
                <w:b/>
                <w:bCs/>
                <w:color w:val="0000FF"/>
                <w:kern w:val="0"/>
                <w:szCs w:val="21"/>
                <w:highlight w:val="none"/>
                <w:lang w:val="en-US" w:eastAsia="zh-CN"/>
              </w:rPr>
            </w:pPr>
            <w:r>
              <w:rPr>
                <w:rFonts w:hint="eastAsia" w:ascii="黑体" w:hAnsi="宋体" w:eastAsia="黑体" w:cs="黑体"/>
                <w:b/>
                <w:bCs/>
                <w:color w:val="0000FF"/>
                <w:kern w:val="0"/>
                <w:szCs w:val="21"/>
                <w:highlight w:val="none"/>
                <w:lang w:val="en-US" w:eastAsia="zh-CN"/>
              </w:rPr>
              <w:t>完成</w:t>
            </w:r>
          </w:p>
          <w:p>
            <w:pPr>
              <w:widowControl/>
              <w:jc w:val="center"/>
              <w:textAlignment w:val="center"/>
              <w:rPr>
                <w:rFonts w:hint="eastAsia" w:ascii="黑体" w:hAnsi="宋体" w:eastAsia="黑体" w:cs="黑体"/>
                <w:b/>
                <w:bCs/>
                <w:color w:val="auto"/>
                <w:kern w:val="0"/>
                <w:szCs w:val="21"/>
                <w:highlight w:val="none"/>
                <w:lang w:val="en-US" w:eastAsia="zh-CN"/>
              </w:rPr>
            </w:pPr>
            <w:r>
              <w:rPr>
                <w:rFonts w:hint="eastAsia" w:ascii="黑体" w:hAnsi="宋体" w:eastAsia="黑体" w:cs="黑体"/>
                <w:b/>
                <w:bCs/>
                <w:color w:val="0000FF"/>
                <w:kern w:val="0"/>
                <w:szCs w:val="21"/>
                <w:highlight w:val="none"/>
                <w:lang w:val="en-US" w:eastAsia="zh-CN"/>
              </w:rPr>
              <w:t>期限</w:t>
            </w:r>
          </w:p>
        </w:tc>
        <w:tc>
          <w:tcPr>
            <w:tcW w:w="4483" w:type="pct"/>
            <w:gridSpan w:val="6"/>
            <w:tcBorders>
              <w:top w:val="single" w:color="000000" w:sz="4" w:space="0"/>
              <w:left w:val="single" w:color="000000" w:sz="4" w:space="0"/>
              <w:bottom w:val="double" w:color="000000" w:sz="4" w:space="0"/>
              <w:right w:val="double" w:color="000000" w:sz="4" w:space="0"/>
            </w:tcBorders>
            <w:shd w:val="clear" w:color="auto" w:fill="auto"/>
            <w:noWrap/>
            <w:vAlign w:val="center"/>
          </w:tcPr>
          <w:p>
            <w:pPr>
              <w:jc w:val="center"/>
              <w:rPr>
                <w:rFonts w:ascii="宋体" w:hAnsi="宋体" w:cs="宋体"/>
                <w:color w:val="auto"/>
                <w:sz w:val="22"/>
                <w:szCs w:val="22"/>
                <w:highlight w:val="none"/>
              </w:rPr>
            </w:pPr>
          </w:p>
        </w:tc>
      </w:tr>
    </w:tbl>
    <w:p>
      <w:pPr>
        <w:pStyle w:val="2"/>
        <w:ind w:firstLine="0"/>
        <w:rPr>
          <w:rFonts w:ascii="Times New Roman"/>
          <w:b/>
          <w:bCs/>
          <w:color w:val="auto"/>
          <w:kern w:val="2"/>
          <w:sz w:val="21"/>
          <w:szCs w:val="24"/>
          <w:highlight w:val="none"/>
        </w:rPr>
      </w:pPr>
      <w:r>
        <w:rPr>
          <w:rFonts w:hint="eastAsia" w:ascii="Times New Roman"/>
          <w:b/>
          <w:bCs/>
          <w:color w:val="auto"/>
          <w:kern w:val="2"/>
          <w:sz w:val="21"/>
          <w:szCs w:val="24"/>
          <w:highlight w:val="none"/>
        </w:rPr>
        <w:t>说明：</w:t>
      </w:r>
    </w:p>
    <w:p>
      <w:pPr>
        <w:numPr>
          <w:ilvl w:val="0"/>
          <w:numId w:val="6"/>
        </w:numPr>
        <w:rPr>
          <w:b/>
          <w:bCs/>
          <w:color w:val="auto"/>
          <w:highlight w:val="none"/>
        </w:rPr>
      </w:pPr>
      <w:r>
        <w:rPr>
          <w:rFonts w:hint="eastAsia"/>
          <w:b/>
          <w:bCs/>
          <w:color w:val="auto"/>
          <w:highlight w:val="none"/>
        </w:rPr>
        <w:t>上述报价为含税报价，税率</w:t>
      </w:r>
      <w:r>
        <w:rPr>
          <w:b/>
          <w:bCs/>
          <w:color w:val="auto"/>
          <w:highlight w:val="none"/>
        </w:rPr>
        <w:t>6%</w:t>
      </w:r>
      <w:r>
        <w:rPr>
          <w:rFonts w:hint="eastAsia"/>
          <w:b/>
          <w:bCs/>
          <w:color w:val="auto"/>
          <w:highlight w:val="none"/>
        </w:rPr>
        <w:t>；</w:t>
      </w:r>
    </w:p>
    <w:p>
      <w:pPr>
        <w:numPr>
          <w:ilvl w:val="0"/>
          <w:numId w:val="6"/>
        </w:numPr>
        <w:rPr>
          <w:b/>
          <w:bCs/>
          <w:color w:val="auto"/>
          <w:highlight w:val="none"/>
        </w:rPr>
      </w:pPr>
      <w:r>
        <w:rPr>
          <w:rFonts w:hint="eastAsia"/>
          <w:b/>
          <w:bCs/>
          <w:color w:val="auto"/>
          <w:highlight w:val="none"/>
        </w:rPr>
        <w:t>上述报价含集成安装服务、三年运维服务；</w:t>
      </w:r>
    </w:p>
    <w:p>
      <w:pPr>
        <w:numPr>
          <w:ilvl w:val="0"/>
          <w:numId w:val="6"/>
        </w:numPr>
        <w:rPr>
          <w:b/>
          <w:bCs/>
          <w:color w:val="auto"/>
          <w:highlight w:val="none"/>
        </w:rPr>
      </w:pPr>
      <w:r>
        <w:rPr>
          <w:rFonts w:hint="eastAsia"/>
          <w:b/>
          <w:bCs/>
          <w:color w:val="auto"/>
          <w:highlight w:val="none"/>
        </w:rPr>
        <w:t>乡村振兴管理平台含一年内容运营服务（图文资讯的编辑、发布一年）</w:t>
      </w:r>
    </w:p>
    <w:p>
      <w:pPr>
        <w:pStyle w:val="2"/>
        <w:rPr>
          <w:color w:val="auto"/>
          <w:highlight w:val="none"/>
        </w:rPr>
      </w:pPr>
    </w:p>
    <w:p>
      <w:pPr>
        <w:tabs>
          <w:tab w:val="left" w:pos="1800"/>
          <w:tab w:val="left" w:pos="5580"/>
        </w:tabs>
        <w:spacing w:line="400" w:lineRule="exact"/>
        <w:ind w:left="1080" w:leftChars="257" w:right="-867" w:rightChars="-413" w:hanging="54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w:t>
      </w:r>
    </w:p>
    <w:p>
      <w:pPr>
        <w:pStyle w:val="14"/>
        <w:tabs>
          <w:tab w:val="left" w:pos="5580"/>
        </w:tabs>
        <w:spacing w:line="400" w:lineRule="exact"/>
        <w:rPr>
          <w:rFonts w:ascii="微软雅黑" w:hAnsi="微软雅黑" w:eastAsia="微软雅黑" w:cs="微软雅黑"/>
          <w:color w:val="auto"/>
          <w:sz w:val="24"/>
          <w:szCs w:val="24"/>
          <w:highlight w:val="none"/>
          <w:u w:val="single"/>
        </w:rPr>
      </w:pPr>
    </w:p>
    <w:p>
      <w:pPr>
        <w:pStyle w:val="14"/>
        <w:tabs>
          <w:tab w:val="left" w:pos="5580"/>
        </w:tabs>
        <w:spacing w:line="400" w:lineRule="exact"/>
        <w:ind w:left="1080" w:leftChars="257" w:hanging="54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投标人名称（单位盖章）：</w:t>
      </w:r>
      <w:r>
        <w:rPr>
          <w:rFonts w:hint="eastAsia" w:ascii="微软雅黑" w:hAnsi="微软雅黑" w:eastAsia="微软雅黑" w:cs="微软雅黑"/>
          <w:color w:val="auto"/>
          <w:sz w:val="24"/>
          <w:szCs w:val="24"/>
          <w:highlight w:val="none"/>
          <w:u w:val="single"/>
        </w:rPr>
        <w:t xml:space="preserve">                       </w:t>
      </w:r>
    </w:p>
    <w:p>
      <w:pPr>
        <w:pStyle w:val="14"/>
        <w:tabs>
          <w:tab w:val="left" w:pos="5580"/>
        </w:tabs>
        <w:spacing w:line="400" w:lineRule="exact"/>
        <w:ind w:left="1080" w:leftChars="257" w:hanging="540"/>
        <w:rPr>
          <w:rFonts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法定代表人（负责人）或委托代理(签字):</w:t>
      </w:r>
      <w:r>
        <w:rPr>
          <w:rFonts w:hint="eastAsia" w:ascii="微软雅黑" w:hAnsi="微软雅黑" w:eastAsia="微软雅黑" w:cs="微软雅黑"/>
          <w:color w:val="auto"/>
          <w:sz w:val="24"/>
          <w:szCs w:val="24"/>
          <w:highlight w:val="none"/>
          <w:u w:val="single"/>
        </w:rPr>
        <w:tab/>
      </w:r>
      <w:r>
        <w:rPr>
          <w:rFonts w:hint="eastAsia" w:ascii="微软雅黑" w:hAnsi="微软雅黑" w:eastAsia="微软雅黑" w:cs="微软雅黑"/>
          <w:color w:val="auto"/>
          <w:sz w:val="24"/>
          <w:szCs w:val="24"/>
          <w:highlight w:val="none"/>
          <w:u w:val="single"/>
        </w:rPr>
        <w:t xml:space="preserve">     </w:t>
      </w:r>
    </w:p>
    <w:p>
      <w:pPr>
        <w:pStyle w:val="14"/>
        <w:tabs>
          <w:tab w:val="left" w:pos="5580"/>
        </w:tabs>
        <w:spacing w:line="400" w:lineRule="exact"/>
        <w:rPr>
          <w:rFonts w:ascii="微软雅黑" w:hAnsi="微软雅黑" w:eastAsia="微软雅黑" w:cs="微软雅黑"/>
          <w:color w:val="auto"/>
          <w:sz w:val="24"/>
          <w:szCs w:val="24"/>
          <w:highlight w:val="none"/>
          <w:u w:val="single"/>
        </w:rPr>
      </w:pPr>
    </w:p>
    <w:p>
      <w:pPr>
        <w:pStyle w:val="14"/>
        <w:tabs>
          <w:tab w:val="left" w:pos="5580"/>
        </w:tabs>
        <w:spacing w:line="400" w:lineRule="exact"/>
        <w:ind w:left="1080" w:leftChars="257" w:hanging="540"/>
        <w:rPr>
          <w:rFonts w:ascii="微软雅黑" w:hAnsi="微软雅黑" w:eastAsia="微软雅黑" w:cs="微软雅黑"/>
          <w:color w:val="auto"/>
          <w:sz w:val="24"/>
          <w:szCs w:val="24"/>
          <w:highlight w:val="none"/>
          <w:u w:val="single"/>
        </w:rPr>
      </w:pPr>
    </w:p>
    <w:p>
      <w:pPr>
        <w:spacing w:line="400" w:lineRule="exact"/>
        <w:ind w:firstLine="360" w:firstLineChars="15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注:此表应按投标人须知的规定装订密封；</w:t>
      </w:r>
    </w:p>
    <w:p>
      <w:pPr>
        <w:rPr>
          <w:rFonts w:ascii="仿宋_GB2312" w:hAnsi="宋体" w:eastAsia="仿宋_GB2312"/>
          <w:color w:val="auto"/>
          <w:sz w:val="24"/>
          <w:highlight w:val="none"/>
        </w:rPr>
      </w:pPr>
    </w:p>
    <w:p>
      <w:pPr>
        <w:pStyle w:val="2"/>
        <w:rPr>
          <w:rFonts w:ascii="仿宋_GB2312" w:hAnsi="宋体" w:eastAsia="仿宋_GB2312"/>
          <w:color w:val="auto"/>
          <w:highlight w:val="none"/>
        </w:rPr>
      </w:pPr>
    </w:p>
    <w:p>
      <w:pPr>
        <w:rPr>
          <w:color w:val="auto"/>
          <w:highlight w:val="none"/>
        </w:rPr>
      </w:pPr>
      <w:r>
        <w:rPr>
          <w:rFonts w:hint="eastAsia"/>
          <w:color w:val="auto"/>
          <w:highlight w:val="none"/>
        </w:rPr>
        <w:br w:type="page"/>
      </w:r>
    </w:p>
    <w:bookmarkEnd w:id="292"/>
    <w:p>
      <w:pPr>
        <w:pStyle w:val="14"/>
        <w:tabs>
          <w:tab w:val="left" w:pos="5580"/>
        </w:tabs>
        <w:spacing w:line="240" w:lineRule="atLeast"/>
        <w:outlineLvl w:val="1"/>
        <w:rPr>
          <w:rFonts w:ascii="微软雅黑" w:hAnsi="微软雅黑" w:eastAsia="微软雅黑" w:cs="微软雅黑"/>
          <w:b/>
          <w:color w:val="auto"/>
          <w:kern w:val="0"/>
          <w:sz w:val="24"/>
          <w:szCs w:val="24"/>
          <w:highlight w:val="none"/>
        </w:rPr>
      </w:pPr>
      <w:r>
        <w:rPr>
          <w:rFonts w:hint="eastAsia" w:ascii="微软雅黑" w:hAnsi="微软雅黑" w:eastAsia="微软雅黑" w:cs="微软雅黑"/>
          <w:b/>
          <w:color w:val="auto"/>
          <w:kern w:val="0"/>
          <w:sz w:val="24"/>
          <w:szCs w:val="24"/>
          <w:highlight w:val="none"/>
        </w:rPr>
        <w:t>2、法人、非法人组织或者自然人资格证明文件；（加盖公章）；</w:t>
      </w:r>
    </w:p>
    <w:p>
      <w:pPr>
        <w:pStyle w:val="14"/>
        <w:tabs>
          <w:tab w:val="left" w:pos="5580"/>
        </w:tabs>
        <w:spacing w:line="240" w:lineRule="atLeast"/>
        <w:outlineLvl w:val="1"/>
        <w:rPr>
          <w:rFonts w:ascii="微软雅黑" w:hAnsi="微软雅黑" w:eastAsia="微软雅黑" w:cs="微软雅黑"/>
          <w:b/>
          <w:color w:val="auto"/>
          <w:kern w:val="0"/>
          <w:sz w:val="24"/>
          <w:szCs w:val="24"/>
          <w:highlight w:val="none"/>
        </w:rPr>
      </w:pPr>
    </w:p>
    <w:p>
      <w:pPr>
        <w:pStyle w:val="14"/>
        <w:tabs>
          <w:tab w:val="left" w:pos="5580"/>
        </w:tabs>
        <w:spacing w:line="240" w:lineRule="atLeast"/>
        <w:outlineLvl w:val="1"/>
        <w:rPr>
          <w:rFonts w:ascii="微软雅黑" w:hAnsi="微软雅黑" w:eastAsia="微软雅黑" w:cs="微软雅黑"/>
          <w:b/>
          <w:color w:val="auto"/>
          <w:kern w:val="0"/>
          <w:sz w:val="24"/>
          <w:szCs w:val="24"/>
          <w:highlight w:val="none"/>
        </w:rPr>
      </w:pPr>
    </w:p>
    <w:p>
      <w:pPr>
        <w:pStyle w:val="14"/>
        <w:tabs>
          <w:tab w:val="left" w:pos="5580"/>
        </w:tabs>
        <w:spacing w:line="240" w:lineRule="atLeast"/>
        <w:outlineLvl w:val="1"/>
        <w:rPr>
          <w:rFonts w:ascii="微软雅黑" w:hAnsi="微软雅黑" w:eastAsia="微软雅黑" w:cs="微软雅黑"/>
          <w:b/>
          <w:color w:val="auto"/>
          <w:kern w:val="0"/>
          <w:sz w:val="24"/>
          <w:szCs w:val="24"/>
          <w:highlight w:val="none"/>
        </w:rPr>
      </w:pPr>
      <w:r>
        <w:rPr>
          <w:rFonts w:hint="eastAsia" w:ascii="微软雅黑" w:hAnsi="微软雅黑" w:eastAsia="微软雅黑" w:cs="微软雅黑"/>
          <w:b/>
          <w:color w:val="auto"/>
          <w:kern w:val="0"/>
          <w:sz w:val="24"/>
          <w:szCs w:val="24"/>
          <w:highlight w:val="none"/>
        </w:rPr>
        <w:t>3、授权委托人投标的需提供法人（负责人）代表资格证明书及授权委托书、被授权人身份证；法定代表人（负责人）投标的需提供法人（负责人）代表资格证明书及法人（负责人）身份证；授权委托人需提供本人在本单位近三个月单位社保缴费凭证和个人明细表；（加盖公章）；</w:t>
      </w:r>
    </w:p>
    <w:p>
      <w:pPr>
        <w:rPr>
          <w:rFonts w:ascii="微软雅黑" w:hAnsi="微软雅黑" w:eastAsia="微软雅黑" w:cs="微软雅黑"/>
          <w:color w:val="auto"/>
          <w:sz w:val="24"/>
          <w:highlight w:val="none"/>
        </w:rPr>
      </w:pPr>
      <w:r>
        <w:rPr>
          <w:rFonts w:hint="eastAsia" w:ascii="微软雅黑" w:hAnsi="微软雅黑" w:eastAsia="微软雅黑" w:cs="微软雅黑"/>
          <w:b/>
          <w:color w:val="auto"/>
          <w:sz w:val="24"/>
          <w:highlight w:val="none"/>
        </w:rPr>
        <w:t>（一）法定代表人（负责人）身份证明</w:t>
      </w:r>
    </w:p>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同志，现任我单位</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职务，为法定代表人（负责人），特此证明。</w:t>
      </w:r>
    </w:p>
    <w:p>
      <w:pPr>
        <w:spacing w:line="400" w:lineRule="exact"/>
        <w:ind w:firstLine="240" w:firstLineChars="1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签发日期：                  单位：           （盖章）</w:t>
      </w:r>
    </w:p>
    <w:p>
      <w:pPr>
        <w:spacing w:line="400" w:lineRule="exact"/>
        <w:ind w:firstLine="240" w:firstLineChars="1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附：代表人（负责人）性别：            年龄：           身份证号码：</w:t>
      </w:r>
    </w:p>
    <w:p>
      <w:pPr>
        <w:spacing w:line="400" w:lineRule="exact"/>
        <w:ind w:firstLine="240" w:firstLineChars="1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联系电话：</w:t>
      </w:r>
    </w:p>
    <w:p>
      <w:pPr>
        <w:spacing w:line="400" w:lineRule="exact"/>
        <w:ind w:firstLine="240" w:firstLineChars="1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营业执照号码：              经济性质：</w:t>
      </w:r>
    </w:p>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说明：</w:t>
      </w:r>
    </w:p>
    <w:p>
      <w:pPr>
        <w:spacing w:line="400" w:lineRule="exact"/>
        <w:ind w:firstLine="240" w:firstLineChars="1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1、法定代表人（负责人）为企业事业单位、国家机关、社会团体的主要行政负责人。</w:t>
      </w:r>
    </w:p>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2、内容必须填写真实、清楚、涂改无效，不得转让。</w:t>
      </w:r>
    </w:p>
    <w:p>
      <w:pPr>
        <w:spacing w:line="400" w:lineRule="exact"/>
        <w:ind w:firstLine="240" w:firstLineChars="1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3、将此证明书原件提交采购代理机构作为投标文件附件。</w:t>
      </w:r>
    </w:p>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(为避免投标无效，请投标人务必提供本附件)</w:t>
      </w:r>
    </w:p>
    <w:p>
      <w:pPr>
        <w:spacing w:line="400" w:lineRule="exact"/>
        <w:rPr>
          <w:rFonts w:ascii="微软雅黑" w:hAnsi="微软雅黑" w:eastAsia="微软雅黑" w:cs="微软雅黑"/>
          <w:color w:val="auto"/>
          <w:sz w:val="24"/>
          <w:highlight w:val="none"/>
        </w:rPr>
      </w:pPr>
      <w:r>
        <w:rPr>
          <w:rFonts w:ascii="微软雅黑" w:hAnsi="微软雅黑" w:eastAsia="微软雅黑" w:cs="微软雅黑"/>
          <w:color w:val="auto"/>
          <w:sz w:val="24"/>
          <w:highlight w:val="none"/>
        </w:rPr>
        <w:pict>
          <v:roundrect id="_x0000_s1026" o:spid="_x0000_s1026" o:spt="2" style="position:absolute;left:0pt;margin-left:12.6pt;margin-top:4.65pt;height:122.6pt;width:205.5pt;z-index:251664384;mso-width-relative:page;mso-height-relative:page;" stroked="t" coordsize="21600,21600" arcsize="0.166666666666667" o:gfxdata="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Xze29kAAAAIAQAADwAAAAAAAAABACAAAAAiAAAAZHJzL2Rvd25y&#10;ZXYueG1sUEsBAhQAFAAAAAgAh07iQKIo4002AgAAdgQAAA4AAAAAAAAAAQAgAAAAKAEAAGRycy9l&#10;Mm9Eb2MueG1sUEsFBgAAAAAGAAYAWQEAANAFAAAAAA==&#10;">
            <v:path/>
            <v:fill focussize="0,0"/>
            <v:stroke weight="1.25pt" color="#808080"/>
            <v:imagedata o:title=""/>
            <o:lock v:ext="edit"/>
            <v:textbo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法人（负责人）身份证复印件正面</w:t>
                  </w:r>
                </w:p>
                <w:p/>
                <w:p>
                  <w:pPr>
                    <w:pStyle w:val="2"/>
                  </w:pPr>
                </w:p>
                <w:p>
                  <w:pPr>
                    <w:pStyle w:val="2"/>
                  </w:pPr>
                </w:p>
                <w:p>
                  <w:pPr>
                    <w:pStyle w:val="2"/>
                  </w:pPr>
                </w:p>
                <w:p>
                  <w:pPr>
                    <w:pStyle w:val="2"/>
                  </w:pPr>
                </w:p>
              </w:txbxContent>
            </v:textbox>
          </v:roundrect>
        </w:pict>
      </w:r>
      <w:r>
        <w:rPr>
          <w:rFonts w:ascii="微软雅黑" w:hAnsi="微软雅黑" w:eastAsia="微软雅黑" w:cs="微软雅黑"/>
          <w:color w:val="auto"/>
          <w:sz w:val="24"/>
          <w:highlight w:val="none"/>
        </w:rPr>
        <w:pict>
          <v:roundrect id="_x0000_s1033" o:spid="_x0000_s1033" o:spt="2" style="position:absolute;left:0pt;margin-left:229.8pt;margin-top:2.25pt;height:122.6pt;width:205.5pt;z-index:251659264;mso-width-relative:page;mso-height-relative:page;" stroked="t" coordsize="21600,21600" arcsize="0.166666666666667" o:gfxdata="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8vY1/aAAAACQEAAA8AAAAAAAAAAQAgAAAAIgAAAGRycy9kb3du&#10;cmV2LnhtbFBLAQIUABQAAAAIAIdO4kAI6kVeNgIAAHYEAAAOAAAAAAAAAAEAIAAAACkBAABkcnMv&#10;ZTJvRG9jLnhtbFBLBQYAAAAABgAGAFkBAADRBQAAAAA=&#10;">
            <v:path/>
            <v:fill focussize="0,0"/>
            <v:stroke weight="1.25pt" color="#808080"/>
            <v:imagedata o:title=""/>
            <o:lock v:ext="edit"/>
            <v:textbo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法人（负责人）身份证复印件反面</w:t>
                  </w:r>
                </w:p>
                <w:p/>
                <w:p>
                  <w:pPr>
                    <w:pStyle w:val="2"/>
                  </w:pPr>
                </w:p>
                <w:p>
                  <w:pPr>
                    <w:pStyle w:val="2"/>
                  </w:pPr>
                </w:p>
                <w:p>
                  <w:pPr>
                    <w:pStyle w:val="2"/>
                  </w:pPr>
                </w:p>
                <w:p>
                  <w:pPr>
                    <w:pStyle w:val="2"/>
                  </w:pPr>
                </w:p>
              </w:txbxContent>
            </v:textbox>
          </v:roundrect>
        </w:pict>
      </w:r>
    </w:p>
    <w:p>
      <w:pPr>
        <w:spacing w:line="400" w:lineRule="exact"/>
        <w:rPr>
          <w:rFonts w:ascii="微软雅黑" w:hAnsi="微软雅黑" w:eastAsia="微软雅黑" w:cs="微软雅黑"/>
          <w:color w:val="auto"/>
          <w:sz w:val="24"/>
          <w:highlight w:val="none"/>
        </w:rPr>
      </w:pPr>
    </w:p>
    <w:p>
      <w:pPr>
        <w:spacing w:line="400" w:lineRule="exact"/>
        <w:rPr>
          <w:rFonts w:ascii="微软雅黑" w:hAnsi="微软雅黑" w:eastAsia="微软雅黑" w:cs="微软雅黑"/>
          <w:color w:val="auto"/>
          <w:sz w:val="24"/>
          <w:highlight w:val="none"/>
        </w:rPr>
      </w:pPr>
    </w:p>
    <w:p>
      <w:pPr>
        <w:tabs>
          <w:tab w:val="left" w:pos="654"/>
          <w:tab w:val="left" w:pos="1734"/>
          <w:tab w:val="left" w:pos="2814"/>
          <w:tab w:val="left" w:pos="3894"/>
          <w:tab w:val="left" w:pos="5334"/>
          <w:tab w:val="left" w:pos="6414"/>
          <w:tab w:val="left" w:pos="7254"/>
          <w:tab w:val="left" w:pos="8574"/>
          <w:tab w:val="left" w:pos="9654"/>
        </w:tabs>
        <w:spacing w:line="400" w:lineRule="exact"/>
        <w:rPr>
          <w:rFonts w:ascii="微软雅黑" w:hAnsi="微软雅黑" w:eastAsia="微软雅黑" w:cs="微软雅黑"/>
          <w:color w:val="auto"/>
          <w:sz w:val="24"/>
          <w:highlight w:val="none"/>
        </w:rPr>
      </w:pPr>
    </w:p>
    <w:p>
      <w:pPr>
        <w:autoSpaceDE w:val="0"/>
        <w:autoSpaceDN w:val="0"/>
        <w:adjustRightInd w:val="0"/>
        <w:spacing w:line="400" w:lineRule="exact"/>
        <w:ind w:right="246"/>
        <w:rPr>
          <w:rFonts w:ascii="微软雅黑" w:hAnsi="微软雅黑" w:eastAsia="微软雅黑" w:cs="微软雅黑"/>
          <w:color w:val="auto"/>
          <w:kern w:val="0"/>
          <w:sz w:val="24"/>
          <w:highlight w:val="none"/>
        </w:rPr>
      </w:pPr>
    </w:p>
    <w:p>
      <w:pPr>
        <w:autoSpaceDE w:val="0"/>
        <w:autoSpaceDN w:val="0"/>
        <w:adjustRightInd w:val="0"/>
        <w:spacing w:line="400" w:lineRule="exact"/>
        <w:ind w:right="246"/>
        <w:rPr>
          <w:rFonts w:ascii="微软雅黑" w:hAnsi="微软雅黑" w:eastAsia="微软雅黑" w:cs="微软雅黑"/>
          <w:color w:val="auto"/>
          <w:kern w:val="0"/>
          <w:sz w:val="24"/>
          <w:highlight w:val="none"/>
        </w:rPr>
      </w:pPr>
    </w:p>
    <w:p>
      <w:pPr>
        <w:autoSpaceDE w:val="0"/>
        <w:autoSpaceDN w:val="0"/>
        <w:adjustRightInd w:val="0"/>
        <w:spacing w:line="400" w:lineRule="exact"/>
        <w:ind w:right="246" w:firstLine="784" w:firstLineChars="327"/>
        <w:rPr>
          <w:rFonts w:ascii="微软雅黑" w:hAnsi="微软雅黑" w:eastAsia="微软雅黑" w:cs="微软雅黑"/>
          <w:color w:val="auto"/>
          <w:kern w:val="0"/>
          <w:sz w:val="24"/>
          <w:highlight w:val="none"/>
        </w:rPr>
      </w:pPr>
    </w:p>
    <w:p>
      <w:pPr>
        <w:autoSpaceDE w:val="0"/>
        <w:autoSpaceDN w:val="0"/>
        <w:adjustRightInd w:val="0"/>
        <w:spacing w:line="400" w:lineRule="exact"/>
        <w:ind w:right="246" w:firstLine="784" w:firstLineChars="327"/>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投标人（盖章）：</w:t>
      </w:r>
      <w:r>
        <w:rPr>
          <w:rFonts w:hint="eastAsia" w:ascii="微软雅黑" w:hAnsi="微软雅黑" w:eastAsia="微软雅黑" w:cs="微软雅黑"/>
          <w:color w:val="auto"/>
          <w:kern w:val="0"/>
          <w:sz w:val="24"/>
          <w:highlight w:val="none"/>
          <w:u w:val="single"/>
        </w:rPr>
        <w:t xml:space="preserve">                             </w:t>
      </w:r>
      <w:r>
        <w:rPr>
          <w:rFonts w:hint="eastAsia" w:ascii="微软雅黑" w:hAnsi="微软雅黑" w:eastAsia="微软雅黑" w:cs="微软雅黑"/>
          <w:color w:val="auto"/>
          <w:kern w:val="0"/>
          <w:sz w:val="24"/>
          <w:highlight w:val="none"/>
        </w:rPr>
        <w:t xml:space="preserve"> </w:t>
      </w:r>
    </w:p>
    <w:p>
      <w:pPr>
        <w:adjustRightInd w:val="0"/>
        <w:snapToGrid w:val="0"/>
        <w:spacing w:line="400" w:lineRule="exact"/>
        <w:ind w:firstLine="784" w:firstLineChars="327"/>
        <w:rPr>
          <w:rFonts w:ascii="微软雅黑" w:hAnsi="微软雅黑" w:eastAsia="微软雅黑" w:cs="微软雅黑"/>
          <w:color w:val="auto"/>
          <w:sz w:val="24"/>
          <w:highlight w:val="none"/>
        </w:rPr>
      </w:pPr>
    </w:p>
    <w:p>
      <w:pPr>
        <w:adjustRightInd w:val="0"/>
        <w:snapToGrid w:val="0"/>
        <w:spacing w:line="400" w:lineRule="exact"/>
        <w:ind w:firstLine="784" w:firstLineChars="327"/>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法定代表人（负责人）签字或盖章：</w:t>
      </w:r>
      <w:r>
        <w:rPr>
          <w:rFonts w:hint="eastAsia" w:ascii="微软雅黑" w:hAnsi="微软雅黑" w:eastAsia="微软雅黑" w:cs="微软雅黑"/>
          <w:color w:val="auto"/>
          <w:sz w:val="24"/>
          <w:highlight w:val="none"/>
          <w:u w:val="single"/>
        </w:rPr>
        <w:t xml:space="preserve">            </w:t>
      </w:r>
    </w:p>
    <w:p>
      <w:pPr>
        <w:adjustRightInd w:val="0"/>
        <w:snapToGrid w:val="0"/>
        <w:spacing w:line="400" w:lineRule="exact"/>
        <w:ind w:firstLine="784" w:firstLineChars="327"/>
        <w:rPr>
          <w:rFonts w:ascii="微软雅黑" w:hAnsi="微软雅黑" w:eastAsia="微软雅黑" w:cs="微软雅黑"/>
          <w:color w:val="auto"/>
          <w:sz w:val="24"/>
          <w:highlight w:val="none"/>
        </w:rPr>
      </w:pPr>
    </w:p>
    <w:p>
      <w:pPr>
        <w:adjustRightInd w:val="0"/>
        <w:snapToGrid w:val="0"/>
        <w:spacing w:line="400" w:lineRule="exact"/>
        <w:ind w:firstLine="784" w:firstLineChars="327"/>
        <w:rPr>
          <w:rFonts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日期：</w:t>
      </w:r>
      <w:r>
        <w:rPr>
          <w:rFonts w:hint="eastAsia" w:ascii="微软雅黑" w:hAnsi="微软雅黑" w:eastAsia="微软雅黑" w:cs="微软雅黑"/>
          <w:color w:val="auto"/>
          <w:sz w:val="24"/>
          <w:highlight w:val="none"/>
          <w:u w:val="single"/>
        </w:rPr>
        <w:t xml:space="preserve">                                       </w:t>
      </w:r>
      <w:bookmarkStart w:id="297" w:name="_Toc22472"/>
      <w:bookmarkStart w:id="298" w:name="_Toc1083"/>
      <w:bookmarkStart w:id="299" w:name="_Toc515647807"/>
    </w:p>
    <w:p>
      <w:pPr>
        <w:pStyle w:val="2"/>
        <w:rPr>
          <w:rFonts w:ascii="微软雅黑" w:hAnsi="微软雅黑" w:eastAsia="微软雅黑" w:cs="微软雅黑"/>
          <w:color w:val="auto"/>
          <w:szCs w:val="24"/>
          <w:highlight w:val="none"/>
          <w:u w:val="single"/>
        </w:rPr>
      </w:pPr>
    </w:p>
    <w:p>
      <w:pPr>
        <w:pStyle w:val="2"/>
        <w:rPr>
          <w:rFonts w:ascii="微软雅黑" w:hAnsi="微软雅黑" w:eastAsia="微软雅黑" w:cs="微软雅黑"/>
          <w:color w:val="auto"/>
          <w:szCs w:val="24"/>
          <w:highlight w:val="none"/>
          <w:u w:val="single"/>
        </w:rPr>
      </w:pPr>
    </w:p>
    <w:p>
      <w:pPr>
        <w:rPr>
          <w:rFonts w:ascii="微软雅黑" w:hAnsi="微软雅黑" w:eastAsia="微软雅黑" w:cs="微软雅黑"/>
          <w:b/>
          <w:bCs/>
          <w:color w:val="auto"/>
          <w:sz w:val="24"/>
          <w:highlight w:val="none"/>
          <w:u w:val="single"/>
        </w:rPr>
      </w:pPr>
      <w:r>
        <w:rPr>
          <w:rFonts w:hint="eastAsia"/>
          <w:color w:val="auto"/>
          <w:highlight w:val="none"/>
        </w:rPr>
        <w:br w:type="page"/>
      </w:r>
      <w:r>
        <w:rPr>
          <w:rFonts w:hint="eastAsia" w:ascii="微软雅黑" w:hAnsi="微软雅黑" w:eastAsia="微软雅黑" w:cs="微软雅黑"/>
          <w:b/>
          <w:bCs/>
          <w:color w:val="auto"/>
          <w:sz w:val="24"/>
          <w:highlight w:val="none"/>
        </w:rPr>
        <w:t>（二）法定代表人（负责人）授权委托书</w:t>
      </w:r>
      <w:bookmarkEnd w:id="297"/>
      <w:bookmarkEnd w:id="298"/>
      <w:bookmarkEnd w:id="299"/>
    </w:p>
    <w:p>
      <w:pPr>
        <w:pStyle w:val="14"/>
        <w:tabs>
          <w:tab w:val="left" w:pos="5580"/>
        </w:tabs>
        <w:spacing w:line="360" w:lineRule="exact"/>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本授权书声明：注册于</w:t>
      </w:r>
      <w:r>
        <w:rPr>
          <w:rFonts w:hint="eastAsia" w:ascii="微软雅黑" w:hAnsi="微软雅黑" w:eastAsia="微软雅黑" w:cs="微软雅黑"/>
          <w:color w:val="auto"/>
          <w:sz w:val="24"/>
          <w:szCs w:val="24"/>
          <w:highlight w:val="none"/>
          <w:u w:val="single"/>
        </w:rPr>
        <w:t>（国家或地区的名称）</w:t>
      </w:r>
      <w:r>
        <w:rPr>
          <w:rFonts w:hint="eastAsia" w:ascii="微软雅黑" w:hAnsi="微软雅黑" w:eastAsia="微软雅黑" w:cs="微软雅黑"/>
          <w:color w:val="auto"/>
          <w:sz w:val="24"/>
          <w:szCs w:val="24"/>
          <w:highlight w:val="none"/>
        </w:rPr>
        <w:t>的（</w:t>
      </w:r>
      <w:r>
        <w:rPr>
          <w:rFonts w:hint="eastAsia" w:ascii="微软雅黑" w:hAnsi="微软雅黑" w:eastAsia="微软雅黑" w:cs="微软雅黑"/>
          <w:color w:val="auto"/>
          <w:sz w:val="24"/>
          <w:szCs w:val="24"/>
          <w:highlight w:val="none"/>
          <w:u w:val="single"/>
        </w:rPr>
        <w:t>投标人</w:t>
      </w:r>
      <w:r>
        <w:rPr>
          <w:rFonts w:hint="eastAsia" w:ascii="微软雅黑" w:hAnsi="微软雅黑" w:eastAsia="微软雅黑" w:cs="微软雅黑"/>
          <w:color w:val="auto"/>
          <w:sz w:val="24"/>
          <w:szCs w:val="24"/>
          <w:highlight w:val="none"/>
        </w:rPr>
        <w:t>）的在下面签字的（</w:t>
      </w:r>
      <w:r>
        <w:rPr>
          <w:rFonts w:hint="eastAsia" w:ascii="微软雅黑" w:hAnsi="微软雅黑" w:eastAsia="微软雅黑" w:cs="微软雅黑"/>
          <w:color w:val="auto"/>
          <w:sz w:val="24"/>
          <w:szCs w:val="24"/>
          <w:highlight w:val="none"/>
          <w:u w:val="single"/>
        </w:rPr>
        <w:t>法人（负责人）代表姓名、职务</w:t>
      </w:r>
      <w:r>
        <w:rPr>
          <w:rFonts w:hint="eastAsia" w:ascii="微软雅黑" w:hAnsi="微软雅黑" w:eastAsia="微软雅黑" w:cs="微软雅黑"/>
          <w:color w:val="auto"/>
          <w:sz w:val="24"/>
          <w:szCs w:val="24"/>
          <w:highlight w:val="none"/>
        </w:rPr>
        <w:t>）代表我单位授权（</w:t>
      </w:r>
      <w:r>
        <w:rPr>
          <w:rFonts w:hint="eastAsia" w:ascii="微软雅黑" w:hAnsi="微软雅黑" w:eastAsia="微软雅黑" w:cs="微软雅黑"/>
          <w:color w:val="auto"/>
          <w:sz w:val="24"/>
          <w:szCs w:val="24"/>
          <w:highlight w:val="none"/>
          <w:u w:val="single"/>
        </w:rPr>
        <w:t>单位名称</w:t>
      </w:r>
      <w:r>
        <w:rPr>
          <w:rFonts w:hint="eastAsia" w:ascii="微软雅黑" w:hAnsi="微软雅黑" w:eastAsia="微软雅黑" w:cs="微软雅黑"/>
          <w:color w:val="auto"/>
          <w:sz w:val="24"/>
          <w:szCs w:val="24"/>
          <w:highlight w:val="none"/>
        </w:rPr>
        <w:t>）的在下面签字的（</w:t>
      </w:r>
      <w:r>
        <w:rPr>
          <w:rFonts w:hint="eastAsia" w:ascii="微软雅黑" w:hAnsi="微软雅黑" w:eastAsia="微软雅黑" w:cs="微软雅黑"/>
          <w:color w:val="auto"/>
          <w:sz w:val="24"/>
          <w:szCs w:val="24"/>
          <w:highlight w:val="none"/>
          <w:u w:val="single"/>
        </w:rPr>
        <w:t>被授权人的姓名、职务</w:t>
      </w:r>
      <w:r>
        <w:rPr>
          <w:rFonts w:hint="eastAsia" w:ascii="微软雅黑" w:hAnsi="微软雅黑" w:eastAsia="微软雅黑" w:cs="微软雅黑"/>
          <w:color w:val="auto"/>
          <w:sz w:val="24"/>
          <w:szCs w:val="24"/>
          <w:highlight w:val="none"/>
        </w:rPr>
        <w:t>）为我单位的合法代理人，就（</w:t>
      </w:r>
      <w:r>
        <w:rPr>
          <w:rFonts w:hint="eastAsia" w:ascii="微软雅黑" w:hAnsi="微软雅黑" w:eastAsia="微软雅黑" w:cs="微软雅黑"/>
          <w:color w:val="auto"/>
          <w:sz w:val="24"/>
          <w:szCs w:val="24"/>
          <w:highlight w:val="none"/>
          <w:u w:val="single"/>
        </w:rPr>
        <w:t>项目名称</w:t>
      </w:r>
      <w:r>
        <w:rPr>
          <w:rFonts w:hint="eastAsia" w:ascii="微软雅黑" w:hAnsi="微软雅黑" w:eastAsia="微软雅黑" w:cs="微软雅黑"/>
          <w:color w:val="auto"/>
          <w:sz w:val="24"/>
          <w:szCs w:val="24"/>
          <w:highlight w:val="none"/>
        </w:rPr>
        <w:t>）的投标，以我单位名义处理一切与之有关的事务。</w:t>
      </w:r>
      <w:r>
        <w:rPr>
          <w:rFonts w:hint="eastAsia" w:ascii="微软雅黑" w:hAnsi="微软雅黑" w:eastAsia="微软雅黑" w:cs="微软雅黑"/>
          <w:color w:val="auto"/>
          <w:sz w:val="24"/>
          <w:szCs w:val="24"/>
          <w:highlight w:val="none"/>
        </w:rPr>
        <w:cr/>
      </w:r>
      <w:r>
        <w:rPr>
          <w:rFonts w:hint="eastAsia" w:ascii="微软雅黑" w:hAnsi="微软雅黑" w:eastAsia="微软雅黑" w:cs="微软雅黑"/>
          <w:color w:val="auto"/>
          <w:sz w:val="24"/>
          <w:szCs w:val="24"/>
          <w:highlight w:val="none"/>
        </w:rPr>
        <w:t>　　</w:t>
      </w:r>
    </w:p>
    <w:p>
      <w:pPr>
        <w:pStyle w:val="14"/>
        <w:tabs>
          <w:tab w:val="left" w:pos="5580"/>
        </w:tabs>
        <w:spacing w:line="360" w:lineRule="exact"/>
        <w:ind w:left="-540" w:leftChars="-257" w:firstLine="900" w:firstLineChars="375"/>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本授权书于</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年</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日签字生效,特此声明。</w:t>
      </w:r>
      <w:r>
        <w:rPr>
          <w:rFonts w:hint="eastAsia" w:ascii="微软雅黑" w:hAnsi="微软雅黑" w:eastAsia="微软雅黑" w:cs="微软雅黑"/>
          <w:color w:val="auto"/>
          <w:sz w:val="24"/>
          <w:szCs w:val="24"/>
          <w:highlight w:val="none"/>
        </w:rPr>
        <w:cr/>
      </w:r>
    </w:p>
    <w:p>
      <w:pPr>
        <w:pStyle w:val="14"/>
        <w:tabs>
          <w:tab w:val="left" w:pos="5580"/>
        </w:tabs>
        <w:spacing w:line="240" w:lineRule="atLeast"/>
        <w:ind w:left="-540" w:leftChars="-257" w:firstLine="900" w:firstLineChars="375"/>
        <w:rPr>
          <w:rFonts w:ascii="微软雅黑" w:hAnsi="微软雅黑" w:eastAsia="微软雅黑" w:cs="微软雅黑"/>
          <w:color w:val="auto"/>
          <w:sz w:val="24"/>
          <w:szCs w:val="24"/>
          <w:highlight w:val="none"/>
        </w:rPr>
      </w:pPr>
      <w:r>
        <w:rPr>
          <w:rFonts w:ascii="微软雅黑" w:hAnsi="微软雅黑" w:eastAsia="微软雅黑" w:cs="微软雅黑"/>
          <w:color w:val="auto"/>
          <w:sz w:val="24"/>
          <w:szCs w:val="24"/>
          <w:highlight w:val="none"/>
        </w:rPr>
        <w:pict>
          <v:roundrect id="自选图形 5" o:spid="_x0000_s1032" o:spt="2" style="position:absolute;left:0pt;margin-left:234.8pt;margin-top:5.7pt;height:111.45pt;width:184.7pt;z-index:251661312;mso-width-relative:page;mso-height-relative:page;" stroked="t" coordsize="21600,21600" arcsize="0.166666666666667" o:gfxdata="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0/pT32wAAAAoBAAAPAAAAAAAAAAEAIAAAACIAAABkcnMvZG93bnJldi54bWxQ&#10;SwECFAAUAAAACACHTuJAhiYBbC0CAABmBAAADgAAAAAAAAABACAAAAAqAQAAZHJzL2Uyb0RvYy54&#10;bWxQSwUGAAAAAAYABgBZAQAAyQUAAAAA&#10;">
            <v:path/>
            <v:fill focussize="0,0"/>
            <v:stroke weight="1.25pt" color="#808080"/>
            <v:imagedata o:title=""/>
            <o:lock v:ext="edit"/>
            <v:textbox>
              <w:txbxContent>
                <w:p>
                  <w:pPr>
                    <w:rPr>
                      <w:rFonts w:hAnsi="宋体"/>
                    </w:rPr>
                  </w:pPr>
                </w:p>
                <w:p>
                  <w:pPr>
                    <w:rPr>
                      <w:rFonts w:hAnsi="宋体"/>
                    </w:rPr>
                  </w:pPr>
                </w:p>
                <w:p>
                  <w:r>
                    <w:rPr>
                      <w:rFonts w:hint="eastAsia" w:hAnsi="宋体"/>
                    </w:rPr>
                    <w:t>授权委托人身份证复印件反面</w:t>
                  </w:r>
                </w:p>
                <w:p/>
              </w:txbxContent>
            </v:textbox>
          </v:roundrect>
        </w:pict>
      </w:r>
      <w:r>
        <w:rPr>
          <w:rFonts w:ascii="微软雅黑" w:hAnsi="微软雅黑" w:eastAsia="微软雅黑" w:cs="微软雅黑"/>
          <w:color w:val="auto"/>
          <w:sz w:val="24"/>
          <w:szCs w:val="24"/>
          <w:highlight w:val="none"/>
        </w:rPr>
        <w:pict>
          <v:shape id="自选图形 6" o:spid="_x0000_s1031" o:spt="176" type="#_x0000_t176" style="position:absolute;left:0pt;margin-left:1.65pt;margin-top:10.7pt;height:108pt;width:198.25pt;z-index:251660288;mso-width-relative:page;mso-height-relative:page;" coordsize="21600,21600" o:gfxdata="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WMbMotcAAAAIAQAADwAAAAAAAAABACAAAAAiAAAAZHJzL2Rvd25yZXYueG1sUEsBAhQAFAAAAAgA&#10;h07iQHr1q9smAgAAUwQAAA4AAAAAAAAAAQAgAAAAJgEAAGRycy9lMm9Eb2MueG1sUEsFBgAAAAAG&#10;AAYAWQEAAL4FAAAAAA==&#10;">
            <v:path/>
            <v:fill focussize="0,0"/>
            <v:stroke joinstyle="miter"/>
            <v:imagedata o:title=""/>
            <o:lock v:ext="edit"/>
            <v:textbox>
              <w:txbxContent>
                <w:p>
                  <w:pPr>
                    <w:jc w:val="center"/>
                    <w:rPr>
                      <w:rFonts w:hAnsi="宋体"/>
                    </w:rPr>
                  </w:pPr>
                </w:p>
                <w:p>
                  <w:pPr>
                    <w:jc w:val="center"/>
                    <w:rPr>
                      <w:rFonts w:hAnsi="宋体"/>
                    </w:rPr>
                  </w:pPr>
                </w:p>
                <w:p>
                  <w:pPr>
                    <w:jc w:val="center"/>
                  </w:pPr>
                  <w:r>
                    <w:rPr>
                      <w:rFonts w:hint="eastAsia" w:hAnsi="宋体"/>
                    </w:rPr>
                    <w:t>授权委托人身份证复印件正面</w:t>
                  </w:r>
                </w:p>
              </w:txbxContent>
            </v:textbox>
          </v:shape>
        </w:pict>
      </w:r>
    </w:p>
    <w:p>
      <w:pPr>
        <w:spacing w:line="360" w:lineRule="auto"/>
        <w:ind w:firstLine="240" w:firstLineChars="100"/>
        <w:rPr>
          <w:rFonts w:ascii="微软雅黑" w:hAnsi="微软雅黑" w:eastAsia="微软雅黑" w:cs="微软雅黑"/>
          <w:color w:val="auto"/>
          <w:sz w:val="24"/>
          <w:highlight w:val="none"/>
        </w:rPr>
      </w:pPr>
    </w:p>
    <w:p>
      <w:pPr>
        <w:spacing w:line="360" w:lineRule="auto"/>
        <w:ind w:firstLine="240" w:firstLineChars="100"/>
        <w:rPr>
          <w:rFonts w:ascii="微软雅黑" w:hAnsi="微软雅黑" w:eastAsia="微软雅黑" w:cs="微软雅黑"/>
          <w:color w:val="auto"/>
          <w:sz w:val="24"/>
          <w:highlight w:val="none"/>
        </w:rPr>
      </w:pPr>
    </w:p>
    <w:p>
      <w:pPr>
        <w:spacing w:line="360" w:lineRule="auto"/>
        <w:rPr>
          <w:rFonts w:ascii="微软雅黑" w:hAnsi="微软雅黑" w:eastAsia="微软雅黑" w:cs="微软雅黑"/>
          <w:color w:val="auto"/>
          <w:sz w:val="24"/>
          <w:highlight w:val="none"/>
        </w:rPr>
      </w:pPr>
    </w:p>
    <w:p>
      <w:pPr>
        <w:spacing w:line="360" w:lineRule="auto"/>
        <w:ind w:firstLine="240" w:firstLineChars="100"/>
        <w:rPr>
          <w:rFonts w:ascii="微软雅黑" w:hAnsi="微软雅黑" w:eastAsia="微软雅黑" w:cs="微软雅黑"/>
          <w:color w:val="auto"/>
          <w:sz w:val="24"/>
          <w:highlight w:val="none"/>
        </w:rPr>
      </w:pPr>
      <w:r>
        <w:rPr>
          <w:rFonts w:ascii="微软雅黑" w:hAnsi="微软雅黑" w:eastAsia="微软雅黑" w:cs="微软雅黑"/>
          <w:color w:val="auto"/>
          <w:sz w:val="24"/>
          <w:highlight w:val="none"/>
        </w:rPr>
        <w:pict>
          <v:roundrect id="自选图形 7" o:spid="_x0000_s1030" o:spt="2" style="position:absolute;left:0pt;margin-left:238.4pt;margin-top:12.85pt;height:111.9pt;width:186.25pt;z-index:251663360;mso-width-relative:page;mso-height-relative:page;" stroked="t" coordsize="21600,21600" arcsize="0.166666666666667" o:gfxdata="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XtuI23AAAAAoBAAAPAAAAAAAAAAEAIAAAACIAAABkcnMvZG93bnJldi54&#10;bWxQSwECFAAUAAAACACHTuJAcnz0my8CAABmBAAADgAAAAAAAAABACAAAAArAQAAZHJzL2Uyb0Rv&#10;Yy54bWxQSwUGAAAAAAYABgBZAQAAzAUAAAAA&#10;">
            <v:path/>
            <v:fill focussize="0,0"/>
            <v:stroke weight="1.25pt" color="#808080"/>
            <v:imagedata o:title=""/>
            <o:lock v:ext="edit"/>
            <v:textbox>
              <w:txbxContent>
                <w:p>
                  <w:pPr>
                    <w:jc w:val="center"/>
                    <w:rPr>
                      <w:rFonts w:hAnsi="宋体"/>
                    </w:rPr>
                  </w:pPr>
                  <w:r>
                    <w:rPr>
                      <w:rFonts w:hint="eastAsia" w:hAnsi="宋体"/>
                    </w:rPr>
                    <w:t xml:space="preserve"> </w:t>
                  </w:r>
                </w:p>
                <w:p>
                  <w:pPr>
                    <w:rPr>
                      <w:rFonts w:hAnsi="宋体"/>
                    </w:rPr>
                  </w:pPr>
                </w:p>
                <w:p>
                  <w:pPr>
                    <w:jc w:val="center"/>
                    <w:rPr>
                      <w:rFonts w:hint="eastAsia" w:ascii="Times New Roman" w:hAnsi="宋体" w:cs="Times New Roman"/>
                    </w:rPr>
                  </w:pPr>
                  <w:r>
                    <w:rPr>
                      <w:rFonts w:hint="eastAsia" w:hAnsi="宋体"/>
                      <w:highlight w:val="none"/>
                    </w:rPr>
                    <w:t>法人（负责人）</w:t>
                  </w:r>
                  <w:r>
                    <w:rPr>
                      <w:rFonts w:hint="eastAsia" w:ascii="Times New Roman" w:hAnsi="宋体" w:cs="Times New Roman"/>
                      <w:highlight w:val="none"/>
                    </w:rPr>
                    <w:t>身</w:t>
                  </w:r>
                  <w:r>
                    <w:rPr>
                      <w:rFonts w:hint="eastAsia" w:ascii="Times New Roman" w:hAnsi="宋体" w:cs="Times New Roman"/>
                    </w:rPr>
                    <w:t>份证复印件反面</w:t>
                  </w:r>
                </w:p>
                <w:p/>
              </w:txbxContent>
            </v:textbox>
          </v:roundrect>
        </w:pict>
      </w:r>
      <w:r>
        <w:rPr>
          <w:rFonts w:ascii="微软雅黑" w:hAnsi="微软雅黑" w:eastAsia="微软雅黑" w:cs="微软雅黑"/>
          <w:color w:val="auto"/>
          <w:sz w:val="24"/>
          <w:highlight w:val="none"/>
        </w:rPr>
        <w:pict>
          <v:roundrect id="自选图形 8" o:spid="_x0000_s1029" o:spt="2" style="position:absolute;left:0pt;margin-left:-0.1pt;margin-top:15.8pt;height:104.7pt;width:201.2pt;z-index:251662336;mso-width-relative:page;mso-height-relative:page;" stroked="t" coordsize="21600,21600" arcsize="0.166666666666667" o:gfxdata="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QtBYx2QAAAAgBAAAPAAAAAAAAAAEAIAAAACIAAABkcnMvZG93bnJldi54bWxQ&#10;SwECFAAUAAAACACHTuJAKeM80C8CAABmBAAADgAAAAAAAAABACAAAAAoAQAAZHJzL2Uyb0RvYy54&#10;bWxQSwUGAAAAAAYABgBZAQAAyQUAAAAA&#10;">
            <v:path/>
            <v:fill focussize="0,0"/>
            <v:stroke weight="1.25pt" color="#808080"/>
            <v:imagedata o:title=""/>
            <o:lock v:ext="edit"/>
            <v:textbox>
              <w:txbxContent>
                <w:p>
                  <w:pPr>
                    <w:jc w:val="center"/>
                    <w:rPr>
                      <w:rFonts w:hAnsi="宋体"/>
                    </w:rPr>
                  </w:pPr>
                </w:p>
                <w:p>
                  <w:pPr>
                    <w:rPr>
                      <w:rFonts w:hAnsi="宋体"/>
                    </w:rPr>
                  </w:pPr>
                </w:p>
                <w:p>
                  <w:pPr>
                    <w:jc w:val="center"/>
                  </w:pPr>
                  <w:r>
                    <w:rPr>
                      <w:rFonts w:hint="eastAsia" w:hAnsi="宋体"/>
                      <w:highlight w:val="none"/>
                    </w:rPr>
                    <w:t>法人（负责人）身份</w:t>
                  </w:r>
                  <w:r>
                    <w:rPr>
                      <w:rFonts w:hint="eastAsia" w:hAnsi="宋体"/>
                    </w:rPr>
                    <w:t>证复印件正面</w:t>
                  </w:r>
                </w:p>
                <w:p/>
              </w:txbxContent>
            </v:textbox>
          </v:roundrect>
        </w:pict>
      </w:r>
    </w:p>
    <w:p>
      <w:pPr>
        <w:spacing w:line="360" w:lineRule="auto"/>
        <w:ind w:firstLine="240" w:firstLineChars="100"/>
        <w:rPr>
          <w:rFonts w:ascii="微软雅黑" w:hAnsi="微软雅黑" w:eastAsia="微软雅黑" w:cs="微软雅黑"/>
          <w:color w:val="auto"/>
          <w:sz w:val="24"/>
          <w:highlight w:val="none"/>
        </w:rPr>
      </w:pPr>
    </w:p>
    <w:p>
      <w:pPr>
        <w:spacing w:line="360" w:lineRule="auto"/>
        <w:rPr>
          <w:rFonts w:ascii="微软雅黑" w:hAnsi="微软雅黑" w:eastAsia="微软雅黑" w:cs="微软雅黑"/>
          <w:color w:val="auto"/>
          <w:sz w:val="24"/>
          <w:highlight w:val="none"/>
        </w:rPr>
      </w:pPr>
    </w:p>
    <w:p>
      <w:pPr>
        <w:pStyle w:val="14"/>
        <w:tabs>
          <w:tab w:val="left" w:pos="5580"/>
        </w:tabs>
        <w:spacing w:line="400" w:lineRule="exact"/>
        <w:ind w:firstLine="480" w:firstLineChars="200"/>
        <w:rPr>
          <w:rFonts w:ascii="微软雅黑" w:hAnsi="微软雅黑" w:eastAsia="微软雅黑" w:cs="微软雅黑"/>
          <w:color w:val="auto"/>
          <w:sz w:val="24"/>
          <w:szCs w:val="24"/>
          <w:highlight w:val="none"/>
        </w:rPr>
      </w:pPr>
    </w:p>
    <w:p>
      <w:pPr>
        <w:pStyle w:val="14"/>
        <w:tabs>
          <w:tab w:val="left" w:pos="5580"/>
        </w:tabs>
        <w:spacing w:line="400" w:lineRule="exact"/>
        <w:ind w:firstLine="480" w:firstLineChars="200"/>
        <w:rPr>
          <w:rFonts w:ascii="微软雅黑" w:hAnsi="微软雅黑" w:eastAsia="微软雅黑" w:cs="微软雅黑"/>
          <w:color w:val="auto"/>
          <w:sz w:val="24"/>
          <w:szCs w:val="24"/>
          <w:highlight w:val="none"/>
        </w:rPr>
      </w:pPr>
    </w:p>
    <w:p>
      <w:pPr>
        <w:pStyle w:val="14"/>
        <w:tabs>
          <w:tab w:val="left" w:pos="5580"/>
          <w:tab w:val="left" w:pos="5880"/>
          <w:tab w:val="left" w:pos="6090"/>
        </w:tabs>
        <w:spacing w:line="400" w:lineRule="exact"/>
        <w:ind w:firstLine="480" w:firstLineChars="200"/>
        <w:rPr>
          <w:rFonts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投标人（盖单位章）;</w:t>
      </w:r>
      <w:r>
        <w:rPr>
          <w:rFonts w:hint="eastAsia" w:ascii="微软雅黑" w:hAnsi="微软雅黑" w:eastAsia="微软雅黑" w:cs="微软雅黑"/>
          <w:color w:val="auto"/>
          <w:sz w:val="24"/>
          <w:szCs w:val="24"/>
          <w:highlight w:val="none"/>
          <w:u w:val="single"/>
        </w:rPr>
        <w:t xml:space="preserve">                            </w:t>
      </w:r>
    </w:p>
    <w:p>
      <w:pPr>
        <w:pStyle w:val="14"/>
        <w:tabs>
          <w:tab w:val="left" w:pos="5580"/>
        </w:tabs>
        <w:spacing w:line="400" w:lineRule="exact"/>
        <w:ind w:firstLine="480" w:firstLineChars="20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法定代表人（负责人）（签字或签章）：</w:t>
      </w:r>
      <w:r>
        <w:rPr>
          <w:rFonts w:hint="eastAsia" w:ascii="微软雅黑" w:hAnsi="微软雅黑" w:eastAsia="微软雅黑" w:cs="微软雅黑"/>
          <w:color w:val="auto"/>
          <w:sz w:val="24"/>
          <w:szCs w:val="24"/>
          <w:highlight w:val="none"/>
          <w:u w:val="single"/>
        </w:rPr>
        <w:t xml:space="preserve">                     </w:t>
      </w:r>
    </w:p>
    <w:p>
      <w:pPr>
        <w:pStyle w:val="14"/>
        <w:tabs>
          <w:tab w:val="left" w:pos="5580"/>
        </w:tabs>
        <w:spacing w:line="400" w:lineRule="exact"/>
        <w:ind w:firstLine="480" w:firstLineChars="200"/>
        <w:rPr>
          <w:rFonts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u w:val="single" w:color="EEECE1"/>
        </w:rPr>
        <w:t>身份证号码</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u w:val="single"/>
        </w:rPr>
        <w:t xml:space="preserve">                                   </w:t>
      </w:r>
    </w:p>
    <w:p>
      <w:pPr>
        <w:pStyle w:val="14"/>
        <w:tabs>
          <w:tab w:val="left" w:pos="5580"/>
        </w:tabs>
        <w:spacing w:line="400" w:lineRule="exact"/>
        <w:ind w:firstLine="480" w:firstLineChars="200"/>
        <w:rPr>
          <w:rFonts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委托代理人（签字或签章）：</w:t>
      </w:r>
      <w:r>
        <w:rPr>
          <w:rFonts w:hint="eastAsia" w:ascii="微软雅黑" w:hAnsi="微软雅黑" w:eastAsia="微软雅黑" w:cs="微软雅黑"/>
          <w:color w:val="auto"/>
          <w:sz w:val="24"/>
          <w:szCs w:val="24"/>
          <w:highlight w:val="none"/>
          <w:u w:val="single"/>
        </w:rPr>
        <w:t xml:space="preserve">                     </w:t>
      </w:r>
    </w:p>
    <w:p>
      <w:pPr>
        <w:pStyle w:val="14"/>
        <w:tabs>
          <w:tab w:val="left" w:pos="5580"/>
        </w:tabs>
        <w:spacing w:line="400" w:lineRule="exact"/>
        <w:ind w:firstLine="480" w:firstLineChars="200"/>
        <w:rPr>
          <w:rFonts w:ascii="微软雅黑" w:hAnsi="微软雅黑" w:eastAsia="微软雅黑" w:cs="微软雅黑"/>
          <w:color w:val="auto"/>
          <w:sz w:val="24"/>
          <w:szCs w:val="24"/>
          <w:highlight w:val="none"/>
          <w:u w:val="single"/>
        </w:rPr>
      </w:pPr>
      <w:r>
        <w:rPr>
          <w:rFonts w:hint="eastAsia" w:ascii="微软雅黑" w:hAnsi="微软雅黑" w:eastAsia="微软雅黑" w:cs="微软雅黑"/>
          <w:color w:val="auto"/>
          <w:sz w:val="24"/>
          <w:szCs w:val="24"/>
          <w:highlight w:val="none"/>
        </w:rPr>
        <w:t>身份证号码：</w:t>
      </w:r>
      <w:r>
        <w:rPr>
          <w:rFonts w:hint="eastAsia" w:ascii="微软雅黑" w:hAnsi="微软雅黑" w:eastAsia="微软雅黑" w:cs="微软雅黑"/>
          <w:color w:val="auto"/>
          <w:sz w:val="24"/>
          <w:szCs w:val="24"/>
          <w:highlight w:val="none"/>
          <w:u w:val="single"/>
        </w:rPr>
        <w:t xml:space="preserve">                                   </w:t>
      </w:r>
    </w:p>
    <w:p>
      <w:pPr>
        <w:pStyle w:val="14"/>
        <w:tabs>
          <w:tab w:val="left" w:pos="5580"/>
        </w:tabs>
        <w:spacing w:line="400" w:lineRule="exact"/>
        <w:ind w:firstLine="480" w:firstLineChars="20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详细通讯地址：</w:t>
      </w:r>
      <w:r>
        <w:rPr>
          <w:rFonts w:hint="eastAsia" w:ascii="微软雅黑" w:hAnsi="微软雅黑" w:eastAsia="微软雅黑" w:cs="微软雅黑"/>
          <w:color w:val="auto"/>
          <w:sz w:val="24"/>
          <w:szCs w:val="24"/>
          <w:highlight w:val="none"/>
          <w:u w:val="single"/>
        </w:rPr>
        <w:t xml:space="preserve">                                 </w:t>
      </w:r>
    </w:p>
    <w:p>
      <w:pPr>
        <w:pStyle w:val="14"/>
        <w:tabs>
          <w:tab w:val="left" w:pos="5580"/>
        </w:tabs>
        <w:spacing w:line="400" w:lineRule="exact"/>
        <w:ind w:firstLine="480" w:firstLineChars="20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邮 政 编 码 ：</w:t>
      </w:r>
      <w:r>
        <w:rPr>
          <w:rFonts w:hint="eastAsia" w:ascii="微软雅黑" w:hAnsi="微软雅黑" w:eastAsia="微软雅黑" w:cs="微软雅黑"/>
          <w:color w:val="auto"/>
          <w:sz w:val="24"/>
          <w:szCs w:val="24"/>
          <w:highlight w:val="none"/>
          <w:u w:val="single"/>
        </w:rPr>
        <w:t xml:space="preserve">                                 </w:t>
      </w:r>
    </w:p>
    <w:p>
      <w:pPr>
        <w:pStyle w:val="14"/>
        <w:tabs>
          <w:tab w:val="left" w:pos="5580"/>
        </w:tabs>
        <w:spacing w:line="400" w:lineRule="exact"/>
        <w:ind w:firstLine="480" w:firstLineChars="20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传　　　　真：</w:t>
      </w:r>
      <w:r>
        <w:rPr>
          <w:rFonts w:hint="eastAsia" w:ascii="微软雅黑" w:hAnsi="微软雅黑" w:eastAsia="微软雅黑" w:cs="微软雅黑"/>
          <w:color w:val="auto"/>
          <w:sz w:val="24"/>
          <w:szCs w:val="24"/>
          <w:highlight w:val="none"/>
          <w:u w:val="single"/>
        </w:rPr>
        <w:t xml:space="preserve">                                 </w:t>
      </w:r>
    </w:p>
    <w:p>
      <w:pPr>
        <w:pStyle w:val="14"/>
        <w:tabs>
          <w:tab w:val="left" w:pos="5580"/>
        </w:tabs>
        <w:spacing w:line="400" w:lineRule="exact"/>
        <w:ind w:firstLine="480" w:firstLineChars="20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电　　　　话：</w:t>
      </w:r>
      <w:r>
        <w:rPr>
          <w:rFonts w:hint="eastAsia" w:ascii="微软雅黑" w:hAnsi="微软雅黑" w:eastAsia="微软雅黑" w:cs="微软雅黑"/>
          <w:color w:val="auto"/>
          <w:sz w:val="24"/>
          <w:szCs w:val="24"/>
          <w:highlight w:val="none"/>
          <w:u w:val="single"/>
        </w:rPr>
        <w:t xml:space="preserve">                                 </w:t>
      </w:r>
    </w:p>
    <w:p>
      <w:pPr>
        <w:spacing w:line="400" w:lineRule="exact"/>
        <w:ind w:firstLine="480" w:firstLineChars="200"/>
        <w:jc w:val="right"/>
        <w:rPr>
          <w:rFonts w:ascii="微软雅黑" w:hAnsi="微软雅黑" w:eastAsia="微软雅黑" w:cs="微软雅黑"/>
          <w:color w:val="auto"/>
          <w:sz w:val="24"/>
          <w:highlight w:val="none"/>
        </w:rPr>
      </w:pPr>
    </w:p>
    <w:p>
      <w:pPr>
        <w:spacing w:line="400" w:lineRule="exact"/>
        <w:ind w:firstLine="480" w:firstLineChars="200"/>
        <w:jc w:val="righ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年   月   日 </w:t>
      </w:r>
    </w:p>
    <w:p>
      <w:pPr>
        <w:pStyle w:val="2"/>
        <w:ind w:firstLine="0"/>
        <w:rPr>
          <w:color w:val="auto"/>
          <w:highlight w:val="none"/>
        </w:rPr>
      </w:pPr>
      <w:bookmarkStart w:id="300" w:name="_Toc32670"/>
      <w:bookmarkStart w:id="301" w:name="_Toc24428"/>
      <w:bookmarkStart w:id="302" w:name="_Toc515647811"/>
    </w:p>
    <w:p>
      <w:pPr>
        <w:rPr>
          <w:color w:val="auto"/>
          <w:highlight w:val="none"/>
        </w:rPr>
      </w:pPr>
    </w:p>
    <w:p>
      <w:pPr>
        <w:tabs>
          <w:tab w:val="left" w:pos="5580"/>
        </w:tabs>
        <w:spacing w:line="400" w:lineRule="atLeast"/>
        <w:outlineLvl w:val="1"/>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4、2020年度财务审计报告（（新公司或其他组织和自然人提供银行出具的资信证明））（加盖公章）；</w:t>
      </w:r>
    </w:p>
    <w:p>
      <w:pPr>
        <w:tabs>
          <w:tab w:val="left" w:pos="5580"/>
        </w:tabs>
        <w:spacing w:line="400" w:lineRule="atLeast"/>
        <w:rPr>
          <w:rFonts w:ascii="微软雅黑" w:hAnsi="微软雅黑" w:eastAsia="微软雅黑" w:cs="微软雅黑"/>
          <w:b/>
          <w:bCs/>
          <w:color w:val="auto"/>
          <w:sz w:val="24"/>
          <w:highlight w:val="none"/>
        </w:rPr>
      </w:pPr>
    </w:p>
    <w:p>
      <w:pPr>
        <w:pStyle w:val="7"/>
        <w:outlineLvl w:val="1"/>
        <w:rPr>
          <w:rFonts w:ascii="微软雅黑" w:hAnsi="微软雅黑" w:eastAsia="微软雅黑" w:cs="微软雅黑"/>
          <w:b/>
          <w:bCs/>
          <w:color w:val="auto"/>
          <w:highlight w:val="none"/>
        </w:rPr>
      </w:pPr>
      <w:r>
        <w:rPr>
          <w:rFonts w:hint="eastAsia" w:ascii="微软雅黑" w:hAnsi="微软雅黑" w:eastAsia="微软雅黑" w:cs="微软雅黑"/>
          <w:b/>
          <w:bCs/>
          <w:color w:val="auto"/>
          <w:highlight w:val="none"/>
        </w:rPr>
        <w:t>5、未被“信用中国”（www.creditchina.gov.cn）列入失信被执行人和重大税收违法案件当事人名单，未被“中国政府采购网”（www.ccgp.gov.cn） 列入政府采购严重违法失信行为记录名单，未在财政部门或行业主管部门禁止参加政府采购活动时间及地域范围内（相关查询截图加盖公章）；</w:t>
      </w:r>
    </w:p>
    <w:p>
      <w:pPr>
        <w:pStyle w:val="7"/>
        <w:rPr>
          <w:rFonts w:ascii="微软雅黑" w:hAnsi="微软雅黑" w:eastAsia="微软雅黑" w:cs="微软雅黑"/>
          <w:color w:val="auto"/>
          <w:highlight w:val="none"/>
        </w:rPr>
      </w:pPr>
    </w:p>
    <w:p>
      <w:pPr>
        <w:outlineLvl w:val="1"/>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6、</w:t>
      </w:r>
      <w:bookmarkStart w:id="303" w:name="_Toc6890"/>
      <w:r>
        <w:rPr>
          <w:rFonts w:hint="eastAsia" w:ascii="微软雅黑" w:hAnsi="微软雅黑" w:eastAsia="微软雅黑" w:cs="微软雅黑"/>
          <w:b/>
          <w:bCs/>
          <w:color w:val="auto"/>
          <w:sz w:val="24"/>
          <w:highlight w:val="none"/>
        </w:rPr>
        <w:t>提供本单位在参加政府采购活动中前三年内无重大违法记录的承诺书（加盖公章）；</w:t>
      </w:r>
    </w:p>
    <w:p>
      <w:pPr>
        <w:pStyle w:val="2"/>
        <w:ind w:firstLine="0"/>
        <w:rPr>
          <w:rFonts w:ascii="微软雅黑" w:hAnsi="微软雅黑" w:eastAsia="微软雅黑" w:cs="微软雅黑"/>
          <w:color w:val="auto"/>
          <w:szCs w:val="24"/>
          <w:highlight w:val="none"/>
        </w:rPr>
      </w:pPr>
    </w:p>
    <w:bookmarkEnd w:id="303"/>
    <w:p>
      <w:pPr>
        <w:pStyle w:val="2"/>
        <w:numPr>
          <w:ilvl w:val="0"/>
          <w:numId w:val="7"/>
        </w:numPr>
        <w:ind w:firstLine="0"/>
        <w:outlineLvl w:val="1"/>
        <w:rPr>
          <w:rFonts w:ascii="微软雅黑" w:hAnsi="微软雅黑" w:eastAsia="微软雅黑" w:cs="微软雅黑"/>
          <w:b/>
          <w:bCs/>
          <w:color w:val="auto"/>
          <w:kern w:val="2"/>
          <w:szCs w:val="24"/>
          <w:highlight w:val="none"/>
        </w:rPr>
      </w:pPr>
      <w:r>
        <w:rPr>
          <w:rFonts w:hint="eastAsia" w:ascii="微软雅黑" w:hAnsi="微软雅黑" w:eastAsia="微软雅黑" w:cs="微软雅黑"/>
          <w:b/>
          <w:bCs/>
          <w:color w:val="auto"/>
          <w:kern w:val="2"/>
          <w:szCs w:val="24"/>
          <w:highlight w:val="none"/>
        </w:rPr>
        <w:t>提供针对本次采购项目《反商业贿赂承诺书》（加盖公章）；</w:t>
      </w:r>
    </w:p>
    <w:p>
      <w:pPr>
        <w:rPr>
          <w:color w:val="auto"/>
          <w:highlight w:val="none"/>
        </w:rPr>
      </w:pPr>
    </w:p>
    <w:p>
      <w:pPr>
        <w:numPr>
          <w:ilvl w:val="0"/>
          <w:numId w:val="7"/>
        </w:numPr>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提供税务部门出具的近三个月的完税证明（或申报记录）（加盖公章）；</w:t>
      </w:r>
    </w:p>
    <w:p>
      <w:pPr>
        <w:rPr>
          <w:color w:val="auto"/>
          <w:highlight w:val="none"/>
        </w:rPr>
      </w:pPr>
    </w:p>
    <w:p>
      <w:pPr>
        <w:pStyle w:val="2"/>
        <w:numPr>
          <w:ilvl w:val="0"/>
          <w:numId w:val="7"/>
        </w:numPr>
        <w:ind w:firstLine="0"/>
        <w:rPr>
          <w:rFonts w:ascii="微软雅黑" w:hAnsi="微软雅黑" w:eastAsia="微软雅黑" w:cs="微软雅黑"/>
          <w:b/>
          <w:bCs/>
          <w:color w:val="auto"/>
          <w:kern w:val="2"/>
          <w:szCs w:val="24"/>
          <w:highlight w:val="none"/>
        </w:rPr>
      </w:pPr>
      <w:r>
        <w:rPr>
          <w:rFonts w:hint="eastAsia" w:ascii="微软雅黑" w:hAnsi="微软雅黑" w:eastAsia="微软雅黑" w:cs="微软雅黑"/>
          <w:b/>
          <w:bCs/>
          <w:color w:val="auto"/>
          <w:kern w:val="2"/>
          <w:szCs w:val="24"/>
          <w:highlight w:val="none"/>
        </w:rPr>
        <w:t>缴纳投标保证金收据及银行转账/电汇回执单复印件（加盖公章）；</w:t>
      </w:r>
    </w:p>
    <w:p>
      <w:pPr>
        <w:rPr>
          <w:rFonts w:ascii="微软雅黑" w:hAnsi="微软雅黑" w:eastAsia="微软雅黑" w:cs="微软雅黑"/>
          <w:b/>
          <w:bCs/>
          <w:color w:val="auto"/>
          <w:sz w:val="24"/>
          <w:highlight w:val="none"/>
        </w:rPr>
      </w:pPr>
      <w:r>
        <w:rPr>
          <w:rFonts w:ascii="微软雅黑" w:hAnsi="微软雅黑" w:eastAsia="微软雅黑" w:cs="微软雅黑"/>
          <w:color w:val="auto"/>
          <w:sz w:val="24"/>
          <w:highlight w:val="none"/>
        </w:rPr>
        <w:pict>
          <v:roundrect id="_x0000_s1028" o:spid="_x0000_s1028" o:spt="2" style="position:absolute;left:0pt;margin-left:19.4pt;margin-top:18.5pt;height:122.6pt;width:205.5pt;z-index:251666432;mso-width-relative:page;mso-height-relative:page;" stroked="t" coordsize="21600,21600" arcsize="0.166666666666667" o:gfxdata="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UGOtc2wAAAAkBAAAPAAAAAAAAAAEAIAAAACIAAABkcnMvZG93&#10;bnJldi54bWxQSwECFAAUAAAACACHTuJA/T6cazYCAAB2BAAADgAAAAAAAAABACAAAAAqAQAAZHJz&#10;L2Uyb0RvYy54bWxQSwUGAAAAAAYABgBZAQAA0gUAAAAA&#10;">
            <v:path/>
            <v:fill focussize="0,0"/>
            <v:stroke weight="1.25pt" color="#808080"/>
            <v:imagedata o:title=""/>
            <o:lock v:ext="edit"/>
            <v:textbox>
              <w:txbxContent>
                <w:p>
                  <w:pPr>
                    <w:jc w:val="center"/>
                    <w:rPr>
                      <w:rFonts w:hAnsi="宋体"/>
                      <w:szCs w:val="21"/>
                    </w:rPr>
                  </w:pPr>
                  <w:r>
                    <w:rPr>
                      <w:rFonts w:hint="eastAsia" w:hAnsi="宋体"/>
                      <w:szCs w:val="21"/>
                    </w:rPr>
                    <w:t xml:space="preserve">  </w:t>
                  </w:r>
                </w:p>
                <w:p>
                  <w:pPr>
                    <w:jc w:val="center"/>
                    <w:rPr>
                      <w:rFonts w:hAnsi="宋体"/>
                      <w:szCs w:val="21"/>
                    </w:rPr>
                  </w:pPr>
                </w:p>
                <w:p>
                  <w:pPr>
                    <w:jc w:val="center"/>
                  </w:pPr>
                  <w:r>
                    <w:rPr>
                      <w:rFonts w:hint="eastAsia"/>
                    </w:rPr>
                    <w:t>缴纳投标保证金收据</w:t>
                  </w:r>
                </w:p>
                <w:p>
                  <w:pPr>
                    <w:pStyle w:val="2"/>
                  </w:pPr>
                </w:p>
                <w:p>
                  <w:pPr>
                    <w:pStyle w:val="2"/>
                  </w:pPr>
                </w:p>
                <w:p>
                  <w:pPr>
                    <w:pStyle w:val="2"/>
                  </w:pPr>
                </w:p>
                <w:p>
                  <w:pPr>
                    <w:pStyle w:val="2"/>
                  </w:pPr>
                </w:p>
              </w:txbxContent>
            </v:textbox>
          </v:roundrect>
        </w:pict>
      </w:r>
    </w:p>
    <w:p>
      <w:pPr>
        <w:pStyle w:val="2"/>
        <w:rPr>
          <w:rFonts w:ascii="微软雅黑" w:hAnsi="微软雅黑" w:eastAsia="微软雅黑" w:cs="微软雅黑"/>
          <w:b/>
          <w:bCs/>
          <w:color w:val="auto"/>
          <w:kern w:val="2"/>
          <w:szCs w:val="24"/>
          <w:highlight w:val="none"/>
        </w:rPr>
      </w:pPr>
    </w:p>
    <w:p>
      <w:pPr>
        <w:rPr>
          <w:rFonts w:ascii="微软雅黑" w:hAnsi="微软雅黑" w:eastAsia="微软雅黑" w:cs="微软雅黑"/>
          <w:b/>
          <w:bCs/>
          <w:color w:val="auto"/>
          <w:sz w:val="24"/>
          <w:highlight w:val="none"/>
        </w:rPr>
      </w:pPr>
    </w:p>
    <w:p>
      <w:pPr>
        <w:pStyle w:val="2"/>
        <w:rPr>
          <w:rFonts w:ascii="微软雅黑" w:hAnsi="微软雅黑" w:eastAsia="微软雅黑" w:cs="微软雅黑"/>
          <w:b/>
          <w:bCs/>
          <w:color w:val="auto"/>
          <w:kern w:val="2"/>
          <w:szCs w:val="24"/>
          <w:highlight w:val="none"/>
        </w:rPr>
      </w:pPr>
    </w:p>
    <w:p>
      <w:pPr>
        <w:rPr>
          <w:rFonts w:ascii="微软雅黑" w:hAnsi="微软雅黑" w:eastAsia="微软雅黑" w:cs="微软雅黑"/>
          <w:b/>
          <w:bCs/>
          <w:color w:val="auto"/>
          <w:sz w:val="24"/>
          <w:highlight w:val="none"/>
        </w:rPr>
      </w:pPr>
    </w:p>
    <w:p>
      <w:pPr>
        <w:pStyle w:val="2"/>
        <w:rPr>
          <w:rFonts w:ascii="微软雅黑" w:hAnsi="微软雅黑" w:eastAsia="微软雅黑" w:cs="微软雅黑"/>
          <w:b/>
          <w:bCs/>
          <w:color w:val="auto"/>
          <w:kern w:val="2"/>
          <w:szCs w:val="24"/>
          <w:highlight w:val="none"/>
        </w:rPr>
      </w:pPr>
    </w:p>
    <w:p>
      <w:pPr>
        <w:rPr>
          <w:color w:val="auto"/>
          <w:highlight w:val="none"/>
        </w:rPr>
      </w:pPr>
    </w:p>
    <w:p>
      <w:pPr>
        <w:rPr>
          <w:color w:val="auto"/>
          <w:highlight w:val="none"/>
        </w:rPr>
      </w:pPr>
    </w:p>
    <w:p>
      <w:pPr>
        <w:pStyle w:val="2"/>
        <w:rPr>
          <w:color w:val="auto"/>
          <w:highlight w:val="none"/>
        </w:rPr>
      </w:pPr>
      <w:r>
        <w:rPr>
          <w:rFonts w:ascii="微软雅黑" w:hAnsi="微软雅黑" w:eastAsia="微软雅黑" w:cs="微软雅黑"/>
          <w:color w:val="auto"/>
          <w:szCs w:val="24"/>
          <w:highlight w:val="none"/>
        </w:rPr>
        <w:pict>
          <v:roundrect id="_x0000_s1027" o:spid="_x0000_s1027" o:spt="2" style="position:absolute;left:0pt;margin-left:15.05pt;margin-top:4.4pt;height:122.6pt;width:205.5pt;z-index:251667456;mso-width-relative:page;mso-height-relative:page;" stroked="t" coordsize="21600,21600" arcsize="0.166666666666667" o:gfxdata="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2lt6tkAAAAIAQAADwAAAAAAAAABACAAAAAiAAAAZHJzL2Rvd25y&#10;ZXYueG1sUEsBAhQAFAAAAAgAh07iQNUx4Ac2AgAAdgQAAA4AAAAAAAAAAQAgAAAAKAEAAGRycy9l&#10;Mm9Eb2MueG1sUEsFBgAAAAAGAAYAWQEAANAFAAAAAA==&#10;">
            <v:path/>
            <v:fill focussize="0,0"/>
            <v:stroke weight="1.25pt" color="#808080"/>
            <v:imagedata o:title=""/>
            <o:lock v:ext="edit"/>
            <v:textbo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r>
                    <w:rPr>
                      <w:rFonts w:hint="eastAsia" w:hAnsi="宋体"/>
                      <w:szCs w:val="21"/>
                    </w:rPr>
                    <w:t>银行转账/电汇回执单复印件</w:t>
                  </w:r>
                </w:p>
                <w:p>
                  <w:pPr>
                    <w:pStyle w:val="2"/>
                  </w:pPr>
                </w:p>
                <w:p>
                  <w:pPr>
                    <w:pStyle w:val="2"/>
                  </w:pPr>
                </w:p>
                <w:p>
                  <w:pPr>
                    <w:pStyle w:val="2"/>
                  </w:pPr>
                </w:p>
                <w:p>
                  <w:pPr>
                    <w:pStyle w:val="2"/>
                  </w:pPr>
                </w:p>
              </w:txbxContent>
            </v:textbox>
          </v:roundrect>
        </w:pict>
      </w: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rPr>
          <w:rFonts w:ascii="微软雅黑" w:hAnsi="微软雅黑" w:eastAsia="微软雅黑" w:cs="微软雅黑"/>
          <w:b/>
          <w:bCs/>
          <w:color w:val="auto"/>
          <w:sz w:val="24"/>
          <w:highlight w:val="none"/>
        </w:rPr>
      </w:pPr>
    </w:p>
    <w:p>
      <w:pPr>
        <w:rPr>
          <w:rFonts w:ascii="微软雅黑" w:hAnsi="微软雅黑" w:eastAsia="微软雅黑" w:cs="微软雅黑"/>
          <w:b/>
          <w:bCs/>
          <w:color w:val="auto"/>
          <w:sz w:val="24"/>
          <w:highlight w:val="none"/>
        </w:rPr>
      </w:pPr>
    </w:p>
    <w:p>
      <w:pPr>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10、提供有利于投标的其他证明材料。</w:t>
      </w:r>
    </w:p>
    <w:p>
      <w:pPr>
        <w:pStyle w:val="2"/>
        <w:rPr>
          <w:rFonts w:ascii="微软雅黑" w:hAnsi="微软雅黑" w:eastAsia="微软雅黑" w:cs="微软雅黑"/>
          <w:color w:val="auto"/>
          <w:szCs w:val="24"/>
          <w:highlight w:val="none"/>
        </w:rPr>
      </w:pPr>
    </w:p>
    <w:p>
      <w:pPr>
        <w:rPr>
          <w:rFonts w:ascii="微软雅黑" w:hAnsi="微软雅黑" w:eastAsia="微软雅黑" w:cs="微软雅黑"/>
          <w:color w:val="auto"/>
          <w:sz w:val="24"/>
          <w:highlight w:val="none"/>
        </w:rPr>
      </w:pPr>
    </w:p>
    <w:p>
      <w:pPr>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br w:type="page"/>
      </w:r>
    </w:p>
    <w:bookmarkEnd w:id="300"/>
    <w:bookmarkEnd w:id="301"/>
    <w:bookmarkEnd w:id="302"/>
    <w:p>
      <w:pPr>
        <w:rPr>
          <w:rFonts w:ascii="微软雅黑" w:hAnsi="微软雅黑" w:eastAsia="微软雅黑" w:cs="微软雅黑"/>
          <w:b/>
          <w:bCs/>
          <w:color w:val="auto"/>
          <w:sz w:val="24"/>
          <w:highlight w:val="none"/>
        </w:rPr>
      </w:pPr>
      <w:bookmarkStart w:id="304" w:name="_Toc26287"/>
      <w:bookmarkStart w:id="305" w:name="_Toc22967"/>
      <w:bookmarkStart w:id="306" w:name="_Toc11180"/>
      <w:bookmarkStart w:id="307" w:name="_Toc30653"/>
      <w:bookmarkStart w:id="308" w:name="_Toc515647816"/>
    </w:p>
    <w:p>
      <w:pPr>
        <w:pStyle w:val="4"/>
        <w:spacing w:before="0" w:line="240" w:lineRule="atLeast"/>
        <w:ind w:left="1080" w:leftChars="257" w:hanging="540"/>
        <w:rPr>
          <w:rFonts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第二部分  商务及技术文件</w:t>
      </w:r>
      <w:bookmarkEnd w:id="304"/>
      <w:bookmarkEnd w:id="305"/>
      <w:bookmarkEnd w:id="306"/>
      <w:bookmarkEnd w:id="307"/>
      <w:bookmarkEnd w:id="308"/>
    </w:p>
    <w:p>
      <w:pPr>
        <w:pStyle w:val="14"/>
        <w:tabs>
          <w:tab w:val="left" w:pos="5580"/>
        </w:tabs>
        <w:spacing w:line="240" w:lineRule="atLeast"/>
        <w:rPr>
          <w:rFonts w:ascii="微软雅黑" w:hAnsi="微软雅黑" w:eastAsia="微软雅黑" w:cs="微软雅黑"/>
          <w:color w:val="auto"/>
          <w:sz w:val="24"/>
          <w:szCs w:val="24"/>
          <w:highlight w:val="none"/>
        </w:rPr>
      </w:pPr>
      <w:bookmarkStart w:id="309" w:name="_Toc2041"/>
      <w:bookmarkStart w:id="310" w:name="_Toc14915"/>
      <w:bookmarkStart w:id="311" w:name="_Toc515647817"/>
      <w:r>
        <w:rPr>
          <w:rFonts w:hint="eastAsia" w:ascii="微软雅黑" w:hAnsi="微软雅黑" w:eastAsia="微软雅黑" w:cs="微软雅黑"/>
          <w:color w:val="auto"/>
          <w:sz w:val="24"/>
          <w:szCs w:val="24"/>
          <w:highlight w:val="none"/>
        </w:rPr>
        <w:t>1、投标书</w:t>
      </w:r>
    </w:p>
    <w:p>
      <w:pPr>
        <w:pStyle w:val="14"/>
        <w:tabs>
          <w:tab w:val="left" w:pos="5580"/>
        </w:tabs>
        <w:spacing w:line="240" w:lineRule="atLeast"/>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1.1 投标分项明细报价表</w:t>
      </w:r>
    </w:p>
    <w:p>
      <w:pPr>
        <w:pStyle w:val="14"/>
        <w:tabs>
          <w:tab w:val="left" w:pos="5580"/>
        </w:tabs>
        <w:spacing w:line="240" w:lineRule="atLeast"/>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2、业绩一览表</w:t>
      </w:r>
    </w:p>
    <w:p>
      <w:pPr>
        <w:pStyle w:val="14"/>
        <w:tabs>
          <w:tab w:val="left" w:pos="5580"/>
        </w:tabs>
        <w:spacing w:line="240" w:lineRule="atLeast"/>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3、商务条款偏离表</w:t>
      </w:r>
    </w:p>
    <w:p>
      <w:pPr>
        <w:pStyle w:val="14"/>
        <w:tabs>
          <w:tab w:val="left" w:pos="5580"/>
        </w:tabs>
        <w:spacing w:line="240" w:lineRule="atLeast"/>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4、投标申明书</w:t>
      </w:r>
    </w:p>
    <w:p>
      <w:pPr>
        <w:pStyle w:val="14"/>
        <w:tabs>
          <w:tab w:val="left" w:pos="5580"/>
        </w:tabs>
        <w:spacing w:line="240" w:lineRule="atLeast"/>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5、投标人可提供有利于投标的其他资格证明材料</w:t>
      </w:r>
    </w:p>
    <w:p>
      <w:pPr>
        <w:pStyle w:val="14"/>
        <w:tabs>
          <w:tab w:val="left" w:pos="5580"/>
        </w:tabs>
        <w:spacing w:line="240" w:lineRule="atLeast"/>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6、投标文件格式范本</w:t>
      </w:r>
    </w:p>
    <w:p>
      <w:pPr>
        <w:pStyle w:val="14"/>
        <w:tabs>
          <w:tab w:val="left" w:pos="5580"/>
        </w:tabs>
        <w:spacing w:line="240" w:lineRule="atLeast"/>
        <w:rPr>
          <w:rFonts w:ascii="微软雅黑" w:hAnsi="微软雅黑" w:eastAsia="微软雅黑" w:cs="微软雅黑"/>
          <w:color w:val="auto"/>
          <w:sz w:val="24"/>
          <w:szCs w:val="24"/>
          <w:highlight w:val="none"/>
        </w:rPr>
      </w:pPr>
    </w:p>
    <w:p>
      <w:pPr>
        <w:spacing w:line="360" w:lineRule="auto"/>
        <w:rPr>
          <w:rFonts w:ascii="微软雅黑" w:hAnsi="微软雅黑" w:eastAsia="微软雅黑" w:cs="微软雅黑"/>
          <w:b/>
          <w:bCs/>
          <w:color w:val="auto"/>
          <w:sz w:val="24"/>
          <w:highlight w:val="none"/>
        </w:rPr>
      </w:pPr>
    </w:p>
    <w:p>
      <w:pPr>
        <w:pStyle w:val="2"/>
        <w:rPr>
          <w:rFonts w:ascii="微软雅黑" w:hAnsi="微软雅黑" w:eastAsia="微软雅黑" w:cs="微软雅黑"/>
          <w:b/>
          <w:bCs/>
          <w:color w:val="auto"/>
          <w:szCs w:val="24"/>
          <w:highlight w:val="none"/>
        </w:rPr>
      </w:pPr>
    </w:p>
    <w:p>
      <w:pPr>
        <w:pStyle w:val="2"/>
        <w:rPr>
          <w:rFonts w:ascii="微软雅黑" w:hAnsi="微软雅黑" w:eastAsia="微软雅黑" w:cs="微软雅黑"/>
          <w:b/>
          <w:bCs/>
          <w:color w:val="auto"/>
          <w:szCs w:val="24"/>
          <w:highlight w:val="none"/>
        </w:rPr>
      </w:pPr>
    </w:p>
    <w:p>
      <w:pPr>
        <w:rPr>
          <w:rFonts w:ascii="微软雅黑" w:hAnsi="微软雅黑" w:eastAsia="微软雅黑" w:cs="微软雅黑"/>
          <w:b/>
          <w:bCs/>
          <w:color w:val="auto"/>
          <w:sz w:val="24"/>
          <w:highlight w:val="none"/>
        </w:rPr>
      </w:pPr>
    </w:p>
    <w:p>
      <w:pPr>
        <w:pStyle w:val="2"/>
        <w:rPr>
          <w:rFonts w:ascii="微软雅黑" w:hAnsi="微软雅黑" w:eastAsia="微软雅黑" w:cs="微软雅黑"/>
          <w:b/>
          <w:bCs/>
          <w:color w:val="auto"/>
          <w:szCs w:val="24"/>
          <w:highlight w:val="none"/>
        </w:rPr>
      </w:pPr>
    </w:p>
    <w:p>
      <w:pPr>
        <w:rPr>
          <w:color w:val="auto"/>
          <w:highlight w:val="none"/>
        </w:rPr>
      </w:pPr>
    </w:p>
    <w:p>
      <w:pPr>
        <w:pStyle w:val="2"/>
        <w:rPr>
          <w:rFonts w:ascii="微软雅黑" w:hAnsi="微软雅黑" w:eastAsia="微软雅黑" w:cs="微软雅黑"/>
          <w:b/>
          <w:bCs/>
          <w:color w:val="auto"/>
          <w:szCs w:val="24"/>
          <w:highlight w:val="none"/>
        </w:rPr>
      </w:pPr>
    </w:p>
    <w:p>
      <w:pPr>
        <w:pStyle w:val="2"/>
        <w:rPr>
          <w:rFonts w:hAnsi="宋体"/>
          <w:b/>
          <w:bCs/>
          <w:color w:val="auto"/>
          <w:highlight w:val="none"/>
        </w:rPr>
      </w:pPr>
    </w:p>
    <w:p>
      <w:pPr>
        <w:pStyle w:val="2"/>
        <w:rPr>
          <w:rFonts w:hAnsi="宋体"/>
          <w:b/>
          <w:bCs/>
          <w:color w:val="auto"/>
          <w:highlight w:val="none"/>
        </w:rPr>
      </w:pPr>
    </w:p>
    <w:p>
      <w:pPr>
        <w:pStyle w:val="2"/>
        <w:rPr>
          <w:rFonts w:hAnsi="宋体"/>
          <w:b/>
          <w:bCs/>
          <w:color w:val="auto"/>
          <w:highlight w:val="none"/>
        </w:rPr>
      </w:pPr>
    </w:p>
    <w:p>
      <w:pPr>
        <w:rPr>
          <w:color w:val="auto"/>
          <w:highlight w:val="none"/>
        </w:rPr>
      </w:pPr>
    </w:p>
    <w:p>
      <w:pPr>
        <w:pStyle w:val="14"/>
        <w:tabs>
          <w:tab w:val="left" w:pos="5580"/>
        </w:tabs>
        <w:spacing w:line="240" w:lineRule="atLeast"/>
        <w:rPr>
          <w:rFonts w:hAnsi="宋体" w:cs="宋体"/>
          <w:color w:val="auto"/>
          <w:szCs w:val="21"/>
          <w:highlight w:val="none"/>
        </w:rPr>
      </w:pPr>
    </w:p>
    <w:p>
      <w:pPr>
        <w:pStyle w:val="14"/>
        <w:tabs>
          <w:tab w:val="left" w:pos="5580"/>
        </w:tabs>
        <w:spacing w:line="240" w:lineRule="atLeast"/>
        <w:rPr>
          <w:rFonts w:hAnsi="宋体" w:cs="宋体"/>
          <w:color w:val="auto"/>
          <w:szCs w:val="21"/>
          <w:highlight w:val="none"/>
        </w:rPr>
      </w:pPr>
    </w:p>
    <w:p>
      <w:pPr>
        <w:rPr>
          <w:rFonts w:hAnsi="宋体" w:cs="宋体"/>
          <w:color w:val="auto"/>
          <w:szCs w:val="21"/>
          <w:highlight w:val="none"/>
        </w:rPr>
      </w:pPr>
      <w:r>
        <w:rPr>
          <w:rFonts w:hint="eastAsia" w:hAnsi="宋体" w:cs="宋体"/>
          <w:color w:val="auto"/>
          <w:szCs w:val="21"/>
          <w:highlight w:val="none"/>
        </w:rPr>
        <w:br w:type="page"/>
      </w:r>
    </w:p>
    <w:p>
      <w:pPr>
        <w:pStyle w:val="14"/>
        <w:tabs>
          <w:tab w:val="left" w:pos="5580"/>
        </w:tabs>
        <w:spacing w:line="240" w:lineRule="atLeast"/>
        <w:rPr>
          <w:rFonts w:hAnsi="宋体" w:cs="宋体"/>
          <w:color w:val="auto"/>
          <w:szCs w:val="21"/>
          <w:highlight w:val="none"/>
        </w:rPr>
      </w:pPr>
    </w:p>
    <w:bookmarkEnd w:id="293"/>
    <w:bookmarkEnd w:id="294"/>
    <w:bookmarkEnd w:id="295"/>
    <w:bookmarkEnd w:id="296"/>
    <w:bookmarkEnd w:id="309"/>
    <w:bookmarkEnd w:id="310"/>
    <w:bookmarkEnd w:id="311"/>
    <w:p>
      <w:pPr>
        <w:pStyle w:val="14"/>
        <w:tabs>
          <w:tab w:val="left" w:pos="5580"/>
        </w:tabs>
        <w:spacing w:line="440" w:lineRule="exact"/>
        <w:ind w:firstLine="2881" w:firstLineChars="1200"/>
        <w:outlineLvl w:val="1"/>
        <w:rPr>
          <w:rFonts w:ascii="微软雅黑" w:hAnsi="微软雅黑" w:eastAsia="微软雅黑" w:cs="微软雅黑"/>
          <w:b/>
          <w:bCs/>
          <w:color w:val="auto"/>
          <w:sz w:val="24"/>
          <w:szCs w:val="24"/>
          <w:highlight w:val="none"/>
        </w:rPr>
      </w:pPr>
      <w:bookmarkStart w:id="312" w:name="_Toc5222"/>
      <w:bookmarkStart w:id="313" w:name="_Toc15419"/>
      <w:bookmarkStart w:id="314" w:name="_Toc17215"/>
      <w:bookmarkStart w:id="315" w:name="_Toc30408"/>
      <w:bookmarkStart w:id="316" w:name="_Toc19009"/>
      <w:r>
        <w:rPr>
          <w:rFonts w:hint="eastAsia" w:ascii="微软雅黑" w:hAnsi="微软雅黑" w:eastAsia="微软雅黑" w:cs="微软雅黑"/>
          <w:b/>
          <w:bCs/>
          <w:color w:val="auto"/>
          <w:sz w:val="24"/>
          <w:szCs w:val="24"/>
          <w:highlight w:val="none"/>
        </w:rPr>
        <w:t>1 投标书</w:t>
      </w:r>
      <w:bookmarkEnd w:id="312"/>
      <w:bookmarkEnd w:id="313"/>
      <w:bookmarkEnd w:id="314"/>
      <w:bookmarkEnd w:id="315"/>
    </w:p>
    <w:p>
      <w:pPr>
        <w:spacing w:line="440" w:lineRule="exact"/>
        <w:rPr>
          <w:rFonts w:ascii="微软雅黑" w:hAnsi="微软雅黑" w:eastAsia="微软雅黑" w:cs="微软雅黑"/>
          <w:bCs/>
          <w:color w:val="auto"/>
          <w:sz w:val="24"/>
          <w:highlight w:val="none"/>
        </w:rPr>
      </w:pPr>
      <w:r>
        <w:rPr>
          <w:rFonts w:hint="eastAsia" w:ascii="微软雅黑" w:hAnsi="微软雅黑" w:eastAsia="微软雅黑" w:cs="微软雅黑"/>
          <w:bCs/>
          <w:color w:val="auto"/>
          <w:sz w:val="24"/>
          <w:highlight w:val="none"/>
        </w:rPr>
        <w:t xml:space="preserve"> </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根据贵方</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（项目名称）招标公告（项目编号：</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 xml:space="preserve"> ），签字代表</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 xml:space="preserve">（全名）经正式授权并代表 </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（投标人名称）提交投标文件正本</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份、副本</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份。</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据此函，签字代表宣布同意如下：</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w:t>
      </w:r>
      <w:r>
        <w:rPr>
          <w:rFonts w:hint="eastAsia" w:ascii="微软雅黑" w:hAnsi="微软雅黑" w:eastAsia="微软雅黑" w:cs="微软雅黑"/>
          <w:bCs/>
          <w:color w:val="auto"/>
          <w:sz w:val="24"/>
          <w:highlight w:val="none"/>
        </w:rPr>
        <w:t>．</w:t>
      </w:r>
      <w:r>
        <w:rPr>
          <w:rFonts w:hint="eastAsia" w:ascii="微软雅黑" w:hAnsi="微软雅黑" w:eastAsia="微软雅黑" w:cs="微软雅黑"/>
          <w:color w:val="auto"/>
          <w:sz w:val="24"/>
          <w:highlight w:val="none"/>
        </w:rPr>
        <w:t>投标人已详细审查全部“招标文件”，包括修改文件（如有的话）以及全部参考资料和有关附件，已经了解我方对于招标文件、招评标过程、采购结果有依法进行询问、质疑、投诉的权利及相关渠道和要求。</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w:t>
      </w:r>
      <w:r>
        <w:rPr>
          <w:rFonts w:hint="eastAsia" w:ascii="微软雅黑" w:hAnsi="微软雅黑" w:eastAsia="微软雅黑" w:cs="微软雅黑"/>
          <w:bCs/>
          <w:color w:val="auto"/>
          <w:sz w:val="24"/>
          <w:highlight w:val="none"/>
        </w:rPr>
        <w:t>．</w:t>
      </w:r>
      <w:r>
        <w:rPr>
          <w:rFonts w:hint="eastAsia" w:ascii="微软雅黑" w:hAnsi="微软雅黑" w:eastAsia="微软雅黑" w:cs="微软雅黑"/>
          <w:color w:val="auto"/>
          <w:sz w:val="24"/>
          <w:highlight w:val="none"/>
        </w:rPr>
        <w:t>投标人在投标之前已经与贵方进行了充分的沟通，完全理解并接受招标文件的各项规定和要求，对招标文件的合理性、合法性不再有异议。</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w:t>
      </w:r>
      <w:r>
        <w:rPr>
          <w:rFonts w:hint="eastAsia" w:ascii="微软雅黑" w:hAnsi="微软雅黑" w:eastAsia="微软雅黑" w:cs="微软雅黑"/>
          <w:bCs/>
          <w:color w:val="auto"/>
          <w:sz w:val="24"/>
          <w:highlight w:val="none"/>
        </w:rPr>
        <w:t>．</w:t>
      </w:r>
      <w:r>
        <w:rPr>
          <w:rFonts w:hint="eastAsia" w:ascii="微软雅黑" w:hAnsi="微软雅黑" w:eastAsia="微软雅黑" w:cs="微软雅黑"/>
          <w:color w:val="auto"/>
          <w:sz w:val="24"/>
          <w:highlight w:val="none"/>
        </w:rPr>
        <w:t>本投标有效期自投标截止日起60日。</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w:t>
      </w:r>
      <w:r>
        <w:rPr>
          <w:rFonts w:hint="eastAsia" w:ascii="微软雅黑" w:hAnsi="微软雅黑" w:eastAsia="微软雅黑" w:cs="微软雅黑"/>
          <w:bCs/>
          <w:color w:val="auto"/>
          <w:sz w:val="24"/>
          <w:highlight w:val="none"/>
        </w:rPr>
        <w:t>．</w:t>
      </w:r>
      <w:r>
        <w:rPr>
          <w:rFonts w:hint="eastAsia" w:ascii="微软雅黑" w:hAnsi="微软雅黑" w:eastAsia="微软雅黑" w:cs="微软雅黑"/>
          <w:color w:val="auto"/>
          <w:sz w:val="24"/>
          <w:highlight w:val="none"/>
        </w:rPr>
        <w:t>如中标，本投标文件至本项目合同履行完毕止均保持有效，本投标人将按“招标文件”及政府采购法律、法规的规定履行合同责任和义务。</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5</w:t>
      </w:r>
      <w:r>
        <w:rPr>
          <w:rFonts w:hint="eastAsia" w:ascii="微软雅黑" w:hAnsi="微软雅黑" w:eastAsia="微软雅黑" w:cs="微软雅黑"/>
          <w:bCs/>
          <w:color w:val="auto"/>
          <w:sz w:val="24"/>
          <w:highlight w:val="none"/>
        </w:rPr>
        <w:t>．</w:t>
      </w:r>
      <w:r>
        <w:rPr>
          <w:rFonts w:hint="eastAsia" w:ascii="微软雅黑" w:hAnsi="微软雅黑" w:eastAsia="微软雅黑" w:cs="微软雅黑"/>
          <w:color w:val="auto"/>
          <w:sz w:val="24"/>
          <w:highlight w:val="none"/>
        </w:rPr>
        <w:t>投标人同意按照贵方要求提供与投标有关的一切数据或资料。</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6</w:t>
      </w:r>
      <w:r>
        <w:rPr>
          <w:rFonts w:hint="eastAsia" w:ascii="微软雅黑" w:hAnsi="微软雅黑" w:eastAsia="微软雅黑" w:cs="微软雅黑"/>
          <w:bCs/>
          <w:color w:val="auto"/>
          <w:sz w:val="24"/>
          <w:highlight w:val="none"/>
        </w:rPr>
        <w:t>．</w:t>
      </w:r>
      <w:r>
        <w:rPr>
          <w:rFonts w:hint="eastAsia" w:ascii="微软雅黑" w:hAnsi="微软雅黑" w:eastAsia="微软雅黑" w:cs="微软雅黑"/>
          <w:color w:val="auto"/>
          <w:sz w:val="24"/>
          <w:highlight w:val="none"/>
        </w:rPr>
        <w:t>与本投标有关的一切正式往来信函请寄：</w:t>
      </w:r>
    </w:p>
    <w:p>
      <w:pPr>
        <w:spacing w:line="440" w:lineRule="exact"/>
        <w:rPr>
          <w:rFonts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地址：                         邮编：                 电话：</w:t>
      </w:r>
    </w:p>
    <w:p>
      <w:pPr>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传真：                 投标人代表姓名：               职务：</w:t>
      </w:r>
    </w:p>
    <w:p>
      <w:pPr>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开户银行：</w:t>
      </w:r>
    </w:p>
    <w:p>
      <w:pPr>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银行帐号：</w:t>
      </w:r>
    </w:p>
    <w:p>
      <w:pPr>
        <w:spacing w:line="440" w:lineRule="exact"/>
        <w:rPr>
          <w:rFonts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投标单位（公章）</w:t>
      </w:r>
      <w:r>
        <w:rPr>
          <w:rFonts w:hint="eastAsia" w:ascii="微软雅黑" w:hAnsi="微软雅黑" w:eastAsia="微软雅黑" w:cs="微软雅黑"/>
          <w:color w:val="auto"/>
          <w:sz w:val="24"/>
          <w:highlight w:val="none"/>
          <w:u w:val="single"/>
        </w:rPr>
        <w:t xml:space="preserve">                    </w:t>
      </w:r>
    </w:p>
    <w:p>
      <w:pPr>
        <w:spacing w:line="440" w:lineRule="exact"/>
        <w:rPr>
          <w:rFonts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法定代表人（负责人）或授权委托代理人（签/章）</w:t>
      </w:r>
      <w:r>
        <w:rPr>
          <w:rFonts w:hint="eastAsia" w:ascii="微软雅黑" w:hAnsi="微软雅黑" w:eastAsia="微软雅黑" w:cs="微软雅黑"/>
          <w:color w:val="auto"/>
          <w:sz w:val="24"/>
          <w:highlight w:val="none"/>
          <w:u w:val="single"/>
        </w:rPr>
        <w:t xml:space="preserve">                     </w:t>
      </w:r>
    </w:p>
    <w:p>
      <w:pPr>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日期：           年   月   日</w:t>
      </w:r>
    </w:p>
    <w:p>
      <w:pPr>
        <w:pStyle w:val="25"/>
        <w:spacing w:line="440" w:lineRule="exact"/>
        <w:rPr>
          <w:rFonts w:ascii="微软雅黑" w:hAnsi="微软雅黑" w:eastAsia="微软雅黑" w:cs="微软雅黑"/>
          <w:color w:val="auto"/>
          <w:sz w:val="24"/>
          <w:highlight w:val="none"/>
        </w:rPr>
      </w:pPr>
    </w:p>
    <w:p>
      <w:pPr>
        <w:pStyle w:val="25"/>
        <w:spacing w:line="440" w:lineRule="exact"/>
        <w:rPr>
          <w:rFonts w:ascii="微软雅黑" w:hAnsi="微软雅黑" w:eastAsia="微软雅黑" w:cs="微软雅黑"/>
          <w:color w:val="auto"/>
          <w:sz w:val="24"/>
          <w:highlight w:val="none"/>
        </w:rPr>
      </w:pPr>
    </w:p>
    <w:p>
      <w:pPr>
        <w:pStyle w:val="25"/>
        <w:spacing w:line="440" w:lineRule="exact"/>
        <w:rPr>
          <w:rFonts w:ascii="微软雅黑" w:hAnsi="微软雅黑" w:eastAsia="微软雅黑" w:cs="微软雅黑"/>
          <w:color w:val="auto"/>
          <w:sz w:val="24"/>
          <w:highlight w:val="none"/>
        </w:rPr>
      </w:pPr>
    </w:p>
    <w:p>
      <w:pPr>
        <w:pStyle w:val="25"/>
        <w:spacing w:line="440" w:lineRule="exact"/>
        <w:rPr>
          <w:rFonts w:ascii="微软雅黑" w:hAnsi="微软雅黑" w:eastAsia="微软雅黑" w:cs="微软雅黑"/>
          <w:color w:val="auto"/>
          <w:sz w:val="24"/>
          <w:highlight w:val="none"/>
        </w:rPr>
      </w:pPr>
    </w:p>
    <w:p>
      <w:pPr>
        <w:pStyle w:val="25"/>
        <w:spacing w:line="440" w:lineRule="exact"/>
        <w:rPr>
          <w:rFonts w:ascii="微软雅黑" w:hAnsi="微软雅黑" w:eastAsia="微软雅黑" w:cs="微软雅黑"/>
          <w:color w:val="auto"/>
          <w:sz w:val="24"/>
          <w:highlight w:val="none"/>
        </w:rPr>
      </w:pPr>
    </w:p>
    <w:p>
      <w:pPr>
        <w:tabs>
          <w:tab w:val="left" w:pos="5580"/>
        </w:tabs>
        <w:spacing w:line="440" w:lineRule="exact"/>
        <w:ind w:left="1080" w:hanging="1080"/>
        <w:rPr>
          <w:rFonts w:ascii="微软雅黑" w:hAnsi="微软雅黑" w:eastAsia="微软雅黑" w:cs="微软雅黑"/>
          <w:b/>
          <w:bCs/>
          <w:color w:val="auto"/>
          <w:sz w:val="24"/>
          <w:highlight w:val="none"/>
        </w:rPr>
      </w:pPr>
    </w:p>
    <w:p>
      <w:pPr>
        <w:spacing w:line="440" w:lineRule="exact"/>
        <w:rPr>
          <w:rFonts w:ascii="微软雅黑" w:hAnsi="微软雅黑" w:eastAsia="微软雅黑" w:cs="微软雅黑"/>
          <w:color w:val="auto"/>
          <w:sz w:val="24"/>
          <w:highlight w:val="none"/>
        </w:rPr>
      </w:pPr>
    </w:p>
    <w:p>
      <w:pPr>
        <w:rPr>
          <w:rFonts w:ascii="微软雅黑" w:hAnsi="微软雅黑" w:eastAsia="微软雅黑" w:cs="微软雅黑"/>
          <w:b/>
          <w:bCs/>
          <w:color w:val="auto"/>
          <w:sz w:val="24"/>
          <w:highlight w:val="none"/>
        </w:rPr>
      </w:pPr>
      <w:bookmarkStart w:id="317" w:name="_Hlt520355938"/>
      <w:bookmarkEnd w:id="317"/>
      <w:bookmarkStart w:id="318" w:name="_Hlt520356243"/>
      <w:bookmarkEnd w:id="318"/>
      <w:bookmarkStart w:id="319" w:name="_Toc216582817"/>
      <w:bookmarkStart w:id="320" w:name="_Toc515647820"/>
      <w:bookmarkStart w:id="321" w:name="_Toc22563"/>
      <w:bookmarkStart w:id="322" w:name="_Toc28959"/>
      <w:bookmarkStart w:id="323" w:name="_Toc29728"/>
      <w:r>
        <w:rPr>
          <w:rFonts w:hint="eastAsia" w:ascii="微软雅黑" w:hAnsi="微软雅黑" w:eastAsia="微软雅黑" w:cs="微软雅黑"/>
          <w:b/>
          <w:bCs/>
          <w:color w:val="auto"/>
          <w:sz w:val="24"/>
          <w:highlight w:val="none"/>
        </w:rPr>
        <w:t>1.1投标分项明细报价表</w:t>
      </w:r>
    </w:p>
    <w:p>
      <w:pPr>
        <w:jc w:val="center"/>
        <w:rPr>
          <w:rFonts w:ascii="微软雅黑" w:hAnsi="微软雅黑" w:eastAsia="微软雅黑" w:cs="微软雅黑"/>
          <w:b/>
          <w:color w:val="auto"/>
          <w:sz w:val="24"/>
          <w:highlight w:val="none"/>
        </w:rPr>
      </w:pPr>
      <w:r>
        <w:rPr>
          <w:rFonts w:hint="eastAsia" w:ascii="微软雅黑" w:hAnsi="微软雅黑" w:eastAsia="微软雅黑" w:cs="微软雅黑"/>
          <w:b/>
          <w:color w:val="auto"/>
          <w:sz w:val="24"/>
          <w:highlight w:val="none"/>
        </w:rPr>
        <w:t>分项明细报价表</w:t>
      </w:r>
    </w:p>
    <w:p>
      <w:pPr>
        <w:tabs>
          <w:tab w:val="left" w:pos="1800"/>
          <w:tab w:val="left" w:pos="5580"/>
        </w:tabs>
        <w:spacing w:line="400" w:lineRule="exact"/>
        <w:ind w:left="1080" w:leftChars="257" w:right="-867" w:rightChars="-413" w:hanging="54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项目名称：                                 项目编号：</w:t>
      </w:r>
    </w:p>
    <w:p>
      <w:pPr>
        <w:tabs>
          <w:tab w:val="left" w:pos="1800"/>
          <w:tab w:val="left" w:pos="5580"/>
        </w:tabs>
        <w:spacing w:line="400" w:lineRule="exact"/>
        <w:ind w:left="1080" w:leftChars="257" w:right="-867" w:rightChars="-413" w:hanging="540"/>
        <w:jc w:val="righ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货币单位：人民币（元）</w:t>
      </w:r>
    </w:p>
    <w:tbl>
      <w:tblPr>
        <w:tblStyle w:val="35"/>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098"/>
        <w:gridCol w:w="1395"/>
        <w:gridCol w:w="889"/>
        <w:gridCol w:w="1323"/>
        <w:gridCol w:w="832"/>
        <w:gridCol w:w="1142"/>
        <w:gridCol w:w="1142"/>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3" w:hRule="exact"/>
          <w:jc w:val="center"/>
        </w:trPr>
        <w:tc>
          <w:tcPr>
            <w:tcW w:w="587" w:type="dxa"/>
            <w:vAlign w:val="center"/>
          </w:tcPr>
          <w:p>
            <w:pPr>
              <w:jc w:val="center"/>
              <w:rPr>
                <w:rFonts w:ascii="微软雅黑" w:hAnsi="微软雅黑" w:eastAsia="微软雅黑" w:cs="微软雅黑"/>
                <w:color w:val="auto"/>
                <w:position w:val="10"/>
                <w:sz w:val="24"/>
                <w:highlight w:val="none"/>
              </w:rPr>
            </w:pPr>
            <w:r>
              <w:rPr>
                <w:rFonts w:hint="eastAsia" w:ascii="微软雅黑" w:hAnsi="微软雅黑" w:eastAsia="微软雅黑" w:cs="微软雅黑"/>
                <w:color w:val="auto"/>
                <w:sz w:val="24"/>
                <w:highlight w:val="none"/>
              </w:rPr>
              <w:br w:type="page"/>
            </w:r>
            <w:r>
              <w:rPr>
                <w:rFonts w:hint="eastAsia" w:ascii="微软雅黑" w:hAnsi="微软雅黑" w:eastAsia="微软雅黑" w:cs="微软雅黑"/>
                <w:color w:val="auto"/>
                <w:position w:val="10"/>
                <w:sz w:val="24"/>
                <w:highlight w:val="none"/>
              </w:rPr>
              <w:t>序号</w:t>
            </w:r>
          </w:p>
        </w:tc>
        <w:tc>
          <w:tcPr>
            <w:tcW w:w="1098" w:type="dxa"/>
            <w:vAlign w:val="center"/>
          </w:tcPr>
          <w:p>
            <w:pPr>
              <w:spacing w:line="600" w:lineRule="exact"/>
              <w:jc w:val="center"/>
              <w:rPr>
                <w:rFonts w:ascii="微软雅黑" w:hAnsi="微软雅黑" w:eastAsia="微软雅黑" w:cs="微软雅黑"/>
                <w:color w:val="auto"/>
                <w:position w:val="10"/>
                <w:sz w:val="24"/>
                <w:highlight w:val="none"/>
              </w:rPr>
            </w:pPr>
            <w:r>
              <w:rPr>
                <w:rFonts w:hint="eastAsia" w:ascii="微软雅黑" w:hAnsi="微软雅黑" w:eastAsia="微软雅黑" w:cs="微软雅黑"/>
                <w:color w:val="auto"/>
                <w:position w:val="10"/>
                <w:sz w:val="24"/>
                <w:highlight w:val="none"/>
              </w:rPr>
              <w:t>产品名称</w:t>
            </w:r>
          </w:p>
        </w:tc>
        <w:tc>
          <w:tcPr>
            <w:tcW w:w="1395" w:type="dxa"/>
            <w:vAlign w:val="center"/>
          </w:tcPr>
          <w:p>
            <w:pPr>
              <w:spacing w:line="600" w:lineRule="exact"/>
              <w:jc w:val="center"/>
              <w:rPr>
                <w:rFonts w:ascii="微软雅黑" w:hAnsi="微软雅黑" w:eastAsia="微软雅黑" w:cs="微软雅黑"/>
                <w:color w:val="auto"/>
                <w:position w:val="10"/>
                <w:sz w:val="24"/>
                <w:highlight w:val="none"/>
              </w:rPr>
            </w:pPr>
            <w:r>
              <w:rPr>
                <w:rFonts w:hint="eastAsia" w:ascii="微软雅黑" w:hAnsi="微软雅黑" w:eastAsia="微软雅黑" w:cs="微软雅黑"/>
                <w:color w:val="auto"/>
                <w:position w:val="10"/>
                <w:sz w:val="24"/>
                <w:highlight w:val="none"/>
              </w:rPr>
              <w:t>品牌/产地/产权所有者</w:t>
            </w:r>
          </w:p>
        </w:tc>
        <w:tc>
          <w:tcPr>
            <w:tcW w:w="889" w:type="dxa"/>
            <w:vAlign w:val="center"/>
          </w:tcPr>
          <w:p>
            <w:pPr>
              <w:spacing w:line="600" w:lineRule="exact"/>
              <w:jc w:val="center"/>
              <w:rPr>
                <w:rFonts w:ascii="微软雅黑" w:hAnsi="微软雅黑" w:eastAsia="微软雅黑" w:cs="微软雅黑"/>
                <w:color w:val="auto"/>
                <w:position w:val="10"/>
                <w:sz w:val="24"/>
                <w:highlight w:val="none"/>
              </w:rPr>
            </w:pPr>
            <w:r>
              <w:rPr>
                <w:rFonts w:hint="eastAsia" w:ascii="微软雅黑" w:hAnsi="微软雅黑" w:eastAsia="微软雅黑" w:cs="微软雅黑"/>
                <w:color w:val="auto"/>
                <w:position w:val="10"/>
                <w:sz w:val="24"/>
                <w:highlight w:val="none"/>
              </w:rPr>
              <w:t>型号/版本号</w:t>
            </w:r>
          </w:p>
        </w:tc>
        <w:tc>
          <w:tcPr>
            <w:tcW w:w="1323" w:type="dxa"/>
            <w:vAlign w:val="center"/>
          </w:tcPr>
          <w:p>
            <w:pPr>
              <w:spacing w:line="600" w:lineRule="exact"/>
              <w:jc w:val="center"/>
              <w:rPr>
                <w:rFonts w:ascii="微软雅黑" w:hAnsi="微软雅黑" w:eastAsia="微软雅黑" w:cs="微软雅黑"/>
                <w:color w:val="auto"/>
                <w:position w:val="10"/>
                <w:sz w:val="24"/>
                <w:highlight w:val="none"/>
              </w:rPr>
            </w:pPr>
            <w:r>
              <w:rPr>
                <w:rFonts w:hint="eastAsia" w:ascii="微软雅黑" w:hAnsi="微软雅黑" w:eastAsia="微软雅黑" w:cs="微软雅黑"/>
                <w:color w:val="auto"/>
                <w:position w:val="10"/>
                <w:sz w:val="24"/>
                <w:highlight w:val="none"/>
              </w:rPr>
              <w:t>配置参数/性能描述</w:t>
            </w:r>
          </w:p>
        </w:tc>
        <w:tc>
          <w:tcPr>
            <w:tcW w:w="832" w:type="dxa"/>
            <w:vAlign w:val="center"/>
          </w:tcPr>
          <w:p>
            <w:pPr>
              <w:spacing w:line="600" w:lineRule="exact"/>
              <w:jc w:val="center"/>
              <w:rPr>
                <w:rFonts w:ascii="微软雅黑" w:hAnsi="微软雅黑" w:eastAsia="微软雅黑" w:cs="微软雅黑"/>
                <w:color w:val="auto"/>
                <w:position w:val="10"/>
                <w:sz w:val="24"/>
                <w:highlight w:val="none"/>
              </w:rPr>
            </w:pPr>
            <w:r>
              <w:rPr>
                <w:rFonts w:hint="eastAsia" w:ascii="微软雅黑" w:hAnsi="微软雅黑" w:eastAsia="微软雅黑" w:cs="微软雅黑"/>
                <w:color w:val="auto"/>
                <w:position w:val="10"/>
                <w:sz w:val="24"/>
                <w:highlight w:val="none"/>
              </w:rPr>
              <w:t>数量</w:t>
            </w:r>
          </w:p>
        </w:tc>
        <w:tc>
          <w:tcPr>
            <w:tcW w:w="1142" w:type="dxa"/>
            <w:vAlign w:val="center"/>
          </w:tcPr>
          <w:p>
            <w:pPr>
              <w:spacing w:line="600" w:lineRule="exact"/>
              <w:jc w:val="center"/>
              <w:rPr>
                <w:rFonts w:ascii="微软雅黑" w:hAnsi="微软雅黑" w:eastAsia="微软雅黑" w:cs="微软雅黑"/>
                <w:color w:val="auto"/>
                <w:position w:val="10"/>
                <w:sz w:val="24"/>
                <w:highlight w:val="none"/>
              </w:rPr>
            </w:pPr>
            <w:r>
              <w:rPr>
                <w:rFonts w:hint="eastAsia" w:ascii="微软雅黑" w:hAnsi="微软雅黑" w:eastAsia="微软雅黑" w:cs="微软雅黑"/>
                <w:color w:val="auto"/>
                <w:position w:val="10"/>
                <w:sz w:val="24"/>
                <w:highlight w:val="none"/>
              </w:rPr>
              <w:t>单价</w:t>
            </w:r>
          </w:p>
        </w:tc>
        <w:tc>
          <w:tcPr>
            <w:tcW w:w="1142" w:type="dxa"/>
            <w:vAlign w:val="center"/>
          </w:tcPr>
          <w:p>
            <w:pPr>
              <w:spacing w:line="600" w:lineRule="exact"/>
              <w:jc w:val="center"/>
              <w:rPr>
                <w:rFonts w:ascii="微软雅黑" w:hAnsi="微软雅黑" w:eastAsia="微软雅黑" w:cs="微软雅黑"/>
                <w:color w:val="auto"/>
                <w:position w:val="10"/>
                <w:sz w:val="24"/>
                <w:highlight w:val="none"/>
              </w:rPr>
            </w:pPr>
            <w:r>
              <w:rPr>
                <w:rFonts w:hint="eastAsia" w:ascii="微软雅黑" w:hAnsi="微软雅黑" w:eastAsia="微软雅黑" w:cs="微软雅黑"/>
                <w:color w:val="auto"/>
                <w:position w:val="10"/>
                <w:sz w:val="24"/>
                <w:highlight w:val="none"/>
              </w:rPr>
              <w:t>合价</w:t>
            </w:r>
          </w:p>
        </w:tc>
        <w:tc>
          <w:tcPr>
            <w:tcW w:w="1131" w:type="dxa"/>
            <w:vAlign w:val="center"/>
          </w:tcPr>
          <w:p>
            <w:pPr>
              <w:spacing w:line="600" w:lineRule="exact"/>
              <w:jc w:val="center"/>
              <w:rPr>
                <w:rFonts w:ascii="微软雅黑" w:hAnsi="微软雅黑" w:eastAsia="微软雅黑" w:cs="微软雅黑"/>
                <w:color w:val="auto"/>
                <w:position w:val="10"/>
                <w:sz w:val="24"/>
                <w:highlight w:val="none"/>
              </w:rPr>
            </w:pPr>
            <w:r>
              <w:rPr>
                <w:rFonts w:hint="eastAsia" w:ascii="微软雅黑" w:hAnsi="微软雅黑" w:eastAsia="微软雅黑" w:cs="微软雅黑"/>
                <w:color w:val="auto"/>
                <w:position w:val="1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2" w:hRule="atLeast"/>
          <w:jc w:val="center"/>
        </w:trPr>
        <w:tc>
          <w:tcPr>
            <w:tcW w:w="587" w:type="dxa"/>
            <w:vAlign w:val="center"/>
          </w:tcPr>
          <w:p>
            <w:pPr>
              <w:spacing w:line="520" w:lineRule="atLeast"/>
              <w:ind w:firstLine="240" w:firstLineChars="1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w:t>
            </w:r>
          </w:p>
        </w:tc>
        <w:tc>
          <w:tcPr>
            <w:tcW w:w="1098" w:type="dxa"/>
            <w:vAlign w:val="center"/>
          </w:tcPr>
          <w:p>
            <w:pPr>
              <w:pStyle w:val="27"/>
              <w:spacing w:line="440" w:lineRule="exact"/>
              <w:ind w:firstLine="0"/>
              <w:jc w:val="center"/>
              <w:rPr>
                <w:rFonts w:ascii="微软雅黑" w:hAnsi="微软雅黑" w:eastAsia="微软雅黑" w:cs="微软雅黑"/>
                <w:color w:val="auto"/>
                <w:kern w:val="2"/>
                <w:szCs w:val="24"/>
                <w:highlight w:val="none"/>
              </w:rPr>
            </w:pPr>
          </w:p>
        </w:tc>
        <w:tc>
          <w:tcPr>
            <w:tcW w:w="1395" w:type="dxa"/>
            <w:vAlign w:val="center"/>
          </w:tcPr>
          <w:p>
            <w:pPr>
              <w:spacing w:line="520" w:lineRule="atLeast"/>
              <w:jc w:val="center"/>
              <w:rPr>
                <w:rFonts w:ascii="微软雅黑" w:hAnsi="微软雅黑" w:eastAsia="微软雅黑" w:cs="微软雅黑"/>
                <w:color w:val="auto"/>
                <w:sz w:val="24"/>
                <w:highlight w:val="none"/>
              </w:rPr>
            </w:pPr>
          </w:p>
        </w:tc>
        <w:tc>
          <w:tcPr>
            <w:tcW w:w="889" w:type="dxa"/>
            <w:vAlign w:val="center"/>
          </w:tcPr>
          <w:p>
            <w:pPr>
              <w:spacing w:line="520" w:lineRule="atLeast"/>
              <w:jc w:val="center"/>
              <w:rPr>
                <w:rFonts w:ascii="微软雅黑" w:hAnsi="微软雅黑" w:eastAsia="微软雅黑" w:cs="微软雅黑"/>
                <w:color w:val="auto"/>
                <w:sz w:val="24"/>
                <w:highlight w:val="none"/>
              </w:rPr>
            </w:pPr>
          </w:p>
        </w:tc>
        <w:tc>
          <w:tcPr>
            <w:tcW w:w="1323" w:type="dxa"/>
            <w:vAlign w:val="center"/>
          </w:tcPr>
          <w:p>
            <w:pPr>
              <w:spacing w:line="520" w:lineRule="atLeast"/>
              <w:jc w:val="center"/>
              <w:rPr>
                <w:rFonts w:ascii="微软雅黑" w:hAnsi="微软雅黑" w:eastAsia="微软雅黑" w:cs="微软雅黑"/>
                <w:color w:val="auto"/>
                <w:sz w:val="24"/>
                <w:highlight w:val="none"/>
              </w:rPr>
            </w:pPr>
          </w:p>
        </w:tc>
        <w:tc>
          <w:tcPr>
            <w:tcW w:w="832" w:type="dxa"/>
          </w:tcPr>
          <w:p>
            <w:pPr>
              <w:spacing w:line="520" w:lineRule="atLeast"/>
              <w:jc w:val="center"/>
              <w:rPr>
                <w:rFonts w:ascii="微软雅黑" w:hAnsi="微软雅黑" w:eastAsia="微软雅黑" w:cs="微软雅黑"/>
                <w:color w:val="auto"/>
                <w:sz w:val="24"/>
                <w:highlight w:val="none"/>
              </w:rPr>
            </w:pPr>
          </w:p>
        </w:tc>
        <w:tc>
          <w:tcPr>
            <w:tcW w:w="1142" w:type="dxa"/>
            <w:vAlign w:val="center"/>
          </w:tcPr>
          <w:p>
            <w:pPr>
              <w:spacing w:line="520" w:lineRule="atLeast"/>
              <w:jc w:val="center"/>
              <w:rPr>
                <w:rFonts w:ascii="微软雅黑" w:hAnsi="微软雅黑" w:eastAsia="微软雅黑" w:cs="微软雅黑"/>
                <w:color w:val="auto"/>
                <w:sz w:val="24"/>
                <w:highlight w:val="none"/>
              </w:rPr>
            </w:pPr>
          </w:p>
        </w:tc>
        <w:tc>
          <w:tcPr>
            <w:tcW w:w="1142" w:type="dxa"/>
          </w:tcPr>
          <w:p>
            <w:pPr>
              <w:spacing w:line="520" w:lineRule="atLeast"/>
              <w:jc w:val="center"/>
              <w:rPr>
                <w:rFonts w:ascii="微软雅黑" w:hAnsi="微软雅黑" w:eastAsia="微软雅黑" w:cs="微软雅黑"/>
                <w:color w:val="auto"/>
                <w:sz w:val="24"/>
                <w:highlight w:val="none"/>
              </w:rPr>
            </w:pPr>
          </w:p>
        </w:tc>
        <w:tc>
          <w:tcPr>
            <w:tcW w:w="1131" w:type="dxa"/>
          </w:tcPr>
          <w:p>
            <w:pPr>
              <w:spacing w:line="520" w:lineRule="atLeast"/>
              <w:jc w:val="center"/>
              <w:rPr>
                <w:rFonts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2" w:hRule="atLeast"/>
          <w:jc w:val="center"/>
        </w:trPr>
        <w:tc>
          <w:tcPr>
            <w:tcW w:w="587" w:type="dxa"/>
            <w:vAlign w:val="center"/>
          </w:tcPr>
          <w:p>
            <w:pPr>
              <w:spacing w:line="520" w:lineRule="atLeast"/>
              <w:ind w:firstLine="240" w:firstLineChars="1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w:t>
            </w:r>
          </w:p>
        </w:tc>
        <w:tc>
          <w:tcPr>
            <w:tcW w:w="1098" w:type="dxa"/>
            <w:vAlign w:val="center"/>
          </w:tcPr>
          <w:p>
            <w:pPr>
              <w:pStyle w:val="27"/>
              <w:spacing w:line="440" w:lineRule="exact"/>
              <w:ind w:firstLine="0"/>
              <w:jc w:val="center"/>
              <w:rPr>
                <w:rFonts w:ascii="微软雅黑" w:hAnsi="微软雅黑" w:eastAsia="微软雅黑" w:cs="微软雅黑"/>
                <w:color w:val="auto"/>
                <w:kern w:val="2"/>
                <w:szCs w:val="24"/>
                <w:highlight w:val="none"/>
              </w:rPr>
            </w:pPr>
          </w:p>
        </w:tc>
        <w:tc>
          <w:tcPr>
            <w:tcW w:w="1395" w:type="dxa"/>
            <w:vAlign w:val="center"/>
          </w:tcPr>
          <w:p>
            <w:pPr>
              <w:spacing w:line="520" w:lineRule="atLeast"/>
              <w:jc w:val="center"/>
              <w:rPr>
                <w:rFonts w:ascii="微软雅黑" w:hAnsi="微软雅黑" w:eastAsia="微软雅黑" w:cs="微软雅黑"/>
                <w:color w:val="auto"/>
                <w:sz w:val="24"/>
                <w:highlight w:val="none"/>
              </w:rPr>
            </w:pPr>
          </w:p>
        </w:tc>
        <w:tc>
          <w:tcPr>
            <w:tcW w:w="889" w:type="dxa"/>
            <w:vAlign w:val="center"/>
          </w:tcPr>
          <w:p>
            <w:pPr>
              <w:spacing w:line="520" w:lineRule="atLeast"/>
              <w:jc w:val="center"/>
              <w:rPr>
                <w:rFonts w:ascii="微软雅黑" w:hAnsi="微软雅黑" w:eastAsia="微软雅黑" w:cs="微软雅黑"/>
                <w:color w:val="auto"/>
                <w:sz w:val="24"/>
                <w:highlight w:val="none"/>
              </w:rPr>
            </w:pPr>
          </w:p>
        </w:tc>
        <w:tc>
          <w:tcPr>
            <w:tcW w:w="1323" w:type="dxa"/>
            <w:vAlign w:val="center"/>
          </w:tcPr>
          <w:p>
            <w:pPr>
              <w:spacing w:line="520" w:lineRule="atLeast"/>
              <w:jc w:val="center"/>
              <w:rPr>
                <w:rFonts w:ascii="微软雅黑" w:hAnsi="微软雅黑" w:eastAsia="微软雅黑" w:cs="微软雅黑"/>
                <w:color w:val="auto"/>
                <w:sz w:val="24"/>
                <w:highlight w:val="none"/>
              </w:rPr>
            </w:pPr>
          </w:p>
        </w:tc>
        <w:tc>
          <w:tcPr>
            <w:tcW w:w="832" w:type="dxa"/>
          </w:tcPr>
          <w:p>
            <w:pPr>
              <w:spacing w:line="520" w:lineRule="atLeast"/>
              <w:jc w:val="center"/>
              <w:rPr>
                <w:rFonts w:ascii="微软雅黑" w:hAnsi="微软雅黑" w:eastAsia="微软雅黑" w:cs="微软雅黑"/>
                <w:color w:val="auto"/>
                <w:sz w:val="24"/>
                <w:highlight w:val="none"/>
              </w:rPr>
            </w:pPr>
          </w:p>
        </w:tc>
        <w:tc>
          <w:tcPr>
            <w:tcW w:w="1142" w:type="dxa"/>
            <w:vAlign w:val="center"/>
          </w:tcPr>
          <w:p>
            <w:pPr>
              <w:spacing w:line="520" w:lineRule="atLeast"/>
              <w:jc w:val="center"/>
              <w:rPr>
                <w:rFonts w:ascii="微软雅黑" w:hAnsi="微软雅黑" w:eastAsia="微软雅黑" w:cs="微软雅黑"/>
                <w:color w:val="auto"/>
                <w:sz w:val="24"/>
                <w:highlight w:val="none"/>
              </w:rPr>
            </w:pPr>
          </w:p>
        </w:tc>
        <w:tc>
          <w:tcPr>
            <w:tcW w:w="1142" w:type="dxa"/>
          </w:tcPr>
          <w:p>
            <w:pPr>
              <w:spacing w:line="520" w:lineRule="atLeast"/>
              <w:jc w:val="center"/>
              <w:rPr>
                <w:rFonts w:ascii="微软雅黑" w:hAnsi="微软雅黑" w:eastAsia="微软雅黑" w:cs="微软雅黑"/>
                <w:color w:val="auto"/>
                <w:sz w:val="24"/>
                <w:highlight w:val="none"/>
              </w:rPr>
            </w:pPr>
          </w:p>
        </w:tc>
        <w:tc>
          <w:tcPr>
            <w:tcW w:w="1131" w:type="dxa"/>
          </w:tcPr>
          <w:p>
            <w:pPr>
              <w:spacing w:line="520" w:lineRule="atLeast"/>
              <w:jc w:val="center"/>
              <w:rPr>
                <w:rFonts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587" w:type="dxa"/>
            <w:vAlign w:val="center"/>
          </w:tcPr>
          <w:p>
            <w:pPr>
              <w:spacing w:line="520" w:lineRule="atLeast"/>
              <w:ind w:firstLine="240" w:firstLineChars="1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w:t>
            </w:r>
          </w:p>
        </w:tc>
        <w:tc>
          <w:tcPr>
            <w:tcW w:w="1098" w:type="dxa"/>
            <w:vAlign w:val="center"/>
          </w:tcPr>
          <w:p>
            <w:pPr>
              <w:pStyle w:val="27"/>
              <w:spacing w:line="440" w:lineRule="exact"/>
              <w:ind w:firstLine="0"/>
              <w:jc w:val="center"/>
              <w:rPr>
                <w:rFonts w:ascii="微软雅黑" w:hAnsi="微软雅黑" w:eastAsia="微软雅黑" w:cs="微软雅黑"/>
                <w:color w:val="auto"/>
                <w:kern w:val="2"/>
                <w:szCs w:val="24"/>
                <w:highlight w:val="none"/>
              </w:rPr>
            </w:pPr>
          </w:p>
        </w:tc>
        <w:tc>
          <w:tcPr>
            <w:tcW w:w="1395" w:type="dxa"/>
            <w:vAlign w:val="center"/>
          </w:tcPr>
          <w:p>
            <w:pPr>
              <w:spacing w:line="520" w:lineRule="atLeast"/>
              <w:jc w:val="center"/>
              <w:rPr>
                <w:rFonts w:ascii="微软雅黑" w:hAnsi="微软雅黑" w:eastAsia="微软雅黑" w:cs="微软雅黑"/>
                <w:color w:val="auto"/>
                <w:sz w:val="24"/>
                <w:highlight w:val="none"/>
              </w:rPr>
            </w:pPr>
          </w:p>
        </w:tc>
        <w:tc>
          <w:tcPr>
            <w:tcW w:w="889" w:type="dxa"/>
            <w:vAlign w:val="center"/>
          </w:tcPr>
          <w:p>
            <w:pPr>
              <w:spacing w:line="520" w:lineRule="atLeast"/>
              <w:jc w:val="center"/>
              <w:rPr>
                <w:rFonts w:ascii="微软雅黑" w:hAnsi="微软雅黑" w:eastAsia="微软雅黑" w:cs="微软雅黑"/>
                <w:color w:val="auto"/>
                <w:sz w:val="24"/>
                <w:highlight w:val="none"/>
              </w:rPr>
            </w:pPr>
          </w:p>
        </w:tc>
        <w:tc>
          <w:tcPr>
            <w:tcW w:w="1323" w:type="dxa"/>
            <w:vAlign w:val="center"/>
          </w:tcPr>
          <w:p>
            <w:pPr>
              <w:spacing w:line="520" w:lineRule="atLeast"/>
              <w:jc w:val="center"/>
              <w:rPr>
                <w:rFonts w:ascii="微软雅黑" w:hAnsi="微软雅黑" w:eastAsia="微软雅黑" w:cs="微软雅黑"/>
                <w:color w:val="auto"/>
                <w:sz w:val="24"/>
                <w:highlight w:val="none"/>
              </w:rPr>
            </w:pPr>
          </w:p>
        </w:tc>
        <w:tc>
          <w:tcPr>
            <w:tcW w:w="832" w:type="dxa"/>
          </w:tcPr>
          <w:p>
            <w:pPr>
              <w:spacing w:line="520" w:lineRule="atLeast"/>
              <w:jc w:val="center"/>
              <w:rPr>
                <w:rFonts w:ascii="微软雅黑" w:hAnsi="微软雅黑" w:eastAsia="微软雅黑" w:cs="微软雅黑"/>
                <w:color w:val="auto"/>
                <w:sz w:val="24"/>
                <w:highlight w:val="none"/>
              </w:rPr>
            </w:pPr>
          </w:p>
        </w:tc>
        <w:tc>
          <w:tcPr>
            <w:tcW w:w="1142" w:type="dxa"/>
            <w:vAlign w:val="center"/>
          </w:tcPr>
          <w:p>
            <w:pPr>
              <w:spacing w:line="520" w:lineRule="atLeast"/>
              <w:jc w:val="center"/>
              <w:rPr>
                <w:rFonts w:ascii="微软雅黑" w:hAnsi="微软雅黑" w:eastAsia="微软雅黑" w:cs="微软雅黑"/>
                <w:color w:val="auto"/>
                <w:sz w:val="24"/>
                <w:highlight w:val="none"/>
              </w:rPr>
            </w:pPr>
          </w:p>
        </w:tc>
        <w:tc>
          <w:tcPr>
            <w:tcW w:w="1142" w:type="dxa"/>
          </w:tcPr>
          <w:p>
            <w:pPr>
              <w:spacing w:line="520" w:lineRule="atLeast"/>
              <w:jc w:val="center"/>
              <w:rPr>
                <w:rFonts w:ascii="微软雅黑" w:hAnsi="微软雅黑" w:eastAsia="微软雅黑" w:cs="微软雅黑"/>
                <w:color w:val="auto"/>
                <w:sz w:val="24"/>
                <w:highlight w:val="none"/>
              </w:rPr>
            </w:pPr>
          </w:p>
        </w:tc>
        <w:tc>
          <w:tcPr>
            <w:tcW w:w="1131" w:type="dxa"/>
          </w:tcPr>
          <w:p>
            <w:pPr>
              <w:spacing w:line="520" w:lineRule="atLeast"/>
              <w:jc w:val="center"/>
              <w:rPr>
                <w:rFonts w:ascii="微软雅黑" w:hAnsi="微软雅黑" w:eastAsia="微软雅黑" w:cs="微软雅黑"/>
                <w:color w:val="auto"/>
                <w:sz w:val="24"/>
                <w:highlight w:val="none"/>
              </w:rPr>
            </w:pPr>
          </w:p>
        </w:tc>
      </w:tr>
    </w:tbl>
    <w:p>
      <w:pPr>
        <w:rPr>
          <w:rFonts w:ascii="微软雅黑" w:hAnsi="微软雅黑" w:eastAsia="微软雅黑"/>
          <w:color w:val="auto"/>
          <w:sz w:val="24"/>
          <w:highlight w:val="none"/>
        </w:rPr>
      </w:pPr>
      <w:r>
        <w:rPr>
          <w:rFonts w:hint="eastAsia" w:ascii="微软雅黑" w:hAnsi="微软雅黑" w:eastAsia="微软雅黑"/>
          <w:color w:val="auto"/>
          <w:sz w:val="24"/>
          <w:highlight w:val="none"/>
        </w:rPr>
        <w:t>注：1.明细报价表必须认真填写，包括产品的品牌、型号、配置参数、价格、数量、质保、培训、项目实施时间等详细说明。</w:t>
      </w:r>
    </w:p>
    <w:p>
      <w:pPr>
        <w:rPr>
          <w:rFonts w:ascii="微软雅黑" w:hAnsi="微软雅黑" w:eastAsia="微软雅黑"/>
          <w:color w:val="auto"/>
          <w:sz w:val="24"/>
          <w:highlight w:val="none"/>
        </w:rPr>
      </w:pPr>
      <w:r>
        <w:rPr>
          <w:rFonts w:hint="eastAsia" w:ascii="微软雅黑" w:hAnsi="微软雅黑" w:eastAsia="微软雅黑"/>
          <w:color w:val="auto"/>
          <w:sz w:val="24"/>
          <w:highlight w:val="none"/>
        </w:rPr>
        <w:t>2.单价应包括装、卸、运、安装调试等费用，以及已支付或将支付的营业税和其它税费。</w:t>
      </w:r>
    </w:p>
    <w:p>
      <w:pPr>
        <w:rPr>
          <w:rFonts w:ascii="微软雅黑" w:hAnsi="微软雅黑" w:eastAsia="微软雅黑"/>
          <w:color w:val="auto"/>
          <w:sz w:val="24"/>
          <w:highlight w:val="none"/>
        </w:rPr>
      </w:pPr>
      <w:r>
        <w:rPr>
          <w:rFonts w:hint="eastAsia" w:ascii="微软雅黑" w:hAnsi="微软雅黑" w:eastAsia="微软雅黑"/>
          <w:color w:val="auto"/>
          <w:sz w:val="24"/>
          <w:highlight w:val="none"/>
        </w:rPr>
        <w:t xml:space="preserve">3.请提供本招标文件要求产品详细的配置清单及分项报价，包括标准件、选购件及个性化定制单价。 </w:t>
      </w:r>
    </w:p>
    <w:p>
      <w:pPr>
        <w:pStyle w:val="2"/>
        <w:ind w:firstLine="0"/>
        <w:rPr>
          <w:rFonts w:ascii="微软雅黑" w:hAnsi="微软雅黑" w:eastAsia="微软雅黑"/>
          <w:color w:val="auto"/>
          <w:kern w:val="2"/>
          <w:szCs w:val="24"/>
          <w:highlight w:val="none"/>
        </w:rPr>
      </w:pPr>
      <w:r>
        <w:rPr>
          <w:rFonts w:hint="eastAsia" w:ascii="微软雅黑" w:hAnsi="微软雅黑" w:eastAsia="微软雅黑"/>
          <w:color w:val="auto"/>
          <w:kern w:val="2"/>
          <w:szCs w:val="24"/>
          <w:highlight w:val="none"/>
        </w:rPr>
        <w:t>4.分项明细报价表投标人可自行增加行，但不可增加列。</w:t>
      </w:r>
    </w:p>
    <w:p>
      <w:pPr>
        <w:pStyle w:val="57"/>
        <w:spacing w:line="440" w:lineRule="exact"/>
        <w:rPr>
          <w:rFonts w:ascii="微软雅黑" w:hAnsi="微软雅黑" w:eastAsia="微软雅黑" w:cs="微软雅黑"/>
          <w:color w:val="auto"/>
          <w:highlight w:val="none"/>
          <w:u w:val="single"/>
        </w:rPr>
      </w:pPr>
      <w:r>
        <w:rPr>
          <w:rFonts w:hint="eastAsia" w:ascii="微软雅黑" w:hAnsi="微软雅黑" w:eastAsia="微软雅黑" w:cs="微软雅黑"/>
          <w:color w:val="auto"/>
          <w:highlight w:val="none"/>
        </w:rPr>
        <w:t>投标单位（公章）</w:t>
      </w:r>
      <w:r>
        <w:rPr>
          <w:rFonts w:hint="eastAsia" w:ascii="微软雅黑" w:hAnsi="微软雅黑" w:eastAsia="微软雅黑" w:cs="微软雅黑"/>
          <w:color w:val="auto"/>
          <w:highlight w:val="none"/>
          <w:u w:val="single"/>
        </w:rPr>
        <w:t xml:space="preserve">                           </w:t>
      </w:r>
    </w:p>
    <w:p>
      <w:pPr>
        <w:pStyle w:val="57"/>
        <w:spacing w:line="440" w:lineRule="exact"/>
        <w:rPr>
          <w:rFonts w:ascii="微软雅黑" w:hAnsi="微软雅黑" w:eastAsia="微软雅黑" w:cs="微软雅黑"/>
          <w:color w:val="auto"/>
          <w:highlight w:val="none"/>
          <w:u w:val="single"/>
        </w:rPr>
      </w:pPr>
      <w:r>
        <w:rPr>
          <w:rFonts w:hint="eastAsia" w:ascii="微软雅黑" w:hAnsi="微软雅黑" w:eastAsia="微软雅黑" w:cs="微软雅黑"/>
          <w:color w:val="auto"/>
          <w:highlight w:val="none"/>
        </w:rPr>
        <w:t>法定代表人（负责人）或授权委托代理人（签/章）</w:t>
      </w:r>
      <w:r>
        <w:rPr>
          <w:rFonts w:hint="eastAsia" w:ascii="微软雅黑" w:hAnsi="微软雅黑" w:eastAsia="微软雅黑" w:cs="微软雅黑"/>
          <w:color w:val="auto"/>
          <w:highlight w:val="none"/>
          <w:u w:val="single"/>
        </w:rPr>
        <w:t xml:space="preserve">                    </w:t>
      </w:r>
    </w:p>
    <w:p>
      <w:pPr>
        <w:pStyle w:val="57"/>
        <w:spacing w:line="44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日期：     年    月   日</w:t>
      </w:r>
    </w:p>
    <w:p>
      <w:pPr>
        <w:pStyle w:val="2"/>
        <w:rPr>
          <w:color w:val="auto"/>
          <w:highlight w:val="none"/>
        </w:rPr>
      </w:pPr>
    </w:p>
    <w:p>
      <w:pPr>
        <w:pStyle w:val="2"/>
        <w:rPr>
          <w:color w:val="auto"/>
          <w:highlight w:val="none"/>
        </w:rPr>
      </w:pPr>
      <w:r>
        <w:rPr>
          <w:color w:val="auto"/>
          <w:highlight w:val="none"/>
        </w:rPr>
        <w:br w:type="page"/>
      </w:r>
    </w:p>
    <w:p>
      <w:pPr>
        <w:rPr>
          <w:rFonts w:ascii="微软雅黑" w:hAnsi="微软雅黑" w:eastAsia="微软雅黑" w:cs="微软雅黑"/>
          <w:b/>
          <w:bCs/>
          <w:color w:val="auto"/>
          <w:sz w:val="24"/>
          <w:highlight w:val="none"/>
        </w:rPr>
      </w:pPr>
    </w:p>
    <w:p>
      <w:pPr>
        <w:pStyle w:val="14"/>
        <w:tabs>
          <w:tab w:val="left" w:pos="5580"/>
        </w:tabs>
        <w:spacing w:line="440" w:lineRule="exact"/>
        <w:ind w:firstLine="2881" w:firstLineChars="1200"/>
        <w:outlineLvl w:val="1"/>
        <w:rPr>
          <w:rFonts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 xml:space="preserve">2   </w:t>
      </w:r>
      <w:bookmarkEnd w:id="319"/>
      <w:bookmarkEnd w:id="320"/>
      <w:bookmarkEnd w:id="321"/>
      <w:bookmarkEnd w:id="322"/>
      <w:bookmarkStart w:id="324" w:name="_Toc216582818"/>
      <w:bookmarkStart w:id="325" w:name="_Toc515647821"/>
      <w:bookmarkStart w:id="326" w:name="_Toc31439"/>
      <w:bookmarkStart w:id="327" w:name="_Toc1980"/>
      <w:bookmarkStart w:id="328" w:name="_Toc23"/>
      <w:r>
        <w:rPr>
          <w:rFonts w:hint="eastAsia" w:ascii="微软雅黑" w:hAnsi="微软雅黑" w:eastAsia="微软雅黑" w:cs="微软雅黑"/>
          <w:b/>
          <w:bCs/>
          <w:color w:val="auto"/>
          <w:sz w:val="24"/>
          <w:szCs w:val="24"/>
          <w:highlight w:val="none"/>
        </w:rPr>
        <w:t>业绩一览表</w:t>
      </w:r>
      <w:bookmarkEnd w:id="323"/>
    </w:p>
    <w:p>
      <w:pPr>
        <w:pStyle w:val="14"/>
        <w:tabs>
          <w:tab w:val="left" w:pos="5580"/>
        </w:tabs>
        <w:spacing w:line="440" w:lineRule="exact"/>
        <w:ind w:firstLine="2881" w:firstLineChars="1200"/>
        <w:outlineLvl w:val="1"/>
        <w:rPr>
          <w:rFonts w:ascii="微软雅黑" w:hAnsi="微软雅黑" w:eastAsia="微软雅黑" w:cs="微软雅黑"/>
          <w:b/>
          <w:bCs/>
          <w:color w:val="auto"/>
          <w:sz w:val="24"/>
          <w:szCs w:val="24"/>
          <w:highlight w:val="none"/>
        </w:rPr>
      </w:pPr>
    </w:p>
    <w:p>
      <w:pPr>
        <w:pStyle w:val="57"/>
        <w:spacing w:line="44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2.1、业绩一览表</w:t>
      </w:r>
    </w:p>
    <w:tbl>
      <w:tblPr>
        <w:tblStyle w:val="35"/>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2149"/>
        <w:gridCol w:w="2537"/>
        <w:gridCol w:w="1947"/>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857" w:type="dxa"/>
            <w:shd w:val="clear" w:color="auto" w:fill="FFFFFF"/>
            <w:vAlign w:val="center"/>
          </w:tcPr>
          <w:p>
            <w:pPr>
              <w:pStyle w:val="57"/>
              <w:spacing w:line="440" w:lineRule="exact"/>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序号</w:t>
            </w:r>
          </w:p>
        </w:tc>
        <w:tc>
          <w:tcPr>
            <w:tcW w:w="2149" w:type="dxa"/>
            <w:shd w:val="clear" w:color="auto" w:fill="FFFFFF"/>
            <w:vAlign w:val="center"/>
          </w:tcPr>
          <w:p>
            <w:pPr>
              <w:pStyle w:val="57"/>
              <w:spacing w:line="440" w:lineRule="exact"/>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合同名称</w:t>
            </w:r>
          </w:p>
        </w:tc>
        <w:tc>
          <w:tcPr>
            <w:tcW w:w="2537" w:type="dxa"/>
            <w:shd w:val="clear" w:color="auto" w:fill="FFFFFF"/>
            <w:vAlign w:val="center"/>
          </w:tcPr>
          <w:p>
            <w:pPr>
              <w:pStyle w:val="57"/>
              <w:spacing w:line="44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业主单位</w:t>
            </w:r>
          </w:p>
        </w:tc>
        <w:tc>
          <w:tcPr>
            <w:tcW w:w="1947" w:type="dxa"/>
            <w:shd w:val="clear" w:color="auto" w:fill="FFFFFF"/>
            <w:vAlign w:val="center"/>
          </w:tcPr>
          <w:p>
            <w:pPr>
              <w:pStyle w:val="57"/>
              <w:spacing w:line="44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中标金额</w:t>
            </w:r>
          </w:p>
        </w:tc>
        <w:tc>
          <w:tcPr>
            <w:tcW w:w="1947" w:type="dxa"/>
            <w:shd w:val="clear" w:color="auto" w:fill="FFFFFF"/>
            <w:vAlign w:val="center"/>
          </w:tcPr>
          <w:p>
            <w:pPr>
              <w:pStyle w:val="57"/>
              <w:spacing w:line="44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供货时间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857" w:type="dxa"/>
            <w:vAlign w:val="center"/>
          </w:tcPr>
          <w:p>
            <w:pPr>
              <w:pStyle w:val="57"/>
              <w:spacing w:line="440" w:lineRule="exact"/>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1</w:t>
            </w:r>
          </w:p>
        </w:tc>
        <w:tc>
          <w:tcPr>
            <w:tcW w:w="2149" w:type="dxa"/>
            <w:vAlign w:val="center"/>
          </w:tcPr>
          <w:p>
            <w:pPr>
              <w:pStyle w:val="57"/>
              <w:spacing w:line="440" w:lineRule="exact"/>
              <w:jc w:val="center"/>
              <w:rPr>
                <w:rFonts w:ascii="微软雅黑" w:hAnsi="微软雅黑" w:eastAsia="微软雅黑" w:cs="微软雅黑"/>
                <w:color w:val="auto"/>
                <w:highlight w:val="none"/>
              </w:rPr>
            </w:pPr>
          </w:p>
        </w:tc>
        <w:tc>
          <w:tcPr>
            <w:tcW w:w="2537" w:type="dxa"/>
            <w:vAlign w:val="center"/>
          </w:tcPr>
          <w:p>
            <w:pPr>
              <w:pStyle w:val="57"/>
              <w:spacing w:line="440" w:lineRule="exact"/>
              <w:rPr>
                <w:rFonts w:ascii="微软雅黑" w:hAnsi="微软雅黑" w:eastAsia="微软雅黑" w:cs="微软雅黑"/>
                <w:color w:val="auto"/>
                <w:highlight w:val="none"/>
              </w:rPr>
            </w:pPr>
          </w:p>
        </w:tc>
        <w:tc>
          <w:tcPr>
            <w:tcW w:w="1947" w:type="dxa"/>
            <w:vAlign w:val="center"/>
          </w:tcPr>
          <w:p>
            <w:pPr>
              <w:pStyle w:val="57"/>
              <w:spacing w:line="440" w:lineRule="exact"/>
              <w:rPr>
                <w:rFonts w:ascii="微软雅黑" w:hAnsi="微软雅黑" w:eastAsia="微软雅黑" w:cs="微软雅黑"/>
                <w:color w:val="auto"/>
                <w:highlight w:val="none"/>
              </w:rPr>
            </w:pPr>
          </w:p>
        </w:tc>
        <w:tc>
          <w:tcPr>
            <w:tcW w:w="1947" w:type="dxa"/>
            <w:vAlign w:val="center"/>
          </w:tcPr>
          <w:p>
            <w:pPr>
              <w:pStyle w:val="57"/>
              <w:spacing w:line="440" w:lineRule="exact"/>
              <w:rPr>
                <w:rFonts w:ascii="微软雅黑" w:hAnsi="微软雅黑" w:eastAsia="微软雅黑" w:cs="微软雅黑"/>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857" w:type="dxa"/>
            <w:vAlign w:val="center"/>
          </w:tcPr>
          <w:p>
            <w:pPr>
              <w:pStyle w:val="57"/>
              <w:spacing w:line="440" w:lineRule="exact"/>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2</w:t>
            </w:r>
          </w:p>
        </w:tc>
        <w:tc>
          <w:tcPr>
            <w:tcW w:w="2149" w:type="dxa"/>
            <w:vAlign w:val="center"/>
          </w:tcPr>
          <w:p>
            <w:pPr>
              <w:pStyle w:val="57"/>
              <w:spacing w:line="440" w:lineRule="exact"/>
              <w:jc w:val="center"/>
              <w:rPr>
                <w:rFonts w:ascii="微软雅黑" w:hAnsi="微软雅黑" w:eastAsia="微软雅黑" w:cs="微软雅黑"/>
                <w:color w:val="auto"/>
                <w:highlight w:val="none"/>
              </w:rPr>
            </w:pPr>
          </w:p>
        </w:tc>
        <w:tc>
          <w:tcPr>
            <w:tcW w:w="2537" w:type="dxa"/>
            <w:vAlign w:val="center"/>
          </w:tcPr>
          <w:p>
            <w:pPr>
              <w:pStyle w:val="57"/>
              <w:spacing w:line="440" w:lineRule="exact"/>
              <w:rPr>
                <w:rFonts w:ascii="微软雅黑" w:hAnsi="微软雅黑" w:eastAsia="微软雅黑" w:cs="微软雅黑"/>
                <w:color w:val="auto"/>
                <w:highlight w:val="none"/>
              </w:rPr>
            </w:pPr>
          </w:p>
        </w:tc>
        <w:tc>
          <w:tcPr>
            <w:tcW w:w="1947" w:type="dxa"/>
            <w:vAlign w:val="center"/>
          </w:tcPr>
          <w:p>
            <w:pPr>
              <w:pStyle w:val="57"/>
              <w:spacing w:line="440" w:lineRule="exact"/>
              <w:rPr>
                <w:rFonts w:ascii="微软雅黑" w:hAnsi="微软雅黑" w:eastAsia="微软雅黑" w:cs="微软雅黑"/>
                <w:color w:val="auto"/>
                <w:highlight w:val="none"/>
              </w:rPr>
            </w:pPr>
          </w:p>
        </w:tc>
        <w:tc>
          <w:tcPr>
            <w:tcW w:w="1947" w:type="dxa"/>
            <w:vAlign w:val="center"/>
          </w:tcPr>
          <w:p>
            <w:pPr>
              <w:pStyle w:val="57"/>
              <w:spacing w:line="440" w:lineRule="exact"/>
              <w:rPr>
                <w:rFonts w:ascii="微软雅黑" w:hAnsi="微软雅黑" w:eastAsia="微软雅黑" w:cs="微软雅黑"/>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857" w:type="dxa"/>
            <w:vAlign w:val="center"/>
          </w:tcPr>
          <w:p>
            <w:pPr>
              <w:pStyle w:val="57"/>
              <w:spacing w:line="440" w:lineRule="exact"/>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3</w:t>
            </w:r>
          </w:p>
        </w:tc>
        <w:tc>
          <w:tcPr>
            <w:tcW w:w="2149" w:type="dxa"/>
            <w:vAlign w:val="center"/>
          </w:tcPr>
          <w:p>
            <w:pPr>
              <w:pStyle w:val="57"/>
              <w:spacing w:line="440" w:lineRule="exact"/>
              <w:jc w:val="center"/>
              <w:rPr>
                <w:rFonts w:ascii="微软雅黑" w:hAnsi="微软雅黑" w:eastAsia="微软雅黑" w:cs="微软雅黑"/>
                <w:color w:val="auto"/>
                <w:highlight w:val="none"/>
              </w:rPr>
            </w:pPr>
          </w:p>
        </w:tc>
        <w:tc>
          <w:tcPr>
            <w:tcW w:w="2537" w:type="dxa"/>
            <w:vAlign w:val="center"/>
          </w:tcPr>
          <w:p>
            <w:pPr>
              <w:pStyle w:val="57"/>
              <w:spacing w:line="440" w:lineRule="exact"/>
              <w:rPr>
                <w:rFonts w:ascii="微软雅黑" w:hAnsi="微软雅黑" w:eastAsia="微软雅黑" w:cs="微软雅黑"/>
                <w:color w:val="auto"/>
                <w:highlight w:val="none"/>
              </w:rPr>
            </w:pPr>
          </w:p>
        </w:tc>
        <w:tc>
          <w:tcPr>
            <w:tcW w:w="1947" w:type="dxa"/>
            <w:vAlign w:val="center"/>
          </w:tcPr>
          <w:p>
            <w:pPr>
              <w:pStyle w:val="57"/>
              <w:spacing w:line="440" w:lineRule="exact"/>
              <w:rPr>
                <w:rFonts w:ascii="微软雅黑" w:hAnsi="微软雅黑" w:eastAsia="微软雅黑" w:cs="微软雅黑"/>
                <w:color w:val="auto"/>
                <w:highlight w:val="none"/>
              </w:rPr>
            </w:pPr>
          </w:p>
        </w:tc>
        <w:tc>
          <w:tcPr>
            <w:tcW w:w="1947" w:type="dxa"/>
            <w:vAlign w:val="center"/>
          </w:tcPr>
          <w:p>
            <w:pPr>
              <w:pStyle w:val="57"/>
              <w:spacing w:line="440" w:lineRule="exact"/>
              <w:rPr>
                <w:rFonts w:ascii="微软雅黑" w:hAnsi="微软雅黑" w:eastAsia="微软雅黑" w:cs="微软雅黑"/>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857" w:type="dxa"/>
            <w:vAlign w:val="center"/>
          </w:tcPr>
          <w:p>
            <w:pPr>
              <w:pStyle w:val="57"/>
              <w:spacing w:line="440" w:lineRule="exact"/>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4</w:t>
            </w:r>
          </w:p>
        </w:tc>
        <w:tc>
          <w:tcPr>
            <w:tcW w:w="2149" w:type="dxa"/>
            <w:vAlign w:val="center"/>
          </w:tcPr>
          <w:p>
            <w:pPr>
              <w:pStyle w:val="57"/>
              <w:spacing w:line="440" w:lineRule="exact"/>
              <w:jc w:val="center"/>
              <w:rPr>
                <w:rFonts w:ascii="微软雅黑" w:hAnsi="微软雅黑" w:eastAsia="微软雅黑" w:cs="微软雅黑"/>
                <w:color w:val="auto"/>
                <w:highlight w:val="none"/>
              </w:rPr>
            </w:pPr>
          </w:p>
        </w:tc>
        <w:tc>
          <w:tcPr>
            <w:tcW w:w="2537" w:type="dxa"/>
            <w:vAlign w:val="center"/>
          </w:tcPr>
          <w:p>
            <w:pPr>
              <w:pStyle w:val="57"/>
              <w:spacing w:line="440" w:lineRule="exact"/>
              <w:rPr>
                <w:rFonts w:ascii="微软雅黑" w:hAnsi="微软雅黑" w:eastAsia="微软雅黑" w:cs="微软雅黑"/>
                <w:color w:val="auto"/>
                <w:highlight w:val="none"/>
              </w:rPr>
            </w:pPr>
          </w:p>
        </w:tc>
        <w:tc>
          <w:tcPr>
            <w:tcW w:w="1947" w:type="dxa"/>
            <w:vAlign w:val="center"/>
          </w:tcPr>
          <w:p>
            <w:pPr>
              <w:pStyle w:val="57"/>
              <w:spacing w:line="440" w:lineRule="exact"/>
              <w:rPr>
                <w:rFonts w:ascii="微软雅黑" w:hAnsi="微软雅黑" w:eastAsia="微软雅黑" w:cs="微软雅黑"/>
                <w:color w:val="auto"/>
                <w:highlight w:val="none"/>
              </w:rPr>
            </w:pPr>
          </w:p>
        </w:tc>
        <w:tc>
          <w:tcPr>
            <w:tcW w:w="1947" w:type="dxa"/>
            <w:vAlign w:val="center"/>
          </w:tcPr>
          <w:p>
            <w:pPr>
              <w:pStyle w:val="57"/>
              <w:spacing w:line="440" w:lineRule="exact"/>
              <w:rPr>
                <w:rFonts w:ascii="微软雅黑" w:hAnsi="微软雅黑" w:eastAsia="微软雅黑" w:cs="微软雅黑"/>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857" w:type="dxa"/>
            <w:vAlign w:val="center"/>
          </w:tcPr>
          <w:p>
            <w:pPr>
              <w:pStyle w:val="57"/>
              <w:spacing w:line="440" w:lineRule="exact"/>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5</w:t>
            </w:r>
          </w:p>
        </w:tc>
        <w:tc>
          <w:tcPr>
            <w:tcW w:w="2149" w:type="dxa"/>
            <w:vAlign w:val="center"/>
          </w:tcPr>
          <w:p>
            <w:pPr>
              <w:pStyle w:val="57"/>
              <w:spacing w:line="440" w:lineRule="exact"/>
              <w:jc w:val="center"/>
              <w:rPr>
                <w:rFonts w:ascii="微软雅黑" w:hAnsi="微软雅黑" w:eastAsia="微软雅黑" w:cs="微软雅黑"/>
                <w:color w:val="auto"/>
                <w:highlight w:val="none"/>
              </w:rPr>
            </w:pPr>
          </w:p>
        </w:tc>
        <w:tc>
          <w:tcPr>
            <w:tcW w:w="2537" w:type="dxa"/>
            <w:vAlign w:val="center"/>
          </w:tcPr>
          <w:p>
            <w:pPr>
              <w:pStyle w:val="57"/>
              <w:spacing w:line="440" w:lineRule="exact"/>
              <w:rPr>
                <w:rFonts w:ascii="微软雅黑" w:hAnsi="微软雅黑" w:eastAsia="微软雅黑" w:cs="微软雅黑"/>
                <w:color w:val="auto"/>
                <w:highlight w:val="none"/>
              </w:rPr>
            </w:pPr>
          </w:p>
        </w:tc>
        <w:tc>
          <w:tcPr>
            <w:tcW w:w="1947" w:type="dxa"/>
            <w:vAlign w:val="center"/>
          </w:tcPr>
          <w:p>
            <w:pPr>
              <w:pStyle w:val="57"/>
              <w:spacing w:line="440" w:lineRule="exact"/>
              <w:rPr>
                <w:rFonts w:ascii="微软雅黑" w:hAnsi="微软雅黑" w:eastAsia="微软雅黑" w:cs="微软雅黑"/>
                <w:color w:val="auto"/>
                <w:highlight w:val="none"/>
              </w:rPr>
            </w:pPr>
          </w:p>
        </w:tc>
        <w:tc>
          <w:tcPr>
            <w:tcW w:w="1947" w:type="dxa"/>
            <w:vAlign w:val="center"/>
          </w:tcPr>
          <w:p>
            <w:pPr>
              <w:pStyle w:val="57"/>
              <w:spacing w:line="440" w:lineRule="exact"/>
              <w:rPr>
                <w:rFonts w:ascii="微软雅黑" w:hAnsi="微软雅黑" w:eastAsia="微软雅黑" w:cs="微软雅黑"/>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857" w:type="dxa"/>
            <w:vAlign w:val="center"/>
          </w:tcPr>
          <w:p>
            <w:pPr>
              <w:pStyle w:val="57"/>
              <w:spacing w:line="440" w:lineRule="exact"/>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6</w:t>
            </w:r>
          </w:p>
        </w:tc>
        <w:tc>
          <w:tcPr>
            <w:tcW w:w="2149" w:type="dxa"/>
            <w:vAlign w:val="center"/>
          </w:tcPr>
          <w:p>
            <w:pPr>
              <w:pStyle w:val="57"/>
              <w:spacing w:line="440" w:lineRule="exact"/>
              <w:jc w:val="center"/>
              <w:rPr>
                <w:rFonts w:ascii="微软雅黑" w:hAnsi="微软雅黑" w:eastAsia="微软雅黑" w:cs="微软雅黑"/>
                <w:color w:val="auto"/>
                <w:highlight w:val="none"/>
              </w:rPr>
            </w:pPr>
          </w:p>
        </w:tc>
        <w:tc>
          <w:tcPr>
            <w:tcW w:w="2537" w:type="dxa"/>
            <w:vAlign w:val="center"/>
          </w:tcPr>
          <w:p>
            <w:pPr>
              <w:pStyle w:val="57"/>
              <w:spacing w:line="440" w:lineRule="exact"/>
              <w:rPr>
                <w:rFonts w:ascii="微软雅黑" w:hAnsi="微软雅黑" w:eastAsia="微软雅黑" w:cs="微软雅黑"/>
                <w:color w:val="auto"/>
                <w:highlight w:val="none"/>
              </w:rPr>
            </w:pPr>
          </w:p>
        </w:tc>
        <w:tc>
          <w:tcPr>
            <w:tcW w:w="1947" w:type="dxa"/>
            <w:vAlign w:val="center"/>
          </w:tcPr>
          <w:p>
            <w:pPr>
              <w:pStyle w:val="57"/>
              <w:spacing w:line="440" w:lineRule="exact"/>
              <w:rPr>
                <w:rFonts w:ascii="微软雅黑" w:hAnsi="微软雅黑" w:eastAsia="微软雅黑" w:cs="微软雅黑"/>
                <w:color w:val="auto"/>
                <w:highlight w:val="none"/>
              </w:rPr>
            </w:pPr>
          </w:p>
        </w:tc>
        <w:tc>
          <w:tcPr>
            <w:tcW w:w="1947" w:type="dxa"/>
            <w:vAlign w:val="center"/>
          </w:tcPr>
          <w:p>
            <w:pPr>
              <w:pStyle w:val="57"/>
              <w:spacing w:line="440" w:lineRule="exact"/>
              <w:rPr>
                <w:rFonts w:ascii="微软雅黑" w:hAnsi="微软雅黑" w:eastAsia="微软雅黑" w:cs="微软雅黑"/>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857" w:type="dxa"/>
            <w:vAlign w:val="center"/>
          </w:tcPr>
          <w:p>
            <w:pPr>
              <w:pStyle w:val="57"/>
              <w:spacing w:line="440" w:lineRule="exact"/>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7</w:t>
            </w:r>
          </w:p>
        </w:tc>
        <w:tc>
          <w:tcPr>
            <w:tcW w:w="2149" w:type="dxa"/>
            <w:vAlign w:val="center"/>
          </w:tcPr>
          <w:p>
            <w:pPr>
              <w:pStyle w:val="57"/>
              <w:spacing w:line="440" w:lineRule="exact"/>
              <w:jc w:val="center"/>
              <w:rPr>
                <w:rFonts w:ascii="微软雅黑" w:hAnsi="微软雅黑" w:eastAsia="微软雅黑" w:cs="微软雅黑"/>
                <w:color w:val="auto"/>
                <w:highlight w:val="none"/>
              </w:rPr>
            </w:pPr>
          </w:p>
        </w:tc>
        <w:tc>
          <w:tcPr>
            <w:tcW w:w="2537" w:type="dxa"/>
            <w:vAlign w:val="center"/>
          </w:tcPr>
          <w:p>
            <w:pPr>
              <w:pStyle w:val="57"/>
              <w:spacing w:line="440" w:lineRule="exact"/>
              <w:rPr>
                <w:rFonts w:ascii="微软雅黑" w:hAnsi="微软雅黑" w:eastAsia="微软雅黑" w:cs="微软雅黑"/>
                <w:color w:val="auto"/>
                <w:highlight w:val="none"/>
              </w:rPr>
            </w:pPr>
          </w:p>
        </w:tc>
        <w:tc>
          <w:tcPr>
            <w:tcW w:w="1947" w:type="dxa"/>
            <w:vAlign w:val="center"/>
          </w:tcPr>
          <w:p>
            <w:pPr>
              <w:pStyle w:val="57"/>
              <w:spacing w:line="440" w:lineRule="exact"/>
              <w:rPr>
                <w:rFonts w:ascii="微软雅黑" w:hAnsi="微软雅黑" w:eastAsia="微软雅黑" w:cs="微软雅黑"/>
                <w:color w:val="auto"/>
                <w:highlight w:val="none"/>
              </w:rPr>
            </w:pPr>
          </w:p>
        </w:tc>
        <w:tc>
          <w:tcPr>
            <w:tcW w:w="1947" w:type="dxa"/>
            <w:vAlign w:val="center"/>
          </w:tcPr>
          <w:p>
            <w:pPr>
              <w:pStyle w:val="57"/>
              <w:spacing w:line="440" w:lineRule="exact"/>
              <w:rPr>
                <w:rFonts w:ascii="微软雅黑" w:hAnsi="微软雅黑" w:eastAsia="微软雅黑" w:cs="微软雅黑"/>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857" w:type="dxa"/>
            <w:vAlign w:val="center"/>
          </w:tcPr>
          <w:p>
            <w:pPr>
              <w:pStyle w:val="57"/>
              <w:spacing w:line="440" w:lineRule="exact"/>
              <w:jc w:val="cente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8</w:t>
            </w:r>
          </w:p>
        </w:tc>
        <w:tc>
          <w:tcPr>
            <w:tcW w:w="2149" w:type="dxa"/>
            <w:vAlign w:val="center"/>
          </w:tcPr>
          <w:p>
            <w:pPr>
              <w:pStyle w:val="57"/>
              <w:spacing w:line="440" w:lineRule="exact"/>
              <w:jc w:val="center"/>
              <w:rPr>
                <w:rFonts w:ascii="微软雅黑" w:hAnsi="微软雅黑" w:eastAsia="微软雅黑" w:cs="微软雅黑"/>
                <w:color w:val="auto"/>
                <w:highlight w:val="none"/>
              </w:rPr>
            </w:pPr>
          </w:p>
        </w:tc>
        <w:tc>
          <w:tcPr>
            <w:tcW w:w="2537" w:type="dxa"/>
            <w:vAlign w:val="center"/>
          </w:tcPr>
          <w:p>
            <w:pPr>
              <w:pStyle w:val="57"/>
              <w:spacing w:line="440" w:lineRule="exact"/>
              <w:rPr>
                <w:rFonts w:ascii="微软雅黑" w:hAnsi="微软雅黑" w:eastAsia="微软雅黑" w:cs="微软雅黑"/>
                <w:color w:val="auto"/>
                <w:highlight w:val="none"/>
              </w:rPr>
            </w:pPr>
          </w:p>
        </w:tc>
        <w:tc>
          <w:tcPr>
            <w:tcW w:w="1947" w:type="dxa"/>
            <w:vAlign w:val="center"/>
          </w:tcPr>
          <w:p>
            <w:pPr>
              <w:pStyle w:val="57"/>
              <w:spacing w:line="440" w:lineRule="exact"/>
              <w:rPr>
                <w:rFonts w:ascii="微软雅黑" w:hAnsi="微软雅黑" w:eastAsia="微软雅黑" w:cs="微软雅黑"/>
                <w:color w:val="auto"/>
                <w:highlight w:val="none"/>
              </w:rPr>
            </w:pPr>
          </w:p>
        </w:tc>
        <w:tc>
          <w:tcPr>
            <w:tcW w:w="1947" w:type="dxa"/>
            <w:vAlign w:val="center"/>
          </w:tcPr>
          <w:p>
            <w:pPr>
              <w:pStyle w:val="57"/>
              <w:spacing w:line="440" w:lineRule="exact"/>
              <w:rPr>
                <w:rFonts w:ascii="微软雅黑" w:hAnsi="微软雅黑" w:eastAsia="微软雅黑" w:cs="微软雅黑"/>
                <w:color w:val="auto"/>
                <w:highlight w:val="none"/>
              </w:rPr>
            </w:pPr>
          </w:p>
        </w:tc>
      </w:tr>
    </w:tbl>
    <w:p>
      <w:pPr>
        <w:pStyle w:val="57"/>
        <w:spacing w:line="440" w:lineRule="exact"/>
        <w:rPr>
          <w:rFonts w:ascii="微软雅黑" w:hAnsi="微软雅黑" w:eastAsia="微软雅黑" w:cs="微软雅黑"/>
          <w:color w:val="auto"/>
          <w:highlight w:val="none"/>
        </w:rPr>
      </w:pPr>
    </w:p>
    <w:p>
      <w:pPr>
        <w:pStyle w:val="57"/>
        <w:spacing w:line="44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注：1．投标人应随此表附上合同复印件；</w:t>
      </w:r>
    </w:p>
    <w:p>
      <w:pPr>
        <w:pStyle w:val="57"/>
        <w:spacing w:line="440" w:lineRule="exact"/>
        <w:ind w:firstLine="480" w:firstLineChars="20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2．如有多个类似项目，可按此表格扩展；</w:t>
      </w:r>
    </w:p>
    <w:p>
      <w:pPr>
        <w:pStyle w:val="57"/>
        <w:spacing w:line="440" w:lineRule="exact"/>
        <w:ind w:firstLine="480" w:firstLineChars="20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3．2019年1月1日起的合同为有效。</w:t>
      </w:r>
    </w:p>
    <w:p>
      <w:pPr>
        <w:pStyle w:val="57"/>
        <w:spacing w:line="440" w:lineRule="exact"/>
        <w:rPr>
          <w:rFonts w:ascii="微软雅黑" w:hAnsi="微软雅黑" w:eastAsia="微软雅黑" w:cs="微软雅黑"/>
          <w:color w:val="auto"/>
          <w:highlight w:val="none"/>
        </w:rPr>
      </w:pPr>
    </w:p>
    <w:p>
      <w:pPr>
        <w:pStyle w:val="57"/>
        <w:spacing w:line="440" w:lineRule="exact"/>
        <w:rPr>
          <w:rFonts w:ascii="微软雅黑" w:hAnsi="微软雅黑" w:eastAsia="微软雅黑" w:cs="微软雅黑"/>
          <w:color w:val="auto"/>
          <w:highlight w:val="none"/>
        </w:rPr>
      </w:pPr>
    </w:p>
    <w:p>
      <w:pPr>
        <w:pStyle w:val="57"/>
        <w:spacing w:line="440" w:lineRule="exact"/>
        <w:rPr>
          <w:rFonts w:ascii="微软雅黑" w:hAnsi="微软雅黑" w:eastAsia="微软雅黑" w:cs="微软雅黑"/>
          <w:color w:val="auto"/>
          <w:highlight w:val="none"/>
        </w:rPr>
      </w:pPr>
    </w:p>
    <w:p>
      <w:pPr>
        <w:pStyle w:val="57"/>
        <w:spacing w:line="440" w:lineRule="exact"/>
        <w:rPr>
          <w:rFonts w:ascii="微软雅黑" w:hAnsi="微软雅黑" w:eastAsia="微软雅黑" w:cs="微软雅黑"/>
          <w:color w:val="auto"/>
          <w:highlight w:val="none"/>
          <w:u w:val="single"/>
        </w:rPr>
      </w:pPr>
      <w:r>
        <w:rPr>
          <w:rFonts w:hint="eastAsia" w:ascii="微软雅黑" w:hAnsi="微软雅黑" w:eastAsia="微软雅黑" w:cs="微软雅黑"/>
          <w:color w:val="auto"/>
          <w:highlight w:val="none"/>
        </w:rPr>
        <w:t>投标单位（公章）</w:t>
      </w:r>
      <w:r>
        <w:rPr>
          <w:rFonts w:hint="eastAsia" w:ascii="微软雅黑" w:hAnsi="微软雅黑" w:eastAsia="微软雅黑" w:cs="微软雅黑"/>
          <w:color w:val="auto"/>
          <w:highlight w:val="none"/>
          <w:u w:val="single"/>
        </w:rPr>
        <w:t xml:space="preserve">                           </w:t>
      </w:r>
    </w:p>
    <w:p>
      <w:pPr>
        <w:pStyle w:val="57"/>
        <w:spacing w:line="440" w:lineRule="exact"/>
        <w:rPr>
          <w:rFonts w:ascii="微软雅黑" w:hAnsi="微软雅黑" w:eastAsia="微软雅黑" w:cs="微软雅黑"/>
          <w:color w:val="auto"/>
          <w:highlight w:val="none"/>
          <w:u w:val="single"/>
        </w:rPr>
      </w:pPr>
      <w:r>
        <w:rPr>
          <w:rFonts w:hint="eastAsia" w:ascii="微软雅黑" w:hAnsi="微软雅黑" w:eastAsia="微软雅黑" w:cs="微软雅黑"/>
          <w:color w:val="auto"/>
          <w:highlight w:val="none"/>
        </w:rPr>
        <w:t>法定代表人（负责人）或授权委托代理人（签/章）</w:t>
      </w:r>
      <w:r>
        <w:rPr>
          <w:rFonts w:hint="eastAsia" w:ascii="微软雅黑" w:hAnsi="微软雅黑" w:eastAsia="微软雅黑" w:cs="微软雅黑"/>
          <w:color w:val="auto"/>
          <w:highlight w:val="none"/>
          <w:u w:val="single"/>
        </w:rPr>
        <w:t xml:space="preserve">                    </w:t>
      </w:r>
    </w:p>
    <w:p>
      <w:pPr>
        <w:pStyle w:val="57"/>
        <w:spacing w:line="44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日期：     年    月   日</w:t>
      </w:r>
    </w:p>
    <w:p>
      <w:pPr>
        <w:pStyle w:val="57"/>
        <w:spacing w:line="440" w:lineRule="exact"/>
        <w:rPr>
          <w:rFonts w:ascii="微软雅黑" w:hAnsi="微软雅黑" w:eastAsia="微软雅黑" w:cs="微软雅黑"/>
          <w:color w:val="auto"/>
          <w:highlight w:val="none"/>
        </w:rPr>
      </w:pPr>
    </w:p>
    <w:p>
      <w:pPr>
        <w:pStyle w:val="57"/>
        <w:spacing w:line="440" w:lineRule="exact"/>
        <w:rPr>
          <w:rFonts w:ascii="微软雅黑" w:hAnsi="微软雅黑" w:eastAsia="微软雅黑" w:cs="微软雅黑"/>
          <w:color w:val="auto"/>
          <w:highlight w:val="none"/>
        </w:rPr>
      </w:pPr>
    </w:p>
    <w:p>
      <w:pPr>
        <w:pStyle w:val="57"/>
        <w:spacing w:line="440" w:lineRule="exact"/>
        <w:rPr>
          <w:rFonts w:ascii="微软雅黑" w:hAnsi="微软雅黑" w:eastAsia="微软雅黑" w:cs="微软雅黑"/>
          <w:color w:val="auto"/>
          <w:highlight w:val="none"/>
        </w:rPr>
      </w:pPr>
    </w:p>
    <w:p>
      <w:pPr>
        <w:pStyle w:val="57"/>
        <w:spacing w:line="440" w:lineRule="exact"/>
        <w:rPr>
          <w:rFonts w:ascii="微软雅黑" w:hAnsi="微软雅黑" w:eastAsia="微软雅黑" w:cs="微软雅黑"/>
          <w:color w:val="auto"/>
          <w:highlight w:val="none"/>
        </w:rPr>
      </w:pPr>
    </w:p>
    <w:p>
      <w:pPr>
        <w:pStyle w:val="57"/>
        <w:spacing w:line="440" w:lineRule="exact"/>
        <w:rPr>
          <w:rFonts w:ascii="微软雅黑" w:hAnsi="微软雅黑" w:eastAsia="微软雅黑" w:cs="微软雅黑"/>
          <w:color w:val="auto"/>
          <w:highlight w:val="none"/>
        </w:rPr>
      </w:pPr>
    </w:p>
    <w:p>
      <w:pPr>
        <w:pStyle w:val="57"/>
        <w:spacing w:line="440" w:lineRule="exact"/>
        <w:rPr>
          <w:rFonts w:ascii="微软雅黑" w:hAnsi="微软雅黑" w:eastAsia="微软雅黑" w:cs="微软雅黑"/>
          <w:color w:val="auto"/>
          <w:highlight w:val="none"/>
        </w:rPr>
      </w:pPr>
    </w:p>
    <w:p>
      <w:pPr>
        <w:pStyle w:val="14"/>
        <w:tabs>
          <w:tab w:val="left" w:pos="5580"/>
        </w:tabs>
        <w:spacing w:line="440" w:lineRule="exact"/>
        <w:jc w:val="center"/>
        <w:outlineLvl w:val="1"/>
        <w:rPr>
          <w:rFonts w:ascii="微软雅黑" w:hAnsi="微软雅黑" w:eastAsia="微软雅黑" w:cs="微软雅黑"/>
          <w:b/>
          <w:bCs/>
          <w:color w:val="auto"/>
          <w:sz w:val="24"/>
          <w:szCs w:val="24"/>
          <w:highlight w:val="none"/>
        </w:rPr>
      </w:pPr>
      <w:bookmarkStart w:id="329" w:name="_Toc5588"/>
      <w:bookmarkStart w:id="330" w:name="_Toc27213"/>
      <w:bookmarkStart w:id="331" w:name="_Toc18010"/>
      <w:r>
        <w:rPr>
          <w:rFonts w:hint="eastAsia" w:ascii="微软雅黑" w:hAnsi="微软雅黑" w:eastAsia="微软雅黑" w:cs="微软雅黑"/>
          <w:b/>
          <w:bCs/>
          <w:color w:val="auto"/>
          <w:sz w:val="24"/>
          <w:szCs w:val="24"/>
          <w:highlight w:val="none"/>
        </w:rPr>
        <w:t>3   商务条款偏离表</w:t>
      </w:r>
      <w:bookmarkEnd w:id="324"/>
      <w:bookmarkEnd w:id="325"/>
      <w:bookmarkEnd w:id="326"/>
      <w:bookmarkEnd w:id="327"/>
      <w:bookmarkEnd w:id="328"/>
      <w:bookmarkEnd w:id="329"/>
      <w:bookmarkEnd w:id="330"/>
      <w:bookmarkEnd w:id="331"/>
    </w:p>
    <w:p>
      <w:pPr>
        <w:pStyle w:val="14"/>
        <w:spacing w:line="440" w:lineRule="exact"/>
        <w:ind w:left="1080" w:leftChars="257" w:hanging="540"/>
        <w:rPr>
          <w:rFonts w:ascii="微软雅黑" w:hAnsi="微软雅黑" w:eastAsia="微软雅黑" w:cs="微软雅黑"/>
          <w:color w:val="auto"/>
          <w:sz w:val="24"/>
          <w:szCs w:val="24"/>
          <w:highlight w:val="none"/>
        </w:rPr>
      </w:pPr>
    </w:p>
    <w:p>
      <w:pPr>
        <w:pStyle w:val="14"/>
        <w:spacing w:line="440" w:lineRule="exact"/>
        <w:ind w:left="1080" w:leftChars="257" w:hanging="54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项目名称:                      招标编号:             包号:</w:t>
      </w:r>
    </w:p>
    <w:p>
      <w:pPr>
        <w:pStyle w:val="14"/>
        <w:spacing w:line="440" w:lineRule="exact"/>
        <w:ind w:left="1080" w:leftChars="257" w:hanging="540"/>
        <w:rPr>
          <w:rFonts w:ascii="微软雅黑" w:hAnsi="微软雅黑" w:eastAsia="微软雅黑" w:cs="微软雅黑"/>
          <w:color w:val="auto"/>
          <w:sz w:val="24"/>
          <w:szCs w:val="24"/>
          <w:highlight w:val="none"/>
        </w:rPr>
      </w:pPr>
    </w:p>
    <w:tbl>
      <w:tblPr>
        <w:tblStyle w:val="35"/>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597"/>
        <w:gridCol w:w="1988"/>
        <w:gridCol w:w="2332"/>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690" w:type="dxa"/>
          </w:tcPr>
          <w:p>
            <w:pPr>
              <w:pStyle w:val="14"/>
              <w:spacing w:line="440" w:lineRule="exact"/>
              <w:jc w:val="center"/>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序号</w:t>
            </w:r>
          </w:p>
        </w:tc>
        <w:tc>
          <w:tcPr>
            <w:tcW w:w="1597" w:type="dxa"/>
          </w:tcPr>
          <w:p>
            <w:pPr>
              <w:pStyle w:val="14"/>
              <w:spacing w:line="440" w:lineRule="exact"/>
              <w:jc w:val="center"/>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招标文件条款号</w:t>
            </w:r>
          </w:p>
        </w:tc>
        <w:tc>
          <w:tcPr>
            <w:tcW w:w="1988" w:type="dxa"/>
          </w:tcPr>
          <w:p>
            <w:pPr>
              <w:pStyle w:val="14"/>
              <w:spacing w:line="440" w:lineRule="exact"/>
              <w:jc w:val="center"/>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招标文件的商务条款</w:t>
            </w:r>
          </w:p>
        </w:tc>
        <w:tc>
          <w:tcPr>
            <w:tcW w:w="2332" w:type="dxa"/>
          </w:tcPr>
          <w:p>
            <w:pPr>
              <w:pStyle w:val="14"/>
              <w:spacing w:line="440" w:lineRule="exact"/>
              <w:jc w:val="center"/>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投标文件的商务条款</w:t>
            </w:r>
          </w:p>
        </w:tc>
        <w:tc>
          <w:tcPr>
            <w:tcW w:w="2009" w:type="dxa"/>
          </w:tcPr>
          <w:p>
            <w:pPr>
              <w:pStyle w:val="14"/>
              <w:spacing w:line="440" w:lineRule="exact"/>
              <w:jc w:val="center"/>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投标情况说明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9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597"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988" w:type="dxa"/>
          </w:tcPr>
          <w:p>
            <w:pPr>
              <w:pStyle w:val="14"/>
              <w:spacing w:line="440" w:lineRule="exact"/>
              <w:ind w:left="1080" w:leftChars="257" w:hanging="540"/>
              <w:jc w:val="center"/>
              <w:rPr>
                <w:rFonts w:ascii="微软雅黑" w:hAnsi="微软雅黑" w:eastAsia="微软雅黑" w:cs="微软雅黑"/>
                <w:color w:val="auto"/>
                <w:sz w:val="24"/>
                <w:szCs w:val="24"/>
                <w:highlight w:val="none"/>
              </w:rPr>
            </w:pPr>
          </w:p>
        </w:tc>
        <w:tc>
          <w:tcPr>
            <w:tcW w:w="2332" w:type="dxa"/>
          </w:tcPr>
          <w:p>
            <w:pPr>
              <w:pStyle w:val="14"/>
              <w:spacing w:line="440" w:lineRule="exact"/>
              <w:ind w:left="1080" w:leftChars="257" w:hanging="540"/>
              <w:jc w:val="center"/>
              <w:rPr>
                <w:rFonts w:ascii="微软雅黑" w:hAnsi="微软雅黑" w:eastAsia="微软雅黑" w:cs="微软雅黑"/>
                <w:color w:val="auto"/>
                <w:sz w:val="24"/>
                <w:szCs w:val="24"/>
                <w:highlight w:val="none"/>
              </w:rPr>
            </w:pPr>
          </w:p>
        </w:tc>
        <w:tc>
          <w:tcPr>
            <w:tcW w:w="2009"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9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597"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98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332"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09"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9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597"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98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332"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09"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9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597"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98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332"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09"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9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597"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98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332"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09"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9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597"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98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332"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09"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9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597"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98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332"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09"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9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597"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98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332"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09"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9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597"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98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332"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09"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9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597"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98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332"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09"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9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597"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98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332"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09"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9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597"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98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332"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09"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bl>
    <w:p>
      <w:pPr>
        <w:pStyle w:val="14"/>
        <w:spacing w:line="440" w:lineRule="exact"/>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注：1.若本表为空，则表示投标人“全部满足”采购人相应要求。</w:t>
      </w:r>
    </w:p>
    <w:p>
      <w:pPr>
        <w:pStyle w:val="14"/>
        <w:spacing w:line="440" w:lineRule="exact"/>
        <w:ind w:firstLine="240" w:firstLineChars="10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★2.即使本表为空，也需在投标文件中提供。</w:t>
      </w:r>
    </w:p>
    <w:p>
      <w:pPr>
        <w:pStyle w:val="14"/>
        <w:spacing w:line="440" w:lineRule="exact"/>
        <w:ind w:firstLine="480" w:firstLineChars="20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3.若投标人在《商务条款偏离表》中投标情况说明为“全部满足”，但有额外的负向附加解释或说明，视为对该条款的偏离。</w:t>
      </w:r>
    </w:p>
    <w:p>
      <w:pPr>
        <w:pStyle w:val="14"/>
        <w:spacing w:line="440" w:lineRule="exact"/>
        <w:ind w:firstLine="480" w:firstLineChars="20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4. 如果“投标情况说明”为“不满足”或是“部分满足”，请在“招标文件的商务条款”列，列明“不满足”或是“部分满足”的“具体招标文件条款内容”（仅可增加行），同时在“投标文件的商务条款”列，列明“不满足”或是“部分满足”的“具体投标文件的偏离条款”。</w:t>
      </w:r>
    </w:p>
    <w:p>
      <w:pPr>
        <w:pStyle w:val="14"/>
        <w:spacing w:line="440" w:lineRule="exact"/>
        <w:ind w:left="1080" w:leftChars="257" w:hanging="54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投标单位(公章):</w:t>
      </w:r>
      <w:r>
        <w:rPr>
          <w:rFonts w:hint="eastAsia" w:ascii="微软雅黑" w:hAnsi="微软雅黑" w:eastAsia="微软雅黑" w:cs="微软雅黑"/>
          <w:color w:val="auto"/>
          <w:sz w:val="24"/>
          <w:szCs w:val="24"/>
          <w:highlight w:val="none"/>
          <w:u w:val="single"/>
        </w:rPr>
        <w:tab/>
      </w:r>
      <w:r>
        <w:rPr>
          <w:rFonts w:hint="eastAsia" w:ascii="微软雅黑" w:hAnsi="微软雅黑" w:eastAsia="微软雅黑" w:cs="微软雅黑"/>
          <w:color w:val="auto"/>
          <w:sz w:val="24"/>
          <w:szCs w:val="24"/>
          <w:highlight w:val="none"/>
          <w:u w:val="single"/>
        </w:rPr>
        <w:t xml:space="preserve">                                                </w:t>
      </w:r>
    </w:p>
    <w:p>
      <w:pPr>
        <w:pStyle w:val="14"/>
        <w:spacing w:line="440" w:lineRule="exact"/>
        <w:ind w:left="1080" w:leftChars="257" w:hanging="54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法定代表人（负责人）或授权委托代理人（签/章）:</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rPr>
        <w:tab/>
      </w:r>
      <w:r>
        <w:rPr>
          <w:rFonts w:hint="eastAsia" w:ascii="微软雅黑" w:hAnsi="微软雅黑" w:eastAsia="微软雅黑" w:cs="微软雅黑"/>
          <w:color w:val="auto"/>
          <w:sz w:val="24"/>
          <w:szCs w:val="24"/>
          <w:highlight w:val="none"/>
          <w:u w:val="single"/>
        </w:rPr>
        <w:t xml:space="preserve">                </w:t>
      </w:r>
    </w:p>
    <w:p>
      <w:pPr>
        <w:pStyle w:val="57"/>
        <w:spacing w:line="440" w:lineRule="exact"/>
        <w:ind w:firstLine="480" w:firstLineChars="20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日期：     年    月   日</w:t>
      </w:r>
    </w:p>
    <w:p>
      <w:pPr>
        <w:pStyle w:val="2"/>
        <w:spacing w:line="440" w:lineRule="exact"/>
        <w:rPr>
          <w:rFonts w:ascii="微软雅黑" w:hAnsi="微软雅黑" w:eastAsia="微软雅黑" w:cs="微软雅黑"/>
          <w:color w:val="auto"/>
          <w:szCs w:val="24"/>
          <w:highlight w:val="none"/>
        </w:rPr>
      </w:pPr>
    </w:p>
    <w:p>
      <w:pPr>
        <w:pStyle w:val="4"/>
        <w:spacing w:before="0" w:line="440" w:lineRule="exact"/>
        <w:rPr>
          <w:rFonts w:ascii="微软雅黑" w:hAnsi="微软雅黑" w:eastAsia="微软雅黑" w:cs="微软雅黑"/>
          <w:color w:val="auto"/>
          <w:sz w:val="24"/>
          <w:szCs w:val="24"/>
          <w:highlight w:val="none"/>
        </w:rPr>
      </w:pPr>
      <w:bookmarkStart w:id="332" w:name="_Toc6604"/>
      <w:r>
        <w:rPr>
          <w:rFonts w:hint="eastAsia" w:ascii="微软雅黑" w:hAnsi="微软雅黑" w:eastAsia="微软雅黑" w:cs="微软雅黑"/>
          <w:color w:val="auto"/>
          <w:sz w:val="24"/>
          <w:szCs w:val="24"/>
          <w:highlight w:val="none"/>
        </w:rPr>
        <w:t>技术条款偏离表</w:t>
      </w:r>
    </w:p>
    <w:p>
      <w:pPr>
        <w:rPr>
          <w:color w:val="auto"/>
          <w:highlight w:val="none"/>
        </w:rPr>
      </w:pPr>
    </w:p>
    <w:p>
      <w:pPr>
        <w:pStyle w:val="14"/>
        <w:spacing w:line="440" w:lineRule="exact"/>
        <w:ind w:left="1080" w:leftChars="257" w:hanging="54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项目名称:                      招标编号:             包号:</w:t>
      </w:r>
    </w:p>
    <w:p>
      <w:pPr>
        <w:pStyle w:val="14"/>
        <w:spacing w:line="440" w:lineRule="exact"/>
        <w:ind w:left="1080" w:leftChars="257" w:hanging="540"/>
        <w:rPr>
          <w:rFonts w:ascii="微软雅黑" w:hAnsi="微软雅黑" w:eastAsia="微软雅黑" w:cs="微软雅黑"/>
          <w:color w:val="auto"/>
          <w:sz w:val="24"/>
          <w:szCs w:val="24"/>
          <w:highlight w:val="none"/>
        </w:rPr>
      </w:pPr>
    </w:p>
    <w:tbl>
      <w:tblPr>
        <w:tblStyle w:val="35"/>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440" w:lineRule="exact"/>
              <w:jc w:val="center"/>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序号</w:t>
            </w:r>
          </w:p>
        </w:tc>
        <w:tc>
          <w:tcPr>
            <w:tcW w:w="2040" w:type="dxa"/>
          </w:tcPr>
          <w:p>
            <w:pPr>
              <w:pStyle w:val="14"/>
              <w:spacing w:line="440" w:lineRule="exact"/>
              <w:jc w:val="center"/>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招标文件条款号</w:t>
            </w:r>
          </w:p>
        </w:tc>
        <w:tc>
          <w:tcPr>
            <w:tcW w:w="2520" w:type="dxa"/>
          </w:tcPr>
          <w:p>
            <w:pPr>
              <w:pStyle w:val="14"/>
              <w:spacing w:line="440" w:lineRule="exact"/>
              <w:jc w:val="center"/>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招标文件的技术条款</w:t>
            </w:r>
          </w:p>
        </w:tc>
        <w:tc>
          <w:tcPr>
            <w:tcW w:w="2520" w:type="dxa"/>
          </w:tcPr>
          <w:p>
            <w:pPr>
              <w:pStyle w:val="14"/>
              <w:spacing w:line="440" w:lineRule="exact"/>
              <w:jc w:val="center"/>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投标文件的技术条款</w:t>
            </w:r>
          </w:p>
        </w:tc>
        <w:tc>
          <w:tcPr>
            <w:tcW w:w="1014" w:type="dxa"/>
          </w:tcPr>
          <w:p>
            <w:pPr>
              <w:pStyle w:val="14"/>
              <w:spacing w:line="440" w:lineRule="exact"/>
              <w:jc w:val="center"/>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投标情况说明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4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jc w:val="center"/>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jc w:val="center"/>
              <w:rPr>
                <w:rFonts w:ascii="微软雅黑" w:hAnsi="微软雅黑" w:eastAsia="微软雅黑" w:cs="微软雅黑"/>
                <w:color w:val="auto"/>
                <w:sz w:val="24"/>
                <w:szCs w:val="24"/>
                <w:highlight w:val="none"/>
              </w:rPr>
            </w:pPr>
          </w:p>
        </w:tc>
        <w:tc>
          <w:tcPr>
            <w:tcW w:w="1014"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4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014"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4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014"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4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014"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4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014"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4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014"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4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014"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4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014"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4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014"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4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014"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4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014"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4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014"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04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2520"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c>
          <w:tcPr>
            <w:tcW w:w="1014" w:type="dxa"/>
          </w:tcPr>
          <w:p>
            <w:pPr>
              <w:pStyle w:val="14"/>
              <w:spacing w:line="440" w:lineRule="exact"/>
              <w:ind w:left="1080" w:leftChars="257" w:hanging="540"/>
              <w:rPr>
                <w:rFonts w:ascii="微软雅黑" w:hAnsi="微软雅黑" w:eastAsia="微软雅黑" w:cs="微软雅黑"/>
                <w:color w:val="auto"/>
                <w:sz w:val="24"/>
                <w:szCs w:val="24"/>
                <w:highlight w:val="none"/>
              </w:rPr>
            </w:pPr>
          </w:p>
        </w:tc>
      </w:tr>
    </w:tbl>
    <w:p>
      <w:pPr>
        <w:pStyle w:val="14"/>
        <w:spacing w:line="440" w:lineRule="exact"/>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注：1.若本表为空，则表示投标人“全部满足”采购人相应要求。</w:t>
      </w:r>
    </w:p>
    <w:p>
      <w:pPr>
        <w:pStyle w:val="14"/>
        <w:spacing w:line="440" w:lineRule="exact"/>
        <w:ind w:firstLine="240" w:firstLineChars="10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★2.即使本表为空，也需在投标文件中提供。</w:t>
      </w:r>
    </w:p>
    <w:p>
      <w:pPr>
        <w:pStyle w:val="14"/>
        <w:spacing w:line="440" w:lineRule="exact"/>
        <w:ind w:firstLine="480" w:firstLineChars="20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3.若投标人在《技术条款偏离表》中投标情况说明为“全部满足”，但有额外的负向附加解释或说明，视为对该条款的偏离。</w:t>
      </w:r>
    </w:p>
    <w:p>
      <w:pPr>
        <w:pStyle w:val="14"/>
        <w:spacing w:line="440" w:lineRule="exact"/>
        <w:ind w:firstLine="480" w:firstLineChars="20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4. 如果“投标情况说明”为“不满足”或是“部分满足”，请在“招标文件的技术条款”列，列明“不满足”或是“部分满足”的“具体招标文件条款内容”（仅可增加行），同时在“投标文件的技术条款”列，列明“不满足”或是“部分满足”的“具体投标文件的偏离条款”。</w:t>
      </w:r>
    </w:p>
    <w:p>
      <w:pPr>
        <w:pStyle w:val="14"/>
        <w:spacing w:line="440" w:lineRule="exact"/>
        <w:ind w:left="1080" w:leftChars="257" w:hanging="54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投标单位(公章):</w:t>
      </w:r>
      <w:r>
        <w:rPr>
          <w:rFonts w:hint="eastAsia" w:ascii="微软雅黑" w:hAnsi="微软雅黑" w:eastAsia="微软雅黑" w:cs="微软雅黑"/>
          <w:color w:val="auto"/>
          <w:sz w:val="24"/>
          <w:szCs w:val="24"/>
          <w:highlight w:val="none"/>
          <w:u w:val="single"/>
        </w:rPr>
        <w:tab/>
      </w:r>
      <w:r>
        <w:rPr>
          <w:rFonts w:hint="eastAsia" w:ascii="微软雅黑" w:hAnsi="微软雅黑" w:eastAsia="微软雅黑" w:cs="微软雅黑"/>
          <w:color w:val="auto"/>
          <w:sz w:val="24"/>
          <w:szCs w:val="24"/>
          <w:highlight w:val="none"/>
          <w:u w:val="single"/>
        </w:rPr>
        <w:t xml:space="preserve">                                      </w:t>
      </w:r>
    </w:p>
    <w:p>
      <w:pPr>
        <w:pStyle w:val="14"/>
        <w:spacing w:line="440" w:lineRule="exact"/>
        <w:ind w:left="1080" w:leftChars="257" w:hanging="54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法定代表人（负责人）或授权委托代理人（签/章）:</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rPr>
        <w:tab/>
      </w:r>
      <w:r>
        <w:rPr>
          <w:rFonts w:hint="eastAsia" w:ascii="微软雅黑" w:hAnsi="微软雅黑" w:eastAsia="微软雅黑" w:cs="微软雅黑"/>
          <w:color w:val="auto"/>
          <w:sz w:val="24"/>
          <w:szCs w:val="24"/>
          <w:highlight w:val="none"/>
          <w:u w:val="single"/>
        </w:rPr>
        <w:t xml:space="preserve">                 </w:t>
      </w:r>
    </w:p>
    <w:p>
      <w:pPr>
        <w:pStyle w:val="57"/>
        <w:spacing w:line="440" w:lineRule="exact"/>
        <w:ind w:firstLine="480" w:firstLineChars="20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日期：     年    月   日</w:t>
      </w:r>
    </w:p>
    <w:p>
      <w:pPr>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br w:type="page"/>
      </w:r>
      <w:r>
        <w:rPr>
          <w:rFonts w:hint="eastAsia" w:ascii="微软雅黑" w:hAnsi="微软雅黑" w:eastAsia="微软雅黑" w:cs="微软雅黑"/>
          <w:b/>
          <w:bCs/>
          <w:color w:val="auto"/>
          <w:sz w:val="24"/>
          <w:highlight w:val="none"/>
        </w:rPr>
        <w:t>4、投标申明书</w:t>
      </w:r>
      <w:bookmarkEnd w:id="332"/>
    </w:p>
    <w:p>
      <w:pPr>
        <w:pStyle w:val="2"/>
        <w:spacing w:line="440" w:lineRule="exact"/>
        <w:rPr>
          <w:rFonts w:ascii="微软雅黑" w:hAnsi="微软雅黑" w:eastAsia="微软雅黑" w:cs="微软雅黑"/>
          <w:color w:val="auto"/>
          <w:szCs w:val="24"/>
          <w:highlight w:val="none"/>
        </w:rPr>
      </w:pPr>
    </w:p>
    <w:p>
      <w:pPr>
        <w:pStyle w:val="2"/>
        <w:spacing w:line="440" w:lineRule="exact"/>
        <w:rPr>
          <w:rFonts w:ascii="微软雅黑" w:hAnsi="微软雅黑" w:eastAsia="微软雅黑" w:cs="微软雅黑"/>
          <w:color w:val="auto"/>
          <w:szCs w:val="24"/>
          <w:highlight w:val="none"/>
        </w:rPr>
      </w:pPr>
      <w:r>
        <w:rPr>
          <w:rFonts w:hint="eastAsia" w:ascii="仿宋" w:hAnsi="仿宋" w:eastAsia="仿宋" w:cs="仿宋"/>
          <w:color w:val="auto"/>
          <w:sz w:val="21"/>
          <w:szCs w:val="21"/>
          <w:highlight w:val="none"/>
        </w:rPr>
        <w:t xml:space="preserve"> </w:t>
      </w:r>
      <w:r>
        <w:rPr>
          <w:rFonts w:hint="eastAsia" w:ascii="仿宋" w:hAnsi="仿宋" w:eastAsia="仿宋" w:cs="仿宋"/>
          <w:color w:val="auto"/>
          <w:sz w:val="21"/>
          <w:szCs w:val="21"/>
          <w:highlight w:val="none"/>
          <w:u w:val="single"/>
        </w:rPr>
        <w:t xml:space="preserve">                  </w:t>
      </w:r>
      <w:r>
        <w:rPr>
          <w:rFonts w:hint="eastAsia" w:ascii="微软雅黑" w:hAnsi="微软雅黑" w:eastAsia="微软雅黑" w:cs="微软雅黑"/>
          <w:color w:val="auto"/>
          <w:szCs w:val="24"/>
          <w:highlight w:val="none"/>
        </w:rPr>
        <w:t>（投标单位名称）系中华人民共和国合法企业，经营地址：</w:t>
      </w:r>
      <w:r>
        <w:rPr>
          <w:rFonts w:hint="eastAsia" w:ascii="微软雅黑" w:hAnsi="微软雅黑" w:eastAsia="微软雅黑" w:cs="微软雅黑"/>
          <w:color w:val="auto"/>
          <w:szCs w:val="24"/>
          <w:highlight w:val="none"/>
          <w:u w:val="single"/>
        </w:rPr>
        <w:t xml:space="preserve">                            </w:t>
      </w:r>
      <w:r>
        <w:rPr>
          <w:rFonts w:hint="eastAsia" w:ascii="微软雅黑" w:hAnsi="微软雅黑" w:eastAsia="微软雅黑" w:cs="微软雅黑"/>
          <w:color w:val="auto"/>
          <w:szCs w:val="24"/>
          <w:highlight w:val="none"/>
        </w:rPr>
        <w:t xml:space="preserve"> 。</w:t>
      </w:r>
    </w:p>
    <w:p>
      <w:pPr>
        <w:pStyle w:val="2"/>
        <w:spacing w:line="440" w:lineRule="exact"/>
        <w:rPr>
          <w:rFonts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我</w:t>
      </w:r>
      <w:r>
        <w:rPr>
          <w:rFonts w:hint="eastAsia" w:ascii="微软雅黑" w:hAnsi="微软雅黑" w:eastAsia="微软雅黑" w:cs="微软雅黑"/>
          <w:color w:val="auto"/>
          <w:szCs w:val="24"/>
          <w:highlight w:val="none"/>
          <w:u w:val="single"/>
        </w:rPr>
        <w:t xml:space="preserve">              </w:t>
      </w:r>
      <w:r>
        <w:rPr>
          <w:rFonts w:hint="eastAsia" w:ascii="微软雅黑" w:hAnsi="微软雅黑" w:eastAsia="微软雅黑" w:cs="微软雅黑"/>
          <w:color w:val="auto"/>
          <w:szCs w:val="24"/>
          <w:highlight w:val="none"/>
        </w:rPr>
        <w:t>（姓名）系</w:t>
      </w:r>
      <w:r>
        <w:rPr>
          <w:rFonts w:hint="eastAsia" w:ascii="微软雅黑" w:hAnsi="微软雅黑" w:eastAsia="微软雅黑" w:cs="微软雅黑"/>
          <w:color w:val="auto"/>
          <w:szCs w:val="24"/>
          <w:highlight w:val="none"/>
          <w:u w:val="single"/>
        </w:rPr>
        <w:t xml:space="preserve">               </w:t>
      </w:r>
      <w:r>
        <w:rPr>
          <w:rFonts w:hint="eastAsia" w:ascii="微软雅黑" w:hAnsi="微软雅黑" w:eastAsia="微软雅黑" w:cs="微软雅黑"/>
          <w:color w:val="auto"/>
          <w:szCs w:val="24"/>
          <w:highlight w:val="none"/>
        </w:rPr>
        <w:t>（投标单位名称）的法定代表人（负责人），我方愿意参加贵方组织的</w:t>
      </w:r>
      <w:r>
        <w:rPr>
          <w:rFonts w:hint="eastAsia" w:ascii="微软雅黑" w:hAnsi="微软雅黑" w:eastAsia="微软雅黑" w:cs="微软雅黑"/>
          <w:b/>
          <w:bCs/>
          <w:color w:val="auto"/>
          <w:szCs w:val="24"/>
          <w:highlight w:val="none"/>
          <w:u w:val="single"/>
        </w:rPr>
        <w:t>疏勒县乡村振兴平台</w:t>
      </w:r>
      <w:r>
        <w:rPr>
          <w:rFonts w:hint="eastAsia" w:ascii="微软雅黑" w:hAnsi="微软雅黑" w:eastAsia="微软雅黑" w:cs="微软雅黑"/>
          <w:color w:val="auto"/>
          <w:szCs w:val="24"/>
          <w:highlight w:val="none"/>
        </w:rPr>
        <w:t>的投标，为便于贵方公正、择优地确定中标方及其投标服务，我方就本次投标有关事项郑重声明如下：</w:t>
      </w:r>
    </w:p>
    <w:p>
      <w:pPr>
        <w:pStyle w:val="2"/>
        <w:spacing w:line="440" w:lineRule="exact"/>
        <w:rPr>
          <w:rFonts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1．我方向贵方提交的所有投标文件、资料都是准确的和真实的；</w:t>
      </w:r>
    </w:p>
    <w:p>
      <w:pPr>
        <w:pStyle w:val="2"/>
        <w:spacing w:line="440" w:lineRule="exact"/>
        <w:rPr>
          <w:rFonts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2．我方与政府行政机关没有隶属关系或者其他利益关系；</w:t>
      </w:r>
    </w:p>
    <w:p>
      <w:pPr>
        <w:pStyle w:val="2"/>
        <w:spacing w:line="440" w:lineRule="exact"/>
        <w:rPr>
          <w:rFonts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3．我方最近三年内没有被公开披露或查处的违法违规行为；</w:t>
      </w:r>
    </w:p>
    <w:p>
      <w:pPr>
        <w:pStyle w:val="2"/>
        <w:spacing w:line="440" w:lineRule="exact"/>
        <w:rPr>
          <w:rFonts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4．以上事项如有虚假或隐瞒，我方愿意承担一切后果和责任。</w:t>
      </w:r>
    </w:p>
    <w:p>
      <w:pPr>
        <w:pStyle w:val="2"/>
        <w:spacing w:line="440" w:lineRule="exact"/>
        <w:rPr>
          <w:rFonts w:ascii="微软雅黑" w:hAnsi="微软雅黑" w:eastAsia="微软雅黑" w:cs="微软雅黑"/>
          <w:color w:val="auto"/>
          <w:szCs w:val="24"/>
          <w:highlight w:val="none"/>
        </w:rPr>
      </w:pPr>
    </w:p>
    <w:p>
      <w:pPr>
        <w:pStyle w:val="2"/>
        <w:spacing w:line="440" w:lineRule="exact"/>
        <w:rPr>
          <w:rFonts w:ascii="微软雅黑" w:hAnsi="微软雅黑" w:eastAsia="微软雅黑" w:cs="微软雅黑"/>
          <w:color w:val="auto"/>
          <w:szCs w:val="24"/>
          <w:highlight w:val="none"/>
        </w:rPr>
      </w:pPr>
    </w:p>
    <w:p>
      <w:pPr>
        <w:pStyle w:val="2"/>
        <w:spacing w:line="440" w:lineRule="exact"/>
        <w:rPr>
          <w:rFonts w:ascii="微软雅黑" w:hAnsi="微软雅黑" w:eastAsia="微软雅黑" w:cs="微软雅黑"/>
          <w:color w:val="auto"/>
          <w:szCs w:val="24"/>
          <w:highlight w:val="none"/>
          <w:u w:val="single"/>
        </w:rPr>
      </w:pPr>
      <w:r>
        <w:rPr>
          <w:rFonts w:hint="eastAsia" w:ascii="微软雅黑" w:hAnsi="微软雅黑" w:eastAsia="微软雅黑" w:cs="微软雅黑"/>
          <w:color w:val="auto"/>
          <w:szCs w:val="24"/>
          <w:highlight w:val="none"/>
        </w:rPr>
        <w:t xml:space="preserve">投标单位（公章） </w:t>
      </w:r>
      <w:r>
        <w:rPr>
          <w:rFonts w:hint="eastAsia" w:ascii="微软雅黑" w:hAnsi="微软雅黑" w:eastAsia="微软雅黑" w:cs="微软雅黑"/>
          <w:color w:val="auto"/>
          <w:szCs w:val="24"/>
          <w:highlight w:val="none"/>
          <w:u w:val="single"/>
        </w:rPr>
        <w:t xml:space="preserve">                                            </w:t>
      </w:r>
    </w:p>
    <w:p>
      <w:pPr>
        <w:pStyle w:val="2"/>
        <w:spacing w:line="440" w:lineRule="exact"/>
        <w:rPr>
          <w:rFonts w:ascii="微软雅黑" w:hAnsi="微软雅黑" w:eastAsia="微软雅黑" w:cs="微软雅黑"/>
          <w:color w:val="auto"/>
          <w:szCs w:val="24"/>
          <w:highlight w:val="none"/>
          <w:u w:val="single"/>
        </w:rPr>
      </w:pPr>
      <w:r>
        <w:rPr>
          <w:rFonts w:hint="eastAsia" w:ascii="微软雅黑" w:hAnsi="微软雅黑" w:eastAsia="微软雅黑" w:cs="微软雅黑"/>
          <w:color w:val="auto"/>
          <w:szCs w:val="24"/>
          <w:highlight w:val="none"/>
        </w:rPr>
        <w:t>法定代表人（负责人）或授权委托人（签/章）</w:t>
      </w:r>
      <w:r>
        <w:rPr>
          <w:rFonts w:hint="eastAsia" w:ascii="微软雅黑" w:hAnsi="微软雅黑" w:eastAsia="微软雅黑" w:cs="微软雅黑"/>
          <w:color w:val="auto"/>
          <w:szCs w:val="24"/>
          <w:highlight w:val="none"/>
          <w:u w:val="single"/>
        </w:rPr>
        <w:t xml:space="preserve">                    </w:t>
      </w:r>
    </w:p>
    <w:p>
      <w:pPr>
        <w:pStyle w:val="2"/>
        <w:spacing w:line="440" w:lineRule="exact"/>
        <w:rPr>
          <w:rFonts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日期：    年   月   日</w:t>
      </w:r>
    </w:p>
    <w:p>
      <w:pPr>
        <w:pStyle w:val="2"/>
        <w:spacing w:line="440" w:lineRule="exact"/>
        <w:rPr>
          <w:rFonts w:ascii="微软雅黑" w:hAnsi="微软雅黑" w:eastAsia="微软雅黑" w:cs="微软雅黑"/>
          <w:color w:val="auto"/>
          <w:szCs w:val="24"/>
          <w:highlight w:val="none"/>
        </w:rPr>
      </w:pPr>
    </w:p>
    <w:p>
      <w:pPr>
        <w:pStyle w:val="2"/>
        <w:rPr>
          <w:rFonts w:ascii="微软雅黑" w:hAnsi="微软雅黑" w:eastAsia="微软雅黑" w:cs="微软雅黑"/>
          <w:color w:val="auto"/>
          <w:szCs w:val="24"/>
          <w:highlight w:val="none"/>
        </w:rPr>
      </w:pPr>
    </w:p>
    <w:p>
      <w:pPr>
        <w:pStyle w:val="14"/>
        <w:numPr>
          <w:ilvl w:val="0"/>
          <w:numId w:val="8"/>
        </w:numPr>
        <w:tabs>
          <w:tab w:val="left" w:pos="5580"/>
        </w:tabs>
        <w:spacing w:line="440" w:lineRule="exact"/>
        <w:jc w:val="center"/>
        <w:outlineLvl w:val="1"/>
        <w:rPr>
          <w:rFonts w:ascii="微软雅黑" w:hAnsi="微软雅黑" w:eastAsia="微软雅黑" w:cs="微软雅黑"/>
          <w:b/>
          <w:bCs/>
          <w:color w:val="auto"/>
          <w:sz w:val="24"/>
          <w:szCs w:val="24"/>
          <w:highlight w:val="none"/>
        </w:rPr>
      </w:pPr>
      <w:bookmarkStart w:id="333" w:name="_Toc21321"/>
      <w:r>
        <w:rPr>
          <w:rFonts w:hint="eastAsia" w:ascii="微软雅黑" w:hAnsi="微软雅黑" w:eastAsia="微软雅黑" w:cs="微软雅黑"/>
          <w:b/>
          <w:bCs/>
          <w:color w:val="auto"/>
          <w:sz w:val="24"/>
          <w:szCs w:val="24"/>
          <w:highlight w:val="none"/>
        </w:rPr>
        <w:t>投标人可提供有利于投标的其他资格证明材料</w:t>
      </w:r>
      <w:bookmarkEnd w:id="333"/>
    </w:p>
    <w:p>
      <w:pPr>
        <w:pStyle w:val="14"/>
        <w:tabs>
          <w:tab w:val="left" w:pos="5580"/>
        </w:tabs>
        <w:spacing w:line="440" w:lineRule="exact"/>
        <w:ind w:firstLine="480" w:firstLineChars="200"/>
        <w:outlineLvl w:val="1"/>
        <w:rPr>
          <w:rFonts w:ascii="微软雅黑" w:hAnsi="微软雅黑" w:eastAsia="微软雅黑" w:cs="微软雅黑"/>
          <w:color w:val="auto"/>
          <w:kern w:val="0"/>
          <w:sz w:val="24"/>
          <w:szCs w:val="24"/>
          <w:highlight w:val="none"/>
        </w:rPr>
      </w:pPr>
      <w:r>
        <w:rPr>
          <w:rFonts w:hint="eastAsia" w:ascii="微软雅黑" w:hAnsi="微软雅黑" w:eastAsia="微软雅黑" w:cs="微软雅黑"/>
          <w:color w:val="auto"/>
          <w:kern w:val="0"/>
          <w:sz w:val="24"/>
          <w:szCs w:val="24"/>
          <w:highlight w:val="none"/>
        </w:rPr>
        <w:t>供应商应提交证明文件，证明其投标内容符合招标文件规定，该证明文件是投标文件的一部分。证明文件，可以是文字资料、图纸和数据等。</w:t>
      </w:r>
    </w:p>
    <w:p>
      <w:pPr>
        <w:pStyle w:val="2"/>
        <w:spacing w:line="440" w:lineRule="exact"/>
        <w:rPr>
          <w:rFonts w:ascii="微软雅黑" w:hAnsi="微软雅黑" w:eastAsia="微软雅黑" w:cs="微软雅黑"/>
          <w:color w:val="auto"/>
          <w:szCs w:val="24"/>
          <w:highlight w:val="none"/>
        </w:rPr>
      </w:pPr>
    </w:p>
    <w:p>
      <w:pPr>
        <w:pStyle w:val="57"/>
        <w:spacing w:line="440" w:lineRule="exact"/>
        <w:rPr>
          <w:rFonts w:ascii="微软雅黑" w:hAnsi="微软雅黑" w:eastAsia="微软雅黑" w:cs="微软雅黑"/>
          <w:color w:val="auto"/>
          <w:highlight w:val="none"/>
        </w:rPr>
      </w:pPr>
    </w:p>
    <w:p>
      <w:pPr>
        <w:pStyle w:val="57"/>
        <w:rPr>
          <w:rFonts w:hAnsi="宋体"/>
          <w:color w:val="auto"/>
          <w:highlight w:val="none"/>
        </w:rPr>
      </w:pPr>
    </w:p>
    <w:p>
      <w:pPr>
        <w:spacing w:line="240" w:lineRule="atLeast"/>
        <w:ind w:left="1080" w:leftChars="257" w:hanging="540"/>
        <w:jc w:val="center"/>
        <w:rPr>
          <w:rFonts w:ascii="宋体" w:hAnsi="宋体" w:cs="宋体"/>
          <w:color w:val="auto"/>
          <w:sz w:val="24"/>
          <w:highlight w:val="none"/>
        </w:rPr>
      </w:pPr>
    </w:p>
    <w:p>
      <w:pPr>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br w:type="page"/>
      </w:r>
    </w:p>
    <w:p>
      <w:pPr>
        <w:spacing w:line="240" w:lineRule="atLeast"/>
        <w:outlineLvl w:val="1"/>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6    投标文件格式范本</w:t>
      </w:r>
      <w:bookmarkEnd w:id="316"/>
    </w:p>
    <w:tbl>
      <w:tblPr>
        <w:tblStyle w:val="35"/>
        <w:tblpPr w:leftFromText="180" w:rightFromText="180" w:vertAnchor="text" w:horzAnchor="page" w:tblpX="1380" w:tblpY="440"/>
        <w:tblOverlap w:val="never"/>
        <w:tblW w:w="9520" w:type="dxa"/>
        <w:tblInd w:w="0" w:type="dxa"/>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Layout w:type="fixed"/>
        <w:tblCellMar>
          <w:top w:w="0" w:type="dxa"/>
          <w:left w:w="108" w:type="dxa"/>
          <w:bottom w:w="0" w:type="dxa"/>
          <w:right w:w="108" w:type="dxa"/>
        </w:tblCellMar>
      </w:tblPr>
      <w:tblGrid>
        <w:gridCol w:w="9520"/>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CellMar>
            <w:top w:w="0" w:type="dxa"/>
            <w:left w:w="108" w:type="dxa"/>
            <w:bottom w:w="0" w:type="dxa"/>
            <w:right w:w="108" w:type="dxa"/>
          </w:tblCellMar>
        </w:tblPrEx>
        <w:trPr>
          <w:trHeight w:val="12335" w:hRule="atLeast"/>
        </w:trPr>
        <w:tc>
          <w:tcPr>
            <w:tcW w:w="9520" w:type="dxa"/>
            <w:shd w:val="clear" w:color="auto" w:fill="auto"/>
          </w:tcPr>
          <w:p>
            <w:pPr>
              <w:pStyle w:val="9"/>
              <w:jc w:val="center"/>
              <w:rPr>
                <w:rFonts w:ascii="微软雅黑" w:hAnsi="微软雅黑" w:eastAsia="微软雅黑" w:cs="微软雅黑"/>
                <w:b/>
                <w:bCs/>
                <w:color w:val="auto"/>
                <w:sz w:val="28"/>
                <w:szCs w:val="28"/>
                <w:highlight w:val="none"/>
              </w:rPr>
            </w:pPr>
            <w:r>
              <w:rPr>
                <w:rFonts w:hint="eastAsia" w:ascii="微软雅黑" w:hAnsi="微软雅黑" w:eastAsia="微软雅黑" w:cs="微软雅黑"/>
                <w:b/>
                <w:bCs/>
                <w:color w:val="auto"/>
                <w:sz w:val="28"/>
                <w:szCs w:val="28"/>
                <w:highlight w:val="none"/>
              </w:rPr>
              <w:t xml:space="preserve">                                                （正本/副本）</w:t>
            </w:r>
          </w:p>
          <w:p>
            <w:pPr>
              <w:pStyle w:val="9"/>
              <w:ind w:firstLine="4202" w:firstLineChars="1500"/>
              <w:rPr>
                <w:rFonts w:ascii="微软雅黑" w:hAnsi="微软雅黑" w:eastAsia="微软雅黑" w:cs="微软雅黑"/>
                <w:b/>
                <w:bCs/>
                <w:color w:val="auto"/>
                <w:sz w:val="28"/>
                <w:szCs w:val="28"/>
                <w:highlight w:val="none"/>
              </w:rPr>
            </w:pPr>
          </w:p>
          <w:p>
            <w:pPr>
              <w:pStyle w:val="9"/>
              <w:rPr>
                <w:rFonts w:ascii="微软雅黑" w:hAnsi="微软雅黑" w:eastAsia="微软雅黑" w:cs="微软雅黑"/>
                <w:b/>
                <w:bCs/>
                <w:color w:val="auto"/>
                <w:sz w:val="28"/>
                <w:szCs w:val="28"/>
                <w:highlight w:val="none"/>
              </w:rPr>
            </w:pPr>
          </w:p>
          <w:p>
            <w:pPr>
              <w:pStyle w:val="9"/>
              <w:ind w:firstLine="2521" w:firstLineChars="900"/>
              <w:rPr>
                <w:rFonts w:ascii="微软雅黑" w:hAnsi="微软雅黑" w:eastAsia="微软雅黑" w:cs="微软雅黑"/>
                <w:b/>
                <w:bCs/>
                <w:color w:val="auto"/>
                <w:sz w:val="28"/>
                <w:szCs w:val="28"/>
                <w:highlight w:val="none"/>
              </w:rPr>
            </w:pPr>
            <w:r>
              <w:rPr>
                <w:rFonts w:hint="eastAsia" w:ascii="微软雅黑" w:hAnsi="微软雅黑" w:eastAsia="微软雅黑" w:cs="微软雅黑"/>
                <w:b/>
                <w:bCs/>
                <w:color w:val="auto"/>
                <w:sz w:val="28"/>
                <w:szCs w:val="28"/>
                <w:highlight w:val="none"/>
              </w:rPr>
              <w:t>***** *** *** *** ***   项目</w:t>
            </w:r>
          </w:p>
          <w:p>
            <w:pPr>
              <w:pStyle w:val="9"/>
              <w:jc w:val="center"/>
              <w:rPr>
                <w:rFonts w:ascii="微软雅黑" w:hAnsi="微软雅黑" w:eastAsia="微软雅黑" w:cs="微软雅黑"/>
                <w:b/>
                <w:bCs/>
                <w:color w:val="auto"/>
                <w:sz w:val="21"/>
                <w:szCs w:val="21"/>
                <w:highlight w:val="none"/>
              </w:rPr>
            </w:pPr>
          </w:p>
          <w:p>
            <w:pPr>
              <w:pStyle w:val="9"/>
              <w:jc w:val="center"/>
              <w:rPr>
                <w:rFonts w:ascii="微软雅黑" w:hAnsi="微软雅黑" w:eastAsia="微软雅黑" w:cs="微软雅黑"/>
                <w:b/>
                <w:bCs/>
                <w:color w:val="auto"/>
                <w:sz w:val="21"/>
                <w:szCs w:val="21"/>
                <w:highlight w:val="none"/>
              </w:rPr>
            </w:pPr>
            <w:r>
              <w:rPr>
                <w:rFonts w:hint="eastAsia" w:ascii="微软雅黑" w:hAnsi="微软雅黑" w:eastAsia="微软雅黑" w:cs="微软雅黑"/>
                <w:b/>
                <w:bCs/>
                <w:color w:val="auto"/>
                <w:sz w:val="21"/>
                <w:szCs w:val="21"/>
                <w:highlight w:val="none"/>
              </w:rPr>
              <w:t xml:space="preserve">项目编号＊＊＊＊＊＊    </w:t>
            </w:r>
          </w:p>
          <w:p>
            <w:pPr>
              <w:pStyle w:val="9"/>
              <w:jc w:val="center"/>
              <w:rPr>
                <w:rFonts w:ascii="微软雅黑" w:hAnsi="微软雅黑" w:eastAsia="微软雅黑" w:cs="微软雅黑"/>
                <w:b/>
                <w:bCs/>
                <w:color w:val="auto"/>
                <w:sz w:val="48"/>
                <w:highlight w:val="none"/>
              </w:rPr>
            </w:pPr>
          </w:p>
          <w:p>
            <w:pPr>
              <w:pStyle w:val="9"/>
              <w:jc w:val="center"/>
              <w:rPr>
                <w:rFonts w:ascii="微软雅黑" w:hAnsi="微软雅黑" w:eastAsia="微软雅黑" w:cs="微软雅黑"/>
                <w:b/>
                <w:bCs/>
                <w:color w:val="auto"/>
                <w:sz w:val="48"/>
                <w:highlight w:val="none"/>
              </w:rPr>
            </w:pPr>
            <w:r>
              <w:rPr>
                <w:rFonts w:hint="eastAsia" w:ascii="微软雅黑" w:hAnsi="微软雅黑" w:eastAsia="微软雅黑" w:cs="微软雅黑"/>
                <w:b/>
                <w:bCs/>
                <w:color w:val="auto"/>
                <w:sz w:val="48"/>
                <w:highlight w:val="none"/>
              </w:rPr>
              <w:t>投 标 文 件</w:t>
            </w:r>
          </w:p>
          <w:p>
            <w:pPr>
              <w:jc w:val="center"/>
              <w:rPr>
                <w:rFonts w:ascii="微软雅黑" w:hAnsi="微软雅黑" w:eastAsia="微软雅黑" w:cs="微软雅黑"/>
                <w:b/>
                <w:color w:val="auto"/>
                <w:sz w:val="32"/>
                <w:highlight w:val="none"/>
              </w:rPr>
            </w:pPr>
          </w:p>
          <w:p>
            <w:pPr>
              <w:pStyle w:val="2"/>
              <w:rPr>
                <w:rFonts w:ascii="微软雅黑" w:hAnsi="微软雅黑" w:eastAsia="微软雅黑" w:cs="微软雅黑"/>
                <w:b/>
                <w:color w:val="auto"/>
                <w:sz w:val="32"/>
                <w:highlight w:val="none"/>
              </w:rPr>
            </w:pPr>
          </w:p>
          <w:p>
            <w:pPr>
              <w:pStyle w:val="2"/>
              <w:rPr>
                <w:rFonts w:ascii="微软雅黑" w:hAnsi="微软雅黑" w:eastAsia="微软雅黑" w:cs="微软雅黑"/>
                <w:b/>
                <w:color w:val="auto"/>
                <w:sz w:val="32"/>
                <w:highlight w:val="none"/>
              </w:rPr>
            </w:pPr>
          </w:p>
          <w:p>
            <w:pPr>
              <w:spacing w:line="360" w:lineRule="auto"/>
              <w:ind w:left="176" w:leftChars="84" w:firstLine="840" w:firstLineChars="4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投 标 单位：</w:t>
            </w:r>
            <w:r>
              <w:rPr>
                <w:rFonts w:hint="eastAsia" w:ascii="微软雅黑" w:hAnsi="微软雅黑" w:eastAsia="微软雅黑" w:cs="微软雅黑"/>
                <w:color w:val="auto"/>
                <w:szCs w:val="21"/>
                <w:highlight w:val="none"/>
                <w:u w:val="single"/>
              </w:rPr>
              <w:t xml:space="preserve">                                       </w:t>
            </w:r>
            <w:r>
              <w:rPr>
                <w:rFonts w:hint="eastAsia" w:ascii="微软雅黑" w:hAnsi="微软雅黑" w:eastAsia="微软雅黑" w:cs="微软雅黑"/>
                <w:color w:val="auto"/>
                <w:szCs w:val="21"/>
                <w:highlight w:val="none"/>
              </w:rPr>
              <w:t>（公章）</w:t>
            </w:r>
          </w:p>
          <w:p>
            <w:pPr>
              <w:spacing w:line="360" w:lineRule="auto"/>
              <w:ind w:left="176" w:leftChars="84" w:firstLine="840" w:firstLineChars="400"/>
              <w:rPr>
                <w:rFonts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rPr>
              <w:t>项目名称：</w:t>
            </w:r>
            <w:r>
              <w:rPr>
                <w:rFonts w:hint="eastAsia" w:ascii="微软雅黑" w:hAnsi="微软雅黑" w:eastAsia="微软雅黑" w:cs="微软雅黑"/>
                <w:color w:val="auto"/>
                <w:szCs w:val="21"/>
                <w:highlight w:val="none"/>
                <w:u w:val="single"/>
              </w:rPr>
              <w:t xml:space="preserve">                                          </w:t>
            </w:r>
          </w:p>
          <w:p>
            <w:pPr>
              <w:spacing w:line="360" w:lineRule="auto"/>
              <w:ind w:left="176" w:leftChars="84" w:firstLine="840" w:firstLineChars="400"/>
              <w:rPr>
                <w:rFonts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rPr>
              <w:t>项目编号：</w:t>
            </w:r>
            <w:r>
              <w:rPr>
                <w:rFonts w:hint="eastAsia" w:ascii="微软雅黑" w:hAnsi="微软雅黑" w:eastAsia="微软雅黑" w:cs="微软雅黑"/>
                <w:color w:val="auto"/>
                <w:szCs w:val="21"/>
                <w:highlight w:val="none"/>
                <w:u w:val="single"/>
              </w:rPr>
              <w:t xml:space="preserve">                                        </w:t>
            </w:r>
          </w:p>
          <w:p>
            <w:pPr>
              <w:spacing w:line="360" w:lineRule="auto"/>
              <w:ind w:left="176" w:leftChars="84" w:firstLine="840" w:firstLineChars="400"/>
              <w:rPr>
                <w:rFonts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rPr>
              <w:t>联 系 人：</w:t>
            </w:r>
            <w:r>
              <w:rPr>
                <w:rFonts w:hint="eastAsia" w:ascii="微软雅黑" w:hAnsi="微软雅黑" w:eastAsia="微软雅黑" w:cs="微软雅黑"/>
                <w:color w:val="auto"/>
                <w:szCs w:val="21"/>
                <w:highlight w:val="none"/>
                <w:u w:val="single"/>
              </w:rPr>
              <w:t xml:space="preserve">                                        </w:t>
            </w:r>
          </w:p>
          <w:p>
            <w:pPr>
              <w:spacing w:line="360" w:lineRule="auto"/>
              <w:ind w:left="176" w:leftChars="84" w:firstLine="840" w:firstLineChars="4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电    话：</w:t>
            </w:r>
            <w:r>
              <w:rPr>
                <w:rFonts w:hint="eastAsia" w:ascii="微软雅黑" w:hAnsi="微软雅黑" w:eastAsia="微软雅黑" w:cs="微软雅黑"/>
                <w:color w:val="auto"/>
                <w:szCs w:val="21"/>
                <w:highlight w:val="none"/>
                <w:u w:val="single"/>
              </w:rPr>
              <w:t xml:space="preserve">                                        </w:t>
            </w:r>
          </w:p>
          <w:p>
            <w:pPr>
              <w:spacing w:line="360" w:lineRule="auto"/>
              <w:ind w:left="176" w:leftChars="84" w:firstLine="840" w:firstLineChars="400"/>
              <w:rPr>
                <w:rFonts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rPr>
              <w:t xml:space="preserve">地    址  ：  </w:t>
            </w:r>
            <w:r>
              <w:rPr>
                <w:rFonts w:hint="eastAsia" w:ascii="微软雅黑" w:hAnsi="微软雅黑" w:eastAsia="微软雅黑" w:cs="微软雅黑"/>
                <w:color w:val="auto"/>
                <w:szCs w:val="21"/>
                <w:highlight w:val="none"/>
                <w:u w:val="single"/>
              </w:rPr>
              <w:t xml:space="preserve">                                    </w:t>
            </w:r>
          </w:p>
          <w:p>
            <w:pPr>
              <w:spacing w:line="360" w:lineRule="auto"/>
              <w:ind w:left="176" w:leftChars="84" w:firstLine="960" w:firstLineChars="400"/>
              <w:rPr>
                <w:rFonts w:ascii="微软雅黑" w:hAnsi="微软雅黑" w:eastAsia="微软雅黑" w:cs="微软雅黑"/>
                <w:color w:val="auto"/>
                <w:sz w:val="24"/>
                <w:highlight w:val="none"/>
              </w:rPr>
            </w:pPr>
          </w:p>
          <w:p>
            <w:pPr>
              <w:jc w:val="center"/>
              <w:rPr>
                <w:rFonts w:ascii="微软雅黑" w:hAnsi="微软雅黑" w:eastAsia="微软雅黑" w:cs="微软雅黑"/>
                <w:b/>
                <w:bCs/>
                <w:color w:val="auto"/>
                <w:highlight w:val="none"/>
              </w:rPr>
            </w:pPr>
          </w:p>
          <w:p>
            <w:pPr>
              <w:jc w:val="center"/>
              <w:rPr>
                <w:rFonts w:ascii="微软雅黑" w:hAnsi="微软雅黑" w:eastAsia="微软雅黑" w:cs="微软雅黑"/>
                <w:b/>
                <w:bCs/>
                <w:color w:val="auto"/>
                <w:highlight w:val="none"/>
              </w:rPr>
            </w:pPr>
          </w:p>
          <w:p>
            <w:pPr>
              <w:jc w:val="center"/>
              <w:rPr>
                <w:rFonts w:ascii="微软雅黑" w:hAnsi="微软雅黑" w:eastAsia="微软雅黑" w:cs="微软雅黑"/>
                <w:b/>
                <w:bCs/>
                <w:color w:val="auto"/>
                <w:highlight w:val="none"/>
              </w:rPr>
            </w:pPr>
            <w:r>
              <w:rPr>
                <w:rFonts w:hint="eastAsia" w:ascii="微软雅黑" w:hAnsi="微软雅黑" w:eastAsia="微软雅黑" w:cs="微软雅黑"/>
                <w:b/>
                <w:bCs/>
                <w:color w:val="auto"/>
                <w:highlight w:val="none"/>
              </w:rPr>
              <w:t>注：   在2021年   月  日 *午   之前不得启封</w:t>
            </w:r>
          </w:p>
          <w:p>
            <w:pPr>
              <w:jc w:val="center"/>
              <w:rPr>
                <w:rFonts w:ascii="微软雅黑" w:hAnsi="微软雅黑" w:eastAsia="微软雅黑" w:cs="微软雅黑"/>
                <w:b/>
                <w:bCs/>
                <w:color w:val="auto"/>
                <w:highlight w:val="none"/>
              </w:rPr>
            </w:pPr>
          </w:p>
        </w:tc>
      </w:tr>
    </w:tbl>
    <w:p>
      <w:pPr>
        <w:spacing w:line="240" w:lineRule="atLeast"/>
        <w:jc w:val="center"/>
        <w:rPr>
          <w:color w:val="auto"/>
          <w:highlight w:val="none"/>
        </w:rPr>
        <w:sectPr>
          <w:headerReference r:id="rId5" w:type="default"/>
          <w:footerReference r:id="rId6" w:type="default"/>
          <w:pgSz w:w="11906" w:h="16838"/>
          <w:pgMar w:top="1440" w:right="1797" w:bottom="1440" w:left="1797" w:header="851" w:footer="992" w:gutter="0"/>
          <w:pgNumType w:start="1"/>
          <w:cols w:space="720" w:num="1"/>
          <w:docGrid w:linePitch="312" w:charSpace="0"/>
        </w:sectPr>
      </w:pPr>
      <w:r>
        <w:rPr>
          <w:rFonts w:hint="eastAsia" w:ascii="宋体" w:hAnsi="宋体" w:cs="宋体"/>
          <w:color w:val="auto"/>
          <w:sz w:val="24"/>
          <w:highlight w:val="none"/>
        </w:rPr>
        <w:br w:type="page"/>
      </w:r>
    </w:p>
    <w:p>
      <w:pPr>
        <w:widowControl/>
        <w:spacing w:before="100" w:beforeAutospacing="1" w:after="100" w:afterAutospacing="1" w:line="500" w:lineRule="exact"/>
        <w:jc w:val="center"/>
        <w:rPr>
          <w:rFonts w:ascii="微软雅黑" w:hAnsi="微软雅黑" w:eastAsia="微软雅黑" w:cs="微软雅黑"/>
          <w:b/>
          <w:bCs/>
          <w:color w:val="auto"/>
          <w:sz w:val="28"/>
          <w:szCs w:val="28"/>
          <w:highlight w:val="none"/>
        </w:rPr>
      </w:pPr>
      <w:bookmarkStart w:id="334" w:name="_Toc28765"/>
      <w:bookmarkStart w:id="335" w:name="_Toc218935350"/>
      <w:bookmarkStart w:id="336" w:name="_Toc16370"/>
      <w:bookmarkStart w:id="337" w:name="_Toc216582822"/>
      <w:bookmarkStart w:id="338" w:name="_Toc219175634"/>
      <w:bookmarkStart w:id="339" w:name="_Toc515647829"/>
      <w:bookmarkStart w:id="340" w:name="_Toc29715"/>
      <w:bookmarkStart w:id="341" w:name="_Toc19204"/>
      <w:bookmarkStart w:id="342" w:name="_Toc507399902"/>
      <w:r>
        <w:rPr>
          <w:rFonts w:hint="eastAsia" w:ascii="微软雅黑" w:hAnsi="微软雅黑" w:eastAsia="微软雅黑" w:cs="微软雅黑"/>
          <w:b/>
          <w:bCs/>
          <w:color w:val="auto"/>
          <w:sz w:val="28"/>
          <w:szCs w:val="28"/>
          <w:highlight w:val="none"/>
        </w:rPr>
        <w:t>中小企业声明函（货物）</w:t>
      </w:r>
    </w:p>
    <w:p>
      <w:pPr>
        <w:spacing w:line="5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b/>
          <w:bCs/>
          <w:color w:val="auto"/>
          <w:sz w:val="24"/>
          <w:highlight w:val="none"/>
        </w:rPr>
        <w:t>（供应商符合条件时填写，不符合时可不附此函）</w:t>
      </w:r>
    </w:p>
    <w:p>
      <w:pPr>
        <w:pStyle w:val="2"/>
        <w:autoSpaceDE/>
        <w:autoSpaceDN/>
        <w:adjustRightInd/>
        <w:spacing w:line="500" w:lineRule="exact"/>
        <w:rPr>
          <w:rFonts w:ascii="微软雅黑" w:hAnsi="微软雅黑" w:eastAsia="微软雅黑" w:cs="微软雅黑"/>
          <w:color w:val="auto"/>
          <w:highlight w:val="none"/>
        </w:rPr>
      </w:pPr>
    </w:p>
    <w:p>
      <w:pPr>
        <w:spacing w:line="50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本公司（联合体）郑重声明，根据《政府采购促进中小企业发展管理办法》（财库﹝2020﹞46 号）的规定，本公司 （联合体）参加</w:t>
      </w:r>
      <w:r>
        <w:rPr>
          <w:rFonts w:hint="eastAsia" w:ascii="微软雅黑" w:hAnsi="微软雅黑" w:eastAsia="微软雅黑" w:cs="微软雅黑"/>
          <w:i/>
          <w:iCs/>
          <w:color w:val="auto"/>
          <w:sz w:val="24"/>
          <w:highlight w:val="none"/>
          <w:u w:val="single"/>
        </w:rPr>
        <w:t>（单位名称）</w:t>
      </w:r>
      <w:r>
        <w:rPr>
          <w:rFonts w:hint="eastAsia" w:ascii="微软雅黑" w:hAnsi="微软雅黑" w:eastAsia="微软雅黑" w:cs="微软雅黑"/>
          <w:color w:val="auto"/>
          <w:sz w:val="24"/>
          <w:highlight w:val="none"/>
        </w:rPr>
        <w:t>的</w:t>
      </w:r>
      <w:r>
        <w:rPr>
          <w:rFonts w:hint="eastAsia" w:ascii="微软雅黑" w:hAnsi="微软雅黑" w:eastAsia="微软雅黑" w:cs="微软雅黑"/>
          <w:i/>
          <w:iCs/>
          <w:color w:val="auto"/>
          <w:sz w:val="24"/>
          <w:highlight w:val="none"/>
          <w:u w:val="single"/>
        </w:rPr>
        <w:t>（项目名称）</w:t>
      </w:r>
      <w:r>
        <w:rPr>
          <w:rFonts w:hint="eastAsia" w:ascii="微软雅黑" w:hAnsi="微软雅黑" w:eastAsia="微软雅黑" w:cs="微软雅黑"/>
          <w:color w:val="auto"/>
          <w:sz w:val="24"/>
          <w:highlight w:val="none"/>
        </w:rPr>
        <w:t xml:space="preserve">采购活动，提供的货物全部由符合政策要求的中小企业制造。相关企业 （含联合体中的中小企业、签订分包意向协议的中小企业） 的具体情况如下： </w:t>
      </w:r>
    </w:p>
    <w:p>
      <w:pPr>
        <w:numPr>
          <w:ilvl w:val="0"/>
          <w:numId w:val="9"/>
        </w:numPr>
        <w:spacing w:line="50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i/>
          <w:iCs/>
          <w:color w:val="auto"/>
          <w:sz w:val="24"/>
          <w:highlight w:val="none"/>
          <w:u w:val="single"/>
        </w:rPr>
        <w:t>（标的名称）</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，属于</w:t>
      </w:r>
      <w:r>
        <w:rPr>
          <w:rFonts w:hint="eastAsia" w:ascii="微软雅黑" w:hAnsi="微软雅黑" w:eastAsia="微软雅黑" w:cs="微软雅黑"/>
          <w:i/>
          <w:iCs/>
          <w:color w:val="auto"/>
          <w:sz w:val="24"/>
          <w:highlight w:val="none"/>
          <w:u w:val="single"/>
        </w:rPr>
        <w:t>（采购文件中明确的所属行业）</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行业；制造商为</w:t>
      </w:r>
      <w:r>
        <w:rPr>
          <w:rFonts w:hint="eastAsia" w:ascii="微软雅黑" w:hAnsi="微软雅黑" w:eastAsia="微软雅黑" w:cs="微软雅黑"/>
          <w:i/>
          <w:iCs/>
          <w:color w:val="auto"/>
          <w:sz w:val="24"/>
          <w:highlight w:val="none"/>
          <w:u w:val="single"/>
        </w:rPr>
        <w:t>（企业名称）</w:t>
      </w:r>
      <w:r>
        <w:rPr>
          <w:rFonts w:hint="eastAsia" w:ascii="微软雅黑" w:hAnsi="微软雅黑" w:eastAsia="微软雅黑" w:cs="微软雅黑"/>
          <w:color w:val="auto"/>
          <w:sz w:val="24"/>
          <w:highlight w:val="none"/>
        </w:rPr>
        <w:t>，从业人员</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人，营业收入为</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万元，资产总额为</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万元</w:t>
      </w:r>
      <w:r>
        <w:rPr>
          <w:rFonts w:hint="eastAsia" w:ascii="微软雅黑" w:hAnsi="微软雅黑" w:eastAsia="微软雅黑" w:cs="微软雅黑"/>
          <w:color w:val="auto"/>
          <w:sz w:val="24"/>
          <w:highlight w:val="none"/>
          <w:vertAlign w:val="superscript"/>
        </w:rPr>
        <w:t>1</w:t>
      </w:r>
      <w:r>
        <w:rPr>
          <w:rFonts w:hint="eastAsia" w:ascii="微软雅黑" w:hAnsi="微软雅黑" w:eastAsia="微软雅黑" w:cs="微软雅黑"/>
          <w:color w:val="auto"/>
          <w:sz w:val="24"/>
          <w:highlight w:val="none"/>
        </w:rPr>
        <w:t>，属于</w:t>
      </w:r>
      <w:r>
        <w:rPr>
          <w:rFonts w:hint="eastAsia" w:ascii="微软雅黑" w:hAnsi="微软雅黑" w:eastAsia="微软雅黑" w:cs="微软雅黑"/>
          <w:i/>
          <w:iCs/>
          <w:color w:val="auto"/>
          <w:sz w:val="24"/>
          <w:highlight w:val="none"/>
          <w:u w:val="single"/>
        </w:rPr>
        <w:t>（中型企业、小 型企业、微型企业）</w:t>
      </w:r>
      <w:r>
        <w:rPr>
          <w:rFonts w:hint="eastAsia" w:ascii="微软雅黑" w:hAnsi="微软雅黑" w:eastAsia="微软雅黑" w:cs="微软雅黑"/>
          <w:color w:val="auto"/>
          <w:sz w:val="24"/>
          <w:highlight w:val="none"/>
        </w:rPr>
        <w:t>；</w:t>
      </w:r>
    </w:p>
    <w:p>
      <w:pPr>
        <w:numPr>
          <w:ilvl w:val="0"/>
          <w:numId w:val="9"/>
        </w:numPr>
        <w:spacing w:line="50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i/>
          <w:iCs/>
          <w:color w:val="auto"/>
          <w:sz w:val="24"/>
          <w:highlight w:val="none"/>
          <w:u w:val="single"/>
        </w:rPr>
        <w:t>（标的名称</w:t>
      </w:r>
      <w:r>
        <w:rPr>
          <w:rFonts w:hint="eastAsia" w:ascii="微软雅黑" w:hAnsi="微软雅黑" w:eastAsia="微软雅黑" w:cs="微软雅黑"/>
          <w:color w:val="auto"/>
          <w:sz w:val="24"/>
          <w:highlight w:val="none"/>
          <w:u w:val="single"/>
        </w:rPr>
        <w:t>）</w:t>
      </w:r>
      <w:r>
        <w:rPr>
          <w:rFonts w:hint="eastAsia" w:ascii="微软雅黑" w:hAnsi="微软雅黑" w:eastAsia="微软雅黑" w:cs="微软雅黑"/>
          <w:color w:val="auto"/>
          <w:sz w:val="24"/>
          <w:highlight w:val="none"/>
        </w:rPr>
        <w:t>，属于</w:t>
      </w:r>
      <w:r>
        <w:rPr>
          <w:rFonts w:hint="eastAsia" w:ascii="微软雅黑" w:hAnsi="微软雅黑" w:eastAsia="微软雅黑" w:cs="微软雅黑"/>
          <w:i/>
          <w:iCs/>
          <w:color w:val="auto"/>
          <w:sz w:val="24"/>
          <w:highlight w:val="none"/>
          <w:u w:val="single"/>
        </w:rPr>
        <w:t>（采购文件中明确的所属行业）</w:t>
      </w:r>
      <w:r>
        <w:rPr>
          <w:rFonts w:hint="eastAsia" w:ascii="微软雅黑" w:hAnsi="微软雅黑" w:eastAsia="微软雅黑" w:cs="微软雅黑"/>
          <w:color w:val="auto"/>
          <w:sz w:val="24"/>
          <w:highlight w:val="none"/>
        </w:rPr>
        <w:t xml:space="preserve"> 行业；制造商为</w:t>
      </w:r>
      <w:r>
        <w:rPr>
          <w:rFonts w:hint="eastAsia" w:ascii="微软雅黑" w:hAnsi="微软雅黑" w:eastAsia="微软雅黑" w:cs="微软雅黑"/>
          <w:i/>
          <w:iCs/>
          <w:color w:val="auto"/>
          <w:sz w:val="24"/>
          <w:highlight w:val="none"/>
          <w:u w:val="single"/>
        </w:rPr>
        <w:t>（企业名称）</w:t>
      </w:r>
      <w:r>
        <w:rPr>
          <w:rFonts w:hint="eastAsia" w:ascii="微软雅黑" w:hAnsi="微软雅黑" w:eastAsia="微软雅黑" w:cs="微软雅黑"/>
          <w:color w:val="auto"/>
          <w:sz w:val="24"/>
          <w:highlight w:val="none"/>
        </w:rPr>
        <w:t>，从业人员</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人，营业收入为</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万元，资产总额为</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万元，属于</w:t>
      </w:r>
      <w:r>
        <w:rPr>
          <w:rFonts w:hint="eastAsia" w:ascii="微软雅黑" w:hAnsi="微软雅黑" w:eastAsia="微软雅黑" w:cs="微软雅黑"/>
          <w:i/>
          <w:iCs/>
          <w:color w:val="auto"/>
          <w:sz w:val="24"/>
          <w:highlight w:val="none"/>
          <w:u w:val="single"/>
        </w:rPr>
        <w:t>（中型企业、小型 企业、微型企业）</w:t>
      </w:r>
      <w:r>
        <w:rPr>
          <w:rFonts w:hint="eastAsia" w:ascii="微软雅黑" w:hAnsi="微软雅黑" w:eastAsia="微软雅黑" w:cs="微软雅黑"/>
          <w:color w:val="auto"/>
          <w:sz w:val="24"/>
          <w:highlight w:val="none"/>
        </w:rPr>
        <w:t xml:space="preserve">； </w:t>
      </w:r>
    </w:p>
    <w:p>
      <w:pPr>
        <w:spacing w:line="500" w:lineRule="exact"/>
        <w:ind w:left="420" w:left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w:t>
      </w:r>
    </w:p>
    <w:p>
      <w:pPr>
        <w:spacing w:line="50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以上企业，不属于大企业的分支机构，不存在控股股东 为大企业的情形，也不存在与大企业的负责人为同一人的情 形。</w:t>
      </w:r>
    </w:p>
    <w:p>
      <w:pPr>
        <w:spacing w:line="50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本企业对上述声明内容的真实性负责。如有虚假，将依法承担相应责任。 </w:t>
      </w:r>
    </w:p>
    <w:p>
      <w:pPr>
        <w:spacing w:line="500" w:lineRule="exact"/>
        <w:ind w:firstLine="480" w:firstLineChars="200"/>
        <w:rPr>
          <w:rFonts w:ascii="微软雅黑" w:hAnsi="微软雅黑" w:eastAsia="微软雅黑" w:cs="微软雅黑"/>
          <w:color w:val="auto"/>
          <w:sz w:val="24"/>
          <w:highlight w:val="none"/>
        </w:rPr>
      </w:pPr>
    </w:p>
    <w:p>
      <w:pPr>
        <w:spacing w:line="500" w:lineRule="exact"/>
        <w:ind w:firstLine="4080" w:firstLineChars="17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企业名称（盖章）： </w:t>
      </w:r>
    </w:p>
    <w:p>
      <w:pPr>
        <w:spacing w:line="500" w:lineRule="exact"/>
        <w:ind w:firstLine="4080" w:firstLineChars="17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日 期：</w:t>
      </w:r>
    </w:p>
    <w:p>
      <w:pPr>
        <w:spacing w:line="500" w:lineRule="exact"/>
        <w:ind w:firstLine="480" w:firstLineChars="200"/>
        <w:rPr>
          <w:rFonts w:ascii="微软雅黑" w:hAnsi="微软雅黑" w:eastAsia="微软雅黑" w:cs="微软雅黑"/>
          <w:color w:val="auto"/>
          <w:sz w:val="24"/>
          <w:highlight w:val="none"/>
        </w:rPr>
      </w:pPr>
    </w:p>
    <w:p>
      <w:pPr>
        <w:spacing w:line="500" w:lineRule="exact"/>
        <w:ind w:firstLine="480" w:firstLineChars="200"/>
        <w:rPr>
          <w:rFonts w:ascii="微软雅黑" w:hAnsi="微软雅黑" w:eastAsia="微软雅黑" w:cs="微软雅黑"/>
          <w:color w:val="auto"/>
          <w:sz w:val="24"/>
          <w:highlight w:val="none"/>
        </w:rPr>
      </w:pPr>
    </w:p>
    <w:p>
      <w:pPr>
        <w:spacing w:line="500" w:lineRule="exact"/>
        <w:ind w:firstLine="480" w:firstLineChars="200"/>
        <w:rPr>
          <w:rFonts w:ascii="微软雅黑" w:hAnsi="微软雅黑" w:eastAsia="微软雅黑" w:cs="微软雅黑"/>
          <w:color w:val="auto"/>
          <w:sz w:val="24"/>
          <w:highlight w:val="none"/>
        </w:rPr>
      </w:pPr>
    </w:p>
    <w:p>
      <w:pPr>
        <w:spacing w:line="500" w:lineRule="exact"/>
        <w:ind w:firstLine="480" w:firstLineChars="200"/>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1 从业人员、营业收入、资产总额填报上一年度数据，无上一年度数据的新成立企业可不填报。</w:t>
      </w:r>
    </w:p>
    <w:p>
      <w:pPr>
        <w:rPr>
          <w:rFonts w:ascii="微软雅黑" w:hAnsi="微软雅黑" w:eastAsia="微软雅黑" w:cs="微软雅黑"/>
          <w:color w:val="auto"/>
          <w:highlight w:val="none"/>
        </w:rPr>
      </w:pPr>
    </w:p>
    <w:p>
      <w:pPr>
        <w:widowControl/>
        <w:spacing w:before="100" w:beforeAutospacing="1" w:after="100" w:afterAutospacing="1" w:line="500" w:lineRule="exact"/>
        <w:jc w:val="center"/>
        <w:rPr>
          <w:rFonts w:ascii="微软雅黑" w:hAnsi="微软雅黑" w:eastAsia="微软雅黑" w:cs="微软雅黑"/>
          <w:b/>
          <w:bCs/>
          <w:color w:val="auto"/>
          <w:sz w:val="28"/>
          <w:szCs w:val="28"/>
          <w:highlight w:val="none"/>
        </w:rPr>
      </w:pPr>
      <w:bookmarkStart w:id="343" w:name="_Toc19284"/>
      <w:bookmarkStart w:id="344" w:name="OLE_LINK13"/>
      <w:bookmarkStart w:id="345" w:name="_Toc23068"/>
      <w:bookmarkStart w:id="346" w:name="_Toc515647825"/>
      <w:bookmarkStart w:id="347" w:name="_Toc18205"/>
      <w:bookmarkStart w:id="348" w:name="OLE_LINK14"/>
      <w:r>
        <w:rPr>
          <w:rFonts w:hint="eastAsia" w:ascii="微软雅黑" w:hAnsi="微软雅黑" w:eastAsia="微软雅黑" w:cs="微软雅黑"/>
          <w:b/>
          <w:bCs/>
          <w:color w:val="auto"/>
          <w:sz w:val="28"/>
          <w:szCs w:val="28"/>
          <w:highlight w:val="none"/>
        </w:rPr>
        <w:t>残疾人福利性单位声明函</w:t>
      </w:r>
      <w:bookmarkEnd w:id="343"/>
      <w:bookmarkEnd w:id="344"/>
      <w:bookmarkEnd w:id="345"/>
      <w:bookmarkEnd w:id="346"/>
      <w:bookmarkEnd w:id="347"/>
      <w:bookmarkEnd w:id="348"/>
    </w:p>
    <w:p>
      <w:pPr>
        <w:spacing w:line="56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b/>
          <w:bCs/>
          <w:color w:val="auto"/>
          <w:sz w:val="24"/>
          <w:highlight w:val="none"/>
        </w:rPr>
        <w:t>（供应商符合条件时填写，不符合时可不附此函）</w:t>
      </w:r>
    </w:p>
    <w:p>
      <w:pPr>
        <w:rPr>
          <w:rFonts w:ascii="微软雅黑" w:hAnsi="微软雅黑" w:eastAsia="微软雅黑" w:cs="微软雅黑"/>
          <w:color w:val="auto"/>
          <w:highlight w:val="none"/>
        </w:rPr>
      </w:pPr>
    </w:p>
    <w:p>
      <w:pPr>
        <w:spacing w:line="560" w:lineRule="exact"/>
        <w:ind w:firstLine="567"/>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服务，或者提供其他残疾人福利性单位制造的服务（不包括使用非残疾人福利性单位注册商标的服务）。</w:t>
      </w:r>
    </w:p>
    <w:p>
      <w:pPr>
        <w:spacing w:line="560" w:lineRule="exact"/>
        <w:ind w:left="1080" w:leftChars="257" w:hanging="540"/>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本单位对上述声明的真实性负责。如有虚假，将依法承担相应责任。</w:t>
      </w:r>
    </w:p>
    <w:p>
      <w:pPr>
        <w:spacing w:line="560" w:lineRule="exact"/>
        <w:ind w:left="1080" w:leftChars="257" w:hanging="540"/>
        <w:jc w:val="center"/>
        <w:rPr>
          <w:rFonts w:ascii="微软雅黑" w:hAnsi="微软雅黑" w:eastAsia="微软雅黑" w:cs="微软雅黑"/>
          <w:color w:val="auto"/>
          <w:kern w:val="0"/>
          <w:sz w:val="24"/>
          <w:highlight w:val="none"/>
        </w:rPr>
      </w:pPr>
    </w:p>
    <w:p>
      <w:pPr>
        <w:spacing w:line="560" w:lineRule="exact"/>
        <w:ind w:left="1080" w:leftChars="257" w:hanging="540"/>
        <w:jc w:val="center"/>
        <w:rPr>
          <w:rFonts w:ascii="微软雅黑" w:hAnsi="微软雅黑" w:eastAsia="微软雅黑" w:cs="微软雅黑"/>
          <w:color w:val="auto"/>
          <w:kern w:val="0"/>
          <w:sz w:val="24"/>
          <w:highlight w:val="none"/>
        </w:rPr>
      </w:pPr>
    </w:p>
    <w:p>
      <w:pPr>
        <w:spacing w:line="560" w:lineRule="exact"/>
        <w:ind w:left="1080" w:leftChars="257" w:hanging="540"/>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xml:space="preserve">              残疾人福利性单位名称（盖单位章）：</w:t>
      </w:r>
    </w:p>
    <w:p>
      <w:pPr>
        <w:spacing w:line="560" w:lineRule="exact"/>
        <w:ind w:left="1080" w:leftChars="257" w:hanging="540"/>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xml:space="preserve">              日  期：</w:t>
      </w:r>
    </w:p>
    <w:p>
      <w:pPr>
        <w:spacing w:line="560" w:lineRule="exact"/>
        <w:ind w:left="1080" w:leftChars="257" w:hanging="540"/>
        <w:jc w:val="center"/>
        <w:rPr>
          <w:rFonts w:ascii="微软雅黑" w:hAnsi="微软雅黑" w:eastAsia="微软雅黑" w:cs="微软雅黑"/>
          <w:b/>
          <w:color w:val="auto"/>
          <w:kern w:val="0"/>
          <w:sz w:val="24"/>
          <w:highlight w:val="none"/>
        </w:rPr>
      </w:pPr>
    </w:p>
    <w:p>
      <w:pPr>
        <w:spacing w:line="560" w:lineRule="exact"/>
        <w:ind w:left="1080" w:leftChars="257" w:hanging="540"/>
        <w:jc w:val="center"/>
        <w:rPr>
          <w:rFonts w:ascii="微软雅黑" w:hAnsi="微软雅黑" w:eastAsia="微软雅黑" w:cs="微软雅黑"/>
          <w:b/>
          <w:color w:val="auto"/>
          <w:kern w:val="0"/>
          <w:sz w:val="24"/>
          <w:highlight w:val="none"/>
        </w:rPr>
      </w:pPr>
    </w:p>
    <w:p>
      <w:pPr>
        <w:spacing w:line="560" w:lineRule="exact"/>
        <w:ind w:left="1080" w:leftChars="257" w:hanging="540"/>
        <w:jc w:val="center"/>
        <w:rPr>
          <w:rFonts w:ascii="微软雅黑" w:hAnsi="微软雅黑" w:eastAsia="微软雅黑" w:cs="微软雅黑"/>
          <w:b/>
          <w:color w:val="auto"/>
          <w:kern w:val="0"/>
          <w:sz w:val="24"/>
          <w:highlight w:val="none"/>
        </w:rPr>
      </w:pPr>
    </w:p>
    <w:p>
      <w:pPr>
        <w:spacing w:line="560" w:lineRule="exact"/>
        <w:ind w:left="1080" w:leftChars="257" w:hanging="540"/>
        <w:jc w:val="center"/>
        <w:rPr>
          <w:rFonts w:ascii="微软雅黑" w:hAnsi="微软雅黑" w:eastAsia="微软雅黑" w:cs="微软雅黑"/>
          <w:b/>
          <w:color w:val="auto"/>
          <w:kern w:val="0"/>
          <w:sz w:val="24"/>
          <w:highlight w:val="none"/>
        </w:rPr>
      </w:pPr>
    </w:p>
    <w:p>
      <w:pPr>
        <w:spacing w:line="560" w:lineRule="exact"/>
        <w:rPr>
          <w:rFonts w:ascii="微软雅黑" w:hAnsi="微软雅黑" w:eastAsia="微软雅黑" w:cs="微软雅黑"/>
          <w:b/>
          <w:color w:val="auto"/>
          <w:kern w:val="0"/>
          <w:sz w:val="24"/>
          <w:highlight w:val="none"/>
        </w:rPr>
      </w:pPr>
    </w:p>
    <w:p>
      <w:pPr>
        <w:spacing w:line="560" w:lineRule="exact"/>
        <w:ind w:left="1080" w:leftChars="257" w:hanging="540"/>
        <w:jc w:val="center"/>
        <w:rPr>
          <w:rFonts w:ascii="微软雅黑" w:hAnsi="微软雅黑" w:eastAsia="微软雅黑" w:cs="微软雅黑"/>
          <w:b/>
          <w:color w:val="auto"/>
          <w:kern w:val="0"/>
          <w:sz w:val="24"/>
          <w:highlight w:val="none"/>
        </w:rPr>
      </w:pPr>
    </w:p>
    <w:p>
      <w:pPr>
        <w:pStyle w:val="2"/>
        <w:spacing w:line="560" w:lineRule="exact"/>
        <w:rPr>
          <w:rFonts w:ascii="微软雅黑" w:hAnsi="微软雅黑" w:eastAsia="微软雅黑" w:cs="微软雅黑"/>
          <w:color w:val="auto"/>
          <w:szCs w:val="24"/>
          <w:highlight w:val="none"/>
        </w:rPr>
      </w:pPr>
    </w:p>
    <w:p>
      <w:pPr>
        <w:rPr>
          <w:rFonts w:ascii="微软雅黑" w:hAnsi="微软雅黑" w:eastAsia="微软雅黑" w:cs="微软雅黑"/>
          <w:color w:val="auto"/>
          <w:sz w:val="24"/>
          <w:highlight w:val="none"/>
        </w:rPr>
      </w:pPr>
      <w:bookmarkStart w:id="349" w:name="_Toc515647827"/>
      <w:bookmarkStart w:id="350" w:name="_Toc27193"/>
      <w:bookmarkStart w:id="351" w:name="_Toc30795"/>
      <w:bookmarkStart w:id="352" w:name="_Toc28099"/>
      <w:r>
        <w:rPr>
          <w:rFonts w:hint="eastAsia" w:ascii="微软雅黑" w:hAnsi="微软雅黑" w:eastAsia="微软雅黑" w:cs="微软雅黑"/>
          <w:color w:val="auto"/>
          <w:sz w:val="24"/>
          <w:highlight w:val="none"/>
        </w:rPr>
        <w:br w:type="page"/>
      </w:r>
    </w:p>
    <w:p>
      <w:pPr>
        <w:widowControl/>
        <w:spacing w:before="100" w:beforeAutospacing="1" w:after="100" w:afterAutospacing="1" w:line="500" w:lineRule="exact"/>
        <w:jc w:val="center"/>
        <w:rPr>
          <w:rFonts w:ascii="微软雅黑" w:hAnsi="微软雅黑" w:eastAsia="微软雅黑" w:cs="微软雅黑"/>
          <w:b/>
          <w:bCs/>
          <w:color w:val="auto"/>
          <w:sz w:val="28"/>
          <w:szCs w:val="28"/>
          <w:highlight w:val="none"/>
        </w:rPr>
      </w:pPr>
      <w:r>
        <w:rPr>
          <w:rFonts w:hint="eastAsia" w:ascii="微软雅黑" w:hAnsi="微软雅黑" w:eastAsia="微软雅黑" w:cs="微软雅黑"/>
          <w:b/>
          <w:bCs/>
          <w:color w:val="auto"/>
          <w:sz w:val="28"/>
          <w:szCs w:val="28"/>
          <w:highlight w:val="none"/>
        </w:rPr>
        <w:t>投标人关联单位的说明</w:t>
      </w:r>
      <w:bookmarkEnd w:id="349"/>
      <w:bookmarkEnd w:id="350"/>
      <w:bookmarkEnd w:id="351"/>
      <w:bookmarkEnd w:id="352"/>
    </w:p>
    <w:p>
      <w:pPr>
        <w:spacing w:line="56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b/>
          <w:bCs/>
          <w:color w:val="auto"/>
          <w:sz w:val="24"/>
          <w:highlight w:val="none"/>
        </w:rPr>
        <w:t>（供应商有此情况时填写，无此情况时可不附此说明）</w:t>
      </w:r>
    </w:p>
    <w:p>
      <w:pPr>
        <w:pStyle w:val="2"/>
        <w:spacing w:line="560" w:lineRule="exact"/>
        <w:jc w:val="center"/>
        <w:rPr>
          <w:rFonts w:ascii="微软雅黑" w:hAnsi="微软雅黑" w:eastAsia="微软雅黑" w:cs="微软雅黑"/>
          <w:color w:val="auto"/>
          <w:szCs w:val="24"/>
          <w:highlight w:val="none"/>
        </w:rPr>
      </w:pPr>
    </w:p>
    <w:p>
      <w:pPr>
        <w:pStyle w:val="2"/>
        <w:spacing w:line="560" w:lineRule="exact"/>
        <w:ind w:firstLine="480" w:firstLineChars="200"/>
        <w:rPr>
          <w:rFonts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说明：投标人应当如实披露与本单位存在下列关联关系的单位名称：</w:t>
      </w:r>
    </w:p>
    <w:p>
      <w:pPr>
        <w:pStyle w:val="2"/>
        <w:numPr>
          <w:ilvl w:val="0"/>
          <w:numId w:val="10"/>
        </w:numPr>
        <w:spacing w:line="560" w:lineRule="exact"/>
        <w:ind w:firstLine="480" w:firstLineChars="200"/>
        <w:rPr>
          <w:rFonts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与投标人单位负责人为同一人的其他单位；</w:t>
      </w:r>
      <w:r>
        <w:rPr>
          <w:rFonts w:hint="eastAsia" w:ascii="微软雅黑" w:hAnsi="微软雅黑" w:eastAsia="微软雅黑" w:cs="微软雅黑"/>
          <w:color w:val="auto"/>
          <w:szCs w:val="24"/>
          <w:highlight w:val="none"/>
        </w:rPr>
        <w:br w:type="textWrapping"/>
      </w:r>
      <w:r>
        <w:rPr>
          <w:rFonts w:hint="eastAsia" w:ascii="微软雅黑" w:hAnsi="微软雅黑" w:eastAsia="微软雅黑" w:cs="微软雅黑"/>
          <w:color w:val="auto"/>
          <w:szCs w:val="24"/>
          <w:highlight w:val="none"/>
        </w:rPr>
        <w:t xml:space="preserve">    （2）与投标人存在直接控股、管理关系的其他单位。</w:t>
      </w:r>
    </w:p>
    <w:p>
      <w:pPr>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br w:type="page"/>
      </w:r>
    </w:p>
    <w:p>
      <w:pPr>
        <w:pStyle w:val="3"/>
        <w:tabs>
          <w:tab w:val="left" w:pos="0"/>
        </w:tabs>
        <w:spacing w:before="0" w:after="0" w:line="360" w:lineRule="auto"/>
        <w:rPr>
          <w:rFonts w:hAnsi="宋体" w:cs="宋体"/>
          <w:color w:val="auto"/>
          <w:highlight w:val="none"/>
        </w:rPr>
      </w:pPr>
      <w:r>
        <w:rPr>
          <w:rFonts w:hint="eastAsia" w:ascii="微软雅黑" w:hAnsi="微软雅黑" w:eastAsia="微软雅黑" w:cs="微软雅黑"/>
          <w:color w:val="auto"/>
          <w:highlight w:val="none"/>
        </w:rPr>
        <w:t>第3章  投标邀请</w:t>
      </w:r>
      <w:bookmarkEnd w:id="334"/>
      <w:bookmarkEnd w:id="335"/>
      <w:bookmarkEnd w:id="336"/>
      <w:bookmarkEnd w:id="337"/>
      <w:bookmarkEnd w:id="338"/>
      <w:bookmarkEnd w:id="339"/>
      <w:bookmarkEnd w:id="340"/>
      <w:bookmarkEnd w:id="341"/>
      <w:bookmarkEnd w:id="342"/>
      <w:bookmarkStart w:id="353" w:name="_Toc515647830"/>
      <w:bookmarkStart w:id="354" w:name="_Toc31583"/>
      <w:bookmarkStart w:id="355" w:name="_Toc5272"/>
      <w:bookmarkStart w:id="356" w:name="_Toc507399903"/>
      <w:bookmarkStart w:id="357" w:name="_Toc10488"/>
      <w:bookmarkStart w:id="358" w:name="_Toc216582823"/>
      <w:bookmarkStart w:id="359" w:name="_Toc512937850"/>
    </w:p>
    <w:p>
      <w:pPr>
        <w:pStyle w:val="3"/>
        <w:tabs>
          <w:tab w:val="left" w:pos="0"/>
        </w:tabs>
        <w:spacing w:line="560" w:lineRule="exact"/>
        <w:rPr>
          <w:rFonts w:ascii="微软雅黑" w:hAnsi="微软雅黑" w:eastAsia="微软雅黑" w:cs="微软雅黑"/>
          <w:bCs/>
          <w:color w:val="auto"/>
          <w:sz w:val="24"/>
          <w:szCs w:val="24"/>
          <w:highlight w:val="none"/>
        </w:rPr>
      </w:pPr>
      <w:bookmarkStart w:id="360" w:name="_Toc28359011"/>
      <w:bookmarkStart w:id="361" w:name="_Toc35393797"/>
      <w:r>
        <w:rPr>
          <w:rFonts w:hint="eastAsia" w:ascii="微软雅黑" w:hAnsi="微软雅黑" w:eastAsia="微软雅黑" w:cs="微软雅黑"/>
          <w:bCs/>
          <w:color w:val="auto"/>
          <w:sz w:val="24"/>
          <w:szCs w:val="24"/>
          <w:highlight w:val="none"/>
        </w:rPr>
        <w:t>疏勒县乡村振兴平台</w:t>
      </w:r>
    </w:p>
    <w:p>
      <w:pPr>
        <w:pStyle w:val="3"/>
        <w:tabs>
          <w:tab w:val="left" w:pos="0"/>
        </w:tabs>
        <w:spacing w:line="560" w:lineRule="exact"/>
        <w:rPr>
          <w:rFonts w:ascii="微软雅黑" w:hAnsi="微软雅黑" w:eastAsia="微软雅黑" w:cs="微软雅黑"/>
          <w:color w:val="auto"/>
          <w:sz w:val="24"/>
          <w:szCs w:val="24"/>
          <w:highlight w:val="none"/>
        </w:rPr>
      </w:pPr>
      <w:r>
        <w:rPr>
          <w:rFonts w:hint="eastAsia" w:ascii="微软雅黑" w:hAnsi="微软雅黑" w:eastAsia="微软雅黑" w:cs="微软雅黑"/>
          <w:bCs/>
          <w:color w:val="auto"/>
          <w:sz w:val="24"/>
          <w:szCs w:val="24"/>
          <w:highlight w:val="none"/>
        </w:rPr>
        <w:t>招标</w:t>
      </w:r>
      <w:r>
        <w:rPr>
          <w:rFonts w:hint="eastAsia" w:ascii="微软雅黑" w:hAnsi="微软雅黑" w:eastAsia="微软雅黑" w:cs="微软雅黑"/>
          <w:color w:val="auto"/>
          <w:sz w:val="24"/>
          <w:szCs w:val="24"/>
          <w:highlight w:val="none"/>
        </w:rPr>
        <w:t>公告</w:t>
      </w:r>
      <w:bookmarkEnd w:id="360"/>
      <w:bookmarkEnd w:id="361"/>
    </w:p>
    <w:p>
      <w:pPr>
        <w:pBdr>
          <w:top w:val="single" w:color="auto" w:sz="4" w:space="1"/>
          <w:left w:val="single" w:color="auto" w:sz="4" w:space="4"/>
          <w:bottom w:val="single" w:color="auto" w:sz="4" w:space="1"/>
          <w:right w:val="single" w:color="auto" w:sz="4" w:space="4"/>
        </w:pBdr>
        <w:spacing w:line="56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项目概况</w:t>
      </w:r>
    </w:p>
    <w:p>
      <w:pPr>
        <w:pBdr>
          <w:top w:val="single" w:color="auto" w:sz="4" w:space="1"/>
          <w:left w:val="single" w:color="auto" w:sz="4" w:space="4"/>
          <w:bottom w:val="single" w:color="auto" w:sz="4" w:space="1"/>
          <w:right w:val="single" w:color="auto" w:sz="4" w:space="4"/>
        </w:pBdr>
        <w:spacing w:line="5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shd w:val="clear" w:color="auto" w:fill="FFFFFF"/>
        </w:rPr>
        <w:t> </w:t>
      </w:r>
      <w:r>
        <w:rPr>
          <w:rFonts w:hint="eastAsia" w:ascii="微软雅黑" w:hAnsi="微软雅黑" w:eastAsia="微软雅黑" w:cs="微软雅黑"/>
          <w:b/>
          <w:bCs/>
          <w:color w:val="auto"/>
          <w:sz w:val="24"/>
          <w:highlight w:val="none"/>
          <w:u w:val="single"/>
        </w:rPr>
        <w:t>疏勒县乡村振兴平台</w:t>
      </w:r>
      <w:r>
        <w:rPr>
          <w:rFonts w:hint="eastAsia" w:ascii="微软雅黑" w:hAnsi="微软雅黑" w:eastAsia="微软雅黑" w:cs="微软雅黑"/>
          <w:color w:val="auto"/>
          <w:sz w:val="24"/>
          <w:highlight w:val="none"/>
          <w:shd w:val="clear" w:color="auto" w:fill="FFFFFF"/>
        </w:rPr>
        <w:t>的潜在投标人应在新疆政府采购网获取招标文件，并于</w:t>
      </w:r>
      <w:r>
        <w:rPr>
          <w:rFonts w:hint="eastAsia" w:ascii="微软雅黑" w:hAnsi="微软雅黑" w:eastAsia="微软雅黑" w:cs="微软雅黑"/>
          <w:color w:val="auto"/>
          <w:sz w:val="24"/>
          <w:highlight w:val="none"/>
        </w:rPr>
        <w:t>2021年12月1</w:t>
      </w:r>
      <w:r>
        <w:rPr>
          <w:rFonts w:hint="eastAsia" w:ascii="微软雅黑" w:hAnsi="微软雅黑" w:eastAsia="微软雅黑" w:cs="微软雅黑"/>
          <w:color w:val="auto"/>
          <w:sz w:val="24"/>
          <w:highlight w:val="none"/>
          <w:lang w:val="en-US" w:eastAsia="zh-CN"/>
        </w:rPr>
        <w:t>5</w:t>
      </w:r>
      <w:r>
        <w:rPr>
          <w:rFonts w:hint="eastAsia" w:ascii="微软雅黑" w:hAnsi="微软雅黑" w:eastAsia="微软雅黑" w:cs="微软雅黑"/>
          <w:color w:val="auto"/>
          <w:sz w:val="24"/>
          <w:highlight w:val="none"/>
        </w:rPr>
        <w:t>日11点00分</w:t>
      </w:r>
      <w:r>
        <w:rPr>
          <w:rFonts w:hint="eastAsia" w:ascii="微软雅黑" w:hAnsi="微软雅黑" w:eastAsia="微软雅黑" w:cs="微软雅黑"/>
          <w:color w:val="auto"/>
          <w:sz w:val="24"/>
          <w:highlight w:val="none"/>
          <w:shd w:val="clear" w:color="auto" w:fill="FFFFFF"/>
        </w:rPr>
        <w:t>（北京时间）前递交投标文件。</w:t>
      </w:r>
    </w:p>
    <w:p>
      <w:pPr>
        <w:pStyle w:val="4"/>
        <w:autoSpaceDE/>
        <w:autoSpaceDN/>
        <w:adjustRightInd/>
        <w:spacing w:line="560" w:lineRule="exact"/>
        <w:jc w:val="both"/>
        <w:rPr>
          <w:rFonts w:ascii="微软雅黑" w:hAnsi="微软雅黑" w:eastAsia="微软雅黑" w:cs="微软雅黑"/>
          <w:b/>
          <w:bCs/>
          <w:color w:val="auto"/>
          <w:sz w:val="24"/>
          <w:szCs w:val="24"/>
          <w:highlight w:val="none"/>
        </w:rPr>
      </w:pPr>
      <w:bookmarkStart w:id="362" w:name="_Toc28359012"/>
      <w:bookmarkStart w:id="363" w:name="_Toc35393798"/>
      <w:bookmarkStart w:id="364" w:name="_Toc28359089"/>
      <w:bookmarkStart w:id="365" w:name="_Toc35393629"/>
      <w:r>
        <w:rPr>
          <w:rFonts w:hint="eastAsia" w:ascii="微软雅黑" w:hAnsi="微软雅黑" w:eastAsia="微软雅黑" w:cs="微软雅黑"/>
          <w:b/>
          <w:bCs/>
          <w:color w:val="auto"/>
          <w:sz w:val="24"/>
          <w:szCs w:val="24"/>
          <w:highlight w:val="none"/>
        </w:rPr>
        <w:t>一、项目基本情况</w:t>
      </w:r>
      <w:bookmarkEnd w:id="362"/>
      <w:bookmarkEnd w:id="363"/>
      <w:bookmarkEnd w:id="364"/>
      <w:bookmarkEnd w:id="365"/>
    </w:p>
    <w:p>
      <w:pPr>
        <w:spacing w:line="5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项目编号：XJZH-（GKZB）007</w:t>
      </w:r>
    </w:p>
    <w:p>
      <w:pPr>
        <w:spacing w:line="5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项目名称：疏勒县乡村振兴平台</w:t>
      </w:r>
    </w:p>
    <w:p>
      <w:pPr>
        <w:spacing w:line="5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采购方式：公开招标 </w:t>
      </w:r>
    </w:p>
    <w:p>
      <w:pPr>
        <w:spacing w:line="5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预算金额: 1030万元（人民币）</w:t>
      </w:r>
    </w:p>
    <w:p>
      <w:pPr>
        <w:spacing w:line="5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最高限价：1030万元（人民币）</w:t>
      </w:r>
    </w:p>
    <w:p>
      <w:pPr>
        <w:spacing w:line="5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采购需求：1、采购标的名称：疏勒县乡村振兴平台。2、采购标的内容： 疏勒县乡村振兴平台（具体详见招标文件采购需求）。3、供货时间：合同签订并接到采购人通知后 </w:t>
      </w:r>
      <w:r>
        <w:rPr>
          <w:rFonts w:hint="eastAsia" w:ascii="微软雅黑" w:hAnsi="微软雅黑" w:eastAsia="微软雅黑" w:cs="微软雅黑"/>
          <w:b/>
          <w:bCs/>
          <w:color w:val="auto"/>
          <w:sz w:val="24"/>
          <w:highlight w:val="none"/>
        </w:rPr>
        <w:t>60</w:t>
      </w:r>
      <w:r>
        <w:rPr>
          <w:rFonts w:hint="eastAsia" w:ascii="微软雅黑" w:hAnsi="微软雅黑" w:eastAsia="微软雅黑" w:cs="微软雅黑"/>
          <w:color w:val="auto"/>
          <w:sz w:val="24"/>
          <w:highlight w:val="none"/>
        </w:rPr>
        <w:t>日历天内软、硬供货并调试验收完毕。4、服务地点：采购人指定位置。5、质保期：自验收合格后提供3年的免费质量保证</w:t>
      </w:r>
      <w:r>
        <w:rPr>
          <w:rFonts w:hint="eastAsia" w:ascii="微软雅黑" w:hAnsi="微软雅黑" w:eastAsia="微软雅黑" w:cs="微软雅黑"/>
          <w:b/>
          <w:bCs/>
          <w:color w:val="auto"/>
          <w:sz w:val="24"/>
          <w:highlight w:val="none"/>
        </w:rPr>
        <w:t>并提供3年的系统维护服务</w:t>
      </w:r>
      <w:r>
        <w:rPr>
          <w:rFonts w:hint="eastAsia" w:ascii="微软雅黑" w:hAnsi="微软雅黑" w:eastAsia="微软雅黑" w:cs="微软雅黑"/>
          <w:color w:val="auto"/>
          <w:sz w:val="24"/>
          <w:highlight w:val="none"/>
        </w:rPr>
        <w:t>（若国家规定或行业标准高于长于以上要求的，执行国家规定或行业标准）。6、服务要求：①质保期内，供货方需对所供货物免费进行维修、维护，供货方在收到用户的维修服务要求后1小时内需做出回应，</w:t>
      </w:r>
      <w:r>
        <w:rPr>
          <w:rFonts w:ascii="微软雅黑" w:hAnsi="微软雅黑" w:eastAsia="微软雅黑" w:cs="微软雅黑"/>
          <w:color w:val="auto"/>
          <w:sz w:val="24"/>
          <w:highlight w:val="none"/>
        </w:rPr>
        <w:t>6</w:t>
      </w:r>
      <w:r>
        <w:rPr>
          <w:rFonts w:hint="eastAsia" w:ascii="微软雅黑" w:hAnsi="微软雅黑" w:eastAsia="微软雅黑" w:cs="微软雅黑"/>
          <w:color w:val="auto"/>
          <w:sz w:val="24"/>
          <w:highlight w:val="none"/>
        </w:rPr>
        <w:t>小时内到达用户现场进行维修。供货方应向采购人提供免费平台使用培训服务。②维修零配件要求：供货方安装的任何零配件，必须是其原设备厂商生产，且未经使用和未经修复的。</w:t>
      </w:r>
    </w:p>
    <w:p>
      <w:pPr>
        <w:spacing w:line="5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合同履行期限：合同签订之日起至质保期结束。</w:t>
      </w:r>
    </w:p>
    <w:p>
      <w:pPr>
        <w:spacing w:line="5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本项目不接受联合体</w:t>
      </w:r>
      <w:bookmarkStart w:id="366" w:name="_Toc28359013"/>
      <w:bookmarkStart w:id="367" w:name="_Toc28359090"/>
      <w:bookmarkStart w:id="368" w:name="_Toc35393630"/>
      <w:bookmarkStart w:id="369" w:name="_Toc35393799"/>
      <w:r>
        <w:rPr>
          <w:rFonts w:hint="eastAsia" w:ascii="微软雅黑" w:hAnsi="微软雅黑" w:eastAsia="微软雅黑" w:cs="微软雅黑"/>
          <w:color w:val="auto"/>
          <w:sz w:val="24"/>
          <w:highlight w:val="none"/>
        </w:rPr>
        <w:t>。</w:t>
      </w:r>
    </w:p>
    <w:p>
      <w:pPr>
        <w:numPr>
          <w:ilvl w:val="0"/>
          <w:numId w:val="11"/>
        </w:numPr>
        <w:spacing w:line="560" w:lineRule="exact"/>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申请人的资格要求：</w:t>
      </w:r>
      <w:bookmarkEnd w:id="366"/>
      <w:bookmarkEnd w:id="367"/>
      <w:bookmarkEnd w:id="368"/>
      <w:bookmarkEnd w:id="369"/>
      <w:bookmarkStart w:id="370" w:name="_Toc35393631"/>
      <w:bookmarkStart w:id="371" w:name="_Toc35393800"/>
      <w:bookmarkStart w:id="372" w:name="_Toc28359091"/>
      <w:bookmarkStart w:id="373" w:name="_Toc28359014"/>
    </w:p>
    <w:p>
      <w:pPr>
        <w:pStyle w:val="2"/>
        <w:spacing w:line="560" w:lineRule="exact"/>
        <w:ind w:firstLine="480" w:firstLineChars="200"/>
        <w:rPr>
          <w:rFonts w:ascii="微软雅黑" w:hAnsi="微软雅黑" w:eastAsia="微软雅黑" w:cs="微软雅黑"/>
          <w:color w:val="auto"/>
          <w:kern w:val="2"/>
          <w:szCs w:val="24"/>
          <w:highlight w:val="none"/>
        </w:rPr>
      </w:pPr>
      <w:r>
        <w:rPr>
          <w:rFonts w:hint="eastAsia" w:ascii="微软雅黑" w:hAnsi="微软雅黑" w:eastAsia="微软雅黑" w:cs="微软雅黑"/>
          <w:color w:val="auto"/>
          <w:kern w:val="2"/>
          <w:szCs w:val="24"/>
          <w:highlight w:val="none"/>
        </w:rPr>
        <w:t>1.满足《中华人民共和国政府采购法》第二十二条规定；</w:t>
      </w:r>
    </w:p>
    <w:p>
      <w:pPr>
        <w:pStyle w:val="2"/>
        <w:spacing w:line="560" w:lineRule="exact"/>
        <w:ind w:firstLine="480" w:firstLineChars="200"/>
        <w:rPr>
          <w:rFonts w:ascii="微软雅黑" w:hAnsi="微软雅黑" w:eastAsia="微软雅黑" w:cs="微软雅黑"/>
          <w:color w:val="auto"/>
          <w:kern w:val="2"/>
          <w:szCs w:val="24"/>
          <w:highlight w:val="none"/>
        </w:rPr>
      </w:pPr>
      <w:r>
        <w:rPr>
          <w:rFonts w:hint="eastAsia" w:ascii="微软雅黑" w:hAnsi="微软雅黑" w:eastAsia="微软雅黑" w:cs="微软雅黑"/>
          <w:color w:val="auto"/>
          <w:kern w:val="2"/>
          <w:szCs w:val="24"/>
          <w:highlight w:val="none"/>
        </w:rPr>
        <w:t>2.落实政府采购政策需满足的资格要求：根据《政府采购促进中小企业发展暂行办法》（财库【2020】46号）、《财政部司法部关于政府采购支持监狱企业发展有关问题的通知》（财库【2014】68号）和《三部门联合发布关于促进残疾人就业政府采购政策的通知》（财库〔2017〕141号）的规定，对满足条件且在投标文件中提交了《投标人企业类型声明函》或省级以上监狱管理局、戒毒管理局（含新疆生产建设兵团）出具的属于监狱企业的证明文件的投标人，享受政府采购政策；</w:t>
      </w:r>
    </w:p>
    <w:p>
      <w:pPr>
        <w:pStyle w:val="2"/>
        <w:spacing w:line="560" w:lineRule="exact"/>
        <w:ind w:firstLine="480" w:firstLineChars="200"/>
        <w:rPr>
          <w:rFonts w:ascii="微软雅黑" w:hAnsi="微软雅黑" w:eastAsia="微软雅黑" w:cs="微软雅黑"/>
          <w:color w:val="auto"/>
          <w:szCs w:val="24"/>
          <w:highlight w:val="none"/>
        </w:rPr>
      </w:pPr>
      <w:r>
        <w:rPr>
          <w:rFonts w:hint="eastAsia" w:ascii="微软雅黑" w:hAnsi="微软雅黑" w:eastAsia="微软雅黑" w:cs="微软雅黑"/>
          <w:color w:val="auto"/>
          <w:kern w:val="2"/>
          <w:szCs w:val="24"/>
          <w:highlight w:val="none"/>
        </w:rPr>
        <w:t>3.本项目的特定资格要求：①在“信用中国”（www.creditchina.gov.cn）和中国政府采购网（www.ccgp.gov.cn）网站上未被列入失信被执行人、重大税收违法案件当事人名单、政府采购严重违法失信行为记录名单（财库[2016]125号）（需提供网站查询截图并加盖公章）；②本项目不接受进口产品。</w:t>
      </w:r>
    </w:p>
    <w:p>
      <w:pPr>
        <w:spacing w:line="560" w:lineRule="exact"/>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三、获取采购文件</w:t>
      </w:r>
      <w:bookmarkEnd w:id="370"/>
      <w:bookmarkEnd w:id="371"/>
      <w:bookmarkEnd w:id="372"/>
      <w:bookmarkEnd w:id="373"/>
    </w:p>
    <w:p>
      <w:pPr>
        <w:spacing w:line="5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1、时间：2021年11月2</w:t>
      </w:r>
      <w:r>
        <w:rPr>
          <w:rFonts w:hint="eastAsia" w:ascii="微软雅黑" w:hAnsi="微软雅黑" w:eastAsia="微软雅黑" w:cs="微软雅黑"/>
          <w:color w:val="auto"/>
          <w:sz w:val="24"/>
          <w:highlight w:val="none"/>
          <w:lang w:val="en-US" w:eastAsia="zh-CN"/>
        </w:rPr>
        <w:t>4</w:t>
      </w:r>
      <w:r>
        <w:rPr>
          <w:rFonts w:hint="eastAsia" w:ascii="微软雅黑" w:hAnsi="微软雅黑" w:eastAsia="微软雅黑" w:cs="微软雅黑"/>
          <w:color w:val="auto"/>
          <w:sz w:val="24"/>
          <w:highlight w:val="none"/>
        </w:rPr>
        <w:t>日至2021年</w:t>
      </w:r>
      <w:r>
        <w:rPr>
          <w:rFonts w:hint="eastAsia" w:ascii="微软雅黑" w:hAnsi="微软雅黑" w:eastAsia="微软雅黑" w:cs="微软雅黑"/>
          <w:color w:val="auto"/>
          <w:sz w:val="24"/>
          <w:highlight w:val="none"/>
          <w:lang w:val="en-US" w:eastAsia="zh-CN"/>
        </w:rPr>
        <w:t>12</w:t>
      </w:r>
      <w:r>
        <w:rPr>
          <w:rFonts w:hint="eastAsia" w:ascii="微软雅黑" w:hAnsi="微软雅黑" w:eastAsia="微软雅黑" w:cs="微软雅黑"/>
          <w:color w:val="auto"/>
          <w:sz w:val="24"/>
          <w:highlight w:val="none"/>
        </w:rPr>
        <w:t>月</w:t>
      </w:r>
      <w:r>
        <w:rPr>
          <w:rFonts w:hint="eastAsia" w:ascii="微软雅黑" w:hAnsi="微软雅黑" w:eastAsia="微软雅黑" w:cs="微软雅黑"/>
          <w:color w:val="auto"/>
          <w:sz w:val="24"/>
          <w:highlight w:val="none"/>
          <w:lang w:val="en-US" w:eastAsia="zh-CN"/>
        </w:rPr>
        <w:t>01</w:t>
      </w:r>
      <w:r>
        <w:rPr>
          <w:rFonts w:hint="eastAsia" w:ascii="微软雅黑" w:hAnsi="微软雅黑" w:eastAsia="微软雅黑" w:cs="微软雅黑"/>
          <w:color w:val="auto"/>
          <w:sz w:val="24"/>
          <w:highlight w:val="none"/>
        </w:rPr>
        <w:t>日，每天10:00至14:00，下午15:30至19:30（北京时间，法定节假日除外）。</w:t>
      </w:r>
      <w:bookmarkStart w:id="730" w:name="_GoBack"/>
      <w:bookmarkEnd w:id="730"/>
    </w:p>
    <w:p>
      <w:pPr>
        <w:spacing w:line="5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2、地点：新疆政府采购网线上获取。</w:t>
      </w:r>
    </w:p>
    <w:p>
      <w:pPr>
        <w:spacing w:line="5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3、招标文件售价：0元（人民币）。</w:t>
      </w:r>
    </w:p>
    <w:p>
      <w:pPr>
        <w:spacing w:line="5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4、招标文件获取方式：投标人应登陆新疆政府采购网政采云平台http://www.ccgp-xinjiang.gov.cn/，在线申请获取招标文件（登录政府采购云平台→ 项目采购 → 获取招标文件→申请，审核通过后可下载招标文件，如有操作性问题，可与政采云在线客服进行咨询，咨询电话：400-881-7190）。</w:t>
      </w:r>
    </w:p>
    <w:p>
      <w:pPr>
        <w:pStyle w:val="34"/>
        <w:spacing w:line="560" w:lineRule="exact"/>
        <w:ind w:firstLine="480"/>
        <w:jc w:val="lef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5、获取招标文件需提供资料原件：(1)企业法人或企业负责人或事业法人或其他组织或自然人资格证明文件；(2)授权委托人投标的需提供法人（负责人）代表资格证明书及授权委托书、被授权人身份证；法定代表人（负责人）投标的需提供法人（负责人）代表资格证明书及法人（负责人）身份证；授权委托人需提供本人在本单位近三个月单位社保缴费凭证和个人明细表；(3)2020年度财务审计报告（新公司或其他组织和自然人提供银行出具的资信证明）；(4)未被“信用中国”（www.creditchina.gov.cn）列入失信被执行人和重大税收违法案件当事人名单，未被“中国政府采购网”（www.ccgp.gov.cn） 列入政府采购严重违法失信行为记录名单，未在财政部门或行业主管部门禁止参加政府采购活动时间及地域范围内；（5）提供本单位在参加政府采购活动中前三年内无重大违法记录的承诺书；（6）提供针对本次采购项目《反商业贿赂承诺书》；（7）提供税务部门出具的近三个月的完税证明（或申报记录）。</w:t>
      </w:r>
    </w:p>
    <w:p>
      <w:pPr>
        <w:pStyle w:val="4"/>
        <w:autoSpaceDE/>
        <w:autoSpaceDN/>
        <w:adjustRightInd/>
        <w:spacing w:line="560" w:lineRule="exact"/>
        <w:jc w:val="both"/>
        <w:rPr>
          <w:rFonts w:ascii="微软雅黑" w:hAnsi="微软雅黑" w:eastAsia="微软雅黑" w:cs="微软雅黑"/>
          <w:b/>
          <w:bCs/>
          <w:color w:val="auto"/>
          <w:sz w:val="24"/>
          <w:szCs w:val="24"/>
          <w:highlight w:val="none"/>
        </w:rPr>
      </w:pPr>
      <w:bookmarkStart w:id="374" w:name="_Toc28359092"/>
      <w:bookmarkStart w:id="375" w:name="_Toc28359015"/>
      <w:bookmarkStart w:id="376" w:name="_Toc35393801"/>
      <w:bookmarkStart w:id="377" w:name="_Toc35393632"/>
      <w:r>
        <w:rPr>
          <w:rFonts w:hint="eastAsia" w:ascii="微软雅黑" w:hAnsi="微软雅黑" w:eastAsia="微软雅黑" w:cs="微软雅黑"/>
          <w:b/>
          <w:bCs/>
          <w:color w:val="auto"/>
          <w:sz w:val="24"/>
          <w:szCs w:val="24"/>
          <w:highlight w:val="none"/>
        </w:rPr>
        <w:t>四、</w:t>
      </w:r>
      <w:bookmarkEnd w:id="374"/>
      <w:bookmarkEnd w:id="375"/>
      <w:bookmarkEnd w:id="376"/>
      <w:bookmarkEnd w:id="377"/>
      <w:r>
        <w:rPr>
          <w:rFonts w:hint="eastAsia" w:ascii="微软雅黑" w:hAnsi="微软雅黑" w:eastAsia="微软雅黑" w:cs="微软雅黑"/>
          <w:b/>
          <w:bCs/>
          <w:color w:val="auto"/>
          <w:sz w:val="24"/>
          <w:szCs w:val="24"/>
          <w:highlight w:val="none"/>
        </w:rPr>
        <w:t>提交投标文件截止时间、开标时间和地点</w:t>
      </w:r>
    </w:p>
    <w:p>
      <w:pPr>
        <w:spacing w:line="56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提交投标文件截止时间：</w:t>
      </w:r>
      <w:r>
        <w:rPr>
          <w:rFonts w:hint="eastAsia" w:ascii="微软雅黑" w:hAnsi="微软雅黑" w:eastAsia="微软雅黑" w:cs="微软雅黑"/>
          <w:color w:val="auto"/>
          <w:sz w:val="24"/>
          <w:highlight w:val="none"/>
          <w:u w:val="single"/>
        </w:rPr>
        <w:t>2021年12月1</w:t>
      </w:r>
      <w:r>
        <w:rPr>
          <w:rFonts w:hint="eastAsia" w:ascii="微软雅黑" w:hAnsi="微软雅黑" w:eastAsia="微软雅黑" w:cs="微软雅黑"/>
          <w:color w:val="auto"/>
          <w:sz w:val="24"/>
          <w:highlight w:val="none"/>
          <w:u w:val="single"/>
          <w:lang w:val="en-US" w:eastAsia="zh-CN"/>
        </w:rPr>
        <w:t>5</w:t>
      </w:r>
      <w:r>
        <w:rPr>
          <w:rFonts w:hint="eastAsia" w:ascii="微软雅黑" w:hAnsi="微软雅黑" w:eastAsia="微软雅黑" w:cs="微软雅黑"/>
          <w:color w:val="auto"/>
          <w:sz w:val="24"/>
          <w:highlight w:val="none"/>
          <w:u w:val="single"/>
        </w:rPr>
        <w:t>日11点00分（</w:t>
      </w:r>
      <w:r>
        <w:rPr>
          <w:rFonts w:hint="eastAsia" w:ascii="微软雅黑" w:hAnsi="微软雅黑" w:eastAsia="微软雅黑" w:cs="微软雅黑"/>
          <w:color w:val="auto"/>
          <w:sz w:val="24"/>
          <w:highlight w:val="none"/>
        </w:rPr>
        <w:t>北京时间）</w:t>
      </w:r>
    </w:p>
    <w:p>
      <w:pPr>
        <w:pStyle w:val="2"/>
        <w:autoSpaceDE/>
        <w:autoSpaceDN/>
        <w:adjustRightInd/>
        <w:spacing w:line="560" w:lineRule="exact"/>
        <w:ind w:firstLine="480" w:firstLineChars="200"/>
        <w:rPr>
          <w:rFonts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开标时间：</w:t>
      </w:r>
      <w:r>
        <w:rPr>
          <w:rFonts w:hint="eastAsia" w:ascii="微软雅黑" w:hAnsi="微软雅黑" w:eastAsia="微软雅黑" w:cs="微软雅黑"/>
          <w:color w:val="auto"/>
          <w:kern w:val="2"/>
          <w:szCs w:val="24"/>
          <w:highlight w:val="none"/>
          <w:u w:val="single"/>
        </w:rPr>
        <w:t>2021年12月1</w:t>
      </w:r>
      <w:r>
        <w:rPr>
          <w:rFonts w:hint="eastAsia" w:ascii="微软雅黑" w:hAnsi="微软雅黑" w:eastAsia="微软雅黑" w:cs="微软雅黑"/>
          <w:color w:val="auto"/>
          <w:kern w:val="2"/>
          <w:szCs w:val="24"/>
          <w:highlight w:val="none"/>
          <w:u w:val="single"/>
          <w:lang w:val="en-US" w:eastAsia="zh-CN"/>
        </w:rPr>
        <w:t>5</w:t>
      </w:r>
      <w:r>
        <w:rPr>
          <w:rFonts w:hint="eastAsia" w:ascii="微软雅黑" w:hAnsi="微软雅黑" w:eastAsia="微软雅黑" w:cs="微软雅黑"/>
          <w:color w:val="auto"/>
          <w:kern w:val="2"/>
          <w:szCs w:val="24"/>
          <w:highlight w:val="none"/>
          <w:u w:val="single"/>
        </w:rPr>
        <w:t>日11点00分</w:t>
      </w:r>
      <w:r>
        <w:rPr>
          <w:rFonts w:hint="eastAsia" w:ascii="微软雅黑" w:hAnsi="微软雅黑" w:eastAsia="微软雅黑" w:cs="微软雅黑"/>
          <w:color w:val="auto"/>
          <w:szCs w:val="24"/>
          <w:highlight w:val="none"/>
        </w:rPr>
        <w:t>（北京时间）</w:t>
      </w:r>
    </w:p>
    <w:p>
      <w:pPr>
        <w:widowControl/>
        <w:spacing w:line="560" w:lineRule="exact"/>
        <w:ind w:firstLine="480" w:firstLineChars="200"/>
        <w:jc w:val="left"/>
        <w:textAlignment w:val="baseline"/>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地    点：喀什市人民西路199号前海宾馆 3 楼会议室</w:t>
      </w:r>
    </w:p>
    <w:p>
      <w:pPr>
        <w:pStyle w:val="4"/>
        <w:autoSpaceDE/>
        <w:autoSpaceDN/>
        <w:adjustRightInd/>
        <w:spacing w:line="560" w:lineRule="exact"/>
        <w:jc w:val="left"/>
        <w:rPr>
          <w:rFonts w:ascii="微软雅黑" w:hAnsi="微软雅黑" w:eastAsia="微软雅黑" w:cs="微软雅黑"/>
          <w:b/>
          <w:bCs/>
          <w:color w:val="auto"/>
          <w:sz w:val="24"/>
          <w:szCs w:val="24"/>
          <w:highlight w:val="none"/>
        </w:rPr>
      </w:pPr>
      <w:bookmarkStart w:id="378" w:name="_Toc35393634"/>
      <w:bookmarkStart w:id="379" w:name="_Toc28359017"/>
      <w:bookmarkStart w:id="380" w:name="_Toc28359094"/>
      <w:bookmarkStart w:id="381" w:name="_Toc35393803"/>
      <w:r>
        <w:rPr>
          <w:rFonts w:hint="eastAsia" w:ascii="微软雅黑" w:hAnsi="微软雅黑" w:eastAsia="微软雅黑" w:cs="微软雅黑"/>
          <w:b/>
          <w:bCs/>
          <w:color w:val="auto"/>
          <w:sz w:val="24"/>
          <w:szCs w:val="24"/>
          <w:highlight w:val="none"/>
        </w:rPr>
        <w:t>五、公告期限</w:t>
      </w:r>
      <w:bookmarkEnd w:id="378"/>
      <w:bookmarkEnd w:id="379"/>
      <w:bookmarkEnd w:id="380"/>
      <w:bookmarkEnd w:id="381"/>
    </w:p>
    <w:p>
      <w:pPr>
        <w:spacing w:line="56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自本公告发布之日起5个工作日。</w:t>
      </w:r>
      <w:bookmarkStart w:id="382" w:name="_Toc35393804"/>
      <w:bookmarkStart w:id="383" w:name="_Toc35393635"/>
    </w:p>
    <w:p>
      <w:pPr>
        <w:pStyle w:val="2"/>
        <w:numPr>
          <w:ilvl w:val="0"/>
          <w:numId w:val="12"/>
        </w:numPr>
        <w:spacing w:line="560" w:lineRule="exact"/>
        <w:ind w:firstLine="0"/>
        <w:rPr>
          <w:rFonts w:ascii="微软雅黑" w:hAnsi="微软雅黑" w:eastAsia="微软雅黑" w:cs="微软雅黑"/>
          <w:b/>
          <w:bCs/>
          <w:color w:val="auto"/>
          <w:szCs w:val="24"/>
          <w:highlight w:val="none"/>
        </w:rPr>
      </w:pPr>
      <w:r>
        <w:rPr>
          <w:rFonts w:hint="eastAsia" w:ascii="微软雅黑" w:hAnsi="微软雅黑" w:eastAsia="微软雅黑" w:cs="微软雅黑"/>
          <w:b/>
          <w:bCs/>
          <w:color w:val="auto"/>
          <w:szCs w:val="24"/>
          <w:highlight w:val="none"/>
        </w:rPr>
        <w:t>其他补充事宜</w:t>
      </w:r>
    </w:p>
    <w:p>
      <w:pPr>
        <w:spacing w:line="56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为严格落实党中央、国务院以及自治区相关工作部署，参加开标会的人员均须遵守《关于进一步明确责任加强新型冠状病毒感染的肺炎预防控制工作的通知》及《中华人民共和国传染病防治法》相关要求，做好个人防护，佩戴口罩，提前 30 分钟到达会场配合工作人员进行体温监测和人员信息登记，并签订承诺书。未按规定做好个人防护、不配合防疫工作，近期行程及接触史不符合防疫要求的，工作人员有权拒绝其进入开标会场，造成无法投标等后果自负。）</w:t>
      </w:r>
    </w:p>
    <w:bookmarkEnd w:id="382"/>
    <w:bookmarkEnd w:id="383"/>
    <w:p>
      <w:pPr>
        <w:pStyle w:val="4"/>
        <w:autoSpaceDE/>
        <w:autoSpaceDN/>
        <w:adjustRightInd/>
        <w:spacing w:line="560" w:lineRule="exact"/>
        <w:jc w:val="left"/>
        <w:rPr>
          <w:rFonts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rPr>
        <w:t>七、对本次招标提出询问，请按以下方式联系。</w:t>
      </w:r>
    </w:p>
    <w:p>
      <w:pPr>
        <w:spacing w:line="56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1、采购人信息：</w:t>
      </w:r>
    </w:p>
    <w:p>
      <w:pPr>
        <w:spacing w:line="56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名称：中共疏勒县委员会组织部</w:t>
      </w:r>
    </w:p>
    <w:p>
      <w:pPr>
        <w:spacing w:line="56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地址：中共疏勒县委员会组织部</w:t>
      </w:r>
    </w:p>
    <w:p>
      <w:pPr>
        <w:spacing w:line="56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联系方式：</w:t>
      </w:r>
      <w:r>
        <w:rPr>
          <w:rFonts w:hint="eastAsia" w:ascii="微软雅黑" w:hAnsi="微软雅黑" w:eastAsia="微软雅黑" w:cs="微软雅黑"/>
          <w:color w:val="auto"/>
          <w:kern w:val="0"/>
          <w:sz w:val="24"/>
          <w:highlight w:val="none"/>
          <w:lang w:eastAsia="zh-CN"/>
        </w:rPr>
        <w:t>姑丽扎尔·胡吉</w:t>
      </w:r>
      <w:r>
        <w:rPr>
          <w:rFonts w:hint="eastAsia" w:ascii="微软雅黑" w:hAnsi="微软雅黑" w:eastAsia="微软雅黑" w:cs="微软雅黑"/>
          <w:color w:val="auto"/>
          <w:kern w:val="0"/>
          <w:sz w:val="24"/>
          <w:highlight w:val="none"/>
        </w:rPr>
        <w:t xml:space="preserve"> 15770118767</w:t>
      </w:r>
    </w:p>
    <w:p>
      <w:pPr>
        <w:spacing w:line="56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2、采购代理机构信息：</w:t>
      </w:r>
    </w:p>
    <w:p>
      <w:pPr>
        <w:spacing w:line="56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名称：新疆众恒项目管理咨询有限公司</w:t>
      </w:r>
    </w:p>
    <w:p>
      <w:pPr>
        <w:spacing w:line="560" w:lineRule="exact"/>
        <w:ind w:firstLine="480" w:firstLineChars="200"/>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地址：喀什市人民东路105号二幢二楼201室</w:t>
      </w:r>
    </w:p>
    <w:p>
      <w:pPr>
        <w:spacing w:line="560" w:lineRule="exact"/>
        <w:ind w:firstLine="480" w:firstLineChars="200"/>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kern w:val="0"/>
          <w:sz w:val="24"/>
          <w:highlight w:val="none"/>
        </w:rPr>
        <w:t>联系方式：奉文玲 18799897728</w:t>
      </w:r>
    </w:p>
    <w:p>
      <w:pPr>
        <w:rPr>
          <w:rFonts w:ascii="微软雅黑" w:hAnsi="微软雅黑" w:eastAsia="微软雅黑" w:cs="微软雅黑"/>
          <w:color w:val="auto"/>
          <w:sz w:val="22"/>
          <w:szCs w:val="28"/>
          <w:highlight w:val="none"/>
        </w:rPr>
      </w:pPr>
    </w:p>
    <w:p>
      <w:pPr>
        <w:pStyle w:val="57"/>
        <w:rPr>
          <w:rFonts w:hAnsi="宋体"/>
          <w:color w:val="auto"/>
          <w:highlight w:val="none"/>
        </w:rPr>
      </w:pPr>
    </w:p>
    <w:p>
      <w:pPr>
        <w:rPr>
          <w:rFonts w:hAnsi="宋体" w:cs="宋体"/>
          <w:color w:val="auto"/>
          <w:highlight w:val="none"/>
        </w:rPr>
      </w:pPr>
    </w:p>
    <w:p>
      <w:pPr>
        <w:rPr>
          <w:rFonts w:ascii="微软雅黑" w:hAnsi="微软雅黑" w:eastAsia="微软雅黑" w:cs="微软雅黑"/>
          <w:color w:val="auto"/>
          <w:sz w:val="24"/>
          <w:highlight w:val="none"/>
        </w:rPr>
      </w:pPr>
      <w:bookmarkStart w:id="384" w:name="_Toc18586"/>
      <w:r>
        <w:rPr>
          <w:rFonts w:hint="eastAsia" w:ascii="微软雅黑" w:hAnsi="微软雅黑" w:eastAsia="微软雅黑" w:cs="微软雅黑"/>
          <w:color w:val="auto"/>
          <w:sz w:val="24"/>
          <w:highlight w:val="none"/>
        </w:rPr>
        <w:br w:type="page"/>
      </w:r>
    </w:p>
    <w:p>
      <w:pPr>
        <w:pStyle w:val="3"/>
        <w:tabs>
          <w:tab w:val="left" w:pos="0"/>
        </w:tabs>
        <w:spacing w:before="0" w:after="0" w:line="400" w:lineRule="exact"/>
        <w:rPr>
          <w:rFonts w:ascii="微软雅黑" w:hAnsi="微软雅黑" w:eastAsia="微软雅黑" w:cs="微软雅黑"/>
          <w:b w:val="0"/>
          <w:color w:val="auto"/>
          <w:sz w:val="24"/>
          <w:szCs w:val="24"/>
          <w:highlight w:val="none"/>
        </w:rPr>
      </w:pPr>
      <w:r>
        <w:rPr>
          <w:rFonts w:hint="eastAsia" w:ascii="微软雅黑" w:hAnsi="微软雅黑" w:eastAsia="微软雅黑" w:cs="微软雅黑"/>
          <w:color w:val="auto"/>
          <w:sz w:val="24"/>
          <w:szCs w:val="24"/>
          <w:highlight w:val="none"/>
        </w:rPr>
        <w:t>第4章  投标人须知资料表</w:t>
      </w:r>
      <w:bookmarkEnd w:id="353"/>
      <w:bookmarkEnd w:id="354"/>
      <w:bookmarkEnd w:id="355"/>
      <w:bookmarkEnd w:id="356"/>
      <w:bookmarkEnd w:id="357"/>
      <w:bookmarkEnd w:id="358"/>
      <w:bookmarkEnd w:id="384"/>
    </w:p>
    <w:bookmarkEnd w:id="359"/>
    <w:p>
      <w:pPr>
        <w:spacing w:line="400" w:lineRule="exact"/>
        <w:ind w:firstLine="360" w:firstLineChars="15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本表是本招标项目的具体资料，是对投标人须知的具体补充和修改，如有矛盾，应以本资料表为准。</w:t>
      </w:r>
    </w:p>
    <w:tbl>
      <w:tblPr>
        <w:tblStyle w:val="35"/>
        <w:tblW w:w="9367" w:type="dxa"/>
        <w:tblInd w:w="-2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67"/>
        <w:gridCol w:w="85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6" w:hRule="atLeast"/>
        </w:trPr>
        <w:tc>
          <w:tcPr>
            <w:tcW w:w="867"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条款号</w:t>
            </w:r>
          </w:p>
        </w:tc>
        <w:tc>
          <w:tcPr>
            <w:tcW w:w="8500" w:type="dxa"/>
            <w:vAlign w:val="center"/>
          </w:tcPr>
          <w:p>
            <w:pPr>
              <w:spacing w:line="400" w:lineRule="exact"/>
              <w:jc w:val="center"/>
              <w:rPr>
                <w:rFonts w:ascii="微软雅黑" w:hAnsi="微软雅黑" w:eastAsia="微软雅黑" w:cs="微软雅黑"/>
                <w:b/>
                <w:color w:val="auto"/>
                <w:sz w:val="24"/>
                <w:highlight w:val="none"/>
              </w:rPr>
            </w:pPr>
            <w:r>
              <w:rPr>
                <w:rFonts w:hint="eastAsia" w:ascii="微软雅黑" w:hAnsi="微软雅黑" w:eastAsia="微软雅黑" w:cs="微软雅黑"/>
                <w:b/>
                <w:color w:val="auto"/>
                <w:sz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70" w:hRule="atLeast"/>
        </w:trPr>
        <w:tc>
          <w:tcPr>
            <w:tcW w:w="867"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w:t>
            </w:r>
          </w:p>
        </w:tc>
        <w:tc>
          <w:tcPr>
            <w:tcW w:w="8500"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采购人：中共疏勒县委员会组织部</w:t>
            </w:r>
          </w:p>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联系人：</w:t>
            </w:r>
            <w:r>
              <w:rPr>
                <w:rFonts w:hint="eastAsia" w:ascii="微软雅黑" w:hAnsi="微软雅黑" w:eastAsia="微软雅黑" w:cs="微软雅黑"/>
                <w:color w:val="auto"/>
                <w:sz w:val="24"/>
                <w:highlight w:val="none"/>
                <w:lang w:eastAsia="zh-CN"/>
              </w:rPr>
              <w:t>姑丽扎尔·胡吉</w:t>
            </w:r>
            <w:r>
              <w:rPr>
                <w:rFonts w:hint="eastAsia" w:ascii="微软雅黑" w:hAnsi="微软雅黑" w:eastAsia="微软雅黑" w:cs="微软雅黑"/>
                <w:color w:val="auto"/>
                <w:sz w:val="24"/>
                <w:highlight w:val="none"/>
              </w:rPr>
              <w:t xml:space="preserve">  </w:t>
            </w:r>
            <w:r>
              <w:rPr>
                <w:rFonts w:hint="eastAsia" w:ascii="微软雅黑" w:hAnsi="微软雅黑" w:eastAsia="微软雅黑" w:cs="微软雅黑"/>
                <w:color w:val="auto"/>
                <w:kern w:val="0"/>
                <w:sz w:val="24"/>
                <w:highlight w:val="none"/>
              </w:rPr>
              <w:t xml:space="preserve"> </w:t>
            </w:r>
            <w:r>
              <w:rPr>
                <w:rFonts w:hint="eastAsia" w:ascii="微软雅黑" w:hAnsi="微软雅黑" w:eastAsia="微软雅黑" w:cs="微软雅黑"/>
                <w:color w:val="auto"/>
                <w:sz w:val="24"/>
                <w:highlight w:val="none"/>
              </w:rPr>
              <w:t xml:space="preserve">        联系电话：15770118767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22" w:hRule="atLeast"/>
        </w:trPr>
        <w:tc>
          <w:tcPr>
            <w:tcW w:w="867"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w:t>
            </w:r>
          </w:p>
        </w:tc>
        <w:tc>
          <w:tcPr>
            <w:tcW w:w="8500"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采购代理机构： 新疆众恒项目管理咨询有限公司 </w:t>
            </w:r>
          </w:p>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地  址：喀什市人民东路105号二幢二楼201室 </w:t>
            </w:r>
          </w:p>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业务联系人：奉文玲　   联系电话： 18799897728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51" w:hRule="atLeast"/>
        </w:trPr>
        <w:tc>
          <w:tcPr>
            <w:tcW w:w="867"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1.3.4</w:t>
            </w:r>
          </w:p>
        </w:tc>
        <w:tc>
          <w:tcPr>
            <w:tcW w:w="8500" w:type="dxa"/>
            <w:vAlign w:val="center"/>
          </w:tcPr>
          <w:p>
            <w:pPr>
              <w:spacing w:line="400" w:lineRule="exact"/>
              <w:rPr>
                <w:rFonts w:ascii="微软雅黑" w:hAnsi="微软雅黑" w:eastAsia="微软雅黑" w:cs="微软雅黑"/>
                <w:b/>
                <w:bCs/>
                <w:color w:val="auto"/>
                <w:sz w:val="24"/>
                <w:highlight w:val="none"/>
              </w:rPr>
            </w:pPr>
            <w:r>
              <w:rPr>
                <w:rFonts w:hint="eastAsia" w:ascii="微软雅黑" w:hAnsi="微软雅黑" w:eastAsia="微软雅黑" w:cs="微软雅黑"/>
                <w:color w:val="auto"/>
                <w:sz w:val="24"/>
                <w:highlight w:val="none"/>
              </w:rPr>
              <w:t>合格投标人的其他资格要求</w:t>
            </w:r>
            <w:r>
              <w:rPr>
                <w:rFonts w:hint="eastAsia" w:ascii="微软雅黑" w:hAnsi="微软雅黑" w:eastAsia="微软雅黑" w:cs="微软雅黑"/>
                <w:b/>
                <w:bCs/>
                <w:color w:val="auto"/>
                <w:sz w:val="24"/>
                <w:highlight w:val="none"/>
              </w:rPr>
              <w:t>（开标时须携带资格条件证明原件或国家认可的可扫描二维码的复印件加盖公章）</w:t>
            </w:r>
          </w:p>
          <w:p>
            <w:pPr>
              <w:pStyle w:val="2"/>
              <w:spacing w:line="400" w:lineRule="exact"/>
              <w:ind w:firstLine="0"/>
              <w:rPr>
                <w:rFonts w:ascii="微软雅黑" w:hAnsi="微软雅黑" w:eastAsia="微软雅黑" w:cs="微软雅黑"/>
                <w:b/>
                <w:bCs/>
                <w:color w:val="auto"/>
                <w:kern w:val="2"/>
                <w:szCs w:val="24"/>
                <w:highlight w:val="none"/>
              </w:rPr>
            </w:pPr>
            <w:r>
              <w:rPr>
                <w:rFonts w:hint="eastAsia" w:ascii="微软雅黑" w:hAnsi="微软雅黑" w:eastAsia="微软雅黑" w:cs="微软雅黑"/>
                <w:b/>
                <w:bCs/>
                <w:color w:val="auto"/>
                <w:kern w:val="2"/>
                <w:szCs w:val="24"/>
                <w:highlight w:val="none"/>
              </w:rPr>
              <w:t>(1)法人、非法人组织或者自然人资格证明文件；</w:t>
            </w:r>
          </w:p>
          <w:p>
            <w:pPr>
              <w:pStyle w:val="2"/>
              <w:spacing w:line="400" w:lineRule="exact"/>
              <w:ind w:firstLine="0"/>
              <w:rPr>
                <w:rFonts w:ascii="微软雅黑" w:hAnsi="微软雅黑" w:eastAsia="微软雅黑" w:cs="微软雅黑"/>
                <w:b/>
                <w:bCs/>
                <w:color w:val="auto"/>
                <w:kern w:val="2"/>
                <w:szCs w:val="24"/>
                <w:highlight w:val="none"/>
              </w:rPr>
            </w:pPr>
            <w:r>
              <w:rPr>
                <w:rFonts w:hint="eastAsia" w:ascii="微软雅黑" w:hAnsi="微软雅黑" w:eastAsia="微软雅黑" w:cs="微软雅黑"/>
                <w:b/>
                <w:bCs/>
                <w:color w:val="auto"/>
                <w:kern w:val="2"/>
                <w:szCs w:val="24"/>
                <w:highlight w:val="none"/>
              </w:rPr>
              <w:t>(2)授权委托人投标的需提供法人（负责人）代表资格证明书及授权委托书、被授权人身份证；法定代表人（负责人）投标的需提供法人（负责人）代表资格证明书及法人（负责人）身份证；授权委托人需提供本人在本单位近三个月单位社保缴费凭证和个人明细表；</w:t>
            </w:r>
          </w:p>
          <w:p>
            <w:pPr>
              <w:pStyle w:val="2"/>
              <w:spacing w:line="400" w:lineRule="exact"/>
              <w:ind w:firstLine="0"/>
              <w:rPr>
                <w:rFonts w:ascii="微软雅黑" w:hAnsi="微软雅黑" w:eastAsia="微软雅黑" w:cs="微软雅黑"/>
                <w:b/>
                <w:bCs/>
                <w:color w:val="auto"/>
                <w:kern w:val="2"/>
                <w:szCs w:val="24"/>
                <w:highlight w:val="none"/>
              </w:rPr>
            </w:pPr>
            <w:r>
              <w:rPr>
                <w:rFonts w:hint="eastAsia" w:ascii="微软雅黑" w:hAnsi="微软雅黑" w:eastAsia="微软雅黑" w:cs="微软雅黑"/>
                <w:b/>
                <w:bCs/>
                <w:color w:val="auto"/>
                <w:kern w:val="2"/>
                <w:szCs w:val="24"/>
                <w:highlight w:val="none"/>
              </w:rPr>
              <w:t>(3)2020年度财务审计报告（新公司或其他组织和自然人提供银行出具的资信证明）；</w:t>
            </w:r>
          </w:p>
          <w:p>
            <w:pPr>
              <w:pStyle w:val="2"/>
              <w:spacing w:line="400" w:lineRule="exact"/>
              <w:ind w:firstLine="0"/>
              <w:rPr>
                <w:rFonts w:ascii="微软雅黑" w:hAnsi="微软雅黑" w:eastAsia="微软雅黑" w:cs="微软雅黑"/>
                <w:b/>
                <w:bCs/>
                <w:color w:val="auto"/>
                <w:kern w:val="2"/>
                <w:szCs w:val="24"/>
                <w:highlight w:val="none"/>
              </w:rPr>
            </w:pPr>
            <w:r>
              <w:rPr>
                <w:rFonts w:hint="eastAsia" w:ascii="微软雅黑" w:hAnsi="微软雅黑" w:eastAsia="微软雅黑" w:cs="微软雅黑"/>
                <w:b/>
                <w:bCs/>
                <w:color w:val="auto"/>
                <w:kern w:val="2"/>
                <w:szCs w:val="24"/>
                <w:highlight w:val="none"/>
              </w:rPr>
              <w:t>(4)未被“信用中国”（www.creditchina.gov.cn）列入失信被执行人和重大税收违法案件当事人名单，未被“中国政府采购网”（www.ccgp.gov.cn） 列入政府采购严重违法失信行为记录名单，未在财政部门或行业主管部门禁止参加政府采购活动时间及地域范围内；</w:t>
            </w:r>
          </w:p>
          <w:p>
            <w:pPr>
              <w:pStyle w:val="2"/>
              <w:spacing w:line="400" w:lineRule="exact"/>
              <w:ind w:firstLine="0"/>
              <w:rPr>
                <w:rFonts w:ascii="微软雅黑" w:hAnsi="微软雅黑" w:eastAsia="微软雅黑" w:cs="微软雅黑"/>
                <w:b/>
                <w:bCs/>
                <w:color w:val="auto"/>
                <w:kern w:val="2"/>
                <w:szCs w:val="24"/>
                <w:highlight w:val="none"/>
              </w:rPr>
            </w:pPr>
            <w:r>
              <w:rPr>
                <w:rFonts w:hint="eastAsia" w:ascii="微软雅黑" w:hAnsi="微软雅黑" w:eastAsia="微软雅黑" w:cs="微软雅黑"/>
                <w:b/>
                <w:bCs/>
                <w:color w:val="auto"/>
                <w:kern w:val="2"/>
                <w:szCs w:val="24"/>
                <w:highlight w:val="none"/>
              </w:rPr>
              <w:t>(5)提供本单位在参加政府采购活动中前三年内无重大违法记录的承诺书；</w:t>
            </w:r>
          </w:p>
          <w:p>
            <w:pPr>
              <w:pStyle w:val="2"/>
              <w:spacing w:line="400" w:lineRule="exact"/>
              <w:ind w:firstLine="0"/>
              <w:rPr>
                <w:rFonts w:ascii="微软雅黑" w:hAnsi="微软雅黑" w:eastAsia="微软雅黑" w:cs="微软雅黑"/>
                <w:b/>
                <w:bCs/>
                <w:color w:val="auto"/>
                <w:kern w:val="2"/>
                <w:szCs w:val="24"/>
                <w:highlight w:val="none"/>
              </w:rPr>
            </w:pPr>
            <w:r>
              <w:rPr>
                <w:rFonts w:hint="eastAsia" w:ascii="微软雅黑" w:hAnsi="微软雅黑" w:eastAsia="微软雅黑" w:cs="微软雅黑"/>
                <w:b/>
                <w:bCs/>
                <w:color w:val="auto"/>
                <w:kern w:val="2"/>
                <w:szCs w:val="24"/>
                <w:highlight w:val="none"/>
              </w:rPr>
              <w:t>(6)提供针对本次采购项目《反商业贿赂承诺书》；</w:t>
            </w:r>
          </w:p>
          <w:p>
            <w:pPr>
              <w:pStyle w:val="2"/>
              <w:spacing w:line="400" w:lineRule="exact"/>
              <w:ind w:firstLine="0"/>
              <w:rPr>
                <w:rFonts w:ascii="微软雅黑" w:hAnsi="微软雅黑" w:eastAsia="微软雅黑" w:cs="微软雅黑"/>
                <w:b/>
                <w:bCs/>
                <w:color w:val="auto"/>
                <w:kern w:val="2"/>
                <w:szCs w:val="24"/>
                <w:highlight w:val="none"/>
              </w:rPr>
            </w:pPr>
            <w:r>
              <w:rPr>
                <w:rFonts w:hint="eastAsia" w:ascii="微软雅黑" w:hAnsi="微软雅黑" w:eastAsia="微软雅黑" w:cs="微软雅黑"/>
                <w:b/>
                <w:bCs/>
                <w:color w:val="auto"/>
                <w:kern w:val="2"/>
                <w:szCs w:val="24"/>
                <w:highlight w:val="none"/>
              </w:rPr>
              <w:t>(7)提供税务部门出具的近三个月的完税证明（或申报记录）；</w:t>
            </w:r>
          </w:p>
          <w:p>
            <w:pPr>
              <w:pStyle w:val="2"/>
              <w:spacing w:line="400" w:lineRule="exact"/>
              <w:ind w:firstLine="0"/>
              <w:rPr>
                <w:rFonts w:ascii="微软雅黑" w:hAnsi="微软雅黑" w:eastAsia="微软雅黑" w:cs="微软雅黑"/>
                <w:b/>
                <w:bCs/>
                <w:color w:val="auto"/>
                <w:kern w:val="2"/>
                <w:szCs w:val="24"/>
                <w:highlight w:val="none"/>
              </w:rPr>
            </w:pPr>
            <w:r>
              <w:rPr>
                <w:rFonts w:hint="eastAsia" w:ascii="微软雅黑" w:hAnsi="微软雅黑" w:eastAsia="微软雅黑" w:cs="微软雅黑"/>
                <w:b/>
                <w:bCs/>
                <w:color w:val="auto"/>
                <w:kern w:val="2"/>
                <w:szCs w:val="24"/>
                <w:highlight w:val="none"/>
              </w:rPr>
              <w:t xml:space="preserve">(8)缴纳投标保证金收据及银行转账/电汇回执单复印件。     </w:t>
            </w:r>
          </w:p>
          <w:p>
            <w:pPr>
              <w:pStyle w:val="2"/>
              <w:spacing w:line="400" w:lineRule="exact"/>
              <w:ind w:firstLine="0"/>
              <w:rPr>
                <w:rFonts w:ascii="微软雅黑" w:hAnsi="微软雅黑" w:eastAsia="微软雅黑" w:cs="微软雅黑"/>
                <w:color w:val="auto"/>
                <w:szCs w:val="24"/>
                <w:highlight w:val="none"/>
              </w:rPr>
            </w:pPr>
            <w:r>
              <w:rPr>
                <w:rFonts w:hint="eastAsia" w:ascii="微软雅黑" w:hAnsi="微软雅黑" w:eastAsia="微软雅黑" w:cs="微软雅黑"/>
                <w:b/>
                <w:bCs/>
                <w:color w:val="auto"/>
                <w:kern w:val="2"/>
                <w:szCs w:val="24"/>
                <w:highlight w:val="none"/>
              </w:rPr>
              <w:t>注：以上所提供证件齐全、合格有效，满足要求的投标人为有效投标人，并与投标文件中所提供的相一致，证件不全将导致投标无效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867"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1.3.5   </w:t>
            </w:r>
          </w:p>
        </w:tc>
        <w:tc>
          <w:tcPr>
            <w:tcW w:w="8500"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是否允许采购进口产品：  否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9" w:hRule="atLeast"/>
        </w:trPr>
        <w:tc>
          <w:tcPr>
            <w:tcW w:w="867"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1.3.6</w:t>
            </w:r>
          </w:p>
        </w:tc>
        <w:tc>
          <w:tcPr>
            <w:tcW w:w="8500"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是否为专门面向中小企业采购：  否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9" w:hRule="atLeast"/>
        </w:trPr>
        <w:tc>
          <w:tcPr>
            <w:tcW w:w="867"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w:t>
            </w:r>
          </w:p>
        </w:tc>
        <w:tc>
          <w:tcPr>
            <w:tcW w:w="8500"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是否允许联合体投标：否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0" w:hRule="atLeast"/>
        </w:trPr>
        <w:tc>
          <w:tcPr>
            <w:tcW w:w="867"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1.4.8</w:t>
            </w:r>
          </w:p>
        </w:tc>
        <w:tc>
          <w:tcPr>
            <w:tcW w:w="8500"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联合体的其他资格要求：无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0" w:hRule="atLeast"/>
        </w:trPr>
        <w:tc>
          <w:tcPr>
            <w:tcW w:w="867"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2.2</w:t>
            </w:r>
          </w:p>
        </w:tc>
        <w:tc>
          <w:tcPr>
            <w:tcW w:w="8500" w:type="dxa"/>
            <w:vAlign w:val="center"/>
          </w:tcPr>
          <w:p>
            <w:pPr>
              <w:spacing w:line="400" w:lineRule="exact"/>
              <w:rPr>
                <w:rFonts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项目预算金额：1030万元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48" w:hRule="atLeast"/>
        </w:trPr>
        <w:tc>
          <w:tcPr>
            <w:tcW w:w="867"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12.1</w:t>
            </w:r>
          </w:p>
        </w:tc>
        <w:tc>
          <w:tcPr>
            <w:tcW w:w="8500" w:type="dxa"/>
            <w:vAlign w:val="center"/>
          </w:tcPr>
          <w:p>
            <w:pPr>
              <w:spacing w:line="400" w:lineRule="exact"/>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投标保证金形式：□保函  ☑电汇  □支票   ☑对公转账   </w:t>
            </w:r>
          </w:p>
          <w:p>
            <w:pPr>
              <w:pStyle w:val="2"/>
              <w:spacing w:line="400" w:lineRule="exact"/>
              <w:ind w:firstLine="0"/>
              <w:rPr>
                <w:rFonts w:ascii="微软雅黑" w:hAnsi="微软雅黑" w:eastAsia="微软雅黑" w:cs="微软雅黑"/>
                <w:b/>
                <w:bCs/>
                <w:color w:val="auto"/>
                <w:kern w:val="2"/>
                <w:szCs w:val="24"/>
                <w:highlight w:val="none"/>
              </w:rPr>
            </w:pPr>
            <w:r>
              <w:rPr>
                <w:rFonts w:hint="eastAsia" w:ascii="微软雅黑" w:hAnsi="微软雅黑" w:eastAsia="微软雅黑" w:cs="微软雅黑"/>
                <w:b/>
                <w:bCs/>
                <w:color w:val="auto"/>
                <w:szCs w:val="24"/>
                <w:highlight w:val="none"/>
              </w:rPr>
              <w:t>保证金金额：</w:t>
            </w:r>
            <w:r>
              <w:rPr>
                <w:rFonts w:hint="eastAsia" w:ascii="微软雅黑" w:hAnsi="微软雅黑" w:eastAsia="微软雅黑" w:cs="微软雅黑"/>
                <w:b/>
                <w:bCs/>
                <w:color w:val="auto"/>
                <w:kern w:val="2"/>
                <w:szCs w:val="24"/>
                <w:highlight w:val="none"/>
              </w:rPr>
              <w:t>¥100000元（人民币壹拾万元整）</w:t>
            </w:r>
          </w:p>
          <w:p>
            <w:pPr>
              <w:spacing w:line="400" w:lineRule="exact"/>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保证金收款人：</w:t>
            </w:r>
          </w:p>
          <w:p>
            <w:pPr>
              <w:spacing w:line="400" w:lineRule="exact"/>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收款单位：新疆众恒项目管理咨询有限公司</w:t>
            </w:r>
          </w:p>
          <w:p>
            <w:pPr>
              <w:spacing w:line="400" w:lineRule="exact"/>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开户银行：中国农业银行股份有限公司喀什人民西路（兵团）第一支行</w:t>
            </w:r>
          </w:p>
          <w:p>
            <w:pPr>
              <w:spacing w:line="400" w:lineRule="exact"/>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账号：30785601040003754</w:t>
            </w:r>
          </w:p>
          <w:p>
            <w:pPr>
              <w:spacing w:line="400" w:lineRule="exact"/>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（电汇时请在汇款备注栏注明项目名称及编号、包号（如有），并注明是投标保证金）财务室联系人及联系方式：郑祖芬 0998-2533338</w:t>
            </w:r>
          </w:p>
          <w:p>
            <w:pPr>
              <w:spacing w:line="400" w:lineRule="exact"/>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保证金缴纳要求：</w:t>
            </w:r>
            <w:r>
              <w:rPr>
                <w:rFonts w:hint="eastAsia" w:ascii="微软雅黑" w:hAnsi="微软雅黑" w:eastAsia="微软雅黑" w:cs="微软雅黑"/>
                <w:b/>
                <w:bCs/>
                <w:color w:val="auto"/>
                <w:sz w:val="24"/>
                <w:highlight w:val="none"/>
              </w:rPr>
              <w:t>保证金在开标前一天18:30须从投标供应商的基本账户一次性汇入指定账户，不接受现金、支票及任何个人汇款</w:t>
            </w:r>
            <w:r>
              <w:rPr>
                <w:rFonts w:hint="eastAsia" w:ascii="微软雅黑" w:hAnsi="微软雅黑" w:eastAsia="微软雅黑" w:cs="微软雅黑"/>
                <w:color w:val="auto"/>
                <w:sz w:val="24"/>
                <w:highlight w:val="none"/>
              </w:rPr>
              <w:t>。确认到帐后，持银行缴款单和银行开户许可证复印件加盖公章到代理公司换取收据，开标现场持投标保证金收据原件，标书内放置收据复印件及打款回执单复印件，</w:t>
            </w:r>
            <w:r>
              <w:rPr>
                <w:rFonts w:hint="eastAsia" w:ascii="微软雅黑" w:hAnsi="微软雅黑" w:eastAsia="微软雅黑" w:cs="微软雅黑"/>
                <w:b/>
                <w:bCs/>
                <w:color w:val="auto"/>
                <w:sz w:val="24"/>
                <w:highlight w:val="none"/>
              </w:rPr>
              <w:t>投标文件内未放置收据复印件及打款回执单复印件将做无效投标处理。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0" w:hRule="atLeast"/>
        </w:trPr>
        <w:tc>
          <w:tcPr>
            <w:tcW w:w="867"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13.1</w:t>
            </w:r>
          </w:p>
        </w:tc>
        <w:tc>
          <w:tcPr>
            <w:tcW w:w="8500" w:type="dxa"/>
            <w:vAlign w:val="center"/>
          </w:tcPr>
          <w:p>
            <w:pPr>
              <w:spacing w:line="400" w:lineRule="exact"/>
              <w:rPr>
                <w:rFonts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投标有效期：</w:t>
            </w:r>
            <w:r>
              <w:rPr>
                <w:rFonts w:hint="eastAsia" w:ascii="微软雅黑" w:hAnsi="微软雅黑" w:eastAsia="微软雅黑" w:cs="微软雅黑"/>
                <w:color w:val="auto"/>
                <w:sz w:val="24"/>
                <w:highlight w:val="none"/>
                <w:u w:val="single"/>
              </w:rPr>
              <w:t>　60　</w:t>
            </w:r>
            <w:r>
              <w:rPr>
                <w:rFonts w:hint="eastAsia" w:ascii="微软雅黑" w:hAnsi="微软雅黑" w:eastAsia="微软雅黑" w:cs="微软雅黑"/>
                <w:color w:val="auto"/>
                <w:sz w:val="24"/>
                <w:highlight w:val="none"/>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76" w:hRule="atLeast"/>
        </w:trPr>
        <w:tc>
          <w:tcPr>
            <w:tcW w:w="867"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14.1</w:t>
            </w:r>
          </w:p>
        </w:tc>
        <w:tc>
          <w:tcPr>
            <w:tcW w:w="8500" w:type="dxa"/>
            <w:vAlign w:val="center"/>
          </w:tcPr>
          <w:p>
            <w:pPr>
              <w:spacing w:line="400" w:lineRule="exact"/>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投标文件：正本：壹份；</w:t>
            </w:r>
          </w:p>
          <w:p>
            <w:pPr>
              <w:spacing w:line="400" w:lineRule="exact"/>
              <w:ind w:firstLine="1200" w:firstLineChars="500"/>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副本：陆份；</w:t>
            </w:r>
          </w:p>
          <w:p>
            <w:pPr>
              <w:spacing w:line="400" w:lineRule="exact"/>
              <w:ind w:firstLine="1200" w:firstLineChars="500"/>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开标一览表：壹份；</w:t>
            </w:r>
          </w:p>
          <w:p>
            <w:pPr>
              <w:spacing w:line="400" w:lineRule="exact"/>
              <w:ind w:firstLine="1200" w:firstLineChars="500"/>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电子版投标文件：壹份。</w:t>
            </w:r>
          </w:p>
          <w:p>
            <w:pPr>
              <w:numPr>
                <w:ilvl w:val="0"/>
                <w:numId w:val="13"/>
              </w:numPr>
              <w:spacing w:line="400" w:lineRule="exact"/>
              <w:jc w:val="left"/>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正、副本可单独密封提交、也可合并密封提交，密封袋封面右上角标明“正本”、“副本”字样。</w:t>
            </w:r>
          </w:p>
          <w:p>
            <w:pPr>
              <w:spacing w:line="400" w:lineRule="exact"/>
              <w:jc w:val="left"/>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2、“开标一览表”1份，单独密封提交，并在密封袋上标明“开标一览表”的字样。不按要求标注或不单独提交开标一览表，其投标将被拒绝。</w:t>
            </w:r>
          </w:p>
          <w:p>
            <w:pPr>
              <w:spacing w:line="400" w:lineRule="exact"/>
              <w:jc w:val="left"/>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3、“电子版投标文件”1份，单独密封提交。电子版投标文件必须是正本扫描件，制作成与正本完全一致PDF格式文本。并在密封袋上标明“电子版投标文件”字样。不按要求标注或不单独提交电子版投标文件，其投标将被拒绝。</w:t>
            </w:r>
          </w:p>
          <w:p>
            <w:pPr>
              <w:spacing w:line="400" w:lineRule="exact"/>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投标文件使用A4，胶装，每册装订应牢固、不易拆散和换页，不得采用活页装订。</w:t>
            </w:r>
          </w:p>
          <w:p>
            <w:pPr>
              <w:spacing w:line="400" w:lineRule="exact"/>
              <w:jc w:val="left"/>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投标文件的签署及规定：</w:t>
            </w:r>
          </w:p>
          <w:p>
            <w:pPr>
              <w:spacing w:line="400" w:lineRule="exact"/>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投标人应按投标人须知资料表中的规定，准备和递交投标文件正本、副本、开标一览表和电子版投标文件，每份纸质投标文件封皮须清楚地标明“正本”或“副本”。若正本与副本不符，以正本为准。</w:t>
            </w:r>
          </w:p>
          <w:p>
            <w:pPr>
              <w:spacing w:line="400" w:lineRule="exact"/>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投标文件的正本需打印或用不褪色墨水书写，并由投标人的法定代表人（负责人）或经其正式委托代理人按招标文件规定在投标文件上签字并加盖单位印章。如对投标文件进行了修改，则应由投标人的法定代表人（负责人）或其委托代理人在每一修改处签字。投标文件的副本可采用正本的复印件。（清晰可辨认）</w:t>
            </w:r>
          </w:p>
          <w:p>
            <w:pPr>
              <w:spacing w:line="400" w:lineRule="exact"/>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所有包装封皮或密封袋上均应注明招标公告中指明的项目名称、招标编号、投标人名称和“在（开标时间）之前不得启封”的字样。</w:t>
            </w:r>
          </w:p>
          <w:p>
            <w:pPr>
              <w:spacing w:line="400" w:lineRule="exact"/>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在封口处加盖供应商单位公章，或由法定代表人（负责人）（或其委托代理人）签字或盖章。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867"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16.1</w:t>
            </w:r>
          </w:p>
        </w:tc>
        <w:tc>
          <w:tcPr>
            <w:tcW w:w="8500"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投标截止时间：2021年12月</w:t>
            </w:r>
            <w:r>
              <w:rPr>
                <w:rFonts w:hint="eastAsia" w:ascii="微软雅黑" w:hAnsi="微软雅黑" w:eastAsia="微软雅黑" w:cs="微软雅黑"/>
                <w:color w:val="auto"/>
                <w:sz w:val="24"/>
                <w:highlight w:val="none"/>
                <w:lang w:val="en-US" w:eastAsia="zh-CN"/>
              </w:rPr>
              <w:t>15</w:t>
            </w:r>
            <w:r>
              <w:rPr>
                <w:rFonts w:hint="eastAsia" w:ascii="微软雅黑" w:hAnsi="微软雅黑" w:eastAsia="微软雅黑" w:cs="微软雅黑"/>
                <w:color w:val="auto"/>
                <w:sz w:val="24"/>
                <w:highlight w:val="none"/>
              </w:rPr>
              <w:t>日上午11:00；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4" w:hRule="atLeast"/>
        </w:trPr>
        <w:tc>
          <w:tcPr>
            <w:tcW w:w="867"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18.1</w:t>
            </w:r>
          </w:p>
        </w:tc>
        <w:tc>
          <w:tcPr>
            <w:tcW w:w="8500"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开标时间：2021年12月</w:t>
            </w:r>
            <w:r>
              <w:rPr>
                <w:rFonts w:hint="eastAsia" w:ascii="微软雅黑" w:hAnsi="微软雅黑" w:eastAsia="微软雅黑" w:cs="微软雅黑"/>
                <w:color w:val="auto"/>
                <w:sz w:val="24"/>
                <w:highlight w:val="none"/>
                <w:lang w:val="en-US" w:eastAsia="zh-CN"/>
              </w:rPr>
              <w:t>15</w:t>
            </w:r>
            <w:r>
              <w:rPr>
                <w:rFonts w:hint="eastAsia" w:ascii="微软雅黑" w:hAnsi="微软雅黑" w:eastAsia="微软雅黑" w:cs="微软雅黑"/>
                <w:color w:val="auto"/>
                <w:sz w:val="24"/>
                <w:highlight w:val="none"/>
              </w:rPr>
              <w:t>日上午11:00；</w:t>
            </w:r>
          </w:p>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开标地点：喀什市人民西路199号前海宾馆 3 楼会议室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867"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23.2</w:t>
            </w:r>
          </w:p>
        </w:tc>
        <w:tc>
          <w:tcPr>
            <w:tcW w:w="8500" w:type="dxa"/>
            <w:vAlign w:val="center"/>
          </w:tcPr>
          <w:p>
            <w:pPr>
              <w:spacing w:line="400" w:lineRule="exact"/>
              <w:rPr>
                <w:rFonts w:ascii="微软雅黑" w:hAnsi="微软雅黑" w:eastAsia="微软雅黑" w:cs="微软雅黑"/>
                <w:i/>
                <w:color w:val="auto"/>
                <w:sz w:val="24"/>
                <w:highlight w:val="none"/>
              </w:rPr>
            </w:pPr>
            <w:r>
              <w:rPr>
                <w:rFonts w:hint="eastAsia" w:ascii="微软雅黑" w:hAnsi="微软雅黑" w:eastAsia="微软雅黑" w:cs="微软雅黑"/>
                <w:color w:val="auto"/>
                <w:sz w:val="24"/>
                <w:highlight w:val="none"/>
              </w:rPr>
              <w:t>评标方法：适用</w:t>
            </w:r>
            <w:r>
              <w:rPr>
                <w:rFonts w:hint="eastAsia" w:ascii="微软雅黑" w:hAnsi="微软雅黑" w:eastAsia="微软雅黑" w:cs="微软雅黑"/>
                <w:color w:val="auto"/>
                <w:sz w:val="24"/>
                <w:highlight w:val="none"/>
                <w:u w:val="single"/>
              </w:rPr>
              <w:t>　综合评分法　</w:t>
            </w:r>
            <w:r>
              <w:rPr>
                <w:rFonts w:hint="eastAsia" w:ascii="微软雅黑" w:hAnsi="微软雅黑" w:eastAsia="微软雅黑" w:cs="微软雅黑"/>
                <w:color w:val="auto"/>
                <w:sz w:val="24"/>
                <w:highlight w:val="none"/>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867"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27</w:t>
            </w:r>
          </w:p>
        </w:tc>
        <w:tc>
          <w:tcPr>
            <w:tcW w:w="8500"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招标人是否委托评标委员会直接确定中标人：</w:t>
            </w:r>
            <w:r>
              <w:rPr>
                <w:rFonts w:hint="eastAsia" w:ascii="微软雅黑" w:hAnsi="微软雅黑" w:eastAsia="微软雅黑" w:cs="微软雅黑"/>
                <w:color w:val="auto"/>
                <w:sz w:val="24"/>
                <w:highlight w:val="none"/>
                <w:u w:val="single"/>
              </w:rPr>
              <w:t xml:space="preserve"> 否  </w:t>
            </w:r>
            <w:r>
              <w:rPr>
                <w:rFonts w:hint="eastAsia" w:ascii="微软雅黑" w:hAnsi="微软雅黑" w:eastAsia="微软雅黑" w:cs="微软雅黑"/>
                <w:color w:val="auto"/>
                <w:sz w:val="24"/>
                <w:highlight w:val="none"/>
              </w:rPr>
              <w:t xml:space="preserve"> </w:t>
            </w:r>
            <w:r>
              <w:rPr>
                <w:rFonts w:hint="eastAsia" w:ascii="微软雅黑" w:hAnsi="微软雅黑" w:eastAsia="微软雅黑" w:cs="微软雅黑"/>
                <w:i/>
                <w:color w:val="auto"/>
                <w:sz w:val="24"/>
                <w:highlight w:val="none"/>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8" w:hRule="atLeast"/>
        </w:trPr>
        <w:tc>
          <w:tcPr>
            <w:tcW w:w="867"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32</w:t>
            </w:r>
          </w:p>
        </w:tc>
        <w:tc>
          <w:tcPr>
            <w:tcW w:w="8500"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中标服务费：参照原国家计委计价格【2002】1980号文和国家发改委发改办价格【2003】857号文的计算方法收取由中标人支付。</w:t>
            </w:r>
          </w:p>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支付形式：对公转账 、电汇、网银</w:t>
            </w:r>
          </w:p>
          <w:p>
            <w:pP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支付时间：领取中标通知书时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7" w:hRule="atLeast"/>
        </w:trPr>
        <w:tc>
          <w:tcPr>
            <w:tcW w:w="867"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33.1</w:t>
            </w:r>
          </w:p>
        </w:tc>
        <w:tc>
          <w:tcPr>
            <w:tcW w:w="8500" w:type="dxa"/>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本项目是否属于信用担保试点范围：</w:t>
            </w:r>
            <w:r>
              <w:rPr>
                <w:rFonts w:hint="eastAsia" w:ascii="微软雅黑" w:hAnsi="微软雅黑" w:eastAsia="微软雅黑" w:cs="微软雅黑"/>
                <w:color w:val="auto"/>
                <w:sz w:val="24"/>
                <w:highlight w:val="none"/>
                <w:u w:val="single"/>
              </w:rPr>
              <w:t xml:space="preserve">  否  </w:t>
            </w:r>
            <w:r>
              <w:rPr>
                <w:rFonts w:hint="eastAsia" w:ascii="微软雅黑" w:hAnsi="微软雅黑" w:eastAsia="微软雅黑" w:cs="微软雅黑"/>
                <w:color w:val="auto"/>
                <w:sz w:val="24"/>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2" w:hRule="atLeast"/>
        </w:trPr>
        <w:tc>
          <w:tcPr>
            <w:tcW w:w="9367" w:type="dxa"/>
            <w:gridSpan w:val="2"/>
          </w:tcPr>
          <w:p>
            <w:pPr>
              <w:spacing w:line="400" w:lineRule="exact"/>
              <w:rPr>
                <w:rFonts w:ascii="微软雅黑" w:hAnsi="微软雅黑" w:eastAsia="微软雅黑" w:cs="微软雅黑"/>
                <w:color w:val="auto"/>
                <w:sz w:val="24"/>
                <w:highlight w:val="none"/>
              </w:rPr>
            </w:pPr>
          </w:p>
        </w:tc>
      </w:tr>
    </w:tbl>
    <w:p>
      <w:pPr>
        <w:spacing w:line="400" w:lineRule="exact"/>
        <w:ind w:left="1080" w:leftChars="257" w:hanging="540"/>
        <w:rPr>
          <w:rFonts w:ascii="微软雅黑" w:hAnsi="微软雅黑" w:eastAsia="微软雅黑" w:cs="微软雅黑"/>
          <w:color w:val="auto"/>
          <w:sz w:val="24"/>
          <w:highlight w:val="none"/>
        </w:rPr>
      </w:pPr>
    </w:p>
    <w:p>
      <w:pPr>
        <w:pStyle w:val="2"/>
        <w:spacing w:line="400" w:lineRule="exact"/>
        <w:rPr>
          <w:rFonts w:ascii="微软雅黑" w:hAnsi="微软雅黑" w:eastAsia="微软雅黑" w:cs="微软雅黑"/>
          <w:color w:val="auto"/>
          <w:szCs w:val="24"/>
          <w:highlight w:val="none"/>
        </w:rPr>
      </w:pPr>
    </w:p>
    <w:p>
      <w:pPr>
        <w:rPr>
          <w:rFonts w:ascii="宋体" w:hAnsi="宋体" w:cs="宋体"/>
          <w:color w:val="auto"/>
          <w:sz w:val="24"/>
          <w:highlight w:val="none"/>
        </w:rPr>
      </w:pPr>
    </w:p>
    <w:p>
      <w:pPr>
        <w:rPr>
          <w:color w:val="auto"/>
          <w:highlight w:val="none"/>
        </w:rPr>
      </w:pPr>
    </w:p>
    <w:p>
      <w:pPr>
        <w:pStyle w:val="2"/>
        <w:rPr>
          <w:rFonts w:hAnsi="宋体" w:cs="宋体"/>
          <w:color w:val="auto"/>
          <w:highlight w:val="none"/>
        </w:rPr>
      </w:pPr>
    </w:p>
    <w:p>
      <w:pPr>
        <w:pStyle w:val="2"/>
        <w:rPr>
          <w:rFonts w:hAnsi="宋体" w:cs="宋体"/>
          <w:color w:val="auto"/>
          <w:highlight w:val="none"/>
        </w:rPr>
      </w:pPr>
    </w:p>
    <w:p>
      <w:pPr>
        <w:pStyle w:val="2"/>
        <w:ind w:firstLine="0"/>
        <w:rPr>
          <w:rFonts w:hAnsi="宋体" w:cs="宋体"/>
          <w:color w:val="auto"/>
          <w:highlight w:val="none"/>
        </w:rPr>
        <w:sectPr>
          <w:pgSz w:w="11906" w:h="16838"/>
          <w:pgMar w:top="1440" w:right="1797" w:bottom="1440" w:left="1797" w:header="851" w:footer="992" w:gutter="0"/>
          <w:cols w:space="720" w:num="1"/>
          <w:docGrid w:linePitch="312" w:charSpace="0"/>
        </w:sectPr>
      </w:pPr>
    </w:p>
    <w:tbl>
      <w:tblPr>
        <w:tblStyle w:val="35"/>
        <w:tblpPr w:leftFromText="180" w:rightFromText="180" w:vertAnchor="text" w:horzAnchor="page" w:tblpXSpec="center" w:tblpY="433"/>
        <w:tblOverlap w:val="never"/>
        <w:tblW w:w="15152" w:type="dxa"/>
        <w:jc w:val="center"/>
        <w:tblLayout w:type="fixed"/>
        <w:tblCellMar>
          <w:top w:w="0" w:type="dxa"/>
          <w:left w:w="108" w:type="dxa"/>
          <w:bottom w:w="0" w:type="dxa"/>
          <w:right w:w="108" w:type="dxa"/>
        </w:tblCellMar>
      </w:tblPr>
      <w:tblGrid>
        <w:gridCol w:w="867"/>
        <w:gridCol w:w="1665"/>
        <w:gridCol w:w="2220"/>
        <w:gridCol w:w="1350"/>
        <w:gridCol w:w="2190"/>
        <w:gridCol w:w="885"/>
        <w:gridCol w:w="915"/>
        <w:gridCol w:w="1140"/>
        <w:gridCol w:w="1080"/>
        <w:gridCol w:w="825"/>
        <w:gridCol w:w="551"/>
        <w:gridCol w:w="1464"/>
      </w:tblGrid>
      <w:tr>
        <w:tblPrEx>
          <w:tblCellMar>
            <w:top w:w="0" w:type="dxa"/>
            <w:left w:w="108" w:type="dxa"/>
            <w:bottom w:w="0" w:type="dxa"/>
            <w:right w:w="108" w:type="dxa"/>
          </w:tblCellMar>
        </w:tblPrEx>
        <w:trPr>
          <w:trHeight w:val="365" w:hRule="atLeast"/>
          <w:jc w:val="center"/>
        </w:trPr>
        <w:tc>
          <w:tcPr>
            <w:tcW w:w="8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微软雅黑" w:hAnsi="微软雅黑" w:eastAsia="微软雅黑" w:cs="微软雅黑"/>
                <w:color w:val="auto"/>
                <w:kern w:val="0"/>
                <w:sz w:val="22"/>
                <w:szCs w:val="22"/>
                <w:highlight w:val="none"/>
              </w:rPr>
            </w:pPr>
            <w:r>
              <w:rPr>
                <w:rFonts w:hint="eastAsia" w:ascii="微软雅黑" w:hAnsi="微软雅黑" w:eastAsia="微软雅黑" w:cs="微软雅黑"/>
                <w:color w:val="auto"/>
                <w:kern w:val="0"/>
                <w:sz w:val="22"/>
                <w:szCs w:val="22"/>
                <w:highlight w:val="none"/>
              </w:rPr>
              <w:t>投标人名称</w:t>
            </w:r>
          </w:p>
        </w:tc>
        <w:tc>
          <w:tcPr>
            <w:tcW w:w="12821" w:type="dxa"/>
            <w:gridSpan w:val="10"/>
            <w:tcBorders>
              <w:top w:val="single" w:color="auto" w:sz="4" w:space="0"/>
              <w:left w:val="nil"/>
              <w:bottom w:val="single" w:color="auto" w:sz="4" w:space="0"/>
              <w:right w:val="single" w:color="auto" w:sz="4" w:space="0"/>
            </w:tcBorders>
            <w:vAlign w:val="center"/>
          </w:tcPr>
          <w:p>
            <w:pPr>
              <w:widowControl/>
              <w:spacing w:line="360" w:lineRule="exact"/>
              <w:jc w:val="center"/>
              <w:rPr>
                <w:rFonts w:ascii="微软雅黑" w:hAnsi="微软雅黑" w:eastAsia="微软雅黑" w:cs="微软雅黑"/>
                <w:color w:val="auto"/>
                <w:kern w:val="0"/>
                <w:sz w:val="22"/>
                <w:szCs w:val="22"/>
                <w:highlight w:val="none"/>
              </w:rPr>
            </w:pPr>
            <w:r>
              <w:rPr>
                <w:rFonts w:hint="eastAsia" w:ascii="微软雅黑" w:hAnsi="微软雅黑" w:eastAsia="微软雅黑" w:cs="微软雅黑"/>
                <w:color w:val="auto"/>
                <w:kern w:val="0"/>
                <w:sz w:val="22"/>
                <w:szCs w:val="22"/>
                <w:highlight w:val="none"/>
              </w:rPr>
              <w:t>审查项目</w:t>
            </w:r>
          </w:p>
        </w:tc>
        <w:tc>
          <w:tcPr>
            <w:tcW w:w="1464"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微软雅黑" w:hAnsi="微软雅黑" w:eastAsia="微软雅黑" w:cs="微软雅黑"/>
                <w:color w:val="auto"/>
                <w:kern w:val="0"/>
                <w:sz w:val="22"/>
                <w:szCs w:val="22"/>
                <w:highlight w:val="none"/>
              </w:rPr>
            </w:pPr>
            <w:r>
              <w:rPr>
                <w:rFonts w:hint="eastAsia" w:ascii="微软雅黑" w:hAnsi="微软雅黑" w:eastAsia="微软雅黑" w:cs="微软雅黑"/>
                <w:color w:val="auto"/>
                <w:kern w:val="0"/>
                <w:sz w:val="22"/>
                <w:szCs w:val="22"/>
                <w:highlight w:val="none"/>
              </w:rPr>
              <w:t>结论</w:t>
            </w:r>
          </w:p>
          <w:p>
            <w:pPr>
              <w:widowControl/>
              <w:spacing w:line="360" w:lineRule="exact"/>
              <w:jc w:val="center"/>
              <w:rPr>
                <w:rFonts w:ascii="微软雅黑" w:hAnsi="微软雅黑" w:eastAsia="微软雅黑" w:cs="微软雅黑"/>
                <w:color w:val="auto"/>
                <w:kern w:val="0"/>
                <w:sz w:val="22"/>
                <w:szCs w:val="22"/>
                <w:highlight w:val="none"/>
              </w:rPr>
            </w:pPr>
          </w:p>
          <w:p>
            <w:pPr>
              <w:widowControl/>
              <w:spacing w:line="360" w:lineRule="exact"/>
              <w:jc w:val="center"/>
              <w:rPr>
                <w:rFonts w:ascii="微软雅黑" w:hAnsi="微软雅黑" w:eastAsia="微软雅黑" w:cs="微软雅黑"/>
                <w:i/>
                <w:iCs/>
                <w:color w:val="auto"/>
                <w:kern w:val="0"/>
                <w:sz w:val="22"/>
                <w:szCs w:val="22"/>
                <w:highlight w:val="none"/>
              </w:rPr>
            </w:pPr>
          </w:p>
        </w:tc>
      </w:tr>
      <w:tr>
        <w:tblPrEx>
          <w:tblCellMar>
            <w:top w:w="0" w:type="dxa"/>
            <w:left w:w="108" w:type="dxa"/>
            <w:bottom w:w="0" w:type="dxa"/>
            <w:right w:w="108" w:type="dxa"/>
          </w:tblCellMar>
        </w:tblPrEx>
        <w:trPr>
          <w:trHeight w:val="3940"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p>
        </w:tc>
        <w:tc>
          <w:tcPr>
            <w:tcW w:w="1665" w:type="dxa"/>
            <w:tcBorders>
              <w:top w:val="nil"/>
              <w:left w:val="nil"/>
              <w:bottom w:val="single" w:color="auto" w:sz="4" w:space="0"/>
              <w:right w:val="single" w:color="auto" w:sz="4" w:space="0"/>
            </w:tcBorders>
            <w:vAlign w:val="center"/>
          </w:tcPr>
          <w:p>
            <w:pPr>
              <w:widowControl/>
              <w:spacing w:line="36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法人、非法人组织或者自然人资格证明文件（原件或国家认可的可扫描二维码的复印件加盖公章）</w:t>
            </w:r>
          </w:p>
        </w:tc>
        <w:tc>
          <w:tcPr>
            <w:tcW w:w="2220" w:type="dxa"/>
            <w:tcBorders>
              <w:top w:val="nil"/>
              <w:left w:val="nil"/>
              <w:bottom w:val="single" w:color="auto" w:sz="4" w:space="0"/>
              <w:right w:val="single" w:color="auto" w:sz="4" w:space="0"/>
            </w:tcBorders>
            <w:vAlign w:val="center"/>
          </w:tcPr>
          <w:p>
            <w:pPr>
              <w:widowControl/>
              <w:spacing w:line="36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授权委托人投标的需提供法人（负责人）代表资格证明书及授权委托书、被授权人身份证；法定代表人（负责人）投标的需提供法人（负责人）代表资格证明书及法人（负责人）身份证；授权委托人需提供本人在本单位近三个月单位社保缴费凭证和个人明细表</w:t>
            </w:r>
          </w:p>
        </w:tc>
        <w:tc>
          <w:tcPr>
            <w:tcW w:w="1350" w:type="dxa"/>
            <w:tcBorders>
              <w:top w:val="nil"/>
              <w:left w:val="nil"/>
              <w:bottom w:val="single" w:color="auto" w:sz="4" w:space="0"/>
              <w:right w:val="single" w:color="auto" w:sz="4" w:space="0"/>
            </w:tcBorders>
            <w:vAlign w:val="center"/>
          </w:tcPr>
          <w:p>
            <w:pPr>
              <w:widowControl/>
              <w:spacing w:line="36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2020年度财务审计报告（新公司或其他组织和自然人提供银行出具的资信证明）</w:t>
            </w:r>
          </w:p>
        </w:tc>
        <w:tc>
          <w:tcPr>
            <w:tcW w:w="2190" w:type="dxa"/>
            <w:tcBorders>
              <w:top w:val="nil"/>
              <w:left w:val="nil"/>
              <w:bottom w:val="single" w:color="auto" w:sz="4" w:space="0"/>
              <w:right w:val="single" w:color="auto" w:sz="4" w:space="0"/>
            </w:tcBorders>
            <w:vAlign w:val="center"/>
          </w:tcPr>
          <w:p>
            <w:pPr>
              <w:widowControl/>
              <w:spacing w:line="36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未被“信用中国”（www.creditchina.gov.cn）列入失信被执行人和重大税收违法案件当事人名单，未被“中国政府采购网”（www.ccgp.gov.cn） 列入政府采购严重违法失信行为记录名单，未在财政部门或行业主管部门禁止参加政府采购活动时间及地域范围内</w:t>
            </w:r>
          </w:p>
        </w:tc>
        <w:tc>
          <w:tcPr>
            <w:tcW w:w="885" w:type="dxa"/>
            <w:tcBorders>
              <w:top w:val="nil"/>
              <w:left w:val="nil"/>
              <w:bottom w:val="single" w:color="auto" w:sz="4" w:space="0"/>
              <w:right w:val="single" w:color="auto" w:sz="4" w:space="0"/>
            </w:tcBorders>
            <w:vAlign w:val="center"/>
          </w:tcPr>
          <w:p>
            <w:pPr>
              <w:widowControl/>
              <w:spacing w:line="360" w:lineRule="exact"/>
              <w:rPr>
                <w:rFonts w:ascii="微软雅黑" w:hAnsi="微软雅黑" w:eastAsia="微软雅黑" w:cs="微软雅黑"/>
                <w:color w:val="auto"/>
                <w:kern w:val="0"/>
                <w:sz w:val="22"/>
                <w:szCs w:val="22"/>
                <w:highlight w:val="none"/>
              </w:rPr>
            </w:pPr>
            <w:r>
              <w:rPr>
                <w:rFonts w:hint="eastAsia" w:ascii="微软雅黑" w:hAnsi="微软雅黑" w:eastAsia="微软雅黑" w:cs="微软雅黑"/>
                <w:color w:val="auto"/>
                <w:kern w:val="0"/>
                <w:sz w:val="22"/>
                <w:szCs w:val="22"/>
                <w:highlight w:val="none"/>
              </w:rPr>
              <w:t>提供本单位在参加政府采购活动中前三年内无重大违法记录的承诺书</w:t>
            </w:r>
          </w:p>
        </w:tc>
        <w:tc>
          <w:tcPr>
            <w:tcW w:w="915" w:type="dxa"/>
            <w:tcBorders>
              <w:top w:val="nil"/>
              <w:left w:val="nil"/>
              <w:bottom w:val="single" w:color="auto" w:sz="4" w:space="0"/>
              <w:right w:val="single" w:color="auto" w:sz="4" w:space="0"/>
            </w:tcBorders>
            <w:vAlign w:val="center"/>
          </w:tcPr>
          <w:p>
            <w:pPr>
              <w:widowControl/>
              <w:spacing w:line="360" w:lineRule="exact"/>
              <w:rPr>
                <w:rFonts w:ascii="微软雅黑" w:hAnsi="微软雅黑" w:eastAsia="微软雅黑" w:cs="微软雅黑"/>
                <w:color w:val="auto"/>
                <w:kern w:val="0"/>
                <w:sz w:val="22"/>
                <w:szCs w:val="22"/>
                <w:highlight w:val="none"/>
              </w:rPr>
            </w:pPr>
            <w:r>
              <w:rPr>
                <w:rFonts w:hint="eastAsia" w:ascii="微软雅黑" w:hAnsi="微软雅黑" w:eastAsia="微软雅黑" w:cs="微软雅黑"/>
                <w:color w:val="auto"/>
                <w:kern w:val="0"/>
                <w:sz w:val="22"/>
                <w:szCs w:val="22"/>
                <w:highlight w:val="none"/>
              </w:rPr>
              <w:t>提供针对本次采购项目《反商业贿赂承诺书》</w:t>
            </w:r>
          </w:p>
        </w:tc>
        <w:tc>
          <w:tcPr>
            <w:tcW w:w="1140" w:type="dxa"/>
            <w:tcBorders>
              <w:top w:val="nil"/>
              <w:left w:val="nil"/>
              <w:bottom w:val="single" w:color="auto" w:sz="4" w:space="0"/>
              <w:right w:val="single" w:color="auto" w:sz="4" w:space="0"/>
            </w:tcBorders>
            <w:vAlign w:val="center"/>
          </w:tcPr>
          <w:p>
            <w:pPr>
              <w:widowControl/>
              <w:spacing w:line="360" w:lineRule="exact"/>
              <w:jc w:val="center"/>
              <w:rPr>
                <w:rFonts w:ascii="微软雅黑" w:hAnsi="微软雅黑" w:eastAsia="微软雅黑" w:cs="微软雅黑"/>
                <w:color w:val="auto"/>
                <w:kern w:val="0"/>
                <w:sz w:val="22"/>
                <w:szCs w:val="22"/>
                <w:highlight w:val="none"/>
              </w:rPr>
            </w:pPr>
            <w:r>
              <w:rPr>
                <w:rFonts w:hint="eastAsia" w:ascii="微软雅黑" w:hAnsi="微软雅黑" w:eastAsia="微软雅黑" w:cs="微软雅黑"/>
                <w:color w:val="auto"/>
                <w:kern w:val="0"/>
                <w:sz w:val="22"/>
                <w:szCs w:val="22"/>
                <w:highlight w:val="none"/>
              </w:rPr>
              <w:t>提供税务部门出具的近三个月的完税证明（或申报记录）</w:t>
            </w:r>
          </w:p>
        </w:tc>
        <w:tc>
          <w:tcPr>
            <w:tcW w:w="1080" w:type="dxa"/>
            <w:tcBorders>
              <w:top w:val="nil"/>
              <w:left w:val="nil"/>
              <w:bottom w:val="single" w:color="auto" w:sz="4" w:space="0"/>
              <w:right w:val="single" w:color="auto" w:sz="4" w:space="0"/>
            </w:tcBorders>
            <w:vAlign w:val="center"/>
          </w:tcPr>
          <w:p>
            <w:pPr>
              <w:widowControl/>
              <w:spacing w:line="360" w:lineRule="exact"/>
              <w:rPr>
                <w:rFonts w:ascii="微软雅黑" w:hAnsi="微软雅黑" w:eastAsia="微软雅黑" w:cs="微软雅黑"/>
                <w:color w:val="auto"/>
                <w:kern w:val="0"/>
                <w:sz w:val="22"/>
                <w:szCs w:val="22"/>
                <w:highlight w:val="none"/>
              </w:rPr>
            </w:pPr>
            <w:r>
              <w:rPr>
                <w:rFonts w:hint="eastAsia" w:ascii="微软雅黑" w:hAnsi="微软雅黑" w:eastAsia="微软雅黑" w:cs="微软雅黑"/>
                <w:color w:val="auto"/>
                <w:kern w:val="0"/>
                <w:sz w:val="22"/>
                <w:szCs w:val="22"/>
                <w:highlight w:val="none"/>
              </w:rPr>
              <w:t>缴纳投标保证金收据及银行转账/电汇回执单复印件</w:t>
            </w:r>
          </w:p>
        </w:tc>
        <w:tc>
          <w:tcPr>
            <w:tcW w:w="825" w:type="dxa"/>
            <w:tcBorders>
              <w:top w:val="nil"/>
              <w:left w:val="nil"/>
              <w:bottom w:val="single" w:color="auto" w:sz="4" w:space="0"/>
              <w:right w:val="single" w:color="auto" w:sz="4" w:space="0"/>
            </w:tcBorders>
            <w:vAlign w:val="center"/>
          </w:tcPr>
          <w:p>
            <w:pPr>
              <w:widowControl/>
              <w:spacing w:line="360" w:lineRule="exact"/>
              <w:jc w:val="center"/>
              <w:rPr>
                <w:rFonts w:ascii="微软雅黑" w:hAnsi="微软雅黑" w:eastAsia="微软雅黑" w:cs="微软雅黑"/>
                <w:color w:val="auto"/>
                <w:kern w:val="0"/>
                <w:sz w:val="22"/>
                <w:szCs w:val="22"/>
                <w:highlight w:val="none"/>
              </w:rPr>
            </w:pPr>
            <w:r>
              <w:rPr>
                <w:rFonts w:hint="eastAsia" w:ascii="微软雅黑" w:hAnsi="微软雅黑" w:eastAsia="微软雅黑" w:cs="微软雅黑"/>
                <w:color w:val="auto"/>
                <w:kern w:val="0"/>
                <w:sz w:val="22"/>
                <w:szCs w:val="22"/>
                <w:highlight w:val="none"/>
              </w:rPr>
              <w:t>标书密封情况</w:t>
            </w:r>
          </w:p>
        </w:tc>
        <w:tc>
          <w:tcPr>
            <w:tcW w:w="551" w:type="dxa"/>
            <w:tcBorders>
              <w:top w:val="nil"/>
              <w:left w:val="nil"/>
              <w:bottom w:val="single" w:color="auto" w:sz="4" w:space="0"/>
              <w:right w:val="single" w:color="auto" w:sz="4" w:space="0"/>
            </w:tcBorders>
            <w:vAlign w:val="center"/>
          </w:tcPr>
          <w:p>
            <w:pPr>
              <w:widowControl/>
              <w:spacing w:line="360" w:lineRule="exact"/>
              <w:jc w:val="center"/>
              <w:rPr>
                <w:rFonts w:ascii="微软雅黑" w:hAnsi="微软雅黑" w:eastAsia="微软雅黑" w:cs="微软雅黑"/>
                <w:color w:val="auto"/>
                <w:kern w:val="0"/>
                <w:sz w:val="22"/>
                <w:szCs w:val="22"/>
                <w:highlight w:val="none"/>
              </w:rPr>
            </w:pPr>
            <w:r>
              <w:rPr>
                <w:rFonts w:hint="eastAsia" w:ascii="微软雅黑" w:hAnsi="微软雅黑" w:eastAsia="微软雅黑" w:cs="微软雅黑"/>
                <w:color w:val="auto"/>
                <w:kern w:val="0"/>
                <w:sz w:val="22"/>
                <w:szCs w:val="22"/>
                <w:highlight w:val="none"/>
              </w:rPr>
              <w:t>投标代表签字确认</w:t>
            </w:r>
          </w:p>
        </w:tc>
        <w:tc>
          <w:tcPr>
            <w:tcW w:w="1464"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微软雅黑" w:hAnsi="微软雅黑" w:eastAsia="微软雅黑" w:cs="微软雅黑"/>
                <w:i/>
                <w:iCs/>
                <w:color w:val="auto"/>
                <w:kern w:val="0"/>
                <w:sz w:val="22"/>
                <w:szCs w:val="22"/>
                <w:highlight w:val="none"/>
              </w:rPr>
            </w:pPr>
          </w:p>
        </w:tc>
      </w:tr>
      <w:tr>
        <w:tblPrEx>
          <w:tblCellMar>
            <w:top w:w="0" w:type="dxa"/>
            <w:left w:w="108" w:type="dxa"/>
            <w:bottom w:w="0" w:type="dxa"/>
            <w:right w:w="108" w:type="dxa"/>
          </w:tblCellMar>
        </w:tblPrEx>
        <w:trPr>
          <w:trHeight w:val="719" w:hRule="atLeast"/>
          <w:jc w:val="center"/>
        </w:trPr>
        <w:tc>
          <w:tcPr>
            <w:tcW w:w="867"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r>
              <w:rPr>
                <w:rFonts w:hint="eastAsia" w:ascii="微软雅黑" w:hAnsi="微软雅黑" w:eastAsia="微软雅黑" w:cs="微软雅黑"/>
                <w:color w:val="auto"/>
                <w:kern w:val="0"/>
                <w:sz w:val="22"/>
                <w:szCs w:val="22"/>
                <w:highlight w:val="none"/>
              </w:rPr>
              <w:t>...</w:t>
            </w:r>
          </w:p>
        </w:tc>
        <w:tc>
          <w:tcPr>
            <w:tcW w:w="1665" w:type="dxa"/>
            <w:tcBorders>
              <w:top w:val="nil"/>
              <w:left w:val="nil"/>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r>
              <w:rPr>
                <w:rFonts w:hint="eastAsia" w:ascii="微软雅黑" w:hAnsi="微软雅黑" w:eastAsia="微软雅黑" w:cs="微软雅黑"/>
                <w:color w:val="auto"/>
                <w:kern w:val="0"/>
                <w:sz w:val="22"/>
                <w:szCs w:val="22"/>
                <w:highlight w:val="none"/>
              </w:rPr>
              <w:t>　</w:t>
            </w:r>
          </w:p>
        </w:tc>
        <w:tc>
          <w:tcPr>
            <w:tcW w:w="2220" w:type="dxa"/>
            <w:tcBorders>
              <w:top w:val="nil"/>
              <w:left w:val="nil"/>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p>
        </w:tc>
        <w:tc>
          <w:tcPr>
            <w:tcW w:w="1350" w:type="dxa"/>
            <w:tcBorders>
              <w:top w:val="nil"/>
              <w:left w:val="nil"/>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p>
        </w:tc>
        <w:tc>
          <w:tcPr>
            <w:tcW w:w="2190" w:type="dxa"/>
            <w:tcBorders>
              <w:top w:val="nil"/>
              <w:left w:val="nil"/>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r>
              <w:rPr>
                <w:rFonts w:hint="eastAsia" w:ascii="微软雅黑" w:hAnsi="微软雅黑" w:eastAsia="微软雅黑" w:cs="微软雅黑"/>
                <w:color w:val="auto"/>
                <w:kern w:val="0"/>
                <w:sz w:val="22"/>
                <w:szCs w:val="22"/>
                <w:highlight w:val="none"/>
              </w:rPr>
              <w:t>　</w:t>
            </w:r>
          </w:p>
          <w:p>
            <w:pPr>
              <w:widowControl/>
              <w:spacing w:line="360" w:lineRule="exact"/>
              <w:jc w:val="left"/>
              <w:rPr>
                <w:rFonts w:ascii="微软雅黑" w:hAnsi="微软雅黑" w:eastAsia="微软雅黑" w:cs="微软雅黑"/>
                <w:color w:val="auto"/>
                <w:kern w:val="0"/>
                <w:sz w:val="22"/>
                <w:szCs w:val="22"/>
                <w:highlight w:val="none"/>
              </w:rPr>
            </w:pPr>
            <w:r>
              <w:rPr>
                <w:rFonts w:hint="eastAsia" w:ascii="微软雅黑" w:hAnsi="微软雅黑" w:eastAsia="微软雅黑" w:cs="微软雅黑"/>
                <w:color w:val="auto"/>
                <w:kern w:val="0"/>
                <w:sz w:val="22"/>
                <w:szCs w:val="22"/>
                <w:highlight w:val="none"/>
              </w:rPr>
              <w:t>　</w:t>
            </w:r>
          </w:p>
        </w:tc>
        <w:tc>
          <w:tcPr>
            <w:tcW w:w="885" w:type="dxa"/>
            <w:tcBorders>
              <w:top w:val="nil"/>
              <w:left w:val="nil"/>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r>
              <w:rPr>
                <w:rFonts w:hint="eastAsia" w:ascii="微软雅黑" w:hAnsi="微软雅黑" w:eastAsia="微软雅黑" w:cs="微软雅黑"/>
                <w:color w:val="auto"/>
                <w:kern w:val="0"/>
                <w:sz w:val="22"/>
                <w:szCs w:val="22"/>
                <w:highlight w:val="none"/>
              </w:rPr>
              <w:t>　</w:t>
            </w:r>
          </w:p>
        </w:tc>
        <w:tc>
          <w:tcPr>
            <w:tcW w:w="915" w:type="dxa"/>
            <w:tcBorders>
              <w:top w:val="nil"/>
              <w:left w:val="nil"/>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r>
              <w:rPr>
                <w:rFonts w:hint="eastAsia" w:ascii="微软雅黑" w:hAnsi="微软雅黑" w:eastAsia="微软雅黑" w:cs="微软雅黑"/>
                <w:color w:val="auto"/>
                <w:kern w:val="0"/>
                <w:sz w:val="22"/>
                <w:szCs w:val="22"/>
                <w:highlight w:val="none"/>
              </w:rPr>
              <w:t>　</w:t>
            </w:r>
          </w:p>
        </w:tc>
        <w:tc>
          <w:tcPr>
            <w:tcW w:w="1140" w:type="dxa"/>
            <w:tcBorders>
              <w:top w:val="nil"/>
              <w:left w:val="nil"/>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r>
              <w:rPr>
                <w:rFonts w:hint="eastAsia" w:ascii="微软雅黑" w:hAnsi="微软雅黑" w:eastAsia="微软雅黑" w:cs="微软雅黑"/>
                <w:color w:val="auto"/>
                <w:kern w:val="0"/>
                <w:sz w:val="22"/>
                <w:szCs w:val="22"/>
                <w:highlight w:val="none"/>
              </w:rPr>
              <w:t>　</w:t>
            </w:r>
          </w:p>
          <w:p>
            <w:pPr>
              <w:widowControl/>
              <w:spacing w:line="360" w:lineRule="exact"/>
              <w:jc w:val="left"/>
              <w:rPr>
                <w:rFonts w:ascii="微软雅黑" w:hAnsi="微软雅黑" w:eastAsia="微软雅黑" w:cs="微软雅黑"/>
                <w:color w:val="auto"/>
                <w:kern w:val="0"/>
                <w:sz w:val="22"/>
                <w:szCs w:val="22"/>
                <w:highlight w:val="none"/>
              </w:rPr>
            </w:pPr>
            <w:r>
              <w:rPr>
                <w:rFonts w:hint="eastAsia" w:ascii="微软雅黑" w:hAnsi="微软雅黑" w:eastAsia="微软雅黑" w:cs="微软雅黑"/>
                <w:color w:val="auto"/>
                <w:kern w:val="0"/>
                <w:sz w:val="22"/>
                <w:szCs w:val="22"/>
                <w:highlight w:val="none"/>
              </w:rPr>
              <w:t>　</w:t>
            </w:r>
          </w:p>
        </w:tc>
        <w:tc>
          <w:tcPr>
            <w:tcW w:w="1080" w:type="dxa"/>
            <w:tcBorders>
              <w:top w:val="nil"/>
              <w:left w:val="nil"/>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r>
              <w:rPr>
                <w:rFonts w:hint="eastAsia" w:ascii="微软雅黑" w:hAnsi="微软雅黑" w:eastAsia="微软雅黑" w:cs="微软雅黑"/>
                <w:color w:val="auto"/>
                <w:kern w:val="0"/>
                <w:sz w:val="22"/>
                <w:szCs w:val="22"/>
                <w:highlight w:val="none"/>
              </w:rPr>
              <w:t>　</w:t>
            </w:r>
          </w:p>
          <w:p>
            <w:pPr>
              <w:widowControl/>
              <w:spacing w:line="360" w:lineRule="exact"/>
              <w:jc w:val="left"/>
              <w:rPr>
                <w:rFonts w:ascii="微软雅黑" w:hAnsi="微软雅黑" w:eastAsia="微软雅黑" w:cs="微软雅黑"/>
                <w:color w:val="auto"/>
                <w:kern w:val="0"/>
                <w:sz w:val="22"/>
                <w:szCs w:val="22"/>
                <w:highlight w:val="none"/>
              </w:rPr>
            </w:pPr>
            <w:r>
              <w:rPr>
                <w:rFonts w:hint="eastAsia" w:ascii="微软雅黑" w:hAnsi="微软雅黑" w:eastAsia="微软雅黑" w:cs="微软雅黑"/>
                <w:color w:val="auto"/>
                <w:kern w:val="0"/>
                <w:sz w:val="22"/>
                <w:szCs w:val="22"/>
                <w:highlight w:val="none"/>
              </w:rPr>
              <w:t>　</w:t>
            </w:r>
          </w:p>
        </w:tc>
        <w:tc>
          <w:tcPr>
            <w:tcW w:w="825" w:type="dxa"/>
            <w:tcBorders>
              <w:top w:val="nil"/>
              <w:left w:val="nil"/>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p>
        </w:tc>
        <w:tc>
          <w:tcPr>
            <w:tcW w:w="551" w:type="dxa"/>
            <w:tcBorders>
              <w:top w:val="nil"/>
              <w:left w:val="nil"/>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p>
        </w:tc>
        <w:tc>
          <w:tcPr>
            <w:tcW w:w="1464" w:type="dxa"/>
            <w:tcBorders>
              <w:top w:val="nil"/>
              <w:left w:val="nil"/>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p>
        </w:tc>
      </w:tr>
      <w:tr>
        <w:tblPrEx>
          <w:tblCellMar>
            <w:top w:w="0" w:type="dxa"/>
            <w:left w:w="108" w:type="dxa"/>
            <w:bottom w:w="0" w:type="dxa"/>
            <w:right w:w="108" w:type="dxa"/>
          </w:tblCellMar>
        </w:tblPrEx>
        <w:trPr>
          <w:trHeight w:val="728" w:hRule="atLeast"/>
          <w:jc w:val="center"/>
        </w:trPr>
        <w:tc>
          <w:tcPr>
            <w:tcW w:w="867"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r>
              <w:rPr>
                <w:rFonts w:hint="eastAsia" w:ascii="微软雅黑" w:hAnsi="微软雅黑" w:eastAsia="微软雅黑" w:cs="微软雅黑"/>
                <w:color w:val="auto"/>
                <w:kern w:val="0"/>
                <w:sz w:val="22"/>
                <w:szCs w:val="22"/>
                <w:highlight w:val="none"/>
              </w:rPr>
              <w:t>...</w:t>
            </w:r>
          </w:p>
        </w:tc>
        <w:tc>
          <w:tcPr>
            <w:tcW w:w="1665" w:type="dxa"/>
            <w:tcBorders>
              <w:top w:val="nil"/>
              <w:left w:val="nil"/>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p>
        </w:tc>
        <w:tc>
          <w:tcPr>
            <w:tcW w:w="2220" w:type="dxa"/>
            <w:tcBorders>
              <w:top w:val="nil"/>
              <w:left w:val="nil"/>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p>
        </w:tc>
        <w:tc>
          <w:tcPr>
            <w:tcW w:w="1350" w:type="dxa"/>
            <w:tcBorders>
              <w:top w:val="nil"/>
              <w:left w:val="nil"/>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p>
        </w:tc>
        <w:tc>
          <w:tcPr>
            <w:tcW w:w="2190" w:type="dxa"/>
            <w:tcBorders>
              <w:top w:val="nil"/>
              <w:left w:val="nil"/>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p>
        </w:tc>
        <w:tc>
          <w:tcPr>
            <w:tcW w:w="885" w:type="dxa"/>
            <w:tcBorders>
              <w:top w:val="nil"/>
              <w:left w:val="nil"/>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p>
        </w:tc>
        <w:tc>
          <w:tcPr>
            <w:tcW w:w="915" w:type="dxa"/>
            <w:tcBorders>
              <w:top w:val="nil"/>
              <w:left w:val="nil"/>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p>
        </w:tc>
        <w:tc>
          <w:tcPr>
            <w:tcW w:w="1140" w:type="dxa"/>
            <w:tcBorders>
              <w:top w:val="nil"/>
              <w:left w:val="nil"/>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p>
        </w:tc>
        <w:tc>
          <w:tcPr>
            <w:tcW w:w="1080" w:type="dxa"/>
            <w:tcBorders>
              <w:top w:val="nil"/>
              <w:left w:val="nil"/>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p>
        </w:tc>
        <w:tc>
          <w:tcPr>
            <w:tcW w:w="825" w:type="dxa"/>
            <w:tcBorders>
              <w:top w:val="nil"/>
              <w:left w:val="nil"/>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p>
        </w:tc>
        <w:tc>
          <w:tcPr>
            <w:tcW w:w="551" w:type="dxa"/>
            <w:tcBorders>
              <w:top w:val="nil"/>
              <w:left w:val="nil"/>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p>
        </w:tc>
        <w:tc>
          <w:tcPr>
            <w:tcW w:w="1464" w:type="dxa"/>
            <w:tcBorders>
              <w:top w:val="nil"/>
              <w:left w:val="nil"/>
              <w:bottom w:val="single" w:color="auto" w:sz="4" w:space="0"/>
              <w:right w:val="single" w:color="auto" w:sz="4" w:space="0"/>
            </w:tcBorders>
            <w:vAlign w:val="center"/>
          </w:tcPr>
          <w:p>
            <w:pPr>
              <w:widowControl/>
              <w:spacing w:line="360" w:lineRule="exact"/>
              <w:jc w:val="left"/>
              <w:rPr>
                <w:rFonts w:ascii="微软雅黑" w:hAnsi="微软雅黑" w:eastAsia="微软雅黑" w:cs="微软雅黑"/>
                <w:color w:val="auto"/>
                <w:kern w:val="0"/>
                <w:sz w:val="22"/>
                <w:szCs w:val="22"/>
                <w:highlight w:val="none"/>
              </w:rPr>
            </w:pPr>
          </w:p>
        </w:tc>
      </w:tr>
    </w:tbl>
    <w:p>
      <w:pPr>
        <w:widowControl/>
        <w:spacing w:line="360" w:lineRule="exact"/>
        <w:jc w:val="center"/>
        <w:rPr>
          <w:rFonts w:ascii="宋体" w:hAnsi="宋体" w:cs="宋体"/>
          <w:color w:val="auto"/>
          <w:sz w:val="24"/>
          <w:highlight w:val="none"/>
        </w:rPr>
      </w:pPr>
      <w:r>
        <w:rPr>
          <w:rFonts w:hint="eastAsia" w:ascii="微软雅黑" w:hAnsi="微软雅黑" w:eastAsia="微软雅黑" w:cs="微软雅黑"/>
          <w:b/>
          <w:color w:val="auto"/>
          <w:kern w:val="0"/>
          <w:sz w:val="28"/>
          <w:szCs w:val="28"/>
          <w:highlight w:val="none"/>
        </w:rPr>
        <w:t>进场资格审查表</w:t>
      </w:r>
    </w:p>
    <w:p>
      <w:pPr>
        <w:pStyle w:val="2"/>
        <w:ind w:firstLine="0"/>
        <w:rPr>
          <w:rFonts w:hAnsi="宋体" w:cs="宋体"/>
          <w:color w:val="auto"/>
          <w:highlight w:val="none"/>
        </w:rPr>
      </w:pPr>
    </w:p>
    <w:p>
      <w:pPr>
        <w:tabs>
          <w:tab w:val="left" w:pos="827"/>
        </w:tabs>
        <w:jc w:val="left"/>
        <w:rPr>
          <w:color w:val="auto"/>
          <w:highlight w:val="none"/>
        </w:rPr>
        <w:sectPr>
          <w:pgSz w:w="16838" w:h="11905" w:orient="landscape"/>
          <w:pgMar w:top="1797" w:right="1440" w:bottom="1797" w:left="1440" w:header="851" w:footer="992" w:gutter="0"/>
          <w:cols w:space="0" w:num="1"/>
          <w:docGrid w:linePitch="312" w:charSpace="0"/>
        </w:sectPr>
      </w:pPr>
      <w:r>
        <w:rPr>
          <w:rFonts w:hint="eastAsia"/>
          <w:color w:val="auto"/>
          <w:highlight w:val="none"/>
        </w:rPr>
        <w:tab/>
      </w:r>
      <w:r>
        <w:rPr>
          <w:rFonts w:hint="eastAsia"/>
          <w:color w:val="auto"/>
          <w:highlight w:val="none"/>
        </w:rPr>
        <w:t>招标人（签字）：         监督人（签字）：         日期：   年  月  日</w:t>
      </w:r>
    </w:p>
    <w:p>
      <w:pPr>
        <w:pStyle w:val="3"/>
        <w:tabs>
          <w:tab w:val="left" w:pos="0"/>
        </w:tabs>
        <w:spacing w:before="0" w:after="0" w:line="240" w:lineRule="atLeast"/>
        <w:rPr>
          <w:rFonts w:ascii="微软雅黑" w:hAnsi="微软雅黑" w:eastAsia="微软雅黑" w:cs="微软雅黑"/>
          <w:color w:val="auto"/>
          <w:highlight w:val="none"/>
        </w:rPr>
      </w:pPr>
      <w:bookmarkStart w:id="385" w:name="_Toc9887"/>
      <w:bookmarkStart w:id="386" w:name="_Toc9032"/>
      <w:bookmarkStart w:id="387" w:name="_Toc218935354"/>
      <w:bookmarkStart w:id="388" w:name="_Toc515647831"/>
      <w:bookmarkStart w:id="389" w:name="_Toc512937852"/>
      <w:bookmarkStart w:id="390" w:name="_Toc216582825"/>
      <w:bookmarkStart w:id="391" w:name="_Toc507399906"/>
      <w:bookmarkStart w:id="392" w:name="_Toc219175638"/>
      <w:r>
        <w:rPr>
          <w:rFonts w:hint="eastAsia" w:ascii="微软雅黑" w:hAnsi="微软雅黑" w:eastAsia="微软雅黑" w:cs="微软雅黑"/>
          <w:color w:val="auto"/>
          <w:highlight w:val="none"/>
        </w:rPr>
        <w:t xml:space="preserve">第5章 </w:t>
      </w:r>
      <w:bookmarkStart w:id="393" w:name="_Toc27439"/>
      <w:bookmarkStart w:id="394" w:name="_Toc23209"/>
      <w:r>
        <w:rPr>
          <w:rFonts w:hint="eastAsia" w:ascii="微软雅黑" w:hAnsi="微软雅黑" w:eastAsia="微软雅黑" w:cs="微软雅黑"/>
          <w:color w:val="auto"/>
          <w:highlight w:val="none"/>
        </w:rPr>
        <w:t>需求一览表及</w:t>
      </w:r>
      <w:bookmarkEnd w:id="385"/>
      <w:bookmarkEnd w:id="386"/>
      <w:bookmarkEnd w:id="387"/>
      <w:bookmarkEnd w:id="388"/>
      <w:bookmarkEnd w:id="389"/>
      <w:bookmarkEnd w:id="390"/>
      <w:bookmarkEnd w:id="391"/>
      <w:bookmarkEnd w:id="392"/>
      <w:bookmarkEnd w:id="393"/>
      <w:bookmarkEnd w:id="394"/>
      <w:bookmarkStart w:id="395" w:name="_Toc216582826"/>
      <w:bookmarkStart w:id="396" w:name="_Toc515647832"/>
      <w:bookmarkStart w:id="397" w:name="_Toc7971"/>
      <w:bookmarkStart w:id="398" w:name="_Toc32647"/>
      <w:bookmarkStart w:id="399" w:name="_Toc219175639"/>
      <w:bookmarkStart w:id="400" w:name="_Toc218935355"/>
      <w:bookmarkStart w:id="401" w:name="_Toc507399907"/>
      <w:r>
        <w:rPr>
          <w:rFonts w:hint="eastAsia" w:ascii="微软雅黑" w:hAnsi="微软雅黑" w:eastAsia="微软雅黑" w:cs="微软雅黑"/>
          <w:color w:val="auto"/>
          <w:highlight w:val="none"/>
        </w:rPr>
        <w:t>技术规格</w:t>
      </w:r>
    </w:p>
    <w:p>
      <w:pPr>
        <w:jc w:val="center"/>
        <w:rPr>
          <w:rFonts w:ascii="微软雅黑" w:hAnsi="微软雅黑" w:eastAsia="微软雅黑" w:cs="微软雅黑"/>
          <w:color w:val="auto"/>
          <w:highlight w:val="none"/>
        </w:rPr>
      </w:pPr>
    </w:p>
    <w:p>
      <w:pPr>
        <w:pStyle w:val="2"/>
        <w:jc w:val="center"/>
        <w:rPr>
          <w:rFonts w:ascii="微软雅黑" w:hAnsi="微软雅黑" w:eastAsia="微软雅黑" w:cs="微软雅黑"/>
          <w:b/>
          <w:color w:val="auto"/>
          <w:kern w:val="44"/>
          <w:sz w:val="32"/>
          <w:highlight w:val="none"/>
        </w:rPr>
      </w:pPr>
      <w:r>
        <w:rPr>
          <w:rFonts w:hint="eastAsia" w:ascii="微软雅黑" w:hAnsi="微软雅黑" w:eastAsia="微软雅黑" w:cs="微软雅黑"/>
          <w:b/>
          <w:color w:val="auto"/>
          <w:kern w:val="44"/>
          <w:sz w:val="32"/>
          <w:highlight w:val="none"/>
        </w:rPr>
        <w:t>采购需求计划表</w:t>
      </w:r>
    </w:p>
    <w:tbl>
      <w:tblPr>
        <w:tblStyle w:val="35"/>
        <w:tblpPr w:leftFromText="180" w:rightFromText="180" w:vertAnchor="text" w:horzAnchor="page" w:tblpX="1690" w:tblpY="238"/>
        <w:tblOverlap w:val="never"/>
        <w:tblW w:w="844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
      <w:tblGrid>
        <w:gridCol w:w="724"/>
        <w:gridCol w:w="994"/>
        <w:gridCol w:w="1335"/>
        <w:gridCol w:w="2488"/>
        <w:gridCol w:w="690"/>
        <w:gridCol w:w="480"/>
        <w:gridCol w:w="720"/>
        <w:gridCol w:w="101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1272" w:hRule="exact"/>
        </w:trPr>
        <w:tc>
          <w:tcPr>
            <w:tcW w:w="724"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序号</w:t>
            </w:r>
          </w:p>
        </w:tc>
        <w:tc>
          <w:tcPr>
            <w:tcW w:w="994"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物资名称</w:t>
            </w:r>
          </w:p>
        </w:tc>
        <w:tc>
          <w:tcPr>
            <w:tcW w:w="1335"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分类</w:t>
            </w:r>
          </w:p>
        </w:tc>
        <w:tc>
          <w:tcPr>
            <w:tcW w:w="2488"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规格型号参数</w:t>
            </w:r>
          </w:p>
        </w:tc>
        <w:tc>
          <w:tcPr>
            <w:tcW w:w="69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计量</w:t>
            </w:r>
          </w:p>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单位</w:t>
            </w:r>
          </w:p>
        </w:tc>
        <w:tc>
          <w:tcPr>
            <w:tcW w:w="48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采购</w:t>
            </w:r>
          </w:p>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数量</w:t>
            </w:r>
          </w:p>
        </w:tc>
        <w:tc>
          <w:tcPr>
            <w:tcW w:w="72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单价</w:t>
            </w:r>
          </w:p>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（元）</w:t>
            </w:r>
          </w:p>
        </w:tc>
        <w:tc>
          <w:tcPr>
            <w:tcW w:w="1015"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合价（元）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1134" w:hRule="exact"/>
        </w:trPr>
        <w:tc>
          <w:tcPr>
            <w:tcW w:w="724"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1</w:t>
            </w:r>
          </w:p>
        </w:tc>
        <w:tc>
          <w:tcPr>
            <w:tcW w:w="994"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乡村振兴管理平台</w:t>
            </w:r>
          </w:p>
        </w:tc>
        <w:tc>
          <w:tcPr>
            <w:tcW w:w="1335"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软件部分</w:t>
            </w:r>
          </w:p>
        </w:tc>
        <w:tc>
          <w:tcPr>
            <w:tcW w:w="2488"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统一门户、大数据驾驶舱</w:t>
            </w:r>
          </w:p>
        </w:tc>
        <w:tc>
          <w:tcPr>
            <w:tcW w:w="69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套</w:t>
            </w:r>
          </w:p>
        </w:tc>
        <w:tc>
          <w:tcPr>
            <w:tcW w:w="48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1</w:t>
            </w:r>
          </w:p>
        </w:tc>
        <w:tc>
          <w:tcPr>
            <w:tcW w:w="72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c>
          <w:tcPr>
            <w:tcW w:w="1015"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1535" w:hRule="exact"/>
        </w:trPr>
        <w:tc>
          <w:tcPr>
            <w:tcW w:w="724"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2</w:t>
            </w:r>
          </w:p>
        </w:tc>
        <w:tc>
          <w:tcPr>
            <w:tcW w:w="994"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乡村治理</w:t>
            </w:r>
          </w:p>
        </w:tc>
        <w:tc>
          <w:tcPr>
            <w:tcW w:w="1335"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软件部分</w:t>
            </w:r>
          </w:p>
        </w:tc>
        <w:tc>
          <w:tcPr>
            <w:tcW w:w="2488"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智慧党建、政务管理、平安家园、积分管理、事项管理、数字门牌、三农服务、三农数据管理</w:t>
            </w:r>
          </w:p>
        </w:tc>
        <w:tc>
          <w:tcPr>
            <w:tcW w:w="69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套</w:t>
            </w:r>
          </w:p>
        </w:tc>
        <w:tc>
          <w:tcPr>
            <w:tcW w:w="48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1</w:t>
            </w:r>
          </w:p>
        </w:tc>
        <w:tc>
          <w:tcPr>
            <w:tcW w:w="72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c>
          <w:tcPr>
            <w:tcW w:w="1015"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1134" w:hRule="exact"/>
        </w:trPr>
        <w:tc>
          <w:tcPr>
            <w:tcW w:w="724" w:type="dxa"/>
            <w:vMerge w:val="restart"/>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3</w:t>
            </w:r>
          </w:p>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c>
          <w:tcPr>
            <w:tcW w:w="994" w:type="dxa"/>
            <w:vMerge w:val="restart"/>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健康小屋</w:t>
            </w:r>
          </w:p>
        </w:tc>
        <w:tc>
          <w:tcPr>
            <w:tcW w:w="1335"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硬件部分</w:t>
            </w:r>
          </w:p>
        </w:tc>
        <w:tc>
          <w:tcPr>
            <w:tcW w:w="2488"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智能检测模块</w:t>
            </w:r>
            <w:r>
              <w:rPr>
                <w:rFonts w:hint="eastAsia" w:ascii="黑体" w:hAnsi="黑体" w:eastAsia="黑体"/>
                <w:color w:val="auto"/>
                <w:szCs w:val="21"/>
                <w:highlight w:val="none"/>
              </w:rPr>
              <w:br w:type="textWrapping"/>
            </w:r>
            <w:r>
              <w:rPr>
                <w:rFonts w:hint="eastAsia" w:ascii="黑体" w:hAnsi="黑体" w:eastAsia="黑体"/>
                <w:color w:val="auto"/>
                <w:szCs w:val="21"/>
                <w:highlight w:val="none"/>
              </w:rPr>
              <w:t>耗材配件</w:t>
            </w:r>
            <w:r>
              <w:rPr>
                <w:rFonts w:hint="eastAsia" w:ascii="黑体" w:hAnsi="黑体" w:eastAsia="黑体"/>
                <w:color w:val="auto"/>
                <w:szCs w:val="21"/>
                <w:highlight w:val="none"/>
              </w:rPr>
              <w:br w:type="textWrapping"/>
            </w:r>
            <w:r>
              <w:rPr>
                <w:rFonts w:hint="eastAsia" w:ascii="黑体" w:hAnsi="黑体" w:eastAsia="黑体"/>
                <w:color w:val="auto"/>
                <w:szCs w:val="21"/>
                <w:highlight w:val="none"/>
              </w:rPr>
              <w:t>装饰设计</w:t>
            </w:r>
          </w:p>
        </w:tc>
        <w:tc>
          <w:tcPr>
            <w:tcW w:w="69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套</w:t>
            </w:r>
          </w:p>
        </w:tc>
        <w:tc>
          <w:tcPr>
            <w:tcW w:w="48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5</w:t>
            </w:r>
          </w:p>
        </w:tc>
        <w:tc>
          <w:tcPr>
            <w:tcW w:w="72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c>
          <w:tcPr>
            <w:tcW w:w="1015"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1509" w:hRule="exact"/>
        </w:trPr>
        <w:tc>
          <w:tcPr>
            <w:tcW w:w="724" w:type="dxa"/>
            <w:vMerge w:val="continue"/>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c>
          <w:tcPr>
            <w:tcW w:w="994" w:type="dxa"/>
            <w:vMerge w:val="continue"/>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c>
          <w:tcPr>
            <w:tcW w:w="1335"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软件部分</w:t>
            </w:r>
          </w:p>
        </w:tc>
        <w:tc>
          <w:tcPr>
            <w:tcW w:w="2488"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实名认证、帮助中心、身体数据测量、中医体质辨识、智能导诊、健康测试、健康宣教</w:t>
            </w:r>
          </w:p>
        </w:tc>
        <w:tc>
          <w:tcPr>
            <w:tcW w:w="69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套</w:t>
            </w:r>
          </w:p>
        </w:tc>
        <w:tc>
          <w:tcPr>
            <w:tcW w:w="48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1</w:t>
            </w:r>
          </w:p>
        </w:tc>
        <w:tc>
          <w:tcPr>
            <w:tcW w:w="72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c>
          <w:tcPr>
            <w:tcW w:w="1015"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1134" w:hRule="exact"/>
        </w:trPr>
        <w:tc>
          <w:tcPr>
            <w:tcW w:w="724" w:type="dxa"/>
            <w:vMerge w:val="continue"/>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c>
          <w:tcPr>
            <w:tcW w:w="994" w:type="dxa"/>
            <w:vMerge w:val="continue"/>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c>
          <w:tcPr>
            <w:tcW w:w="1335"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产品使用培训</w:t>
            </w:r>
          </w:p>
        </w:tc>
        <w:tc>
          <w:tcPr>
            <w:tcW w:w="2488"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产品使用培训</w:t>
            </w:r>
          </w:p>
        </w:tc>
        <w:tc>
          <w:tcPr>
            <w:tcW w:w="69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套</w:t>
            </w:r>
          </w:p>
        </w:tc>
        <w:tc>
          <w:tcPr>
            <w:tcW w:w="48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1</w:t>
            </w:r>
          </w:p>
        </w:tc>
        <w:tc>
          <w:tcPr>
            <w:tcW w:w="72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c>
          <w:tcPr>
            <w:tcW w:w="1015"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1134" w:hRule="exact"/>
        </w:trPr>
        <w:tc>
          <w:tcPr>
            <w:tcW w:w="724" w:type="dxa"/>
            <w:vMerge w:val="restart"/>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4</w:t>
            </w:r>
          </w:p>
        </w:tc>
        <w:tc>
          <w:tcPr>
            <w:tcW w:w="994" w:type="dxa"/>
            <w:vMerge w:val="restart"/>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5G应急救援</w:t>
            </w:r>
          </w:p>
        </w:tc>
        <w:tc>
          <w:tcPr>
            <w:tcW w:w="1335"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车载急救服务</w:t>
            </w:r>
          </w:p>
        </w:tc>
        <w:tc>
          <w:tcPr>
            <w:tcW w:w="2488"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5G应急救援系统服务，远程急救车载服务，车载多媒体服务，车载音视频服务等</w:t>
            </w:r>
          </w:p>
        </w:tc>
        <w:tc>
          <w:tcPr>
            <w:tcW w:w="69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套</w:t>
            </w:r>
          </w:p>
        </w:tc>
        <w:tc>
          <w:tcPr>
            <w:tcW w:w="48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5</w:t>
            </w:r>
          </w:p>
        </w:tc>
        <w:tc>
          <w:tcPr>
            <w:tcW w:w="72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c>
          <w:tcPr>
            <w:tcW w:w="1015"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1134" w:hRule="exact"/>
        </w:trPr>
        <w:tc>
          <w:tcPr>
            <w:tcW w:w="724" w:type="dxa"/>
            <w:vMerge w:val="continue"/>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c>
          <w:tcPr>
            <w:tcW w:w="994" w:type="dxa"/>
            <w:vMerge w:val="continue"/>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c>
          <w:tcPr>
            <w:tcW w:w="1335"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院内急救服务</w:t>
            </w:r>
          </w:p>
        </w:tc>
        <w:tc>
          <w:tcPr>
            <w:tcW w:w="2488"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院内指挥中心远程急救指导服务，远程指导音视频服务</w:t>
            </w:r>
          </w:p>
        </w:tc>
        <w:tc>
          <w:tcPr>
            <w:tcW w:w="69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套</w:t>
            </w:r>
          </w:p>
        </w:tc>
        <w:tc>
          <w:tcPr>
            <w:tcW w:w="48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1</w:t>
            </w:r>
          </w:p>
        </w:tc>
        <w:tc>
          <w:tcPr>
            <w:tcW w:w="72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c>
          <w:tcPr>
            <w:tcW w:w="1015"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1134" w:hRule="exact"/>
        </w:trPr>
        <w:tc>
          <w:tcPr>
            <w:tcW w:w="724"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5</w:t>
            </w:r>
          </w:p>
        </w:tc>
        <w:tc>
          <w:tcPr>
            <w:tcW w:w="994"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VR静态全景展示</w:t>
            </w:r>
          </w:p>
        </w:tc>
        <w:tc>
          <w:tcPr>
            <w:tcW w:w="1335"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服务</w:t>
            </w:r>
          </w:p>
        </w:tc>
        <w:tc>
          <w:tcPr>
            <w:tcW w:w="2488"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地拍全景制作、航拍全景制作、单次现场服务</w:t>
            </w:r>
          </w:p>
        </w:tc>
        <w:tc>
          <w:tcPr>
            <w:tcW w:w="69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套</w:t>
            </w:r>
          </w:p>
        </w:tc>
        <w:tc>
          <w:tcPr>
            <w:tcW w:w="48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1</w:t>
            </w:r>
          </w:p>
        </w:tc>
        <w:tc>
          <w:tcPr>
            <w:tcW w:w="72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c>
          <w:tcPr>
            <w:tcW w:w="1015"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2319" w:hRule="exact"/>
        </w:trPr>
        <w:tc>
          <w:tcPr>
            <w:tcW w:w="724"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6</w:t>
            </w:r>
          </w:p>
        </w:tc>
        <w:tc>
          <w:tcPr>
            <w:tcW w:w="994"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基层治理</w:t>
            </w:r>
          </w:p>
        </w:tc>
        <w:tc>
          <w:tcPr>
            <w:tcW w:w="1335"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软件部分</w:t>
            </w:r>
          </w:p>
        </w:tc>
        <w:tc>
          <w:tcPr>
            <w:tcW w:w="2488"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核心板块：智慧综治、智慧民生、智慧党建、智慧安防；</w:t>
            </w:r>
            <w:r>
              <w:rPr>
                <w:rFonts w:hint="eastAsia" w:ascii="黑体" w:hAnsi="黑体" w:eastAsia="黑体"/>
                <w:color w:val="auto"/>
                <w:szCs w:val="21"/>
                <w:highlight w:val="none"/>
              </w:rPr>
              <w:br w:type="textWrapping"/>
            </w:r>
            <w:r>
              <w:rPr>
                <w:rFonts w:hint="eastAsia" w:ascii="黑体" w:hAnsi="黑体" w:eastAsia="黑体"/>
                <w:color w:val="auto"/>
                <w:szCs w:val="21"/>
                <w:highlight w:val="none"/>
              </w:rPr>
              <w:t>特色功能：全域信息概览、智能决策分析、智慧档案管理、身份安全识别、电子签到统计、线上积分商城、数据安全管理</w:t>
            </w:r>
          </w:p>
        </w:tc>
        <w:tc>
          <w:tcPr>
            <w:tcW w:w="69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套</w:t>
            </w:r>
          </w:p>
        </w:tc>
        <w:tc>
          <w:tcPr>
            <w:tcW w:w="48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1</w:t>
            </w:r>
          </w:p>
        </w:tc>
        <w:tc>
          <w:tcPr>
            <w:tcW w:w="72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c>
          <w:tcPr>
            <w:tcW w:w="1015"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1017" w:hRule="exact"/>
        </w:trPr>
        <w:tc>
          <w:tcPr>
            <w:tcW w:w="724" w:type="dxa"/>
            <w:vMerge w:val="restart"/>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7</w:t>
            </w:r>
          </w:p>
        </w:tc>
        <w:tc>
          <w:tcPr>
            <w:tcW w:w="994" w:type="dxa"/>
            <w:vMerge w:val="restart"/>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智慧停车</w:t>
            </w:r>
          </w:p>
        </w:tc>
        <w:tc>
          <w:tcPr>
            <w:tcW w:w="1335"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软件部分</w:t>
            </w:r>
          </w:p>
        </w:tc>
        <w:tc>
          <w:tcPr>
            <w:tcW w:w="2488"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停车云管理平台：统一身份认证、数据中心、车辆管理；智慧车牌识别一体机</w:t>
            </w:r>
          </w:p>
        </w:tc>
        <w:tc>
          <w:tcPr>
            <w:tcW w:w="69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套</w:t>
            </w:r>
          </w:p>
        </w:tc>
        <w:tc>
          <w:tcPr>
            <w:tcW w:w="48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r>
              <w:rPr>
                <w:rFonts w:hint="eastAsia" w:ascii="黑体" w:hAnsi="黑体" w:eastAsia="黑体"/>
                <w:color w:val="auto"/>
                <w:szCs w:val="21"/>
                <w:highlight w:val="none"/>
              </w:rPr>
              <w:t>1</w:t>
            </w:r>
          </w:p>
        </w:tc>
        <w:tc>
          <w:tcPr>
            <w:tcW w:w="72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c>
          <w:tcPr>
            <w:tcW w:w="1015"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1052" w:hRule="exact"/>
        </w:trPr>
        <w:tc>
          <w:tcPr>
            <w:tcW w:w="724" w:type="dxa"/>
            <w:vMerge w:val="continue"/>
            <w:tcBorders>
              <w:tl2br w:val="nil"/>
              <w:tr2bl w:val="nil"/>
            </w:tcBorders>
            <w:vAlign w:val="center"/>
          </w:tcPr>
          <w:p>
            <w:pPr>
              <w:jc w:val="center"/>
              <w:rPr>
                <w:rFonts w:ascii="黑体" w:hAnsi="黑体" w:eastAsia="黑体"/>
                <w:color w:val="auto"/>
                <w:szCs w:val="21"/>
                <w:highlight w:val="none"/>
              </w:rPr>
            </w:pPr>
          </w:p>
        </w:tc>
        <w:tc>
          <w:tcPr>
            <w:tcW w:w="994" w:type="dxa"/>
            <w:vMerge w:val="continue"/>
            <w:tcBorders>
              <w:tl2br w:val="nil"/>
              <w:tr2bl w:val="nil"/>
            </w:tcBorders>
            <w:vAlign w:val="center"/>
          </w:tcPr>
          <w:p>
            <w:pPr>
              <w:jc w:val="center"/>
              <w:rPr>
                <w:rFonts w:ascii="黑体" w:hAnsi="黑体" w:eastAsia="黑体"/>
                <w:color w:val="auto"/>
                <w:szCs w:val="21"/>
                <w:highlight w:val="none"/>
              </w:rPr>
            </w:pPr>
          </w:p>
        </w:tc>
        <w:tc>
          <w:tcPr>
            <w:tcW w:w="1335" w:type="dxa"/>
            <w:tcBorders>
              <w:tl2br w:val="nil"/>
              <w:tr2bl w:val="nil"/>
            </w:tcBorders>
            <w:vAlign w:val="center"/>
          </w:tcPr>
          <w:p>
            <w:pPr>
              <w:widowControl/>
              <w:jc w:val="center"/>
              <w:textAlignment w:val="center"/>
              <w:rPr>
                <w:rFonts w:ascii="黑体" w:hAnsi="黑体" w:eastAsia="黑体"/>
                <w:color w:val="auto"/>
                <w:szCs w:val="21"/>
                <w:highlight w:val="none"/>
              </w:rPr>
            </w:pPr>
            <w:r>
              <w:rPr>
                <w:rFonts w:hint="eastAsia" w:ascii="黑体" w:hAnsi="黑体" w:eastAsia="黑体"/>
                <w:color w:val="auto"/>
                <w:szCs w:val="21"/>
                <w:highlight w:val="none"/>
              </w:rPr>
              <w:t>硬件部分</w:t>
            </w:r>
          </w:p>
        </w:tc>
        <w:tc>
          <w:tcPr>
            <w:tcW w:w="2488" w:type="dxa"/>
            <w:tcBorders>
              <w:tl2br w:val="nil"/>
              <w:tr2bl w:val="nil"/>
            </w:tcBorders>
            <w:vAlign w:val="center"/>
          </w:tcPr>
          <w:p>
            <w:pPr>
              <w:widowControl/>
              <w:jc w:val="center"/>
              <w:textAlignment w:val="center"/>
              <w:rPr>
                <w:rFonts w:ascii="黑体" w:hAnsi="黑体" w:eastAsia="黑体"/>
                <w:color w:val="auto"/>
                <w:szCs w:val="21"/>
                <w:highlight w:val="none"/>
              </w:rPr>
            </w:pPr>
            <w:r>
              <w:rPr>
                <w:rFonts w:hint="eastAsia" w:ascii="黑体" w:hAnsi="黑体" w:eastAsia="黑体"/>
                <w:color w:val="auto"/>
                <w:szCs w:val="21"/>
                <w:highlight w:val="none"/>
              </w:rPr>
              <w:t>智慧车牌识别一体机</w:t>
            </w:r>
          </w:p>
        </w:tc>
        <w:tc>
          <w:tcPr>
            <w:tcW w:w="690" w:type="dxa"/>
            <w:tcBorders>
              <w:tl2br w:val="nil"/>
              <w:tr2bl w:val="nil"/>
            </w:tcBorders>
            <w:vAlign w:val="center"/>
          </w:tcPr>
          <w:p>
            <w:pPr>
              <w:widowControl/>
              <w:jc w:val="center"/>
              <w:textAlignment w:val="center"/>
              <w:rPr>
                <w:rFonts w:ascii="黑体" w:hAnsi="黑体" w:eastAsia="黑体"/>
                <w:color w:val="auto"/>
                <w:szCs w:val="21"/>
                <w:highlight w:val="none"/>
              </w:rPr>
            </w:pPr>
            <w:r>
              <w:rPr>
                <w:rFonts w:hint="eastAsia" w:ascii="黑体" w:hAnsi="黑体" w:eastAsia="黑体"/>
                <w:color w:val="auto"/>
                <w:szCs w:val="21"/>
                <w:highlight w:val="none"/>
              </w:rPr>
              <w:t>套</w:t>
            </w:r>
          </w:p>
        </w:tc>
        <w:tc>
          <w:tcPr>
            <w:tcW w:w="480" w:type="dxa"/>
            <w:tcBorders>
              <w:tl2br w:val="nil"/>
              <w:tr2bl w:val="nil"/>
            </w:tcBorders>
            <w:vAlign w:val="center"/>
          </w:tcPr>
          <w:p>
            <w:pPr>
              <w:widowControl/>
              <w:jc w:val="center"/>
              <w:textAlignment w:val="center"/>
              <w:rPr>
                <w:rFonts w:ascii="黑体" w:hAnsi="黑体" w:eastAsia="黑体"/>
                <w:color w:val="auto"/>
                <w:szCs w:val="21"/>
                <w:highlight w:val="none"/>
              </w:rPr>
            </w:pPr>
            <w:r>
              <w:rPr>
                <w:rFonts w:hint="eastAsia" w:ascii="黑体" w:hAnsi="黑体" w:eastAsia="黑体"/>
                <w:color w:val="auto"/>
                <w:szCs w:val="21"/>
                <w:highlight w:val="none"/>
              </w:rPr>
              <w:t>140</w:t>
            </w:r>
          </w:p>
        </w:tc>
        <w:tc>
          <w:tcPr>
            <w:tcW w:w="720"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c>
          <w:tcPr>
            <w:tcW w:w="1015" w:type="dxa"/>
            <w:tcBorders>
              <w:tl2br w:val="nil"/>
              <w:tr2bl w:val="nil"/>
            </w:tcBorders>
            <w:vAlign w:val="center"/>
          </w:tcPr>
          <w:p>
            <w:pPr>
              <w:tabs>
                <w:tab w:val="left" w:pos="580"/>
                <w:tab w:val="left" w:pos="2440"/>
                <w:tab w:val="left" w:pos="3780"/>
                <w:tab w:val="left" w:pos="4420"/>
                <w:tab w:val="left" w:pos="5500"/>
                <w:tab w:val="left" w:pos="6580"/>
                <w:tab w:val="left" w:pos="7660"/>
                <w:tab w:val="left" w:pos="8660"/>
                <w:tab w:val="left" w:pos="9960"/>
                <w:tab w:val="left" w:pos="10980"/>
                <w:tab w:val="left" w:pos="12540"/>
              </w:tabs>
              <w:spacing w:line="300" w:lineRule="exact"/>
              <w:jc w:val="center"/>
              <w:rPr>
                <w:rFonts w:ascii="黑体" w:hAnsi="黑体" w:eastAsia="黑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1250" w:hRule="exact"/>
        </w:trPr>
        <w:tc>
          <w:tcPr>
            <w:tcW w:w="724" w:type="dxa"/>
            <w:tcBorders>
              <w:tl2br w:val="nil"/>
              <w:tr2bl w:val="nil"/>
            </w:tcBorders>
            <w:vAlign w:val="center"/>
          </w:tcPr>
          <w:p>
            <w:pPr>
              <w:widowControl/>
              <w:jc w:val="center"/>
              <w:textAlignment w:val="center"/>
              <w:rPr>
                <w:rFonts w:ascii="黑体" w:hAnsi="黑体" w:eastAsia="黑体"/>
                <w:color w:val="auto"/>
                <w:szCs w:val="21"/>
                <w:highlight w:val="none"/>
              </w:rPr>
            </w:pPr>
            <w:r>
              <w:rPr>
                <w:rFonts w:hint="eastAsia" w:ascii="黑体" w:hAnsi="黑体" w:eastAsia="黑体"/>
                <w:color w:val="auto"/>
                <w:szCs w:val="21"/>
                <w:highlight w:val="none"/>
              </w:rPr>
              <w:t>说明</w:t>
            </w:r>
          </w:p>
        </w:tc>
        <w:tc>
          <w:tcPr>
            <w:tcW w:w="7722" w:type="dxa"/>
            <w:gridSpan w:val="7"/>
            <w:tcBorders>
              <w:tl2br w:val="nil"/>
              <w:tr2bl w:val="nil"/>
            </w:tcBorders>
            <w:vAlign w:val="center"/>
          </w:tcPr>
          <w:p>
            <w:pPr>
              <w:widowControl/>
              <w:jc w:val="center"/>
              <w:textAlignment w:val="center"/>
              <w:rPr>
                <w:rFonts w:ascii="黑体" w:hAnsi="黑体" w:eastAsia="黑体"/>
                <w:color w:val="auto"/>
                <w:szCs w:val="21"/>
                <w:highlight w:val="none"/>
              </w:rPr>
            </w:pPr>
            <w:r>
              <w:rPr>
                <w:rFonts w:hint="eastAsia" w:ascii="黑体" w:hAnsi="黑体" w:eastAsia="黑体"/>
                <w:color w:val="auto"/>
                <w:szCs w:val="21"/>
                <w:highlight w:val="none"/>
              </w:rPr>
              <w:t>上述产品应包含系统集成安装服务、三年系统维护服务。</w:t>
            </w:r>
          </w:p>
          <w:p>
            <w:pPr>
              <w:widowControl/>
              <w:jc w:val="center"/>
              <w:textAlignment w:val="center"/>
              <w:rPr>
                <w:rFonts w:ascii="黑体" w:hAnsi="黑体" w:eastAsia="黑体"/>
                <w:color w:val="auto"/>
                <w:szCs w:val="21"/>
                <w:highlight w:val="none"/>
              </w:rPr>
            </w:pPr>
            <w:r>
              <w:rPr>
                <w:rFonts w:hint="eastAsia" w:ascii="黑体" w:hAnsi="黑体" w:eastAsia="黑体"/>
                <w:color w:val="auto"/>
                <w:szCs w:val="21"/>
                <w:highlight w:val="none"/>
              </w:rPr>
              <w:t>乡村振兴管理平台含一年内容运营服务（图文资讯的编辑、发布一年）。</w:t>
            </w:r>
          </w:p>
        </w:tc>
      </w:tr>
    </w:tbl>
    <w:p>
      <w:pPr>
        <w:rPr>
          <w:color w:val="auto"/>
          <w:highlight w:val="none"/>
        </w:rPr>
      </w:pPr>
    </w:p>
    <w:p>
      <w:pPr>
        <w:pStyle w:val="25"/>
        <w:rPr>
          <w:color w:val="auto"/>
          <w:highlight w:val="none"/>
        </w:rPr>
      </w:pPr>
      <w:r>
        <w:rPr>
          <w:rFonts w:hint="eastAsia" w:ascii="微软雅黑" w:hAnsi="微软雅黑" w:eastAsia="微软雅黑" w:cs="微软雅黑"/>
          <w:b/>
          <w:color w:val="auto"/>
          <w:sz w:val="24"/>
          <w:highlight w:val="none"/>
        </w:rPr>
        <w:br w:type="page"/>
      </w:r>
    </w:p>
    <w:p>
      <w:pPr>
        <w:rPr>
          <w:color w:val="auto"/>
          <w:highlight w:val="none"/>
        </w:rPr>
      </w:pPr>
    </w:p>
    <w:p>
      <w:pPr>
        <w:pStyle w:val="4"/>
        <w:spacing w:beforeLines="100"/>
        <w:rPr>
          <w:rFonts w:ascii="微软雅黑" w:hAnsi="微软雅黑" w:eastAsia="微软雅黑" w:cs="微软雅黑"/>
          <w:b/>
          <w:color w:val="auto"/>
          <w:kern w:val="44"/>
          <w:sz w:val="32"/>
          <w:highlight w:val="none"/>
        </w:rPr>
      </w:pPr>
      <w:bookmarkStart w:id="402" w:name="_Toc11259"/>
      <w:bookmarkStart w:id="403" w:name="_Toc9146"/>
      <w:r>
        <w:rPr>
          <w:rFonts w:hint="eastAsia" w:ascii="微软雅黑" w:hAnsi="微软雅黑" w:eastAsia="微软雅黑" w:cs="微软雅黑"/>
          <w:b/>
          <w:color w:val="auto"/>
          <w:kern w:val="44"/>
          <w:sz w:val="32"/>
          <w:highlight w:val="none"/>
        </w:rPr>
        <w:t>采购需求</w:t>
      </w:r>
    </w:p>
    <w:p>
      <w:pPr>
        <w:pStyle w:val="4"/>
        <w:spacing w:before="0" w:line="480" w:lineRule="exact"/>
        <w:jc w:val="both"/>
        <w:rPr>
          <w:rFonts w:ascii="微软雅黑" w:hAnsi="微软雅黑" w:eastAsia="微软雅黑" w:cs="微软雅黑"/>
          <w:b/>
          <w:bCs/>
          <w:color w:val="auto"/>
          <w:sz w:val="21"/>
          <w:szCs w:val="21"/>
          <w:highlight w:val="none"/>
        </w:rPr>
      </w:pPr>
      <w:r>
        <w:rPr>
          <w:rFonts w:hint="eastAsia" w:ascii="微软雅黑" w:hAnsi="微软雅黑" w:eastAsia="微软雅黑" w:cs="微软雅黑"/>
          <w:b/>
          <w:bCs/>
          <w:color w:val="auto"/>
          <w:sz w:val="21"/>
          <w:szCs w:val="21"/>
          <w:highlight w:val="none"/>
        </w:rPr>
        <w:t>（一）、</w:t>
      </w:r>
      <w:r>
        <w:rPr>
          <w:rFonts w:hint="eastAsia" w:ascii="微软雅黑" w:hAnsi="微软雅黑" w:eastAsia="微软雅黑" w:cs="微软雅黑"/>
          <w:bCs/>
          <w:color w:val="auto"/>
          <w:kern w:val="0"/>
          <w:sz w:val="21"/>
          <w:szCs w:val="21"/>
          <w:highlight w:val="none"/>
          <w:lang w:val="en-US" w:eastAsia="zh-CN" w:bidi="ar-SA"/>
        </w:rPr>
        <w:t>统一门户</w:t>
      </w:r>
    </w:p>
    <w:p>
      <w:pPr>
        <w:pStyle w:val="23"/>
        <w:spacing w:before="0" w:after="0" w:line="480" w:lineRule="exact"/>
        <w:jc w:val="left"/>
        <w:outlineLvl w:val="2"/>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1、功能要求</w:t>
      </w:r>
    </w:p>
    <w:tbl>
      <w:tblPr>
        <w:tblStyle w:val="3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7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功能模块</w:t>
            </w:r>
          </w:p>
        </w:tc>
        <w:tc>
          <w:tcPr>
            <w:tcW w:w="78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1、管理员角色权限管理</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★1.管理员平台总览：</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功能包括（但不限于）系统内用户、角色、应用、租户等信息的统计；最近访问应用列表；产品中心应用目录等。（需提供产品功能截图或演示视频）</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2.管理员账号管理：</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功能包括管理员用户的新增、修改、删除、查看、启用禁用、重置密码等。</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3.管理员角色管理：</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功能包括管理员角色的新增、修改、删除、查看、权限配置等。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2、租户角色权限管理</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1.租户管理：</w:t>
            </w:r>
          </w:p>
          <w:p>
            <w:pPr>
              <w:pStyle w:val="54"/>
              <w:autoSpaceDN w:val="0"/>
              <w:spacing w:line="480" w:lineRule="exact"/>
              <w:ind w:firstLine="0" w:firstLineChars="0"/>
              <w:contextualSpacing/>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可以对租户的基本信息进行新增、修改、删除和查看，确保每个区域只能有一个租户。</w:t>
            </w:r>
          </w:p>
          <w:p>
            <w:pPr>
              <w:pStyle w:val="54"/>
              <w:autoSpaceDN w:val="0"/>
              <w:spacing w:line="480" w:lineRule="exact"/>
              <w:ind w:firstLine="0" w:firstLineChars="0"/>
              <w:contextualSpacing/>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★2.租户菜单权限管理：</w:t>
            </w:r>
          </w:p>
          <w:p>
            <w:pPr>
              <w:pStyle w:val="54"/>
              <w:autoSpaceDN w:val="0"/>
              <w:spacing w:line="480" w:lineRule="exact"/>
              <w:ind w:firstLine="0" w:firstLineChars="0"/>
              <w:contextualSpacing/>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可针对该租户的菜单权限进行配置，包括租户关联的驾驶舱版本。（需提供产品功能截图或演示视频）</w:t>
            </w:r>
          </w:p>
          <w:p>
            <w:pPr>
              <w:pStyle w:val="54"/>
              <w:autoSpaceDN w:val="0"/>
              <w:spacing w:line="480" w:lineRule="exact"/>
              <w:ind w:firstLine="0" w:firstLineChars="0"/>
              <w:contextualSpacing/>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3.租户应用管理：</w:t>
            </w:r>
          </w:p>
          <w:p>
            <w:pPr>
              <w:pStyle w:val="54"/>
              <w:autoSpaceDN w:val="0"/>
              <w:spacing w:line="480" w:lineRule="exact"/>
              <w:ind w:firstLine="0" w:firstLineChars="0"/>
              <w:contextualSpacing/>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可针对该租户开通所属应用，不同租户间的应用可以物理隔离，可以对已开通应用进行编辑、启用、禁用、删除等操作。</w:t>
            </w:r>
          </w:p>
          <w:p>
            <w:pPr>
              <w:pStyle w:val="54"/>
              <w:autoSpaceDN w:val="0"/>
              <w:spacing w:line="480" w:lineRule="exact"/>
              <w:ind w:firstLine="0" w:firstLineChars="0"/>
              <w:contextualSpacing/>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★4.租户平台总览：</w:t>
            </w:r>
          </w:p>
          <w:p>
            <w:pPr>
              <w:pStyle w:val="54"/>
              <w:autoSpaceDN w:val="0"/>
              <w:spacing w:line="480" w:lineRule="exact"/>
              <w:ind w:firstLine="0" w:firstLineChars="0"/>
              <w:contextualSpacing/>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功能包括（但不限于）租户内用户、角色、应用等信息的统计；最近访问应用列表；我的应用等。（需提供产品功能截图或演示视频）</w:t>
            </w:r>
          </w:p>
          <w:p>
            <w:pPr>
              <w:pStyle w:val="54"/>
              <w:autoSpaceDN w:val="0"/>
              <w:spacing w:line="480" w:lineRule="exact"/>
              <w:ind w:firstLine="0" w:firstLineChars="0"/>
              <w:contextualSpacing/>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5.租户账号管理：</w:t>
            </w:r>
            <w:r>
              <w:rPr>
                <w:rFonts w:hint="eastAsia" w:ascii="微软雅黑" w:hAnsi="微软雅黑" w:eastAsia="微软雅黑" w:cs="微软雅黑"/>
                <w:bCs/>
                <w:color w:val="auto"/>
                <w:kern w:val="0"/>
                <w:highlight w:val="none"/>
              </w:rPr>
              <w:tab/>
            </w:r>
          </w:p>
          <w:p>
            <w:pPr>
              <w:pStyle w:val="54"/>
              <w:autoSpaceDN w:val="0"/>
              <w:spacing w:line="480" w:lineRule="exact"/>
              <w:ind w:firstLine="0" w:firstLineChars="0"/>
              <w:contextualSpacing/>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功能包括租户内用户的新增、修改、删除、查看、启用禁用、重置密码等。</w:t>
            </w:r>
          </w:p>
          <w:p>
            <w:pPr>
              <w:pStyle w:val="54"/>
              <w:autoSpaceDN w:val="0"/>
              <w:spacing w:line="480" w:lineRule="exact"/>
              <w:ind w:firstLine="0" w:firstLineChars="0"/>
              <w:contextualSpacing/>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6.租户角色管理：</w:t>
            </w:r>
          </w:p>
          <w:p>
            <w:pPr>
              <w:pStyle w:val="54"/>
              <w:autoSpaceDN w:val="0"/>
              <w:spacing w:line="480" w:lineRule="exact"/>
              <w:ind w:firstLine="0" w:firstLineChars="0"/>
              <w:contextualSpacing/>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功能包括租户内角色的新增、修改、删除、查看、权限配置等。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3、系统对接</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制定第三方系统或应用接入规范和接口标准，以实现第三方系统或应用方便快捷接入本平台。</w:t>
            </w:r>
          </w:p>
        </w:tc>
      </w:tr>
    </w:tbl>
    <w:p>
      <w:pPr>
        <w:pStyle w:val="23"/>
        <w:spacing w:line="480" w:lineRule="exact"/>
        <w:jc w:val="left"/>
        <w:outlineLvl w:val="2"/>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2、技术要求</w:t>
      </w:r>
    </w:p>
    <w:tbl>
      <w:tblPr>
        <w:tblStyle w:val="3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7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技术要求</w:t>
            </w:r>
          </w:p>
        </w:tc>
        <w:tc>
          <w:tcPr>
            <w:tcW w:w="78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1、技术架构要求</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采用Java语言编写，微服务设计，Spring Boot+Spring Cloud架构，平台可以分布式部署，使用Nacos作为服务注册中心、配置中心，要求实现模块化，组件化。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2、系统安全要求</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1.不允许明文存储用户的密码信息，不允许使用可逆算法存储用户密码信息。</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2.算法需能够按需调整加密强度，避免未来计算机算力的增强而导致密文存储不可靠。</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3.系统需支持https协议访问。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3、系统性能要求</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1.支持1万以上注册用户，接口平均响应时间不超过3s。</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2.系统能够不间断运行，运行正常率达99%以上。</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3.页面打开时间不应超过3s。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4、系统集成要求</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应用单点对接接口需使用签名等方式保证双方数据传输可靠、互信。</w:t>
            </w:r>
          </w:p>
        </w:tc>
      </w:tr>
    </w:tbl>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p>
    <w:p>
      <w:pPr>
        <w:pStyle w:val="4"/>
        <w:spacing w:before="0" w:line="480" w:lineRule="exact"/>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bCs/>
          <w:color w:val="auto"/>
          <w:sz w:val="21"/>
          <w:szCs w:val="21"/>
          <w:highlight w:val="none"/>
        </w:rPr>
        <w:br w:type="page"/>
      </w:r>
      <w:r>
        <w:rPr>
          <w:rFonts w:hint="eastAsia" w:ascii="微软雅黑" w:hAnsi="微软雅黑" w:eastAsia="微软雅黑" w:cs="微软雅黑"/>
          <w:b/>
          <w:bCs/>
          <w:color w:val="auto"/>
          <w:sz w:val="21"/>
          <w:szCs w:val="21"/>
          <w:highlight w:val="none"/>
        </w:rPr>
        <w:t>（二）、大数据驾驶舱</w:t>
      </w:r>
    </w:p>
    <w:p>
      <w:pPr>
        <w:pStyle w:val="23"/>
        <w:spacing w:before="0" w:after="0" w:line="480" w:lineRule="exact"/>
        <w:jc w:val="left"/>
        <w:outlineLvl w:val="2"/>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1、功能要求</w:t>
      </w:r>
    </w:p>
    <w:tbl>
      <w:tblPr>
        <w:tblStyle w:val="3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7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功能模块</w:t>
            </w:r>
          </w:p>
        </w:tc>
        <w:tc>
          <w:tcPr>
            <w:tcW w:w="78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1、可视化大屏</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按照产业兴旺、生态宜居、乡风文明、治理有效、生活富裕五大振兴考核要求，对各地区的乡村振兴关键指标数据进行可视化呈现。</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★1.产业兴旺指数大屏：</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支持按地区展示产业兴旺的各级指标，包括农业生产条件、农业生产效率、农业产业化水平、农产品质量安全、耕地保有率、农作物耕种收综合机械化率等。（需提供产品功能截图或演示视频）</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★2.生态宜居指数大屏：</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支持按地区展示生态宜居的各级指标，包括生态禀赋、生产防污、生活防污、节能减排、饮水安全、厕所革命、农业生产污染物投放强度、生活污染防治水平等。（需提供产品功能截图或演示视频）</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★3.乡风文明指数大屏：</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支持按地区展示乡风文明的各级指标，包括文明创建、公共教育、文娱支出、义务教育巩固率、文明村和乡镇占比等。（需提供产品功能截图或演示视频）</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★4.治理有效指数大屏：</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支持按地区展示治理有效的各级指标，包括人力资本水平、集体产权制度改革指数、公众参与水平、治理效果指数、集体经济强村占比等。（需提供产品功能截图或演示视频）</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★5.生活富裕指数大屏：</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支持按地区展示生活富裕的各级指标，包括农民收入水平、消费结构指数、交通可达性、社会保障水平、村通公路占比、铺设路灯的村庄占比等。（需提供产品功能截图或演示视频）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2、指数设置</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1.支持每个地区自定义灵活配置各项考核指标与分数计算权重。</w:t>
            </w:r>
          </w:p>
          <w:p>
            <w:pPr>
              <w:pStyle w:val="54"/>
              <w:autoSpaceDN w:val="0"/>
              <w:spacing w:line="480" w:lineRule="exact"/>
              <w:ind w:firstLine="0" w:firstLineChars="0"/>
              <w:contextualSpacing/>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★2.支持系统根据配置数据用以公式自动计算出振兴考核指数并作实时展示。（需提供产品功能截图或演示视频）</w:t>
            </w:r>
          </w:p>
          <w:p>
            <w:pPr>
              <w:pStyle w:val="54"/>
              <w:autoSpaceDN w:val="0"/>
              <w:spacing w:line="480" w:lineRule="exact"/>
              <w:ind w:firstLine="0" w:firstLineChars="0"/>
              <w:contextualSpacing/>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3.支持上级区域可以查看下级区域的指数大屏。</w:t>
            </w:r>
          </w:p>
        </w:tc>
      </w:tr>
    </w:tbl>
    <w:p>
      <w:pPr>
        <w:pStyle w:val="23"/>
        <w:spacing w:line="480" w:lineRule="exact"/>
        <w:jc w:val="left"/>
        <w:outlineLvl w:val="2"/>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2、技术要求</w:t>
      </w:r>
    </w:p>
    <w:tbl>
      <w:tblPr>
        <w:tblStyle w:val="3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7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技术要求</w:t>
            </w:r>
          </w:p>
        </w:tc>
        <w:tc>
          <w:tcPr>
            <w:tcW w:w="78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1、技术架构要求</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采用前后端分离的开发方式。前端采用VUE技术框架，基于VUE + Element-UI + Axios + Echart5技术栈进行开发，后端采用Java技术框架，基于Spring MVC + Spring + Mybatis架构，Spring版本需在4.0.0(含)以上。平台基于分布式系统部署，要求实现模块化、组件化，通过组件化的功能及功能板块，可以方便地组装成为个性化的模块。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2、系统安全要求</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系统需要提供基于从数据、操作、访问、管理等一体化的安全服务机制。</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1.系统提供身份认证服务，只有合法的用户才能访问系统。</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2.系统能从功能、数据、操作三方面进行授权管理。</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3.系统提供操作日志查询，能记录管理员对于数据的操作记录。</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4.防止DDos攻击、CXRF攻击、SQL注入、跨站脚本攻击。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3、系统性能要求</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1.平台至少支持1000用户并发访问。</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2.指标设置页面平均响应时间不超过3秒，可视化大屏页面平均响应时间不超过5秒。</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3.系统全年7*24小时不间断运行。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4、系统升级要求</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系统应具有平滑升级的能力，在发布产品新版本时，需要提前两周告知甲方升级内容并协同甲方确定升级的影响，经甲方评估确认后选择是否更新为新版本，且更新的产品新版本不能影响已完成的功能；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5、运行环境要求</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1.采用 SaaS 化的部署方式，通过互联网浏览器或 Web 程序连接的形式为用户提供服务。</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2.平台部署的物理环境应采用云化部署，建议采用主流公有云。</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3.稳定性：要求实例可用性达到99.95%。</w:t>
            </w:r>
          </w:p>
        </w:tc>
      </w:tr>
    </w:tbl>
    <w:p>
      <w:pPr>
        <w:pStyle w:val="23"/>
        <w:spacing w:line="480" w:lineRule="exact"/>
        <w:jc w:val="left"/>
        <w:outlineLvl w:val="2"/>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3、指标运营需求</w:t>
      </w:r>
    </w:p>
    <w:tbl>
      <w:tblPr>
        <w:tblStyle w:val="3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7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项目</w:t>
            </w:r>
          </w:p>
        </w:tc>
        <w:tc>
          <w:tcPr>
            <w:tcW w:w="78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1、批量设置能力</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支持按租户进行批量设置可视化大屏的评级、权重和目标值。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2、指标数据批量导入/导出能力</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★支持按租户进行批量导入和导出五大振兴指数可视化大屏的指标数据。（需提供产品功能截图或演示视频）</w:t>
            </w:r>
          </w:p>
        </w:tc>
      </w:tr>
    </w:tbl>
    <w:p>
      <w:pPr>
        <w:spacing w:line="480" w:lineRule="exact"/>
        <w:rPr>
          <w:rFonts w:ascii="微软雅黑" w:hAnsi="微软雅黑" w:eastAsia="微软雅黑" w:cs="微软雅黑"/>
          <w:color w:val="auto"/>
          <w:szCs w:val="21"/>
          <w:highlight w:val="none"/>
        </w:rPr>
      </w:pPr>
    </w:p>
    <w:p>
      <w:pPr>
        <w:pStyle w:val="4"/>
        <w:spacing w:before="0" w:line="480" w:lineRule="exact"/>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br w:type="page"/>
      </w:r>
      <w:r>
        <w:rPr>
          <w:rFonts w:hint="eastAsia" w:ascii="微软雅黑" w:hAnsi="微软雅黑" w:eastAsia="微软雅黑" w:cs="微软雅黑"/>
          <w:b/>
          <w:bCs/>
          <w:color w:val="auto"/>
          <w:sz w:val="21"/>
          <w:szCs w:val="21"/>
          <w:highlight w:val="none"/>
        </w:rPr>
        <w:t>（三）、乡村治理</w:t>
      </w:r>
    </w:p>
    <w:p>
      <w:pPr>
        <w:pStyle w:val="23"/>
        <w:spacing w:before="0" w:after="0" w:line="480" w:lineRule="exact"/>
        <w:jc w:val="left"/>
        <w:outlineLvl w:val="2"/>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1、功能要求</w:t>
      </w:r>
    </w:p>
    <w:tbl>
      <w:tblPr>
        <w:tblStyle w:val="3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7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功能模块</w:t>
            </w:r>
          </w:p>
        </w:tc>
        <w:tc>
          <w:tcPr>
            <w:tcW w:w="78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1、智慧党建</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1.党建动态：</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提供党建动态的展示功能。管理员可通过后台进行党建动态信息的发布、删除、修改和查看（支持图片、文字等内容上传），支持定时公开。用户可通过移动端（小程序）查看党建动态。</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2.组织架构：</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党员专用。管理员端可对组织架构进行发布、删除、修改和查看，党员用户可通过移动端（小程序）查看自己所属党的组织架构，根据绑定的党员信息，可查询党委、支部信息，并支持所属支部组织架构下的所有党员基础信息查看。</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3.三会一课：</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党员专用。管理员可通过后台管理端发起会议预告（支持通过移动端和短信通知），选择参会人员，制定签到打卡时间；普通党员可通过移动端（小程序）和网页端查看会议预告，完成在线签到，上传打卡定位和签到时间；会议完成后，用户可在移动端发布会议心得，管理员可查看党员打卡统计和填写心得统计数据。</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4.党政考试：</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党员专用。后台管理员可自定义考试试题（试题类型包括选择题、填空题和判断题），并发起在线考试，指定参考党员；党员用户通过移动端（小程序）进行在线答题，且用户可以重复答题，系统将自动阅卷并记录用户在该场考试的最高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2、政务管理</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1.阳光村务：</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提供村务信息的发布、删除、修改和查看（支持图片、文字等内容上传），支持定时公开。村民可通过移动端（小程序）查看村务通知。</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2.我有话说：</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村民通过移动端（小程序）提交诉求、求助、建议、举报等信息，支持政府人员查看村民提交的问题并进行在线回复。</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3.灾情上报：</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用户可通过移动端上报疫情线索信息和灾情信息，如新冠、禽流感、洪水、干旱等，后台搜集信息。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3、平安家园</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1.乡村网格：</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网格员专用。政府人员可以通过管理后台对村民进行网格划分并设置网格管理员，网格员可以通过移动端（小程序）查询网格员的信息。</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2.上路巡查：</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网格员专用。提供网格员巡查数据的录入及展示，包括巡察轨迹、时间、人员等，网格员可通过移动端记录巡察数据。</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3.事件上报：</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支网格员专用。网格员可通过移动端对突发事件进行上报（支持治安、环境等自定义分类）。</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4.事件处理</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网格员专用。网格员对突发事件进行上报后，网格员可以对本事件进行处理，也可上报上级管理员进行处理和监督。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4、积分管理</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1.查询积分：</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积分管理人员可在后台管理系统与移动端查看用户积分与用户积分明细。</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2.积分发放：</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积分管理人员可在后台管理系统与移动端进行个体与批量用户积分发放，积分管理人员可通过录入及扫一扫用户获取积分二维码，填写发放积分数量及备注原因，即可进行积分发放。</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★3.积分兑换：</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积分管理人员可在后台管理系统与移动端进行用户积分兑换，积分管理人员通过移动端积分管理录入及扫一扫功能扫描用户积分兑换二维码，填写积分数量及备注原因，即可进行积分兑换。（需提供产品功能截图或演示视频）</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4.积分明细：</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积分管理人员可在后台管理系统与移动端查看积分明细，用户亦可在移动端查看自己的积分明细。</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5.积分规则：</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积分管理人员可在后台管理系统设置积分有效期，包括长期有效及限时有效，添加积分规则文本，用户在移动端可查看相应积分规则。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5、事项管理</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1.事项列表：</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查询本乡镇的所有事项，支持按事项类型、我创建的、我负责的、今天、最近7天、最近30天进行筛选；支持更新时间、创建时间、截止时间、创建人进行排序，支持显示或隐藏已结束的事项。</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★2.创建事项：</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根据领导布置的任务和村民申请的服务信息，基层干部创建待办事项，支持编辑事项标题、事项描述、图片、事项类型、服务对象、责任人、截止日期、获得积分等，事项的初始状态为“进行中”。注意，只有乡镇领导可以设置获得积分。（需提供产品功能截图或演示视频）</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3.更新进度：</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事项的责任人在完成事项的过程中随时更新进度，反馈事项的当前进展。</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4.完成事项：</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事项的责任人确认完成事项并指定本次服务的对象。</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5.结束事项：</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事项的创建人可以结束事项，事项状态设置为“已结束”。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6、数字门牌</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1.二维码管理：</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管理员对门牌二维码进行管理，按户生成农户的二维码，支持二维码图片的下载。</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★2.扫码查看：</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管理员、村民使用手机扫描二维码查看门牌户的详情信息，包括户主信息、家庭积分等信息，不同角色的用户查看的信息不一样，管理员能看到所有信息，村民只能看到积分、荣誉称号等信息。（需提供产品功能截图或演示视频）</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★3.扫码考核：</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管理员使用手机对每户的二维码进行扫码考核，支持对村民庭院、房前、屋后的环境卫生进行评分，并根据评分自动发放积分。（需提供产品功能截图或演示视频）</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4.扫码采集：</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管理员通过手机扫描二维码，可以帮助村民录入采集信息，包括人口、耕地、就业、补贴等信息。通过数据传输服务，采集的数据汇总到三农大数据平台，作为基层政府“以房管人”的基础数据。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7、三农服务</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1.办事指南：</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提供办事指南的录入及查看功能，支持通过管理后台录入与发布办事指南，支持轮播，置顶和定时公开。用户可通过移动端（小程序）查看办事指南。</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2.法律普及：</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提供法律科普知识的展示功能，管理员可通过管理后台进行法律科普知识的发布、删除、修改和查看（支持图片、文字等内容上传），支持定时公开。用户可通过移动端（小程序）查看法律科普知识。</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3.农技百科：</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提供农技知识、农技资讯等信息及资源的录入及展示功能。管理员可自定义上传农技信息及资源，包括但不限于视频、文字、图片、文档等，用户可通过移动端（小程序）查看。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8、三农数据管理</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1.农村管理：</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建立行政村库、网格库和房屋库，行政村库包含行政村名称、耕地面积、山林面积、专业合作社、总户数、总人口数、务农人数、常年外出务工人数等数据，网格库包含网格名称、网格长、状态等数据，房屋库包含门牌号、宅基地面积、经纬度等数据，支持查看/新增/删除/修改（不支持新增/删除行政村），过滤（支持按照不同筛选条件进行过滤搜索），导入（支持通过模板表格导入），导出（支持导出列表内容）。</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2.农民管理：</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建立户信息库和人口库，户信息库包含户类型、是否为低保户等数据，人口库包含姓名、证件号码、户编号、与户主关系、性别、年龄、民族、政治面貌等数据，支持查看/新增/删除/修改，过滤（支持按照不同筛选条件进行过滤搜索），导入（支持通过模板表格导入），导出（支持导出列表内容）。</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3.农业管理：</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建立农业生产库，以农户为单位维护每户的种植、养殖等数据，种植业包括小麦、大豆、马铃薯、胡麻、青贮玉米、水果玉米等，养殖业包括牛、羊、猪、鸡、蜂等，支持查看/新增/删除/修改，过滤（支持按照不同筛选条件进行过滤搜索），导入（支持通过模板表格导入），导出（支持导出列表内容）。</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4.标签和品类管理：</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支持标签管理、农业生产品类管理。政府人员可以维护三农数据库中使用的户、人口标签，通过标签实现户、人口的分组分类。政府人员可以设置用于农业生产数据采集的农业生产品类，支持启用/禁用，支持设置采集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9、系统设置</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numPr>
                <w:ilvl w:val="0"/>
                <w:numId w:val="14"/>
              </w:numPr>
              <w:autoSpaceDN w:val="0"/>
              <w:spacing w:line="480" w:lineRule="exact"/>
              <w:ind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菜单列表：</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提供系统所有菜单、子菜单、层级、展示属性的配置及管理。</w:t>
            </w:r>
          </w:p>
          <w:p>
            <w:pPr>
              <w:pStyle w:val="54"/>
              <w:numPr>
                <w:ilvl w:val="0"/>
                <w:numId w:val="14"/>
              </w:numPr>
              <w:autoSpaceDN w:val="0"/>
              <w:spacing w:line="480" w:lineRule="exact"/>
              <w:ind w:left="420" w:hanging="42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角色管理：</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提供系统账号角色的展示、增删改查，及权限配置。</w:t>
            </w:r>
          </w:p>
          <w:p>
            <w:pPr>
              <w:pStyle w:val="54"/>
              <w:numPr>
                <w:ilvl w:val="0"/>
                <w:numId w:val="14"/>
              </w:numPr>
              <w:autoSpaceDN w:val="0"/>
              <w:spacing w:line="480" w:lineRule="exact"/>
              <w:ind w:left="420" w:hanging="42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用户管理：</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提供用户账号的展示、增删改查，及权限配置。</w:t>
            </w:r>
          </w:p>
          <w:p>
            <w:pPr>
              <w:pStyle w:val="54"/>
              <w:numPr>
                <w:ilvl w:val="0"/>
                <w:numId w:val="14"/>
              </w:numPr>
              <w:autoSpaceDN w:val="0"/>
              <w:spacing w:line="480" w:lineRule="exact"/>
              <w:ind w:left="420" w:hanging="42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区域管理：</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提供用户账号的区域设置和管理。</w:t>
            </w:r>
          </w:p>
          <w:p>
            <w:pPr>
              <w:pStyle w:val="54"/>
              <w:numPr>
                <w:ilvl w:val="0"/>
                <w:numId w:val="14"/>
              </w:numPr>
              <w:autoSpaceDN w:val="0"/>
              <w:spacing w:line="480" w:lineRule="exact"/>
              <w:ind w:left="420" w:hanging="42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登录日志：</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提供登录日志记录及展示，便于管理员查询用户登录情况。</w:t>
            </w:r>
          </w:p>
          <w:p>
            <w:pPr>
              <w:pStyle w:val="54"/>
              <w:numPr>
                <w:ilvl w:val="0"/>
                <w:numId w:val="14"/>
              </w:numPr>
              <w:autoSpaceDN w:val="0"/>
              <w:spacing w:line="480" w:lineRule="exact"/>
              <w:ind w:left="420" w:hanging="42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操作日志：</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提供操作日志记录及展示，便于管理员查询用户操作情况。</w:t>
            </w:r>
          </w:p>
          <w:p>
            <w:pPr>
              <w:pStyle w:val="54"/>
              <w:numPr>
                <w:ilvl w:val="0"/>
                <w:numId w:val="14"/>
              </w:numPr>
              <w:autoSpaceDN w:val="0"/>
              <w:spacing w:line="480" w:lineRule="exact"/>
              <w:ind w:left="420" w:hanging="42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模块管理：</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提供部分可配置功能模块的增减配置及属性修改。</w:t>
            </w:r>
          </w:p>
          <w:p>
            <w:pPr>
              <w:pStyle w:val="54"/>
              <w:numPr>
                <w:ilvl w:val="0"/>
                <w:numId w:val="14"/>
              </w:numPr>
              <w:autoSpaceDN w:val="0"/>
              <w:spacing w:line="480" w:lineRule="exact"/>
              <w:ind w:left="420" w:hanging="42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版本管理：</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提供APP版本上传、更新、发布管理；APP端提供版本升级、自动检测更新、版本描述查询等功能。</w:t>
            </w:r>
          </w:p>
          <w:p>
            <w:pPr>
              <w:pStyle w:val="54"/>
              <w:numPr>
                <w:ilvl w:val="0"/>
                <w:numId w:val="14"/>
              </w:numPr>
              <w:autoSpaceDN w:val="0"/>
              <w:spacing w:line="480" w:lineRule="exact"/>
              <w:ind w:left="420" w:hanging="42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字典属性：</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提供系统基础字段的字典表设置。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10、个人中心</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numPr>
                <w:ilvl w:val="0"/>
                <w:numId w:val="15"/>
              </w:numPr>
              <w:autoSpaceDN w:val="0"/>
              <w:spacing w:line="480" w:lineRule="exact"/>
              <w:ind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个人信息：</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可对个人头像、昵称、手机号码、所属村庄等信息进行设置和查看。</w:t>
            </w:r>
          </w:p>
          <w:p>
            <w:pPr>
              <w:pStyle w:val="54"/>
              <w:numPr>
                <w:ilvl w:val="0"/>
                <w:numId w:val="15"/>
              </w:numPr>
              <w:autoSpaceDN w:val="0"/>
              <w:spacing w:line="480" w:lineRule="exact"/>
              <w:ind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短信验证：</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登录时可实现短信验证。</w:t>
            </w:r>
          </w:p>
          <w:p>
            <w:pPr>
              <w:pStyle w:val="54"/>
              <w:numPr>
                <w:ilvl w:val="0"/>
                <w:numId w:val="15"/>
              </w:numPr>
              <w:autoSpaceDN w:val="0"/>
              <w:spacing w:line="480" w:lineRule="exact"/>
              <w:ind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村庄认证：</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针对村民的村庄认证。</w:t>
            </w:r>
          </w:p>
          <w:p>
            <w:pPr>
              <w:pStyle w:val="54"/>
              <w:numPr>
                <w:ilvl w:val="0"/>
                <w:numId w:val="15"/>
              </w:numPr>
              <w:autoSpaceDN w:val="0"/>
              <w:spacing w:line="480" w:lineRule="exact"/>
              <w:ind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我的关注：</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查看个人关注的课程、专家、特产、旅游等信息。</w:t>
            </w:r>
          </w:p>
        </w:tc>
      </w:tr>
    </w:tbl>
    <w:p>
      <w:pPr>
        <w:pStyle w:val="23"/>
        <w:spacing w:line="480" w:lineRule="exact"/>
        <w:jc w:val="left"/>
        <w:outlineLvl w:val="2"/>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2、技术要求</w:t>
      </w:r>
    </w:p>
    <w:tbl>
      <w:tblPr>
        <w:tblStyle w:val="3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7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技术要求</w:t>
            </w:r>
          </w:p>
        </w:tc>
        <w:tc>
          <w:tcPr>
            <w:tcW w:w="78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1、多终端使用</w:t>
            </w:r>
          </w:p>
        </w:tc>
        <w:tc>
          <w:tcPr>
            <w:tcW w:w="781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电脑PC端、手机app端、数字大屏端等多方数据均同步存储在云中心，实现数据同源。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2、技术架构要求</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numPr>
                <w:ilvl w:val="0"/>
                <w:numId w:val="16"/>
              </w:numPr>
              <w:autoSpaceDN w:val="0"/>
              <w:spacing w:line="480" w:lineRule="exact"/>
              <w:ind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微服务构建：</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采用基于Spring Cloud的微服务技术架构，构建系统集群模式，满足系统日益增长的高并发需求，提高系统的前瞻性、可用性和易用性。</w:t>
            </w:r>
          </w:p>
          <w:p>
            <w:pPr>
              <w:pStyle w:val="54"/>
              <w:numPr>
                <w:ilvl w:val="0"/>
                <w:numId w:val="16"/>
              </w:numPr>
              <w:autoSpaceDN w:val="0"/>
              <w:spacing w:line="480" w:lineRule="exact"/>
              <w:ind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前后端分离：</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前端HTML页面通过调用后端提供的RESTful API并使用JSON数据进行交互，前端工程师和后端工程师只通过API文档进行关于数据的交流。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3、系统安全要求</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1.应用系统应具备访问权限的识别和控制功能，根据不同的应用需求提供多级密码口令或秘钥，对应用系统管理员、数据库管理员及应用请求发起方等必须授予不同级别的管理权限。</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2.应用系统应提供操作日志记录功能，以便及时掌握应用系统安全状态。</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3.数据库应支持关键数据存储加密、数据传输通道加密及相应冗余控制，除系统管理员外，其它用户（包括平台的用户、操作应用系统的用户等）均不得进行导入、导出和配置等操作。</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4.应用系统的安全防护不能对本应用系统及关联应用系统产生任何负面影响。</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5.卖方所提供安全措施及方案应符合国家关于信息网络安全的有关规定。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4、系统性能要求</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1.系统登录认证：从提交用户名/服务密码到认证结果返回的请求响应时间应小于3秒。</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2.系统首页响应：从用户发出首页请求，到首页完整展示的响应时间应小于5秒。</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3.一般数据提交的页面响应时间&lt;3秒；较复杂的需要响应时间&lt;10秒；特别复杂的&lt;20秒。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4、可靠性要求</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1.应用系统应保证7×24小时不间断运行。</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2.各个服务模块需具备并发性能或主备模块，当一个服务单元出现问题时，不影响整体服务的运行。</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3.主机正常运行状态下的内存利用率不应大于70%，保证系统在业务高峰时仍具有较强的抗冲击能力。</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4.应用系统要求有10%资源冗余。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5、兼容性要求</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1.平台系统支持Chrome、360等主流浏览器；</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★2.移动端需至少兼容小程序。（需提供产品功能截图或演示视频）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6、接口要求</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1.RESTful接口设计：API采用RESTful架构，结构清晰、符合标准、易于理解、方便扩展。</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2.HTTPS协议：所有信息都是加密传播，第三方无法窃听，具有校验机制，一旦被篡改，通信双方会立刻发现，配备身份证书，防止身份被冒充。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7、技术实现要求</w:t>
            </w:r>
          </w:p>
        </w:tc>
        <w:tc>
          <w:tcPr>
            <w:tcW w:w="7818" w:type="dxa"/>
            <w:tcBorders>
              <w:top w:val="single" w:color="auto" w:sz="4" w:space="0"/>
              <w:left w:val="single" w:color="auto" w:sz="4" w:space="0"/>
              <w:bottom w:val="single" w:color="auto" w:sz="4" w:space="0"/>
              <w:right w:val="single" w:color="auto" w:sz="4" w:space="0"/>
            </w:tcBorders>
            <w:vAlign w:val="bottom"/>
          </w:tcPr>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1.使用Redis内存数据库作为服务缓存，缓存大量中间结果，提高服务响应速度。</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2.系统使用MySQL存储结构化数据。</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3.系统前端界面的开发使用的是超级文本标记语言HTML5，它通过标记符号来标记要显示的网页中的各个部分。网页文件本身是一种文本文件，通过在文本文件中添加标记符，可以告诉浏览器如何显示其中的内容（如：文字如何处理，画面如何安排，图片如何显示等）。</w:t>
            </w:r>
          </w:p>
          <w:p>
            <w:pPr>
              <w:pStyle w:val="54"/>
              <w:autoSpaceDN w:val="0"/>
              <w:spacing w:line="480" w:lineRule="exact"/>
              <w:ind w:firstLine="0" w:firstLineChars="0"/>
              <w:contextualSpacing/>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4.系统使用Java技术进行后端开发，Java作为面向对象编程语言的代表，能让开发者以简洁明了的思维进行复杂的开发编程。</w:t>
            </w:r>
          </w:p>
        </w:tc>
      </w:tr>
    </w:tbl>
    <w:p>
      <w:pPr>
        <w:pStyle w:val="4"/>
        <w:spacing w:beforeLines="100" w:line="480" w:lineRule="exact"/>
        <w:jc w:val="left"/>
        <w:rPr>
          <w:rFonts w:ascii="微软雅黑" w:hAnsi="微软雅黑" w:eastAsia="微软雅黑" w:cs="微软雅黑"/>
          <w:color w:val="auto"/>
          <w:sz w:val="21"/>
          <w:szCs w:val="21"/>
          <w:highlight w:val="none"/>
        </w:rPr>
      </w:pPr>
      <w:r>
        <w:rPr>
          <w:rFonts w:hint="eastAsia" w:ascii="微软雅黑" w:hAnsi="微软雅黑" w:eastAsia="微软雅黑" w:cs="微软雅黑"/>
          <w:b/>
          <w:color w:val="auto"/>
          <w:sz w:val="21"/>
          <w:szCs w:val="21"/>
          <w:highlight w:val="none"/>
        </w:rPr>
        <w:br w:type="page"/>
      </w:r>
      <w:r>
        <w:rPr>
          <w:rFonts w:hint="eastAsia" w:ascii="微软雅黑" w:hAnsi="微软雅黑" w:eastAsia="微软雅黑" w:cs="微软雅黑"/>
          <w:b/>
          <w:bCs/>
          <w:color w:val="auto"/>
          <w:sz w:val="21"/>
          <w:szCs w:val="21"/>
          <w:highlight w:val="none"/>
        </w:rPr>
        <w:t>（四）、健康小屋信息系统</w:t>
      </w:r>
    </w:p>
    <w:p>
      <w:pPr>
        <w:pStyle w:val="23"/>
        <w:spacing w:line="480" w:lineRule="exact"/>
        <w:jc w:val="left"/>
        <w:outlineLvl w:val="2"/>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1、功能要求</w:t>
      </w:r>
    </w:p>
    <w:tbl>
      <w:tblPr>
        <w:tblStyle w:val="3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7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指标项</w:t>
            </w:r>
          </w:p>
        </w:tc>
        <w:tc>
          <w:tcPr>
            <w:tcW w:w="78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Cs/>
                <w:color w:val="auto"/>
                <w:kern w:val="0"/>
                <w:szCs w:val="21"/>
                <w:highlight w:val="none"/>
              </w:rPr>
              <w:t>数量要求</w:t>
            </w:r>
          </w:p>
        </w:tc>
        <w:tc>
          <w:tcPr>
            <w:tcW w:w="7818" w:type="dxa"/>
            <w:tcBorders>
              <w:top w:val="single" w:color="auto" w:sz="4" w:space="0"/>
              <w:left w:val="single" w:color="auto" w:sz="4" w:space="0"/>
              <w:bottom w:val="single" w:color="auto" w:sz="4" w:space="0"/>
              <w:right w:val="single" w:color="auto" w:sz="4" w:space="0"/>
            </w:tcBorders>
            <w:vAlign w:val="bottom"/>
          </w:tcPr>
          <w:p>
            <w:pPr>
              <w:autoSpaceDN w:val="0"/>
              <w:spacing w:line="480" w:lineRule="exact"/>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健康自测服务</w:t>
            </w:r>
          </w:p>
        </w:tc>
        <w:tc>
          <w:tcPr>
            <w:tcW w:w="7818" w:type="dxa"/>
            <w:tcBorders>
              <w:top w:val="single" w:color="auto" w:sz="4" w:space="0"/>
              <w:left w:val="single" w:color="auto" w:sz="4" w:space="0"/>
              <w:bottom w:val="single" w:color="auto" w:sz="4" w:space="0"/>
              <w:right w:val="single" w:color="auto" w:sz="4" w:space="0"/>
            </w:tcBorders>
            <w:vAlign w:val="bottom"/>
          </w:tcPr>
          <w:p>
            <w:pPr>
              <w:spacing w:line="480" w:lineRule="exac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1.通过健康自测设备，自测身高、体重、BMI、人体成分、血压、血氧、体温、血糖、尿酸、总胆固醇、腰臀比、心电、血脂。人性化设计，一站式操作，通过实时语音、动画视频，引导检测人员自主完成测量，并与之前测量数据实时对比。支持第二代身份证识别、也可手动输入身份证号、手机号。</w:t>
            </w:r>
            <w:r>
              <w:rPr>
                <w:rFonts w:hint="eastAsia" w:ascii="微软雅黑" w:hAnsi="微软雅黑" w:eastAsia="微软雅黑" w:cs="微软雅黑"/>
                <w:color w:val="auto"/>
                <w:szCs w:val="21"/>
                <w:highlight w:val="none"/>
              </w:rPr>
              <w:t>可全自动生成体检报告，一步自助建档，快速轻松建立个人健康电子档案，用互联网上传至健康检查管理后台终端。</w:t>
            </w:r>
          </w:p>
          <w:p>
            <w:pPr>
              <w:spacing w:line="480" w:lineRule="exact"/>
              <w:rPr>
                <w:rFonts w:ascii="微软雅黑" w:hAnsi="微软雅黑" w:eastAsia="微软雅黑" w:cs="微软雅黑"/>
                <w:color w:val="auto"/>
                <w:kern w:val="0"/>
                <w:szCs w:val="21"/>
                <w:highlight w:val="none"/>
              </w:rPr>
            </w:pPr>
            <w:r>
              <w:rPr>
                <w:rFonts w:hint="eastAsia" w:ascii="微软雅黑" w:hAnsi="微软雅黑" w:eastAsia="微软雅黑" w:cs="微软雅黑"/>
                <w:smallCaps/>
                <w:color w:val="auto"/>
                <w:kern w:val="0"/>
                <w:szCs w:val="21"/>
                <w:highlight w:val="none"/>
              </w:rPr>
              <w:t>2.中医体质自测，辨清体质能有针对性地作预防性治疗，及时纠正体质偏差，防止疾病发生，预知自己属于哪一类疾病的易感人群，可以采取综合措施加以防范。符合国家中医药管理局颁布的标准，按照模块分类智能评估中医体质，居民可以自主答题体，测量完成系统会推送对应体质介绍、饮食建议、运动建议。</w:t>
            </w:r>
          </w:p>
          <w:p>
            <w:pPr>
              <w:pStyle w:val="32"/>
              <w:spacing w:line="480" w:lineRule="exact"/>
              <w:jc w:val="both"/>
              <w:rPr>
                <w:rFonts w:ascii="微软雅黑" w:hAnsi="微软雅黑" w:eastAsia="微软雅黑" w:cs="微软雅黑"/>
                <w:b w:val="0"/>
                <w:color w:val="auto"/>
                <w:kern w:val="0"/>
                <w:sz w:val="21"/>
                <w:szCs w:val="21"/>
                <w:highlight w:val="none"/>
              </w:rPr>
            </w:pPr>
            <w:r>
              <w:rPr>
                <w:rFonts w:hint="eastAsia" w:ascii="微软雅黑" w:hAnsi="微软雅黑" w:eastAsia="微软雅黑" w:cs="微软雅黑"/>
                <w:b w:val="0"/>
                <w:color w:val="auto"/>
                <w:kern w:val="0"/>
                <w:sz w:val="21"/>
                <w:szCs w:val="21"/>
                <w:highlight w:val="none"/>
              </w:rPr>
              <w:t>★3.常见疾病评估自测，包含30个以上大类疾病量表自测，结合自身身体状况，填写相对应的量表问题，可得出是否患该种疾病，并生成对应健康处方（需提供产品功能截图或演示视频）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3D健康档案</w:t>
            </w:r>
          </w:p>
        </w:tc>
        <w:tc>
          <w:tcPr>
            <w:tcW w:w="7818" w:type="dxa"/>
            <w:tcBorders>
              <w:top w:val="single" w:color="auto" w:sz="4" w:space="0"/>
              <w:left w:val="single" w:color="auto" w:sz="4" w:space="0"/>
              <w:bottom w:val="single" w:color="auto" w:sz="4" w:space="0"/>
              <w:right w:val="single" w:color="auto" w:sz="4" w:space="0"/>
            </w:tcBorders>
            <w:vAlign w:val="bottom"/>
          </w:tcPr>
          <w:p>
            <w:pPr>
              <w:spacing w:line="480" w:lineRule="exac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1.将智能体检设备数据及医学量表问卷答案汇总分析，展现身体成分、生理机能、疾病风险、心理健康、生活习惯5大数据维度，生成定制化数字双生人体。人体10大系统（骨骼系统、肌肉系统、骨连接与关节、呼吸系统、消化系统、泌尿生殖系统、神经系统、循环系统、内分泌系统，淋巴系统）高亮展示用户异常指标和疾病异常，形成</w:t>
            </w:r>
            <w:r>
              <w:rPr>
                <w:rFonts w:hint="eastAsia" w:ascii="微软雅黑" w:hAnsi="微软雅黑" w:eastAsia="微软雅黑" w:cs="微软雅黑"/>
                <w:bCs/>
                <w:color w:val="auto"/>
                <w:kern w:val="0"/>
                <w:szCs w:val="21"/>
                <w:highlight w:val="none"/>
              </w:rPr>
              <w:t>3D可交互人体</w:t>
            </w:r>
            <w:r>
              <w:rPr>
                <w:rFonts w:hint="eastAsia" w:ascii="微软雅黑" w:hAnsi="微软雅黑" w:eastAsia="微软雅黑" w:cs="微软雅黑"/>
                <w:color w:val="auto"/>
                <w:kern w:val="0"/>
                <w:szCs w:val="21"/>
                <w:highlight w:val="none"/>
              </w:rPr>
              <w:t>，用户通过旋转、点击等操作，让自身异常指标一目了然</w:t>
            </w:r>
            <w:r>
              <w:rPr>
                <w:rFonts w:hint="eastAsia" w:ascii="微软雅黑" w:hAnsi="微软雅黑" w:eastAsia="微软雅黑" w:cs="微软雅黑"/>
                <w:bCs/>
                <w:color w:val="auto"/>
                <w:kern w:val="0"/>
                <w:szCs w:val="21"/>
                <w:highlight w:val="none"/>
              </w:rPr>
              <w:t>（需提供产品功能截图或演示视频）</w:t>
            </w:r>
            <w:r>
              <w:rPr>
                <w:rFonts w:hint="eastAsia" w:ascii="微软雅黑" w:hAnsi="微软雅黑" w:eastAsia="微软雅黑" w:cs="微软雅黑"/>
                <w:color w:val="auto"/>
                <w:kern w:val="0"/>
                <w:szCs w:val="21"/>
                <w:highlight w:val="none"/>
              </w:rPr>
              <w:t>。</w:t>
            </w:r>
          </w:p>
          <w:p>
            <w:pPr>
              <w:spacing w:line="480" w:lineRule="exac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2.可变人体，根据用户输入的身体特征数据与参数，生成定制化数字双生人体。可以实时反应人体的体型体态变化。</w:t>
            </w:r>
          </w:p>
          <w:p>
            <w:pPr>
              <w:spacing w:line="480" w:lineRule="exac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★3.面部重建，根据用户输入的面部正面照片，可变人体中的人面部会根据获取到的面部照片产生变化，生成与本人面部相符的面部模型</w:t>
            </w:r>
            <w:r>
              <w:rPr>
                <w:rFonts w:hint="eastAsia" w:ascii="微软雅黑" w:hAnsi="微软雅黑" w:eastAsia="微软雅黑" w:cs="微软雅黑"/>
                <w:bCs/>
                <w:color w:val="auto"/>
                <w:kern w:val="0"/>
                <w:szCs w:val="21"/>
                <w:highlight w:val="none"/>
              </w:rPr>
              <w:t>（需提供产品功能截图或演示视频）</w:t>
            </w:r>
            <w:r>
              <w:rPr>
                <w:rFonts w:hint="eastAsia" w:ascii="微软雅黑" w:hAnsi="微软雅黑" w:eastAsia="微软雅黑" w:cs="微软雅黑"/>
                <w:color w:val="auto"/>
                <w:kern w:val="0"/>
                <w:szCs w:val="21"/>
                <w:highlight w:val="none"/>
              </w:rPr>
              <w:t>。</w:t>
            </w:r>
          </w:p>
          <w:p>
            <w:pPr>
              <w:spacing w:line="480" w:lineRule="exac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4.健康雷达，通过智能健康问卷，评估用户身体、心理、饮食、运动、睡眠、生活习惯六大维度的健康情况，综合给出总体健康分数；将健康数据可视化展示，罗列展示用户身体异常指标和疾病异常，快速链接异常建议。</w:t>
            </w:r>
          </w:p>
          <w:p>
            <w:pPr>
              <w:spacing w:line="480" w:lineRule="exac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5.个性化健康方案，AI健康管理服务可为用户制定个性化健康处方：健康膳食方案，为用户制定每日摄入能量值，给出碳水、脂肪、蛋白质三大营养素的合理比例，依照次比例，考虑用户疾病、BMI等综合因素，推荐最适合的饮食模式和一周食谱，用户可以点击换一换，选择自己心仪的饮食搭配并执行。</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kern w:val="0"/>
                <w:szCs w:val="21"/>
                <w:highlight w:val="none"/>
              </w:rPr>
              <w:t>6.健康运动方案，根据用户年龄、体能和病情严重程度AI智能推荐一周运动方案，包含运动形式、运动强度、运动时间和运动频率。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健康查询服务</w:t>
            </w:r>
          </w:p>
        </w:tc>
        <w:tc>
          <w:tcPr>
            <w:tcW w:w="7818" w:type="dxa"/>
            <w:tcBorders>
              <w:top w:val="single" w:color="auto" w:sz="4" w:space="0"/>
              <w:left w:val="single" w:color="auto" w:sz="4" w:space="0"/>
              <w:bottom w:val="single" w:color="auto" w:sz="4" w:space="0"/>
              <w:right w:val="single" w:color="auto" w:sz="4" w:space="0"/>
            </w:tcBorders>
            <w:vAlign w:val="bottom"/>
          </w:tcPr>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kern w:val="0"/>
                <w:szCs w:val="21"/>
                <w:highlight w:val="none"/>
              </w:rPr>
              <w:t>★</w:t>
            </w:r>
            <w:r>
              <w:rPr>
                <w:rFonts w:hint="eastAsia" w:ascii="微软雅黑" w:hAnsi="微软雅黑" w:eastAsia="微软雅黑" w:cs="微软雅黑"/>
                <w:color w:val="auto"/>
                <w:szCs w:val="21"/>
                <w:highlight w:val="none"/>
              </w:rPr>
              <w:t>1.智能导诊服务，智能导诊通过触摸交互一体机选择点击人体图上的相应部位，选择症状、伴随症状、病史等信息；包含性别、正反面、年龄多维度技术参数输入得出诊断可能疾病和推荐就诊科室</w:t>
            </w:r>
            <w:r>
              <w:rPr>
                <w:rFonts w:hint="eastAsia" w:ascii="微软雅黑" w:hAnsi="微软雅黑" w:eastAsia="微软雅黑" w:cs="微软雅黑"/>
                <w:bCs/>
                <w:color w:val="auto"/>
                <w:kern w:val="0"/>
                <w:szCs w:val="21"/>
                <w:highlight w:val="none"/>
              </w:rPr>
              <w:t>（需提供产品功能截图或演示视频）</w:t>
            </w:r>
            <w:r>
              <w:rPr>
                <w:rFonts w:hint="eastAsia" w:ascii="微软雅黑" w:hAnsi="微软雅黑" w:eastAsia="微软雅黑" w:cs="微软雅黑"/>
                <w:color w:val="auto"/>
                <w:szCs w:val="21"/>
                <w:highlight w:val="none"/>
              </w:rPr>
              <w:t>。</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kern w:val="0"/>
                <w:szCs w:val="21"/>
                <w:highlight w:val="none"/>
              </w:rPr>
              <w:t>★</w:t>
            </w:r>
            <w:r>
              <w:rPr>
                <w:rFonts w:hint="eastAsia" w:ascii="微软雅黑" w:hAnsi="微软雅黑" w:eastAsia="微软雅黑" w:cs="微软雅黑"/>
                <w:color w:val="auto"/>
                <w:szCs w:val="21"/>
                <w:highlight w:val="none"/>
              </w:rPr>
              <w:t>2.通过检测终端自主检测身高、体重、体温、血压、脉率、血氧。通过智能医学建模，得到BMI、体表面积、体脂率、基础代谢率等身体健康数据；健康状态智能评估，支持五大种类型健康评估分类，根据检测数据给出对应健康饮食建议、健康运动建议；自动生成健康检测报告。通过触摸交互一体机和移动端查询</w:t>
            </w:r>
            <w:r>
              <w:rPr>
                <w:rFonts w:hint="eastAsia" w:ascii="微软雅黑" w:hAnsi="微软雅黑" w:eastAsia="微软雅黑" w:cs="微软雅黑"/>
                <w:bCs/>
                <w:color w:val="auto"/>
                <w:kern w:val="0"/>
                <w:szCs w:val="21"/>
                <w:highlight w:val="none"/>
              </w:rPr>
              <w:t>（需提供产品功能截图或演示视频）</w:t>
            </w:r>
            <w:r>
              <w:rPr>
                <w:rFonts w:hint="eastAsia" w:ascii="微软雅黑" w:hAnsi="微软雅黑" w:eastAsia="微软雅黑" w:cs="微软雅黑"/>
                <w:color w:val="auto"/>
                <w:szCs w:val="21"/>
                <w:highlight w:val="none"/>
              </w:rPr>
              <w:t>。</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3.医疗服务站点查询</w:t>
            </w:r>
          </w:p>
          <w:p>
            <w:pPr>
              <w:spacing w:line="480" w:lineRule="exac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szCs w:val="21"/>
                <w:highlight w:val="none"/>
              </w:rPr>
              <w:t>医疗服务站点图包含社区医院站点图、健康屋站点图。显示社区医院和健康屋列表。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健康宣教服务</w:t>
            </w:r>
          </w:p>
        </w:tc>
        <w:tc>
          <w:tcPr>
            <w:tcW w:w="7818" w:type="dxa"/>
            <w:tcBorders>
              <w:top w:val="single" w:color="auto" w:sz="4" w:space="0"/>
              <w:left w:val="single" w:color="auto" w:sz="4" w:space="0"/>
              <w:bottom w:val="single" w:color="auto" w:sz="4" w:space="0"/>
              <w:right w:val="single" w:color="auto" w:sz="4" w:space="0"/>
            </w:tcBorders>
            <w:vAlign w:val="bottom"/>
          </w:tcPr>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kern w:val="0"/>
                <w:szCs w:val="21"/>
                <w:highlight w:val="none"/>
              </w:rPr>
              <w:t>★</w:t>
            </w:r>
            <w:r>
              <w:rPr>
                <w:rFonts w:hint="eastAsia" w:ascii="微软雅黑" w:hAnsi="微软雅黑" w:eastAsia="微软雅黑" w:cs="微软雅黑"/>
                <w:color w:val="auto"/>
                <w:szCs w:val="21"/>
                <w:highlight w:val="none"/>
              </w:rPr>
              <w:t>1.视频宣教。包含13套各类疾病及防治宣讲健康知识的视频，实景与动画结合，形象生动的演绎易理解，具备自主知识产权</w:t>
            </w:r>
            <w:r>
              <w:rPr>
                <w:rFonts w:hint="eastAsia" w:ascii="微软雅黑" w:hAnsi="微软雅黑" w:eastAsia="微软雅黑" w:cs="微软雅黑"/>
                <w:bCs/>
                <w:color w:val="auto"/>
                <w:kern w:val="0"/>
                <w:szCs w:val="21"/>
                <w:highlight w:val="none"/>
              </w:rPr>
              <w:t>（需提供产品功能截图或演示视频）</w:t>
            </w:r>
            <w:r>
              <w:rPr>
                <w:rFonts w:hint="eastAsia" w:ascii="微软雅黑" w:hAnsi="微软雅黑" w:eastAsia="微软雅黑" w:cs="微软雅黑"/>
                <w:color w:val="auto"/>
                <w:szCs w:val="21"/>
                <w:highlight w:val="none"/>
              </w:rPr>
              <w:t>。</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kern w:val="0"/>
                <w:szCs w:val="21"/>
                <w:highlight w:val="none"/>
              </w:rPr>
              <w:t>★</w:t>
            </w:r>
            <w:r>
              <w:rPr>
                <w:rFonts w:hint="eastAsia" w:ascii="微软雅黑" w:hAnsi="微软雅黑" w:eastAsia="微软雅黑" w:cs="微软雅黑"/>
                <w:bCs/>
                <w:color w:val="auto"/>
                <w:kern w:val="0"/>
                <w:szCs w:val="21"/>
                <w:highlight w:val="none"/>
              </w:rPr>
              <w:t>2.</w:t>
            </w:r>
            <w:r>
              <w:rPr>
                <w:rFonts w:hint="eastAsia" w:ascii="微软雅黑" w:hAnsi="微软雅黑" w:eastAsia="微软雅黑" w:cs="微软雅黑"/>
                <w:color w:val="auto"/>
                <w:szCs w:val="21"/>
                <w:highlight w:val="none"/>
              </w:rPr>
              <w:t>健康手册。包含100套以上健康手册，包含大多数生活常见病；支持按常规宣教、检查宣教、疾病宣教进行筛选查看相关内容；支持扫码带走健康宣教内容；具备自主知识产权</w:t>
            </w:r>
            <w:r>
              <w:rPr>
                <w:rFonts w:hint="eastAsia" w:ascii="微软雅黑" w:hAnsi="微软雅黑" w:eastAsia="微软雅黑" w:cs="微软雅黑"/>
                <w:bCs/>
                <w:color w:val="auto"/>
                <w:kern w:val="0"/>
                <w:szCs w:val="21"/>
                <w:highlight w:val="none"/>
              </w:rPr>
              <w:t>（需提供产品功能截图或演示视频）</w:t>
            </w:r>
            <w:r>
              <w:rPr>
                <w:rFonts w:hint="eastAsia" w:ascii="微软雅黑" w:hAnsi="微软雅黑" w:eastAsia="微软雅黑" w:cs="微软雅黑"/>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管理后台服务</w:t>
            </w:r>
          </w:p>
        </w:tc>
        <w:tc>
          <w:tcPr>
            <w:tcW w:w="7818" w:type="dxa"/>
            <w:tcBorders>
              <w:top w:val="single" w:color="auto" w:sz="4" w:space="0"/>
              <w:left w:val="single" w:color="auto" w:sz="4" w:space="0"/>
              <w:bottom w:val="single" w:color="auto" w:sz="4" w:space="0"/>
              <w:right w:val="single" w:color="auto" w:sz="4" w:space="0"/>
            </w:tcBorders>
            <w:vAlign w:val="bottom"/>
          </w:tcPr>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1.登录用户列表</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1）管理员可通过用户管理查看各站点用户数量，包括用户姓名、身份证、手机号</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2）管理员可根据日期、站点名称进行查询</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2.用户登录记录列表</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用户登录记录列表是所有用户在健康屋登录的记录列表</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1）管理员可通过用户登录记录管理查看用户的登录记录，包括登录站点、登录日期</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2）管理员可根据日期、站点名称进行查询</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3.站点列表</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管理员可通过站点列表新增、修改、删除站点</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1）列表可根据站点名称、站点地址查询</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2）站点新增：填写站点名称、站点介绍、站点图片、站点地址经纬度、身体数据和体质辨识是否需要刷身份证、等基本信息</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3）站点设备绑定：从下拉设备列表中选择站点需要绑定的设备，并输入设备型号</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4）站点功能选择：从功能列表中选择站点需要的功能</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4.报修列表</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可查看各站点提交的报修记录，包括报修时间、报修人、报修内容，可进行相关报修处理。</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1）列表可根据站点名称、处理状态进行查询</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2）列表可查看报修时间、报修站点、报修内容、处理状态（已处理、未处理）</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3）报修处理：管理员可针对报修内容填写处理日期、处理内容，填写完成后对应报修记录会标记为已处理</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5.用户反馈</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可查看用户通过不同入口（公众号、查询一体机）填写的反馈内容，并进行相关的处理。</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1）列表可根据反馈日期、站点名称、来源、反馈内容查询</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2）列表可查看反馈日期、反馈人手机号、来源、站点名称、用户名、反馈内容</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6.查询一体机配置</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可在线对站点查询一体机进行可视化配置，包括功能的显示、logo的显示、图标的显示及显示模式的配置。</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1）查询一体机功能可根据需要随时增加或删除</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2）可在查询一体机左上角自行增加站点相关logo等标志</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7.用户测量数据管理</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可查看各站点用户测量数据，包括用户所有历史测量数据及各指标趋势图。</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1）列表可根据测量日期、测量时间段、站点名称、人群分类、年龄段、身份证号查询</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2）列表可查看用户测量日期、测量站点、姓名、以及测量的指标结果，详情可查看用户各指标所有测量记录的趋势图</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8.体质辨识记录</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可查看各站点用户体质辨识记录，包括详细答题情况及体质结果</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1）列表可根据日期、姓名、体质类型、来源（查询一体机、公众号）进行查询</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列表可查看用户答题日期、姓名、身份证、站点名称、体质类型、来源；详情可查看用户当前记录答题详情和体质结果及体质对应的调养建议、饮食调养、运动调养、经穴养生建议；还可切换历史测试记录查看对应内容</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健康测试记录</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可查看各站点用户接口自测记录，包括详细答题情况及生活处方</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1）列表可问卷名称、姓名、性别、来源、站点名称进行查询</w:t>
            </w:r>
          </w:p>
          <w:p>
            <w:pPr>
              <w:spacing w:line="480" w:lineRule="exact"/>
              <w:rPr>
                <w:rFonts w:ascii="微软雅黑" w:hAnsi="微软雅黑" w:eastAsia="微软雅黑" w:cs="微软雅黑"/>
                <w:bCs/>
                <w:color w:val="auto"/>
                <w:kern w:val="0"/>
                <w:szCs w:val="21"/>
                <w:highlight w:val="none"/>
              </w:rPr>
            </w:pPr>
            <w:r>
              <w:rPr>
                <w:rFonts w:hint="eastAsia" w:ascii="微软雅黑" w:hAnsi="微软雅黑" w:eastAsia="微软雅黑" w:cs="微软雅黑"/>
                <w:color w:val="auto"/>
                <w:szCs w:val="21"/>
                <w:highlight w:val="none"/>
              </w:rPr>
              <w:t>2）详情可查看用户答题日期、姓名、身份证、问卷名称；及用户当前记录答题详情和结果以及相关健康处方</w:t>
            </w:r>
          </w:p>
        </w:tc>
      </w:tr>
    </w:tbl>
    <w:p>
      <w:pPr>
        <w:pStyle w:val="4"/>
        <w:spacing w:beforeLines="100" w:line="480" w:lineRule="exact"/>
        <w:jc w:val="left"/>
        <w:rPr>
          <w:rFonts w:ascii="微软雅黑" w:hAnsi="微软雅黑" w:eastAsia="微软雅黑" w:cs="微软雅黑"/>
          <w:b/>
          <w:color w:val="auto"/>
          <w:sz w:val="21"/>
          <w:szCs w:val="21"/>
          <w:highlight w:val="none"/>
        </w:rPr>
      </w:pPr>
      <w:r>
        <w:rPr>
          <w:rFonts w:hint="eastAsia" w:ascii="微软雅黑" w:hAnsi="微软雅黑" w:eastAsia="微软雅黑" w:cs="微软雅黑"/>
          <w:b/>
          <w:color w:val="auto"/>
          <w:sz w:val="21"/>
          <w:szCs w:val="21"/>
          <w:highlight w:val="none"/>
        </w:rPr>
        <w:br w:type="page"/>
      </w:r>
      <w:r>
        <w:rPr>
          <w:rFonts w:hint="eastAsia" w:ascii="微软雅黑" w:hAnsi="微软雅黑" w:eastAsia="微软雅黑" w:cs="微软雅黑"/>
          <w:b/>
          <w:bCs/>
          <w:color w:val="auto"/>
          <w:sz w:val="21"/>
          <w:szCs w:val="21"/>
          <w:highlight w:val="none"/>
        </w:rPr>
        <w:t>（五）、5G应急救援系统</w:t>
      </w:r>
    </w:p>
    <w:p>
      <w:pPr>
        <w:pStyle w:val="23"/>
        <w:spacing w:line="480" w:lineRule="exact"/>
        <w:jc w:val="left"/>
        <w:outlineLvl w:val="2"/>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1、院内急救服务</w:t>
      </w:r>
    </w:p>
    <w:tbl>
      <w:tblPr>
        <w:tblStyle w:val="3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7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指标项</w:t>
            </w:r>
          </w:p>
        </w:tc>
        <w:tc>
          <w:tcPr>
            <w:tcW w:w="781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Cs/>
                <w:color w:val="auto"/>
                <w:kern w:val="0"/>
                <w:szCs w:val="21"/>
                <w:highlight w:val="none"/>
              </w:rPr>
              <w:t>数量要求</w:t>
            </w:r>
          </w:p>
        </w:tc>
        <w:tc>
          <w:tcPr>
            <w:tcW w:w="7818" w:type="dxa"/>
            <w:tcBorders>
              <w:top w:val="single" w:color="auto" w:sz="4" w:space="0"/>
              <w:left w:val="single" w:color="auto" w:sz="4" w:space="0"/>
              <w:bottom w:val="single" w:color="auto" w:sz="4" w:space="0"/>
              <w:right w:val="single" w:color="auto" w:sz="4" w:space="0"/>
            </w:tcBorders>
            <w:vAlign w:val="bottom"/>
          </w:tcPr>
          <w:p>
            <w:pPr>
              <w:autoSpaceDN w:val="0"/>
              <w:spacing w:line="480" w:lineRule="exact"/>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指挥中心急救指导服务</w:t>
            </w:r>
          </w:p>
        </w:tc>
        <w:tc>
          <w:tcPr>
            <w:tcW w:w="7818" w:type="dxa"/>
            <w:tcBorders>
              <w:top w:val="single" w:color="auto" w:sz="4" w:space="0"/>
              <w:left w:val="single" w:color="auto" w:sz="4" w:space="0"/>
              <w:bottom w:val="single" w:color="auto" w:sz="4" w:space="0"/>
              <w:right w:val="single" w:color="auto" w:sz="4" w:space="0"/>
            </w:tcBorders>
            <w:vAlign w:val="bottom"/>
          </w:tcPr>
          <w:p>
            <w:pPr>
              <w:numPr>
                <w:ilvl w:val="0"/>
                <w:numId w:val="17"/>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支持与车载设备、移动终端互联互通，进行院前急救，支持与中心医院远程系统互联互通，专家可参与实时指导与互动研讨</w:t>
            </w:r>
            <w:r>
              <w:rPr>
                <w:rFonts w:hint="eastAsia" w:ascii="微软雅黑" w:hAnsi="微软雅黑" w:eastAsia="微软雅黑" w:cs="微软雅黑"/>
                <w:bCs/>
                <w:color w:val="auto"/>
                <w:kern w:val="0"/>
                <w:szCs w:val="21"/>
                <w:highlight w:val="none"/>
              </w:rPr>
              <w:t>（需提供产品功能截图或演示视频或照片）</w:t>
            </w:r>
            <w:r>
              <w:rPr>
                <w:rFonts w:hint="eastAsia" w:ascii="微软雅黑" w:hAnsi="微软雅黑" w:eastAsia="微软雅黑" w:cs="微软雅黑"/>
                <w:color w:val="auto"/>
                <w:kern w:val="0"/>
                <w:szCs w:val="21"/>
                <w:highlight w:val="none"/>
              </w:rPr>
              <w:t>；</w:t>
            </w:r>
          </w:p>
          <w:p>
            <w:pPr>
              <w:numPr>
                <w:ilvl w:val="0"/>
                <w:numId w:val="17"/>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★实现急救中心专家对急救车内急救人员进行双向多方高清视频急救指导，可以实时查看车内医疗仪器（支持VGA和HDMI视频输出接口）影像</w:t>
            </w:r>
            <w:r>
              <w:rPr>
                <w:rFonts w:hint="eastAsia" w:ascii="微软雅黑" w:hAnsi="微软雅黑" w:eastAsia="微软雅黑" w:cs="微软雅黑"/>
                <w:bCs/>
                <w:color w:val="auto"/>
                <w:kern w:val="0"/>
                <w:szCs w:val="21"/>
                <w:highlight w:val="none"/>
              </w:rPr>
              <w:t>（需提供产品功能截图或演示视频或照片）</w:t>
            </w:r>
            <w:r>
              <w:rPr>
                <w:rFonts w:hint="eastAsia" w:ascii="微软雅黑" w:hAnsi="微软雅黑" w:eastAsia="微软雅黑" w:cs="微软雅黑"/>
                <w:color w:val="auto"/>
                <w:kern w:val="0"/>
                <w:szCs w:val="21"/>
                <w:highlight w:val="none"/>
              </w:rPr>
              <w:t>；</w:t>
            </w:r>
          </w:p>
          <w:p>
            <w:pPr>
              <w:numPr>
                <w:ilvl w:val="0"/>
                <w:numId w:val="17"/>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支持紧急情况下专家通过笔记本、手机端与车载主机、院内主机远程互联互通，移动化参与院前急救会诊。</w:t>
            </w:r>
          </w:p>
          <w:p>
            <w:pPr>
              <w:numPr>
                <w:ilvl w:val="0"/>
                <w:numId w:val="17"/>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设备需具备远程控制协作能力，针对目前当地医护人员操作不熟练、专业技能不足的现状，经由当地医生授权，辅助当地医生进行检查操作并对检查结果中的重点关注部位进行标注、标记，协助当地医生精准判断病情，作出诊断并商定后续手术及治疗方案，开展多方实时医疗协作及医技协同。为避免对院内网络及信息安全造成影响。</w:t>
            </w:r>
          </w:p>
          <w:p>
            <w:pPr>
              <w:numPr>
                <w:ilvl w:val="0"/>
                <w:numId w:val="17"/>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支持采集画面按16:9或5：4或4:3比例裁剪，使视频画面视图完美呈现，支持视频画面加边框可设置颜色线宽。支持对视频画面添加马赛克功能，隐藏病人隐私信息。</w:t>
            </w:r>
          </w:p>
          <w:p>
            <w:pPr>
              <w:numPr>
                <w:ilvl w:val="0"/>
                <w:numId w:val="17"/>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支持多路高清数据实时传输，支持实时切换车载主机画面，放大缩小单路数据。</w:t>
            </w:r>
          </w:p>
          <w:p>
            <w:pPr>
              <w:numPr>
                <w:ilvl w:val="0"/>
                <w:numId w:val="17"/>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支持对视频画面进行多种标注，支持文字标注、支持鼠标标记、支持画线、箭头、图形、马赛克、支持插入图标标记、支持图标放大、缩小、拖动、旋转等、支持擦除、全部清除功能。</w:t>
            </w:r>
          </w:p>
          <w:p>
            <w:pPr>
              <w:numPr>
                <w:ilvl w:val="0"/>
                <w:numId w:val="17"/>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 xml:space="preserve">支持本地录制，可支持1920*1080,码率5000及以上的高清视频本地录制； </w:t>
            </w:r>
          </w:p>
          <w:p>
            <w:pPr>
              <w:pStyle w:val="58"/>
              <w:numPr>
                <w:ilvl w:val="0"/>
                <w:numId w:val="17"/>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color w:val="auto"/>
                <w:sz w:val="21"/>
                <w:szCs w:val="21"/>
                <w:highlight w:val="none"/>
              </w:rPr>
              <w:t>提供HDMI输入和输出服务，提供USB服务，其中USB 2.0服务接口数目≥2个，USB 3.0服务接口数目≥2个。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指挥中心视频服务</w:t>
            </w:r>
          </w:p>
          <w:p>
            <w:pPr>
              <w:widowControl/>
              <w:spacing w:line="480" w:lineRule="exact"/>
              <w:jc w:val="left"/>
              <w:rPr>
                <w:rFonts w:ascii="微软雅黑" w:hAnsi="微软雅黑" w:eastAsia="微软雅黑" w:cs="微软雅黑"/>
                <w:bCs/>
                <w:color w:val="auto"/>
                <w:kern w:val="0"/>
                <w:szCs w:val="21"/>
                <w:highlight w:val="none"/>
              </w:rPr>
            </w:pPr>
          </w:p>
        </w:tc>
        <w:tc>
          <w:tcPr>
            <w:tcW w:w="7818" w:type="dxa"/>
            <w:tcBorders>
              <w:top w:val="single" w:color="auto" w:sz="4" w:space="0"/>
              <w:left w:val="single" w:color="auto" w:sz="4" w:space="0"/>
              <w:bottom w:val="single" w:color="auto" w:sz="4" w:space="0"/>
              <w:right w:val="single" w:color="auto" w:sz="4" w:space="0"/>
            </w:tcBorders>
            <w:vAlign w:val="bottom"/>
          </w:tcPr>
          <w:p>
            <w:pPr>
              <w:numPr>
                <w:ilvl w:val="0"/>
                <w:numId w:val="18"/>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提供高清视频监控服务，服务包含的信号系统HD: 1080p/60, 1080p/50, 1080i/60, 1080i/50, 1080p/30, 1080p/25, 720p/120, 720p/60, 720p/50, 720p/30, 720p/25；</w:t>
            </w:r>
          </w:p>
          <w:p>
            <w:pPr>
              <w:numPr>
                <w:ilvl w:val="0"/>
                <w:numId w:val="18"/>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服务支撑材料采用传感器:1/2.7英寸, CMOS, 有效像素：207万</w:t>
            </w:r>
          </w:p>
          <w:p>
            <w:pPr>
              <w:numPr>
                <w:ilvl w:val="0"/>
                <w:numId w:val="18"/>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视频编码服务的标准满足:H65 / H.264 / MJPEG；</w:t>
            </w:r>
          </w:p>
          <w:p>
            <w:pPr>
              <w:numPr>
                <w:ilvl w:val="0"/>
                <w:numId w:val="18"/>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视频码流服务包括:主码流, 辅码流；</w:t>
            </w:r>
          </w:p>
          <w:p>
            <w:pPr>
              <w:numPr>
                <w:ilvl w:val="0"/>
                <w:numId w:val="18"/>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视频主码流服务提供的分辨率:1920x1080, 1280x720, 1024x576等；</w:t>
            </w:r>
          </w:p>
          <w:p>
            <w:pPr>
              <w:numPr>
                <w:ilvl w:val="0"/>
                <w:numId w:val="18"/>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视频辅码流服务提供的:720x576, 720x480, 320x240等；</w:t>
            </w:r>
          </w:p>
          <w:p>
            <w:pPr>
              <w:numPr>
                <w:ilvl w:val="0"/>
                <w:numId w:val="18"/>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视频码率服务:32Kbps ~ 20480Kbps；</w:t>
            </w:r>
          </w:p>
          <w:p>
            <w:pPr>
              <w:numPr>
                <w:ilvl w:val="0"/>
                <w:numId w:val="18"/>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视频码率控制服务:可变码率, 固定码率；</w:t>
            </w:r>
          </w:p>
          <w:p>
            <w:pPr>
              <w:numPr>
                <w:ilvl w:val="0"/>
                <w:numId w:val="18"/>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音频压缩服务:AAC；</w:t>
            </w:r>
          </w:p>
          <w:p>
            <w:pPr>
              <w:numPr>
                <w:ilvl w:val="0"/>
                <w:numId w:val="18"/>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音频码率服务:96Kbps, 128Kbps, 256Kbps；</w:t>
            </w:r>
          </w:p>
          <w:p>
            <w:pPr>
              <w:numPr>
                <w:ilvl w:val="0"/>
                <w:numId w:val="18"/>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服务满足的协议:TCP/IP, HTTP, RTSP, RTMP, Onvif, DHCP, 组播等；</w:t>
            </w:r>
          </w:p>
          <w:p>
            <w:pPr>
              <w:numPr>
                <w:ilvl w:val="0"/>
                <w:numId w:val="18"/>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支持音频LINE IN输入，摄像机可对音频进行编码；</w:t>
            </w:r>
          </w:p>
          <w:p>
            <w:pPr>
              <w:numPr>
                <w:ilvl w:val="0"/>
                <w:numId w:val="18"/>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支持HDMI+3G-SDI高清原始输出。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指挥中心音频服务</w:t>
            </w:r>
          </w:p>
        </w:tc>
        <w:tc>
          <w:tcPr>
            <w:tcW w:w="7818" w:type="dxa"/>
            <w:tcBorders>
              <w:top w:val="single" w:color="auto" w:sz="4" w:space="0"/>
              <w:left w:val="single" w:color="auto" w:sz="4" w:space="0"/>
              <w:bottom w:val="single" w:color="auto" w:sz="4" w:space="0"/>
              <w:right w:val="single" w:color="auto" w:sz="4" w:space="0"/>
            </w:tcBorders>
            <w:vAlign w:val="bottom"/>
          </w:tcPr>
          <w:p>
            <w:pPr>
              <w:numPr>
                <w:ilvl w:val="0"/>
                <w:numId w:val="19"/>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可支持Microsoft Lync及各种软体会议使用；</w:t>
            </w:r>
          </w:p>
          <w:p>
            <w:pPr>
              <w:numPr>
                <w:ilvl w:val="0"/>
                <w:numId w:val="19"/>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服务支持USB连接可即插即用连接电脑；</w:t>
            </w:r>
          </w:p>
          <w:p>
            <w:pPr>
              <w:numPr>
                <w:ilvl w:val="0"/>
                <w:numId w:val="19"/>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可通过蓝芽，与平板电脑和行动装置连接；</w:t>
            </w:r>
          </w:p>
          <w:p>
            <w:pPr>
              <w:numPr>
                <w:ilvl w:val="0"/>
                <w:numId w:val="19"/>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360度收音，可全方位收音；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指挥中心多媒体服务</w:t>
            </w:r>
          </w:p>
        </w:tc>
        <w:tc>
          <w:tcPr>
            <w:tcW w:w="7818" w:type="dxa"/>
            <w:tcBorders>
              <w:top w:val="single" w:color="auto" w:sz="4" w:space="0"/>
              <w:left w:val="single" w:color="auto" w:sz="4" w:space="0"/>
              <w:bottom w:val="single" w:color="auto" w:sz="4" w:space="0"/>
              <w:right w:val="single" w:color="auto" w:sz="4" w:space="0"/>
            </w:tcBorders>
            <w:vAlign w:val="bottom"/>
          </w:tcPr>
          <w:p>
            <w:pPr>
              <w:pStyle w:val="58"/>
              <w:numPr>
                <w:ilvl w:val="0"/>
                <w:numId w:val="20"/>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多媒体服务提供的分辨率指标：4K（3840*2160）；</w:t>
            </w:r>
          </w:p>
          <w:p>
            <w:pPr>
              <w:pStyle w:val="58"/>
              <w:numPr>
                <w:ilvl w:val="0"/>
                <w:numId w:val="20"/>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多媒体服务能效指标：2级能效；</w:t>
            </w:r>
          </w:p>
          <w:p>
            <w:pPr>
              <w:pStyle w:val="58"/>
              <w:numPr>
                <w:ilvl w:val="0"/>
                <w:numId w:val="20"/>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多媒体服务HDR显示指标：4K HDR；</w:t>
            </w:r>
          </w:p>
          <w:p>
            <w:pPr>
              <w:pStyle w:val="58"/>
              <w:numPr>
                <w:ilvl w:val="0"/>
                <w:numId w:val="20"/>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多媒体服务的网络功能：有线/WiFi。</w:t>
            </w:r>
          </w:p>
        </w:tc>
      </w:tr>
    </w:tbl>
    <w:p>
      <w:pPr>
        <w:pStyle w:val="23"/>
        <w:spacing w:line="480" w:lineRule="exact"/>
        <w:jc w:val="left"/>
        <w:outlineLvl w:val="2"/>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2、车载急救服务</w:t>
      </w:r>
    </w:p>
    <w:tbl>
      <w:tblPr>
        <w:tblStyle w:val="3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7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指标项</w:t>
            </w:r>
          </w:p>
        </w:tc>
        <w:tc>
          <w:tcPr>
            <w:tcW w:w="78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Cs/>
                <w:color w:val="auto"/>
                <w:kern w:val="0"/>
                <w:szCs w:val="21"/>
                <w:highlight w:val="none"/>
              </w:rPr>
              <w:t>数量要求</w:t>
            </w:r>
          </w:p>
        </w:tc>
        <w:tc>
          <w:tcPr>
            <w:tcW w:w="7818" w:type="dxa"/>
            <w:tcBorders>
              <w:top w:val="single" w:color="auto" w:sz="4" w:space="0"/>
              <w:left w:val="single" w:color="auto" w:sz="4" w:space="0"/>
              <w:bottom w:val="single" w:color="auto" w:sz="4" w:space="0"/>
              <w:right w:val="single" w:color="auto" w:sz="4" w:space="0"/>
            </w:tcBorders>
            <w:vAlign w:val="bottom"/>
          </w:tcPr>
          <w:p>
            <w:pPr>
              <w:autoSpaceDN w:val="0"/>
              <w:spacing w:line="480" w:lineRule="exact"/>
              <w:jc w:val="center"/>
              <w:textAlignment w:val="center"/>
              <w:rPr>
                <w:rFonts w:ascii="微软雅黑" w:hAnsi="微软雅黑" w:eastAsia="微软雅黑" w:cs="微软雅黑"/>
                <w:b/>
                <w:bCs/>
                <w:color w:val="auto"/>
                <w:kern w:val="0"/>
                <w:szCs w:val="21"/>
                <w:highlight w:val="none"/>
              </w:rPr>
            </w:pPr>
            <w:r>
              <w:rPr>
                <w:rFonts w:hint="eastAsia" w:ascii="微软雅黑" w:hAnsi="微软雅黑" w:eastAsia="微软雅黑" w:cs="微软雅黑"/>
                <w:b/>
                <w:bCs/>
                <w:color w:val="auto"/>
                <w:kern w:val="0"/>
                <w:szCs w:val="21"/>
                <w:highlight w:val="none"/>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5G应急救援系统</w:t>
            </w:r>
          </w:p>
        </w:tc>
        <w:tc>
          <w:tcPr>
            <w:tcW w:w="7818" w:type="dxa"/>
            <w:tcBorders>
              <w:top w:val="single" w:color="auto" w:sz="4" w:space="0"/>
              <w:left w:val="single" w:color="auto" w:sz="4" w:space="0"/>
              <w:bottom w:val="single" w:color="auto" w:sz="4" w:space="0"/>
              <w:right w:val="single" w:color="auto" w:sz="4" w:space="0"/>
            </w:tcBorders>
            <w:vAlign w:val="bottom"/>
          </w:tcPr>
          <w:p>
            <w:pPr>
              <w:pStyle w:val="58"/>
              <w:autoSpaceDN w:val="0"/>
              <w:spacing w:line="480" w:lineRule="exact"/>
              <w:ind w:firstLine="0" w:firstLineChars="0"/>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（一）应急救援系统Web管理端</w:t>
            </w:r>
          </w:p>
          <w:p>
            <w:pPr>
              <w:pStyle w:val="58"/>
              <w:numPr>
                <w:ilvl w:val="0"/>
                <w:numId w:val="21"/>
              </w:numPr>
              <w:autoSpaceDN w:val="0"/>
              <w:spacing w:line="480" w:lineRule="exact"/>
              <w:ind w:firstLineChars="0"/>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急救车综合管理系统</w:t>
            </w:r>
          </w:p>
          <w:p>
            <w:pPr>
              <w:pStyle w:val="58"/>
              <w:autoSpaceDN w:val="0"/>
              <w:spacing w:line="480" w:lineRule="exact"/>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a．车辆高清视频监控</w:t>
            </w:r>
          </w:p>
          <w:p>
            <w:pPr>
              <w:pStyle w:val="58"/>
              <w:autoSpaceDN w:val="0"/>
              <w:spacing w:line="480" w:lineRule="exact"/>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b．车辆状态监控</w:t>
            </w:r>
          </w:p>
          <w:p>
            <w:pPr>
              <w:pStyle w:val="58"/>
              <w:autoSpaceDN w:val="0"/>
              <w:spacing w:line="480" w:lineRule="exact"/>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c．轨迹实时跟踪</w:t>
            </w:r>
          </w:p>
          <w:p>
            <w:pPr>
              <w:pStyle w:val="58"/>
              <w:autoSpaceDN w:val="0"/>
              <w:spacing w:line="480" w:lineRule="exact"/>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d. 任务执行时间监控记录</w:t>
            </w:r>
          </w:p>
          <w:p>
            <w:pPr>
              <w:pStyle w:val="58"/>
              <w:numPr>
                <w:ilvl w:val="0"/>
                <w:numId w:val="21"/>
              </w:numPr>
              <w:autoSpaceDN w:val="0"/>
              <w:spacing w:line="480" w:lineRule="exact"/>
              <w:ind w:firstLineChars="0"/>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GIS地理信息系统</w:t>
            </w:r>
          </w:p>
          <w:p>
            <w:pPr>
              <w:pStyle w:val="58"/>
              <w:numPr>
                <w:ilvl w:val="0"/>
                <w:numId w:val="21"/>
              </w:numPr>
              <w:autoSpaceDN w:val="0"/>
              <w:spacing w:line="480" w:lineRule="exact"/>
              <w:ind w:firstLineChars="0"/>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★急救车载会诊子系统</w:t>
            </w:r>
          </w:p>
          <w:p>
            <w:pPr>
              <w:pStyle w:val="58"/>
              <w:autoSpaceDN w:val="0"/>
              <w:spacing w:line="480" w:lineRule="exact"/>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a. 车载音视频会诊（需提供产品功能截图或演示视频）</w:t>
            </w:r>
          </w:p>
          <w:p>
            <w:pPr>
              <w:pStyle w:val="58"/>
              <w:autoSpaceDN w:val="0"/>
              <w:spacing w:line="480" w:lineRule="exact"/>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b.会诊画面标注（需提供产品功能截图或演示视频）</w:t>
            </w:r>
          </w:p>
          <w:p>
            <w:pPr>
              <w:pStyle w:val="58"/>
              <w:autoSpaceDN w:val="0"/>
              <w:spacing w:line="480" w:lineRule="exact"/>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c.会诊视频保存（需提供产品功能截图或演示视频）</w:t>
            </w:r>
          </w:p>
          <w:p>
            <w:pPr>
              <w:pStyle w:val="58"/>
              <w:numPr>
                <w:ilvl w:val="0"/>
                <w:numId w:val="21"/>
              </w:numPr>
              <w:autoSpaceDN w:val="0"/>
              <w:spacing w:line="480" w:lineRule="exact"/>
              <w:ind w:firstLineChars="0"/>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医疗设备数据对接子系统：</w:t>
            </w:r>
          </w:p>
          <w:p>
            <w:pPr>
              <w:pStyle w:val="58"/>
              <w:autoSpaceDN w:val="0"/>
              <w:spacing w:line="480" w:lineRule="exact"/>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a. 体征数据获取</w:t>
            </w:r>
          </w:p>
          <w:p>
            <w:pPr>
              <w:pStyle w:val="58"/>
              <w:autoSpaceDN w:val="0"/>
              <w:spacing w:line="480" w:lineRule="exact"/>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b. 心电报告获取</w:t>
            </w:r>
          </w:p>
          <w:p>
            <w:pPr>
              <w:pStyle w:val="58"/>
              <w:autoSpaceDN w:val="0"/>
              <w:spacing w:line="480" w:lineRule="exact"/>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c. 医疗影像数据获取</w:t>
            </w:r>
          </w:p>
          <w:p>
            <w:pPr>
              <w:pStyle w:val="58"/>
              <w:autoSpaceDN w:val="0"/>
              <w:spacing w:line="480" w:lineRule="exact"/>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 xml:space="preserve">d. </w:t>
            </w:r>
            <w:r>
              <w:rPr>
                <w:rFonts w:hint="eastAsia" w:ascii="微软雅黑" w:hAnsi="微软雅黑" w:eastAsia="微软雅黑" w:cs="微软雅黑"/>
                <w:color w:val="auto"/>
                <w:sz w:val="21"/>
                <w:szCs w:val="21"/>
                <w:highlight w:val="none"/>
              </w:rPr>
              <w:t>★</w:t>
            </w:r>
            <w:r>
              <w:rPr>
                <w:rFonts w:hint="eastAsia" w:ascii="微软雅黑" w:hAnsi="微软雅黑" w:eastAsia="微软雅黑" w:cs="微软雅黑"/>
                <w:bCs/>
                <w:color w:val="auto"/>
                <w:sz w:val="21"/>
                <w:szCs w:val="21"/>
                <w:highlight w:val="none"/>
              </w:rPr>
              <w:t>完成过多种类型医疗设备对接：心电图机、便携式超声、监护仪、手持血液分析仪、免疫分析仪等（需提供产品功能截图或演示视频）</w:t>
            </w:r>
          </w:p>
          <w:p>
            <w:pPr>
              <w:pStyle w:val="58"/>
              <w:numPr>
                <w:ilvl w:val="0"/>
                <w:numId w:val="21"/>
              </w:numPr>
              <w:autoSpaceDN w:val="0"/>
              <w:spacing w:line="480" w:lineRule="exact"/>
              <w:ind w:firstLineChars="0"/>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资源管理子系统</w:t>
            </w:r>
          </w:p>
          <w:p>
            <w:pPr>
              <w:pStyle w:val="58"/>
              <w:autoSpaceDN w:val="0"/>
              <w:spacing w:line="480" w:lineRule="exact"/>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a. 车辆管理与展示、</w:t>
            </w:r>
          </w:p>
          <w:p>
            <w:pPr>
              <w:pStyle w:val="58"/>
              <w:autoSpaceDN w:val="0"/>
              <w:spacing w:line="480" w:lineRule="exact"/>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 xml:space="preserve">b. 车载设备管理与展示 </w:t>
            </w:r>
          </w:p>
          <w:p>
            <w:pPr>
              <w:pStyle w:val="58"/>
              <w:autoSpaceDN w:val="0"/>
              <w:spacing w:line="480" w:lineRule="exact"/>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c. 人员管理与展示、</w:t>
            </w:r>
          </w:p>
          <w:p>
            <w:pPr>
              <w:pStyle w:val="58"/>
              <w:autoSpaceDN w:val="0"/>
              <w:spacing w:line="480" w:lineRule="exact"/>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d. 班组管理与展示、</w:t>
            </w:r>
          </w:p>
          <w:p>
            <w:pPr>
              <w:pStyle w:val="58"/>
              <w:numPr>
                <w:ilvl w:val="0"/>
                <w:numId w:val="21"/>
              </w:numPr>
              <w:autoSpaceDN w:val="0"/>
              <w:spacing w:line="480" w:lineRule="exact"/>
              <w:ind w:firstLineChars="0"/>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急救数据可视化子系统</w:t>
            </w:r>
          </w:p>
          <w:p>
            <w:pPr>
              <w:pStyle w:val="58"/>
              <w:autoSpaceDN w:val="0"/>
              <w:spacing w:line="480" w:lineRule="exact"/>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a. 多任务综合统计分析</w:t>
            </w:r>
          </w:p>
          <w:p>
            <w:pPr>
              <w:pStyle w:val="58"/>
              <w:autoSpaceDN w:val="0"/>
              <w:spacing w:line="480" w:lineRule="exact"/>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b. 单任务可视化展示</w:t>
            </w:r>
          </w:p>
          <w:p>
            <w:pPr>
              <w:pStyle w:val="58"/>
              <w:autoSpaceDN w:val="0"/>
              <w:spacing w:line="480" w:lineRule="exact"/>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c. 急救质控管理</w:t>
            </w:r>
          </w:p>
          <w:p>
            <w:pPr>
              <w:pStyle w:val="58"/>
              <w:autoSpaceDN w:val="0"/>
              <w:spacing w:line="480" w:lineRule="exact"/>
              <w:ind w:firstLine="0" w:firstLineChars="0"/>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（二）车载App端</w:t>
            </w:r>
          </w:p>
          <w:p>
            <w:pPr>
              <w:pStyle w:val="58"/>
              <w:numPr>
                <w:ilvl w:val="0"/>
                <w:numId w:val="22"/>
              </w:numPr>
              <w:autoSpaceDN w:val="0"/>
              <w:spacing w:line="480" w:lineRule="exact"/>
              <w:ind w:firstLineChars="0"/>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展示和编辑当前任务信息，包括患者姓名  患者电话  患者地址、医院地址；</w:t>
            </w:r>
          </w:p>
          <w:p>
            <w:pPr>
              <w:pStyle w:val="58"/>
              <w:numPr>
                <w:ilvl w:val="0"/>
                <w:numId w:val="22"/>
              </w:numPr>
              <w:autoSpaceDN w:val="0"/>
              <w:spacing w:line="480" w:lineRule="exact"/>
              <w:ind w:firstLineChars="0"/>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可编辑当前任务信息，包括患者姓名  患者电话  患者地址、医院地址；</w:t>
            </w:r>
          </w:p>
          <w:p>
            <w:pPr>
              <w:pStyle w:val="58"/>
              <w:numPr>
                <w:ilvl w:val="0"/>
                <w:numId w:val="22"/>
              </w:numPr>
              <w:autoSpaceDN w:val="0"/>
              <w:spacing w:line="480" w:lineRule="exact"/>
              <w:ind w:firstLineChars="0"/>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可更新任务状态，接到患者、结束任务；</w:t>
            </w:r>
          </w:p>
          <w:p>
            <w:pPr>
              <w:pStyle w:val="58"/>
              <w:numPr>
                <w:ilvl w:val="0"/>
                <w:numId w:val="22"/>
              </w:numPr>
              <w:autoSpaceDN w:val="0"/>
              <w:spacing w:line="480" w:lineRule="exact"/>
              <w:ind w:firstLineChars="0"/>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无任务时，可立即出车创建任务；</w:t>
            </w:r>
          </w:p>
          <w:p>
            <w:pPr>
              <w:pStyle w:val="58"/>
              <w:numPr>
                <w:ilvl w:val="0"/>
                <w:numId w:val="22"/>
              </w:numPr>
              <w:autoSpaceDN w:val="0"/>
              <w:spacing w:line="480" w:lineRule="exact"/>
              <w:ind w:firstLineChars="0"/>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可查看当前车辆已完成的急救任务、病历；</w:t>
            </w:r>
          </w:p>
          <w:p>
            <w:pPr>
              <w:pStyle w:val="58"/>
              <w:numPr>
                <w:ilvl w:val="0"/>
                <w:numId w:val="22"/>
              </w:numPr>
              <w:autoSpaceDN w:val="0"/>
              <w:spacing w:line="480" w:lineRule="exact"/>
              <w:ind w:firstLineChars="0"/>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支持补录、编辑电子病历；支持发起、取消、接入、退出会诊</w:t>
            </w:r>
          </w:p>
          <w:p>
            <w:pPr>
              <w:numPr>
                <w:ilvl w:val="0"/>
                <w:numId w:val="22"/>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szCs w:val="21"/>
                <w:highlight w:val="none"/>
              </w:rPr>
              <w:t>★</w:t>
            </w:r>
            <w:r>
              <w:rPr>
                <w:rFonts w:hint="eastAsia" w:ascii="微软雅黑" w:hAnsi="微软雅黑" w:eastAsia="微软雅黑" w:cs="微软雅黑"/>
                <w:color w:val="auto"/>
                <w:kern w:val="0"/>
                <w:szCs w:val="21"/>
                <w:highlight w:val="none"/>
              </w:rPr>
              <w:t>App端创建/编辑常规急救、胸痛急救、卒中急救、创伤急救、妇产科急救、儿科急救六类院前电子病历</w:t>
            </w:r>
            <w:r>
              <w:rPr>
                <w:rFonts w:hint="eastAsia" w:ascii="微软雅黑" w:hAnsi="微软雅黑" w:eastAsia="微软雅黑" w:cs="微软雅黑"/>
                <w:b/>
                <w:bCs/>
                <w:color w:val="auto"/>
                <w:kern w:val="0"/>
                <w:szCs w:val="21"/>
                <w:highlight w:val="none"/>
              </w:rPr>
              <w:t>（需提供产品功能截图）</w:t>
            </w:r>
            <w:r>
              <w:rPr>
                <w:rFonts w:hint="eastAsia" w:ascii="微软雅黑" w:hAnsi="微软雅黑" w:eastAsia="微软雅黑" w:cs="微软雅黑"/>
                <w:color w:val="auto"/>
                <w:kern w:val="0"/>
                <w:szCs w:val="21"/>
                <w:highlight w:val="none"/>
              </w:rPr>
              <w:t>；</w:t>
            </w:r>
          </w:p>
          <w:p>
            <w:pPr>
              <w:numPr>
                <w:ilvl w:val="0"/>
                <w:numId w:val="22"/>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szCs w:val="21"/>
                <w:highlight w:val="none"/>
              </w:rPr>
              <w:t>★</w:t>
            </w:r>
            <w:r>
              <w:rPr>
                <w:rFonts w:hint="eastAsia" w:ascii="微软雅黑" w:hAnsi="微软雅黑" w:eastAsia="微软雅黑" w:cs="微软雅黑"/>
                <w:color w:val="auto"/>
                <w:kern w:val="0"/>
                <w:szCs w:val="21"/>
                <w:highlight w:val="none"/>
              </w:rPr>
              <w:t>扫描身份证识别姓名、性别、年龄、身份证号</w:t>
            </w:r>
            <w:r>
              <w:rPr>
                <w:rFonts w:hint="eastAsia" w:ascii="微软雅黑" w:hAnsi="微软雅黑" w:eastAsia="微软雅黑" w:cs="微软雅黑"/>
                <w:b/>
                <w:bCs/>
                <w:color w:val="auto"/>
                <w:kern w:val="0"/>
                <w:szCs w:val="21"/>
                <w:highlight w:val="none"/>
              </w:rPr>
              <w:t>（需提供产品功能截图）</w:t>
            </w:r>
            <w:r>
              <w:rPr>
                <w:rFonts w:hint="eastAsia" w:ascii="微软雅黑" w:hAnsi="微软雅黑" w:eastAsia="微软雅黑" w:cs="微软雅黑"/>
                <w:color w:val="auto"/>
                <w:kern w:val="0"/>
                <w:szCs w:val="21"/>
                <w:highlight w:val="none"/>
              </w:rPr>
              <w:t>；</w:t>
            </w:r>
          </w:p>
          <w:p>
            <w:pPr>
              <w:numPr>
                <w:ilvl w:val="0"/>
                <w:numId w:val="22"/>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部分字段支持语音录入。</w:t>
            </w:r>
          </w:p>
          <w:p>
            <w:pPr>
              <w:pStyle w:val="58"/>
              <w:autoSpaceDN w:val="0"/>
              <w:spacing w:line="480" w:lineRule="exact"/>
              <w:textAlignment w:val="center"/>
              <w:rPr>
                <w:rFonts w:ascii="微软雅黑" w:hAnsi="微软雅黑" w:eastAsia="微软雅黑" w:cs="微软雅黑"/>
                <w:bCs/>
                <w:color w:val="auto"/>
                <w:sz w:val="21"/>
                <w:szCs w:val="21"/>
                <w:highlight w:val="none"/>
              </w:rPr>
            </w:pPr>
          </w:p>
          <w:p>
            <w:pPr>
              <w:pStyle w:val="58"/>
              <w:autoSpaceDN w:val="0"/>
              <w:spacing w:line="480" w:lineRule="exact"/>
              <w:ind w:firstLine="0" w:firstLineChars="0"/>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（三）</w:t>
            </w:r>
            <w:r>
              <w:rPr>
                <w:rFonts w:hint="eastAsia" w:ascii="微软雅黑" w:hAnsi="微软雅黑" w:eastAsia="微软雅黑" w:cs="微软雅黑"/>
                <w:color w:val="auto"/>
                <w:sz w:val="21"/>
                <w:szCs w:val="21"/>
                <w:highlight w:val="none"/>
              </w:rPr>
              <w:t>★</w:t>
            </w:r>
            <w:r>
              <w:rPr>
                <w:rFonts w:hint="eastAsia" w:ascii="微软雅黑" w:hAnsi="微软雅黑" w:eastAsia="微软雅黑" w:cs="微软雅黑"/>
                <w:bCs/>
                <w:color w:val="auto"/>
                <w:sz w:val="21"/>
                <w:szCs w:val="21"/>
                <w:highlight w:val="none"/>
              </w:rPr>
              <w:t>会诊App端</w:t>
            </w:r>
          </w:p>
          <w:p>
            <w:pPr>
              <w:numPr>
                <w:ilvl w:val="0"/>
                <w:numId w:val="23"/>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邀请会诊时，发送短信通知被邀请人</w:t>
            </w:r>
            <w:r>
              <w:rPr>
                <w:rFonts w:hint="eastAsia" w:ascii="微软雅黑" w:hAnsi="微软雅黑" w:eastAsia="微软雅黑" w:cs="微软雅黑"/>
                <w:bCs/>
                <w:color w:val="auto"/>
                <w:kern w:val="0"/>
                <w:szCs w:val="21"/>
                <w:highlight w:val="none"/>
              </w:rPr>
              <w:t>（需提供产品功能截图或演示视频或照片）</w:t>
            </w:r>
          </w:p>
          <w:p>
            <w:pPr>
              <w:numPr>
                <w:ilvl w:val="0"/>
                <w:numId w:val="23"/>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在会诊App加入急救车会诊</w:t>
            </w:r>
            <w:r>
              <w:rPr>
                <w:rFonts w:hint="eastAsia" w:ascii="微软雅黑" w:hAnsi="微软雅黑" w:eastAsia="微软雅黑" w:cs="微软雅黑"/>
                <w:bCs/>
                <w:color w:val="auto"/>
                <w:kern w:val="0"/>
                <w:szCs w:val="21"/>
                <w:highlight w:val="none"/>
              </w:rPr>
              <w:t>（需提供产品功能截图或演示视频或照片）</w:t>
            </w:r>
          </w:p>
          <w:p>
            <w:pPr>
              <w:pStyle w:val="58"/>
              <w:numPr>
                <w:ilvl w:val="0"/>
                <w:numId w:val="23"/>
              </w:numPr>
              <w:autoSpaceDN w:val="0"/>
              <w:spacing w:line="480" w:lineRule="exact"/>
              <w:ind w:firstLineChars="0"/>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color w:val="auto"/>
                <w:sz w:val="21"/>
                <w:szCs w:val="21"/>
                <w:highlight w:val="none"/>
              </w:rPr>
              <w:t>可选择车辆查看病历</w:t>
            </w:r>
            <w:r>
              <w:rPr>
                <w:rFonts w:hint="eastAsia" w:ascii="微软雅黑" w:hAnsi="微软雅黑" w:eastAsia="微软雅黑" w:cs="微软雅黑"/>
                <w:bCs/>
                <w:color w:val="auto"/>
                <w:sz w:val="21"/>
                <w:szCs w:val="21"/>
                <w:highlight w:val="none"/>
              </w:rPr>
              <w:t>（需提供产品功能截图或演示视频或照片）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远程急救车载服务</w:t>
            </w:r>
          </w:p>
        </w:tc>
        <w:tc>
          <w:tcPr>
            <w:tcW w:w="7818" w:type="dxa"/>
            <w:tcBorders>
              <w:top w:val="single" w:color="auto" w:sz="4" w:space="0"/>
              <w:left w:val="single" w:color="auto" w:sz="4" w:space="0"/>
              <w:bottom w:val="single" w:color="auto" w:sz="4" w:space="0"/>
              <w:right w:val="single" w:color="auto" w:sz="4" w:space="0"/>
            </w:tcBorders>
            <w:vAlign w:val="bottom"/>
          </w:tcPr>
          <w:p>
            <w:pPr>
              <w:numPr>
                <w:ilvl w:val="0"/>
                <w:numId w:val="24"/>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支持与院内主机、移动终端互联互通，进行院前急救，支持与中心医院远程系统互联互通，专家可参与实时指导与互动研讨；</w:t>
            </w:r>
          </w:p>
          <w:p>
            <w:pPr>
              <w:numPr>
                <w:ilvl w:val="0"/>
                <w:numId w:val="24"/>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实现急救中心专家对急救车内急救人员进行双向多方高清视频急救指导，可以实时查看车内医疗仪器（支持VGA或者HDMI视频输出）影像，实时了解急救进展，并可远程切换所需显示的画面；</w:t>
            </w:r>
          </w:p>
          <w:p>
            <w:pPr>
              <w:numPr>
                <w:ilvl w:val="0"/>
                <w:numId w:val="24"/>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支持紧急情况下专家通过笔记本、手机端与车载主机、院内主机远程互联互通，移动化参与院前急救；</w:t>
            </w:r>
          </w:p>
          <w:p>
            <w:pPr>
              <w:numPr>
                <w:ilvl w:val="0"/>
                <w:numId w:val="24"/>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视频服务至少支持4路本地视频信号采集编码，支持采集画面按16:9或5：4或4:3比例裁剪，使视频画面视图完美呈现，支持视频画面加边框可设置颜色线宽。支持对视频画面添加马赛克功能，隐藏病人隐私信息（提供产品功能截图）；</w:t>
            </w:r>
          </w:p>
          <w:p>
            <w:pPr>
              <w:numPr>
                <w:ilvl w:val="0"/>
                <w:numId w:val="24"/>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支持本地多路高清视频信号同时采集并混屏传输服务，支持同时混屏的信号数量不低于4路，支持多种信号混屏组合，包括信号源组合和显示布局组合。支持远端专家通过院内主机切换混屏组合，支持远程控制混屏画面的一路显示为全屏；</w:t>
            </w:r>
          </w:p>
          <w:p>
            <w:pPr>
              <w:numPr>
                <w:ilvl w:val="0"/>
                <w:numId w:val="24"/>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支持对视频画面进行多种标注，支持文字标注、支持鼠标标记、支持画线、箭头、图形、马赛克、支持插入图标标记、支持图标放大、缩小、拖动、旋转等、支持擦除、全部清除功能；</w:t>
            </w:r>
          </w:p>
          <w:p>
            <w:pPr>
              <w:numPr>
                <w:ilvl w:val="0"/>
                <w:numId w:val="24"/>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★支持本地录制，可支持1920*1080,码率5000及以上的高清视频本地录制，主机支持与触控屏对接，实现触控操作（提供产品功能截图）；</w:t>
            </w:r>
          </w:p>
          <w:p>
            <w:pPr>
              <w:numPr>
                <w:ilvl w:val="0"/>
                <w:numId w:val="24"/>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视频输出服务接口≥1个HDMI。</w:t>
            </w:r>
          </w:p>
          <w:p>
            <w:pPr>
              <w:numPr>
                <w:ilvl w:val="0"/>
                <w:numId w:val="24"/>
              </w:numPr>
              <w:snapToGrid w:val="0"/>
              <w:spacing w:line="48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★视频输入服务接口≥3个HDMI（提供产品照片）。</w:t>
            </w:r>
          </w:p>
          <w:p>
            <w:pPr>
              <w:pStyle w:val="58"/>
              <w:numPr>
                <w:ilvl w:val="0"/>
                <w:numId w:val="24"/>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color w:val="auto"/>
                <w:sz w:val="21"/>
                <w:szCs w:val="21"/>
                <w:highlight w:val="none"/>
              </w:rPr>
              <w:t>具备产品服务根据使用过程体验更新迭代能力。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车载多媒体服务</w:t>
            </w:r>
          </w:p>
        </w:tc>
        <w:tc>
          <w:tcPr>
            <w:tcW w:w="7818" w:type="dxa"/>
            <w:tcBorders>
              <w:top w:val="single" w:color="auto" w:sz="4" w:space="0"/>
              <w:left w:val="single" w:color="auto" w:sz="4" w:space="0"/>
              <w:bottom w:val="single" w:color="auto" w:sz="4" w:space="0"/>
              <w:right w:val="single" w:color="auto" w:sz="4" w:space="0"/>
            </w:tcBorders>
            <w:vAlign w:val="bottom"/>
          </w:tcPr>
          <w:p>
            <w:pPr>
              <w:pStyle w:val="9"/>
              <w:numPr>
                <w:ilvl w:val="0"/>
                <w:numId w:val="25"/>
              </w:numPr>
              <w:spacing w:line="480" w:lineRule="exact"/>
              <w:rPr>
                <w:rFonts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提供用于急救场景、具有视频交互呈现的车载多媒体服务；</w:t>
            </w:r>
          </w:p>
          <w:p>
            <w:pPr>
              <w:pStyle w:val="9"/>
              <w:numPr>
                <w:ilvl w:val="0"/>
                <w:numId w:val="25"/>
              </w:numPr>
              <w:spacing w:line="480" w:lineRule="exact"/>
              <w:rPr>
                <w:rFonts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多媒体服务提供的分辨率指标：</w:t>
            </w:r>
            <w:r>
              <w:rPr>
                <w:rFonts w:hint="eastAsia" w:ascii="微软雅黑" w:hAnsi="微软雅黑" w:eastAsia="微软雅黑" w:cs="微软雅黑"/>
                <w:color w:val="auto"/>
                <w:sz w:val="21"/>
                <w:szCs w:val="21"/>
                <w:highlight w:val="none"/>
              </w:rPr>
              <w:t>1920×1080；</w:t>
            </w:r>
          </w:p>
          <w:p>
            <w:pPr>
              <w:pStyle w:val="9"/>
              <w:numPr>
                <w:ilvl w:val="0"/>
                <w:numId w:val="25"/>
              </w:numPr>
              <w:spacing w:line="480" w:lineRule="exact"/>
              <w:rPr>
                <w:rFonts w:ascii="微软雅黑" w:hAnsi="微软雅黑" w:eastAsia="微软雅黑" w:cs="微软雅黑"/>
                <w:color w:val="auto"/>
                <w:kern w:val="0"/>
                <w:sz w:val="21"/>
                <w:szCs w:val="21"/>
                <w:highlight w:val="none"/>
              </w:rPr>
            </w:pPr>
            <w:r>
              <w:rPr>
                <w:rFonts w:hint="eastAsia" w:ascii="微软雅黑" w:hAnsi="微软雅黑" w:eastAsia="微软雅黑" w:cs="微软雅黑"/>
                <w:color w:val="auto"/>
                <w:kern w:val="0"/>
                <w:sz w:val="21"/>
                <w:szCs w:val="21"/>
                <w:highlight w:val="none"/>
              </w:rPr>
              <w:t>多媒体服务要求能外接USB设备；</w:t>
            </w:r>
          </w:p>
          <w:p>
            <w:pPr>
              <w:pStyle w:val="58"/>
              <w:numPr>
                <w:ilvl w:val="0"/>
                <w:numId w:val="25"/>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color w:val="auto"/>
                <w:sz w:val="21"/>
                <w:szCs w:val="21"/>
                <w:highlight w:val="none"/>
              </w:rPr>
              <w:t>提供HDMI信号接入服务。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车载智能交互服务</w:t>
            </w:r>
          </w:p>
        </w:tc>
        <w:tc>
          <w:tcPr>
            <w:tcW w:w="7818" w:type="dxa"/>
            <w:tcBorders>
              <w:top w:val="single" w:color="auto" w:sz="4" w:space="0"/>
              <w:left w:val="single" w:color="auto" w:sz="4" w:space="0"/>
              <w:bottom w:val="single" w:color="auto" w:sz="4" w:space="0"/>
              <w:right w:val="single" w:color="auto" w:sz="4" w:space="0"/>
            </w:tcBorders>
            <w:vAlign w:val="bottom"/>
          </w:tcPr>
          <w:p>
            <w:pPr>
              <w:numPr>
                <w:ilvl w:val="0"/>
                <w:numId w:val="26"/>
              </w:numPr>
              <w:spacing w:line="480" w:lineRule="exac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提供急救场景、具有移动通信、信息录入的车载智能交互服务；</w:t>
            </w:r>
          </w:p>
          <w:p>
            <w:pPr>
              <w:numPr>
                <w:ilvl w:val="0"/>
                <w:numId w:val="26"/>
              </w:numPr>
              <w:spacing w:line="480" w:lineRule="exac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车载智能交互服务需支持Android 8.0及以上操作系统；</w:t>
            </w:r>
          </w:p>
          <w:p>
            <w:pPr>
              <w:numPr>
                <w:ilvl w:val="0"/>
                <w:numId w:val="26"/>
              </w:numPr>
              <w:spacing w:line="480" w:lineRule="exac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车载智能交互服务提供的网络能力：支持 WiFi；</w:t>
            </w:r>
          </w:p>
          <w:p>
            <w:pPr>
              <w:numPr>
                <w:ilvl w:val="0"/>
                <w:numId w:val="26"/>
              </w:num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kern w:val="0"/>
                <w:szCs w:val="21"/>
                <w:highlight w:val="none"/>
              </w:rPr>
              <w:t>车载智能交互服务提供的分辨率指标：</w:t>
            </w:r>
            <w:r>
              <w:rPr>
                <w:rFonts w:hint="eastAsia" w:ascii="微软雅黑" w:hAnsi="微软雅黑" w:eastAsia="微软雅黑" w:cs="微软雅黑"/>
                <w:color w:val="auto"/>
                <w:szCs w:val="21"/>
                <w:highlight w:val="none"/>
              </w:rPr>
              <w:t>1920×1080；</w:t>
            </w:r>
          </w:p>
          <w:p>
            <w:pPr>
              <w:numPr>
                <w:ilvl w:val="0"/>
                <w:numId w:val="26"/>
              </w:numPr>
              <w:spacing w:line="480" w:lineRule="exac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提供触屏服务，提供音频输入输出能力，提供视频输出能力；</w:t>
            </w:r>
          </w:p>
          <w:p>
            <w:pPr>
              <w:numPr>
                <w:ilvl w:val="0"/>
                <w:numId w:val="26"/>
              </w:numPr>
              <w:spacing w:line="480" w:lineRule="exac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支持提供投影服务；</w:t>
            </w:r>
          </w:p>
          <w:p>
            <w:pPr>
              <w:pStyle w:val="58"/>
              <w:numPr>
                <w:ilvl w:val="0"/>
                <w:numId w:val="26"/>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color w:val="auto"/>
                <w:sz w:val="21"/>
                <w:szCs w:val="21"/>
                <w:highlight w:val="none"/>
              </w:rPr>
              <w:t>支持提供蓝牙能力。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车载定位服务</w:t>
            </w:r>
          </w:p>
        </w:tc>
        <w:tc>
          <w:tcPr>
            <w:tcW w:w="7818" w:type="dxa"/>
            <w:tcBorders>
              <w:top w:val="single" w:color="auto" w:sz="4" w:space="0"/>
              <w:left w:val="single" w:color="auto" w:sz="4" w:space="0"/>
              <w:bottom w:val="single" w:color="auto" w:sz="4" w:space="0"/>
              <w:right w:val="single" w:color="auto" w:sz="4" w:space="0"/>
            </w:tcBorders>
            <w:vAlign w:val="bottom"/>
          </w:tcPr>
          <w:p>
            <w:pPr>
              <w:pStyle w:val="58"/>
              <w:numPr>
                <w:ilvl w:val="0"/>
                <w:numId w:val="27"/>
              </w:numPr>
              <w:autoSpaceDN w:val="0"/>
              <w:spacing w:line="480" w:lineRule="exact"/>
              <w:ind w:firstLineChars="0"/>
              <w:contextualSpacing/>
              <w:textAlignment w:val="center"/>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提供用于急救场景，具有车辆定位和车况管理的服务；</w:t>
            </w:r>
          </w:p>
          <w:p>
            <w:pPr>
              <w:pStyle w:val="58"/>
              <w:numPr>
                <w:ilvl w:val="0"/>
                <w:numId w:val="27"/>
              </w:numPr>
              <w:autoSpaceDN w:val="0"/>
              <w:spacing w:line="480" w:lineRule="exact"/>
              <w:ind w:firstLineChars="0"/>
              <w:contextualSpacing/>
              <w:textAlignment w:val="center"/>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提供车辆电瓶供电兼容能力；</w:t>
            </w:r>
          </w:p>
          <w:p>
            <w:pPr>
              <w:pStyle w:val="58"/>
              <w:numPr>
                <w:ilvl w:val="0"/>
                <w:numId w:val="27"/>
              </w:numPr>
              <w:autoSpaceDN w:val="0"/>
              <w:spacing w:line="480" w:lineRule="exact"/>
              <w:ind w:firstLineChars="0"/>
              <w:contextualSpacing/>
              <w:textAlignment w:val="center"/>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服务提供工作温度范指标：-20℃ - 75℃；储存温度范围：-30℃ - 80℃</w:t>
            </w:r>
          </w:p>
          <w:p>
            <w:pPr>
              <w:pStyle w:val="58"/>
              <w:numPr>
                <w:ilvl w:val="0"/>
                <w:numId w:val="27"/>
              </w:numPr>
              <w:autoSpaceDN w:val="0"/>
              <w:spacing w:line="480" w:lineRule="exact"/>
              <w:ind w:firstLineChars="0"/>
              <w:contextualSpacing/>
              <w:textAlignment w:val="center"/>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 xml:space="preserve">服务提供工作湿度指标：10%-85% RH 不凝结； </w:t>
            </w:r>
          </w:p>
          <w:p>
            <w:pPr>
              <w:pStyle w:val="58"/>
              <w:numPr>
                <w:ilvl w:val="0"/>
                <w:numId w:val="27"/>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color w:val="auto"/>
                <w:sz w:val="21"/>
                <w:szCs w:val="21"/>
                <w:highlight w:val="none"/>
              </w:rPr>
              <w:t>支持北斗+GPS定位服务。</w:t>
            </w:r>
          </w:p>
          <w:p>
            <w:pPr>
              <w:pStyle w:val="58"/>
              <w:numPr>
                <w:ilvl w:val="0"/>
                <w:numId w:val="27"/>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color w:val="auto"/>
                <w:sz w:val="21"/>
                <w:szCs w:val="21"/>
                <w:highlight w:val="none"/>
              </w:rPr>
              <w:t>支持内置电池服务，容量≥140 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车载音频服务</w:t>
            </w:r>
          </w:p>
        </w:tc>
        <w:tc>
          <w:tcPr>
            <w:tcW w:w="7818" w:type="dxa"/>
            <w:tcBorders>
              <w:top w:val="single" w:color="auto" w:sz="4" w:space="0"/>
              <w:left w:val="single" w:color="auto" w:sz="4" w:space="0"/>
              <w:bottom w:val="single" w:color="auto" w:sz="4" w:space="0"/>
              <w:right w:val="single" w:color="auto" w:sz="4" w:space="0"/>
            </w:tcBorders>
            <w:vAlign w:val="bottom"/>
          </w:tcPr>
          <w:p>
            <w:pPr>
              <w:pStyle w:val="58"/>
              <w:numPr>
                <w:ilvl w:val="0"/>
                <w:numId w:val="28"/>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提供用于急救场景、具有音频交互功能的车载音频服务；</w:t>
            </w:r>
          </w:p>
          <w:p>
            <w:pPr>
              <w:pStyle w:val="58"/>
              <w:numPr>
                <w:ilvl w:val="0"/>
                <w:numId w:val="28"/>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车载音频服务支持指向型抗噪能力；</w:t>
            </w:r>
          </w:p>
          <w:p>
            <w:pPr>
              <w:pStyle w:val="58"/>
              <w:numPr>
                <w:ilvl w:val="0"/>
                <w:numId w:val="28"/>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车载音频服务兼容的灵敏度范围：-38dB±3dB；</w:t>
            </w:r>
          </w:p>
          <w:p>
            <w:pPr>
              <w:pStyle w:val="58"/>
              <w:numPr>
                <w:ilvl w:val="0"/>
                <w:numId w:val="28"/>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车载音频服务兼容的频段范围：20Hz-2KHz；</w:t>
            </w:r>
          </w:p>
          <w:p>
            <w:pPr>
              <w:pStyle w:val="58"/>
              <w:numPr>
                <w:ilvl w:val="0"/>
                <w:numId w:val="28"/>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车载音频服务支持的通讯能力：蓝牙。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车载视频服务</w:t>
            </w:r>
          </w:p>
        </w:tc>
        <w:tc>
          <w:tcPr>
            <w:tcW w:w="7818" w:type="dxa"/>
            <w:tcBorders>
              <w:top w:val="single" w:color="auto" w:sz="4" w:space="0"/>
              <w:left w:val="single" w:color="auto" w:sz="4" w:space="0"/>
              <w:bottom w:val="single" w:color="auto" w:sz="4" w:space="0"/>
              <w:right w:val="single" w:color="auto" w:sz="4" w:space="0"/>
            </w:tcBorders>
            <w:vAlign w:val="bottom"/>
          </w:tcPr>
          <w:p>
            <w:pPr>
              <w:pStyle w:val="58"/>
              <w:numPr>
                <w:ilvl w:val="0"/>
                <w:numId w:val="29"/>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提供用于急救场景、具有视频交互功能的车载智视频服务；</w:t>
            </w:r>
          </w:p>
          <w:p>
            <w:pPr>
              <w:pStyle w:val="58"/>
              <w:numPr>
                <w:ilvl w:val="0"/>
                <w:numId w:val="29"/>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车载视频服务的像素能力：829万；</w:t>
            </w:r>
          </w:p>
          <w:p>
            <w:pPr>
              <w:pStyle w:val="58"/>
              <w:numPr>
                <w:ilvl w:val="0"/>
                <w:numId w:val="29"/>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 xml:space="preserve">车载视频服务的对焦服务能力：无畸变镜头，三种镜头视场角可选46°/84°/120°； </w:t>
            </w:r>
          </w:p>
          <w:p>
            <w:pPr>
              <w:pStyle w:val="58"/>
              <w:numPr>
                <w:ilvl w:val="0"/>
                <w:numId w:val="29"/>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车载视频服务的色彩空间/压缩标准：H.264 / MJPEG /YUY2 /NV12；</w:t>
            </w:r>
          </w:p>
          <w:p>
            <w:pPr>
              <w:pStyle w:val="58"/>
              <w:numPr>
                <w:ilvl w:val="0"/>
                <w:numId w:val="29"/>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车载视频服务兼容的视频制式：4k@30fps/25fps, 1080p@30fps/25fps, 720p@30fps/25fps, 960x540p@30fps/25fps, 640x360p@30fps/25fps等；</w:t>
            </w:r>
          </w:p>
          <w:p>
            <w:pPr>
              <w:pStyle w:val="58"/>
              <w:numPr>
                <w:ilvl w:val="0"/>
                <w:numId w:val="29"/>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车载视频服务支持内置领先图像识别与跟踪算法，无需任何辅助定位摄像机或跟踪主机即可实现平滑自然的EPTZ跟踪效果，每台摄像机可同时输出2路1080P码流的图像；</w:t>
            </w:r>
          </w:p>
          <w:p>
            <w:pPr>
              <w:pStyle w:val="58"/>
              <w:numPr>
                <w:ilvl w:val="0"/>
                <w:numId w:val="29"/>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车载视频服务提供多种风格选项可一键式设置，以适应多种灯光的要求，必须支持LED灯光显示风格。支持网口音视频编码输出，支持H.265/H.264/MJEPG三种视频编码标准，音频AAC编码标准；支持RTSP、RTMP、Onvif、组播等网络协议；网络视频编码码率最大可支持100Mbps，网络音频编码码率最大可支持128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车载5G网络服务</w:t>
            </w:r>
          </w:p>
        </w:tc>
        <w:tc>
          <w:tcPr>
            <w:tcW w:w="7818" w:type="dxa"/>
            <w:tcBorders>
              <w:top w:val="single" w:color="auto" w:sz="4" w:space="0"/>
              <w:left w:val="single" w:color="auto" w:sz="4" w:space="0"/>
              <w:bottom w:val="single" w:color="auto" w:sz="4" w:space="0"/>
              <w:right w:val="single" w:color="auto" w:sz="4" w:space="0"/>
            </w:tcBorders>
            <w:vAlign w:val="bottom"/>
          </w:tcPr>
          <w:p>
            <w:pPr>
              <w:numPr>
                <w:ilvl w:val="0"/>
                <w:numId w:val="30"/>
              </w:numPr>
              <w:spacing w:line="480" w:lineRule="exac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用于急救场景、具有 5G 转化为 WIFI 的车载网络服务；</w:t>
            </w:r>
          </w:p>
          <w:p>
            <w:pPr>
              <w:numPr>
                <w:ilvl w:val="0"/>
                <w:numId w:val="30"/>
              </w:numPr>
              <w:spacing w:line="480" w:lineRule="exac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网络服务支持的WiFi能力：Wi-Fi 6,2.4G&amp;5G 双频,2*2 MIMO,1.775Gbps,32位用户；</w:t>
            </w:r>
          </w:p>
          <w:p>
            <w:pPr>
              <w:pStyle w:val="58"/>
              <w:numPr>
                <w:ilvl w:val="0"/>
                <w:numId w:val="30"/>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color w:val="auto"/>
                <w:sz w:val="21"/>
                <w:szCs w:val="21"/>
                <w:highlight w:val="none"/>
              </w:rPr>
              <w:t>网络服务支持的网络构架：NSA/SA 。</w:t>
            </w:r>
          </w:p>
          <w:p>
            <w:pPr>
              <w:pStyle w:val="58"/>
              <w:numPr>
                <w:ilvl w:val="0"/>
                <w:numId w:val="30"/>
              </w:numPr>
              <w:autoSpaceDN w:val="0"/>
              <w:spacing w:line="480" w:lineRule="exact"/>
              <w:ind w:firstLineChars="0"/>
              <w:contextualSpacing/>
              <w:textAlignment w:val="center"/>
              <w:rPr>
                <w:rFonts w:ascii="微软雅黑" w:hAnsi="微软雅黑" w:eastAsia="微软雅黑" w:cs="微软雅黑"/>
                <w:bCs/>
                <w:color w:val="auto"/>
                <w:sz w:val="21"/>
                <w:szCs w:val="21"/>
                <w:highlight w:val="none"/>
              </w:rPr>
            </w:pPr>
            <w:r>
              <w:rPr>
                <w:rFonts w:hint="eastAsia" w:ascii="微软雅黑" w:hAnsi="微软雅黑" w:eastAsia="微软雅黑" w:cs="微软雅黑"/>
                <w:bCs/>
                <w:color w:val="auto"/>
                <w:sz w:val="21"/>
                <w:szCs w:val="21"/>
                <w:highlight w:val="none"/>
              </w:rPr>
              <w:t>天线服务能力：4*4 MINO 5G天线+2*2 MINO Wi-Fi天线。</w:t>
            </w:r>
          </w:p>
        </w:tc>
      </w:tr>
    </w:tbl>
    <w:p>
      <w:pPr>
        <w:pStyle w:val="4"/>
        <w:spacing w:before="0" w:line="440" w:lineRule="exact"/>
        <w:jc w:val="left"/>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br w:type="page"/>
      </w:r>
      <w:r>
        <w:rPr>
          <w:rFonts w:hint="eastAsia" w:ascii="微软雅黑" w:hAnsi="微软雅黑" w:eastAsia="微软雅黑" w:cs="微软雅黑"/>
          <w:b/>
          <w:bCs/>
          <w:color w:val="auto"/>
          <w:sz w:val="21"/>
          <w:szCs w:val="21"/>
          <w:highlight w:val="none"/>
        </w:rPr>
        <w:t>（六）VR静态全景展示</w:t>
      </w:r>
    </w:p>
    <w:p>
      <w:pPr>
        <w:pStyle w:val="23"/>
        <w:spacing w:before="0" w:after="0" w:line="440" w:lineRule="exact"/>
        <w:jc w:val="left"/>
        <w:outlineLvl w:val="2"/>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1、功能要求</w:t>
      </w:r>
    </w:p>
    <w:tbl>
      <w:tblPr>
        <w:tblStyle w:val="3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7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指标项</w:t>
            </w:r>
          </w:p>
        </w:tc>
        <w:tc>
          <w:tcPr>
            <w:tcW w:w="78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Cs/>
                <w:color w:val="auto"/>
                <w:kern w:val="0"/>
                <w:szCs w:val="21"/>
                <w:highlight w:val="none"/>
              </w:rPr>
              <w:t>数量要求</w:t>
            </w:r>
          </w:p>
        </w:tc>
        <w:tc>
          <w:tcPr>
            <w:tcW w:w="7818" w:type="dxa"/>
            <w:tcBorders>
              <w:top w:val="single" w:color="auto" w:sz="4" w:space="0"/>
              <w:left w:val="single" w:color="auto" w:sz="4" w:space="0"/>
              <w:bottom w:val="single" w:color="auto" w:sz="4" w:space="0"/>
              <w:right w:val="single" w:color="auto" w:sz="4" w:space="0"/>
            </w:tcBorders>
            <w:vAlign w:val="bottom"/>
          </w:tcPr>
          <w:p>
            <w:pPr>
              <w:autoSpaceDN w:val="0"/>
              <w:spacing w:line="480" w:lineRule="exact"/>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微软雅黑" w:hAnsi="微软雅黑" w:eastAsia="微软雅黑" w:cs="微软雅黑"/>
                <w:b/>
                <w:color w:val="auto"/>
                <w:kern w:val="0"/>
                <w:szCs w:val="21"/>
                <w:highlight w:val="none"/>
              </w:rPr>
            </w:pPr>
            <w:r>
              <w:rPr>
                <w:rFonts w:hint="eastAsia" w:ascii="微软雅黑" w:hAnsi="微软雅黑" w:eastAsia="微软雅黑" w:cs="微软雅黑"/>
                <w:bCs/>
                <w:color w:val="auto"/>
                <w:kern w:val="0"/>
                <w:szCs w:val="21"/>
                <w:highlight w:val="none"/>
              </w:rPr>
              <w:t>功能要求</w:t>
            </w:r>
          </w:p>
        </w:tc>
        <w:tc>
          <w:tcPr>
            <w:tcW w:w="7818" w:type="dxa"/>
            <w:tcBorders>
              <w:top w:val="single" w:color="auto" w:sz="4" w:space="0"/>
              <w:left w:val="single" w:color="auto" w:sz="4" w:space="0"/>
              <w:bottom w:val="single" w:color="auto" w:sz="4" w:space="0"/>
              <w:right w:val="single" w:color="auto" w:sz="4" w:space="0"/>
            </w:tcBorders>
            <w:vAlign w:val="center"/>
          </w:tcPr>
          <w:p>
            <w:pPr>
              <w:pStyle w:val="54"/>
              <w:tabs>
                <w:tab w:val="left" w:pos="0"/>
              </w:tabs>
              <w:spacing w:line="480" w:lineRule="exact"/>
              <w:ind w:firstLine="0" w:firstLineChars="0"/>
              <w:contextualSpacing/>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1.菜单导航</w:t>
            </w:r>
          </w:p>
          <w:p>
            <w:pPr>
              <w:pStyle w:val="54"/>
              <w:tabs>
                <w:tab w:val="left" w:pos="0"/>
              </w:tabs>
              <w:spacing w:line="480" w:lineRule="exact"/>
              <w:contextualSpacing/>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功能包括（但不限于）场景快速切换、地图导航调用、语音提示、背景音乐开关、帮助等。</w:t>
            </w:r>
          </w:p>
          <w:p>
            <w:pPr>
              <w:pStyle w:val="54"/>
              <w:tabs>
                <w:tab w:val="left" w:pos="0"/>
              </w:tabs>
              <w:spacing w:line="480" w:lineRule="exact"/>
              <w:ind w:firstLine="0" w:firstLineChars="0"/>
              <w:contextualSpacing/>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2.开场快捷目录导航</w:t>
            </w:r>
          </w:p>
          <w:p>
            <w:pPr>
              <w:pStyle w:val="54"/>
              <w:tabs>
                <w:tab w:val="left" w:pos="0"/>
              </w:tabs>
              <w:spacing w:line="480" w:lineRule="exact"/>
              <w:contextualSpacing/>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首页开场需设置快捷目录导航，实现快速定位到特定区域。</w:t>
            </w:r>
          </w:p>
          <w:p>
            <w:pPr>
              <w:pStyle w:val="54"/>
              <w:tabs>
                <w:tab w:val="left" w:pos="0"/>
              </w:tabs>
              <w:spacing w:line="480" w:lineRule="exact"/>
              <w:ind w:firstLine="0" w:firstLineChars="0"/>
              <w:contextualSpacing/>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3.控制按钮</w:t>
            </w:r>
          </w:p>
          <w:p>
            <w:pPr>
              <w:pStyle w:val="54"/>
              <w:tabs>
                <w:tab w:val="left" w:pos="0"/>
              </w:tabs>
              <w:spacing w:line="480" w:lineRule="exact"/>
              <w:contextualSpacing/>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包括上下左右平移、放大缩小、停止开始自动转动浏览、回到原始位置、全屏等。</w:t>
            </w:r>
          </w:p>
          <w:p>
            <w:pPr>
              <w:pStyle w:val="54"/>
              <w:tabs>
                <w:tab w:val="left" w:pos="0"/>
              </w:tabs>
              <w:spacing w:line="480" w:lineRule="exact"/>
              <w:ind w:firstLine="0" w:firstLineChars="0"/>
              <w:contextualSpacing/>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4.声音控制</w:t>
            </w:r>
          </w:p>
          <w:p>
            <w:pPr>
              <w:pStyle w:val="54"/>
              <w:tabs>
                <w:tab w:val="left" w:pos="0"/>
              </w:tabs>
              <w:spacing w:line="480" w:lineRule="exact"/>
              <w:contextualSpacing/>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可以实现对背景音乐的停止、播放、音量大小的控制。</w:t>
            </w:r>
          </w:p>
          <w:p>
            <w:pPr>
              <w:pStyle w:val="54"/>
              <w:tabs>
                <w:tab w:val="left" w:pos="0"/>
              </w:tabs>
              <w:spacing w:line="480" w:lineRule="exact"/>
              <w:ind w:firstLine="0" w:firstLineChars="0"/>
              <w:contextualSpacing/>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5.演示功能</w:t>
            </w:r>
            <w:r>
              <w:rPr>
                <w:rFonts w:hint="eastAsia" w:ascii="微软雅黑" w:hAnsi="微软雅黑" w:eastAsia="微软雅黑" w:cs="微软雅黑"/>
                <w:color w:val="auto"/>
                <w:kern w:val="0"/>
                <w:highlight w:val="none"/>
              </w:rPr>
              <w:tab/>
            </w:r>
          </w:p>
          <w:p>
            <w:pPr>
              <w:pStyle w:val="54"/>
              <w:tabs>
                <w:tab w:val="left" w:pos="0"/>
              </w:tabs>
              <w:spacing w:line="480" w:lineRule="exact"/>
              <w:contextualSpacing/>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具备控制是否自动进入下一个场景功能</w:t>
            </w:r>
          </w:p>
          <w:p>
            <w:pPr>
              <w:pStyle w:val="54"/>
              <w:tabs>
                <w:tab w:val="left" w:pos="0"/>
              </w:tabs>
              <w:spacing w:line="480" w:lineRule="exact"/>
              <w:ind w:firstLine="0" w:firstLineChars="0"/>
              <w:contextualSpacing/>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6.场景分组</w:t>
            </w:r>
            <w:r>
              <w:rPr>
                <w:rFonts w:hint="eastAsia" w:ascii="微软雅黑" w:hAnsi="微软雅黑" w:eastAsia="微软雅黑" w:cs="微软雅黑"/>
                <w:color w:val="auto"/>
                <w:kern w:val="0"/>
                <w:highlight w:val="none"/>
              </w:rPr>
              <w:tab/>
            </w:r>
          </w:p>
          <w:p>
            <w:pPr>
              <w:pStyle w:val="54"/>
              <w:tabs>
                <w:tab w:val="left" w:pos="0"/>
              </w:tabs>
              <w:spacing w:line="480" w:lineRule="exact"/>
              <w:contextualSpacing/>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根据不同主体功能区域分类显示</w:t>
            </w:r>
          </w:p>
          <w:p>
            <w:pPr>
              <w:pStyle w:val="54"/>
              <w:tabs>
                <w:tab w:val="left" w:pos="0"/>
              </w:tabs>
              <w:spacing w:line="480" w:lineRule="exact"/>
              <w:ind w:firstLine="0" w:firstLineChars="0"/>
              <w:contextualSpacing/>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7.语音解说</w:t>
            </w:r>
            <w:r>
              <w:rPr>
                <w:rFonts w:hint="eastAsia" w:ascii="微软雅黑" w:hAnsi="微软雅黑" w:eastAsia="微软雅黑" w:cs="微软雅黑"/>
                <w:color w:val="auto"/>
                <w:kern w:val="0"/>
                <w:highlight w:val="none"/>
              </w:rPr>
              <w:tab/>
            </w:r>
          </w:p>
          <w:p>
            <w:pPr>
              <w:pStyle w:val="54"/>
              <w:tabs>
                <w:tab w:val="left" w:pos="0"/>
              </w:tabs>
              <w:spacing w:line="480" w:lineRule="exact"/>
              <w:contextualSpacing/>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为场景添加整体及独立模块的现有语音讲解</w:t>
            </w:r>
          </w:p>
          <w:p>
            <w:pPr>
              <w:pStyle w:val="54"/>
              <w:tabs>
                <w:tab w:val="left" w:pos="0"/>
              </w:tabs>
              <w:spacing w:line="480" w:lineRule="exact"/>
              <w:ind w:firstLine="0" w:firstLineChars="0"/>
              <w:contextualSpacing/>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8.图文注释</w:t>
            </w:r>
            <w:r>
              <w:rPr>
                <w:rFonts w:hint="eastAsia" w:ascii="微软雅黑" w:hAnsi="微软雅黑" w:eastAsia="微软雅黑" w:cs="微软雅黑"/>
                <w:color w:val="auto"/>
                <w:kern w:val="0"/>
                <w:highlight w:val="none"/>
              </w:rPr>
              <w:tab/>
            </w:r>
          </w:p>
          <w:p>
            <w:pPr>
              <w:pStyle w:val="54"/>
              <w:tabs>
                <w:tab w:val="left" w:pos="0"/>
              </w:tabs>
              <w:spacing w:line="480" w:lineRule="exact"/>
              <w:contextualSpacing/>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在全景场景中的重要场地和装置以图片或文字的形式介绍客户产品及其它项目</w:t>
            </w:r>
          </w:p>
          <w:p>
            <w:pPr>
              <w:pStyle w:val="54"/>
              <w:tabs>
                <w:tab w:val="left" w:pos="0"/>
              </w:tabs>
              <w:spacing w:line="480" w:lineRule="exact"/>
              <w:ind w:firstLine="0" w:firstLineChars="0"/>
              <w:contextualSpacing/>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9.电子图集</w:t>
            </w:r>
          </w:p>
          <w:p>
            <w:pPr>
              <w:pStyle w:val="54"/>
              <w:tabs>
                <w:tab w:val="left" w:pos="0"/>
              </w:tabs>
              <w:spacing w:line="480" w:lineRule="exact"/>
              <w:contextualSpacing/>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以电子图集的形式做展示</w:t>
            </w:r>
          </w:p>
          <w:p>
            <w:pPr>
              <w:pStyle w:val="54"/>
              <w:tabs>
                <w:tab w:val="left" w:pos="0"/>
              </w:tabs>
              <w:spacing w:line="480" w:lineRule="exact"/>
              <w:ind w:firstLine="0" w:firstLineChars="0"/>
              <w:contextualSpacing/>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10.离线定制开发</w:t>
            </w:r>
            <w:r>
              <w:rPr>
                <w:rFonts w:hint="eastAsia" w:ascii="微软雅黑" w:hAnsi="微软雅黑" w:eastAsia="微软雅黑" w:cs="微软雅黑"/>
                <w:color w:val="auto"/>
                <w:kern w:val="0"/>
                <w:highlight w:val="none"/>
              </w:rPr>
              <w:tab/>
            </w:r>
          </w:p>
          <w:p>
            <w:pPr>
              <w:pStyle w:val="54"/>
              <w:tabs>
                <w:tab w:val="left" w:pos="0"/>
              </w:tabs>
              <w:spacing w:line="480" w:lineRule="exact"/>
              <w:contextualSpacing/>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将全景离线版根据用途及模块定制开发</w:t>
            </w:r>
          </w:p>
          <w:p>
            <w:pPr>
              <w:pStyle w:val="54"/>
              <w:tabs>
                <w:tab w:val="left" w:pos="0"/>
              </w:tabs>
              <w:spacing w:line="480" w:lineRule="exact"/>
              <w:ind w:firstLine="0" w:firstLineChars="0"/>
              <w:contextualSpacing/>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11.离线程序打包</w:t>
            </w:r>
            <w:r>
              <w:rPr>
                <w:rFonts w:hint="eastAsia" w:ascii="微软雅黑" w:hAnsi="微软雅黑" w:eastAsia="微软雅黑" w:cs="微软雅黑"/>
                <w:color w:val="auto"/>
                <w:kern w:val="0"/>
                <w:highlight w:val="none"/>
              </w:rPr>
              <w:tab/>
            </w:r>
          </w:p>
          <w:p>
            <w:pPr>
              <w:pStyle w:val="54"/>
              <w:tabs>
                <w:tab w:val="left" w:pos="0"/>
              </w:tabs>
              <w:spacing w:line="480" w:lineRule="exact"/>
              <w:contextualSpacing/>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将全景内容离线导出，在无网络环境下使用</w:t>
            </w:r>
          </w:p>
        </w:tc>
      </w:tr>
    </w:tbl>
    <w:p>
      <w:pP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br w:type="page"/>
      </w:r>
    </w:p>
    <w:p>
      <w:pPr>
        <w:pStyle w:val="23"/>
        <w:spacing w:before="0" w:after="0" w:line="460" w:lineRule="exact"/>
        <w:jc w:val="left"/>
        <w:outlineLvl w:val="2"/>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2、技术要求</w:t>
      </w:r>
    </w:p>
    <w:tbl>
      <w:tblPr>
        <w:tblStyle w:val="3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7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tcPr>
          <w:p>
            <w:pPr>
              <w:spacing w:line="46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指标项</w:t>
            </w:r>
          </w:p>
        </w:tc>
        <w:tc>
          <w:tcPr>
            <w:tcW w:w="7818" w:type="dxa"/>
            <w:tcBorders>
              <w:top w:val="single" w:color="auto" w:sz="4" w:space="0"/>
              <w:left w:val="single" w:color="auto" w:sz="4" w:space="0"/>
              <w:bottom w:val="single" w:color="auto" w:sz="4" w:space="0"/>
              <w:right w:val="single" w:color="auto" w:sz="4" w:space="0"/>
            </w:tcBorders>
          </w:tcPr>
          <w:p>
            <w:pPr>
              <w:spacing w:line="46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微软雅黑" w:hAnsi="微软雅黑" w:eastAsia="微软雅黑" w:cs="微软雅黑"/>
                <w:b/>
                <w:color w:val="auto"/>
                <w:kern w:val="0"/>
                <w:szCs w:val="21"/>
                <w:highlight w:val="none"/>
              </w:rPr>
            </w:pPr>
            <w:r>
              <w:rPr>
                <w:rFonts w:hint="eastAsia" w:ascii="微软雅黑" w:hAnsi="微软雅黑" w:eastAsia="微软雅黑" w:cs="微软雅黑"/>
                <w:bCs/>
                <w:color w:val="auto"/>
                <w:kern w:val="0"/>
                <w:szCs w:val="21"/>
                <w:highlight w:val="none"/>
              </w:rPr>
              <w:t>数量要求</w:t>
            </w:r>
          </w:p>
        </w:tc>
        <w:tc>
          <w:tcPr>
            <w:tcW w:w="7818" w:type="dxa"/>
            <w:tcBorders>
              <w:top w:val="single" w:color="auto" w:sz="4" w:space="0"/>
              <w:left w:val="single" w:color="auto" w:sz="4" w:space="0"/>
              <w:bottom w:val="single" w:color="auto" w:sz="4" w:space="0"/>
              <w:right w:val="single" w:color="auto" w:sz="4" w:space="0"/>
            </w:tcBorders>
            <w:vAlign w:val="bottom"/>
          </w:tcPr>
          <w:p>
            <w:pPr>
              <w:autoSpaceDN w:val="0"/>
              <w:spacing w:line="460" w:lineRule="exact"/>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微软雅黑" w:hAnsi="微软雅黑" w:eastAsia="微软雅黑" w:cs="微软雅黑"/>
                <w:b/>
                <w:color w:val="auto"/>
                <w:kern w:val="0"/>
                <w:szCs w:val="21"/>
                <w:highlight w:val="none"/>
              </w:rPr>
            </w:pPr>
            <w:r>
              <w:rPr>
                <w:rFonts w:hint="eastAsia" w:ascii="微软雅黑" w:hAnsi="微软雅黑" w:eastAsia="微软雅黑" w:cs="微软雅黑"/>
                <w:bCs/>
                <w:color w:val="auto"/>
                <w:kern w:val="0"/>
                <w:szCs w:val="21"/>
                <w:highlight w:val="none"/>
              </w:rPr>
              <w:t>技术要求</w:t>
            </w:r>
          </w:p>
        </w:tc>
        <w:tc>
          <w:tcPr>
            <w:tcW w:w="7818"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★1.无人机高空拍摄</w:t>
            </w:r>
          </w:p>
          <w:p>
            <w:pPr>
              <w:pStyle w:val="54"/>
              <w:tabs>
                <w:tab w:val="left" w:pos="0"/>
              </w:tabs>
              <w:snapToGrid w:val="0"/>
              <w:spacing w:line="460" w:lineRule="exact"/>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采用无人机，获取单张不低于2000万像素的图像，并具备航拍资质（</w:t>
            </w:r>
            <w:r>
              <w:rPr>
                <w:rFonts w:hint="eastAsia" w:ascii="微软雅黑" w:hAnsi="微软雅黑" w:eastAsia="微软雅黑" w:cs="微软雅黑"/>
                <w:color w:val="auto"/>
                <w:highlight w:val="none"/>
              </w:rPr>
              <w:t>提供航拍资质或授权的资质证明</w:t>
            </w:r>
            <w:r>
              <w:rPr>
                <w:rFonts w:hint="eastAsia" w:ascii="微软雅黑" w:hAnsi="微软雅黑" w:eastAsia="微软雅黑" w:cs="微软雅黑"/>
                <w:color w:val="auto"/>
                <w:kern w:val="0"/>
                <w:highlight w:val="none"/>
              </w:rPr>
              <w:t>）</w:t>
            </w:r>
          </w:p>
          <w:p>
            <w:pPr>
              <w:spacing w:line="460" w:lineRule="exac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2.取景原始素材及后期制作要求</w:t>
            </w:r>
          </w:p>
          <w:p>
            <w:pPr>
              <w:spacing w:before="240" w:line="460" w:lineRule="exact"/>
              <w:ind w:firstLine="420" w:firstLineChars="200"/>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 xml:space="preserve">1）全景图片：同一点位需采集至少5张图片，单张照片像素不低于4000万，保证后期拼接360°无死角，画面不畸变。 </w:t>
            </w:r>
          </w:p>
          <w:p>
            <w:pPr>
              <w:spacing w:line="460" w:lineRule="exact"/>
              <w:ind w:firstLine="420" w:firstLineChars="200"/>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 xml:space="preserve">2）全景图后期制作要求： </w:t>
            </w:r>
          </w:p>
          <w:p>
            <w:pPr>
              <w:spacing w:line="460" w:lineRule="exact"/>
              <w:ind w:firstLine="420" w:firstLineChars="200"/>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a）全景图片的格式：jpg或Tiff（高位彩色图像格式）</w:t>
            </w:r>
          </w:p>
          <w:p>
            <w:pPr>
              <w:spacing w:line="460" w:lineRule="exact"/>
              <w:ind w:firstLine="420" w:firstLineChars="200"/>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b）全景图片的分辨率：15000×7500px</w:t>
            </w:r>
          </w:p>
          <w:p>
            <w:pPr>
              <w:spacing w:line="460" w:lineRule="exact"/>
              <w:ind w:firstLine="420" w:firstLineChars="200"/>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c）全景图片的文件大小：不低于50M（JPG格式）；不低于70M（TIFF格式）；</w:t>
            </w:r>
          </w:p>
          <w:p>
            <w:pPr>
              <w:spacing w:line="460" w:lineRule="exact"/>
              <w:ind w:firstLine="420" w:firstLineChars="200"/>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d）图片需作基本调校处理，不出现倾斜、横置、倒置、镜像、污损、白边、接缝、偏色等现象。</w:t>
            </w:r>
          </w:p>
          <w:p>
            <w:pPr>
              <w:spacing w:line="460" w:lineRule="exact"/>
              <w:ind w:firstLine="420" w:firstLineChars="200"/>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 xml:space="preserve">3）高清视频制作要求： </w:t>
            </w:r>
          </w:p>
          <w:p>
            <w:pPr>
              <w:spacing w:line="460" w:lineRule="exact"/>
              <w:ind w:firstLine="420" w:firstLineChars="200"/>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a）视频的编码格式：H264/MP4；</w:t>
            </w:r>
          </w:p>
          <w:p>
            <w:pPr>
              <w:spacing w:line="460" w:lineRule="exact"/>
              <w:ind w:firstLine="420" w:firstLineChars="200"/>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b）视频的分辨率：1920×1080（1080P）</w:t>
            </w:r>
          </w:p>
          <w:p>
            <w:pPr>
              <w:spacing w:line="460" w:lineRule="exact"/>
              <w:ind w:firstLine="420" w:firstLineChars="200"/>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c）码率：不低于10000kbps</w:t>
            </w:r>
          </w:p>
          <w:p>
            <w:pPr>
              <w:spacing w:line="460" w:lineRule="exact"/>
              <w:ind w:firstLine="420" w:firstLineChars="200"/>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d）视频的帧率：不低于25帧/秒</w:t>
            </w:r>
          </w:p>
          <w:p>
            <w:pPr>
              <w:spacing w:line="460" w:lineRule="exact"/>
              <w:ind w:firstLine="420" w:firstLineChars="200"/>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4）平面图片格式要求：</w:t>
            </w:r>
          </w:p>
          <w:p>
            <w:pPr>
              <w:spacing w:line="460" w:lineRule="exact"/>
              <w:ind w:firstLine="420" w:firstLineChars="200"/>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a）平面图片的格式：jpg或Tiff（高位彩色图像格式）</w:t>
            </w:r>
          </w:p>
          <w:p>
            <w:pPr>
              <w:spacing w:line="460" w:lineRule="exact"/>
              <w:ind w:firstLine="420" w:firstLineChars="200"/>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b）平面图片的尺寸：不低于7500×5000px</w:t>
            </w:r>
          </w:p>
          <w:p>
            <w:pPr>
              <w:spacing w:line="460" w:lineRule="exact"/>
              <w:ind w:firstLine="420" w:firstLineChars="200"/>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c）平面图片的大小：不低于5M（JPG格式）；不低于10M（TIFF格式）；</w:t>
            </w:r>
          </w:p>
          <w:p>
            <w:pPr>
              <w:spacing w:line="460" w:lineRule="exac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3．360度全景漫游系统不得使用第三方网站生成的内容，需自行开发，使用krpano、HTML，CSS3，JavaScript，PHP、three.js等原生工具，全景图片需分辨率高，容错率高，不带有第三方logo。</w:t>
            </w:r>
          </w:p>
          <w:p>
            <w:pPr>
              <w:pStyle w:val="54"/>
              <w:tabs>
                <w:tab w:val="left" w:pos="0"/>
              </w:tabs>
              <w:snapToGrid w:val="0"/>
              <w:spacing w:line="460" w:lineRule="exact"/>
              <w:ind w:firstLine="0" w:firstLineChars="0"/>
              <w:jc w:val="left"/>
              <w:textAlignment w:val="center"/>
              <w:rPr>
                <w:rFonts w:ascii="微软雅黑" w:hAnsi="微软雅黑" w:eastAsia="微软雅黑" w:cs="微软雅黑"/>
                <w:color w:val="auto"/>
                <w:kern w:val="0"/>
                <w:highlight w:val="none"/>
              </w:rPr>
            </w:pPr>
            <w:r>
              <w:rPr>
                <w:rFonts w:hint="eastAsia" w:ascii="微软雅黑" w:hAnsi="微软雅黑" w:eastAsia="微软雅黑" w:cs="微软雅黑"/>
                <w:color w:val="auto"/>
                <w:kern w:val="0"/>
                <w:highlight w:val="none"/>
              </w:rPr>
              <w:t>4．不少于35张，不多于40张地拍照片；不少于2张，不多于4张航拍照片；不少于1次，不多于2次现场拍摄</w:t>
            </w:r>
          </w:p>
        </w:tc>
      </w:tr>
    </w:tbl>
    <w:p>
      <w:pPr>
        <w:pStyle w:val="4"/>
        <w:spacing w:beforeLines="100" w:line="480" w:lineRule="exact"/>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br w:type="page"/>
      </w:r>
      <w:r>
        <w:rPr>
          <w:rFonts w:hint="eastAsia" w:ascii="微软雅黑" w:hAnsi="微软雅黑" w:eastAsia="微软雅黑" w:cs="微软雅黑"/>
          <w:b/>
          <w:bCs/>
          <w:color w:val="auto"/>
          <w:sz w:val="21"/>
          <w:szCs w:val="21"/>
          <w:highlight w:val="none"/>
        </w:rPr>
        <w:t>（七）、基层治理</w:t>
      </w:r>
    </w:p>
    <w:p>
      <w:pPr>
        <w:pStyle w:val="23"/>
        <w:spacing w:line="480" w:lineRule="exact"/>
        <w:jc w:val="left"/>
        <w:outlineLvl w:val="2"/>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1、智慧党建</w:t>
      </w:r>
    </w:p>
    <w:tbl>
      <w:tblPr>
        <w:tblStyle w:val="35"/>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7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bookmarkStart w:id="404" w:name="_Hlk86400289"/>
            <w:r>
              <w:rPr>
                <w:rFonts w:hint="eastAsia" w:ascii="微软雅黑" w:hAnsi="微软雅黑" w:eastAsia="微软雅黑" w:cs="微软雅黑"/>
                <w:b/>
                <w:color w:val="auto"/>
                <w:szCs w:val="21"/>
                <w:highlight w:val="none"/>
              </w:rPr>
              <w:t>指标项</w:t>
            </w:r>
          </w:p>
        </w:tc>
        <w:tc>
          <w:tcPr>
            <w:tcW w:w="78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Cs/>
                <w:color w:val="auto"/>
                <w:kern w:val="0"/>
                <w:szCs w:val="21"/>
                <w:highlight w:val="none"/>
              </w:rPr>
              <w:t>数量要求</w:t>
            </w:r>
          </w:p>
        </w:tc>
        <w:tc>
          <w:tcPr>
            <w:tcW w:w="7818" w:type="dxa"/>
            <w:tcBorders>
              <w:top w:val="single" w:color="auto" w:sz="4" w:space="0"/>
              <w:left w:val="single" w:color="auto" w:sz="4" w:space="0"/>
              <w:bottom w:val="single" w:color="auto" w:sz="4" w:space="0"/>
              <w:right w:val="single" w:color="auto" w:sz="4" w:space="0"/>
            </w:tcBorders>
            <w:vAlign w:val="bottom"/>
          </w:tcPr>
          <w:p>
            <w:pPr>
              <w:autoSpaceDN w:val="0"/>
              <w:spacing w:line="480" w:lineRule="exact"/>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Cs/>
                <w:color w:val="auto"/>
                <w:kern w:val="0"/>
                <w:szCs w:val="21"/>
                <w:highlight w:val="none"/>
              </w:rPr>
              <w:t>功能要求</w:t>
            </w:r>
          </w:p>
        </w:tc>
        <w:tc>
          <w:tcPr>
            <w:tcW w:w="7818" w:type="dxa"/>
            <w:tcBorders>
              <w:top w:val="single" w:color="auto" w:sz="4" w:space="0"/>
              <w:left w:val="single" w:color="auto" w:sz="4" w:space="0"/>
              <w:bottom w:val="single" w:color="auto" w:sz="4" w:space="0"/>
              <w:right w:val="single" w:color="auto" w:sz="4" w:space="0"/>
            </w:tcBorders>
            <w:vAlign w:val="center"/>
          </w:tcPr>
          <w:p>
            <w:pPr>
              <w:pStyle w:val="51"/>
              <w:numPr>
                <w:ilvl w:val="1"/>
                <w:numId w:val="31"/>
              </w:numPr>
              <w:spacing w:line="480" w:lineRule="exact"/>
              <w:ind w:left="0" w:firstLine="0" w:firstLineChars="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党组织管理</w:t>
            </w:r>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支持按照基层党支部实际情况， 管理员新增、修改党支部信息。</w:t>
            </w:r>
          </w:p>
          <w:p>
            <w:pPr>
              <w:pStyle w:val="51"/>
              <w:numPr>
                <w:ilvl w:val="1"/>
                <w:numId w:val="31"/>
              </w:numPr>
              <w:spacing w:line="480" w:lineRule="exact"/>
              <w:ind w:left="0" w:firstLine="0" w:firstLineChars="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党员管理</w:t>
            </w:r>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支持党建干事按照党员发展的五个阶段新增、修改党员信息；支持党建干事按照党员发展流程补充完善党员发展所需要的阶段性材料，根据党员发展流程分类管理党员信息；支持对党员分类情况进行图形展示、总量指标统计。</w:t>
            </w:r>
          </w:p>
          <w:p>
            <w:pPr>
              <w:pStyle w:val="51"/>
              <w:numPr>
                <w:ilvl w:val="1"/>
                <w:numId w:val="31"/>
              </w:numPr>
              <w:spacing w:line="480" w:lineRule="exact"/>
              <w:ind w:left="0" w:firstLine="0" w:firstLineChars="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 xml:space="preserve">干部管理 </w:t>
            </w:r>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构建干部信息库，支持管理员按照基层干部管理要求，新增、修改干部信息，包含基本信息、培养信息、奖惩信息、工作履历信等。</w:t>
            </w:r>
          </w:p>
          <w:p>
            <w:pPr>
              <w:pStyle w:val="51"/>
              <w:numPr>
                <w:ilvl w:val="1"/>
                <w:numId w:val="31"/>
              </w:numPr>
              <w:spacing w:line="480" w:lineRule="exact"/>
              <w:ind w:left="0" w:firstLine="0" w:firstLineChars="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通知公告</w:t>
            </w:r>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通知公告模块通过通知公告的起草、审核、发布、提醒、查阅功能，构建党内信息公告栏，实现通知公告的及时快速下达，自动提醒党员查阅，有效避免重要通知的遗漏，对阅读情况实时统计，保障通知及时接收。</w:t>
            </w:r>
          </w:p>
        </w:tc>
      </w:tr>
      <w:bookmarkEnd w:id="404"/>
    </w:tbl>
    <w:p>
      <w:pPr>
        <w:spacing w:before="240" w:after="60" w:line="480" w:lineRule="exact"/>
        <w:jc w:val="left"/>
        <w:outlineLvl w:val="2"/>
        <w:rPr>
          <w:rFonts w:ascii="微软雅黑" w:hAnsi="微软雅黑" w:eastAsia="微软雅黑" w:cs="微软雅黑"/>
          <w:b/>
          <w:bCs/>
          <w:color w:val="auto"/>
          <w:kern w:val="28"/>
          <w:szCs w:val="21"/>
          <w:highlight w:val="none"/>
        </w:rPr>
      </w:pPr>
      <w:r>
        <w:rPr>
          <w:rFonts w:hint="eastAsia" w:ascii="微软雅黑" w:hAnsi="微软雅黑" w:eastAsia="微软雅黑" w:cs="微软雅黑"/>
          <w:b/>
          <w:bCs/>
          <w:color w:val="auto"/>
          <w:kern w:val="28"/>
          <w:szCs w:val="21"/>
          <w:highlight w:val="none"/>
        </w:rPr>
        <w:t>2、基层治理</w:t>
      </w:r>
    </w:p>
    <w:tbl>
      <w:tblPr>
        <w:tblStyle w:val="35"/>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7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指标项</w:t>
            </w:r>
          </w:p>
        </w:tc>
        <w:tc>
          <w:tcPr>
            <w:tcW w:w="78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Cs/>
                <w:color w:val="auto"/>
                <w:kern w:val="0"/>
                <w:szCs w:val="21"/>
                <w:highlight w:val="none"/>
              </w:rPr>
              <w:t>数量要求</w:t>
            </w:r>
          </w:p>
        </w:tc>
        <w:tc>
          <w:tcPr>
            <w:tcW w:w="7818" w:type="dxa"/>
            <w:tcBorders>
              <w:top w:val="single" w:color="auto" w:sz="4" w:space="0"/>
              <w:left w:val="single" w:color="auto" w:sz="4" w:space="0"/>
              <w:bottom w:val="single" w:color="auto" w:sz="4" w:space="0"/>
              <w:right w:val="single" w:color="auto" w:sz="4" w:space="0"/>
            </w:tcBorders>
            <w:vAlign w:val="bottom"/>
          </w:tcPr>
          <w:p>
            <w:pPr>
              <w:autoSpaceDN w:val="0"/>
              <w:spacing w:line="480" w:lineRule="exact"/>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Cs/>
                <w:color w:val="auto"/>
                <w:kern w:val="0"/>
                <w:szCs w:val="21"/>
                <w:highlight w:val="none"/>
              </w:rPr>
              <w:t>功能要求</w:t>
            </w:r>
          </w:p>
        </w:tc>
        <w:tc>
          <w:tcPr>
            <w:tcW w:w="7818" w:type="dxa"/>
            <w:tcBorders>
              <w:top w:val="single" w:color="auto" w:sz="4" w:space="0"/>
              <w:left w:val="single" w:color="auto" w:sz="4" w:space="0"/>
              <w:bottom w:val="single" w:color="auto" w:sz="4" w:space="0"/>
              <w:right w:val="single" w:color="auto" w:sz="4" w:space="0"/>
            </w:tcBorders>
            <w:vAlign w:val="center"/>
          </w:tcPr>
          <w:p>
            <w:pPr>
              <w:pStyle w:val="51"/>
              <w:numPr>
                <w:ilvl w:val="0"/>
                <w:numId w:val="32"/>
              </w:numPr>
              <w:spacing w:line="480" w:lineRule="exact"/>
              <w:ind w:firstLineChars="0"/>
              <w:rPr>
                <w:rFonts w:ascii="微软雅黑" w:hAnsi="微软雅黑" w:eastAsia="微软雅黑" w:cs="微软雅黑"/>
                <w:b/>
                <w:bCs/>
                <w:color w:val="auto"/>
                <w:szCs w:val="21"/>
                <w:highlight w:val="none"/>
              </w:rPr>
            </w:pPr>
            <w:bookmarkStart w:id="405" w:name="_Toc18779"/>
            <w:r>
              <w:rPr>
                <w:rFonts w:hint="eastAsia" w:ascii="微软雅黑" w:hAnsi="微软雅黑" w:eastAsia="微软雅黑" w:cs="微软雅黑"/>
                <w:b/>
                <w:bCs/>
                <w:color w:val="auto"/>
                <w:szCs w:val="21"/>
                <w:highlight w:val="none"/>
              </w:rPr>
              <w:t>人口信息管理</w:t>
            </w:r>
            <w:bookmarkEnd w:id="405"/>
          </w:p>
          <w:p>
            <w:pPr>
              <w:spacing w:line="480" w:lineRule="exact"/>
              <w:ind w:firstLine="420" w:firstLineChars="200"/>
              <w:rPr>
                <w:rFonts w:ascii="微软雅黑" w:hAnsi="微软雅黑" w:eastAsia="微软雅黑" w:cs="微软雅黑"/>
                <w:color w:val="auto"/>
                <w:szCs w:val="21"/>
                <w:highlight w:val="none"/>
              </w:rPr>
            </w:pPr>
            <w:bookmarkStart w:id="406" w:name="_Toc4826"/>
            <w:r>
              <w:rPr>
                <w:rFonts w:hint="eastAsia" w:ascii="微软雅黑" w:hAnsi="微软雅黑" w:eastAsia="微软雅黑" w:cs="微软雅黑"/>
                <w:color w:val="auto"/>
                <w:szCs w:val="21"/>
                <w:highlight w:val="none"/>
              </w:rPr>
              <w:t>基层治理最大的难点在于人口管理，如何实现人口管理、精确区分人口类型，算清人口大账是基层治理的当务之急，平台紧密结合基层工作实际，将人口精准分类，增设各类智能算法，可以全面保障人口信息的完整性与正确率。</w:t>
            </w:r>
          </w:p>
          <w:p>
            <w:pPr>
              <w:spacing w:line="480" w:lineRule="exact"/>
              <w:ind w:left="42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●常住人口管理</w:t>
            </w:r>
            <w:bookmarkEnd w:id="406"/>
          </w:p>
          <w:p>
            <w:pPr>
              <w:spacing w:line="480" w:lineRule="exact"/>
              <w:ind w:left="42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用于管理、维护常住人口信息。包含常驻人口数据批量导入、指定人员数据</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新增修改、数据一键导出、智能算法校验、人口业务办理、基本信息检索、关联信息添加等。常驻人口即当前村社区管辖范围下长期居住人口数，具体算法为：常驻人口=户籍人口+所有6个月以上关联房屋的流入人口-流出人口。</w:t>
            </w:r>
          </w:p>
          <w:p>
            <w:pPr>
              <w:spacing w:line="480" w:lineRule="exact"/>
              <w:ind w:left="420"/>
              <w:rPr>
                <w:rFonts w:ascii="微软雅黑" w:hAnsi="微软雅黑" w:eastAsia="微软雅黑" w:cs="微软雅黑"/>
                <w:color w:val="auto"/>
                <w:szCs w:val="21"/>
                <w:highlight w:val="none"/>
              </w:rPr>
            </w:pPr>
            <w:bookmarkStart w:id="407" w:name="_Toc3369"/>
            <w:r>
              <w:rPr>
                <w:rFonts w:hint="eastAsia" w:ascii="微软雅黑" w:hAnsi="微软雅黑" w:eastAsia="微软雅黑" w:cs="微软雅黑"/>
                <w:color w:val="auto"/>
                <w:szCs w:val="21"/>
                <w:highlight w:val="none"/>
              </w:rPr>
              <w:t>●实有人口管理</w:t>
            </w:r>
            <w:bookmarkEnd w:id="407"/>
          </w:p>
          <w:p>
            <w:pPr>
              <w:spacing w:line="480" w:lineRule="exact"/>
              <w:ind w:left="42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用于管理、维护实有人口信息。包含实有人口数据新增修改、数据一键导出、</w:t>
            </w:r>
          </w:p>
          <w:p>
            <w:pPr>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智能算法校验、人口业务办理、基本信息检索、关联信息添加等。实有人口即当前村社区管辖范围下实有管理人口数，具体算法为：实有人口=户籍人口+所有7天以上关联房屋的流入人口-流出人口。</w:t>
            </w:r>
          </w:p>
          <w:p>
            <w:pPr>
              <w:spacing w:line="480" w:lineRule="exact"/>
              <w:ind w:firstLine="420" w:firstLineChars="200"/>
              <w:rPr>
                <w:rFonts w:ascii="微软雅黑" w:hAnsi="微软雅黑" w:eastAsia="微软雅黑" w:cs="微软雅黑"/>
                <w:color w:val="auto"/>
                <w:szCs w:val="21"/>
                <w:highlight w:val="none"/>
              </w:rPr>
            </w:pPr>
            <w:bookmarkStart w:id="408" w:name="_Toc30279"/>
            <w:r>
              <w:rPr>
                <w:rFonts w:hint="eastAsia" w:ascii="微软雅黑" w:hAnsi="微软雅黑" w:eastAsia="微软雅黑" w:cs="微软雅黑"/>
                <w:color w:val="auto"/>
                <w:szCs w:val="21"/>
                <w:highlight w:val="none"/>
              </w:rPr>
              <w:t>●户籍人口管理</w:t>
            </w:r>
            <w:bookmarkEnd w:id="408"/>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用于管理、维护户籍人口信息。包含户籍人口数据新增修改、数据一键导出、智能算法校验、人口业务办理、基本信息检索、关联信息添加等。户籍人口即当前村社区管辖范围下的实际户籍人口数（本县市户籍）。</w:t>
            </w:r>
          </w:p>
          <w:p>
            <w:pPr>
              <w:spacing w:line="480" w:lineRule="exact"/>
              <w:ind w:left="420"/>
              <w:rPr>
                <w:rFonts w:ascii="微软雅黑" w:hAnsi="微软雅黑" w:eastAsia="微软雅黑" w:cs="微软雅黑"/>
                <w:color w:val="auto"/>
                <w:szCs w:val="21"/>
                <w:highlight w:val="none"/>
              </w:rPr>
            </w:pPr>
            <w:bookmarkStart w:id="409" w:name="_Toc23931"/>
            <w:r>
              <w:rPr>
                <w:rFonts w:hint="eastAsia" w:ascii="微软雅黑" w:hAnsi="微软雅黑" w:eastAsia="微软雅黑" w:cs="微软雅黑"/>
                <w:color w:val="auto"/>
                <w:szCs w:val="21"/>
                <w:highlight w:val="none"/>
              </w:rPr>
              <w:t>●流动人口管理</w:t>
            </w:r>
            <w:bookmarkEnd w:id="409"/>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用于管理、维护长期、短期流入人口信息。包含长期流入人口数据新增修改、数据一键导出、智能算法校验、人口业务办理、基本信息检索、关联信息添加等。长期流入人口即当前村社区管辖范围下在本村社区定居六个月及六个月以上人群。短期流入人口即当前村社区管辖范围下在本村社区定居7天以下人群。</w:t>
            </w:r>
          </w:p>
          <w:p>
            <w:pPr>
              <w:spacing w:line="480" w:lineRule="exact"/>
              <w:ind w:left="420"/>
              <w:rPr>
                <w:rFonts w:ascii="微软雅黑" w:hAnsi="微软雅黑" w:eastAsia="微软雅黑" w:cs="微软雅黑"/>
                <w:color w:val="auto"/>
                <w:szCs w:val="21"/>
                <w:highlight w:val="none"/>
              </w:rPr>
            </w:pPr>
            <w:bookmarkStart w:id="410" w:name="_Toc3990"/>
            <w:r>
              <w:rPr>
                <w:rFonts w:hint="eastAsia" w:ascii="微软雅黑" w:hAnsi="微软雅黑" w:eastAsia="微软雅黑" w:cs="微软雅黑"/>
                <w:color w:val="auto"/>
                <w:szCs w:val="21"/>
                <w:highlight w:val="none"/>
              </w:rPr>
              <w:t>●外出人口记录管理</w:t>
            </w:r>
            <w:bookmarkEnd w:id="410"/>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用于汇总记录户籍人口流出情况，支持用户针对辖区户籍人口的流出情况，进行批量导入、数据导出、快速检索等功能。</w:t>
            </w:r>
          </w:p>
          <w:p>
            <w:pPr>
              <w:pStyle w:val="51"/>
              <w:numPr>
                <w:ilvl w:val="0"/>
                <w:numId w:val="32"/>
              </w:numPr>
              <w:spacing w:line="480" w:lineRule="exact"/>
              <w:ind w:firstLineChars="0"/>
              <w:rPr>
                <w:rFonts w:ascii="微软雅黑" w:hAnsi="微软雅黑" w:eastAsia="微软雅黑" w:cs="微软雅黑"/>
                <w:b/>
                <w:bCs/>
                <w:color w:val="auto"/>
                <w:szCs w:val="21"/>
                <w:highlight w:val="none"/>
              </w:rPr>
            </w:pPr>
            <w:bookmarkStart w:id="411" w:name="_Toc14960"/>
            <w:r>
              <w:rPr>
                <w:rFonts w:hint="eastAsia" w:ascii="微软雅黑" w:hAnsi="微软雅黑" w:eastAsia="微软雅黑" w:cs="微软雅黑"/>
                <w:b/>
                <w:bCs/>
                <w:color w:val="auto"/>
                <w:szCs w:val="21"/>
                <w:highlight w:val="none"/>
              </w:rPr>
              <w:t>房户家庭管理</w:t>
            </w:r>
            <w:bookmarkEnd w:id="411"/>
          </w:p>
          <w:p>
            <w:pPr>
              <w:spacing w:line="480" w:lineRule="exact"/>
              <w:ind w:left="420"/>
              <w:rPr>
                <w:rFonts w:ascii="微软雅黑" w:hAnsi="微软雅黑" w:eastAsia="微软雅黑" w:cs="微软雅黑"/>
                <w:color w:val="auto"/>
                <w:szCs w:val="21"/>
                <w:highlight w:val="none"/>
              </w:rPr>
            </w:pPr>
            <w:bookmarkStart w:id="412" w:name="_Toc12276"/>
            <w:r>
              <w:rPr>
                <w:rFonts w:hint="eastAsia" w:ascii="微软雅黑" w:hAnsi="微软雅黑" w:eastAsia="微软雅黑" w:cs="微软雅黑"/>
                <w:color w:val="auto"/>
                <w:szCs w:val="21"/>
                <w:highlight w:val="none"/>
              </w:rPr>
              <w:t>●户籍信息管理</w:t>
            </w:r>
            <w:bookmarkEnd w:id="412"/>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用于管理、维护户籍信息。包含户籍信息批量导入、数据新增修改、数据一键导出（Excel）、智能算法校验、户籍情况业务办理、基本信息检索、证明模板导出（word）等。</w:t>
            </w:r>
          </w:p>
          <w:p>
            <w:pPr>
              <w:spacing w:line="480" w:lineRule="exact"/>
              <w:ind w:firstLine="420" w:firstLineChars="200"/>
              <w:rPr>
                <w:rFonts w:ascii="微软雅黑" w:hAnsi="微软雅黑" w:eastAsia="微软雅黑" w:cs="微软雅黑"/>
                <w:color w:val="auto"/>
                <w:szCs w:val="21"/>
                <w:highlight w:val="none"/>
              </w:rPr>
            </w:pPr>
            <w:bookmarkStart w:id="413" w:name="_Toc10274"/>
            <w:r>
              <w:rPr>
                <w:rFonts w:hint="eastAsia" w:ascii="微软雅黑" w:hAnsi="微软雅黑" w:eastAsia="微软雅黑" w:cs="微软雅黑"/>
                <w:color w:val="auto"/>
                <w:szCs w:val="21"/>
                <w:highlight w:val="none"/>
              </w:rPr>
              <w:t>●家庭信息管理</w:t>
            </w:r>
            <w:bookmarkEnd w:id="413"/>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用于管理、维护家庭信息。包含家庭信息数据新增修改、数据一键导出（exel）、智能算法校验、家庭情况业务办理、基本信息检索、家庭信息删除等。</w:t>
            </w:r>
          </w:p>
          <w:p>
            <w:pPr>
              <w:spacing w:line="480" w:lineRule="exact"/>
              <w:ind w:firstLine="420" w:firstLineChars="200"/>
              <w:rPr>
                <w:rFonts w:ascii="微软雅黑" w:hAnsi="微软雅黑" w:eastAsia="微软雅黑" w:cs="微软雅黑"/>
                <w:color w:val="auto"/>
                <w:szCs w:val="21"/>
                <w:highlight w:val="none"/>
              </w:rPr>
            </w:pPr>
            <w:bookmarkStart w:id="414" w:name="_Toc17561"/>
            <w:r>
              <w:rPr>
                <w:rFonts w:hint="eastAsia" w:ascii="微软雅黑" w:hAnsi="微软雅黑" w:eastAsia="微软雅黑" w:cs="微软雅黑"/>
                <w:color w:val="auto"/>
                <w:szCs w:val="21"/>
                <w:highlight w:val="none"/>
              </w:rPr>
              <w:t>●房屋信息管理</w:t>
            </w:r>
            <w:bookmarkEnd w:id="414"/>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用于管理、维护房屋信息。包含房屋信息批量导入、数据新增修改、智能算法校验、房屋情况业务办理、基本信息检索等。</w:t>
            </w:r>
            <w:bookmarkStart w:id="415" w:name="_Toc29342"/>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●房屋分布情况</w:t>
            </w:r>
            <w:bookmarkEnd w:id="415"/>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用于展示、查询房屋分布信息。基于GPS定位技术，实现辖区房屋分布全量展示，支持用户通过平台实时掌握辖区房屋数量与定位，每个房屋定位信息可通过点击方式来进行查看房屋及关联家庭人口信息等。</w:t>
            </w:r>
            <w:bookmarkStart w:id="416" w:name="_Toc26368"/>
          </w:p>
          <w:p>
            <w:pPr>
              <w:pStyle w:val="51"/>
              <w:numPr>
                <w:ilvl w:val="0"/>
                <w:numId w:val="32"/>
              </w:numPr>
              <w:spacing w:line="480" w:lineRule="exact"/>
              <w:ind w:firstLineChars="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医疗养老保险</w:t>
            </w:r>
            <w:bookmarkEnd w:id="416"/>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用于按年度汇总展示辖区内人员医疗、养老保险缴费情况，包含缴纳方式、缴纳时间、缴纳地点等，支持用户进行医疗养老信息的新增修改、基本信息检索、数据导出等功能。</w:t>
            </w:r>
          </w:p>
          <w:p>
            <w:pPr>
              <w:pStyle w:val="51"/>
              <w:numPr>
                <w:ilvl w:val="0"/>
                <w:numId w:val="32"/>
              </w:numPr>
              <w:spacing w:line="480" w:lineRule="exact"/>
              <w:ind w:firstLineChars="0"/>
              <w:rPr>
                <w:rFonts w:ascii="微软雅黑" w:hAnsi="微软雅黑" w:eastAsia="微软雅黑" w:cs="微软雅黑"/>
                <w:b/>
                <w:bCs/>
                <w:color w:val="auto"/>
                <w:szCs w:val="21"/>
                <w:highlight w:val="none"/>
              </w:rPr>
            </w:pPr>
            <w:bookmarkStart w:id="417" w:name="_Toc13433"/>
            <w:r>
              <w:rPr>
                <w:rFonts w:hint="eastAsia" w:ascii="微软雅黑" w:hAnsi="微软雅黑" w:eastAsia="微软雅黑" w:cs="微软雅黑"/>
                <w:b/>
                <w:bCs/>
                <w:color w:val="auto"/>
                <w:szCs w:val="21"/>
                <w:highlight w:val="none"/>
              </w:rPr>
              <w:t>干部走访记录</w:t>
            </w:r>
            <w:bookmarkEnd w:id="417"/>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用于对干部入户走访情况进行精准管理，干部通过手机app端实时采集入户数据信息，管理员通过pc端可以实时查询、管理、统计、分析干部入户情况，进行居中调度。</w:t>
            </w:r>
          </w:p>
          <w:p>
            <w:pPr>
              <w:spacing w:line="480" w:lineRule="exact"/>
              <w:ind w:firstLine="420" w:firstLineChars="200"/>
              <w:rPr>
                <w:rFonts w:ascii="微软雅黑" w:hAnsi="微软雅黑" w:eastAsia="微软雅黑" w:cs="微软雅黑"/>
                <w:color w:val="auto"/>
                <w:szCs w:val="21"/>
                <w:highlight w:val="none"/>
              </w:rPr>
            </w:pPr>
            <w:bookmarkStart w:id="418" w:name="_Toc6756"/>
            <w:r>
              <w:rPr>
                <w:rFonts w:hint="eastAsia" w:ascii="微软雅黑" w:hAnsi="微软雅黑" w:eastAsia="微软雅黑" w:cs="微软雅黑"/>
                <w:color w:val="auto"/>
                <w:szCs w:val="21"/>
                <w:highlight w:val="none"/>
              </w:rPr>
              <w:t>●入户记录管理</w:t>
            </w:r>
            <w:bookmarkEnd w:id="418"/>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用于采集、汇总、展示干部入户记录情况。主要是对通过手机端入户走访的数据进行管理，在线审核。</w:t>
            </w:r>
            <w:bookmarkStart w:id="419" w:name="_Toc21262"/>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●接待记录管理</w:t>
            </w:r>
            <w:bookmarkEnd w:id="419"/>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用于采集、汇总、展示干部接待记录情况。主要是对通过手机端接待记录的数据进行管理，在线审核。</w:t>
            </w:r>
          </w:p>
          <w:p>
            <w:pPr>
              <w:pStyle w:val="51"/>
              <w:numPr>
                <w:ilvl w:val="0"/>
                <w:numId w:val="32"/>
              </w:numPr>
              <w:spacing w:line="480" w:lineRule="exact"/>
              <w:ind w:firstLineChars="0"/>
              <w:rPr>
                <w:rFonts w:ascii="微软雅黑" w:hAnsi="微软雅黑" w:eastAsia="微软雅黑" w:cs="微软雅黑"/>
                <w:b/>
                <w:bCs/>
                <w:color w:val="auto"/>
                <w:szCs w:val="21"/>
                <w:highlight w:val="none"/>
              </w:rPr>
            </w:pPr>
            <w:bookmarkStart w:id="420" w:name="_Toc10620"/>
            <w:r>
              <w:rPr>
                <w:rFonts w:hint="eastAsia" w:ascii="微软雅黑" w:hAnsi="微软雅黑" w:eastAsia="微软雅黑" w:cs="微软雅黑"/>
                <w:b/>
                <w:bCs/>
                <w:color w:val="auto"/>
                <w:szCs w:val="21"/>
                <w:highlight w:val="none"/>
              </w:rPr>
              <w:t>户厕摸排记录</w:t>
            </w:r>
            <w:bookmarkEnd w:id="420"/>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用于农村户厕改造数据的汇总、整合、统计、分析。针对国家农村厕所改造项目定制开发，给乡镇街道开展的摸排工作与信息提供了线上智能化的统计、分析功能。通过平台可以对辖区内户厕摸排信息进行实时掌握，针对户厕摸排情况支持用户批量导入、数据一键导出、基本信息检索、高级搜索、数据新增修改等功能。</w:t>
            </w:r>
          </w:p>
          <w:p>
            <w:pPr>
              <w:pStyle w:val="51"/>
              <w:numPr>
                <w:ilvl w:val="0"/>
                <w:numId w:val="32"/>
              </w:numPr>
              <w:spacing w:line="480" w:lineRule="exact"/>
              <w:ind w:firstLineChars="0"/>
              <w:rPr>
                <w:rFonts w:ascii="微软雅黑" w:hAnsi="微软雅黑" w:eastAsia="微软雅黑" w:cs="微软雅黑"/>
                <w:b/>
                <w:bCs/>
                <w:color w:val="auto"/>
                <w:szCs w:val="21"/>
                <w:highlight w:val="none"/>
              </w:rPr>
            </w:pPr>
            <w:bookmarkStart w:id="421" w:name="_Toc9695"/>
            <w:r>
              <w:rPr>
                <w:rFonts w:hint="eastAsia" w:ascii="微软雅黑" w:hAnsi="微软雅黑" w:eastAsia="微软雅黑" w:cs="微软雅黑"/>
                <w:b/>
                <w:bCs/>
                <w:color w:val="auto"/>
                <w:szCs w:val="21"/>
                <w:highlight w:val="none"/>
              </w:rPr>
              <w:t>困难诉求管理</w:t>
            </w:r>
            <w:bookmarkEnd w:id="421"/>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用于群众困难诉求处理，形成全流程线上闭环管理模式。支持群众通过登录小程序端，进行困难诉求的填写、拍照、定位及申报；支持后台管理员对群众困难诉求事件进行在线管理，包含事件的新建、转办、督办、办结等；支持群众困难诉求事件实时统计，包含指标统计、图形展示等。</w:t>
            </w:r>
            <w:bookmarkStart w:id="422" w:name="_Toc28381"/>
          </w:p>
          <w:p>
            <w:pPr>
              <w:pStyle w:val="51"/>
              <w:numPr>
                <w:ilvl w:val="0"/>
                <w:numId w:val="32"/>
              </w:numPr>
              <w:spacing w:line="480" w:lineRule="exact"/>
              <w:ind w:firstLineChars="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网格划分管理</w:t>
            </w:r>
            <w:bookmarkEnd w:id="422"/>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用于构建基层网格化管理体系，实现以辖区网格、联户为管理单元、数据单元、服务单元、业务单元的管理机制，网格长可通过登录账号维护、管理网格及联户内人口信息数据，结合网格化管理机制有效明确工作职能和落实管理责任。网格划分主要结合当地实际情况，支持对村社区管理辖区进行逐级分解，一般划分方式为片区-网格-联户，根据实际情况进行建立，建立关系为片区&gt;网格&gt;联户。</w:t>
            </w:r>
          </w:p>
          <w:p>
            <w:pPr>
              <w:pStyle w:val="51"/>
              <w:numPr>
                <w:ilvl w:val="0"/>
                <w:numId w:val="32"/>
              </w:numPr>
              <w:spacing w:line="480" w:lineRule="exact"/>
              <w:ind w:firstLineChars="0"/>
              <w:rPr>
                <w:rFonts w:ascii="微软雅黑" w:hAnsi="微软雅黑" w:eastAsia="微软雅黑" w:cs="微软雅黑"/>
                <w:b/>
                <w:bCs/>
                <w:color w:val="auto"/>
                <w:szCs w:val="21"/>
                <w:highlight w:val="none"/>
              </w:rPr>
            </w:pPr>
            <w:bookmarkStart w:id="423" w:name="_Toc25054"/>
            <w:r>
              <w:rPr>
                <w:rFonts w:hint="eastAsia" w:ascii="微软雅黑" w:hAnsi="微软雅黑" w:eastAsia="微软雅黑" w:cs="微软雅黑"/>
                <w:b/>
                <w:bCs/>
                <w:color w:val="auto"/>
                <w:szCs w:val="21"/>
                <w:highlight w:val="none"/>
              </w:rPr>
              <w:t>标准地址管理</w:t>
            </w:r>
            <w:bookmarkEnd w:id="423"/>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用于构建标准地址库，实现区域完整性，助力基层精准定位辖区人口居住信息，后期通过标准地址库来扩展住址信息，实现干部精准掌握辖区所有人口房产信息、现居住地址信息等。标准地址信息由“行政区划+乡镇街道+街路巷+门牌号+小区（组）+楼排号+单元号+户室”等要素组成。</w:t>
            </w:r>
            <w:bookmarkStart w:id="424" w:name="_Toc17820"/>
          </w:p>
          <w:p>
            <w:pPr>
              <w:pStyle w:val="51"/>
              <w:numPr>
                <w:ilvl w:val="0"/>
                <w:numId w:val="32"/>
              </w:numPr>
              <w:spacing w:line="480" w:lineRule="exact"/>
              <w:ind w:firstLineChars="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干部账号管理</w:t>
            </w:r>
            <w:bookmarkEnd w:id="424"/>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用于平台账号运行、管理等。支持用户按照实际情况新增、修改、锁定、分配、管理账号信息。</w:t>
            </w:r>
          </w:p>
          <w:p>
            <w:pPr>
              <w:pStyle w:val="51"/>
              <w:numPr>
                <w:ilvl w:val="0"/>
                <w:numId w:val="32"/>
              </w:numPr>
              <w:spacing w:line="480" w:lineRule="exact"/>
              <w:ind w:firstLineChars="0"/>
              <w:rPr>
                <w:rFonts w:ascii="微软雅黑" w:hAnsi="微软雅黑" w:eastAsia="微软雅黑" w:cs="微软雅黑"/>
                <w:b/>
                <w:bCs/>
                <w:color w:val="auto"/>
                <w:szCs w:val="21"/>
                <w:highlight w:val="none"/>
              </w:rPr>
            </w:pPr>
            <w:bookmarkStart w:id="425" w:name="_Toc12300"/>
            <w:r>
              <w:rPr>
                <w:rFonts w:hint="eastAsia" w:ascii="微软雅黑" w:hAnsi="微软雅黑" w:eastAsia="微软雅黑" w:cs="微软雅黑"/>
                <w:b/>
                <w:bCs/>
                <w:color w:val="auto"/>
                <w:szCs w:val="21"/>
                <w:highlight w:val="none"/>
              </w:rPr>
              <w:t>公告通知管理</w:t>
            </w:r>
            <w:bookmarkEnd w:id="425"/>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平台设置公告通知版块，支持手机客户端随时随地查看公告内容，方便各级领导干部实时掌握当前工作的重点，及时了解国家、自治区关于基层各项工作最新的政策法规，修正条例及当地出台的实施细则，辅助工作人员精准高效开展工作。</w:t>
            </w:r>
            <w:bookmarkStart w:id="426" w:name="_Toc3057"/>
          </w:p>
          <w:p>
            <w:pPr>
              <w:pStyle w:val="51"/>
              <w:numPr>
                <w:ilvl w:val="0"/>
                <w:numId w:val="32"/>
              </w:numPr>
              <w:spacing w:line="480" w:lineRule="exact"/>
              <w:ind w:firstLineChars="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轮播图片管理</w:t>
            </w:r>
            <w:bookmarkEnd w:id="426"/>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平台设置轮播图片版块，支持手机客户端首页图片置顶，滚动播放，方便各级领导干部、群众及时了解当前工作的重点。</w:t>
            </w:r>
            <w:bookmarkStart w:id="427" w:name="_Toc21013"/>
          </w:p>
          <w:p>
            <w:pPr>
              <w:pStyle w:val="51"/>
              <w:numPr>
                <w:ilvl w:val="0"/>
                <w:numId w:val="32"/>
              </w:numPr>
              <w:spacing w:line="480" w:lineRule="exact"/>
              <w:ind w:firstLineChars="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可视数据中心</w:t>
            </w:r>
            <w:bookmarkEnd w:id="427"/>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支持对具体数据指标的实时统计、汇总。包含民族比例、男女比例、年龄分布等等。支持依据专业人员的具体要求，提供对应的可视化图形展示功能，包含饼状图、柱状图、线形分析图等。</w:t>
            </w:r>
            <w:bookmarkStart w:id="428" w:name="_Toc12254"/>
          </w:p>
          <w:p>
            <w:pPr>
              <w:pStyle w:val="51"/>
              <w:numPr>
                <w:ilvl w:val="0"/>
                <w:numId w:val="32"/>
              </w:numPr>
              <w:spacing w:line="480" w:lineRule="exact"/>
              <w:ind w:firstLineChars="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智慧大屏展示</w:t>
            </w:r>
            <w:bookmarkEnd w:id="428"/>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利用平台数据进行智能分析、算法集成、智能数据探查等。让分析和展示智能化，通过大屏展示，实现各类数据的可视化动态展示，确保人、系统、数据之间的实时呈现。</w:t>
            </w:r>
          </w:p>
        </w:tc>
      </w:tr>
    </w:tbl>
    <w:p>
      <w:pPr>
        <w:spacing w:before="240" w:after="60" w:line="480" w:lineRule="exact"/>
        <w:jc w:val="left"/>
        <w:outlineLvl w:val="2"/>
        <w:rPr>
          <w:rFonts w:ascii="微软雅黑" w:hAnsi="微软雅黑" w:eastAsia="微软雅黑" w:cs="微软雅黑"/>
          <w:b/>
          <w:bCs/>
          <w:color w:val="auto"/>
          <w:kern w:val="28"/>
          <w:szCs w:val="21"/>
          <w:highlight w:val="none"/>
        </w:rPr>
      </w:pPr>
      <w:r>
        <w:rPr>
          <w:rFonts w:hint="eastAsia" w:ascii="微软雅黑" w:hAnsi="微软雅黑" w:eastAsia="微软雅黑" w:cs="微软雅黑"/>
          <w:b/>
          <w:bCs/>
          <w:color w:val="auto"/>
          <w:kern w:val="28"/>
          <w:szCs w:val="21"/>
          <w:highlight w:val="none"/>
        </w:rPr>
        <w:t>3、智慧民生</w:t>
      </w:r>
    </w:p>
    <w:tbl>
      <w:tblPr>
        <w:tblStyle w:val="35"/>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7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指标项</w:t>
            </w:r>
          </w:p>
        </w:tc>
        <w:tc>
          <w:tcPr>
            <w:tcW w:w="78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Cs/>
                <w:color w:val="auto"/>
                <w:kern w:val="0"/>
                <w:szCs w:val="21"/>
                <w:highlight w:val="none"/>
              </w:rPr>
              <w:t>数量要求</w:t>
            </w:r>
          </w:p>
        </w:tc>
        <w:tc>
          <w:tcPr>
            <w:tcW w:w="7818" w:type="dxa"/>
            <w:tcBorders>
              <w:top w:val="single" w:color="auto" w:sz="4" w:space="0"/>
              <w:left w:val="single" w:color="auto" w:sz="4" w:space="0"/>
              <w:bottom w:val="single" w:color="auto" w:sz="4" w:space="0"/>
              <w:right w:val="single" w:color="auto" w:sz="4" w:space="0"/>
            </w:tcBorders>
            <w:vAlign w:val="bottom"/>
          </w:tcPr>
          <w:p>
            <w:pPr>
              <w:autoSpaceDN w:val="0"/>
              <w:spacing w:line="480" w:lineRule="exact"/>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Cs/>
                <w:color w:val="auto"/>
                <w:kern w:val="0"/>
                <w:szCs w:val="21"/>
                <w:highlight w:val="none"/>
              </w:rPr>
              <w:t>功能要求</w:t>
            </w:r>
          </w:p>
        </w:tc>
        <w:tc>
          <w:tcPr>
            <w:tcW w:w="7818" w:type="dxa"/>
            <w:tcBorders>
              <w:top w:val="single" w:color="auto" w:sz="4" w:space="0"/>
              <w:left w:val="single" w:color="auto" w:sz="4" w:space="0"/>
              <w:bottom w:val="single" w:color="auto" w:sz="4" w:space="0"/>
              <w:right w:val="single" w:color="auto" w:sz="4" w:space="0"/>
            </w:tcBorders>
            <w:vAlign w:val="center"/>
          </w:tcPr>
          <w:p>
            <w:pPr>
              <w:numPr>
                <w:ilvl w:val="0"/>
                <w:numId w:val="33"/>
              </w:numPr>
              <w:spacing w:line="480" w:lineRule="exact"/>
              <w:ind w:left="0" w:firstLine="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困难诉求</w:t>
            </w:r>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支持干部通过登录手机app端，进行困难诉求的填写与申报；支持文字、语音、视频、图片形式上传困难诉求申报记录；支持后台管理员对困难诉求事件进行在线管理与审核。</w:t>
            </w:r>
          </w:p>
          <w:p>
            <w:pPr>
              <w:numPr>
                <w:ilvl w:val="0"/>
                <w:numId w:val="33"/>
              </w:numPr>
              <w:spacing w:line="480" w:lineRule="exact"/>
              <w:ind w:left="0" w:firstLine="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安全隐患</w:t>
            </w:r>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支持群众实时反馈安全隐患，管理员后台审核、线上办理，群众可通过手机端查看事件进度，了解当前安全隐患处理进度状态。</w:t>
            </w:r>
          </w:p>
          <w:p>
            <w:pPr>
              <w:numPr>
                <w:ilvl w:val="0"/>
                <w:numId w:val="33"/>
              </w:numPr>
              <w:spacing w:line="480" w:lineRule="exact"/>
              <w:ind w:left="0" w:firstLine="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志愿服务</w:t>
            </w:r>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支持按照新时代实践文明中心建设要求，打造志愿服务版块，包含pc端志愿者管理、志愿组织管理、志愿活动管理、服务管理等，手机app端和小程序志愿申请、活动接单、服务下单等业务；基于全量数据及信息化手段，实现志愿服务时长、积分等统计、分析管理等。</w:t>
            </w:r>
          </w:p>
          <w:p>
            <w:pPr>
              <w:numPr>
                <w:ilvl w:val="0"/>
                <w:numId w:val="33"/>
              </w:numPr>
              <w:spacing w:line="480" w:lineRule="exact"/>
              <w:ind w:left="0" w:firstLine="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生活缴费</w:t>
            </w:r>
          </w:p>
          <w:p>
            <w:pPr>
              <w:spacing w:line="48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以链接嵌入方式，实现群众可以通过移动端自助缴纳物业相关费用（水费、电费、燃气费等）。</w:t>
            </w:r>
          </w:p>
        </w:tc>
      </w:tr>
    </w:tbl>
    <w:p>
      <w:pPr>
        <w:spacing w:line="480" w:lineRule="exact"/>
        <w:rPr>
          <w:rFonts w:ascii="微软雅黑" w:hAnsi="微软雅黑" w:eastAsia="微软雅黑" w:cs="微软雅黑"/>
          <w:color w:val="auto"/>
          <w:szCs w:val="21"/>
          <w:highlight w:val="none"/>
        </w:rPr>
      </w:pPr>
    </w:p>
    <w:p>
      <w:pPr>
        <w:pStyle w:val="4"/>
        <w:spacing w:beforeLines="100" w:line="480" w:lineRule="exact"/>
        <w:jc w:val="left"/>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br w:type="page"/>
      </w:r>
      <w:r>
        <w:rPr>
          <w:rFonts w:hint="eastAsia" w:ascii="微软雅黑" w:hAnsi="微软雅黑" w:eastAsia="微软雅黑" w:cs="微软雅黑"/>
          <w:b/>
          <w:bCs/>
          <w:color w:val="auto"/>
          <w:sz w:val="21"/>
          <w:szCs w:val="21"/>
          <w:highlight w:val="none"/>
        </w:rPr>
        <w:t>（八）、智慧停车</w:t>
      </w:r>
    </w:p>
    <w:p>
      <w:pPr>
        <w:pStyle w:val="23"/>
        <w:spacing w:line="480" w:lineRule="exact"/>
        <w:jc w:val="left"/>
        <w:outlineLvl w:val="2"/>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1、停车云管理平台</w:t>
      </w:r>
    </w:p>
    <w:tbl>
      <w:tblPr>
        <w:tblStyle w:val="35"/>
        <w:tblW w:w="9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8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指标项</w:t>
            </w:r>
          </w:p>
        </w:tc>
        <w:tc>
          <w:tcPr>
            <w:tcW w:w="80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Cs/>
                <w:color w:val="auto"/>
                <w:kern w:val="0"/>
                <w:szCs w:val="21"/>
                <w:highlight w:val="none"/>
              </w:rPr>
              <w:t>数量要求</w:t>
            </w:r>
          </w:p>
        </w:tc>
        <w:tc>
          <w:tcPr>
            <w:tcW w:w="8028" w:type="dxa"/>
            <w:tcBorders>
              <w:top w:val="single" w:color="auto" w:sz="4" w:space="0"/>
              <w:left w:val="single" w:color="auto" w:sz="4" w:space="0"/>
              <w:bottom w:val="single" w:color="auto" w:sz="4" w:space="0"/>
              <w:right w:val="single" w:color="auto" w:sz="4" w:space="0"/>
            </w:tcBorders>
            <w:vAlign w:val="bottom"/>
          </w:tcPr>
          <w:p>
            <w:pPr>
              <w:autoSpaceDN w:val="0"/>
              <w:spacing w:line="480" w:lineRule="exact"/>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元数据管理</w:t>
            </w:r>
          </w:p>
        </w:tc>
        <w:tc>
          <w:tcPr>
            <w:tcW w:w="8028" w:type="dxa"/>
            <w:tcBorders>
              <w:top w:val="single" w:color="auto" w:sz="4" w:space="0"/>
              <w:left w:val="single" w:color="auto" w:sz="4" w:space="0"/>
              <w:bottom w:val="single" w:color="auto" w:sz="4" w:space="0"/>
              <w:right w:val="single" w:color="auto" w:sz="4" w:space="0"/>
            </w:tcBorders>
            <w:vAlign w:val="bottom"/>
          </w:tcPr>
          <w:p>
            <w:pPr>
              <w:numPr>
                <w:ilvl w:val="0"/>
                <w:numId w:val="34"/>
              </w:numPr>
              <w:autoSpaceDN w:val="0"/>
              <w:spacing w:line="480" w:lineRule="exact"/>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具备完整的车辆信息结构，系统中所需要的统一、无歧义的基本数据单元（满足智慧城市数据元的名称、属性、标识、表示、值域等描述）；</w:t>
            </w:r>
          </w:p>
          <w:p>
            <w:pPr>
              <w:numPr>
                <w:ilvl w:val="0"/>
                <w:numId w:val="34"/>
              </w:numPr>
              <w:autoSpaceDN w:val="0"/>
              <w:spacing w:line="480" w:lineRule="exact"/>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依据停车场服务、停车场管理以及平台应用业务活动，对元数据进行组织，形成以活动为基础的数据集合；</w:t>
            </w:r>
          </w:p>
          <w:p>
            <w:pPr>
              <w:numPr>
                <w:ilvl w:val="0"/>
                <w:numId w:val="34"/>
              </w:numPr>
              <w:autoSpaceDN w:val="0"/>
              <w:spacing w:line="480" w:lineRule="exact"/>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具备完整停车场服务后台且可接入API，可接入CityCar相关App，实现数据交互；</w:t>
            </w:r>
          </w:p>
          <w:p>
            <w:pPr>
              <w:numPr>
                <w:ilvl w:val="0"/>
                <w:numId w:val="34"/>
              </w:numPr>
              <w:autoSpaceDN w:val="0"/>
              <w:spacing w:line="480" w:lineRule="exact"/>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具备标准数据字典的维护（包括数据元和术语库）的维护功能；</w:t>
            </w:r>
          </w:p>
          <w:p>
            <w:pPr>
              <w:numPr>
                <w:ilvl w:val="0"/>
                <w:numId w:val="34"/>
              </w:numPr>
              <w:autoSpaceDN w:val="0"/>
              <w:spacing w:line="480" w:lineRule="exact"/>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具备标准数据元、标准术语库以及代码映射表均可在应用过程中不断更新的功能；</w:t>
            </w:r>
          </w:p>
          <w:p>
            <w:pPr>
              <w:numPr>
                <w:ilvl w:val="0"/>
                <w:numId w:val="34"/>
              </w:numPr>
              <w:autoSpaceDN w:val="0"/>
              <w:spacing w:line="480" w:lineRule="exact"/>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具备标准数据与私有数据对照功能；</w:t>
            </w:r>
          </w:p>
          <w:p>
            <w:pPr>
              <w:numPr>
                <w:ilvl w:val="0"/>
                <w:numId w:val="34"/>
              </w:numPr>
              <w:autoSpaceDN w:val="0"/>
              <w:spacing w:line="480" w:lineRule="exact"/>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具备标准数据元格式转换功能；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主数据管理</w:t>
            </w:r>
          </w:p>
        </w:tc>
        <w:tc>
          <w:tcPr>
            <w:tcW w:w="8028" w:type="dxa"/>
            <w:tcBorders>
              <w:top w:val="single" w:color="auto" w:sz="4" w:space="0"/>
              <w:left w:val="single" w:color="auto" w:sz="4" w:space="0"/>
              <w:bottom w:val="single" w:color="auto" w:sz="4" w:space="0"/>
              <w:right w:val="single" w:color="auto" w:sz="4" w:space="0"/>
            </w:tcBorders>
            <w:vAlign w:val="bottom"/>
          </w:tcPr>
          <w:p>
            <w:pPr>
              <w:numPr>
                <w:ilvl w:val="0"/>
                <w:numId w:val="35"/>
              </w:numPr>
              <w:autoSpaceDN w:val="0"/>
              <w:spacing w:line="480" w:lineRule="exact"/>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在智慧停车云平台上构建停车主数据管理数据库，集中统一的管理全区域数据，通过对平台相关的各业务系统提供主数据服务，实现主数据的同步和匹配，包括车辆ID，In_time、Out_time、net_status、autopay、errmsg等；</w:t>
            </w:r>
          </w:p>
          <w:p>
            <w:pPr>
              <w:numPr>
                <w:ilvl w:val="0"/>
                <w:numId w:val="35"/>
              </w:numPr>
              <w:autoSpaceDN w:val="0"/>
              <w:spacing w:line="480" w:lineRule="exact"/>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遵循主数据的国际标准、国家标准、行业标准，主数据可由平台管理者进行注册、维护；</w:t>
            </w:r>
          </w:p>
          <w:p>
            <w:pPr>
              <w:numPr>
                <w:ilvl w:val="0"/>
                <w:numId w:val="35"/>
              </w:numPr>
              <w:autoSpaceDN w:val="0"/>
              <w:spacing w:line="480" w:lineRule="exact"/>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全体工作人员（包括集团管理方和车场管理方）和汇总数据管理，建立统一的管理权限等级等；</w:t>
            </w:r>
          </w:p>
          <w:p>
            <w:pPr>
              <w:numPr>
                <w:ilvl w:val="0"/>
                <w:numId w:val="35"/>
              </w:numPr>
              <w:autoSpaceDN w:val="0"/>
              <w:spacing w:line="480" w:lineRule="exact"/>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支持从停车场现有业务系统同步人员、车牌、电话、车位号、身份证号等相关信息，建立与主数据同步的对应管理；</w:t>
            </w:r>
          </w:p>
          <w:p>
            <w:pPr>
              <w:numPr>
                <w:ilvl w:val="0"/>
                <w:numId w:val="35"/>
              </w:numPr>
              <w:autoSpaceDN w:val="0"/>
              <w:spacing w:line="480" w:lineRule="exact"/>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预置停车场常用的统计指标字典（包括：车位、月卡、白名单、统计口径等）；</w:t>
            </w:r>
          </w:p>
          <w:p>
            <w:pPr>
              <w:numPr>
                <w:ilvl w:val="0"/>
                <w:numId w:val="35"/>
              </w:numPr>
              <w:autoSpaceDN w:val="0"/>
              <w:spacing w:line="480" w:lineRule="exact"/>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具备指标信息的新增、修改、维护功能；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rPr>
                <w:rFonts w:ascii="微软雅黑" w:hAnsi="微软雅黑" w:eastAsia="微软雅黑" w:cs="微软雅黑"/>
                <w:color w:val="auto"/>
                <w:szCs w:val="21"/>
                <w:highlight w:val="none"/>
              </w:rPr>
            </w:pPr>
            <w:r>
              <w:rPr>
                <w:rFonts w:hint="eastAsia" w:ascii="微软雅黑" w:hAnsi="微软雅黑" w:eastAsia="微软雅黑" w:cs="微软雅黑"/>
                <w:bCs/>
                <w:color w:val="auto"/>
                <w:kern w:val="0"/>
                <w:szCs w:val="21"/>
                <w:highlight w:val="none"/>
              </w:rPr>
              <w:t>应用架构</w:t>
            </w:r>
          </w:p>
        </w:tc>
        <w:tc>
          <w:tcPr>
            <w:tcW w:w="8028" w:type="dxa"/>
            <w:tcBorders>
              <w:top w:val="single" w:color="auto" w:sz="4" w:space="0"/>
              <w:left w:val="single" w:color="auto" w:sz="4" w:space="0"/>
              <w:bottom w:val="single" w:color="auto" w:sz="4" w:space="0"/>
              <w:right w:val="single" w:color="auto" w:sz="4" w:space="0"/>
            </w:tcBorders>
            <w:vAlign w:val="bottom"/>
          </w:tcPr>
          <w:p>
            <w:pPr>
              <w:pStyle w:val="51"/>
              <w:numPr>
                <w:ilvl w:val="0"/>
                <w:numId w:val="36"/>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系统对临时车、月租车、储值车进行分类管理、在线支付停车费、电子减免券功能；</w:t>
            </w:r>
          </w:p>
          <w:p>
            <w:pPr>
              <w:pStyle w:val="51"/>
              <w:numPr>
                <w:ilvl w:val="0"/>
                <w:numId w:val="36"/>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系统支持车位管理功能（如:车位满时可设置是否允许某些类型的车是否允许进场）并提供语音播报与显示，支持多种个性化管理；车辆进出管理提供各种数据查询、报表生成。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exac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技术架构</w:t>
            </w:r>
          </w:p>
        </w:tc>
        <w:tc>
          <w:tcPr>
            <w:tcW w:w="8028" w:type="dxa"/>
            <w:tcBorders>
              <w:top w:val="single" w:color="auto" w:sz="4" w:space="0"/>
              <w:left w:val="single" w:color="auto" w:sz="4" w:space="0"/>
              <w:bottom w:val="single" w:color="auto" w:sz="4" w:space="0"/>
              <w:right w:val="single" w:color="auto" w:sz="4" w:space="0"/>
            </w:tcBorders>
            <w:vAlign w:val="bottom"/>
          </w:tcPr>
          <w:p>
            <w:pPr>
              <w:pStyle w:val="51"/>
              <w:numPr>
                <w:ilvl w:val="0"/>
                <w:numId w:val="37"/>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系统采用B/S+C/S框架,云平台采用springcloud+zuul+redis+mysql+mybatis-plus框架；</w:t>
            </w:r>
          </w:p>
          <w:p>
            <w:pPr>
              <w:pStyle w:val="51"/>
              <w:numPr>
                <w:ilvl w:val="0"/>
                <w:numId w:val="37"/>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车场管理端采用net+sqlserver等框架。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统一身份认证</w:t>
            </w:r>
          </w:p>
        </w:tc>
        <w:tc>
          <w:tcPr>
            <w:tcW w:w="8028" w:type="dxa"/>
            <w:tcBorders>
              <w:top w:val="single" w:color="auto" w:sz="4" w:space="0"/>
              <w:left w:val="single" w:color="auto" w:sz="4" w:space="0"/>
              <w:bottom w:val="single" w:color="auto" w:sz="4" w:space="0"/>
              <w:right w:val="single" w:color="auto" w:sz="4" w:space="0"/>
            </w:tcBorders>
            <w:vAlign w:val="bottom"/>
          </w:tcPr>
          <w:p>
            <w:pPr>
              <w:pStyle w:val="51"/>
              <w:numPr>
                <w:ilvl w:val="0"/>
                <w:numId w:val="38"/>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统一身份认证管理将分散的用户和权限资源进行统一、集中的管理，改变原有各业务系统中的分散式身份认证及授权管理，实现对用户的集中认证和授权管理，进而简化用户访问内部各系统的过程；</w:t>
            </w:r>
          </w:p>
          <w:p>
            <w:pPr>
              <w:pStyle w:val="51"/>
              <w:numPr>
                <w:ilvl w:val="0"/>
                <w:numId w:val="38"/>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支持对用户权限的统一管理，建立不同管理者身份；</w:t>
            </w:r>
          </w:p>
          <w:p>
            <w:pPr>
              <w:pStyle w:val="51"/>
              <w:numPr>
                <w:ilvl w:val="0"/>
                <w:numId w:val="38"/>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支持对平台中角色，组织以及人员进行对应应用，功能授权，针对角色可进行权限设置和分派；</w:t>
            </w:r>
          </w:p>
          <w:p>
            <w:pPr>
              <w:pStyle w:val="51"/>
              <w:numPr>
                <w:ilvl w:val="0"/>
                <w:numId w:val="38"/>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支持用户在通过认证后，可直接访问已授权的各应用系统，实现不同应用系统的身份认证共享；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数据中心Data Center</w:t>
            </w:r>
          </w:p>
        </w:tc>
        <w:tc>
          <w:tcPr>
            <w:tcW w:w="8028" w:type="dxa"/>
            <w:tcBorders>
              <w:top w:val="single" w:color="auto" w:sz="4" w:space="0"/>
              <w:left w:val="single" w:color="auto" w:sz="4" w:space="0"/>
              <w:bottom w:val="single" w:color="auto" w:sz="4" w:space="0"/>
              <w:right w:val="single" w:color="auto" w:sz="4" w:space="0"/>
            </w:tcBorders>
            <w:vAlign w:val="bottom"/>
          </w:tcPr>
          <w:p>
            <w:pPr>
              <w:pStyle w:val="51"/>
              <w:numPr>
                <w:ilvl w:val="0"/>
                <w:numId w:val="39"/>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面向用户提供个性化的快速界面集成的功能组件，实现单点登录;</w:t>
            </w:r>
          </w:p>
          <w:p>
            <w:pPr>
              <w:pStyle w:val="51"/>
              <w:numPr>
                <w:ilvl w:val="0"/>
                <w:numId w:val="39"/>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支持灵活的框架结构。支持按部门/团队、管理者等层面进行组织，达到多应用系统的单点登录；</w:t>
            </w:r>
          </w:p>
          <w:p>
            <w:pPr>
              <w:pStyle w:val="51"/>
              <w:numPr>
                <w:ilvl w:val="0"/>
                <w:numId w:val="39"/>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提供图形化的监控和分析工具，能够对门户运行过程中各项指标进行定量监控和分析；</w:t>
            </w:r>
          </w:p>
          <w:p>
            <w:pPr>
              <w:pStyle w:val="51"/>
              <w:numPr>
                <w:ilvl w:val="0"/>
                <w:numId w:val="39"/>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总收入：停车费总收入金额；</w:t>
            </w:r>
          </w:p>
          <w:p>
            <w:pPr>
              <w:pStyle w:val="51"/>
              <w:numPr>
                <w:ilvl w:val="0"/>
                <w:numId w:val="39"/>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空车位：动态展示当前停车场空车位数量；</w:t>
            </w:r>
          </w:p>
          <w:p>
            <w:pPr>
              <w:pStyle w:val="51"/>
              <w:numPr>
                <w:ilvl w:val="0"/>
                <w:numId w:val="39"/>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月卡会员：统计当前停车场月卡会员的数量；</w:t>
            </w:r>
          </w:p>
          <w:p>
            <w:pPr>
              <w:pStyle w:val="51"/>
              <w:numPr>
                <w:ilvl w:val="0"/>
                <w:numId w:val="39"/>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优惠券发放：统计停车场今日优惠券发放的数量；</w:t>
            </w:r>
          </w:p>
          <w:p>
            <w:pPr>
              <w:pStyle w:val="51"/>
              <w:numPr>
                <w:ilvl w:val="0"/>
                <w:numId w:val="39"/>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访客未处理：统计停车场没有处理的访客预约次数；</w:t>
            </w:r>
          </w:p>
          <w:p>
            <w:pPr>
              <w:pStyle w:val="51"/>
              <w:numPr>
                <w:ilvl w:val="0"/>
                <w:numId w:val="39"/>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今日收费汇总：展示当天停车场电子支付收入，现金支付收入和减免金额；</w:t>
            </w:r>
          </w:p>
          <w:p>
            <w:pPr>
              <w:pStyle w:val="51"/>
              <w:numPr>
                <w:ilvl w:val="0"/>
                <w:numId w:val="39"/>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在线设备：展示停车场本地和云平台的连接状况；</w:t>
            </w:r>
          </w:p>
          <w:p>
            <w:pPr>
              <w:pStyle w:val="51"/>
              <w:numPr>
                <w:ilvl w:val="0"/>
                <w:numId w:val="39"/>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进出车辆统计：对当天停车场进出车辆和在场车辆的统计；</w:t>
            </w:r>
          </w:p>
          <w:p>
            <w:pPr>
              <w:pStyle w:val="51"/>
              <w:numPr>
                <w:ilvl w:val="0"/>
                <w:numId w:val="39"/>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入场车辆信息：实时展示进入停车场的车牌信息；</w:t>
            </w:r>
          </w:p>
          <w:p>
            <w:pPr>
              <w:pStyle w:val="51"/>
              <w:numPr>
                <w:ilvl w:val="0"/>
                <w:numId w:val="39"/>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出场车辆统计：实时展示离开停车场的车牌信息；</w:t>
            </w:r>
          </w:p>
          <w:p>
            <w:pPr>
              <w:pStyle w:val="51"/>
              <w:numPr>
                <w:ilvl w:val="0"/>
                <w:numId w:val="39"/>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泊位使用率：按时段统计停车位使用比例。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数据仓库</w:t>
            </w:r>
          </w:p>
        </w:tc>
        <w:tc>
          <w:tcPr>
            <w:tcW w:w="8028" w:type="dxa"/>
            <w:tcBorders>
              <w:top w:val="single" w:color="auto" w:sz="4" w:space="0"/>
              <w:left w:val="single" w:color="auto" w:sz="4" w:space="0"/>
              <w:bottom w:val="single" w:color="auto" w:sz="4" w:space="0"/>
              <w:right w:val="single" w:color="auto" w:sz="4" w:space="0"/>
            </w:tcBorders>
            <w:vAlign w:val="bottom"/>
          </w:tcPr>
          <w:p>
            <w:pPr>
              <w:pStyle w:val="51"/>
              <w:numPr>
                <w:ilvl w:val="0"/>
                <w:numId w:val="40"/>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实现将各业务系统中的生产数据自动抽取转换到数据中心，并经过数据清洗，保证数据的正确性和唯一性；</w:t>
            </w:r>
          </w:p>
          <w:p>
            <w:pPr>
              <w:pStyle w:val="51"/>
              <w:numPr>
                <w:ilvl w:val="0"/>
                <w:numId w:val="40"/>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具备数据转换功能：对抽取到的数据能进行灵活的计算、合并、拆分等，包括：字段映射，映射的自动匹配，字段的拆分，多字段的混合运算，跨异构数据库的关联，自定义函数，多数据类型支持，复杂条件过滤，支持脏读，数据的批量装载，时间类型的转换，对各种码表的支持，环境变量是否可以动态修改，去重复记录，抽取断点，记录间合并或计算，记录拆分、抽取的字段等；</w:t>
            </w:r>
          </w:p>
          <w:p>
            <w:pPr>
              <w:pStyle w:val="51"/>
              <w:numPr>
                <w:ilvl w:val="0"/>
                <w:numId w:val="40"/>
              </w:numPr>
              <w:autoSpaceDN w:val="0"/>
              <w:spacing w:line="480" w:lineRule="exact"/>
              <w:ind w:firstLineChars="0"/>
              <w:contextualSpacing/>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具备管理和调度功能：采用多线程、分布式、负载均衡、集中管理等高性能高可靠性与易管理和扩展的多层体系架构，包括：抽取过程的备份与恢复、升级，版本管理，开发和发布，支持统一以及自定义的管理平台，支持时间触发方式，支持事件触发方式，支持命令行执行方式，支持用户对计算机资源的管理和分配，负载均衡，文档的自动生成，调度过程中能否执行其他任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云停车车辆管理</w:t>
            </w:r>
          </w:p>
        </w:tc>
        <w:tc>
          <w:tcPr>
            <w:tcW w:w="8028" w:type="dxa"/>
            <w:tcBorders>
              <w:top w:val="single" w:color="auto" w:sz="4" w:space="0"/>
              <w:left w:val="single" w:color="auto" w:sz="4" w:space="0"/>
              <w:bottom w:val="single" w:color="auto" w:sz="4" w:space="0"/>
              <w:right w:val="single" w:color="auto" w:sz="4" w:space="0"/>
            </w:tcBorders>
            <w:vAlign w:val="bottom"/>
          </w:tcPr>
          <w:p>
            <w:pPr>
              <w:pStyle w:val="51"/>
              <w:numPr>
                <w:ilvl w:val="0"/>
                <w:numId w:val="41"/>
              </w:numPr>
              <w:autoSpaceDN w:val="0"/>
              <w:spacing w:line="480" w:lineRule="exact"/>
              <w:ind w:firstLineChars="0"/>
              <w:contextualSpacing/>
              <w:jc w:val="left"/>
              <w:textAlignment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提供丰富的、交互式个性化操作信息面板，可通过Web浏览器方式展现业务活动实时数据和个性化报表以监控业务流程和服务，以及从流程和服务中跟踪关键性能指标；</w:t>
            </w:r>
          </w:p>
          <w:p>
            <w:pPr>
              <w:pStyle w:val="51"/>
              <w:widowControl/>
              <w:numPr>
                <w:ilvl w:val="0"/>
                <w:numId w:val="41"/>
              </w:numPr>
              <w:spacing w:line="480" w:lineRule="exact"/>
              <w:ind w:firstLineChars="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车道监控：提供统一可视化工具进行管理，监控和分析；</w:t>
            </w:r>
          </w:p>
          <w:p>
            <w:pPr>
              <w:pStyle w:val="51"/>
              <w:widowControl/>
              <w:numPr>
                <w:ilvl w:val="0"/>
                <w:numId w:val="41"/>
              </w:numPr>
              <w:spacing w:line="480" w:lineRule="exact"/>
              <w:ind w:firstLineChars="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在场订单：车场上传进场订单至停车云，在停车云后台可查看车场在场订单；</w:t>
            </w:r>
          </w:p>
          <w:p>
            <w:pPr>
              <w:pStyle w:val="51"/>
              <w:numPr>
                <w:ilvl w:val="0"/>
                <w:numId w:val="41"/>
              </w:numPr>
              <w:autoSpaceDN w:val="0"/>
              <w:spacing w:line="480" w:lineRule="exact"/>
              <w:ind w:firstLineChars="0"/>
              <w:contextualSpacing/>
              <w:jc w:val="left"/>
              <w:textAlignment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异常订单：补传订单显示车场上传的出场时间为今天之前的订单；该部分订单不计入现金统计；</w:t>
            </w:r>
          </w:p>
          <w:p>
            <w:pPr>
              <w:pStyle w:val="51"/>
              <w:widowControl/>
              <w:numPr>
                <w:ilvl w:val="0"/>
                <w:numId w:val="41"/>
              </w:numPr>
              <w:spacing w:line="480" w:lineRule="exact"/>
              <w:ind w:firstLineChars="0"/>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szCs w:val="21"/>
                <w:highlight w:val="none"/>
              </w:rPr>
              <w:t>电子交易：可查看当前车场产生的所有交易记录，查看已结算出场的订单详情；</w:t>
            </w:r>
          </w:p>
          <w:p>
            <w:pPr>
              <w:pStyle w:val="51"/>
              <w:numPr>
                <w:ilvl w:val="0"/>
                <w:numId w:val="41"/>
              </w:numPr>
              <w:autoSpaceDN w:val="0"/>
              <w:spacing w:line="480" w:lineRule="exact"/>
              <w:ind w:firstLineChars="0"/>
              <w:contextualSpacing/>
              <w:jc w:val="left"/>
              <w:textAlignment w:val="center"/>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szCs w:val="21"/>
                <w:highlight w:val="none"/>
              </w:rPr>
              <w:t>月卡会员：在会员管理模块下可管理月卡会员信息，可注册、excel表格导入、在线编辑、续费、删除、导出等操作。</w:t>
            </w:r>
          </w:p>
        </w:tc>
      </w:tr>
    </w:tbl>
    <w:p>
      <w:pPr>
        <w:pStyle w:val="23"/>
        <w:spacing w:line="480" w:lineRule="exact"/>
        <w:jc w:val="left"/>
        <w:outlineLvl w:val="2"/>
        <w:rPr>
          <w:rFonts w:ascii="微软雅黑" w:hAnsi="微软雅黑" w:eastAsia="微软雅黑" w:cs="微软雅黑"/>
          <w:color w:val="auto"/>
          <w:sz w:val="21"/>
          <w:szCs w:val="21"/>
          <w:highlight w:val="none"/>
        </w:rPr>
      </w:pPr>
      <w:r>
        <w:rPr>
          <w:rFonts w:hint="eastAsia" w:ascii="微软雅黑" w:hAnsi="微软雅黑" w:eastAsia="微软雅黑" w:cs="微软雅黑"/>
          <w:b w:val="0"/>
          <w:bCs w:val="0"/>
          <w:color w:val="auto"/>
          <w:sz w:val="21"/>
          <w:szCs w:val="21"/>
          <w:highlight w:val="none"/>
        </w:rPr>
        <w:t>2</w:t>
      </w:r>
      <w:r>
        <w:rPr>
          <w:rFonts w:hint="eastAsia" w:ascii="微软雅黑" w:hAnsi="微软雅黑" w:eastAsia="微软雅黑" w:cs="微软雅黑"/>
          <w:color w:val="auto"/>
          <w:sz w:val="21"/>
          <w:szCs w:val="21"/>
          <w:highlight w:val="none"/>
        </w:rPr>
        <w:t>、智能车牌识别单元</w:t>
      </w:r>
    </w:p>
    <w:tbl>
      <w:tblPr>
        <w:tblStyle w:val="3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7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指标项</w:t>
            </w:r>
          </w:p>
        </w:tc>
        <w:tc>
          <w:tcPr>
            <w:tcW w:w="78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Cs/>
                <w:color w:val="auto"/>
                <w:kern w:val="0"/>
                <w:szCs w:val="21"/>
                <w:highlight w:val="none"/>
              </w:rPr>
              <w:t>数量要求</w:t>
            </w:r>
          </w:p>
        </w:tc>
        <w:tc>
          <w:tcPr>
            <w:tcW w:w="7818" w:type="dxa"/>
            <w:tcBorders>
              <w:top w:val="single" w:color="auto" w:sz="4" w:space="0"/>
              <w:left w:val="single" w:color="auto" w:sz="4" w:space="0"/>
              <w:bottom w:val="single" w:color="auto" w:sz="4" w:space="0"/>
              <w:right w:val="single" w:color="auto" w:sz="4" w:space="0"/>
            </w:tcBorders>
            <w:vAlign w:val="bottom"/>
          </w:tcPr>
          <w:p>
            <w:pPr>
              <w:autoSpaceDN w:val="0"/>
              <w:spacing w:line="480" w:lineRule="exact"/>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140台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Cs/>
                <w:color w:val="auto"/>
                <w:kern w:val="0"/>
                <w:szCs w:val="21"/>
                <w:highlight w:val="none"/>
              </w:rPr>
              <w:t>功能要求</w:t>
            </w:r>
          </w:p>
        </w:tc>
        <w:tc>
          <w:tcPr>
            <w:tcW w:w="7818" w:type="dxa"/>
            <w:tcBorders>
              <w:top w:val="single" w:color="auto" w:sz="4" w:space="0"/>
              <w:left w:val="single" w:color="auto" w:sz="4" w:space="0"/>
              <w:bottom w:val="single" w:color="auto" w:sz="4" w:space="0"/>
              <w:right w:val="single" w:color="auto" w:sz="4" w:space="0"/>
            </w:tcBorders>
            <w:vAlign w:val="center"/>
          </w:tcPr>
          <w:p>
            <w:pPr>
              <w:pStyle w:val="54"/>
              <w:numPr>
                <w:ilvl w:val="0"/>
                <w:numId w:val="42"/>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设备满足嵌入式车牌识别算法：综合识别率不低于99.9%；</w:t>
            </w:r>
          </w:p>
          <w:p>
            <w:pPr>
              <w:pStyle w:val="54"/>
              <w:numPr>
                <w:ilvl w:val="0"/>
                <w:numId w:val="42"/>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识别相机需搭载业界先进的300 万成像解决方案，提供最大2304*1296 分辨率的视频和图片输出；</w:t>
            </w:r>
          </w:p>
          <w:p>
            <w:pPr>
              <w:pStyle w:val="54"/>
              <w:numPr>
                <w:ilvl w:val="0"/>
                <w:numId w:val="42"/>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满足车牌识别的全天候识别需求，更可提供更加清晰的车头、车标细节；</w:t>
            </w:r>
          </w:p>
          <w:p>
            <w:pPr>
              <w:pStyle w:val="54"/>
              <w:numPr>
                <w:ilvl w:val="0"/>
                <w:numId w:val="42"/>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硬件需集成H265 视频压缩解码器；</w:t>
            </w:r>
          </w:p>
          <w:p>
            <w:pPr>
              <w:pStyle w:val="54"/>
              <w:numPr>
                <w:ilvl w:val="0"/>
                <w:numId w:val="42"/>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视频流识别优化处理：最大程度的保证识别准确率，标准H.264 high profile 5.0；</w:t>
            </w:r>
          </w:p>
          <w:p>
            <w:pPr>
              <w:pStyle w:val="54"/>
              <w:numPr>
                <w:ilvl w:val="0"/>
                <w:numId w:val="42"/>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优异的成像自动控制：自动跟踪光线变化、有效抑制顺光和逆光；夜间抑制汽车大灯；补光灯基于图像分析算法进行控制，避免了传统基于光敏电阻补光的不稳定性；</w:t>
            </w:r>
          </w:p>
          <w:p>
            <w:pPr>
              <w:pStyle w:val="54"/>
              <w:numPr>
                <w:ilvl w:val="0"/>
                <w:numId w:val="42"/>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存储功能支持网络存储;Micro SD卡存储,最大容量不低于32GB；</w:t>
            </w:r>
          </w:p>
          <w:p>
            <w:pPr>
              <w:pStyle w:val="54"/>
              <w:numPr>
                <w:ilvl w:val="0"/>
                <w:numId w:val="42"/>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无车牌车辆智能处理：多触发机制保证无车牌（或严重污损等）车辆的正常通行管理；</w:t>
            </w:r>
          </w:p>
          <w:p>
            <w:pPr>
              <w:pStyle w:val="54"/>
              <w:numPr>
                <w:ilvl w:val="0"/>
                <w:numId w:val="42"/>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识别特征：号码、颜色、类型、宽度；</w:t>
            </w:r>
          </w:p>
          <w:p>
            <w:pPr>
              <w:pStyle w:val="54"/>
              <w:numPr>
                <w:ilvl w:val="0"/>
                <w:numId w:val="42"/>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图像传感器不低于1/2.7" CMOS；</w:t>
            </w:r>
          </w:p>
          <w:p>
            <w:pPr>
              <w:pStyle w:val="54"/>
              <w:numPr>
                <w:ilvl w:val="0"/>
                <w:numId w:val="42"/>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识别区域设置：能设置识别区域，过滤无效区域，自动屏蔽无需识别的区域；</w:t>
            </w:r>
          </w:p>
          <w:p>
            <w:pPr>
              <w:pStyle w:val="54"/>
              <w:numPr>
                <w:ilvl w:val="0"/>
                <w:numId w:val="42"/>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支持视频触发和地感触发识别；</w:t>
            </w:r>
          </w:p>
          <w:p>
            <w:pPr>
              <w:pStyle w:val="54"/>
              <w:numPr>
                <w:ilvl w:val="0"/>
                <w:numId w:val="42"/>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支持增益控制手动/自动，支持白平衡手动/自动，支持背光补偿,可选择区域，支持强光抑制，支持信噪比；</w:t>
            </w:r>
          </w:p>
          <w:p>
            <w:pPr>
              <w:pStyle w:val="54"/>
              <w:numPr>
                <w:ilvl w:val="0"/>
                <w:numId w:val="42"/>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典型车牌识别率99.9%：支持识别普通蓝牌、新能源车牌、单双层黄牌（含泥头车）、单双层军/警牌、使领馆、港澳入出大陆车牌、应急车牌等多种车牌的牌号、颜色、类型等，典型场景中主流车牌识别率高达99.9%；</w:t>
            </w:r>
          </w:p>
          <w:p>
            <w:pPr>
              <w:pStyle w:val="54"/>
              <w:numPr>
                <w:ilvl w:val="0"/>
                <w:numId w:val="42"/>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无牌车\非机动车免地感触发：可识别车头、车标（品牌）信息，实现无牌车\非机动车辆通过视频触发的效果；</w:t>
            </w:r>
          </w:p>
          <w:p>
            <w:pPr>
              <w:pStyle w:val="54"/>
              <w:numPr>
                <w:ilvl w:val="0"/>
                <w:numId w:val="42"/>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防止误识别，过滤伪车牌，有效避免“误识别”非车牌上的数字、字符及图形内容信息的问题；并对不法分子通过手机拍照、打印车牌等方式，冒用他人车牌达到抬杆逃费的行为进行过滤和威慑；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0" w:type="dxa"/>
            <w:tcBorders>
              <w:top w:val="single" w:color="auto" w:sz="4" w:space="0"/>
              <w:left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识别机主控单元</w:t>
            </w:r>
          </w:p>
        </w:tc>
        <w:tc>
          <w:tcPr>
            <w:tcW w:w="7818" w:type="dxa"/>
            <w:tcBorders>
              <w:top w:val="single" w:color="auto" w:sz="4" w:space="0"/>
              <w:left w:val="single" w:color="auto" w:sz="4" w:space="0"/>
              <w:bottom w:val="single" w:color="auto" w:sz="4" w:space="0"/>
              <w:right w:val="single" w:color="auto" w:sz="4" w:space="0"/>
            </w:tcBorders>
            <w:vAlign w:val="center"/>
          </w:tcPr>
          <w:p>
            <w:pPr>
              <w:pStyle w:val="54"/>
              <w:numPr>
                <w:ilvl w:val="0"/>
                <w:numId w:val="43"/>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外观要求：金属钣金外壳，钢化玻璃面板；</w:t>
            </w:r>
          </w:p>
          <w:p>
            <w:pPr>
              <w:pStyle w:val="54"/>
              <w:numPr>
                <w:ilvl w:val="0"/>
                <w:numId w:val="43"/>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内嵌信息显示屏，语音播报控制板，电源，支持定制语音；</w:t>
            </w:r>
          </w:p>
          <w:p>
            <w:pPr>
              <w:pStyle w:val="54"/>
              <w:numPr>
                <w:ilvl w:val="0"/>
                <w:numId w:val="43"/>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通讯接口需支持RS485通讯功能，并支持与智能道闸通讯交互；</w:t>
            </w:r>
          </w:p>
          <w:p>
            <w:pPr>
              <w:pStyle w:val="54"/>
              <w:numPr>
                <w:ilvl w:val="0"/>
                <w:numId w:val="43"/>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可控显示参数设置，支持中文或英文数字滚动显示；</w:t>
            </w:r>
          </w:p>
          <w:p>
            <w:pPr>
              <w:pStyle w:val="54"/>
              <w:numPr>
                <w:ilvl w:val="0"/>
                <w:numId w:val="43"/>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工作环境温度满足新疆极端温差控制，保证在-20℃～ +70℃温控范围能正常工作；</w:t>
            </w:r>
          </w:p>
          <w:p>
            <w:pPr>
              <w:pStyle w:val="54"/>
              <w:numPr>
                <w:ilvl w:val="0"/>
                <w:numId w:val="43"/>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电源输入DC110V/220V，支持5V及12V直流输出电压。</w:t>
            </w:r>
          </w:p>
        </w:tc>
      </w:tr>
    </w:tbl>
    <w:p>
      <w:pPr>
        <w:pStyle w:val="23"/>
        <w:spacing w:line="480" w:lineRule="exact"/>
        <w:jc w:val="left"/>
        <w:outlineLvl w:val="2"/>
        <w:rPr>
          <w:rFonts w:ascii="微软雅黑" w:hAnsi="微软雅黑" w:eastAsia="微软雅黑" w:cs="微软雅黑"/>
          <w:color w:val="auto"/>
          <w:sz w:val="21"/>
          <w:szCs w:val="21"/>
          <w:highlight w:val="none"/>
        </w:rPr>
      </w:pPr>
      <w:r>
        <w:rPr>
          <w:rFonts w:hint="eastAsia" w:ascii="微软雅黑" w:hAnsi="微软雅黑" w:eastAsia="微软雅黑" w:cs="微软雅黑"/>
          <w:b w:val="0"/>
          <w:bCs w:val="0"/>
          <w:color w:val="auto"/>
          <w:sz w:val="21"/>
          <w:szCs w:val="21"/>
          <w:highlight w:val="none"/>
        </w:rPr>
        <w:t>3</w:t>
      </w:r>
      <w:r>
        <w:rPr>
          <w:rFonts w:hint="eastAsia" w:ascii="微软雅黑" w:hAnsi="微软雅黑" w:eastAsia="微软雅黑" w:cs="微软雅黑"/>
          <w:color w:val="auto"/>
          <w:sz w:val="21"/>
          <w:szCs w:val="21"/>
          <w:highlight w:val="none"/>
        </w:rPr>
        <w:t>、总控室信息集成</w:t>
      </w:r>
    </w:p>
    <w:tbl>
      <w:tblPr>
        <w:tblStyle w:val="3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7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指标项</w:t>
            </w:r>
          </w:p>
        </w:tc>
        <w:tc>
          <w:tcPr>
            <w:tcW w:w="78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Cs/>
                <w:color w:val="auto"/>
                <w:kern w:val="0"/>
                <w:szCs w:val="21"/>
                <w:highlight w:val="none"/>
              </w:rPr>
              <w:t>数量要求</w:t>
            </w:r>
          </w:p>
        </w:tc>
        <w:tc>
          <w:tcPr>
            <w:tcW w:w="7818" w:type="dxa"/>
            <w:tcBorders>
              <w:top w:val="single" w:color="auto" w:sz="4" w:space="0"/>
              <w:left w:val="single" w:color="auto" w:sz="4" w:space="0"/>
              <w:bottom w:val="single" w:color="auto" w:sz="4" w:space="0"/>
              <w:right w:val="single" w:color="auto" w:sz="4" w:space="0"/>
            </w:tcBorders>
            <w:vAlign w:val="bottom"/>
          </w:tcPr>
          <w:p>
            <w:pPr>
              <w:autoSpaceDN w:val="0"/>
              <w:spacing w:line="480" w:lineRule="exact"/>
              <w:jc w:val="left"/>
              <w:textAlignment w:val="center"/>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Cs/>
                <w:color w:val="auto"/>
                <w:kern w:val="0"/>
                <w:szCs w:val="21"/>
                <w:highlight w:val="none"/>
              </w:rPr>
              <w:t>功能要求</w:t>
            </w:r>
          </w:p>
        </w:tc>
        <w:tc>
          <w:tcPr>
            <w:tcW w:w="7818" w:type="dxa"/>
            <w:tcBorders>
              <w:top w:val="single" w:color="auto" w:sz="4" w:space="0"/>
              <w:left w:val="single" w:color="auto" w:sz="4" w:space="0"/>
              <w:bottom w:val="single" w:color="auto" w:sz="4" w:space="0"/>
              <w:right w:val="single" w:color="auto" w:sz="4" w:space="0"/>
            </w:tcBorders>
            <w:vAlign w:val="center"/>
          </w:tcPr>
          <w:p>
            <w:pPr>
              <w:pStyle w:val="54"/>
              <w:numPr>
                <w:ilvl w:val="0"/>
                <w:numId w:val="44"/>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统一规划数据资源，不只是要对各类信息资源进行物理集中存储管理，还要在对业务数据分析的基础上，一体化规划并设计系统数据模型，统一制定业务数据指标体系，以管理服务对象为核心，统一显示各个子车场进出车辆信息；</w:t>
            </w:r>
          </w:p>
          <w:p>
            <w:pPr>
              <w:pStyle w:val="54"/>
              <w:numPr>
                <w:ilvl w:val="0"/>
                <w:numId w:val="44"/>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组织相关联的业务数据，实现对内业务使用、对外服务应用的统一视图。设计集中、统一的数据中心服务系统；</w:t>
            </w:r>
          </w:p>
          <w:p>
            <w:pPr>
              <w:pStyle w:val="54"/>
              <w:numPr>
                <w:ilvl w:val="0"/>
                <w:numId w:val="44"/>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需实现信息资源的集中显示、集中管理、集中服务，并保障数据的一致性，降低数据交换、系统内共享使用复杂性；</w:t>
            </w:r>
          </w:p>
          <w:p>
            <w:pPr>
              <w:pStyle w:val="54"/>
              <w:numPr>
                <w:ilvl w:val="0"/>
                <w:numId w:val="44"/>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总控室可实时掌握各个停车场的收费运营状态，对线下各个停车场财务报表汇总分析，实时掌握财务数据；</w:t>
            </w:r>
          </w:p>
          <w:p>
            <w:pPr>
              <w:pStyle w:val="54"/>
              <w:numPr>
                <w:ilvl w:val="0"/>
                <w:numId w:val="44"/>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总控室配置需满足车场监控实时调取，数据审查及可视化信息大屏系统。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0" w:type="dxa"/>
            <w:tcBorders>
              <w:top w:val="single" w:color="auto" w:sz="4" w:space="0"/>
              <w:left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总控室主控单元要求</w:t>
            </w:r>
          </w:p>
        </w:tc>
        <w:tc>
          <w:tcPr>
            <w:tcW w:w="7818" w:type="dxa"/>
            <w:tcBorders>
              <w:top w:val="single" w:color="auto" w:sz="4" w:space="0"/>
              <w:left w:val="single" w:color="auto" w:sz="4" w:space="0"/>
              <w:bottom w:val="single" w:color="auto" w:sz="4" w:space="0"/>
              <w:right w:val="single" w:color="auto" w:sz="4" w:space="0"/>
            </w:tcBorders>
            <w:vAlign w:val="center"/>
          </w:tcPr>
          <w:p>
            <w:pPr>
              <w:pStyle w:val="54"/>
              <w:numPr>
                <w:ilvl w:val="0"/>
                <w:numId w:val="45"/>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实现视频、音频、报警、数据等信息在模拟或IP网络上的有效传递和交换。主要设备包括数据大屏、控制显示设备、传输设备、中心控制台、服务器主机、设备拼接器、音视频编/解码设备等；</w:t>
            </w:r>
          </w:p>
          <w:p>
            <w:pPr>
              <w:pStyle w:val="54"/>
              <w:numPr>
                <w:ilvl w:val="0"/>
                <w:numId w:val="45"/>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实现监控资源的控制、管理和监视等功能，主要在监控中心集中实现。通过授权也可在用户终端对监控资源进行访问和控制。</w:t>
            </w:r>
          </w:p>
          <w:p>
            <w:pPr>
              <w:pStyle w:val="54"/>
              <w:numPr>
                <w:ilvl w:val="0"/>
                <w:numId w:val="45"/>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实时处理/显示是各停车场监控系统对视频、音频、报警、数据等采集信息处理。具体方式可以是通过显示设备、用户终端将信息直接反馈到管理平台，也可以是将信息进行记录留待以便数据查阅，对信息进行智能化加工分析、触发其它相关系统联动等。主要设备包括音视频编/解码设备、存储设备、显示设备、车场终端等；</w:t>
            </w:r>
          </w:p>
          <w:p>
            <w:pPr>
              <w:pStyle w:val="54"/>
              <w:numPr>
                <w:ilvl w:val="0"/>
                <w:numId w:val="45"/>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提供统一可视化工具进行管理，监控和分析。</w:t>
            </w:r>
          </w:p>
        </w:tc>
      </w:tr>
    </w:tbl>
    <w:p>
      <w:pPr>
        <w:pStyle w:val="23"/>
        <w:spacing w:line="480" w:lineRule="exact"/>
        <w:jc w:val="left"/>
        <w:outlineLvl w:val="2"/>
        <w:rPr>
          <w:rFonts w:ascii="微软雅黑" w:hAnsi="微软雅黑" w:eastAsia="微软雅黑" w:cs="微软雅黑"/>
          <w:color w:val="auto"/>
          <w:sz w:val="21"/>
          <w:szCs w:val="21"/>
          <w:highlight w:val="none"/>
        </w:rPr>
      </w:pPr>
      <w:r>
        <w:rPr>
          <w:rFonts w:hint="eastAsia" w:ascii="微软雅黑" w:hAnsi="微软雅黑" w:eastAsia="微软雅黑" w:cs="微软雅黑"/>
          <w:b w:val="0"/>
          <w:bCs w:val="0"/>
          <w:color w:val="auto"/>
          <w:sz w:val="21"/>
          <w:szCs w:val="21"/>
          <w:highlight w:val="none"/>
        </w:rPr>
        <w:t>4</w:t>
      </w:r>
      <w:r>
        <w:rPr>
          <w:rFonts w:hint="eastAsia" w:ascii="微软雅黑" w:hAnsi="微软雅黑" w:eastAsia="微软雅黑" w:cs="微软雅黑"/>
          <w:color w:val="auto"/>
          <w:sz w:val="21"/>
          <w:szCs w:val="21"/>
          <w:highlight w:val="none"/>
        </w:rPr>
        <w:t>、停车场公共安防辅材集成</w:t>
      </w:r>
    </w:p>
    <w:tbl>
      <w:tblPr>
        <w:tblStyle w:val="35"/>
        <w:tblW w:w="9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4864"/>
        <w:gridCol w:w="1563"/>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0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需求项</w:t>
            </w:r>
          </w:p>
        </w:tc>
        <w:tc>
          <w:tcPr>
            <w:tcW w:w="486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指标要求</w:t>
            </w:r>
          </w:p>
        </w:tc>
        <w:tc>
          <w:tcPr>
            <w:tcW w:w="1563"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数量</w:t>
            </w:r>
          </w:p>
        </w:tc>
        <w:tc>
          <w:tcPr>
            <w:tcW w:w="147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车辆道闸</w:t>
            </w:r>
          </w:p>
        </w:tc>
        <w:tc>
          <w:tcPr>
            <w:tcW w:w="4864" w:type="dxa"/>
            <w:tcBorders>
              <w:top w:val="single" w:color="auto" w:sz="4" w:space="0"/>
              <w:left w:val="single" w:color="auto" w:sz="4" w:space="0"/>
              <w:bottom w:val="single" w:color="auto" w:sz="4" w:space="0"/>
              <w:right w:val="single" w:color="auto" w:sz="4" w:space="0"/>
            </w:tcBorders>
            <w:vAlign w:val="center"/>
          </w:tcPr>
          <w:p>
            <w:pPr>
              <w:pStyle w:val="54"/>
              <w:numPr>
                <w:ilvl w:val="0"/>
                <w:numId w:val="46"/>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摆杆轴上离合,停电手动高速起杆</w:t>
            </w:r>
          </w:p>
          <w:p>
            <w:pPr>
              <w:pStyle w:val="54"/>
              <w:numPr>
                <w:ilvl w:val="0"/>
                <w:numId w:val="46"/>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自带闸杆遇阻返回功能。</w:t>
            </w:r>
          </w:p>
          <w:p>
            <w:pPr>
              <w:pStyle w:val="54"/>
              <w:numPr>
                <w:ilvl w:val="0"/>
                <w:numId w:val="46"/>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红外对射防砸(需配对射装置)</w:t>
            </w:r>
          </w:p>
          <w:p>
            <w:pPr>
              <w:pStyle w:val="54"/>
              <w:numPr>
                <w:ilvl w:val="0"/>
                <w:numId w:val="46"/>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支持外置和内置地感。</w:t>
            </w:r>
          </w:p>
          <w:p>
            <w:pPr>
              <w:pStyle w:val="54"/>
              <w:numPr>
                <w:ilvl w:val="0"/>
                <w:numId w:val="46"/>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Rs485串口通讯</w:t>
            </w:r>
          </w:p>
          <w:p>
            <w:pPr>
              <w:pStyle w:val="54"/>
              <w:numPr>
                <w:ilvl w:val="0"/>
                <w:numId w:val="46"/>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机芯工作温度:-25℃~+85℃</w:t>
            </w:r>
          </w:p>
          <w:p>
            <w:pPr>
              <w:pStyle w:val="54"/>
              <w:numPr>
                <w:ilvl w:val="0"/>
                <w:numId w:val="46"/>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电控箱工作温度:-20℃~+75℃</w:t>
            </w:r>
          </w:p>
          <w:p>
            <w:pPr>
              <w:pStyle w:val="54"/>
              <w:numPr>
                <w:ilvl w:val="0"/>
                <w:numId w:val="46"/>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电源: 220V±910 50/60Hz</w:t>
            </w:r>
          </w:p>
          <w:p>
            <w:pPr>
              <w:pStyle w:val="54"/>
              <w:numPr>
                <w:ilvl w:val="0"/>
                <w:numId w:val="46"/>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额定功率: 120W</w:t>
            </w:r>
          </w:p>
          <w:p>
            <w:pPr>
              <w:pStyle w:val="54"/>
              <w:numPr>
                <w:ilvl w:val="0"/>
                <w:numId w:val="46"/>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相对湿度:不大于90%</w:t>
            </w:r>
          </w:p>
          <w:p>
            <w:pPr>
              <w:pStyle w:val="54"/>
              <w:numPr>
                <w:ilvl w:val="0"/>
                <w:numId w:val="46"/>
              </w:numPr>
              <w:autoSpaceDN w:val="0"/>
              <w:spacing w:line="480" w:lineRule="exact"/>
              <w:ind w:firstLineChars="0"/>
              <w:jc w:val="left"/>
              <w:textAlignment w:val="center"/>
              <w:rPr>
                <w:rFonts w:ascii="微软雅黑" w:hAnsi="微软雅黑" w:eastAsia="微软雅黑" w:cs="微软雅黑"/>
                <w:bCs/>
                <w:color w:val="auto"/>
                <w:kern w:val="0"/>
                <w:highlight w:val="none"/>
              </w:rPr>
            </w:pPr>
            <w:r>
              <w:rPr>
                <w:rFonts w:hint="eastAsia" w:ascii="微软雅黑" w:hAnsi="微软雅黑" w:eastAsia="微软雅黑" w:cs="微软雅黑"/>
                <w:bCs/>
                <w:color w:val="auto"/>
                <w:kern w:val="0"/>
                <w:highlight w:val="none"/>
              </w:rPr>
              <w:t>开闸速度0.9-6s可调</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98</w:t>
            </w:r>
          </w:p>
        </w:tc>
        <w:tc>
          <w:tcPr>
            <w:tcW w:w="147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hint="eastAsia"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收费岗亭</w:t>
            </w:r>
          </w:p>
        </w:tc>
        <w:tc>
          <w:tcPr>
            <w:tcW w:w="486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hint="eastAsia"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尺寸要求不小于1.5M*2.2M*2M</w:t>
            </w:r>
          </w:p>
          <w:p>
            <w:pPr>
              <w:widowControl/>
              <w:spacing w:line="480" w:lineRule="exact"/>
              <w:jc w:val="left"/>
              <w:rPr>
                <w:rFonts w:hint="eastAsia"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主要材质为不锈钢</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69</w:t>
            </w:r>
          </w:p>
        </w:tc>
        <w:tc>
          <w:tcPr>
            <w:tcW w:w="147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工控主机</w:t>
            </w:r>
          </w:p>
        </w:tc>
        <w:tc>
          <w:tcPr>
            <w:tcW w:w="486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Inter I5四核/8G/256G全固态存储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69</w:t>
            </w:r>
          </w:p>
        </w:tc>
        <w:tc>
          <w:tcPr>
            <w:tcW w:w="147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609" w:type="dxa"/>
            <w:tcBorders>
              <w:top w:val="single" w:color="auto" w:sz="4" w:space="0"/>
              <w:left w:val="single" w:color="auto" w:sz="4" w:space="0"/>
              <w:right w:val="single" w:color="auto" w:sz="4" w:space="0"/>
            </w:tcBorders>
            <w:vAlign w:val="center"/>
          </w:tcPr>
          <w:p>
            <w:pPr>
              <w:widowControl/>
              <w:spacing w:line="48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Cs/>
                <w:color w:val="auto"/>
                <w:kern w:val="0"/>
                <w:szCs w:val="21"/>
                <w:highlight w:val="none"/>
              </w:rPr>
              <w:t>护栏</w:t>
            </w:r>
          </w:p>
        </w:tc>
        <w:tc>
          <w:tcPr>
            <w:tcW w:w="486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护栏含固定脚架高度不小于1M</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4010</w:t>
            </w:r>
          </w:p>
        </w:tc>
        <w:tc>
          <w:tcPr>
            <w:tcW w:w="147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停车位标线</w:t>
            </w:r>
          </w:p>
        </w:tc>
        <w:tc>
          <w:tcPr>
            <w:tcW w:w="486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可附着水泥或沥青路面，不易脱色</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24160</w:t>
            </w:r>
          </w:p>
        </w:tc>
        <w:tc>
          <w:tcPr>
            <w:tcW w:w="147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停车进出标识牌</w:t>
            </w:r>
          </w:p>
        </w:tc>
        <w:tc>
          <w:tcPr>
            <w:tcW w:w="486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含固定膨胀丝，标识牌醒目</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94</w:t>
            </w:r>
          </w:p>
        </w:tc>
        <w:tc>
          <w:tcPr>
            <w:tcW w:w="147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09" w:type="dxa"/>
            <w:tcBorders>
              <w:top w:val="single" w:color="auto" w:sz="4" w:space="0"/>
              <w:left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公示栏</w:t>
            </w:r>
          </w:p>
        </w:tc>
        <w:tc>
          <w:tcPr>
            <w:tcW w:w="486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前面板尺寸不小于0.5M*1M，含固定栓</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69</w:t>
            </w:r>
          </w:p>
        </w:tc>
        <w:tc>
          <w:tcPr>
            <w:tcW w:w="147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微软雅黑" w:hAnsi="微软雅黑" w:eastAsia="微软雅黑" w:cs="微软雅黑"/>
                <w:bCs/>
                <w:color w:val="auto"/>
                <w:kern w:val="0"/>
                <w:szCs w:val="21"/>
                <w:highlight w:val="none"/>
              </w:rPr>
            </w:pPr>
            <w:r>
              <w:rPr>
                <w:rFonts w:hint="eastAsia" w:ascii="微软雅黑" w:hAnsi="微软雅黑" w:eastAsia="微软雅黑" w:cs="微软雅黑"/>
                <w:bCs/>
                <w:color w:val="auto"/>
                <w:kern w:val="0"/>
                <w:szCs w:val="21"/>
                <w:highlight w:val="none"/>
              </w:rPr>
              <w:t>个</w:t>
            </w:r>
          </w:p>
        </w:tc>
      </w:tr>
    </w:tbl>
    <w:p>
      <w:pPr>
        <w:rPr>
          <w:rStyle w:val="76"/>
          <w:color w:val="auto"/>
          <w:highlight w:val="none"/>
        </w:rPr>
      </w:pPr>
    </w:p>
    <w:p>
      <w:pPr>
        <w:rPr>
          <w:rStyle w:val="76"/>
          <w:color w:val="auto"/>
          <w:highlight w:val="none"/>
        </w:rPr>
      </w:pPr>
      <w:r>
        <w:rPr>
          <w:rStyle w:val="76"/>
          <w:rFonts w:hint="eastAsia"/>
          <w:color w:val="auto"/>
          <w:highlight w:val="none"/>
        </w:rPr>
        <w:br w:type="page"/>
      </w:r>
    </w:p>
    <w:p>
      <w:pPr>
        <w:spacing w:line="480" w:lineRule="exact"/>
        <w:jc w:val="center"/>
        <w:outlineLvl w:val="0"/>
        <w:rPr>
          <w:rFonts w:cs="宋体"/>
          <w:color w:val="auto"/>
          <w:highlight w:val="none"/>
        </w:rPr>
      </w:pPr>
      <w:r>
        <w:rPr>
          <w:rStyle w:val="76"/>
          <w:rFonts w:hint="eastAsia"/>
          <w:color w:val="auto"/>
          <w:highlight w:val="none"/>
        </w:rPr>
        <w:t>第6章  评标方法和标准</w:t>
      </w:r>
      <w:bookmarkEnd w:id="395"/>
      <w:bookmarkEnd w:id="396"/>
      <w:bookmarkEnd w:id="397"/>
      <w:bookmarkEnd w:id="398"/>
      <w:bookmarkEnd w:id="399"/>
      <w:bookmarkEnd w:id="400"/>
      <w:bookmarkEnd w:id="401"/>
      <w:bookmarkEnd w:id="402"/>
      <w:bookmarkEnd w:id="403"/>
    </w:p>
    <w:p>
      <w:pPr>
        <w:pStyle w:val="9"/>
        <w:tabs>
          <w:tab w:val="clear" w:pos="567"/>
        </w:tabs>
        <w:spacing w:before="0" w:line="480" w:lineRule="exact"/>
        <w:ind w:firstLine="540" w:firstLineChars="225"/>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本项目将按照招标文件第一章供应商须知中“五 开标及评标”、“六 确定中标”及本章的规定评标。</w:t>
      </w:r>
    </w:p>
    <w:p>
      <w:pPr>
        <w:widowControl/>
        <w:spacing w:line="48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注：1.投标无效的情形：</w:t>
      </w:r>
    </w:p>
    <w:p>
      <w:pPr>
        <w:widowControl/>
        <w:spacing w:line="48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（1）单位负责人为同一人或者存在直接控股、管理关系的不同供应商，其相关投标将被认定为投标无效。</w:t>
      </w:r>
    </w:p>
    <w:p>
      <w:pPr>
        <w:widowControl/>
        <w:spacing w:line="48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（2）若供应商须知资料表中未写明允许采购进口产品，如供应商所投产品为进口产品，其投标将被认定为投标无效。</w:t>
      </w:r>
    </w:p>
    <w:p>
      <w:pPr>
        <w:widowControl/>
        <w:spacing w:line="48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（3）为本项目提供过整体设计、规范编制或者项目管理、监理、检测等服务的供应商，不得再参加本项目上述服务以外的其他采购活动。否则其投标将被认定为投标无效。</w:t>
      </w:r>
    </w:p>
    <w:p>
      <w:pPr>
        <w:widowControl/>
        <w:spacing w:line="48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投标人在投标过程中不得向采购人提供、给予任何有价值的物品，影响其正常决策行为。一经发现，其将被认定为投标无效。</w:t>
      </w:r>
    </w:p>
    <w:p>
      <w:pPr>
        <w:widowControl/>
        <w:spacing w:line="48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（4）投标人报价超过招标文件规定的预算金额或者分项、分包最高限价的，其投标将被认定为投标无效。</w:t>
      </w:r>
    </w:p>
    <w:p>
      <w:pPr>
        <w:widowControl/>
        <w:spacing w:line="48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5）投标人应认真阅读招标文件所有的事项、格式、条款和技术规范等。如投标人没有按照招标文件要求提交全部资料，或者投标文件没有对招标文件在各方面都做出实质性响应，可能导致其投标将被认定为投标无效。</w:t>
      </w:r>
    </w:p>
    <w:p>
      <w:pPr>
        <w:widowControl/>
        <w:spacing w:line="48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 （6）投标人应当对所投分包招标文件中“采购需求”所列的所有内容进行投标，如仅响应某一包中的部分内容，其该包投标将被认定为投标无效。</w:t>
      </w:r>
    </w:p>
    <w:p>
      <w:pPr>
        <w:widowControl/>
        <w:spacing w:line="48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（7）供应商未按本须知第12.1和12.3条规定提交投标保证金的，其投标资格将被认定为无效。</w:t>
      </w:r>
    </w:p>
    <w:p>
      <w:pPr>
        <w:widowControl/>
        <w:spacing w:line="48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8）所有投标均以人民币报价。投标人的投标报价应遵守《中华人民共和国价格法》。同时，根据《中华人民共和国政府采购法》第二条的规定，为保证公平竞争，如有服务主体部分的赠与行为，其投标将被认定为投标无效。</w:t>
      </w:r>
    </w:p>
    <w:p>
      <w:pPr>
        <w:widowControl/>
        <w:spacing w:line="48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（9）投标人所报的各分项投标单价在合同履行过程中是固定不变的，不得以任何理由予以变更。任何包含价格调整要求的投标，其投标将被认定为投标无效。</w:t>
      </w:r>
    </w:p>
    <w:p>
      <w:pPr>
        <w:widowControl/>
        <w:spacing w:line="48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（10）投标应在投标人须知资料表中规定时间内保持有效。投标有效期不满足要求的投标，其投标将被认定为投标无效。</w:t>
      </w:r>
    </w:p>
    <w:p>
      <w:pPr>
        <w:widowControl/>
        <w:spacing w:line="48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（11）所有投标文件采用不可拆装的胶订方式装订，否则其投标将被认定为投标无效。</w:t>
      </w:r>
    </w:p>
    <w:p>
      <w:pPr>
        <w:widowControl/>
        <w:spacing w:line="48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（12）采购人或采购代理机构将在开标前1个工作日至投标截止后1小时的期间内查询投标人的信用记录。投标人存在不良信用记录的，其投标将被认定为投标无效。</w:t>
      </w:r>
    </w:p>
    <w:p>
      <w:pPr>
        <w:widowControl/>
        <w:spacing w:line="48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13）总价金额与按单价汇总金额不一致的，以单价金额计算结果为准。同时出现两种以上不一致的，按照前款规定的顺序修正。修正后的报价按照第20.2条的规定经投标人确认后产生约束力，投标人不确认的，其投标将被认定为投标无效。</w:t>
      </w:r>
    </w:p>
    <w:p>
      <w:pPr>
        <w:widowControl/>
        <w:spacing w:line="48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在比较与评价之前，根据本须知的规定，评标委员会要审查每份响应文件是否实质上响应了磋商文件的要求。实质上响应的投标应该是与磋商文件要求的全部条款、条件和规格相符，没有重大偏离的投标。对关键条款的偏离，将被认定为投标无效。</w:t>
      </w:r>
    </w:p>
    <w:p>
      <w:pPr>
        <w:widowControl/>
        <w:spacing w:line="48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（15）如发现下列情况之一的，其投标将被认定为投标无效：</w:t>
      </w:r>
    </w:p>
    <w:p>
      <w:pPr>
        <w:widowControl/>
        <w:spacing w:line="48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未按投标文件规定的形式和金额提交投标保证金的；未按照投标文件规定要求签署、盖章的；未满足投标文件中技术条款的实质性要求；与其他投标人串通投标，或者与招标人串通投标；属于投标文件规定的其他投标无效情形；评标委员会认为投标人的报价明显低于其他通过符合性检查投标人的报价，有可能影响履约的，且投标人未按照规定证明其报价合理性的；投标文件含有采购人不能接受的附加条件的；不符合法规和招标文件中规定的其他实质性要求的。</w:t>
      </w:r>
    </w:p>
    <w:p>
      <w:pPr>
        <w:widowControl/>
        <w:spacing w:line="480" w:lineRule="exact"/>
        <w:ind w:firstLine="240" w:firstLineChars="100"/>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根据《政府采购促进中小企业发展暂行办法》（财库【2020】46号）、《财政部司法部关于政府采购支持监狱企业发展有关问题的通知》（财库〔2014〕68号）和《三部门联合发布关于促进残疾人就业政府采购政策的通知》（财库〔2017〕141号）的规定，对满足价格扣除条件且在响应文件中提交了《供应商企业类型声明函》、《残疾人福利性单位声明函》或省级以上监狱管理局、戒毒管理局（含新疆生产建设兵团）出具的属于监狱企业的证明文件的供应商，其报价扣除</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b/>
          <w:bCs/>
          <w:color w:val="auto"/>
          <w:sz w:val="24"/>
          <w:highlight w:val="none"/>
          <w:u w:val="single"/>
        </w:rPr>
        <w:t>6</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%后参与评审。对于同时属于小微企业、监狱企业或残疾人福利性单位的，不重复进行报价扣除。</w:t>
      </w:r>
    </w:p>
    <w:p>
      <w:pPr>
        <w:widowControl/>
        <w:spacing w:line="480" w:lineRule="exact"/>
        <w:ind w:firstLine="240" w:firstLineChars="100"/>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3.联合协议中约定，小型、微型企业和监狱企业的协议合同金额占到联合体协议合同总金额30%以上的，可给予联合体</w:t>
      </w:r>
      <w:r>
        <w:rPr>
          <w:rFonts w:hint="eastAsia" w:ascii="微软雅黑" w:hAnsi="微软雅黑" w:eastAsia="微软雅黑" w:cs="微软雅黑"/>
          <w:color w:val="auto"/>
          <w:sz w:val="24"/>
          <w:highlight w:val="none"/>
          <w:u w:val="single"/>
        </w:rPr>
        <w:t xml:space="preserve"> 2%-3</w:t>
      </w:r>
      <w:r>
        <w:rPr>
          <w:rFonts w:hint="eastAsia" w:ascii="微软雅黑" w:hAnsi="微软雅黑" w:eastAsia="微软雅黑" w:cs="微软雅黑"/>
          <w:color w:val="auto"/>
          <w:sz w:val="24"/>
          <w:highlight w:val="none"/>
        </w:rPr>
        <w:t>%的价格扣除。</w:t>
      </w:r>
      <w:r>
        <w:rPr>
          <w:rFonts w:hint="eastAsia" w:ascii="微软雅黑" w:hAnsi="微软雅黑" w:eastAsia="微软雅黑" w:cs="微软雅黑"/>
          <w:b/>
          <w:bCs/>
          <w:color w:val="auto"/>
          <w:sz w:val="24"/>
          <w:highlight w:val="none"/>
        </w:rPr>
        <w:t>（本项目不适用）</w:t>
      </w:r>
    </w:p>
    <w:p>
      <w:pPr>
        <w:widowControl/>
        <w:spacing w:line="480" w:lineRule="exact"/>
        <w:ind w:firstLine="480" w:firstLineChars="200"/>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联合体各方均为小型、微型企业和监狱企业的，联合体视同为小型、微型企业和监狱企业。</w:t>
      </w:r>
    </w:p>
    <w:p>
      <w:pPr>
        <w:pStyle w:val="9"/>
        <w:tabs>
          <w:tab w:val="clear" w:pos="567"/>
        </w:tabs>
        <w:spacing w:before="0" w:line="480" w:lineRule="exact"/>
        <w:ind w:left="-61" w:leftChars="-29" w:firstLine="540" w:firstLineChars="225"/>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4.投标人为提供服务在投标中伴随投标的产品如被列入财政部与国家主管部门颁发的节能产品目录或环境标志产品目录或无线局域网产品目录，应提供相关证明，在评标时予以优先采购，具体优惠措施为：</w:t>
      </w:r>
      <w:r>
        <w:rPr>
          <w:rFonts w:hint="eastAsia" w:ascii="微软雅黑" w:hAnsi="微软雅黑" w:eastAsia="微软雅黑" w:cs="微软雅黑"/>
          <w:color w:val="auto"/>
          <w:highlight w:val="none"/>
          <w:u w:val="single"/>
        </w:rPr>
        <w:t xml:space="preserve">     /  </w:t>
      </w:r>
      <w:r>
        <w:rPr>
          <w:rFonts w:hint="eastAsia" w:ascii="微软雅黑" w:hAnsi="微软雅黑" w:eastAsia="微软雅黑" w:cs="微软雅黑"/>
          <w:color w:val="auto"/>
          <w:highlight w:val="none"/>
        </w:rPr>
        <w:t xml:space="preserve"> </w:t>
      </w:r>
    </w:p>
    <w:p>
      <w:pPr>
        <w:pStyle w:val="9"/>
        <w:tabs>
          <w:tab w:val="clear" w:pos="567"/>
        </w:tabs>
        <w:spacing w:before="0" w:line="480" w:lineRule="exact"/>
        <w:ind w:left="-181" w:leftChars="-86" w:firstLine="660" w:firstLineChars="275"/>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5.对创新产品或创新性企业的优惠措施为：</w:t>
      </w:r>
      <w:r>
        <w:rPr>
          <w:rFonts w:hint="eastAsia" w:ascii="微软雅黑" w:hAnsi="微软雅黑" w:eastAsia="微软雅黑" w:cs="微软雅黑"/>
          <w:color w:val="auto"/>
          <w:highlight w:val="none"/>
          <w:u w:val="single"/>
        </w:rPr>
        <w:t xml:space="preserve">     /      </w:t>
      </w:r>
    </w:p>
    <w:p>
      <w:pPr>
        <w:pStyle w:val="9"/>
        <w:tabs>
          <w:tab w:val="clear" w:pos="567"/>
        </w:tabs>
        <w:spacing w:before="0" w:line="480" w:lineRule="exact"/>
        <w:ind w:left="-181" w:leftChars="-86" w:firstLine="660" w:firstLineChars="275"/>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 xml:space="preserve">6.中标候选人并列式时的处理方式：   </w:t>
      </w:r>
    </w:p>
    <w:p>
      <w:pPr>
        <w:pStyle w:val="2"/>
        <w:spacing w:line="480" w:lineRule="exact"/>
        <w:ind w:firstLine="480" w:firstLineChars="200"/>
        <w:rPr>
          <w:rFonts w:ascii="微软雅黑" w:hAnsi="微软雅黑" w:eastAsia="微软雅黑" w:cs="微软雅黑"/>
          <w:color w:val="auto"/>
          <w:kern w:val="2"/>
          <w:szCs w:val="24"/>
          <w:highlight w:val="none"/>
          <w:u w:val="single"/>
        </w:rPr>
      </w:pPr>
      <w:r>
        <w:rPr>
          <w:rFonts w:hint="eastAsia" w:ascii="微软雅黑" w:hAnsi="微软雅黑" w:eastAsia="微软雅黑" w:cs="微软雅黑"/>
          <w:color w:val="auto"/>
          <w:kern w:val="2"/>
          <w:szCs w:val="24"/>
          <w:highlight w:val="none"/>
        </w:rPr>
        <w:t>如采用最低评标办法，则：</w:t>
      </w:r>
      <w:r>
        <w:rPr>
          <w:rFonts w:hint="eastAsia" w:ascii="微软雅黑" w:hAnsi="微软雅黑" w:eastAsia="微软雅黑" w:cs="微软雅黑"/>
          <w:color w:val="auto"/>
          <w:kern w:val="2"/>
          <w:szCs w:val="24"/>
          <w:highlight w:val="none"/>
          <w:u w:val="single"/>
        </w:rPr>
        <w:t xml:space="preserve"> 评标结果按投标报价由低到高顺序排列。投标报价相同的并列。投标文件满足招标文件全部实质性要求且投标报价最低的投标人为排名第一的中标候选人。 </w:t>
      </w:r>
    </w:p>
    <w:p>
      <w:pPr>
        <w:pStyle w:val="9"/>
        <w:tabs>
          <w:tab w:val="clear" w:pos="567"/>
        </w:tabs>
        <w:spacing w:before="0" w:line="480" w:lineRule="exact"/>
        <w:ind w:firstLine="180" w:firstLineChars="75"/>
        <w:rPr>
          <w:rFonts w:cs="宋体"/>
          <w:color w:val="auto"/>
          <w:highlight w:val="none"/>
        </w:rPr>
      </w:pPr>
      <w:r>
        <w:rPr>
          <w:rFonts w:hint="eastAsia" w:ascii="微软雅黑" w:hAnsi="微软雅黑" w:eastAsia="微软雅黑" w:cs="微软雅黑"/>
          <w:color w:val="auto"/>
          <w:highlight w:val="none"/>
        </w:rPr>
        <w:t xml:space="preserve">如采用综合评标法，则： </w:t>
      </w:r>
      <w:r>
        <w:rPr>
          <w:rFonts w:hint="eastAsia" w:ascii="微软雅黑" w:hAnsi="微软雅黑" w:eastAsia="微软雅黑" w:cs="微软雅黑"/>
          <w:color w:val="auto"/>
          <w:highlight w:val="none"/>
          <w:u w:val="single"/>
        </w:rPr>
        <w:t xml:space="preserve">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  </w:t>
      </w:r>
    </w:p>
    <w:p>
      <w:pPr>
        <w:pStyle w:val="9"/>
        <w:tabs>
          <w:tab w:val="clear" w:pos="567"/>
        </w:tabs>
        <w:spacing w:before="0" w:line="400" w:lineRule="exact"/>
        <w:ind w:firstLine="180" w:firstLineChars="75"/>
        <w:rPr>
          <w:rFonts w:cs="宋体"/>
          <w:color w:val="auto"/>
          <w:highlight w:val="none"/>
        </w:rPr>
      </w:pPr>
    </w:p>
    <w:p>
      <w:pPr>
        <w:spacing w:line="360" w:lineRule="exact"/>
        <w:jc w:val="center"/>
        <w:outlineLvl w:val="0"/>
        <w:rPr>
          <w:rFonts w:ascii="微软雅黑" w:hAnsi="微软雅黑" w:eastAsia="微软雅黑" w:cs="微软雅黑"/>
          <w:b/>
          <w:bCs/>
          <w:color w:val="auto"/>
          <w:sz w:val="24"/>
          <w:highlight w:val="none"/>
        </w:rPr>
      </w:pPr>
      <w:r>
        <w:rPr>
          <w:rFonts w:hint="eastAsia" w:ascii="宋体" w:hAnsi="宋体" w:cs="宋体"/>
          <w:i/>
          <w:color w:val="auto"/>
          <w:highlight w:val="none"/>
        </w:rPr>
        <w:br w:type="page"/>
      </w:r>
      <w:bookmarkStart w:id="429" w:name="_Toc13647"/>
      <w:bookmarkStart w:id="430" w:name="_Toc18687"/>
      <w:bookmarkStart w:id="431" w:name="_Toc1126"/>
      <w:bookmarkStart w:id="432" w:name="_Toc3470"/>
      <w:r>
        <w:rPr>
          <w:rFonts w:hint="eastAsia" w:ascii="微软雅黑" w:hAnsi="微软雅黑" w:eastAsia="微软雅黑" w:cs="微软雅黑"/>
          <w:b/>
          <w:bCs/>
          <w:color w:val="auto"/>
          <w:sz w:val="24"/>
          <w:highlight w:val="none"/>
        </w:rPr>
        <w:t>初步评审—资格性审查表</w:t>
      </w:r>
      <w:bookmarkEnd w:id="429"/>
      <w:bookmarkEnd w:id="430"/>
      <w:bookmarkEnd w:id="431"/>
      <w:bookmarkEnd w:id="432"/>
    </w:p>
    <w:tbl>
      <w:tblPr>
        <w:tblStyle w:val="35"/>
        <w:tblpPr w:leftFromText="180" w:rightFromText="180" w:vertAnchor="text" w:horzAnchor="page" w:tblpXSpec="center" w:tblpY="234"/>
        <w:tblOverlap w:val="never"/>
        <w:tblW w:w="10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5501"/>
        <w:gridCol w:w="1475"/>
        <w:gridCol w:w="1268"/>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69" w:type="dxa"/>
            <w:vMerge w:val="restart"/>
            <w:vAlign w:val="center"/>
          </w:tcPr>
          <w:p>
            <w:pPr>
              <w:spacing w:line="360" w:lineRule="exact"/>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序号</w:t>
            </w:r>
          </w:p>
        </w:tc>
        <w:tc>
          <w:tcPr>
            <w:tcW w:w="5501" w:type="dxa"/>
            <w:vMerge w:val="restart"/>
            <w:vAlign w:val="center"/>
          </w:tcPr>
          <w:p>
            <w:pPr>
              <w:spacing w:line="360" w:lineRule="exact"/>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评审内容</w:t>
            </w:r>
          </w:p>
        </w:tc>
        <w:tc>
          <w:tcPr>
            <w:tcW w:w="3990" w:type="dxa"/>
            <w:gridSpan w:val="3"/>
            <w:vAlign w:val="center"/>
          </w:tcPr>
          <w:p>
            <w:pPr>
              <w:spacing w:line="360" w:lineRule="exact"/>
              <w:jc w:val="center"/>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69" w:type="dxa"/>
            <w:vMerge w:val="continue"/>
            <w:vAlign w:val="center"/>
          </w:tcPr>
          <w:p>
            <w:pPr>
              <w:spacing w:line="360" w:lineRule="exact"/>
              <w:rPr>
                <w:rFonts w:ascii="微软雅黑" w:hAnsi="微软雅黑" w:eastAsia="微软雅黑" w:cs="微软雅黑"/>
                <w:b/>
                <w:bCs/>
                <w:color w:val="auto"/>
                <w:sz w:val="24"/>
                <w:highlight w:val="none"/>
              </w:rPr>
            </w:pPr>
          </w:p>
        </w:tc>
        <w:tc>
          <w:tcPr>
            <w:tcW w:w="5501" w:type="dxa"/>
            <w:vMerge w:val="continue"/>
            <w:vAlign w:val="center"/>
          </w:tcPr>
          <w:p>
            <w:pPr>
              <w:spacing w:line="360" w:lineRule="exact"/>
              <w:rPr>
                <w:rFonts w:ascii="微软雅黑" w:hAnsi="微软雅黑" w:eastAsia="微软雅黑" w:cs="微软雅黑"/>
                <w:b/>
                <w:bCs/>
                <w:color w:val="auto"/>
                <w:sz w:val="24"/>
                <w:highlight w:val="none"/>
              </w:rPr>
            </w:pPr>
          </w:p>
        </w:tc>
        <w:tc>
          <w:tcPr>
            <w:tcW w:w="1475" w:type="dxa"/>
            <w:vAlign w:val="center"/>
          </w:tcPr>
          <w:p>
            <w:pPr>
              <w:spacing w:line="360" w:lineRule="exact"/>
              <w:jc w:val="center"/>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是否合格</w:t>
            </w:r>
          </w:p>
        </w:tc>
        <w:tc>
          <w:tcPr>
            <w:tcW w:w="1268" w:type="dxa"/>
            <w:vAlign w:val="center"/>
          </w:tcPr>
          <w:p>
            <w:pPr>
              <w:spacing w:line="360" w:lineRule="exact"/>
              <w:jc w:val="center"/>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是否合格</w:t>
            </w:r>
          </w:p>
        </w:tc>
        <w:tc>
          <w:tcPr>
            <w:tcW w:w="1247" w:type="dxa"/>
            <w:vAlign w:val="center"/>
          </w:tcPr>
          <w:p>
            <w:pPr>
              <w:spacing w:line="360" w:lineRule="exact"/>
              <w:jc w:val="center"/>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9" w:type="dxa"/>
            <w:vAlign w:val="center"/>
          </w:tcPr>
          <w:p>
            <w:pPr>
              <w:spacing w:line="36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w:t>
            </w:r>
          </w:p>
        </w:tc>
        <w:tc>
          <w:tcPr>
            <w:tcW w:w="5501" w:type="dxa"/>
            <w:vAlign w:val="center"/>
          </w:tcPr>
          <w:p>
            <w:pPr>
              <w:pStyle w:val="7"/>
              <w:spacing w:before="0"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法人、非法人组织或者自然人资格证明文件（加盖公章）；</w:t>
            </w:r>
          </w:p>
        </w:tc>
        <w:tc>
          <w:tcPr>
            <w:tcW w:w="1475" w:type="dxa"/>
            <w:vAlign w:val="center"/>
          </w:tcPr>
          <w:p>
            <w:pPr>
              <w:spacing w:line="360" w:lineRule="exact"/>
              <w:rPr>
                <w:rFonts w:ascii="微软雅黑" w:hAnsi="微软雅黑" w:eastAsia="微软雅黑" w:cs="微软雅黑"/>
                <w:color w:val="auto"/>
                <w:sz w:val="24"/>
                <w:highlight w:val="none"/>
              </w:rPr>
            </w:pPr>
          </w:p>
        </w:tc>
        <w:tc>
          <w:tcPr>
            <w:tcW w:w="1268" w:type="dxa"/>
            <w:vAlign w:val="center"/>
          </w:tcPr>
          <w:p>
            <w:pPr>
              <w:spacing w:line="360" w:lineRule="exact"/>
              <w:rPr>
                <w:rFonts w:ascii="微软雅黑" w:hAnsi="微软雅黑" w:eastAsia="微软雅黑" w:cs="微软雅黑"/>
                <w:color w:val="auto"/>
                <w:sz w:val="24"/>
                <w:highlight w:val="none"/>
              </w:rPr>
            </w:pPr>
          </w:p>
        </w:tc>
        <w:tc>
          <w:tcPr>
            <w:tcW w:w="1247" w:type="dxa"/>
            <w:vAlign w:val="center"/>
          </w:tcPr>
          <w:p>
            <w:pPr>
              <w:spacing w:line="360" w:lineRule="exact"/>
              <w:rPr>
                <w:rFonts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669" w:type="dxa"/>
            <w:vAlign w:val="center"/>
          </w:tcPr>
          <w:p>
            <w:pPr>
              <w:spacing w:line="36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w:t>
            </w:r>
          </w:p>
        </w:tc>
        <w:tc>
          <w:tcPr>
            <w:tcW w:w="5501" w:type="dxa"/>
            <w:vAlign w:val="center"/>
          </w:tcPr>
          <w:p>
            <w:pPr>
              <w:pStyle w:val="7"/>
              <w:spacing w:before="0"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授权委托人投标的需提供法人（负责人）代表资格证明书及授权委托书、被授权人身份证；法定代表人（负责人）投标的需提供法人（负责人）代表资格证明书及法人（负责人）身份证；授权委托人需提供本人在本单位近三个月单位社保缴费凭证和个人明细表（加盖公章）；</w:t>
            </w:r>
          </w:p>
        </w:tc>
        <w:tc>
          <w:tcPr>
            <w:tcW w:w="1475" w:type="dxa"/>
            <w:vAlign w:val="center"/>
          </w:tcPr>
          <w:p>
            <w:pPr>
              <w:spacing w:line="360" w:lineRule="exact"/>
              <w:rPr>
                <w:rFonts w:ascii="微软雅黑" w:hAnsi="微软雅黑" w:eastAsia="微软雅黑" w:cs="微软雅黑"/>
                <w:color w:val="auto"/>
                <w:sz w:val="24"/>
                <w:highlight w:val="none"/>
              </w:rPr>
            </w:pPr>
          </w:p>
        </w:tc>
        <w:tc>
          <w:tcPr>
            <w:tcW w:w="1268" w:type="dxa"/>
            <w:vAlign w:val="center"/>
          </w:tcPr>
          <w:p>
            <w:pPr>
              <w:spacing w:line="360" w:lineRule="exact"/>
              <w:rPr>
                <w:rFonts w:ascii="微软雅黑" w:hAnsi="微软雅黑" w:eastAsia="微软雅黑" w:cs="微软雅黑"/>
                <w:color w:val="auto"/>
                <w:sz w:val="24"/>
                <w:highlight w:val="none"/>
              </w:rPr>
            </w:pPr>
          </w:p>
        </w:tc>
        <w:tc>
          <w:tcPr>
            <w:tcW w:w="1247" w:type="dxa"/>
            <w:vAlign w:val="center"/>
          </w:tcPr>
          <w:p>
            <w:pPr>
              <w:spacing w:line="360" w:lineRule="exact"/>
              <w:rPr>
                <w:rFonts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669" w:type="dxa"/>
            <w:vAlign w:val="center"/>
          </w:tcPr>
          <w:p>
            <w:pPr>
              <w:spacing w:line="36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w:t>
            </w:r>
          </w:p>
        </w:tc>
        <w:tc>
          <w:tcPr>
            <w:tcW w:w="5501" w:type="dxa"/>
            <w:vAlign w:val="center"/>
          </w:tcPr>
          <w:p>
            <w:pPr>
              <w:pStyle w:val="7"/>
              <w:spacing w:before="0"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2020年度财务审计报告（新公司或其他组织和自然人提供银行出具的资信证明）（加盖公章）；</w:t>
            </w:r>
          </w:p>
        </w:tc>
        <w:tc>
          <w:tcPr>
            <w:tcW w:w="1475" w:type="dxa"/>
            <w:vAlign w:val="center"/>
          </w:tcPr>
          <w:p>
            <w:pPr>
              <w:spacing w:line="360" w:lineRule="exact"/>
              <w:rPr>
                <w:rFonts w:ascii="微软雅黑" w:hAnsi="微软雅黑" w:eastAsia="微软雅黑" w:cs="微软雅黑"/>
                <w:color w:val="auto"/>
                <w:sz w:val="24"/>
                <w:highlight w:val="none"/>
              </w:rPr>
            </w:pPr>
          </w:p>
        </w:tc>
        <w:tc>
          <w:tcPr>
            <w:tcW w:w="1268" w:type="dxa"/>
            <w:vAlign w:val="center"/>
          </w:tcPr>
          <w:p>
            <w:pPr>
              <w:spacing w:line="360" w:lineRule="exact"/>
              <w:rPr>
                <w:rFonts w:ascii="微软雅黑" w:hAnsi="微软雅黑" w:eastAsia="微软雅黑" w:cs="微软雅黑"/>
                <w:color w:val="auto"/>
                <w:sz w:val="24"/>
                <w:highlight w:val="none"/>
              </w:rPr>
            </w:pPr>
          </w:p>
        </w:tc>
        <w:tc>
          <w:tcPr>
            <w:tcW w:w="1247" w:type="dxa"/>
            <w:vAlign w:val="center"/>
          </w:tcPr>
          <w:p>
            <w:pPr>
              <w:spacing w:line="360" w:lineRule="exact"/>
              <w:rPr>
                <w:rFonts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69" w:type="dxa"/>
            <w:vAlign w:val="center"/>
          </w:tcPr>
          <w:p>
            <w:pPr>
              <w:spacing w:line="36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w:t>
            </w:r>
          </w:p>
        </w:tc>
        <w:tc>
          <w:tcPr>
            <w:tcW w:w="5501" w:type="dxa"/>
            <w:vAlign w:val="center"/>
          </w:tcPr>
          <w:p>
            <w:pPr>
              <w:pStyle w:val="7"/>
              <w:spacing w:before="0"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未被“信用中国”（www.creditchina.gov.cn）列入失信被执行人和重大税收违法案件当事人名单，未被“中国政府采购网”（www.ccgp.gov.cn） 列入政府采购严重违法失信行为记录名单，未在财政部门或行业主管部门禁止参加政府采购活动时间及地域范围内（相关查询截图加盖公章）；</w:t>
            </w:r>
          </w:p>
        </w:tc>
        <w:tc>
          <w:tcPr>
            <w:tcW w:w="1475" w:type="dxa"/>
            <w:vAlign w:val="center"/>
          </w:tcPr>
          <w:p>
            <w:pPr>
              <w:spacing w:line="360" w:lineRule="exact"/>
              <w:rPr>
                <w:rFonts w:ascii="微软雅黑" w:hAnsi="微软雅黑" w:eastAsia="微软雅黑" w:cs="微软雅黑"/>
                <w:color w:val="auto"/>
                <w:sz w:val="24"/>
                <w:highlight w:val="none"/>
              </w:rPr>
            </w:pPr>
          </w:p>
        </w:tc>
        <w:tc>
          <w:tcPr>
            <w:tcW w:w="1268" w:type="dxa"/>
            <w:vAlign w:val="center"/>
          </w:tcPr>
          <w:p>
            <w:pPr>
              <w:spacing w:line="360" w:lineRule="exact"/>
              <w:rPr>
                <w:rFonts w:ascii="微软雅黑" w:hAnsi="微软雅黑" w:eastAsia="微软雅黑" w:cs="微软雅黑"/>
                <w:color w:val="auto"/>
                <w:sz w:val="24"/>
                <w:highlight w:val="none"/>
              </w:rPr>
            </w:pPr>
          </w:p>
        </w:tc>
        <w:tc>
          <w:tcPr>
            <w:tcW w:w="1247" w:type="dxa"/>
            <w:vAlign w:val="center"/>
          </w:tcPr>
          <w:p>
            <w:pPr>
              <w:spacing w:line="360" w:lineRule="exact"/>
              <w:rPr>
                <w:rFonts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69" w:type="dxa"/>
            <w:vAlign w:val="center"/>
          </w:tcPr>
          <w:p>
            <w:pPr>
              <w:spacing w:line="36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5</w:t>
            </w:r>
          </w:p>
        </w:tc>
        <w:tc>
          <w:tcPr>
            <w:tcW w:w="5501" w:type="dxa"/>
            <w:vAlign w:val="center"/>
          </w:tcPr>
          <w:p>
            <w:pPr>
              <w:pStyle w:val="7"/>
              <w:spacing w:before="0"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提供本单位在参加政府采购活动中前三年内无重大违法记录的承诺书（加盖公章）；</w:t>
            </w:r>
          </w:p>
        </w:tc>
        <w:tc>
          <w:tcPr>
            <w:tcW w:w="1475" w:type="dxa"/>
            <w:vAlign w:val="center"/>
          </w:tcPr>
          <w:p>
            <w:pPr>
              <w:spacing w:line="360" w:lineRule="exact"/>
              <w:rPr>
                <w:rFonts w:ascii="微软雅黑" w:hAnsi="微软雅黑" w:eastAsia="微软雅黑" w:cs="微软雅黑"/>
                <w:color w:val="auto"/>
                <w:sz w:val="24"/>
                <w:highlight w:val="none"/>
              </w:rPr>
            </w:pPr>
          </w:p>
        </w:tc>
        <w:tc>
          <w:tcPr>
            <w:tcW w:w="1268" w:type="dxa"/>
            <w:vAlign w:val="center"/>
          </w:tcPr>
          <w:p>
            <w:pPr>
              <w:spacing w:line="360" w:lineRule="exact"/>
              <w:rPr>
                <w:rFonts w:ascii="微软雅黑" w:hAnsi="微软雅黑" w:eastAsia="微软雅黑" w:cs="微软雅黑"/>
                <w:color w:val="auto"/>
                <w:sz w:val="24"/>
                <w:highlight w:val="none"/>
              </w:rPr>
            </w:pPr>
          </w:p>
        </w:tc>
        <w:tc>
          <w:tcPr>
            <w:tcW w:w="1247" w:type="dxa"/>
            <w:vAlign w:val="center"/>
          </w:tcPr>
          <w:p>
            <w:pPr>
              <w:spacing w:line="360" w:lineRule="exact"/>
              <w:rPr>
                <w:rFonts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69" w:type="dxa"/>
            <w:vAlign w:val="center"/>
          </w:tcPr>
          <w:p>
            <w:pPr>
              <w:spacing w:line="36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6</w:t>
            </w:r>
          </w:p>
        </w:tc>
        <w:tc>
          <w:tcPr>
            <w:tcW w:w="5501" w:type="dxa"/>
            <w:vAlign w:val="center"/>
          </w:tcPr>
          <w:p>
            <w:pPr>
              <w:pStyle w:val="7"/>
              <w:spacing w:before="0"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提供针对本次采购项目《反商业贿赂承诺书》（加盖公章）；</w:t>
            </w:r>
          </w:p>
        </w:tc>
        <w:tc>
          <w:tcPr>
            <w:tcW w:w="1475" w:type="dxa"/>
            <w:vAlign w:val="center"/>
          </w:tcPr>
          <w:p>
            <w:pPr>
              <w:spacing w:line="360" w:lineRule="exact"/>
              <w:rPr>
                <w:rFonts w:ascii="微软雅黑" w:hAnsi="微软雅黑" w:eastAsia="微软雅黑" w:cs="微软雅黑"/>
                <w:color w:val="auto"/>
                <w:sz w:val="24"/>
                <w:highlight w:val="none"/>
              </w:rPr>
            </w:pPr>
          </w:p>
        </w:tc>
        <w:tc>
          <w:tcPr>
            <w:tcW w:w="1268" w:type="dxa"/>
            <w:vAlign w:val="center"/>
          </w:tcPr>
          <w:p>
            <w:pPr>
              <w:spacing w:line="360" w:lineRule="exact"/>
              <w:rPr>
                <w:rFonts w:ascii="微软雅黑" w:hAnsi="微软雅黑" w:eastAsia="微软雅黑" w:cs="微软雅黑"/>
                <w:color w:val="auto"/>
                <w:sz w:val="24"/>
                <w:highlight w:val="none"/>
              </w:rPr>
            </w:pPr>
          </w:p>
        </w:tc>
        <w:tc>
          <w:tcPr>
            <w:tcW w:w="1247" w:type="dxa"/>
            <w:vAlign w:val="center"/>
          </w:tcPr>
          <w:p>
            <w:pPr>
              <w:spacing w:line="360" w:lineRule="exact"/>
              <w:rPr>
                <w:rFonts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69" w:type="dxa"/>
            <w:vAlign w:val="center"/>
          </w:tcPr>
          <w:p>
            <w:pPr>
              <w:spacing w:line="36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7</w:t>
            </w:r>
          </w:p>
        </w:tc>
        <w:tc>
          <w:tcPr>
            <w:tcW w:w="5501" w:type="dxa"/>
            <w:vAlign w:val="center"/>
          </w:tcPr>
          <w:p>
            <w:pPr>
              <w:pStyle w:val="7"/>
              <w:spacing w:before="0" w:line="400" w:lineRule="exact"/>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提供税务部门出具的近三个月的完税证明（或申报记录）（加盖公章）；</w:t>
            </w:r>
          </w:p>
        </w:tc>
        <w:tc>
          <w:tcPr>
            <w:tcW w:w="1475" w:type="dxa"/>
            <w:vAlign w:val="center"/>
          </w:tcPr>
          <w:p>
            <w:pPr>
              <w:spacing w:line="360" w:lineRule="exact"/>
              <w:rPr>
                <w:rFonts w:ascii="微软雅黑" w:hAnsi="微软雅黑" w:eastAsia="微软雅黑" w:cs="微软雅黑"/>
                <w:color w:val="auto"/>
                <w:sz w:val="24"/>
                <w:highlight w:val="none"/>
              </w:rPr>
            </w:pPr>
          </w:p>
        </w:tc>
        <w:tc>
          <w:tcPr>
            <w:tcW w:w="1268" w:type="dxa"/>
            <w:vAlign w:val="center"/>
          </w:tcPr>
          <w:p>
            <w:pPr>
              <w:spacing w:line="360" w:lineRule="exact"/>
              <w:rPr>
                <w:rFonts w:ascii="微软雅黑" w:hAnsi="微软雅黑" w:eastAsia="微软雅黑" w:cs="微软雅黑"/>
                <w:color w:val="auto"/>
                <w:sz w:val="24"/>
                <w:highlight w:val="none"/>
              </w:rPr>
            </w:pPr>
          </w:p>
        </w:tc>
        <w:tc>
          <w:tcPr>
            <w:tcW w:w="1247" w:type="dxa"/>
            <w:vAlign w:val="center"/>
          </w:tcPr>
          <w:p>
            <w:pPr>
              <w:spacing w:line="360" w:lineRule="exact"/>
              <w:rPr>
                <w:rFonts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69" w:type="dxa"/>
            <w:vAlign w:val="center"/>
          </w:tcPr>
          <w:p>
            <w:pPr>
              <w:spacing w:line="36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8</w:t>
            </w:r>
          </w:p>
        </w:tc>
        <w:tc>
          <w:tcPr>
            <w:tcW w:w="5501" w:type="dxa"/>
            <w:vAlign w:val="center"/>
          </w:tcPr>
          <w:p>
            <w:pPr>
              <w:spacing w:line="36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缴纳投标保证金收据及银行转账/电汇回执单复印件（加盖公章）；</w:t>
            </w:r>
          </w:p>
        </w:tc>
        <w:tc>
          <w:tcPr>
            <w:tcW w:w="1475" w:type="dxa"/>
            <w:vAlign w:val="center"/>
          </w:tcPr>
          <w:p>
            <w:pPr>
              <w:spacing w:line="360" w:lineRule="exact"/>
              <w:rPr>
                <w:rFonts w:ascii="微软雅黑" w:hAnsi="微软雅黑" w:eastAsia="微软雅黑" w:cs="微软雅黑"/>
                <w:color w:val="auto"/>
                <w:sz w:val="24"/>
                <w:highlight w:val="none"/>
              </w:rPr>
            </w:pPr>
          </w:p>
        </w:tc>
        <w:tc>
          <w:tcPr>
            <w:tcW w:w="1268" w:type="dxa"/>
            <w:vAlign w:val="center"/>
          </w:tcPr>
          <w:p>
            <w:pPr>
              <w:spacing w:line="360" w:lineRule="exact"/>
              <w:rPr>
                <w:rFonts w:ascii="微软雅黑" w:hAnsi="微软雅黑" w:eastAsia="微软雅黑" w:cs="微软雅黑"/>
                <w:color w:val="auto"/>
                <w:sz w:val="24"/>
                <w:highlight w:val="none"/>
              </w:rPr>
            </w:pPr>
          </w:p>
        </w:tc>
        <w:tc>
          <w:tcPr>
            <w:tcW w:w="1247" w:type="dxa"/>
            <w:vAlign w:val="center"/>
          </w:tcPr>
          <w:p>
            <w:pPr>
              <w:spacing w:line="360" w:lineRule="exact"/>
              <w:rPr>
                <w:rFonts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69" w:type="dxa"/>
            <w:vAlign w:val="center"/>
          </w:tcPr>
          <w:p>
            <w:pPr>
              <w:spacing w:line="360" w:lineRule="exact"/>
              <w:rPr>
                <w:rFonts w:ascii="微软雅黑" w:hAnsi="微软雅黑" w:eastAsia="微软雅黑" w:cs="微软雅黑"/>
                <w:color w:val="auto"/>
                <w:sz w:val="24"/>
                <w:highlight w:val="none"/>
              </w:rPr>
            </w:pPr>
          </w:p>
        </w:tc>
        <w:tc>
          <w:tcPr>
            <w:tcW w:w="5501" w:type="dxa"/>
            <w:vAlign w:val="center"/>
          </w:tcPr>
          <w:p>
            <w:pPr>
              <w:spacing w:line="36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结论</w:t>
            </w:r>
          </w:p>
        </w:tc>
        <w:tc>
          <w:tcPr>
            <w:tcW w:w="1475" w:type="dxa"/>
            <w:vAlign w:val="center"/>
          </w:tcPr>
          <w:p>
            <w:pPr>
              <w:spacing w:line="360" w:lineRule="exact"/>
              <w:rPr>
                <w:rFonts w:ascii="微软雅黑" w:hAnsi="微软雅黑" w:eastAsia="微软雅黑" w:cs="微软雅黑"/>
                <w:color w:val="auto"/>
                <w:sz w:val="24"/>
                <w:highlight w:val="none"/>
              </w:rPr>
            </w:pPr>
          </w:p>
        </w:tc>
        <w:tc>
          <w:tcPr>
            <w:tcW w:w="1268" w:type="dxa"/>
            <w:vAlign w:val="center"/>
          </w:tcPr>
          <w:p>
            <w:pPr>
              <w:spacing w:line="360" w:lineRule="exact"/>
              <w:rPr>
                <w:rFonts w:ascii="微软雅黑" w:hAnsi="微软雅黑" w:eastAsia="微软雅黑" w:cs="微软雅黑"/>
                <w:color w:val="auto"/>
                <w:sz w:val="24"/>
                <w:highlight w:val="none"/>
              </w:rPr>
            </w:pPr>
          </w:p>
        </w:tc>
        <w:tc>
          <w:tcPr>
            <w:tcW w:w="1247" w:type="dxa"/>
            <w:vAlign w:val="center"/>
          </w:tcPr>
          <w:p>
            <w:pPr>
              <w:spacing w:line="360" w:lineRule="exact"/>
              <w:rPr>
                <w:rFonts w:ascii="微软雅黑" w:hAnsi="微软雅黑" w:eastAsia="微软雅黑" w:cs="微软雅黑"/>
                <w:color w:val="auto"/>
                <w:sz w:val="24"/>
                <w:highlight w:val="none"/>
              </w:rPr>
            </w:pPr>
          </w:p>
        </w:tc>
      </w:tr>
    </w:tbl>
    <w:p>
      <w:pPr>
        <w:spacing w:line="36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说明：（1）上述各项中用“√”表示通过，“×”表示不通过；</w:t>
      </w:r>
    </w:p>
    <w:p>
      <w:pPr>
        <w:spacing w:line="36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（2）上述各项中如有一项为“×”，则结论为“×”，表示该投标文件中存在重大偏差，不能通过初步评审；评委对某一分项评审认为不合格时，必须要写明原因。</w:t>
      </w:r>
    </w:p>
    <w:p>
      <w:pPr>
        <w:spacing w:line="360" w:lineRule="exact"/>
        <w:ind w:left="6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（3）投标文件最终合格与否，以所有评委的评审意见中少数服从多数为原则定论。</w:t>
      </w:r>
    </w:p>
    <w:p>
      <w:pPr>
        <w:spacing w:line="360" w:lineRule="exact"/>
        <w:rPr>
          <w:color w:val="auto"/>
          <w:highlight w:val="none"/>
        </w:rPr>
      </w:pPr>
      <w:r>
        <w:rPr>
          <w:rFonts w:hint="eastAsia" w:ascii="微软雅黑" w:hAnsi="微软雅黑" w:eastAsia="微软雅黑" w:cs="微软雅黑"/>
          <w:b/>
          <w:bCs/>
          <w:color w:val="auto"/>
          <w:sz w:val="24"/>
          <w:highlight w:val="none"/>
        </w:rPr>
        <w:t>未通过资格审查的投标人不进入评标；通过资格审查的投标人少于不足三家的，不得评标。</w:t>
      </w:r>
    </w:p>
    <w:p>
      <w:pPr>
        <w:pStyle w:val="2"/>
        <w:rPr>
          <w:color w:val="auto"/>
          <w:highlight w:val="none"/>
        </w:rPr>
      </w:pPr>
    </w:p>
    <w:p>
      <w:pPr>
        <w:pStyle w:val="2"/>
        <w:spacing w:line="360" w:lineRule="exact"/>
        <w:ind w:firstLine="0"/>
        <w:jc w:val="center"/>
        <w:outlineLvl w:val="0"/>
        <w:rPr>
          <w:rFonts w:ascii="微软雅黑" w:hAnsi="微软雅黑" w:eastAsia="微软雅黑" w:cs="微软雅黑"/>
          <w:b/>
          <w:bCs/>
          <w:color w:val="auto"/>
          <w:szCs w:val="24"/>
          <w:highlight w:val="none"/>
        </w:rPr>
      </w:pPr>
      <w:bookmarkStart w:id="433" w:name="_Toc8771"/>
      <w:bookmarkStart w:id="434" w:name="_Toc29061"/>
      <w:bookmarkStart w:id="435" w:name="_Toc19523"/>
      <w:bookmarkStart w:id="436" w:name="_Toc946"/>
      <w:r>
        <w:rPr>
          <w:rFonts w:hint="eastAsia" w:ascii="微软雅黑" w:hAnsi="微软雅黑" w:eastAsia="微软雅黑" w:cs="微软雅黑"/>
          <w:b/>
          <w:bCs/>
          <w:color w:val="auto"/>
          <w:szCs w:val="24"/>
          <w:highlight w:val="none"/>
        </w:rPr>
        <w:t>初步评审—符合性审查表</w:t>
      </w:r>
      <w:bookmarkEnd w:id="433"/>
      <w:bookmarkEnd w:id="434"/>
      <w:bookmarkEnd w:id="435"/>
      <w:bookmarkEnd w:id="436"/>
    </w:p>
    <w:tbl>
      <w:tblPr>
        <w:tblStyle w:val="35"/>
        <w:tblpPr w:leftFromText="180" w:rightFromText="180" w:vertAnchor="text" w:horzAnchor="page" w:tblpXSpec="center" w:tblpY="262"/>
        <w:tblOverlap w:val="never"/>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6755"/>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603" w:type="dxa"/>
            <w:gridSpan w:val="2"/>
            <w:vAlign w:val="center"/>
          </w:tcPr>
          <w:p>
            <w:pPr>
              <w:spacing w:line="360" w:lineRule="exact"/>
              <w:jc w:val="center"/>
              <w:rPr>
                <w:rFonts w:ascii="微软雅黑" w:hAnsi="微软雅黑" w:eastAsia="微软雅黑" w:cs="微软雅黑"/>
                <w:color w:val="auto"/>
                <w:spacing w:val="-2"/>
                <w:sz w:val="24"/>
                <w:highlight w:val="none"/>
              </w:rPr>
            </w:pPr>
            <w:r>
              <w:rPr>
                <w:rFonts w:hint="eastAsia" w:ascii="微软雅黑" w:hAnsi="微软雅黑" w:eastAsia="微软雅黑" w:cs="微软雅黑"/>
                <w:color w:val="auto"/>
                <w:spacing w:val="-2"/>
                <w:sz w:val="24"/>
                <w:highlight w:val="none"/>
              </w:rPr>
              <w:t>评审内容</w:t>
            </w:r>
          </w:p>
        </w:tc>
        <w:tc>
          <w:tcPr>
            <w:tcW w:w="1637" w:type="dxa"/>
            <w:vAlign w:val="center"/>
          </w:tcPr>
          <w:p>
            <w:pPr>
              <w:spacing w:line="360" w:lineRule="exact"/>
              <w:jc w:val="center"/>
              <w:rPr>
                <w:rFonts w:ascii="微软雅黑" w:hAnsi="微软雅黑" w:eastAsia="微软雅黑" w:cs="微软雅黑"/>
                <w:color w:val="auto"/>
                <w:spacing w:val="-2"/>
                <w:sz w:val="24"/>
                <w:highlight w:val="none"/>
              </w:rPr>
            </w:pPr>
            <w:r>
              <w:rPr>
                <w:rFonts w:hint="eastAsia" w:ascii="微软雅黑" w:hAnsi="微软雅黑" w:eastAsia="微软雅黑" w:cs="微软雅黑"/>
                <w:color w:val="auto"/>
                <w:spacing w:val="-2"/>
                <w:sz w:val="24"/>
                <w:highlight w:val="none"/>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48" w:type="dxa"/>
            <w:vAlign w:val="center"/>
          </w:tcPr>
          <w:p>
            <w:pPr>
              <w:spacing w:line="36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序号</w:t>
            </w:r>
          </w:p>
        </w:tc>
        <w:tc>
          <w:tcPr>
            <w:tcW w:w="6755" w:type="dxa"/>
            <w:vAlign w:val="center"/>
          </w:tcPr>
          <w:p>
            <w:pPr>
              <w:spacing w:line="360" w:lineRule="exact"/>
              <w:rPr>
                <w:rFonts w:ascii="微软雅黑" w:hAnsi="微软雅黑" w:eastAsia="微软雅黑" w:cs="微软雅黑"/>
                <w:color w:val="auto"/>
                <w:spacing w:val="-2"/>
                <w:sz w:val="24"/>
                <w:highlight w:val="none"/>
              </w:rPr>
            </w:pPr>
          </w:p>
        </w:tc>
        <w:tc>
          <w:tcPr>
            <w:tcW w:w="1637" w:type="dxa"/>
            <w:vAlign w:val="center"/>
          </w:tcPr>
          <w:p>
            <w:pPr>
              <w:spacing w:line="360" w:lineRule="exact"/>
              <w:jc w:val="center"/>
              <w:rPr>
                <w:rFonts w:ascii="微软雅黑" w:hAnsi="微软雅黑" w:eastAsia="微软雅黑" w:cs="微软雅黑"/>
                <w:color w:val="auto"/>
                <w:spacing w:val="-2"/>
                <w:sz w:val="24"/>
                <w:highlight w:val="none"/>
              </w:rPr>
            </w:pPr>
            <w:r>
              <w:rPr>
                <w:rFonts w:hint="eastAsia" w:ascii="微软雅黑" w:hAnsi="微软雅黑" w:eastAsia="微软雅黑" w:cs="微软雅黑"/>
                <w:color w:val="auto"/>
                <w:spacing w:val="-2"/>
                <w:sz w:val="24"/>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48" w:type="dxa"/>
            <w:vAlign w:val="center"/>
          </w:tcPr>
          <w:p>
            <w:pPr>
              <w:spacing w:line="36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w:t>
            </w:r>
          </w:p>
        </w:tc>
        <w:tc>
          <w:tcPr>
            <w:tcW w:w="6755" w:type="dxa"/>
            <w:vAlign w:val="bottom"/>
          </w:tcPr>
          <w:p>
            <w:pPr>
              <w:spacing w:line="360" w:lineRule="exact"/>
              <w:jc w:val="left"/>
              <w:rPr>
                <w:rFonts w:ascii="微软雅黑" w:hAnsi="微软雅黑" w:eastAsia="微软雅黑" w:cs="微软雅黑"/>
                <w:color w:val="auto"/>
                <w:spacing w:val="-2"/>
                <w:sz w:val="24"/>
                <w:highlight w:val="none"/>
              </w:rPr>
            </w:pPr>
            <w:r>
              <w:rPr>
                <w:rFonts w:hint="eastAsia" w:ascii="微软雅黑" w:hAnsi="微软雅黑" w:eastAsia="微软雅黑" w:cs="微软雅黑"/>
                <w:color w:val="auto"/>
                <w:spacing w:val="-2"/>
                <w:sz w:val="24"/>
                <w:highlight w:val="none"/>
              </w:rPr>
              <w:t>各投标人报价未高于预算金额；</w:t>
            </w:r>
          </w:p>
        </w:tc>
        <w:tc>
          <w:tcPr>
            <w:tcW w:w="1637" w:type="dxa"/>
            <w:vAlign w:val="center"/>
          </w:tcPr>
          <w:p>
            <w:pPr>
              <w:spacing w:line="360" w:lineRule="exact"/>
              <w:rPr>
                <w:rFonts w:ascii="微软雅黑" w:hAnsi="微软雅黑" w:eastAsia="微软雅黑" w:cs="微软雅黑"/>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48" w:type="dxa"/>
            <w:vAlign w:val="center"/>
          </w:tcPr>
          <w:p>
            <w:pPr>
              <w:spacing w:line="36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w:t>
            </w:r>
          </w:p>
        </w:tc>
        <w:tc>
          <w:tcPr>
            <w:tcW w:w="6755" w:type="dxa"/>
            <w:vAlign w:val="bottom"/>
          </w:tcPr>
          <w:p>
            <w:pPr>
              <w:spacing w:line="360" w:lineRule="exact"/>
              <w:jc w:val="left"/>
              <w:rPr>
                <w:rFonts w:ascii="微软雅黑" w:hAnsi="微软雅黑" w:eastAsia="微软雅黑" w:cs="微软雅黑"/>
                <w:color w:val="auto"/>
                <w:spacing w:val="-2"/>
                <w:sz w:val="24"/>
                <w:highlight w:val="none"/>
              </w:rPr>
            </w:pPr>
            <w:r>
              <w:rPr>
                <w:rFonts w:hint="eastAsia" w:ascii="微软雅黑" w:hAnsi="微软雅黑" w:eastAsia="微软雅黑" w:cs="微软雅黑"/>
                <w:color w:val="auto"/>
                <w:spacing w:val="-2"/>
                <w:sz w:val="24"/>
                <w:highlight w:val="none"/>
              </w:rPr>
              <w:t>评标委员会认为投标人的报价无明显低于其他通过符合性审查供应商的报价的，投标人的报价不存在异常一致并成规律性的，其报价合理；</w:t>
            </w:r>
          </w:p>
        </w:tc>
        <w:tc>
          <w:tcPr>
            <w:tcW w:w="1637" w:type="dxa"/>
            <w:vAlign w:val="center"/>
          </w:tcPr>
          <w:p>
            <w:pPr>
              <w:spacing w:line="360" w:lineRule="exact"/>
              <w:rPr>
                <w:rFonts w:ascii="微软雅黑" w:hAnsi="微软雅黑" w:eastAsia="微软雅黑" w:cs="微软雅黑"/>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48" w:type="dxa"/>
            <w:vAlign w:val="center"/>
          </w:tcPr>
          <w:p>
            <w:pPr>
              <w:spacing w:line="36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w:t>
            </w:r>
          </w:p>
        </w:tc>
        <w:tc>
          <w:tcPr>
            <w:tcW w:w="6755" w:type="dxa"/>
            <w:vAlign w:val="bottom"/>
          </w:tcPr>
          <w:p>
            <w:pPr>
              <w:spacing w:line="360" w:lineRule="exact"/>
              <w:jc w:val="left"/>
              <w:rPr>
                <w:rFonts w:ascii="微软雅黑" w:hAnsi="微软雅黑" w:eastAsia="微软雅黑" w:cs="微软雅黑"/>
                <w:color w:val="auto"/>
                <w:spacing w:val="-2"/>
                <w:sz w:val="24"/>
                <w:highlight w:val="none"/>
              </w:rPr>
            </w:pPr>
            <w:r>
              <w:rPr>
                <w:rFonts w:hint="eastAsia" w:ascii="微软雅黑" w:hAnsi="微软雅黑" w:eastAsia="微软雅黑" w:cs="微软雅黑"/>
                <w:color w:val="auto"/>
                <w:spacing w:val="-2"/>
                <w:sz w:val="24"/>
                <w:highlight w:val="none"/>
              </w:rPr>
              <w:t>投标人按招标文件规定提交投标文件份数；</w:t>
            </w:r>
          </w:p>
        </w:tc>
        <w:tc>
          <w:tcPr>
            <w:tcW w:w="1637" w:type="dxa"/>
            <w:vAlign w:val="center"/>
          </w:tcPr>
          <w:p>
            <w:pPr>
              <w:spacing w:line="360" w:lineRule="exact"/>
              <w:rPr>
                <w:rFonts w:ascii="微软雅黑" w:hAnsi="微软雅黑" w:eastAsia="微软雅黑" w:cs="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848" w:type="dxa"/>
            <w:vAlign w:val="center"/>
          </w:tcPr>
          <w:p>
            <w:pPr>
              <w:spacing w:line="36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w:t>
            </w:r>
          </w:p>
        </w:tc>
        <w:tc>
          <w:tcPr>
            <w:tcW w:w="6755" w:type="dxa"/>
            <w:vAlign w:val="bottom"/>
          </w:tcPr>
          <w:p>
            <w:pPr>
              <w:spacing w:line="360" w:lineRule="exact"/>
              <w:jc w:val="left"/>
              <w:rPr>
                <w:rFonts w:ascii="微软雅黑" w:hAnsi="微软雅黑" w:eastAsia="微软雅黑" w:cs="微软雅黑"/>
                <w:color w:val="auto"/>
                <w:spacing w:val="-2"/>
                <w:sz w:val="24"/>
                <w:highlight w:val="none"/>
              </w:rPr>
            </w:pPr>
            <w:r>
              <w:rPr>
                <w:rFonts w:hint="eastAsia" w:ascii="微软雅黑" w:hAnsi="微软雅黑" w:eastAsia="微软雅黑" w:cs="微软雅黑"/>
                <w:color w:val="auto"/>
                <w:spacing w:val="-2"/>
                <w:sz w:val="24"/>
                <w:highlight w:val="none"/>
              </w:rPr>
              <w:t>投标文件按照招标文件的规定编制、密封、标记及签署盖章的，法定代表人（负责人）或其授权代表签字（章）和加盖供应商公章的（投标文件正本的印章和签字不能为复印件）；</w:t>
            </w:r>
          </w:p>
        </w:tc>
        <w:tc>
          <w:tcPr>
            <w:tcW w:w="1637" w:type="dxa"/>
            <w:vAlign w:val="center"/>
          </w:tcPr>
          <w:p>
            <w:pPr>
              <w:spacing w:line="360" w:lineRule="exact"/>
              <w:rPr>
                <w:rFonts w:ascii="微软雅黑" w:hAnsi="微软雅黑" w:eastAsia="微软雅黑" w:cs="微软雅黑"/>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48" w:type="dxa"/>
            <w:vAlign w:val="center"/>
          </w:tcPr>
          <w:p>
            <w:pPr>
              <w:spacing w:line="36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5</w:t>
            </w:r>
          </w:p>
        </w:tc>
        <w:tc>
          <w:tcPr>
            <w:tcW w:w="6755" w:type="dxa"/>
            <w:vAlign w:val="bottom"/>
          </w:tcPr>
          <w:p>
            <w:pPr>
              <w:spacing w:line="360" w:lineRule="exact"/>
              <w:jc w:val="left"/>
              <w:rPr>
                <w:rFonts w:ascii="微软雅黑" w:hAnsi="微软雅黑" w:eastAsia="微软雅黑" w:cs="微软雅黑"/>
                <w:color w:val="auto"/>
                <w:spacing w:val="-2"/>
                <w:sz w:val="24"/>
                <w:highlight w:val="none"/>
              </w:rPr>
            </w:pPr>
            <w:r>
              <w:rPr>
                <w:rFonts w:hint="eastAsia" w:ascii="微软雅黑" w:hAnsi="微软雅黑" w:eastAsia="微软雅黑" w:cs="微软雅黑"/>
                <w:color w:val="auto"/>
                <w:spacing w:val="-2"/>
                <w:sz w:val="24"/>
                <w:highlight w:val="none"/>
              </w:rPr>
              <w:t>投标文件载明的技术需求、技术标准等，符合招标文件要求的；</w:t>
            </w:r>
          </w:p>
        </w:tc>
        <w:tc>
          <w:tcPr>
            <w:tcW w:w="1637" w:type="dxa"/>
            <w:vAlign w:val="center"/>
          </w:tcPr>
          <w:p>
            <w:pPr>
              <w:spacing w:line="360" w:lineRule="exact"/>
              <w:rPr>
                <w:rFonts w:ascii="微软雅黑" w:hAnsi="微软雅黑" w:eastAsia="微软雅黑" w:cs="微软雅黑"/>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848" w:type="dxa"/>
            <w:vAlign w:val="center"/>
          </w:tcPr>
          <w:p>
            <w:pPr>
              <w:spacing w:line="36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6</w:t>
            </w:r>
          </w:p>
        </w:tc>
        <w:tc>
          <w:tcPr>
            <w:tcW w:w="6755" w:type="dxa"/>
            <w:vAlign w:val="bottom"/>
          </w:tcPr>
          <w:p>
            <w:pPr>
              <w:spacing w:line="360" w:lineRule="exact"/>
              <w:jc w:val="left"/>
              <w:rPr>
                <w:rFonts w:ascii="微软雅黑" w:hAnsi="微软雅黑" w:eastAsia="微软雅黑" w:cs="微软雅黑"/>
                <w:color w:val="auto"/>
                <w:spacing w:val="-2"/>
                <w:sz w:val="24"/>
                <w:highlight w:val="none"/>
              </w:rPr>
            </w:pPr>
            <w:r>
              <w:rPr>
                <w:rFonts w:hint="eastAsia" w:ascii="微软雅黑" w:hAnsi="微软雅黑" w:eastAsia="微软雅黑" w:cs="微软雅黑"/>
                <w:color w:val="auto"/>
                <w:spacing w:val="-2"/>
                <w:sz w:val="24"/>
                <w:highlight w:val="none"/>
              </w:rPr>
              <w:t>按招标文件规定的格式填写，内容全或关键字迹清晰、数量等齐全的；</w:t>
            </w:r>
          </w:p>
        </w:tc>
        <w:tc>
          <w:tcPr>
            <w:tcW w:w="1637" w:type="dxa"/>
            <w:vAlign w:val="center"/>
          </w:tcPr>
          <w:p>
            <w:pPr>
              <w:spacing w:line="360" w:lineRule="exact"/>
              <w:rPr>
                <w:rFonts w:ascii="微软雅黑" w:hAnsi="微软雅黑" w:eastAsia="微软雅黑" w:cs="微软雅黑"/>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48" w:type="dxa"/>
            <w:vAlign w:val="center"/>
          </w:tcPr>
          <w:p>
            <w:pPr>
              <w:spacing w:line="36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7</w:t>
            </w:r>
          </w:p>
        </w:tc>
        <w:tc>
          <w:tcPr>
            <w:tcW w:w="6755" w:type="dxa"/>
            <w:vAlign w:val="bottom"/>
          </w:tcPr>
          <w:p>
            <w:pPr>
              <w:spacing w:line="360" w:lineRule="exact"/>
              <w:jc w:val="left"/>
              <w:rPr>
                <w:rFonts w:ascii="微软雅黑" w:hAnsi="微软雅黑" w:eastAsia="微软雅黑" w:cs="微软雅黑"/>
                <w:color w:val="auto"/>
                <w:spacing w:val="-2"/>
                <w:sz w:val="24"/>
                <w:highlight w:val="none"/>
              </w:rPr>
            </w:pPr>
            <w:r>
              <w:rPr>
                <w:rFonts w:hint="eastAsia" w:ascii="微软雅黑" w:hAnsi="微软雅黑" w:eastAsia="微软雅黑" w:cs="微软雅黑"/>
                <w:color w:val="auto"/>
                <w:spacing w:val="-2"/>
                <w:sz w:val="24"/>
                <w:highlight w:val="none"/>
              </w:rPr>
              <w:t>没有采购人不能接受的附加条件的；</w:t>
            </w:r>
          </w:p>
        </w:tc>
        <w:tc>
          <w:tcPr>
            <w:tcW w:w="1637" w:type="dxa"/>
            <w:vAlign w:val="center"/>
          </w:tcPr>
          <w:p>
            <w:pPr>
              <w:spacing w:line="360" w:lineRule="exact"/>
              <w:rPr>
                <w:rFonts w:ascii="微软雅黑" w:hAnsi="微软雅黑" w:eastAsia="微软雅黑" w:cs="微软雅黑"/>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48" w:type="dxa"/>
            <w:vAlign w:val="center"/>
          </w:tcPr>
          <w:p>
            <w:pPr>
              <w:spacing w:line="36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8</w:t>
            </w:r>
          </w:p>
        </w:tc>
        <w:tc>
          <w:tcPr>
            <w:tcW w:w="6755" w:type="dxa"/>
            <w:vAlign w:val="bottom"/>
          </w:tcPr>
          <w:p>
            <w:pPr>
              <w:spacing w:line="360" w:lineRule="exact"/>
              <w:jc w:val="left"/>
              <w:rPr>
                <w:rFonts w:ascii="微软雅黑" w:hAnsi="微软雅黑" w:eastAsia="微软雅黑" w:cs="微软雅黑"/>
                <w:color w:val="auto"/>
                <w:spacing w:val="-2"/>
                <w:sz w:val="24"/>
                <w:highlight w:val="none"/>
              </w:rPr>
            </w:pPr>
            <w:r>
              <w:rPr>
                <w:rFonts w:hint="eastAsia" w:ascii="微软雅黑" w:hAnsi="微软雅黑" w:eastAsia="微软雅黑" w:cs="微软雅黑"/>
                <w:color w:val="auto"/>
                <w:spacing w:val="-2"/>
                <w:sz w:val="24"/>
                <w:highlight w:val="none"/>
              </w:rPr>
              <w:t>符合招标文件中规定的其他实质性要求；</w:t>
            </w:r>
          </w:p>
        </w:tc>
        <w:tc>
          <w:tcPr>
            <w:tcW w:w="1637" w:type="dxa"/>
            <w:vAlign w:val="center"/>
          </w:tcPr>
          <w:p>
            <w:pPr>
              <w:spacing w:line="360" w:lineRule="exact"/>
              <w:rPr>
                <w:rFonts w:ascii="微软雅黑" w:hAnsi="微软雅黑" w:eastAsia="微软雅黑" w:cs="微软雅黑"/>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48" w:type="dxa"/>
            <w:vAlign w:val="center"/>
          </w:tcPr>
          <w:p>
            <w:pPr>
              <w:spacing w:line="36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9</w:t>
            </w:r>
          </w:p>
        </w:tc>
        <w:tc>
          <w:tcPr>
            <w:tcW w:w="6755" w:type="dxa"/>
            <w:vAlign w:val="bottom"/>
          </w:tcPr>
          <w:p>
            <w:pPr>
              <w:spacing w:line="360" w:lineRule="exact"/>
              <w:jc w:val="left"/>
              <w:rPr>
                <w:rFonts w:ascii="微软雅黑" w:hAnsi="微软雅黑" w:eastAsia="微软雅黑" w:cs="微软雅黑"/>
                <w:color w:val="auto"/>
                <w:spacing w:val="-2"/>
                <w:sz w:val="24"/>
                <w:highlight w:val="none"/>
              </w:rPr>
            </w:pPr>
            <w:r>
              <w:rPr>
                <w:rFonts w:hint="eastAsia" w:ascii="微软雅黑" w:hAnsi="微软雅黑" w:eastAsia="微软雅黑" w:cs="微软雅黑"/>
                <w:color w:val="auto"/>
                <w:spacing w:val="-2"/>
                <w:sz w:val="24"/>
                <w:highlight w:val="none"/>
              </w:rPr>
              <w:t>不同投标人的投标文件没有错漏一致的情况；</w:t>
            </w:r>
          </w:p>
        </w:tc>
        <w:tc>
          <w:tcPr>
            <w:tcW w:w="1637" w:type="dxa"/>
            <w:vAlign w:val="center"/>
          </w:tcPr>
          <w:p>
            <w:pPr>
              <w:spacing w:line="360" w:lineRule="exact"/>
              <w:rPr>
                <w:rFonts w:ascii="微软雅黑" w:hAnsi="微软雅黑" w:eastAsia="微软雅黑" w:cs="微软雅黑"/>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48" w:type="dxa"/>
            <w:vAlign w:val="center"/>
          </w:tcPr>
          <w:p>
            <w:pPr>
              <w:spacing w:line="36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10</w:t>
            </w:r>
          </w:p>
        </w:tc>
        <w:tc>
          <w:tcPr>
            <w:tcW w:w="6755" w:type="dxa"/>
            <w:vAlign w:val="bottom"/>
          </w:tcPr>
          <w:p>
            <w:pPr>
              <w:spacing w:line="360" w:lineRule="exact"/>
              <w:jc w:val="left"/>
              <w:rPr>
                <w:rFonts w:ascii="微软雅黑" w:hAnsi="微软雅黑" w:eastAsia="微软雅黑" w:cs="微软雅黑"/>
                <w:color w:val="auto"/>
                <w:spacing w:val="-2"/>
                <w:sz w:val="24"/>
                <w:highlight w:val="none"/>
              </w:rPr>
            </w:pPr>
            <w:r>
              <w:rPr>
                <w:rFonts w:hint="eastAsia" w:ascii="微软雅黑" w:hAnsi="微软雅黑" w:eastAsia="微软雅黑" w:cs="微软雅黑"/>
                <w:color w:val="auto"/>
                <w:spacing w:val="-2"/>
                <w:sz w:val="24"/>
                <w:highlight w:val="none"/>
              </w:rPr>
              <w:t>投标人附有详细地址、联系人、电话的；</w:t>
            </w:r>
          </w:p>
        </w:tc>
        <w:tc>
          <w:tcPr>
            <w:tcW w:w="1637" w:type="dxa"/>
            <w:vAlign w:val="center"/>
          </w:tcPr>
          <w:p>
            <w:pPr>
              <w:spacing w:line="360" w:lineRule="exact"/>
              <w:rPr>
                <w:rFonts w:ascii="微软雅黑" w:hAnsi="微软雅黑" w:eastAsia="微软雅黑" w:cs="微软雅黑"/>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48" w:type="dxa"/>
            <w:vAlign w:val="center"/>
          </w:tcPr>
          <w:p>
            <w:pPr>
              <w:spacing w:line="36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w:t>
            </w:r>
          </w:p>
        </w:tc>
        <w:tc>
          <w:tcPr>
            <w:tcW w:w="6755" w:type="dxa"/>
            <w:vAlign w:val="bottom"/>
          </w:tcPr>
          <w:p>
            <w:pPr>
              <w:spacing w:line="360" w:lineRule="exact"/>
              <w:jc w:val="left"/>
              <w:rPr>
                <w:rFonts w:ascii="微软雅黑" w:hAnsi="微软雅黑" w:eastAsia="微软雅黑" w:cs="微软雅黑"/>
                <w:color w:val="auto"/>
                <w:spacing w:val="-2"/>
                <w:sz w:val="24"/>
                <w:highlight w:val="none"/>
              </w:rPr>
            </w:pPr>
            <w:r>
              <w:rPr>
                <w:rFonts w:hint="eastAsia" w:ascii="微软雅黑" w:hAnsi="微软雅黑" w:eastAsia="微软雅黑" w:cs="微软雅黑"/>
                <w:color w:val="auto"/>
                <w:spacing w:val="-2"/>
                <w:sz w:val="24"/>
                <w:highlight w:val="none"/>
              </w:rPr>
              <w:t>投标文件没有散页、活页、未胶装的。</w:t>
            </w:r>
          </w:p>
        </w:tc>
        <w:tc>
          <w:tcPr>
            <w:tcW w:w="1637" w:type="dxa"/>
            <w:vAlign w:val="center"/>
          </w:tcPr>
          <w:p>
            <w:pPr>
              <w:spacing w:line="360" w:lineRule="exact"/>
              <w:rPr>
                <w:rFonts w:ascii="微软雅黑" w:hAnsi="微软雅黑" w:eastAsia="微软雅黑" w:cs="微软雅黑"/>
                <w:color w:val="auto"/>
                <w:spacing w:val="-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603" w:type="dxa"/>
            <w:gridSpan w:val="2"/>
            <w:vAlign w:val="center"/>
          </w:tcPr>
          <w:p>
            <w:pPr>
              <w:spacing w:line="360" w:lineRule="exact"/>
              <w:ind w:firstLine="424" w:firstLineChars="180"/>
              <w:rPr>
                <w:rFonts w:ascii="微软雅黑" w:hAnsi="微软雅黑" w:eastAsia="微软雅黑" w:cs="微软雅黑"/>
                <w:color w:val="auto"/>
                <w:spacing w:val="-2"/>
                <w:sz w:val="24"/>
                <w:highlight w:val="none"/>
              </w:rPr>
            </w:pPr>
            <w:r>
              <w:rPr>
                <w:rFonts w:hint="eastAsia" w:ascii="微软雅黑" w:hAnsi="微软雅黑" w:eastAsia="微软雅黑" w:cs="微软雅黑"/>
                <w:color w:val="auto"/>
                <w:spacing w:val="-2"/>
                <w:sz w:val="24"/>
                <w:highlight w:val="none"/>
              </w:rPr>
              <w:t>结论：通过评审打“√”，未通过评审打“×”</w:t>
            </w:r>
          </w:p>
        </w:tc>
        <w:tc>
          <w:tcPr>
            <w:tcW w:w="1637" w:type="dxa"/>
            <w:vAlign w:val="center"/>
          </w:tcPr>
          <w:p>
            <w:pPr>
              <w:spacing w:line="360" w:lineRule="exact"/>
              <w:ind w:firstLine="424" w:firstLineChars="180"/>
              <w:rPr>
                <w:rFonts w:ascii="微软雅黑" w:hAnsi="微软雅黑" w:eastAsia="微软雅黑" w:cs="微软雅黑"/>
                <w:color w:val="auto"/>
                <w:spacing w:val="-2"/>
                <w:sz w:val="24"/>
                <w:highlight w:val="none"/>
              </w:rPr>
            </w:pPr>
          </w:p>
        </w:tc>
      </w:tr>
    </w:tbl>
    <w:p>
      <w:pPr>
        <w:spacing w:line="360" w:lineRule="exact"/>
        <w:ind w:left="6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说明：</w:t>
      </w:r>
    </w:p>
    <w:p>
      <w:pPr>
        <w:spacing w:line="360" w:lineRule="exact"/>
        <w:ind w:left="6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（1）上述各项中用“√”表示合格，“×”表示不合格；</w:t>
      </w:r>
    </w:p>
    <w:p>
      <w:pPr>
        <w:spacing w:line="360" w:lineRule="exact"/>
        <w:ind w:left="779" w:leftChars="28" w:hanging="720" w:hangingChars="3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（2）上述各项中如有一项为“×”，则结论为“×”，表示该投标文件中存在重大偏差，不能通过初步评审；评委对某一分项评审认为不合格时，必须要写明原因。</w:t>
      </w:r>
    </w:p>
    <w:p>
      <w:pPr>
        <w:pStyle w:val="2"/>
        <w:spacing w:line="360" w:lineRule="exact"/>
        <w:ind w:firstLine="0"/>
        <w:jc w:val="both"/>
        <w:rPr>
          <w:rFonts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（3）投标文件最终合格与否，以所有评委的评审意见中少数服从多数为原则定论。</w:t>
      </w:r>
    </w:p>
    <w:p>
      <w:pPr>
        <w:spacing w:line="360" w:lineRule="exact"/>
        <w:rPr>
          <w:rFonts w:ascii="微软雅黑" w:hAnsi="微软雅黑" w:eastAsia="微软雅黑" w:cs="微软雅黑"/>
          <w:color w:val="auto"/>
          <w:sz w:val="24"/>
          <w:highlight w:val="none"/>
        </w:rPr>
      </w:pPr>
      <w:r>
        <w:rPr>
          <w:rFonts w:hint="eastAsia" w:ascii="微软雅黑" w:hAnsi="微软雅黑" w:eastAsia="微软雅黑" w:cs="微软雅黑"/>
          <w:b/>
          <w:bCs/>
          <w:color w:val="auto"/>
          <w:sz w:val="24"/>
          <w:highlight w:val="none"/>
        </w:rPr>
        <w:t>未通过符合性审查的投标人不进入评标；通过符合性审查的投标人少于不足三家的，不得评标。</w:t>
      </w:r>
    </w:p>
    <w:p>
      <w:pPr>
        <w:pStyle w:val="2"/>
        <w:spacing w:line="300" w:lineRule="auto"/>
        <w:ind w:firstLine="0"/>
        <w:rPr>
          <w:rFonts w:hAnsi="宋体" w:cs="宋体"/>
          <w:color w:val="auto"/>
          <w:sz w:val="21"/>
          <w:szCs w:val="21"/>
          <w:highlight w:val="none"/>
        </w:rPr>
        <w:sectPr>
          <w:headerReference r:id="rId7" w:type="default"/>
          <w:footerReference r:id="rId8" w:type="default"/>
          <w:pgSz w:w="11905" w:h="16838"/>
          <w:pgMar w:top="1440" w:right="1797" w:bottom="1440" w:left="1797" w:header="851" w:footer="992" w:gutter="0"/>
          <w:cols w:space="0" w:num="1"/>
          <w:docGrid w:linePitch="312" w:charSpace="0"/>
        </w:sectPr>
      </w:pPr>
    </w:p>
    <w:p>
      <w:pPr>
        <w:pStyle w:val="9"/>
        <w:tabs>
          <w:tab w:val="clear" w:pos="567"/>
        </w:tabs>
        <w:spacing w:before="0" w:line="360" w:lineRule="auto"/>
        <w:ind w:left="-181" w:leftChars="-86" w:firstLine="577" w:firstLineChars="275"/>
        <w:rPr>
          <w:rFonts w:cs="宋体"/>
          <w:i/>
          <w:color w:val="auto"/>
          <w:sz w:val="21"/>
          <w:szCs w:val="21"/>
          <w:highlight w:val="none"/>
        </w:rPr>
      </w:pPr>
    </w:p>
    <w:tbl>
      <w:tblPr>
        <w:tblStyle w:val="35"/>
        <w:tblW w:w="8700" w:type="dxa"/>
        <w:tblInd w:w="108" w:type="dxa"/>
        <w:tblLayout w:type="fixed"/>
        <w:tblCellMar>
          <w:top w:w="0" w:type="dxa"/>
          <w:left w:w="108" w:type="dxa"/>
          <w:bottom w:w="0" w:type="dxa"/>
          <w:right w:w="108" w:type="dxa"/>
        </w:tblCellMar>
      </w:tblPr>
      <w:tblGrid>
        <w:gridCol w:w="2362"/>
        <w:gridCol w:w="2610"/>
        <w:gridCol w:w="988"/>
        <w:gridCol w:w="1128"/>
        <w:gridCol w:w="1612"/>
      </w:tblGrid>
      <w:tr>
        <w:tblPrEx>
          <w:tblCellMar>
            <w:top w:w="0" w:type="dxa"/>
            <w:left w:w="108" w:type="dxa"/>
            <w:bottom w:w="0" w:type="dxa"/>
            <w:right w:w="108" w:type="dxa"/>
          </w:tblCellMar>
        </w:tblPrEx>
        <w:trPr>
          <w:trHeight w:val="585" w:hRule="atLeast"/>
        </w:trPr>
        <w:tc>
          <w:tcPr>
            <w:tcW w:w="8700" w:type="dxa"/>
            <w:gridSpan w:val="5"/>
            <w:tcBorders>
              <w:top w:val="nil"/>
              <w:left w:val="nil"/>
              <w:bottom w:val="single" w:color="auto" w:sz="4" w:space="0"/>
              <w:right w:val="nil"/>
            </w:tcBorders>
            <w:vAlign w:val="center"/>
          </w:tcPr>
          <w:p>
            <w:pPr>
              <w:widowControl/>
              <w:spacing w:line="400" w:lineRule="exact"/>
              <w:jc w:val="center"/>
              <w:rPr>
                <w:rFonts w:ascii="微软雅黑" w:hAnsi="微软雅黑" w:eastAsia="微软雅黑" w:cs="微软雅黑"/>
                <w:b/>
                <w:bCs/>
                <w:color w:val="auto"/>
                <w:kern w:val="0"/>
                <w:sz w:val="24"/>
                <w:highlight w:val="none"/>
              </w:rPr>
            </w:pPr>
            <w:r>
              <w:rPr>
                <w:rFonts w:hint="eastAsia" w:ascii="微软雅黑" w:hAnsi="微软雅黑" w:eastAsia="微软雅黑" w:cs="微软雅黑"/>
                <w:b/>
                <w:bCs/>
                <w:color w:val="auto"/>
                <w:sz w:val="24"/>
                <w:highlight w:val="none"/>
              </w:rPr>
              <w:t>初步评审—</w:t>
            </w:r>
            <w:r>
              <w:rPr>
                <w:rFonts w:hint="eastAsia" w:ascii="微软雅黑" w:hAnsi="微软雅黑" w:eastAsia="微软雅黑" w:cs="微软雅黑"/>
                <w:b/>
                <w:bCs/>
                <w:color w:val="auto"/>
                <w:kern w:val="0"/>
                <w:sz w:val="24"/>
                <w:highlight w:val="none"/>
              </w:rPr>
              <w:t>商务符合性审查表</w:t>
            </w:r>
          </w:p>
        </w:tc>
      </w:tr>
      <w:tr>
        <w:tblPrEx>
          <w:tblCellMar>
            <w:top w:w="0" w:type="dxa"/>
            <w:left w:w="108" w:type="dxa"/>
            <w:bottom w:w="0" w:type="dxa"/>
            <w:right w:w="108" w:type="dxa"/>
          </w:tblCellMar>
        </w:tblPrEx>
        <w:trPr>
          <w:trHeight w:val="319" w:hRule="atLeast"/>
        </w:trPr>
        <w:tc>
          <w:tcPr>
            <w:tcW w:w="4972" w:type="dxa"/>
            <w:gridSpan w:val="2"/>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微软雅黑" w:hAnsi="微软雅黑" w:eastAsia="微软雅黑" w:cs="微软雅黑"/>
                <w:b/>
                <w:color w:val="auto"/>
                <w:kern w:val="0"/>
                <w:sz w:val="24"/>
                <w:highlight w:val="none"/>
              </w:rPr>
            </w:pPr>
            <w:r>
              <w:rPr>
                <w:rFonts w:hint="eastAsia" w:ascii="微软雅黑" w:hAnsi="微软雅黑" w:eastAsia="微软雅黑" w:cs="微软雅黑"/>
                <w:b/>
                <w:color w:val="auto"/>
                <w:kern w:val="0"/>
                <w:sz w:val="24"/>
                <w:highlight w:val="none"/>
              </w:rPr>
              <w:t>审查事项</w:t>
            </w:r>
          </w:p>
        </w:tc>
        <w:tc>
          <w:tcPr>
            <w:tcW w:w="3728"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b/>
                <w:color w:val="auto"/>
                <w:kern w:val="0"/>
                <w:sz w:val="24"/>
                <w:highlight w:val="none"/>
              </w:rPr>
            </w:pPr>
            <w:r>
              <w:rPr>
                <w:rFonts w:hint="eastAsia" w:ascii="微软雅黑" w:hAnsi="微软雅黑" w:eastAsia="微软雅黑" w:cs="微软雅黑"/>
                <w:b/>
                <w:color w:val="auto"/>
                <w:kern w:val="0"/>
                <w:sz w:val="24"/>
                <w:highlight w:val="none"/>
              </w:rPr>
              <w:t>投标人</w:t>
            </w:r>
          </w:p>
        </w:tc>
      </w:tr>
      <w:tr>
        <w:tblPrEx>
          <w:tblCellMar>
            <w:top w:w="0" w:type="dxa"/>
            <w:left w:w="108" w:type="dxa"/>
            <w:bottom w:w="0" w:type="dxa"/>
            <w:right w:w="108" w:type="dxa"/>
          </w:tblCellMar>
        </w:tblPrEx>
        <w:trPr>
          <w:trHeight w:val="514" w:hRule="atLeast"/>
        </w:trPr>
        <w:tc>
          <w:tcPr>
            <w:tcW w:w="4972" w:type="dxa"/>
            <w:gridSpan w:val="2"/>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b/>
                <w:color w:val="auto"/>
                <w:kern w:val="0"/>
                <w:sz w:val="24"/>
                <w:highlight w:val="none"/>
              </w:rPr>
            </w:pPr>
          </w:p>
        </w:tc>
        <w:tc>
          <w:tcPr>
            <w:tcW w:w="3728"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b/>
                <w:color w:val="auto"/>
                <w:kern w:val="0"/>
                <w:sz w:val="24"/>
                <w:highlight w:val="none"/>
              </w:rPr>
            </w:pPr>
            <w:r>
              <w:rPr>
                <w:rFonts w:hint="eastAsia" w:ascii="微软雅黑" w:hAnsi="微软雅黑" w:eastAsia="微软雅黑" w:cs="微软雅黑"/>
                <w:b/>
                <w:color w:val="auto"/>
                <w:kern w:val="0"/>
                <w:sz w:val="24"/>
                <w:highlight w:val="none"/>
              </w:rPr>
              <w:t>审查情况</w:t>
            </w:r>
          </w:p>
        </w:tc>
      </w:tr>
      <w:tr>
        <w:tblPrEx>
          <w:tblCellMar>
            <w:top w:w="0" w:type="dxa"/>
            <w:left w:w="108" w:type="dxa"/>
            <w:bottom w:w="0" w:type="dxa"/>
            <w:right w:w="108" w:type="dxa"/>
          </w:tblCellMar>
        </w:tblPrEx>
        <w:trPr>
          <w:trHeight w:val="570" w:hRule="atLeast"/>
        </w:trPr>
        <w:tc>
          <w:tcPr>
            <w:tcW w:w="23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b/>
                <w:color w:val="auto"/>
                <w:kern w:val="0"/>
                <w:sz w:val="24"/>
                <w:highlight w:val="none"/>
              </w:rPr>
            </w:pPr>
            <w:r>
              <w:rPr>
                <w:rFonts w:hint="eastAsia" w:ascii="微软雅黑" w:hAnsi="微软雅黑" w:eastAsia="微软雅黑" w:cs="微软雅黑"/>
                <w:b/>
                <w:color w:val="auto"/>
                <w:kern w:val="0"/>
                <w:sz w:val="24"/>
                <w:highlight w:val="none"/>
              </w:rPr>
              <w:t>招标文件条款（投标人须知、投标人须知资料表条款号）</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b/>
                <w:color w:val="auto"/>
                <w:kern w:val="0"/>
                <w:sz w:val="24"/>
                <w:highlight w:val="none"/>
              </w:rPr>
            </w:pPr>
            <w:r>
              <w:rPr>
                <w:rFonts w:hint="eastAsia" w:ascii="微软雅黑" w:hAnsi="微软雅黑" w:eastAsia="微软雅黑" w:cs="微软雅黑"/>
                <w:b/>
                <w:color w:val="auto"/>
                <w:kern w:val="0"/>
                <w:sz w:val="24"/>
                <w:highlight w:val="none"/>
              </w:rPr>
              <w:t>本项目要求</w:t>
            </w:r>
          </w:p>
        </w:tc>
        <w:tc>
          <w:tcPr>
            <w:tcW w:w="9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12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blPrEx>
          <w:tblCellMar>
            <w:top w:w="0" w:type="dxa"/>
            <w:left w:w="108" w:type="dxa"/>
            <w:bottom w:w="0" w:type="dxa"/>
            <w:right w:w="108" w:type="dxa"/>
          </w:tblCellMar>
        </w:tblPrEx>
        <w:trPr>
          <w:trHeight w:val="510" w:hRule="atLeast"/>
        </w:trPr>
        <w:tc>
          <w:tcPr>
            <w:tcW w:w="23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中小企业投标要求（1.3.5）</w:t>
            </w:r>
          </w:p>
        </w:tc>
        <w:tc>
          <w:tcPr>
            <w:tcW w:w="261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本项目</w:t>
            </w:r>
            <w:r>
              <w:rPr>
                <w:rFonts w:hint="eastAsia" w:ascii="微软雅黑" w:hAnsi="微软雅黑" w:eastAsia="微软雅黑" w:cs="微软雅黑"/>
                <w:i/>
                <w:color w:val="auto"/>
                <w:kern w:val="0"/>
                <w:sz w:val="24"/>
                <w:highlight w:val="none"/>
                <w:u w:val="single"/>
              </w:rPr>
              <w:t>不适用</w:t>
            </w:r>
          </w:p>
        </w:tc>
        <w:tc>
          <w:tcPr>
            <w:tcW w:w="98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p>
        </w:tc>
        <w:tc>
          <w:tcPr>
            <w:tcW w:w="112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p>
        </w:tc>
        <w:tc>
          <w:tcPr>
            <w:tcW w:w="1612"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p>
        </w:tc>
      </w:tr>
      <w:tr>
        <w:trPr>
          <w:trHeight w:val="510" w:hRule="atLeast"/>
        </w:trPr>
        <w:tc>
          <w:tcPr>
            <w:tcW w:w="23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联合体投标规定</w:t>
            </w:r>
          </w:p>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（1.4）</w:t>
            </w:r>
          </w:p>
        </w:tc>
        <w:tc>
          <w:tcPr>
            <w:tcW w:w="261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本项目</w:t>
            </w:r>
            <w:r>
              <w:rPr>
                <w:rFonts w:hint="eastAsia" w:ascii="微软雅黑" w:hAnsi="微软雅黑" w:eastAsia="微软雅黑" w:cs="微软雅黑"/>
                <w:i/>
                <w:color w:val="auto"/>
                <w:kern w:val="0"/>
                <w:sz w:val="24"/>
                <w:highlight w:val="none"/>
                <w:u w:val="single"/>
              </w:rPr>
              <w:t>不接受联合体投标</w:t>
            </w:r>
          </w:p>
        </w:tc>
        <w:tc>
          <w:tcPr>
            <w:tcW w:w="98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12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10" w:hRule="atLeast"/>
        </w:trPr>
        <w:tc>
          <w:tcPr>
            <w:tcW w:w="23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投标人的关联性</w:t>
            </w:r>
          </w:p>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（1.5）</w:t>
            </w:r>
          </w:p>
        </w:tc>
        <w:tc>
          <w:tcPr>
            <w:tcW w:w="261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xml:space="preserve">在同一标包内，单位负责人非同一人或者不存在直接控股、管理关系的不同供应商。 </w:t>
            </w:r>
          </w:p>
        </w:tc>
        <w:tc>
          <w:tcPr>
            <w:tcW w:w="98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12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10" w:hRule="atLeast"/>
        </w:trPr>
        <w:tc>
          <w:tcPr>
            <w:tcW w:w="23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未参与其他服务</w:t>
            </w:r>
          </w:p>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（1.6）</w:t>
            </w:r>
          </w:p>
        </w:tc>
        <w:tc>
          <w:tcPr>
            <w:tcW w:w="261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sz w:val="24"/>
                <w:highlight w:val="none"/>
              </w:rPr>
              <w:t>未为本项目提供整体设计、规范编制或者项目管理、监理、检测等服务。</w:t>
            </w:r>
          </w:p>
        </w:tc>
        <w:tc>
          <w:tcPr>
            <w:tcW w:w="98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12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10" w:hRule="atLeast"/>
        </w:trPr>
        <w:tc>
          <w:tcPr>
            <w:tcW w:w="23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未发现影响采购人决策行为（1.7）</w:t>
            </w:r>
          </w:p>
        </w:tc>
        <w:tc>
          <w:tcPr>
            <w:tcW w:w="261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sz w:val="24"/>
                <w:highlight w:val="none"/>
              </w:rPr>
              <w:t>投标人在投标过程中未向采购人提供、给予任何有价值的物品，影响其正常决策行为。</w:t>
            </w:r>
          </w:p>
        </w:tc>
        <w:tc>
          <w:tcPr>
            <w:tcW w:w="98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12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10" w:hRule="atLeast"/>
        </w:trPr>
        <w:tc>
          <w:tcPr>
            <w:tcW w:w="23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满足投标范围的完整性要求</w:t>
            </w:r>
          </w:p>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（8.1）</w:t>
            </w:r>
          </w:p>
        </w:tc>
        <w:tc>
          <w:tcPr>
            <w:tcW w:w="261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sz w:val="24"/>
                <w:highlight w:val="none"/>
              </w:rPr>
              <w:t xml:space="preserve">投标人对所投分包招标文件中所列的所有内容进行投标。 </w:t>
            </w:r>
          </w:p>
        </w:tc>
        <w:tc>
          <w:tcPr>
            <w:tcW w:w="98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p>
        </w:tc>
        <w:tc>
          <w:tcPr>
            <w:tcW w:w="112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p>
        </w:tc>
        <w:tc>
          <w:tcPr>
            <w:tcW w:w="1612"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p>
        </w:tc>
      </w:tr>
      <w:tr>
        <w:trPr>
          <w:trHeight w:val="510" w:hRule="atLeast"/>
        </w:trPr>
        <w:tc>
          <w:tcPr>
            <w:tcW w:w="23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未包含价格调整要求</w:t>
            </w:r>
          </w:p>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（11.4）</w:t>
            </w:r>
          </w:p>
        </w:tc>
        <w:tc>
          <w:tcPr>
            <w:tcW w:w="261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sz w:val="24"/>
                <w:highlight w:val="none"/>
              </w:rPr>
              <w:t>投标人所报的各分项投标报价在合同履行过程中是固定不变的，不得以任何理由予以变更。</w:t>
            </w:r>
          </w:p>
        </w:tc>
        <w:tc>
          <w:tcPr>
            <w:tcW w:w="98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12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10" w:hRule="atLeast"/>
        </w:trPr>
        <w:tc>
          <w:tcPr>
            <w:tcW w:w="23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投标保证金（12.1）</w:t>
            </w:r>
          </w:p>
        </w:tc>
        <w:tc>
          <w:tcPr>
            <w:tcW w:w="261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符合招标文件要求</w:t>
            </w:r>
          </w:p>
        </w:tc>
        <w:tc>
          <w:tcPr>
            <w:tcW w:w="98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p>
        </w:tc>
        <w:tc>
          <w:tcPr>
            <w:tcW w:w="112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p>
        </w:tc>
        <w:tc>
          <w:tcPr>
            <w:tcW w:w="1612"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p>
        </w:tc>
      </w:tr>
      <w:tr>
        <w:trPr>
          <w:trHeight w:val="510" w:hRule="atLeast"/>
        </w:trPr>
        <w:tc>
          <w:tcPr>
            <w:tcW w:w="23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投标有效期满足要求</w:t>
            </w:r>
          </w:p>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（13.1）</w:t>
            </w:r>
          </w:p>
        </w:tc>
        <w:tc>
          <w:tcPr>
            <w:tcW w:w="261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sz w:val="24"/>
                <w:highlight w:val="none"/>
              </w:rPr>
              <w:t>自提交投标文件截止之日起</w:t>
            </w:r>
            <w:r>
              <w:rPr>
                <w:rFonts w:hint="eastAsia" w:ascii="微软雅黑" w:hAnsi="微软雅黑" w:eastAsia="微软雅黑" w:cs="微软雅黑"/>
                <w:color w:val="auto"/>
                <w:sz w:val="24"/>
                <w:highlight w:val="none"/>
                <w:u w:val="single"/>
              </w:rPr>
              <w:t xml:space="preserve"> 60日</w:t>
            </w:r>
            <w:r>
              <w:rPr>
                <w:rFonts w:hint="eastAsia" w:ascii="微软雅黑" w:hAnsi="微软雅黑" w:eastAsia="微软雅黑" w:cs="微软雅黑"/>
                <w:color w:val="auto"/>
                <w:sz w:val="24"/>
                <w:highlight w:val="none"/>
              </w:rPr>
              <w:t>历日</w:t>
            </w:r>
          </w:p>
        </w:tc>
        <w:tc>
          <w:tcPr>
            <w:tcW w:w="98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12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10" w:hRule="atLeast"/>
        </w:trPr>
        <w:tc>
          <w:tcPr>
            <w:tcW w:w="23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投标文件的签署和盖章符合要求</w:t>
            </w:r>
          </w:p>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（14.2、14.4）</w:t>
            </w:r>
          </w:p>
        </w:tc>
        <w:tc>
          <w:tcPr>
            <w:tcW w:w="261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按照招标文件规定要求签署、盖章。</w:t>
            </w:r>
          </w:p>
        </w:tc>
        <w:tc>
          <w:tcPr>
            <w:tcW w:w="98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12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70" w:hRule="atLeast"/>
        </w:trPr>
        <w:tc>
          <w:tcPr>
            <w:tcW w:w="23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投标文件的装订方式</w:t>
            </w:r>
          </w:p>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（14.3）</w:t>
            </w:r>
          </w:p>
        </w:tc>
        <w:tc>
          <w:tcPr>
            <w:tcW w:w="261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sz w:val="24"/>
                <w:highlight w:val="none"/>
              </w:rPr>
              <w:t>所有投标文件采用不可拆装的胶订方式装订</w:t>
            </w:r>
          </w:p>
        </w:tc>
        <w:tc>
          <w:tcPr>
            <w:tcW w:w="98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12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10" w:hRule="atLeast"/>
        </w:trPr>
        <w:tc>
          <w:tcPr>
            <w:tcW w:w="23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接受价格的算术修正</w:t>
            </w:r>
          </w:p>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（20.2）</w:t>
            </w:r>
          </w:p>
        </w:tc>
        <w:tc>
          <w:tcPr>
            <w:tcW w:w="261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sz w:val="24"/>
                <w:highlight w:val="none"/>
              </w:rPr>
              <w:t>投标文件报价出现前后不一致的，应按照招标文件规定的顺序修正。</w:t>
            </w:r>
          </w:p>
        </w:tc>
        <w:tc>
          <w:tcPr>
            <w:tcW w:w="98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12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10" w:hRule="atLeast"/>
        </w:trPr>
        <w:tc>
          <w:tcPr>
            <w:tcW w:w="23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符合强制采购节能产品要求</w:t>
            </w:r>
          </w:p>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（20.3）</w:t>
            </w:r>
          </w:p>
        </w:tc>
        <w:tc>
          <w:tcPr>
            <w:tcW w:w="261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本项目</w:t>
            </w:r>
            <w:r>
              <w:rPr>
                <w:rFonts w:hint="eastAsia" w:ascii="微软雅黑" w:hAnsi="微软雅黑" w:eastAsia="微软雅黑" w:cs="微软雅黑"/>
                <w:i/>
                <w:color w:val="auto"/>
                <w:kern w:val="0"/>
                <w:sz w:val="24"/>
                <w:highlight w:val="none"/>
                <w:u w:val="single"/>
              </w:rPr>
              <w:t>不适用</w:t>
            </w:r>
          </w:p>
        </w:tc>
        <w:tc>
          <w:tcPr>
            <w:tcW w:w="98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12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10" w:hRule="atLeast"/>
        </w:trPr>
        <w:tc>
          <w:tcPr>
            <w:tcW w:w="23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未发现串通投标（22.2）</w:t>
            </w:r>
          </w:p>
        </w:tc>
        <w:tc>
          <w:tcPr>
            <w:tcW w:w="261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sz w:val="24"/>
                <w:highlight w:val="none"/>
              </w:rPr>
              <w:t>未与其他投标人串通投标，或者与招标人串通投标。</w:t>
            </w:r>
          </w:p>
        </w:tc>
        <w:tc>
          <w:tcPr>
            <w:tcW w:w="98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12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10" w:hRule="atLeast"/>
        </w:trPr>
        <w:tc>
          <w:tcPr>
            <w:tcW w:w="23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报价说明可以接受（22.2）</w:t>
            </w:r>
          </w:p>
        </w:tc>
        <w:tc>
          <w:tcPr>
            <w:tcW w:w="261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sz w:val="24"/>
                <w:highlight w:val="none"/>
              </w:rPr>
              <w:t>投标人的报价明显低于其他通过符合性审查投标人的报价，有可能影响履约的，投标人能按照规定证明其报价合理性。</w:t>
            </w:r>
          </w:p>
        </w:tc>
        <w:tc>
          <w:tcPr>
            <w:tcW w:w="98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12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10" w:hRule="atLeast"/>
        </w:trPr>
        <w:tc>
          <w:tcPr>
            <w:tcW w:w="23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sz w:val="24"/>
                <w:highlight w:val="none"/>
              </w:rPr>
              <w:t>无采购人不能接受的附加条件（22.2）</w:t>
            </w:r>
          </w:p>
        </w:tc>
        <w:tc>
          <w:tcPr>
            <w:tcW w:w="261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sz w:val="24"/>
                <w:highlight w:val="none"/>
              </w:rPr>
              <w:t xml:space="preserve">投标文件未含有采购人不能接受的附加条件。 </w:t>
            </w:r>
          </w:p>
        </w:tc>
        <w:tc>
          <w:tcPr>
            <w:tcW w:w="98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p>
        </w:tc>
        <w:tc>
          <w:tcPr>
            <w:tcW w:w="1128"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p>
        </w:tc>
        <w:tc>
          <w:tcPr>
            <w:tcW w:w="1612"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微软雅黑" w:hAnsi="微软雅黑" w:eastAsia="微软雅黑" w:cs="微软雅黑"/>
                <w:color w:val="auto"/>
                <w:kern w:val="0"/>
                <w:sz w:val="24"/>
                <w:highlight w:val="none"/>
              </w:rPr>
            </w:pPr>
          </w:p>
        </w:tc>
      </w:tr>
      <w:tr>
        <w:trPr>
          <w:trHeight w:val="774" w:hRule="atLeast"/>
        </w:trPr>
        <w:tc>
          <w:tcPr>
            <w:tcW w:w="497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b/>
                <w:color w:val="auto"/>
                <w:sz w:val="24"/>
                <w:highlight w:val="none"/>
              </w:rPr>
            </w:pPr>
            <w:r>
              <w:rPr>
                <w:rFonts w:hint="eastAsia" w:ascii="微软雅黑" w:hAnsi="微软雅黑" w:eastAsia="微软雅黑" w:cs="微软雅黑"/>
                <w:b/>
                <w:color w:val="auto"/>
                <w:kern w:val="0"/>
                <w:sz w:val="24"/>
                <w:highlight w:val="none"/>
              </w:rPr>
              <w:t>结论</w:t>
            </w:r>
          </w:p>
        </w:tc>
        <w:tc>
          <w:tcPr>
            <w:tcW w:w="98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p>
        </w:tc>
        <w:tc>
          <w:tcPr>
            <w:tcW w:w="112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p>
        </w:tc>
        <w:tc>
          <w:tcPr>
            <w:tcW w:w="161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cs="微软雅黑"/>
                <w:color w:val="auto"/>
                <w:kern w:val="0"/>
                <w:sz w:val="24"/>
                <w:highlight w:val="none"/>
              </w:rPr>
            </w:pPr>
          </w:p>
        </w:tc>
      </w:tr>
    </w:tbl>
    <w:p>
      <w:pPr>
        <w:pStyle w:val="9"/>
        <w:tabs>
          <w:tab w:val="clear" w:pos="567"/>
        </w:tabs>
        <w:spacing w:before="0" w:line="360" w:lineRule="auto"/>
        <w:ind w:left="-181" w:leftChars="-86" w:firstLine="577" w:firstLineChars="275"/>
        <w:rPr>
          <w:rFonts w:cs="宋体"/>
          <w:color w:val="auto"/>
          <w:sz w:val="21"/>
          <w:szCs w:val="21"/>
          <w:highlight w:val="none"/>
        </w:rPr>
      </w:pPr>
      <w:r>
        <w:rPr>
          <w:rFonts w:hint="eastAsia" w:cs="宋体"/>
          <w:color w:val="auto"/>
          <w:sz w:val="21"/>
          <w:szCs w:val="21"/>
          <w:highlight w:val="none"/>
        </w:rPr>
        <w:br w:type="page"/>
      </w:r>
    </w:p>
    <w:tbl>
      <w:tblPr>
        <w:tblStyle w:val="35"/>
        <w:tblW w:w="8700" w:type="dxa"/>
        <w:tblInd w:w="108" w:type="dxa"/>
        <w:tblLayout w:type="fixed"/>
        <w:tblCellMar>
          <w:top w:w="0" w:type="dxa"/>
          <w:left w:w="108" w:type="dxa"/>
          <w:bottom w:w="0" w:type="dxa"/>
          <w:right w:w="108" w:type="dxa"/>
        </w:tblCellMar>
      </w:tblPr>
      <w:tblGrid>
        <w:gridCol w:w="2820"/>
        <w:gridCol w:w="920"/>
        <w:gridCol w:w="1505"/>
        <w:gridCol w:w="1843"/>
        <w:gridCol w:w="1612"/>
      </w:tblGrid>
      <w:tr>
        <w:trPr>
          <w:trHeight w:val="585" w:hRule="atLeast"/>
        </w:trPr>
        <w:tc>
          <w:tcPr>
            <w:tcW w:w="8700" w:type="dxa"/>
            <w:gridSpan w:val="5"/>
            <w:tcBorders>
              <w:top w:val="nil"/>
              <w:left w:val="nil"/>
              <w:bottom w:val="single" w:color="auto" w:sz="4" w:space="0"/>
              <w:right w:val="nil"/>
            </w:tcBorders>
            <w:vAlign w:val="center"/>
          </w:tcPr>
          <w:p>
            <w:pPr>
              <w:widowControl/>
              <w:jc w:val="center"/>
              <w:rPr>
                <w:rFonts w:ascii="微软雅黑" w:hAnsi="微软雅黑" w:eastAsia="微软雅黑" w:cs="微软雅黑"/>
                <w:b/>
                <w:bCs/>
                <w:color w:val="auto"/>
                <w:kern w:val="0"/>
                <w:sz w:val="24"/>
                <w:highlight w:val="none"/>
              </w:rPr>
            </w:pPr>
            <w:r>
              <w:rPr>
                <w:rFonts w:hint="eastAsia" w:ascii="微软雅黑" w:hAnsi="微软雅黑" w:eastAsia="微软雅黑" w:cs="微软雅黑"/>
                <w:b/>
                <w:bCs/>
                <w:color w:val="auto"/>
                <w:sz w:val="24"/>
                <w:highlight w:val="none"/>
              </w:rPr>
              <w:t>初步评审—</w:t>
            </w:r>
            <w:r>
              <w:rPr>
                <w:rFonts w:hint="eastAsia" w:ascii="微软雅黑" w:hAnsi="微软雅黑" w:eastAsia="微软雅黑" w:cs="微软雅黑"/>
                <w:b/>
                <w:bCs/>
                <w:color w:val="auto"/>
                <w:kern w:val="0"/>
                <w:sz w:val="24"/>
                <w:highlight w:val="none"/>
              </w:rPr>
              <w:t>技术符合性审查表</w:t>
            </w:r>
          </w:p>
        </w:tc>
      </w:tr>
      <w:tr>
        <w:tblPrEx>
          <w:tblCellMar>
            <w:top w:w="0" w:type="dxa"/>
            <w:left w:w="108" w:type="dxa"/>
            <w:bottom w:w="0" w:type="dxa"/>
            <w:right w:w="108" w:type="dxa"/>
          </w:tblCellMar>
        </w:tblPrEx>
        <w:trPr>
          <w:trHeight w:val="390" w:hRule="atLeast"/>
        </w:trPr>
        <w:tc>
          <w:tcPr>
            <w:tcW w:w="3740"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审查事项</w:t>
            </w:r>
          </w:p>
        </w:tc>
        <w:tc>
          <w:tcPr>
            <w:tcW w:w="1505"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投标人名称</w:t>
            </w:r>
          </w:p>
        </w:tc>
        <w:tc>
          <w:tcPr>
            <w:tcW w:w="1843"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投标人名称</w:t>
            </w:r>
          </w:p>
        </w:tc>
        <w:tc>
          <w:tcPr>
            <w:tcW w:w="1612"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投标人名称</w:t>
            </w:r>
          </w:p>
        </w:tc>
      </w:tr>
      <w:tr>
        <w:tblPrEx>
          <w:tblCellMar>
            <w:top w:w="0" w:type="dxa"/>
            <w:left w:w="108" w:type="dxa"/>
            <w:bottom w:w="0" w:type="dxa"/>
            <w:right w:w="108" w:type="dxa"/>
          </w:tblCellMar>
        </w:tblPrEx>
        <w:trPr>
          <w:trHeight w:val="570" w:hRule="atLeast"/>
        </w:trPr>
        <w:tc>
          <w:tcPr>
            <w:tcW w:w="374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微软雅黑" w:hAnsi="微软雅黑" w:eastAsia="微软雅黑" w:cs="微软雅黑"/>
                <w:color w:val="auto"/>
                <w:kern w:val="0"/>
                <w:sz w:val="24"/>
                <w:highlight w:val="none"/>
              </w:rPr>
            </w:pPr>
          </w:p>
        </w:tc>
        <w:tc>
          <w:tcPr>
            <w:tcW w:w="1505"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招标文件要求</w:t>
            </w:r>
          </w:p>
        </w:tc>
        <w:tc>
          <w:tcPr>
            <w:tcW w:w="920"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条款号</w:t>
            </w:r>
          </w:p>
        </w:tc>
        <w:tc>
          <w:tcPr>
            <w:tcW w:w="1505"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采购需求</w:t>
            </w:r>
          </w:p>
        </w:tc>
        <w:tc>
          <w:tcPr>
            <w:tcW w:w="920"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第5章</w:t>
            </w:r>
          </w:p>
        </w:tc>
        <w:tc>
          <w:tcPr>
            <w:tcW w:w="1505"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b/>
                <w:bCs/>
                <w:color w:val="auto"/>
                <w:kern w:val="0"/>
                <w:sz w:val="24"/>
                <w:highlight w:val="none"/>
              </w:rPr>
            </w:pPr>
            <w:r>
              <w:rPr>
                <w:rFonts w:hint="eastAsia" w:ascii="微软雅黑" w:hAnsi="微软雅黑" w:eastAsia="微软雅黑" w:cs="微软雅黑"/>
                <w:b/>
                <w:bCs/>
                <w:color w:val="auto"/>
                <w:kern w:val="0"/>
                <w:sz w:val="24"/>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b/>
                <w:bCs/>
                <w:color w:val="auto"/>
                <w:kern w:val="0"/>
                <w:sz w:val="24"/>
                <w:highlight w:val="none"/>
              </w:rPr>
            </w:pPr>
            <w:r>
              <w:rPr>
                <w:rFonts w:hint="eastAsia" w:ascii="微软雅黑" w:hAnsi="微软雅黑" w:eastAsia="微软雅黑" w:cs="微软雅黑"/>
                <w:b/>
                <w:bCs/>
                <w:color w:val="auto"/>
                <w:kern w:val="0"/>
                <w:sz w:val="24"/>
                <w:highlight w:val="none"/>
              </w:rPr>
              <w:t>　</w:t>
            </w:r>
          </w:p>
        </w:tc>
      </w:tr>
      <w:tr>
        <w:tblPrEx>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920"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1505"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920"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1505"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70" w:hRule="atLeast"/>
        </w:trPr>
        <w:tc>
          <w:tcPr>
            <w:tcW w:w="2820" w:type="dxa"/>
            <w:tcBorders>
              <w:top w:val="nil"/>
              <w:left w:val="single" w:color="auto" w:sz="4" w:space="0"/>
              <w:bottom w:val="nil"/>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920" w:type="dxa"/>
            <w:tcBorders>
              <w:top w:val="nil"/>
              <w:left w:val="nil"/>
              <w:bottom w:val="nil"/>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1505" w:type="dxa"/>
            <w:tcBorders>
              <w:top w:val="nil"/>
              <w:left w:val="nil"/>
              <w:bottom w:val="nil"/>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843" w:type="dxa"/>
            <w:tcBorders>
              <w:top w:val="nil"/>
              <w:left w:val="nil"/>
              <w:bottom w:val="nil"/>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nil"/>
              <w:left w:val="nil"/>
              <w:bottom w:val="nil"/>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70" w:hRule="atLeast"/>
        </w:trPr>
        <w:tc>
          <w:tcPr>
            <w:tcW w:w="28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1505" w:type="dxa"/>
            <w:tcBorders>
              <w:top w:val="single" w:color="auto" w:sz="4" w:space="0"/>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single" w:color="auto" w:sz="4" w:space="0"/>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920"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1505"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920"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1505"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920"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1505"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920"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1505"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920"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1505"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920"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1505"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920"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1505"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920"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1505"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920"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p>
        </w:tc>
        <w:tc>
          <w:tcPr>
            <w:tcW w:w="1505"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843"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r>
        <w:trPr>
          <w:trHeight w:val="570" w:hRule="atLeast"/>
        </w:trPr>
        <w:tc>
          <w:tcPr>
            <w:tcW w:w="37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结论</w:t>
            </w:r>
          </w:p>
        </w:tc>
        <w:tc>
          <w:tcPr>
            <w:tcW w:w="1505"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843"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c>
          <w:tcPr>
            <w:tcW w:w="1612"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微软雅黑"/>
                <w:color w:val="auto"/>
                <w:kern w:val="0"/>
                <w:sz w:val="24"/>
                <w:highlight w:val="none"/>
              </w:rPr>
            </w:pPr>
            <w:r>
              <w:rPr>
                <w:rFonts w:hint="eastAsia" w:ascii="微软雅黑" w:hAnsi="微软雅黑" w:eastAsia="微软雅黑" w:cs="微软雅黑"/>
                <w:color w:val="auto"/>
                <w:kern w:val="0"/>
                <w:sz w:val="24"/>
                <w:highlight w:val="none"/>
              </w:rPr>
              <w:t>　</w:t>
            </w:r>
          </w:p>
        </w:tc>
      </w:tr>
    </w:tbl>
    <w:p>
      <w:pPr>
        <w:spacing w:line="300" w:lineRule="auto"/>
        <w:jc w:val="center"/>
        <w:rPr>
          <w:rFonts w:ascii="宋体" w:hAnsi="宋体" w:cs="宋体"/>
          <w:b/>
          <w:bCs/>
          <w:color w:val="auto"/>
          <w:szCs w:val="21"/>
          <w:highlight w:val="none"/>
        </w:rPr>
      </w:pPr>
    </w:p>
    <w:p>
      <w:pPr>
        <w:pStyle w:val="2"/>
        <w:ind w:firstLine="0"/>
        <w:rPr>
          <w:color w:val="auto"/>
          <w:sz w:val="30"/>
          <w:szCs w:val="30"/>
          <w:highlight w:val="none"/>
        </w:rPr>
      </w:pPr>
    </w:p>
    <w:p>
      <w:pPr>
        <w:pStyle w:val="2"/>
        <w:ind w:firstLine="0"/>
        <w:rPr>
          <w:color w:val="auto"/>
          <w:sz w:val="30"/>
          <w:szCs w:val="30"/>
          <w:highlight w:val="none"/>
        </w:rPr>
      </w:pPr>
    </w:p>
    <w:p>
      <w:pPr>
        <w:rPr>
          <w:color w:val="auto"/>
          <w:sz w:val="30"/>
          <w:szCs w:val="30"/>
          <w:highlight w:val="none"/>
        </w:rPr>
      </w:pPr>
    </w:p>
    <w:p>
      <w:pPr>
        <w:pStyle w:val="25"/>
        <w:rPr>
          <w:color w:val="auto"/>
          <w:sz w:val="30"/>
          <w:szCs w:val="30"/>
          <w:highlight w:val="none"/>
        </w:rPr>
      </w:pPr>
    </w:p>
    <w:p>
      <w:pPr>
        <w:pStyle w:val="25"/>
        <w:rPr>
          <w:color w:val="auto"/>
          <w:sz w:val="30"/>
          <w:szCs w:val="30"/>
          <w:highlight w:val="none"/>
        </w:rPr>
      </w:pPr>
    </w:p>
    <w:tbl>
      <w:tblPr>
        <w:tblStyle w:val="36"/>
        <w:tblpPr w:leftFromText="180" w:rightFromText="180" w:vertAnchor="text" w:tblpX="10201" w:tblpY="3136"/>
        <w:tblOverlap w:val="never"/>
        <w:tblW w:w="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776" w:type="dxa"/>
          </w:tcPr>
          <w:p>
            <w:pPr>
              <w:spacing w:line="300" w:lineRule="auto"/>
              <w:jc w:val="center"/>
              <w:outlineLvl w:val="1"/>
              <w:rPr>
                <w:rFonts w:ascii="宋体" w:hAnsi="宋体" w:cs="宋体"/>
                <w:b/>
                <w:bCs/>
                <w:color w:val="auto"/>
                <w:sz w:val="30"/>
                <w:szCs w:val="30"/>
                <w:highlight w:val="none"/>
              </w:rPr>
            </w:pPr>
            <w:bookmarkStart w:id="437" w:name="_Toc19967"/>
            <w:bookmarkStart w:id="438" w:name="_Toc31737"/>
            <w:bookmarkStart w:id="439" w:name="_Toc11449"/>
            <w:bookmarkStart w:id="440" w:name="_Toc3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776" w:type="dxa"/>
          </w:tcPr>
          <w:p>
            <w:pPr>
              <w:spacing w:line="300" w:lineRule="auto"/>
              <w:jc w:val="center"/>
              <w:outlineLvl w:val="1"/>
              <w:rPr>
                <w:rFonts w:ascii="宋体" w:hAnsi="宋体" w:cs="宋体"/>
                <w:b/>
                <w:bCs/>
                <w:color w:val="auto"/>
                <w:sz w:val="30"/>
                <w:szCs w:val="30"/>
                <w:highlight w:val="none"/>
              </w:rPr>
            </w:pPr>
          </w:p>
        </w:tc>
      </w:tr>
    </w:tbl>
    <w:tbl>
      <w:tblPr>
        <w:tblStyle w:val="36"/>
        <w:tblpPr w:leftFromText="180" w:rightFromText="180" w:vertAnchor="text" w:tblpX="10201" w:tblpY="5401"/>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324" w:type="dxa"/>
          </w:tcPr>
          <w:p>
            <w:pPr>
              <w:spacing w:line="300" w:lineRule="auto"/>
              <w:jc w:val="center"/>
              <w:outlineLvl w:val="1"/>
              <w:rPr>
                <w:rFonts w:ascii="宋体" w:hAnsi="宋体" w:cs="宋体"/>
                <w:b/>
                <w:bCs/>
                <w:color w:val="auto"/>
                <w:sz w:val="30"/>
                <w:szCs w:val="30"/>
                <w:highlight w:val="none"/>
              </w:rPr>
            </w:pPr>
          </w:p>
        </w:tc>
      </w:tr>
    </w:tbl>
    <w:tbl>
      <w:tblPr>
        <w:tblStyle w:val="36"/>
        <w:tblpPr w:leftFromText="180" w:rightFromText="180" w:vertAnchor="text" w:tblpX="10201" w:tblpY="3112"/>
        <w:tblOverlap w:val="never"/>
        <w:tblW w:w="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643" w:type="dxa"/>
          </w:tcPr>
          <w:p>
            <w:pPr>
              <w:spacing w:line="300" w:lineRule="auto"/>
              <w:jc w:val="center"/>
              <w:outlineLvl w:val="1"/>
              <w:rPr>
                <w:rFonts w:ascii="宋体" w:hAnsi="宋体" w:cs="宋体"/>
                <w:b/>
                <w:bCs/>
                <w:color w:val="auto"/>
                <w:sz w:val="30"/>
                <w:szCs w:val="30"/>
                <w:highlight w:val="none"/>
              </w:rPr>
            </w:pPr>
          </w:p>
        </w:tc>
      </w:tr>
    </w:tbl>
    <w:p>
      <w:pPr>
        <w:spacing w:line="300" w:lineRule="auto"/>
        <w:jc w:val="center"/>
        <w:outlineLvl w:val="1"/>
        <w:rPr>
          <w:rFonts w:ascii="微软雅黑" w:hAnsi="微软雅黑" w:eastAsia="微软雅黑" w:cs="微软雅黑"/>
          <w:color w:val="auto"/>
          <w:sz w:val="24"/>
          <w:highlight w:val="none"/>
        </w:rPr>
      </w:pPr>
      <w:r>
        <w:rPr>
          <w:rFonts w:hint="eastAsia" w:ascii="微软雅黑" w:hAnsi="微软雅黑" w:eastAsia="微软雅黑" w:cs="微软雅黑"/>
          <w:b/>
          <w:bCs/>
          <w:color w:val="auto"/>
          <w:sz w:val="24"/>
          <w:highlight w:val="none"/>
        </w:rPr>
        <w:t>详细评审-综合评分表</w:t>
      </w:r>
      <w:bookmarkEnd w:id="437"/>
      <w:bookmarkEnd w:id="438"/>
      <w:bookmarkEnd w:id="439"/>
      <w:bookmarkEnd w:id="440"/>
      <w:bookmarkStart w:id="441" w:name="_Toc507399904"/>
    </w:p>
    <w:tbl>
      <w:tblPr>
        <w:tblStyle w:val="35"/>
        <w:tblW w:w="88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2"/>
        <w:gridCol w:w="1667"/>
        <w:gridCol w:w="1014"/>
        <w:gridCol w:w="5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jc w:val="center"/>
        </w:trPr>
        <w:tc>
          <w:tcPr>
            <w:tcW w:w="772" w:type="dxa"/>
            <w:tcBorders>
              <w:tl2br w:val="nil"/>
              <w:tr2bl w:val="nil"/>
            </w:tcBorders>
            <w:tcMar>
              <w:top w:w="0" w:type="dxa"/>
              <w:left w:w="108" w:type="dxa"/>
              <w:bottom w:w="0" w:type="dxa"/>
              <w:right w:w="108" w:type="dxa"/>
            </w:tcMar>
            <w:vAlign w:val="center"/>
          </w:tcPr>
          <w:p>
            <w:pPr>
              <w:spacing w:line="440" w:lineRule="exact"/>
              <w:jc w:val="center"/>
              <w:rPr>
                <w:rFonts w:ascii="微软雅黑" w:hAnsi="微软雅黑" w:eastAsia="微软雅黑" w:cs="微软雅黑"/>
                <w:b/>
                <w:bCs/>
                <w:color w:val="auto"/>
                <w:sz w:val="24"/>
                <w:highlight w:val="none"/>
              </w:rPr>
            </w:pPr>
            <w:bookmarkStart w:id="442" w:name="_Toc6865"/>
            <w:bookmarkStart w:id="443" w:name="_Toc4796"/>
            <w:bookmarkStart w:id="444" w:name="_Toc10018"/>
            <w:bookmarkStart w:id="445" w:name="_Toc515647833"/>
            <w:bookmarkStart w:id="446" w:name="_Toc28085"/>
            <w:r>
              <w:rPr>
                <w:rFonts w:hint="eastAsia" w:ascii="微软雅黑" w:hAnsi="微软雅黑" w:eastAsia="微软雅黑" w:cs="微软雅黑"/>
                <w:b/>
                <w:bCs/>
                <w:color w:val="auto"/>
                <w:sz w:val="24"/>
                <w:highlight w:val="none"/>
              </w:rPr>
              <w:t>标注</w:t>
            </w:r>
          </w:p>
        </w:tc>
        <w:tc>
          <w:tcPr>
            <w:tcW w:w="1667" w:type="dxa"/>
            <w:tcBorders>
              <w:tl2br w:val="nil"/>
              <w:tr2bl w:val="nil"/>
            </w:tcBorders>
            <w:tcMar>
              <w:top w:w="0" w:type="dxa"/>
              <w:left w:w="108" w:type="dxa"/>
              <w:bottom w:w="0" w:type="dxa"/>
              <w:right w:w="108" w:type="dxa"/>
            </w:tcMar>
            <w:vAlign w:val="center"/>
          </w:tcPr>
          <w:p>
            <w:pPr>
              <w:spacing w:line="440" w:lineRule="exact"/>
              <w:jc w:val="center"/>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评审项目</w:t>
            </w:r>
          </w:p>
        </w:tc>
        <w:tc>
          <w:tcPr>
            <w:tcW w:w="1014" w:type="dxa"/>
            <w:tcBorders>
              <w:tl2br w:val="nil"/>
              <w:tr2bl w:val="nil"/>
            </w:tcBorders>
            <w:tcMar>
              <w:top w:w="0" w:type="dxa"/>
              <w:left w:w="108" w:type="dxa"/>
              <w:bottom w:w="0" w:type="dxa"/>
              <w:right w:w="108" w:type="dxa"/>
            </w:tcMar>
            <w:vAlign w:val="center"/>
          </w:tcPr>
          <w:p>
            <w:pPr>
              <w:spacing w:line="440" w:lineRule="exact"/>
              <w:jc w:val="center"/>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标准分</w:t>
            </w:r>
          </w:p>
        </w:tc>
        <w:tc>
          <w:tcPr>
            <w:tcW w:w="5359" w:type="dxa"/>
            <w:tcBorders>
              <w:tl2br w:val="nil"/>
              <w:tr2bl w:val="nil"/>
            </w:tcBorders>
            <w:tcMar>
              <w:top w:w="0" w:type="dxa"/>
              <w:left w:w="108" w:type="dxa"/>
              <w:bottom w:w="0" w:type="dxa"/>
              <w:right w:w="108" w:type="dxa"/>
            </w:tcMar>
            <w:vAlign w:val="center"/>
          </w:tcPr>
          <w:p>
            <w:pPr>
              <w:spacing w:line="440" w:lineRule="exact"/>
              <w:jc w:val="center"/>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3" w:hRule="atLeast"/>
          <w:jc w:val="center"/>
        </w:trPr>
        <w:tc>
          <w:tcPr>
            <w:tcW w:w="772" w:type="dxa"/>
            <w:tcBorders>
              <w:tl2br w:val="nil"/>
              <w:tr2bl w:val="nil"/>
            </w:tcBorders>
            <w:tcMar>
              <w:top w:w="0" w:type="dxa"/>
              <w:left w:w="108" w:type="dxa"/>
              <w:bottom w:w="0" w:type="dxa"/>
              <w:right w:w="108" w:type="dxa"/>
            </w:tcMar>
            <w:vAlign w:val="center"/>
          </w:tcPr>
          <w:p>
            <w:pPr>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A</w:t>
            </w:r>
          </w:p>
        </w:tc>
        <w:tc>
          <w:tcPr>
            <w:tcW w:w="1667" w:type="dxa"/>
            <w:tcBorders>
              <w:tl2br w:val="nil"/>
              <w:tr2bl w:val="nil"/>
            </w:tcBorders>
            <w:tcMar>
              <w:top w:w="0" w:type="dxa"/>
              <w:left w:w="108" w:type="dxa"/>
              <w:bottom w:w="0" w:type="dxa"/>
              <w:right w:w="108" w:type="dxa"/>
            </w:tcMar>
            <w:vAlign w:val="center"/>
          </w:tcPr>
          <w:p>
            <w:pPr>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报价部分</w:t>
            </w:r>
          </w:p>
        </w:tc>
        <w:tc>
          <w:tcPr>
            <w:tcW w:w="1014" w:type="dxa"/>
            <w:tcBorders>
              <w:tl2br w:val="nil"/>
              <w:tr2bl w:val="nil"/>
            </w:tcBorders>
            <w:tcMar>
              <w:top w:w="0" w:type="dxa"/>
              <w:left w:w="108" w:type="dxa"/>
              <w:bottom w:w="0" w:type="dxa"/>
              <w:right w:w="108" w:type="dxa"/>
            </w:tcMar>
            <w:vAlign w:val="center"/>
          </w:tcPr>
          <w:p>
            <w:pPr>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10分</w:t>
            </w:r>
          </w:p>
        </w:tc>
        <w:tc>
          <w:tcPr>
            <w:tcW w:w="5359" w:type="dxa"/>
            <w:tcBorders>
              <w:tl2br w:val="nil"/>
              <w:tr2bl w:val="nil"/>
            </w:tcBorders>
            <w:tcMar>
              <w:top w:w="0" w:type="dxa"/>
              <w:left w:w="108" w:type="dxa"/>
              <w:bottom w:w="0" w:type="dxa"/>
              <w:right w:w="108" w:type="dxa"/>
            </w:tcMar>
            <w:vAlign w:val="center"/>
          </w:tcPr>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满足招标文件要求且投标价格最低的投标报价为评标基准价，其价格分为满分10分。其他投标人的价格分统一按照下列公式计算：</w:t>
            </w:r>
          </w:p>
          <w:p>
            <w:pPr>
              <w:spacing w:line="40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投标报价得分=(评标基准价／投标报价)×价格权值×100%（价格权值为10分）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1" w:hRule="atLeast"/>
          <w:jc w:val="center"/>
        </w:trPr>
        <w:tc>
          <w:tcPr>
            <w:tcW w:w="772" w:type="dxa"/>
            <w:tcBorders>
              <w:tl2br w:val="nil"/>
              <w:tr2bl w:val="nil"/>
            </w:tcBorders>
            <w:tcMar>
              <w:top w:w="0" w:type="dxa"/>
              <w:left w:w="108" w:type="dxa"/>
              <w:bottom w:w="0" w:type="dxa"/>
              <w:right w:w="108" w:type="dxa"/>
            </w:tcMar>
            <w:vAlign w:val="center"/>
          </w:tcPr>
          <w:p>
            <w:pPr>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B</w:t>
            </w:r>
          </w:p>
        </w:tc>
        <w:tc>
          <w:tcPr>
            <w:tcW w:w="1667" w:type="dxa"/>
            <w:tcBorders>
              <w:tl2br w:val="nil"/>
              <w:tr2bl w:val="nil"/>
            </w:tcBorders>
            <w:tcMar>
              <w:top w:w="0" w:type="dxa"/>
              <w:left w:w="108" w:type="dxa"/>
              <w:bottom w:w="0" w:type="dxa"/>
              <w:right w:w="108" w:type="dxa"/>
            </w:tcMar>
            <w:vAlign w:val="center"/>
          </w:tcPr>
          <w:p>
            <w:pPr>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技术和</w:t>
            </w:r>
          </w:p>
          <w:p>
            <w:pPr>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商务部分</w:t>
            </w:r>
          </w:p>
        </w:tc>
        <w:tc>
          <w:tcPr>
            <w:tcW w:w="6373" w:type="dxa"/>
            <w:gridSpan w:val="2"/>
            <w:tcBorders>
              <w:tl2br w:val="nil"/>
              <w:tr2bl w:val="nil"/>
            </w:tcBorders>
            <w:tcMar>
              <w:top w:w="0" w:type="dxa"/>
              <w:left w:w="108" w:type="dxa"/>
              <w:bottom w:w="0" w:type="dxa"/>
              <w:right w:w="108" w:type="dxa"/>
            </w:tcMar>
            <w:vAlign w:val="center"/>
          </w:tcPr>
          <w:p>
            <w:pPr>
              <w:spacing w:line="400" w:lineRule="exact"/>
              <w:ind w:firstLine="240" w:firstLineChars="100"/>
              <w:jc w:val="lef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90分（各投标人技术和商务部分得分为去掉各评委评分中最高分和最低分后的平均值。）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4" w:hRule="atLeast"/>
          <w:jc w:val="center"/>
        </w:trPr>
        <w:tc>
          <w:tcPr>
            <w:tcW w:w="772" w:type="dxa"/>
            <w:tcBorders>
              <w:tl2br w:val="nil"/>
              <w:tr2bl w:val="nil"/>
            </w:tcBorders>
            <w:tcMar>
              <w:top w:w="0" w:type="dxa"/>
              <w:left w:w="108" w:type="dxa"/>
              <w:bottom w:w="0" w:type="dxa"/>
              <w:right w:w="108" w:type="dxa"/>
            </w:tcMar>
            <w:vAlign w:val="center"/>
          </w:tcPr>
          <w:p>
            <w:pPr>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w:t>
            </w:r>
          </w:p>
        </w:tc>
        <w:tc>
          <w:tcPr>
            <w:tcW w:w="1667" w:type="dxa"/>
            <w:tcBorders>
              <w:tl2br w:val="nil"/>
              <w:tr2bl w:val="nil"/>
            </w:tcBorders>
            <w:tcMar>
              <w:top w:w="0" w:type="dxa"/>
              <w:left w:w="108" w:type="dxa"/>
              <w:bottom w:w="0" w:type="dxa"/>
              <w:right w:w="108" w:type="dxa"/>
            </w:tcMar>
            <w:vAlign w:val="center"/>
          </w:tcPr>
          <w:p>
            <w:pPr>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技术响应</w:t>
            </w:r>
          </w:p>
        </w:tc>
        <w:tc>
          <w:tcPr>
            <w:tcW w:w="1014" w:type="dxa"/>
            <w:tcBorders>
              <w:tl2br w:val="nil"/>
              <w:tr2bl w:val="nil"/>
            </w:tcBorders>
            <w:tcMar>
              <w:top w:w="0" w:type="dxa"/>
              <w:left w:w="108" w:type="dxa"/>
              <w:bottom w:w="0" w:type="dxa"/>
              <w:right w:w="108" w:type="dxa"/>
            </w:tcMar>
            <w:vAlign w:val="center"/>
          </w:tcPr>
          <w:p>
            <w:pPr>
              <w:snapToGrid w:val="0"/>
              <w:spacing w:before="100" w:beforeAutospacing="1" w:after="100" w:afterAutospacing="1" w:line="400" w:lineRule="exact"/>
              <w:ind w:left="65" w:leftChars="-51" w:hanging="172" w:hangingChars="72"/>
              <w:jc w:val="center"/>
              <w:textAlignment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35</w:t>
            </w:r>
          </w:p>
        </w:tc>
        <w:tc>
          <w:tcPr>
            <w:tcW w:w="5359" w:type="dxa"/>
            <w:tcBorders>
              <w:tl2br w:val="nil"/>
              <w:tr2bl w:val="nil"/>
            </w:tcBorders>
            <w:tcMar>
              <w:top w:w="0" w:type="dxa"/>
              <w:left w:w="108" w:type="dxa"/>
              <w:bottom w:w="0" w:type="dxa"/>
              <w:right w:w="108" w:type="dxa"/>
            </w:tcMar>
            <w:vAlign w:val="center"/>
          </w:tcPr>
          <w:p>
            <w:pPr>
              <w:pStyle w:val="114"/>
              <w:spacing w:line="400" w:lineRule="exact"/>
              <w:jc w:val="both"/>
              <w:rPr>
                <w:rFonts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产品服务要求完全满足 招标文件 第五章 采购需求中带“★”项要求的得35分；每有一项负偏离的扣2分，扣完为止。</w:t>
            </w:r>
            <w:r>
              <w:rPr>
                <w:rFonts w:hint="eastAsia" w:ascii="微软雅黑" w:hAnsi="微软雅黑" w:eastAsia="微软雅黑" w:cs="微软雅黑"/>
                <w:b/>
                <w:bCs/>
                <w:color w:val="auto"/>
                <w:kern w:val="2"/>
                <w:sz w:val="24"/>
                <w:szCs w:val="24"/>
                <w:highlight w:val="none"/>
              </w:rPr>
              <w:t>需提供相应的证明材料，未提供视为不满足。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4" w:hRule="atLeast"/>
          <w:jc w:val="center"/>
        </w:trPr>
        <w:tc>
          <w:tcPr>
            <w:tcW w:w="772" w:type="dxa"/>
            <w:tcBorders>
              <w:tl2br w:val="nil"/>
              <w:tr2bl w:val="nil"/>
            </w:tcBorders>
            <w:tcMar>
              <w:top w:w="0" w:type="dxa"/>
              <w:left w:w="108" w:type="dxa"/>
              <w:bottom w:w="0" w:type="dxa"/>
              <w:right w:w="108" w:type="dxa"/>
            </w:tcMar>
            <w:vAlign w:val="center"/>
          </w:tcPr>
          <w:p>
            <w:pPr>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w:t>
            </w:r>
          </w:p>
        </w:tc>
        <w:tc>
          <w:tcPr>
            <w:tcW w:w="1667" w:type="dxa"/>
            <w:tcBorders>
              <w:tl2br w:val="nil"/>
              <w:tr2bl w:val="nil"/>
            </w:tcBorders>
            <w:tcMar>
              <w:top w:w="0" w:type="dxa"/>
              <w:left w:w="108" w:type="dxa"/>
              <w:bottom w:w="0" w:type="dxa"/>
              <w:right w:w="108" w:type="dxa"/>
            </w:tcMar>
            <w:vAlign w:val="center"/>
          </w:tcPr>
          <w:p>
            <w:pPr>
              <w:pStyle w:val="2"/>
              <w:ind w:firstLine="0"/>
              <w:jc w:val="center"/>
              <w:rPr>
                <w:color w:val="auto"/>
                <w:highlight w:val="none"/>
              </w:rPr>
            </w:pPr>
            <w:r>
              <w:rPr>
                <w:rFonts w:hint="eastAsia" w:ascii="微软雅黑" w:hAnsi="微软雅黑" w:eastAsia="微软雅黑" w:cs="微软雅黑"/>
                <w:color w:val="auto"/>
                <w:szCs w:val="24"/>
                <w:highlight w:val="none"/>
              </w:rPr>
              <w:t>实施方案</w:t>
            </w:r>
          </w:p>
        </w:tc>
        <w:tc>
          <w:tcPr>
            <w:tcW w:w="1014" w:type="dxa"/>
            <w:tcBorders>
              <w:tl2br w:val="nil"/>
              <w:tr2bl w:val="nil"/>
            </w:tcBorders>
            <w:tcMar>
              <w:top w:w="0" w:type="dxa"/>
              <w:left w:w="108" w:type="dxa"/>
              <w:bottom w:w="0" w:type="dxa"/>
              <w:right w:w="108" w:type="dxa"/>
            </w:tcMar>
            <w:vAlign w:val="center"/>
          </w:tcPr>
          <w:p>
            <w:pPr>
              <w:snapToGrid w:val="0"/>
              <w:spacing w:before="100" w:beforeAutospacing="1" w:after="100" w:afterAutospacing="1" w:line="400" w:lineRule="exact"/>
              <w:ind w:left="65" w:leftChars="-51" w:hanging="172" w:hangingChars="72"/>
              <w:jc w:val="center"/>
              <w:textAlignment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10</w:t>
            </w:r>
          </w:p>
        </w:tc>
        <w:tc>
          <w:tcPr>
            <w:tcW w:w="5359" w:type="dxa"/>
            <w:tcBorders>
              <w:tl2br w:val="nil"/>
              <w:tr2bl w:val="nil"/>
            </w:tcBorders>
            <w:tcMar>
              <w:top w:w="0" w:type="dxa"/>
              <w:left w:w="108" w:type="dxa"/>
              <w:bottom w:w="0" w:type="dxa"/>
              <w:right w:w="108" w:type="dxa"/>
            </w:tcMar>
            <w:vAlign w:val="center"/>
          </w:tcPr>
          <w:p>
            <w:pPr>
              <w:pStyle w:val="114"/>
              <w:spacing w:line="400" w:lineRule="exact"/>
              <w:jc w:val="both"/>
              <w:rPr>
                <w:rFonts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梳理从合同签署到项目验收所有环节建设流程，提供需求沟通、方案设计、环境勘察，并出具实施方案。优秀得8</w:t>
            </w:r>
            <w:r>
              <w:rPr>
                <w:rFonts w:hint="eastAsia" w:ascii="微软雅黑" w:hAnsi="微软雅黑" w:eastAsia="微软雅黑" w:cs="微软雅黑"/>
                <w:color w:val="auto"/>
                <w:sz w:val="24"/>
                <w:szCs w:val="24"/>
                <w:highlight w:val="none"/>
              </w:rPr>
              <w:t>～10</w:t>
            </w:r>
            <w:r>
              <w:rPr>
                <w:rFonts w:hint="eastAsia" w:ascii="微软雅黑" w:hAnsi="微软雅黑" w:eastAsia="微软雅黑" w:cs="微软雅黑"/>
                <w:color w:val="auto"/>
                <w:kern w:val="2"/>
                <w:sz w:val="24"/>
                <w:szCs w:val="24"/>
                <w:highlight w:val="none"/>
              </w:rPr>
              <w:t>分、良好得4</w:t>
            </w:r>
            <w:r>
              <w:rPr>
                <w:rFonts w:hint="eastAsia" w:ascii="微软雅黑" w:hAnsi="微软雅黑" w:eastAsia="微软雅黑" w:cs="微软雅黑"/>
                <w:color w:val="auto"/>
                <w:sz w:val="24"/>
                <w:szCs w:val="24"/>
                <w:highlight w:val="none"/>
              </w:rPr>
              <w:t>～7</w:t>
            </w:r>
            <w:r>
              <w:rPr>
                <w:rFonts w:hint="eastAsia" w:ascii="微软雅黑" w:hAnsi="微软雅黑" w:eastAsia="微软雅黑" w:cs="微软雅黑"/>
                <w:color w:val="auto"/>
                <w:kern w:val="2"/>
                <w:sz w:val="24"/>
                <w:szCs w:val="24"/>
                <w:highlight w:val="none"/>
              </w:rPr>
              <w:t>分、一般得0</w:t>
            </w:r>
            <w:r>
              <w:rPr>
                <w:rFonts w:hint="eastAsia" w:ascii="微软雅黑" w:hAnsi="微软雅黑" w:eastAsia="微软雅黑" w:cs="微软雅黑"/>
                <w:color w:val="auto"/>
                <w:sz w:val="24"/>
                <w:szCs w:val="24"/>
                <w:highlight w:val="none"/>
              </w:rPr>
              <w:t>～3</w:t>
            </w:r>
            <w:r>
              <w:rPr>
                <w:rFonts w:hint="eastAsia" w:ascii="微软雅黑" w:hAnsi="微软雅黑" w:eastAsia="微软雅黑" w:cs="微软雅黑"/>
                <w:color w:val="auto"/>
                <w:kern w:val="2"/>
                <w:sz w:val="24"/>
                <w:szCs w:val="24"/>
                <w:highlight w:val="none"/>
              </w:rPr>
              <w:t>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772" w:type="dxa"/>
            <w:tcBorders>
              <w:tl2br w:val="nil"/>
              <w:tr2bl w:val="nil"/>
            </w:tcBorders>
            <w:tcMar>
              <w:top w:w="0" w:type="dxa"/>
              <w:left w:w="108" w:type="dxa"/>
              <w:bottom w:w="0" w:type="dxa"/>
              <w:right w:w="108" w:type="dxa"/>
            </w:tcMar>
            <w:vAlign w:val="center"/>
          </w:tcPr>
          <w:p>
            <w:pPr>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3</w:t>
            </w:r>
          </w:p>
        </w:tc>
        <w:tc>
          <w:tcPr>
            <w:tcW w:w="1667" w:type="dxa"/>
            <w:tcBorders>
              <w:tl2br w:val="nil"/>
              <w:tr2bl w:val="nil"/>
            </w:tcBorders>
            <w:tcMar>
              <w:top w:w="0" w:type="dxa"/>
              <w:left w:w="108" w:type="dxa"/>
              <w:bottom w:w="0" w:type="dxa"/>
              <w:right w:w="108" w:type="dxa"/>
            </w:tcMar>
            <w:vAlign w:val="center"/>
          </w:tcPr>
          <w:p>
            <w:pPr>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资源配备</w:t>
            </w:r>
          </w:p>
        </w:tc>
        <w:tc>
          <w:tcPr>
            <w:tcW w:w="1014" w:type="dxa"/>
            <w:tcBorders>
              <w:tl2br w:val="nil"/>
              <w:tr2bl w:val="nil"/>
            </w:tcBorders>
            <w:tcMar>
              <w:top w:w="0" w:type="dxa"/>
              <w:left w:w="108" w:type="dxa"/>
              <w:bottom w:w="0" w:type="dxa"/>
              <w:right w:w="108" w:type="dxa"/>
            </w:tcMar>
            <w:vAlign w:val="center"/>
          </w:tcPr>
          <w:p>
            <w:pPr>
              <w:snapToGrid w:val="0"/>
              <w:spacing w:before="100" w:beforeAutospacing="1" w:after="100" w:afterAutospacing="1" w:line="400" w:lineRule="exact"/>
              <w:ind w:left="65" w:leftChars="-51" w:hanging="172" w:hangingChars="72"/>
              <w:jc w:val="center"/>
              <w:textAlignment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10</w:t>
            </w:r>
          </w:p>
        </w:tc>
        <w:tc>
          <w:tcPr>
            <w:tcW w:w="5359" w:type="dxa"/>
            <w:tcBorders>
              <w:tl2br w:val="nil"/>
              <w:tr2bl w:val="nil"/>
            </w:tcBorders>
            <w:tcMar>
              <w:top w:w="0" w:type="dxa"/>
              <w:left w:w="108" w:type="dxa"/>
              <w:bottom w:w="0" w:type="dxa"/>
              <w:right w:w="108" w:type="dxa"/>
            </w:tcMar>
            <w:vAlign w:val="center"/>
          </w:tcPr>
          <w:p>
            <w:pPr>
              <w:pStyle w:val="114"/>
              <w:spacing w:line="400" w:lineRule="exact"/>
              <w:jc w:val="both"/>
              <w:rPr>
                <w:rFonts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提供项目供货计划、进度安排以及实施团队的组织架构、人员基本信息等。优秀得8</w:t>
            </w:r>
            <w:r>
              <w:rPr>
                <w:rFonts w:hint="eastAsia" w:ascii="微软雅黑" w:hAnsi="微软雅黑" w:eastAsia="微软雅黑" w:cs="微软雅黑"/>
                <w:color w:val="auto"/>
                <w:sz w:val="24"/>
                <w:szCs w:val="24"/>
                <w:highlight w:val="none"/>
              </w:rPr>
              <w:t>～10</w:t>
            </w:r>
            <w:r>
              <w:rPr>
                <w:rFonts w:hint="eastAsia" w:ascii="微软雅黑" w:hAnsi="微软雅黑" w:eastAsia="微软雅黑" w:cs="微软雅黑"/>
                <w:color w:val="auto"/>
                <w:kern w:val="2"/>
                <w:sz w:val="24"/>
                <w:szCs w:val="24"/>
                <w:highlight w:val="none"/>
              </w:rPr>
              <w:t>分、良好得4</w:t>
            </w:r>
            <w:r>
              <w:rPr>
                <w:rFonts w:hint="eastAsia" w:ascii="微软雅黑" w:hAnsi="微软雅黑" w:eastAsia="微软雅黑" w:cs="微软雅黑"/>
                <w:color w:val="auto"/>
                <w:sz w:val="24"/>
                <w:szCs w:val="24"/>
                <w:highlight w:val="none"/>
              </w:rPr>
              <w:t>～7</w:t>
            </w:r>
            <w:r>
              <w:rPr>
                <w:rFonts w:hint="eastAsia" w:ascii="微软雅黑" w:hAnsi="微软雅黑" w:eastAsia="微软雅黑" w:cs="微软雅黑"/>
                <w:color w:val="auto"/>
                <w:kern w:val="2"/>
                <w:sz w:val="24"/>
                <w:szCs w:val="24"/>
                <w:highlight w:val="none"/>
              </w:rPr>
              <w:t>分、一般得0</w:t>
            </w:r>
            <w:r>
              <w:rPr>
                <w:rFonts w:hint="eastAsia" w:ascii="微软雅黑" w:hAnsi="微软雅黑" w:eastAsia="微软雅黑" w:cs="微软雅黑"/>
                <w:color w:val="auto"/>
                <w:sz w:val="24"/>
                <w:szCs w:val="24"/>
                <w:highlight w:val="none"/>
              </w:rPr>
              <w:t>～3</w:t>
            </w:r>
            <w:r>
              <w:rPr>
                <w:rFonts w:hint="eastAsia" w:ascii="微软雅黑" w:hAnsi="微软雅黑" w:eastAsia="微软雅黑" w:cs="微软雅黑"/>
                <w:color w:val="auto"/>
                <w:kern w:val="2"/>
                <w:sz w:val="24"/>
                <w:szCs w:val="24"/>
                <w:highlight w:val="none"/>
              </w:rPr>
              <w:t>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772" w:type="dxa"/>
            <w:tcBorders>
              <w:tl2br w:val="nil"/>
              <w:tr2bl w:val="nil"/>
            </w:tcBorders>
            <w:tcMar>
              <w:top w:w="0" w:type="dxa"/>
              <w:left w:w="108" w:type="dxa"/>
              <w:bottom w:w="0" w:type="dxa"/>
              <w:right w:w="108" w:type="dxa"/>
            </w:tcMar>
            <w:vAlign w:val="center"/>
          </w:tcPr>
          <w:p>
            <w:pPr>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4</w:t>
            </w:r>
          </w:p>
        </w:tc>
        <w:tc>
          <w:tcPr>
            <w:tcW w:w="1667" w:type="dxa"/>
            <w:tcBorders>
              <w:tl2br w:val="nil"/>
              <w:tr2bl w:val="nil"/>
            </w:tcBorders>
            <w:tcMar>
              <w:top w:w="0" w:type="dxa"/>
              <w:left w:w="108" w:type="dxa"/>
              <w:bottom w:w="0" w:type="dxa"/>
              <w:right w:w="108" w:type="dxa"/>
            </w:tcMar>
            <w:vAlign w:val="center"/>
          </w:tcPr>
          <w:p>
            <w:pPr>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运维服务</w:t>
            </w:r>
          </w:p>
        </w:tc>
        <w:tc>
          <w:tcPr>
            <w:tcW w:w="1014" w:type="dxa"/>
            <w:tcBorders>
              <w:tl2br w:val="nil"/>
              <w:tr2bl w:val="nil"/>
            </w:tcBorders>
            <w:tcMar>
              <w:top w:w="0" w:type="dxa"/>
              <w:left w:w="108" w:type="dxa"/>
              <w:bottom w:w="0" w:type="dxa"/>
              <w:right w:w="108" w:type="dxa"/>
            </w:tcMar>
            <w:vAlign w:val="center"/>
          </w:tcPr>
          <w:p>
            <w:pPr>
              <w:snapToGrid w:val="0"/>
              <w:spacing w:before="100" w:beforeAutospacing="1" w:after="100" w:afterAutospacing="1" w:line="400" w:lineRule="exact"/>
              <w:ind w:left="65" w:leftChars="-51" w:hanging="172" w:hangingChars="72"/>
              <w:jc w:val="center"/>
              <w:textAlignment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5</w:t>
            </w:r>
          </w:p>
        </w:tc>
        <w:tc>
          <w:tcPr>
            <w:tcW w:w="5359" w:type="dxa"/>
            <w:tcBorders>
              <w:tl2br w:val="nil"/>
              <w:tr2bl w:val="nil"/>
            </w:tcBorders>
            <w:tcMar>
              <w:top w:w="0" w:type="dxa"/>
              <w:left w:w="108" w:type="dxa"/>
              <w:bottom w:w="0" w:type="dxa"/>
              <w:right w:w="108" w:type="dxa"/>
            </w:tcMar>
            <w:vAlign w:val="center"/>
          </w:tcPr>
          <w:p>
            <w:pPr>
              <w:pStyle w:val="114"/>
              <w:spacing w:line="400" w:lineRule="exact"/>
              <w:jc w:val="both"/>
              <w:rPr>
                <w:rFonts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提供项目运维解决方案及支撑服务承诺，应包括：运维方案、运维保障准备、运维保障工作安排、运维保障总结和后续计划等。优秀得4</w:t>
            </w:r>
            <w:r>
              <w:rPr>
                <w:rFonts w:hint="eastAsia" w:ascii="微软雅黑" w:hAnsi="微软雅黑" w:eastAsia="微软雅黑" w:cs="微软雅黑"/>
                <w:color w:val="auto"/>
                <w:sz w:val="24"/>
                <w:szCs w:val="24"/>
                <w:highlight w:val="none"/>
              </w:rPr>
              <w:t>～5</w:t>
            </w:r>
            <w:r>
              <w:rPr>
                <w:rFonts w:hint="eastAsia" w:ascii="微软雅黑" w:hAnsi="微软雅黑" w:eastAsia="微软雅黑" w:cs="微软雅黑"/>
                <w:color w:val="auto"/>
                <w:kern w:val="2"/>
                <w:sz w:val="24"/>
                <w:szCs w:val="24"/>
                <w:highlight w:val="none"/>
              </w:rPr>
              <w:t>分、良好得2</w:t>
            </w:r>
            <w:r>
              <w:rPr>
                <w:rFonts w:hint="eastAsia" w:ascii="微软雅黑" w:hAnsi="微软雅黑" w:eastAsia="微软雅黑" w:cs="微软雅黑"/>
                <w:color w:val="auto"/>
                <w:sz w:val="24"/>
                <w:szCs w:val="24"/>
                <w:highlight w:val="none"/>
              </w:rPr>
              <w:t>～3</w:t>
            </w:r>
            <w:r>
              <w:rPr>
                <w:rFonts w:hint="eastAsia" w:ascii="微软雅黑" w:hAnsi="微软雅黑" w:eastAsia="微软雅黑" w:cs="微软雅黑"/>
                <w:color w:val="auto"/>
                <w:kern w:val="2"/>
                <w:sz w:val="24"/>
                <w:szCs w:val="24"/>
                <w:highlight w:val="none"/>
              </w:rPr>
              <w:t>分、一般得0</w:t>
            </w:r>
            <w:r>
              <w:rPr>
                <w:rFonts w:hint="eastAsia" w:ascii="微软雅黑" w:hAnsi="微软雅黑" w:eastAsia="微软雅黑" w:cs="微软雅黑"/>
                <w:color w:val="auto"/>
                <w:sz w:val="24"/>
                <w:szCs w:val="24"/>
                <w:highlight w:val="none"/>
              </w:rPr>
              <w:t>～1</w:t>
            </w:r>
            <w:r>
              <w:rPr>
                <w:rFonts w:hint="eastAsia" w:ascii="微软雅黑" w:hAnsi="微软雅黑" w:eastAsia="微软雅黑" w:cs="微软雅黑"/>
                <w:color w:val="auto"/>
                <w:kern w:val="2"/>
                <w:sz w:val="24"/>
                <w:szCs w:val="24"/>
                <w:highlight w:val="none"/>
              </w:rPr>
              <w:t>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772" w:type="dxa"/>
            <w:tcBorders>
              <w:tl2br w:val="nil"/>
              <w:tr2bl w:val="nil"/>
            </w:tcBorders>
            <w:tcMar>
              <w:top w:w="0" w:type="dxa"/>
              <w:left w:w="108" w:type="dxa"/>
              <w:bottom w:w="0" w:type="dxa"/>
              <w:right w:w="108" w:type="dxa"/>
            </w:tcMar>
            <w:vAlign w:val="center"/>
          </w:tcPr>
          <w:p>
            <w:pPr>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5</w:t>
            </w:r>
          </w:p>
        </w:tc>
        <w:tc>
          <w:tcPr>
            <w:tcW w:w="1667" w:type="dxa"/>
            <w:tcBorders>
              <w:tl2br w:val="nil"/>
              <w:tr2bl w:val="nil"/>
            </w:tcBorders>
            <w:tcMar>
              <w:top w:w="0" w:type="dxa"/>
              <w:left w:w="108" w:type="dxa"/>
              <w:bottom w:w="0" w:type="dxa"/>
              <w:right w:w="108" w:type="dxa"/>
            </w:tcMar>
            <w:vAlign w:val="center"/>
          </w:tcPr>
          <w:p>
            <w:pPr>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技术服务</w:t>
            </w:r>
          </w:p>
        </w:tc>
        <w:tc>
          <w:tcPr>
            <w:tcW w:w="1014" w:type="dxa"/>
            <w:tcBorders>
              <w:tl2br w:val="nil"/>
              <w:tr2bl w:val="nil"/>
            </w:tcBorders>
            <w:tcMar>
              <w:top w:w="0" w:type="dxa"/>
              <w:left w:w="108" w:type="dxa"/>
              <w:bottom w:w="0" w:type="dxa"/>
              <w:right w:w="108" w:type="dxa"/>
            </w:tcMar>
            <w:vAlign w:val="center"/>
          </w:tcPr>
          <w:p>
            <w:pPr>
              <w:snapToGrid w:val="0"/>
              <w:spacing w:before="100" w:beforeAutospacing="1" w:after="100" w:afterAutospacing="1" w:line="400" w:lineRule="exact"/>
              <w:ind w:left="65" w:leftChars="-51" w:hanging="172" w:hangingChars="72"/>
              <w:jc w:val="center"/>
              <w:textAlignment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5</w:t>
            </w:r>
          </w:p>
        </w:tc>
        <w:tc>
          <w:tcPr>
            <w:tcW w:w="5359" w:type="dxa"/>
            <w:tcBorders>
              <w:tl2br w:val="nil"/>
              <w:tr2bl w:val="nil"/>
            </w:tcBorders>
            <w:tcMar>
              <w:top w:w="0" w:type="dxa"/>
              <w:left w:w="108" w:type="dxa"/>
              <w:bottom w:w="0" w:type="dxa"/>
              <w:right w:w="108" w:type="dxa"/>
            </w:tcMar>
            <w:vAlign w:val="center"/>
          </w:tcPr>
          <w:p>
            <w:pPr>
              <w:pStyle w:val="114"/>
              <w:spacing w:line="400" w:lineRule="exact"/>
              <w:jc w:val="both"/>
              <w:rPr>
                <w:rFonts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提供技术支持服务承诺，应包括：系统保障、故障排除、例行巡检等相关技术支持承诺。优秀得4</w:t>
            </w:r>
            <w:r>
              <w:rPr>
                <w:rFonts w:hint="eastAsia" w:ascii="微软雅黑" w:hAnsi="微软雅黑" w:eastAsia="微软雅黑" w:cs="微软雅黑"/>
                <w:color w:val="auto"/>
                <w:sz w:val="24"/>
                <w:szCs w:val="24"/>
                <w:highlight w:val="none"/>
              </w:rPr>
              <w:t>～5</w:t>
            </w:r>
            <w:r>
              <w:rPr>
                <w:rFonts w:hint="eastAsia" w:ascii="微软雅黑" w:hAnsi="微软雅黑" w:eastAsia="微软雅黑" w:cs="微软雅黑"/>
                <w:color w:val="auto"/>
                <w:kern w:val="2"/>
                <w:sz w:val="24"/>
                <w:szCs w:val="24"/>
                <w:highlight w:val="none"/>
              </w:rPr>
              <w:t>分、良好得2</w:t>
            </w:r>
            <w:r>
              <w:rPr>
                <w:rFonts w:hint="eastAsia" w:ascii="微软雅黑" w:hAnsi="微软雅黑" w:eastAsia="微软雅黑" w:cs="微软雅黑"/>
                <w:color w:val="auto"/>
                <w:sz w:val="24"/>
                <w:szCs w:val="24"/>
                <w:highlight w:val="none"/>
              </w:rPr>
              <w:t>～3</w:t>
            </w:r>
            <w:r>
              <w:rPr>
                <w:rFonts w:hint="eastAsia" w:ascii="微软雅黑" w:hAnsi="微软雅黑" w:eastAsia="微软雅黑" w:cs="微软雅黑"/>
                <w:color w:val="auto"/>
                <w:kern w:val="2"/>
                <w:sz w:val="24"/>
                <w:szCs w:val="24"/>
                <w:highlight w:val="none"/>
              </w:rPr>
              <w:t>分、一般得0</w:t>
            </w:r>
            <w:r>
              <w:rPr>
                <w:rFonts w:hint="eastAsia" w:ascii="微软雅黑" w:hAnsi="微软雅黑" w:eastAsia="微软雅黑" w:cs="微软雅黑"/>
                <w:color w:val="auto"/>
                <w:sz w:val="24"/>
                <w:szCs w:val="24"/>
                <w:highlight w:val="none"/>
              </w:rPr>
              <w:t>～1</w:t>
            </w:r>
            <w:r>
              <w:rPr>
                <w:rFonts w:hint="eastAsia" w:ascii="微软雅黑" w:hAnsi="微软雅黑" w:eastAsia="微软雅黑" w:cs="微软雅黑"/>
                <w:color w:val="auto"/>
                <w:kern w:val="2"/>
                <w:sz w:val="24"/>
                <w:szCs w:val="24"/>
                <w:highlight w:val="none"/>
              </w:rPr>
              <w:t>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772" w:type="dxa"/>
            <w:tcBorders>
              <w:tl2br w:val="nil"/>
              <w:tr2bl w:val="nil"/>
            </w:tcBorders>
            <w:tcMar>
              <w:top w:w="0" w:type="dxa"/>
              <w:left w:w="108" w:type="dxa"/>
              <w:bottom w:w="0" w:type="dxa"/>
              <w:right w:w="108" w:type="dxa"/>
            </w:tcMar>
            <w:vAlign w:val="center"/>
          </w:tcPr>
          <w:p>
            <w:pPr>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6</w:t>
            </w:r>
          </w:p>
        </w:tc>
        <w:tc>
          <w:tcPr>
            <w:tcW w:w="1667" w:type="dxa"/>
            <w:tcBorders>
              <w:tl2br w:val="nil"/>
              <w:tr2bl w:val="nil"/>
            </w:tcBorders>
            <w:tcMar>
              <w:top w:w="0" w:type="dxa"/>
              <w:left w:w="108" w:type="dxa"/>
              <w:bottom w:w="0" w:type="dxa"/>
              <w:right w:w="108" w:type="dxa"/>
            </w:tcMar>
            <w:vAlign w:val="center"/>
          </w:tcPr>
          <w:p>
            <w:pPr>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本地服务能力</w:t>
            </w:r>
          </w:p>
        </w:tc>
        <w:tc>
          <w:tcPr>
            <w:tcW w:w="1014" w:type="dxa"/>
            <w:tcBorders>
              <w:tl2br w:val="nil"/>
              <w:tr2bl w:val="nil"/>
            </w:tcBorders>
            <w:tcMar>
              <w:top w:w="0" w:type="dxa"/>
              <w:left w:w="108" w:type="dxa"/>
              <w:bottom w:w="0" w:type="dxa"/>
              <w:right w:w="108" w:type="dxa"/>
            </w:tcMar>
            <w:vAlign w:val="center"/>
          </w:tcPr>
          <w:p>
            <w:pPr>
              <w:snapToGrid w:val="0"/>
              <w:spacing w:before="100" w:beforeAutospacing="1" w:after="100" w:afterAutospacing="1" w:line="400" w:lineRule="exact"/>
              <w:ind w:left="65" w:leftChars="-51" w:hanging="172" w:hangingChars="72"/>
              <w:jc w:val="center"/>
              <w:textAlignment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10</w:t>
            </w:r>
          </w:p>
        </w:tc>
        <w:tc>
          <w:tcPr>
            <w:tcW w:w="5359" w:type="dxa"/>
            <w:tcBorders>
              <w:tl2br w:val="nil"/>
              <w:tr2bl w:val="nil"/>
            </w:tcBorders>
            <w:tcMar>
              <w:top w:w="0" w:type="dxa"/>
              <w:left w:w="108" w:type="dxa"/>
              <w:bottom w:w="0" w:type="dxa"/>
              <w:right w:w="108" w:type="dxa"/>
            </w:tcMar>
            <w:vAlign w:val="center"/>
          </w:tcPr>
          <w:p>
            <w:pPr>
              <w:pStyle w:val="114"/>
              <w:spacing w:line="400" w:lineRule="exact"/>
              <w:jc w:val="both"/>
              <w:rPr>
                <w:rFonts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横向比较所有投标人，能提供本地化服务，且服务方案符合实际、合理、可行，并提供办公场所房产证明或租赁合同，优得4~5分，良好得2</w:t>
            </w:r>
            <w:r>
              <w:rPr>
                <w:rFonts w:hint="eastAsia" w:ascii="微软雅黑" w:hAnsi="微软雅黑" w:eastAsia="微软雅黑" w:cs="微软雅黑"/>
                <w:color w:val="auto"/>
                <w:sz w:val="24"/>
                <w:szCs w:val="24"/>
                <w:highlight w:val="none"/>
              </w:rPr>
              <w:t>～3</w:t>
            </w:r>
            <w:r>
              <w:rPr>
                <w:rFonts w:hint="eastAsia" w:ascii="微软雅黑" w:hAnsi="微软雅黑" w:eastAsia="微软雅黑" w:cs="微软雅黑"/>
                <w:color w:val="auto"/>
                <w:kern w:val="2"/>
                <w:sz w:val="24"/>
                <w:szCs w:val="24"/>
                <w:highlight w:val="none"/>
              </w:rPr>
              <w:t>分、一般得0</w:t>
            </w:r>
            <w:r>
              <w:rPr>
                <w:rFonts w:hint="eastAsia" w:ascii="微软雅黑" w:hAnsi="微软雅黑" w:eastAsia="微软雅黑" w:cs="微软雅黑"/>
                <w:color w:val="auto"/>
                <w:sz w:val="24"/>
                <w:szCs w:val="24"/>
                <w:highlight w:val="none"/>
              </w:rPr>
              <w:t>～1</w:t>
            </w:r>
            <w:r>
              <w:rPr>
                <w:rFonts w:hint="eastAsia" w:ascii="微软雅黑" w:hAnsi="微软雅黑" w:eastAsia="微软雅黑" w:cs="微软雅黑"/>
                <w:color w:val="auto"/>
                <w:kern w:val="2"/>
                <w:sz w:val="24"/>
                <w:szCs w:val="24"/>
                <w:highlight w:val="none"/>
              </w:rPr>
              <w:t>分，未提供不得分。</w:t>
            </w:r>
          </w:p>
          <w:p>
            <w:pPr>
              <w:pStyle w:val="114"/>
              <w:spacing w:line="400" w:lineRule="exact"/>
              <w:jc w:val="both"/>
              <w:rPr>
                <w:rFonts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sz w:val="24"/>
                <w:szCs w:val="24"/>
                <w:highlight w:val="none"/>
              </w:rPr>
              <w:t>需提供服务人员至少6人的近6个月的社保证明得1分，每增加1人加1分，满分5分。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772" w:type="dxa"/>
            <w:tcBorders>
              <w:tl2br w:val="nil"/>
              <w:tr2bl w:val="nil"/>
            </w:tcBorders>
            <w:tcMar>
              <w:top w:w="0" w:type="dxa"/>
              <w:left w:w="108" w:type="dxa"/>
              <w:bottom w:w="0" w:type="dxa"/>
              <w:right w:w="108" w:type="dxa"/>
            </w:tcMar>
            <w:vAlign w:val="center"/>
          </w:tcPr>
          <w:p>
            <w:pPr>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7</w:t>
            </w:r>
          </w:p>
        </w:tc>
        <w:tc>
          <w:tcPr>
            <w:tcW w:w="1667" w:type="dxa"/>
            <w:tcBorders>
              <w:tl2br w:val="nil"/>
              <w:tr2bl w:val="nil"/>
            </w:tcBorders>
            <w:tcMar>
              <w:top w:w="0" w:type="dxa"/>
              <w:left w:w="108" w:type="dxa"/>
              <w:bottom w:w="0" w:type="dxa"/>
              <w:right w:w="108" w:type="dxa"/>
            </w:tcMar>
            <w:vAlign w:val="center"/>
          </w:tcPr>
          <w:p>
            <w:pPr>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知识产权</w:t>
            </w:r>
          </w:p>
        </w:tc>
        <w:tc>
          <w:tcPr>
            <w:tcW w:w="1014" w:type="dxa"/>
            <w:tcBorders>
              <w:tl2br w:val="nil"/>
              <w:tr2bl w:val="nil"/>
            </w:tcBorders>
            <w:tcMar>
              <w:top w:w="0" w:type="dxa"/>
              <w:left w:w="108" w:type="dxa"/>
              <w:bottom w:w="0" w:type="dxa"/>
              <w:right w:w="108" w:type="dxa"/>
            </w:tcMar>
            <w:vAlign w:val="center"/>
          </w:tcPr>
          <w:p>
            <w:pPr>
              <w:snapToGrid w:val="0"/>
              <w:spacing w:before="100" w:beforeAutospacing="1" w:after="100" w:afterAutospacing="1" w:line="400" w:lineRule="exact"/>
              <w:ind w:left="65" w:leftChars="-51" w:hanging="172" w:hangingChars="72"/>
              <w:jc w:val="center"/>
              <w:textAlignment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10</w:t>
            </w:r>
          </w:p>
        </w:tc>
        <w:tc>
          <w:tcPr>
            <w:tcW w:w="5359" w:type="dxa"/>
            <w:tcBorders>
              <w:tl2br w:val="nil"/>
              <w:tr2bl w:val="nil"/>
            </w:tcBorders>
            <w:tcMar>
              <w:top w:w="0" w:type="dxa"/>
              <w:left w:w="108" w:type="dxa"/>
              <w:bottom w:w="0" w:type="dxa"/>
              <w:right w:w="108" w:type="dxa"/>
            </w:tcMar>
            <w:vAlign w:val="center"/>
          </w:tcPr>
          <w:p>
            <w:pPr>
              <w:pStyle w:val="114"/>
              <w:spacing w:line="400" w:lineRule="exact"/>
              <w:jc w:val="both"/>
              <w:rPr>
                <w:rFonts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投标人或投标产品厂商具有与本次项目核心建设内容相关联的完全自主知识产权，每提供一项软件著作权登记证书得2分，最高得10分。</w:t>
            </w:r>
          </w:p>
          <w:p>
            <w:pPr>
              <w:pStyle w:val="114"/>
              <w:spacing w:line="400" w:lineRule="exact"/>
              <w:jc w:val="both"/>
              <w:rPr>
                <w:rFonts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注：提供在有效期内的软件著作权登记证书原件扫描件。未提供不得分。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1" w:hRule="atLeast"/>
          <w:jc w:val="center"/>
        </w:trPr>
        <w:tc>
          <w:tcPr>
            <w:tcW w:w="772" w:type="dxa"/>
            <w:tcBorders>
              <w:tl2br w:val="nil"/>
              <w:tr2bl w:val="nil"/>
            </w:tcBorders>
            <w:tcMar>
              <w:top w:w="0" w:type="dxa"/>
              <w:left w:w="108" w:type="dxa"/>
              <w:bottom w:w="0" w:type="dxa"/>
              <w:right w:w="108" w:type="dxa"/>
            </w:tcMar>
            <w:vAlign w:val="center"/>
          </w:tcPr>
          <w:p>
            <w:pPr>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8</w:t>
            </w:r>
          </w:p>
        </w:tc>
        <w:tc>
          <w:tcPr>
            <w:tcW w:w="1667" w:type="dxa"/>
            <w:tcBorders>
              <w:tl2br w:val="nil"/>
              <w:tr2bl w:val="nil"/>
            </w:tcBorders>
            <w:tcMar>
              <w:top w:w="0" w:type="dxa"/>
              <w:left w:w="108" w:type="dxa"/>
              <w:bottom w:w="0" w:type="dxa"/>
              <w:right w:w="108" w:type="dxa"/>
            </w:tcMar>
            <w:vAlign w:val="center"/>
          </w:tcPr>
          <w:p>
            <w:pPr>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标函质量</w:t>
            </w:r>
          </w:p>
          <w:p>
            <w:pPr>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履约措施</w:t>
            </w:r>
          </w:p>
        </w:tc>
        <w:tc>
          <w:tcPr>
            <w:tcW w:w="1014" w:type="dxa"/>
            <w:tcBorders>
              <w:tl2br w:val="nil"/>
              <w:tr2bl w:val="nil"/>
            </w:tcBorders>
            <w:tcMar>
              <w:top w:w="0" w:type="dxa"/>
              <w:left w:w="108" w:type="dxa"/>
              <w:bottom w:w="0" w:type="dxa"/>
              <w:right w:w="108" w:type="dxa"/>
            </w:tcMar>
            <w:vAlign w:val="center"/>
          </w:tcPr>
          <w:p>
            <w:pPr>
              <w:spacing w:line="400" w:lineRule="exact"/>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5</w:t>
            </w:r>
          </w:p>
        </w:tc>
        <w:tc>
          <w:tcPr>
            <w:tcW w:w="5359" w:type="dxa"/>
            <w:tcBorders>
              <w:tl2br w:val="nil"/>
              <w:tr2bl w:val="nil"/>
            </w:tcBorders>
            <w:tcMar>
              <w:top w:w="0" w:type="dxa"/>
              <w:left w:w="108" w:type="dxa"/>
              <w:bottom w:w="0" w:type="dxa"/>
              <w:right w:w="108" w:type="dxa"/>
            </w:tcMar>
            <w:vAlign w:val="center"/>
          </w:tcPr>
          <w:p>
            <w:pPr>
              <w:pStyle w:val="114"/>
              <w:spacing w:line="400" w:lineRule="exact"/>
              <w:jc w:val="both"/>
              <w:rPr>
                <w:rFonts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编制内容完整、齐全、叙述严谨，标书无涂改、错页、漏页现象，履约措施具体、合理、可行，得3</w:t>
            </w:r>
            <w:r>
              <w:rPr>
                <w:rFonts w:hint="eastAsia" w:ascii="微软雅黑" w:hAnsi="微软雅黑" w:eastAsia="微软雅黑" w:cs="微软雅黑"/>
                <w:color w:val="auto"/>
                <w:sz w:val="24"/>
                <w:szCs w:val="24"/>
                <w:highlight w:val="none"/>
              </w:rPr>
              <w:t>～5分；</w:t>
            </w:r>
            <w:r>
              <w:rPr>
                <w:rFonts w:hint="eastAsia" w:ascii="微软雅黑" w:hAnsi="微软雅黑" w:eastAsia="微软雅黑" w:cs="微软雅黑"/>
                <w:color w:val="auto"/>
                <w:kern w:val="2"/>
                <w:sz w:val="24"/>
                <w:szCs w:val="24"/>
                <w:highlight w:val="none"/>
              </w:rPr>
              <w:t>编制内容较完整，标书无涂改、错页、漏页现象，履约措施比较合理，得1</w:t>
            </w:r>
            <w:r>
              <w:rPr>
                <w:rFonts w:hint="eastAsia" w:ascii="微软雅黑" w:hAnsi="微软雅黑" w:eastAsia="微软雅黑" w:cs="微软雅黑"/>
                <w:color w:val="auto"/>
                <w:sz w:val="24"/>
                <w:szCs w:val="24"/>
                <w:highlight w:val="none"/>
              </w:rPr>
              <w:t>～2分；编制内容杂乱无章、错页、漏页、无履约措施，得0分。</w:t>
            </w:r>
          </w:p>
        </w:tc>
      </w:tr>
    </w:tbl>
    <w:p>
      <w:pP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br w:type="page"/>
      </w:r>
    </w:p>
    <w:p>
      <w:pPr>
        <w:pStyle w:val="3"/>
        <w:tabs>
          <w:tab w:val="left" w:pos="0"/>
        </w:tabs>
        <w:spacing w:before="0" w:after="0" w:line="240" w:lineRule="atLeast"/>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第7章 政府采购合同</w:t>
      </w:r>
      <w:bookmarkEnd w:id="441"/>
      <w:bookmarkEnd w:id="442"/>
      <w:bookmarkEnd w:id="443"/>
      <w:bookmarkEnd w:id="444"/>
      <w:bookmarkEnd w:id="445"/>
      <w:bookmarkEnd w:id="446"/>
      <w:bookmarkStart w:id="447" w:name="_Hlt487972895"/>
      <w:bookmarkEnd w:id="447"/>
      <w:bookmarkStart w:id="448" w:name="_Toc216513788"/>
      <w:bookmarkStart w:id="449" w:name="_Toc487900382"/>
    </w:p>
    <w:bookmarkEnd w:id="448"/>
    <w:bookmarkEnd w:id="449"/>
    <w:p>
      <w:pPr>
        <w:spacing w:line="240" w:lineRule="atLeast"/>
        <w:rPr>
          <w:rFonts w:ascii="微软雅黑" w:hAnsi="微软雅黑" w:eastAsia="微软雅黑" w:cs="微软雅黑"/>
          <w:b/>
          <w:color w:val="auto"/>
          <w:kern w:val="44"/>
          <w:sz w:val="24"/>
          <w:highlight w:val="none"/>
        </w:rPr>
      </w:pPr>
    </w:p>
    <w:p>
      <w:pPr>
        <w:spacing w:line="440" w:lineRule="exact"/>
        <w:rPr>
          <w:rFonts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合同编号：</w:t>
      </w:r>
      <w:r>
        <w:rPr>
          <w:rFonts w:hint="eastAsia" w:ascii="微软雅黑" w:hAnsi="微软雅黑" w:eastAsia="微软雅黑" w:cs="微软雅黑"/>
          <w:color w:val="auto"/>
          <w:sz w:val="24"/>
          <w:highlight w:val="none"/>
          <w:u w:val="single"/>
        </w:rPr>
        <w:t xml:space="preserve">           </w:t>
      </w:r>
    </w:p>
    <w:p>
      <w:pPr>
        <w:spacing w:line="440" w:lineRule="exact"/>
        <w:jc w:val="center"/>
        <w:rPr>
          <w:rFonts w:ascii="微软雅黑" w:hAnsi="微软雅黑" w:eastAsia="微软雅黑" w:cs="微软雅黑"/>
          <w:b/>
          <w:color w:val="auto"/>
          <w:sz w:val="24"/>
          <w:highlight w:val="none"/>
        </w:rPr>
      </w:pPr>
    </w:p>
    <w:p>
      <w:pPr>
        <w:spacing w:line="440" w:lineRule="exact"/>
        <w:jc w:val="center"/>
        <w:rPr>
          <w:rFonts w:ascii="微软雅黑" w:hAnsi="微软雅黑" w:eastAsia="微软雅黑" w:cs="微软雅黑"/>
          <w:b/>
          <w:color w:val="auto"/>
          <w:sz w:val="24"/>
          <w:highlight w:val="none"/>
        </w:rPr>
      </w:pPr>
    </w:p>
    <w:p>
      <w:pPr>
        <w:spacing w:line="440" w:lineRule="exact"/>
        <w:jc w:val="center"/>
        <w:rPr>
          <w:rFonts w:ascii="微软雅黑" w:hAnsi="微软雅黑" w:eastAsia="微软雅黑" w:cs="微软雅黑"/>
          <w:b/>
          <w:color w:val="auto"/>
          <w:sz w:val="24"/>
          <w:highlight w:val="none"/>
        </w:rPr>
      </w:pPr>
      <w:r>
        <w:rPr>
          <w:rFonts w:hint="eastAsia" w:ascii="微软雅黑" w:hAnsi="微软雅黑" w:eastAsia="微软雅黑" w:cs="微软雅黑"/>
          <w:b/>
          <w:color w:val="auto"/>
          <w:sz w:val="24"/>
          <w:highlight w:val="none"/>
        </w:rPr>
        <w:t>政府采购合同参考范本</w:t>
      </w:r>
    </w:p>
    <w:p>
      <w:pPr>
        <w:pStyle w:val="55"/>
        <w:spacing w:line="440" w:lineRule="exact"/>
        <w:ind w:firstLine="0"/>
        <w:jc w:val="center"/>
        <w:rPr>
          <w:rFonts w:ascii="微软雅黑" w:hAnsi="微软雅黑" w:eastAsia="微软雅黑" w:cs="微软雅黑"/>
          <w:color w:val="auto"/>
          <w:szCs w:val="24"/>
          <w:highlight w:val="none"/>
        </w:rPr>
      </w:pPr>
      <w:r>
        <w:rPr>
          <w:rFonts w:hint="eastAsia" w:ascii="微软雅黑" w:hAnsi="微软雅黑" w:eastAsia="微软雅黑" w:cs="微软雅黑"/>
          <w:color w:val="auto"/>
          <w:szCs w:val="24"/>
          <w:highlight w:val="none"/>
        </w:rPr>
        <w:t>（服务类）</w:t>
      </w:r>
    </w:p>
    <w:p>
      <w:pPr>
        <w:pStyle w:val="55"/>
        <w:spacing w:line="440" w:lineRule="exact"/>
        <w:ind w:firstLine="0"/>
        <w:rPr>
          <w:rFonts w:ascii="微软雅黑" w:hAnsi="微软雅黑" w:eastAsia="微软雅黑" w:cs="微软雅黑"/>
          <w:color w:val="auto"/>
          <w:szCs w:val="24"/>
          <w:highlight w:val="none"/>
        </w:rPr>
      </w:pPr>
    </w:p>
    <w:p>
      <w:pPr>
        <w:pStyle w:val="55"/>
        <w:spacing w:line="440" w:lineRule="exact"/>
        <w:ind w:firstLine="0"/>
        <w:rPr>
          <w:rFonts w:ascii="微软雅黑" w:hAnsi="微软雅黑" w:eastAsia="微软雅黑" w:cs="微软雅黑"/>
          <w:color w:val="auto"/>
          <w:szCs w:val="24"/>
          <w:highlight w:val="none"/>
        </w:rPr>
      </w:pPr>
    </w:p>
    <w:p>
      <w:pPr>
        <w:pStyle w:val="55"/>
        <w:spacing w:line="440" w:lineRule="exact"/>
        <w:ind w:firstLine="0"/>
        <w:rPr>
          <w:rFonts w:ascii="微软雅黑" w:hAnsi="微软雅黑" w:eastAsia="微软雅黑" w:cs="微软雅黑"/>
          <w:color w:val="auto"/>
          <w:szCs w:val="24"/>
          <w:highlight w:val="none"/>
        </w:rPr>
      </w:pPr>
    </w:p>
    <w:p>
      <w:pPr>
        <w:pStyle w:val="55"/>
        <w:spacing w:line="440" w:lineRule="exact"/>
        <w:ind w:firstLine="0"/>
        <w:jc w:val="center"/>
        <w:rPr>
          <w:rFonts w:ascii="微软雅黑" w:hAnsi="微软雅黑" w:eastAsia="微软雅黑" w:cs="微软雅黑"/>
          <w:b/>
          <w:color w:val="auto"/>
          <w:szCs w:val="24"/>
          <w:highlight w:val="none"/>
        </w:rPr>
      </w:pPr>
      <w:r>
        <w:rPr>
          <w:rFonts w:hint="eastAsia" w:ascii="微软雅黑" w:hAnsi="微软雅黑" w:eastAsia="微软雅黑" w:cs="微软雅黑"/>
          <w:b/>
          <w:color w:val="auto"/>
          <w:szCs w:val="24"/>
          <w:highlight w:val="none"/>
        </w:rPr>
        <w:t>（一） 合同书</w:t>
      </w:r>
    </w:p>
    <w:p>
      <w:pPr>
        <w:pStyle w:val="55"/>
        <w:spacing w:line="440" w:lineRule="exact"/>
        <w:ind w:firstLine="0"/>
        <w:rPr>
          <w:rFonts w:ascii="微软雅黑" w:hAnsi="微软雅黑" w:eastAsia="微软雅黑" w:cs="微软雅黑"/>
          <w:color w:val="auto"/>
          <w:szCs w:val="24"/>
          <w:highlight w:val="none"/>
        </w:rPr>
      </w:pPr>
    </w:p>
    <w:p>
      <w:pPr>
        <w:pStyle w:val="55"/>
        <w:spacing w:line="440" w:lineRule="exact"/>
        <w:ind w:firstLine="0"/>
        <w:rPr>
          <w:rFonts w:ascii="微软雅黑" w:hAnsi="微软雅黑" w:eastAsia="微软雅黑" w:cs="微软雅黑"/>
          <w:color w:val="auto"/>
          <w:szCs w:val="24"/>
          <w:highlight w:val="none"/>
        </w:rPr>
      </w:pPr>
    </w:p>
    <w:p>
      <w:pPr>
        <w:spacing w:before="120" w:line="440" w:lineRule="exact"/>
        <w:rPr>
          <w:rFonts w:ascii="微软雅黑" w:hAnsi="微软雅黑" w:eastAsia="微软雅黑" w:cs="微软雅黑"/>
          <w:color w:val="auto"/>
          <w:sz w:val="24"/>
          <w:highlight w:val="none"/>
        </w:rPr>
      </w:pPr>
    </w:p>
    <w:p>
      <w:pPr>
        <w:tabs>
          <w:tab w:val="left" w:pos="6300"/>
          <w:tab w:val="left" w:pos="6510"/>
        </w:tabs>
        <w:spacing w:before="120" w:line="440" w:lineRule="exact"/>
        <w:ind w:left="96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项目名称：</w:t>
      </w:r>
      <w:r>
        <w:rPr>
          <w:rFonts w:hint="eastAsia" w:ascii="微软雅黑" w:hAnsi="微软雅黑" w:eastAsia="微软雅黑" w:cs="微软雅黑"/>
          <w:color w:val="auto"/>
          <w:sz w:val="24"/>
          <w:highlight w:val="none"/>
          <w:u w:val="single"/>
        </w:rPr>
        <w:t xml:space="preserve"> 疏勒县乡村振兴平台            </w:t>
      </w:r>
    </w:p>
    <w:p>
      <w:pPr>
        <w:pStyle w:val="47"/>
        <w:spacing w:before="120" w:line="440" w:lineRule="exact"/>
        <w:rPr>
          <w:rFonts w:ascii="微软雅黑" w:hAnsi="微软雅黑" w:eastAsia="微软雅黑" w:cs="微软雅黑"/>
          <w:color w:val="auto"/>
          <w:szCs w:val="24"/>
          <w:highlight w:val="none"/>
        </w:rPr>
      </w:pPr>
    </w:p>
    <w:p>
      <w:pPr>
        <w:tabs>
          <w:tab w:val="left" w:pos="6510"/>
        </w:tabs>
        <w:spacing w:before="120" w:line="440" w:lineRule="exact"/>
        <w:ind w:left="960"/>
        <w:rPr>
          <w:rFonts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甲方：</w:t>
      </w:r>
      <w:r>
        <w:rPr>
          <w:rFonts w:hint="eastAsia" w:ascii="微软雅黑" w:hAnsi="微软雅黑" w:eastAsia="微软雅黑" w:cs="微软雅黑"/>
          <w:color w:val="auto"/>
          <w:sz w:val="24"/>
          <w:highlight w:val="none"/>
          <w:u w:val="single"/>
        </w:rPr>
        <w:t xml:space="preserve">  中共疏勒县委员会组织部               </w:t>
      </w:r>
    </w:p>
    <w:p>
      <w:pPr>
        <w:spacing w:before="120" w:line="440" w:lineRule="exact"/>
        <w:rPr>
          <w:rFonts w:ascii="微软雅黑" w:hAnsi="微软雅黑" w:eastAsia="微软雅黑" w:cs="微软雅黑"/>
          <w:color w:val="auto"/>
          <w:sz w:val="24"/>
          <w:highlight w:val="none"/>
        </w:rPr>
      </w:pPr>
    </w:p>
    <w:p>
      <w:pPr>
        <w:spacing w:before="120" w:line="440" w:lineRule="exact"/>
        <w:ind w:left="960"/>
        <w:rPr>
          <w:rFonts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乙方：</w:t>
      </w:r>
      <w:r>
        <w:rPr>
          <w:rFonts w:hint="eastAsia" w:ascii="微软雅黑" w:hAnsi="微软雅黑" w:eastAsia="微软雅黑" w:cs="微软雅黑"/>
          <w:color w:val="auto"/>
          <w:sz w:val="24"/>
          <w:highlight w:val="none"/>
          <w:u w:val="single"/>
        </w:rPr>
        <w:t xml:space="preserve">                                       </w:t>
      </w:r>
    </w:p>
    <w:p>
      <w:pPr>
        <w:spacing w:before="120" w:line="440" w:lineRule="exact"/>
        <w:rPr>
          <w:rFonts w:ascii="微软雅黑" w:hAnsi="微软雅黑" w:eastAsia="微软雅黑" w:cs="微软雅黑"/>
          <w:color w:val="auto"/>
          <w:sz w:val="24"/>
          <w:highlight w:val="none"/>
        </w:rPr>
      </w:pPr>
    </w:p>
    <w:p>
      <w:pPr>
        <w:spacing w:before="120" w:line="440" w:lineRule="exact"/>
        <w:ind w:firstLine="960" w:firstLineChars="400"/>
        <w:rPr>
          <w:rFonts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签订地：</w:t>
      </w:r>
      <w:r>
        <w:rPr>
          <w:rFonts w:hint="eastAsia" w:ascii="微软雅黑" w:hAnsi="微软雅黑" w:eastAsia="微软雅黑" w:cs="微软雅黑"/>
          <w:color w:val="auto"/>
          <w:sz w:val="24"/>
          <w:highlight w:val="none"/>
          <w:u w:val="single"/>
        </w:rPr>
        <w:t xml:space="preserve">                                     </w:t>
      </w:r>
    </w:p>
    <w:p>
      <w:pPr>
        <w:spacing w:before="120" w:line="440" w:lineRule="exact"/>
        <w:rPr>
          <w:rFonts w:ascii="微软雅黑" w:hAnsi="微软雅黑" w:eastAsia="微软雅黑" w:cs="微软雅黑"/>
          <w:color w:val="auto"/>
          <w:sz w:val="24"/>
          <w:highlight w:val="none"/>
        </w:rPr>
      </w:pPr>
    </w:p>
    <w:p>
      <w:pPr>
        <w:spacing w:before="120" w:line="440" w:lineRule="exact"/>
        <w:ind w:firstLine="960" w:firstLineChars="400"/>
        <w:rPr>
          <w:rFonts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签订日期：</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年</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月</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日</w:t>
      </w:r>
    </w:p>
    <w:p>
      <w:pPr>
        <w:autoSpaceDE w:val="0"/>
        <w:autoSpaceDN w:val="0"/>
        <w:adjustRightInd w:val="0"/>
        <w:spacing w:line="440" w:lineRule="exact"/>
        <w:ind w:firstLine="640"/>
        <w:jc w:val="center"/>
        <w:rPr>
          <w:rFonts w:ascii="微软雅黑" w:hAnsi="微软雅黑" w:eastAsia="微软雅黑" w:cs="微软雅黑"/>
          <w:color w:val="auto"/>
          <w:sz w:val="24"/>
          <w:highlight w:val="none"/>
        </w:rPr>
        <w:sectPr>
          <w:headerReference r:id="rId11" w:type="first"/>
          <w:footerReference r:id="rId14" w:type="first"/>
          <w:headerReference r:id="rId9" w:type="default"/>
          <w:footerReference r:id="rId12" w:type="default"/>
          <w:headerReference r:id="rId10" w:type="even"/>
          <w:footerReference r:id="rId13" w:type="even"/>
          <w:pgSz w:w="11907" w:h="16840"/>
          <w:pgMar w:top="1474" w:right="1814" w:bottom="1474" w:left="1814" w:header="851" w:footer="851" w:gutter="0"/>
          <w:cols w:space="720" w:num="1"/>
          <w:docGrid w:linePitch="462" w:charSpace="0"/>
        </w:sectPr>
      </w:pP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u w:val="single"/>
          <w:lang w:val="zh-CN"/>
        </w:rPr>
        <w:t xml:space="preserve">        </w:t>
      </w:r>
      <w:r>
        <w:rPr>
          <w:rFonts w:hint="eastAsia" w:ascii="微软雅黑" w:hAnsi="微软雅黑" w:eastAsia="微软雅黑" w:cs="微软雅黑"/>
          <w:color w:val="auto"/>
          <w:sz w:val="24"/>
          <w:highlight w:val="none"/>
          <w:lang w:val="zh-CN"/>
        </w:rPr>
        <w:t>年</w:t>
      </w:r>
      <w:r>
        <w:rPr>
          <w:rFonts w:hint="eastAsia" w:ascii="微软雅黑" w:hAnsi="微软雅黑" w:eastAsia="微软雅黑" w:cs="微软雅黑"/>
          <w:color w:val="auto"/>
          <w:sz w:val="24"/>
          <w:highlight w:val="none"/>
          <w:u w:val="single"/>
          <w:lang w:val="zh-CN"/>
        </w:rPr>
        <w:t xml:space="preserve">    </w:t>
      </w:r>
      <w:r>
        <w:rPr>
          <w:rFonts w:hint="eastAsia" w:ascii="微软雅黑" w:hAnsi="微软雅黑" w:eastAsia="微软雅黑" w:cs="微软雅黑"/>
          <w:color w:val="auto"/>
          <w:sz w:val="24"/>
          <w:highlight w:val="none"/>
          <w:lang w:val="zh-CN"/>
        </w:rPr>
        <w:t>月</w:t>
      </w:r>
      <w:r>
        <w:rPr>
          <w:rFonts w:hint="eastAsia" w:ascii="微软雅黑" w:hAnsi="微软雅黑" w:eastAsia="微软雅黑" w:cs="微软雅黑"/>
          <w:color w:val="auto"/>
          <w:sz w:val="24"/>
          <w:highlight w:val="none"/>
          <w:u w:val="single"/>
          <w:lang w:val="zh-CN"/>
        </w:rPr>
        <w:t xml:space="preserve">    </w:t>
      </w:r>
      <w:r>
        <w:rPr>
          <w:rFonts w:hint="eastAsia" w:ascii="微软雅黑" w:hAnsi="微软雅黑" w:eastAsia="微软雅黑" w:cs="微软雅黑"/>
          <w:color w:val="auto"/>
          <w:sz w:val="24"/>
          <w:highlight w:val="none"/>
          <w:lang w:val="zh-CN"/>
        </w:rPr>
        <w:t>日</w:t>
      </w:r>
      <w:r>
        <w:rPr>
          <w:rFonts w:hint="eastAsia" w:ascii="微软雅黑" w:hAnsi="微软雅黑" w:eastAsia="微软雅黑" w:cs="微软雅黑"/>
          <w:color w:val="auto"/>
          <w:sz w:val="24"/>
          <w:highlight w:val="none"/>
        </w:rPr>
        <w:t>，</w:t>
      </w:r>
      <w:r>
        <w:rPr>
          <w:rFonts w:hint="eastAsia" w:ascii="微软雅黑" w:hAnsi="微软雅黑" w:eastAsia="微软雅黑" w:cs="微软雅黑"/>
          <w:color w:val="auto"/>
          <w:sz w:val="24"/>
          <w:highlight w:val="none"/>
          <w:u w:val="single"/>
        </w:rPr>
        <w:t xml:space="preserve">   中共疏勒县委员会组织部  </w:t>
      </w:r>
      <w:r>
        <w:rPr>
          <w:rFonts w:hint="eastAsia" w:ascii="微软雅黑" w:hAnsi="微软雅黑" w:eastAsia="微软雅黑" w:cs="微软雅黑"/>
          <w:color w:val="auto"/>
          <w:sz w:val="24"/>
          <w:highlight w:val="none"/>
        </w:rPr>
        <w:t>以</w:t>
      </w:r>
      <w:r>
        <w:rPr>
          <w:rFonts w:hint="eastAsia" w:ascii="微软雅黑" w:hAnsi="微软雅黑" w:eastAsia="微软雅黑" w:cs="微软雅黑"/>
          <w:color w:val="auto"/>
          <w:sz w:val="24"/>
          <w:highlight w:val="none"/>
          <w:u w:val="single"/>
        </w:rPr>
        <w:t xml:space="preserve">   公开招标的方式  </w:t>
      </w:r>
      <w:r>
        <w:rPr>
          <w:rFonts w:hint="eastAsia" w:ascii="微软雅黑" w:hAnsi="微软雅黑" w:eastAsia="微软雅黑" w:cs="微软雅黑"/>
          <w:color w:val="auto"/>
          <w:sz w:val="24"/>
          <w:highlight w:val="none"/>
        </w:rPr>
        <w:t>对</w:t>
      </w:r>
      <w:r>
        <w:rPr>
          <w:rFonts w:hint="eastAsia" w:ascii="微软雅黑" w:hAnsi="微软雅黑" w:eastAsia="微软雅黑" w:cs="微软雅黑"/>
          <w:color w:val="auto"/>
          <w:sz w:val="24"/>
          <w:highlight w:val="none"/>
          <w:u w:val="single"/>
        </w:rPr>
        <w:t xml:space="preserve">   疏勒县乡村振兴平台   </w:t>
      </w:r>
      <w:r>
        <w:rPr>
          <w:rFonts w:hint="eastAsia" w:ascii="微软雅黑" w:hAnsi="微软雅黑" w:eastAsia="微软雅黑" w:cs="微软雅黑"/>
          <w:color w:val="auto"/>
          <w:sz w:val="24"/>
          <w:highlight w:val="none"/>
        </w:rPr>
        <w:t>项目进行了采购。经</w:t>
      </w:r>
      <w:r>
        <w:rPr>
          <w:rFonts w:hint="eastAsia" w:ascii="微软雅黑" w:hAnsi="微软雅黑" w:eastAsia="微软雅黑" w:cs="微软雅黑"/>
          <w:color w:val="auto"/>
          <w:sz w:val="24"/>
          <w:highlight w:val="none"/>
          <w:u w:val="single"/>
        </w:rPr>
        <w:t xml:space="preserve">   评标委员会  </w:t>
      </w:r>
      <w:r>
        <w:rPr>
          <w:rFonts w:hint="eastAsia" w:ascii="微软雅黑" w:hAnsi="微软雅黑" w:eastAsia="微软雅黑" w:cs="微软雅黑"/>
          <w:color w:val="auto"/>
          <w:sz w:val="24"/>
          <w:highlight w:val="none"/>
        </w:rPr>
        <w:t>评定，</w:t>
      </w:r>
      <w:r>
        <w:rPr>
          <w:rFonts w:hint="eastAsia" w:ascii="微软雅黑" w:hAnsi="微软雅黑" w:eastAsia="微软雅黑" w:cs="微软雅黑"/>
          <w:color w:val="auto"/>
          <w:sz w:val="24"/>
          <w:highlight w:val="none"/>
          <w:u w:val="single"/>
        </w:rPr>
        <w:t xml:space="preserve">   （中标供应商名称）</w:t>
      </w:r>
      <w:r>
        <w:rPr>
          <w:rFonts w:hint="eastAsia" w:ascii="微软雅黑" w:hAnsi="微软雅黑" w:eastAsia="微软雅黑" w:cs="微软雅黑"/>
          <w:color w:val="auto"/>
          <w:sz w:val="24"/>
          <w:highlight w:val="none"/>
        </w:rPr>
        <w:t>为该项目中标供应商。现于中标通知书发出之日起三十日内，按照采购文件确定的事项签订本合同。</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val="zh-CN"/>
        </w:rPr>
        <w:t>根据《中华人民共和国民法典》、《中华人民共和国政府采购法》等相关法律法规之规定，按照平等、自愿、公平和诚实信用的原则，经</w:t>
      </w:r>
      <w:r>
        <w:rPr>
          <w:rFonts w:hint="eastAsia" w:ascii="微软雅黑" w:hAnsi="微软雅黑" w:eastAsia="微软雅黑" w:cs="微软雅黑"/>
          <w:color w:val="auto"/>
          <w:sz w:val="24"/>
          <w:highlight w:val="none"/>
          <w:u w:val="single"/>
        </w:rPr>
        <w:t xml:space="preserve">   中共疏勒县委员会组织部  </w:t>
      </w:r>
      <w:r>
        <w:rPr>
          <w:rFonts w:hint="eastAsia" w:ascii="微软雅黑" w:hAnsi="微软雅黑" w:eastAsia="微软雅黑" w:cs="微软雅黑"/>
          <w:color w:val="auto"/>
          <w:sz w:val="24"/>
          <w:highlight w:val="none"/>
          <w:lang w:val="zh-CN"/>
        </w:rPr>
        <w:t>(以下简称：甲方)和</w:t>
      </w:r>
      <w:r>
        <w:rPr>
          <w:rFonts w:hint="eastAsia" w:ascii="微软雅黑" w:hAnsi="微软雅黑" w:eastAsia="微软雅黑" w:cs="微软雅黑"/>
          <w:color w:val="auto"/>
          <w:sz w:val="24"/>
          <w:highlight w:val="none"/>
          <w:u w:val="single"/>
        </w:rPr>
        <w:t xml:space="preserve">   （中标供应商名称）   </w:t>
      </w:r>
      <w:r>
        <w:rPr>
          <w:rFonts w:hint="eastAsia" w:ascii="微软雅黑" w:hAnsi="微软雅黑" w:eastAsia="微软雅黑" w:cs="微软雅黑"/>
          <w:color w:val="auto"/>
          <w:sz w:val="24"/>
          <w:highlight w:val="none"/>
          <w:lang w:val="zh-CN"/>
        </w:rPr>
        <w:t>(以下简称：乙方)协商一致，约定以下合同</w:t>
      </w:r>
      <w:r>
        <w:rPr>
          <w:rFonts w:hint="eastAsia" w:ascii="微软雅黑" w:hAnsi="微软雅黑" w:eastAsia="微软雅黑" w:cs="微软雅黑"/>
          <w:color w:val="auto"/>
          <w:sz w:val="24"/>
          <w:highlight w:val="none"/>
        </w:rPr>
        <w:t>条款，以兹共同遵守、全面履行。</w:t>
      </w:r>
    </w:p>
    <w:p>
      <w:pPr>
        <w:spacing w:line="440" w:lineRule="exact"/>
        <w:ind w:firstLine="480" w:firstLineChars="200"/>
        <w:outlineLvl w:val="0"/>
        <w:rPr>
          <w:rFonts w:ascii="微软雅黑" w:hAnsi="微软雅黑" w:eastAsia="微软雅黑" w:cs="微软雅黑"/>
          <w:b/>
          <w:color w:val="auto"/>
          <w:sz w:val="24"/>
          <w:highlight w:val="none"/>
        </w:rPr>
      </w:pPr>
      <w:bookmarkStart w:id="450" w:name="_Toc2232"/>
      <w:bookmarkStart w:id="451" w:name="_Toc4709"/>
      <w:bookmarkStart w:id="452" w:name="_Toc24059"/>
      <w:bookmarkStart w:id="453" w:name="_Toc18755"/>
      <w:bookmarkStart w:id="454" w:name="_Toc31087"/>
      <w:bookmarkStart w:id="455" w:name="_Toc15969"/>
      <w:bookmarkStart w:id="456" w:name="_Toc3029"/>
      <w:r>
        <w:rPr>
          <w:rFonts w:hint="eastAsia" w:ascii="微软雅黑" w:hAnsi="微软雅黑" w:eastAsia="微软雅黑" w:cs="微软雅黑"/>
          <w:b/>
          <w:color w:val="auto"/>
          <w:sz w:val="24"/>
          <w:highlight w:val="none"/>
        </w:rPr>
        <w:t>1.1 合同组成部分</w:t>
      </w:r>
      <w:bookmarkEnd w:id="450"/>
      <w:bookmarkEnd w:id="451"/>
      <w:bookmarkEnd w:id="452"/>
      <w:bookmarkEnd w:id="453"/>
      <w:bookmarkEnd w:id="454"/>
      <w:bookmarkEnd w:id="455"/>
      <w:bookmarkEnd w:id="456"/>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1.1.1 本合同及其补充合同、变更协议；</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1.1.2 中标通知书；</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1.1.3 投标文件（含澄清或者说明文件）；</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1.1.4 招标文件（含澄清或者修改文件）；</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1.1.5 其他相关采购文件。</w:t>
      </w:r>
    </w:p>
    <w:p>
      <w:pPr>
        <w:spacing w:line="440" w:lineRule="exact"/>
        <w:ind w:firstLine="480" w:firstLineChars="200"/>
        <w:outlineLvl w:val="0"/>
        <w:rPr>
          <w:rFonts w:ascii="微软雅黑" w:hAnsi="微软雅黑" w:eastAsia="微软雅黑" w:cs="微软雅黑"/>
          <w:b/>
          <w:color w:val="auto"/>
          <w:sz w:val="24"/>
          <w:highlight w:val="none"/>
        </w:rPr>
      </w:pPr>
      <w:bookmarkStart w:id="457" w:name="_Toc21295"/>
      <w:bookmarkStart w:id="458" w:name="_Toc16398"/>
      <w:bookmarkStart w:id="459" w:name="_Toc27126"/>
      <w:bookmarkStart w:id="460" w:name="_Toc10121"/>
      <w:bookmarkStart w:id="461" w:name="_Toc24300"/>
      <w:bookmarkStart w:id="462" w:name="_Toc4650"/>
      <w:bookmarkStart w:id="463" w:name="_Toc3161"/>
      <w:r>
        <w:rPr>
          <w:rFonts w:hint="eastAsia" w:ascii="微软雅黑" w:hAnsi="微软雅黑" w:eastAsia="微软雅黑" w:cs="微软雅黑"/>
          <w:b/>
          <w:color w:val="auto"/>
          <w:sz w:val="24"/>
          <w:highlight w:val="none"/>
        </w:rPr>
        <w:t xml:space="preserve">1.2 </w:t>
      </w:r>
      <w:bookmarkEnd w:id="457"/>
      <w:bookmarkEnd w:id="458"/>
      <w:bookmarkEnd w:id="459"/>
      <w:bookmarkEnd w:id="460"/>
      <w:bookmarkEnd w:id="461"/>
      <w:bookmarkEnd w:id="462"/>
      <w:bookmarkEnd w:id="463"/>
      <w:r>
        <w:rPr>
          <w:rFonts w:hint="eastAsia" w:ascii="微软雅黑" w:hAnsi="微软雅黑" w:eastAsia="微软雅黑" w:cs="微软雅黑"/>
          <w:b/>
          <w:color w:val="auto"/>
          <w:sz w:val="24"/>
          <w:highlight w:val="none"/>
        </w:rPr>
        <w:t>服务</w:t>
      </w:r>
    </w:p>
    <w:p>
      <w:pPr>
        <w:spacing w:line="440" w:lineRule="exact"/>
        <w:ind w:firstLine="480" w:firstLineChars="200"/>
        <w:rPr>
          <w:rFonts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1.2.1 项目内容：</w:t>
      </w:r>
      <w:r>
        <w:rPr>
          <w:rFonts w:hint="eastAsia" w:ascii="微软雅黑" w:hAnsi="微软雅黑" w:eastAsia="微软雅黑" w:cs="微软雅黑"/>
          <w:color w:val="auto"/>
          <w:sz w:val="24"/>
          <w:highlight w:val="none"/>
          <w:u w:val="single"/>
        </w:rPr>
        <w:t xml:space="preserve"> 疏勒县乡村振兴平台 </w:t>
      </w:r>
      <w:r>
        <w:rPr>
          <w:rFonts w:hint="eastAsia" w:ascii="微软雅黑" w:hAnsi="微软雅黑" w:eastAsia="微软雅黑" w:cs="微软雅黑"/>
          <w:color w:val="auto"/>
          <w:sz w:val="24"/>
          <w:highlight w:val="none"/>
        </w:rPr>
        <w:t>；</w:t>
      </w:r>
    </w:p>
    <w:p>
      <w:pPr>
        <w:spacing w:line="440" w:lineRule="exact"/>
        <w:ind w:firstLine="480" w:firstLineChars="200"/>
        <w:rPr>
          <w:rFonts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1.2.2 数量：</w:t>
      </w:r>
      <w:r>
        <w:rPr>
          <w:rFonts w:hint="eastAsia" w:ascii="微软雅黑" w:hAnsi="微软雅黑" w:eastAsia="微软雅黑" w:cs="微软雅黑"/>
          <w:color w:val="auto"/>
          <w:sz w:val="24"/>
          <w:highlight w:val="none"/>
          <w:u w:val="single"/>
        </w:rPr>
        <w:t xml:space="preserve"> 1批                                               </w:t>
      </w:r>
      <w:r>
        <w:rPr>
          <w:rFonts w:hint="eastAsia" w:ascii="微软雅黑" w:hAnsi="微软雅黑" w:eastAsia="微软雅黑" w:cs="微软雅黑"/>
          <w:color w:val="auto"/>
          <w:sz w:val="24"/>
          <w:highlight w:val="none"/>
        </w:rPr>
        <w:t>；</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1.2.3 质量标准：</w:t>
      </w:r>
      <w:r>
        <w:rPr>
          <w:rFonts w:hint="eastAsia" w:ascii="微软雅黑" w:hAnsi="微软雅黑" w:eastAsia="微软雅黑" w:cs="微软雅黑"/>
          <w:color w:val="auto"/>
          <w:sz w:val="24"/>
          <w:highlight w:val="none"/>
          <w:u w:val="single"/>
        </w:rPr>
        <w:t xml:space="preserve">合格，满足国家相关要求　　　　　　　　     　   </w:t>
      </w:r>
      <w:r>
        <w:rPr>
          <w:rFonts w:hint="eastAsia" w:ascii="微软雅黑" w:hAnsi="微软雅黑" w:eastAsia="微软雅黑" w:cs="微软雅黑"/>
          <w:color w:val="auto"/>
          <w:sz w:val="24"/>
          <w:highlight w:val="none"/>
        </w:rPr>
        <w:t>。</w:t>
      </w:r>
    </w:p>
    <w:p>
      <w:pPr>
        <w:spacing w:line="440" w:lineRule="exact"/>
        <w:ind w:firstLine="480" w:firstLineChars="200"/>
        <w:outlineLvl w:val="0"/>
        <w:rPr>
          <w:rFonts w:ascii="微软雅黑" w:hAnsi="微软雅黑" w:eastAsia="微软雅黑" w:cs="微软雅黑"/>
          <w:b/>
          <w:color w:val="auto"/>
          <w:sz w:val="24"/>
          <w:highlight w:val="none"/>
        </w:rPr>
      </w:pPr>
      <w:bookmarkStart w:id="464" w:name="_Toc18904"/>
      <w:bookmarkStart w:id="465" w:name="_Toc23008"/>
      <w:bookmarkStart w:id="466" w:name="_Toc26075"/>
      <w:bookmarkStart w:id="467" w:name="_Toc23292"/>
      <w:bookmarkStart w:id="468" w:name="_Toc21631"/>
      <w:bookmarkStart w:id="469" w:name="_Toc21551"/>
      <w:bookmarkStart w:id="470" w:name="_Toc10201"/>
      <w:r>
        <w:rPr>
          <w:rFonts w:hint="eastAsia" w:ascii="微软雅黑" w:hAnsi="微软雅黑" w:eastAsia="微软雅黑" w:cs="微软雅黑"/>
          <w:b/>
          <w:color w:val="auto"/>
          <w:sz w:val="24"/>
          <w:highlight w:val="none"/>
        </w:rPr>
        <w:t>1.3 价款</w:t>
      </w:r>
      <w:bookmarkEnd w:id="464"/>
      <w:bookmarkEnd w:id="465"/>
      <w:bookmarkEnd w:id="466"/>
      <w:bookmarkEnd w:id="467"/>
      <w:bookmarkEnd w:id="468"/>
      <w:bookmarkEnd w:id="469"/>
      <w:bookmarkEnd w:id="470"/>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本合同总价为：￥</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元（大写：</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元人民币）。</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分项价格：</w:t>
      </w:r>
    </w:p>
    <w:tbl>
      <w:tblPr>
        <w:tblStyle w:val="35"/>
        <w:tblW w:w="7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3699"/>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306" w:type="dxa"/>
            <w:vAlign w:val="center"/>
          </w:tcPr>
          <w:p>
            <w:pPr>
              <w:pStyle w:val="60"/>
              <w:spacing w:line="440" w:lineRule="exact"/>
              <w:jc w:val="center"/>
              <w:rPr>
                <w:rFonts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序号</w:t>
            </w:r>
          </w:p>
        </w:tc>
        <w:tc>
          <w:tcPr>
            <w:tcW w:w="3699" w:type="dxa"/>
            <w:vAlign w:val="center"/>
          </w:tcPr>
          <w:p>
            <w:pPr>
              <w:pStyle w:val="60"/>
              <w:spacing w:line="440" w:lineRule="exact"/>
              <w:ind w:firstLine="200"/>
              <w:jc w:val="center"/>
              <w:rPr>
                <w:rFonts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分项名称</w:t>
            </w:r>
          </w:p>
        </w:tc>
        <w:tc>
          <w:tcPr>
            <w:tcW w:w="2775" w:type="dxa"/>
            <w:vAlign w:val="center"/>
          </w:tcPr>
          <w:p>
            <w:pPr>
              <w:pStyle w:val="60"/>
              <w:spacing w:line="440" w:lineRule="exact"/>
              <w:jc w:val="center"/>
              <w:rPr>
                <w:rFonts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306" w:type="dxa"/>
            <w:vAlign w:val="center"/>
          </w:tcPr>
          <w:p>
            <w:pPr>
              <w:pStyle w:val="60"/>
              <w:spacing w:line="440" w:lineRule="exact"/>
              <w:ind w:firstLine="200"/>
              <w:jc w:val="center"/>
              <w:rPr>
                <w:rFonts w:ascii="微软雅黑" w:hAnsi="微软雅黑" w:eastAsia="微软雅黑" w:cs="微软雅黑"/>
                <w:color w:val="auto"/>
                <w:kern w:val="2"/>
                <w:sz w:val="24"/>
                <w:szCs w:val="24"/>
                <w:highlight w:val="none"/>
              </w:rPr>
            </w:pPr>
          </w:p>
        </w:tc>
        <w:tc>
          <w:tcPr>
            <w:tcW w:w="3699" w:type="dxa"/>
            <w:vAlign w:val="center"/>
          </w:tcPr>
          <w:p>
            <w:pPr>
              <w:pStyle w:val="60"/>
              <w:spacing w:line="440" w:lineRule="exact"/>
              <w:ind w:firstLine="200"/>
              <w:jc w:val="center"/>
              <w:rPr>
                <w:rFonts w:ascii="微软雅黑" w:hAnsi="微软雅黑" w:eastAsia="微软雅黑" w:cs="微软雅黑"/>
                <w:color w:val="auto"/>
                <w:kern w:val="2"/>
                <w:sz w:val="24"/>
                <w:szCs w:val="24"/>
                <w:highlight w:val="none"/>
              </w:rPr>
            </w:pPr>
          </w:p>
        </w:tc>
        <w:tc>
          <w:tcPr>
            <w:tcW w:w="2775" w:type="dxa"/>
            <w:vAlign w:val="center"/>
          </w:tcPr>
          <w:p>
            <w:pPr>
              <w:pStyle w:val="60"/>
              <w:spacing w:line="440" w:lineRule="exact"/>
              <w:ind w:firstLine="200"/>
              <w:jc w:val="center"/>
              <w:rPr>
                <w:rFonts w:ascii="微软雅黑" w:hAnsi="微软雅黑" w:eastAsia="微软雅黑" w:cs="微软雅黑"/>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306" w:type="dxa"/>
            <w:vAlign w:val="center"/>
          </w:tcPr>
          <w:p>
            <w:pPr>
              <w:pStyle w:val="60"/>
              <w:spacing w:line="440" w:lineRule="exact"/>
              <w:ind w:firstLine="200"/>
              <w:jc w:val="center"/>
              <w:rPr>
                <w:rFonts w:ascii="微软雅黑" w:hAnsi="微软雅黑" w:eastAsia="微软雅黑" w:cs="微软雅黑"/>
                <w:color w:val="auto"/>
                <w:kern w:val="2"/>
                <w:sz w:val="24"/>
                <w:szCs w:val="24"/>
                <w:highlight w:val="none"/>
              </w:rPr>
            </w:pPr>
          </w:p>
        </w:tc>
        <w:tc>
          <w:tcPr>
            <w:tcW w:w="3699" w:type="dxa"/>
            <w:vAlign w:val="center"/>
          </w:tcPr>
          <w:p>
            <w:pPr>
              <w:pStyle w:val="60"/>
              <w:spacing w:line="440" w:lineRule="exact"/>
              <w:ind w:firstLine="200"/>
              <w:jc w:val="center"/>
              <w:rPr>
                <w:rFonts w:ascii="微软雅黑" w:hAnsi="微软雅黑" w:eastAsia="微软雅黑" w:cs="微软雅黑"/>
                <w:color w:val="auto"/>
                <w:kern w:val="2"/>
                <w:sz w:val="24"/>
                <w:szCs w:val="24"/>
                <w:highlight w:val="none"/>
              </w:rPr>
            </w:pPr>
          </w:p>
        </w:tc>
        <w:tc>
          <w:tcPr>
            <w:tcW w:w="2775" w:type="dxa"/>
            <w:vAlign w:val="center"/>
          </w:tcPr>
          <w:p>
            <w:pPr>
              <w:pStyle w:val="60"/>
              <w:spacing w:line="440" w:lineRule="exact"/>
              <w:ind w:firstLine="200"/>
              <w:jc w:val="center"/>
              <w:rPr>
                <w:rFonts w:ascii="微软雅黑" w:hAnsi="微软雅黑" w:eastAsia="微软雅黑" w:cs="微软雅黑"/>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306" w:type="dxa"/>
            <w:vAlign w:val="center"/>
          </w:tcPr>
          <w:p>
            <w:pPr>
              <w:pStyle w:val="60"/>
              <w:spacing w:line="440" w:lineRule="exact"/>
              <w:ind w:firstLine="200"/>
              <w:jc w:val="center"/>
              <w:rPr>
                <w:rFonts w:ascii="微软雅黑" w:hAnsi="微软雅黑" w:eastAsia="微软雅黑" w:cs="微软雅黑"/>
                <w:color w:val="auto"/>
                <w:kern w:val="2"/>
                <w:sz w:val="24"/>
                <w:szCs w:val="24"/>
                <w:highlight w:val="none"/>
              </w:rPr>
            </w:pPr>
          </w:p>
        </w:tc>
        <w:tc>
          <w:tcPr>
            <w:tcW w:w="3699" w:type="dxa"/>
            <w:vAlign w:val="center"/>
          </w:tcPr>
          <w:p>
            <w:pPr>
              <w:pStyle w:val="60"/>
              <w:spacing w:line="440" w:lineRule="exact"/>
              <w:ind w:firstLine="200"/>
              <w:jc w:val="center"/>
              <w:rPr>
                <w:rFonts w:ascii="微软雅黑" w:hAnsi="微软雅黑" w:eastAsia="微软雅黑" w:cs="微软雅黑"/>
                <w:color w:val="auto"/>
                <w:kern w:val="2"/>
                <w:sz w:val="24"/>
                <w:szCs w:val="24"/>
                <w:highlight w:val="none"/>
              </w:rPr>
            </w:pPr>
          </w:p>
        </w:tc>
        <w:tc>
          <w:tcPr>
            <w:tcW w:w="2775" w:type="dxa"/>
            <w:vAlign w:val="center"/>
          </w:tcPr>
          <w:p>
            <w:pPr>
              <w:pStyle w:val="60"/>
              <w:spacing w:line="440" w:lineRule="exact"/>
              <w:ind w:firstLine="200"/>
              <w:jc w:val="center"/>
              <w:rPr>
                <w:rFonts w:ascii="微软雅黑" w:hAnsi="微软雅黑" w:eastAsia="微软雅黑" w:cs="微软雅黑"/>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306" w:type="dxa"/>
            <w:vAlign w:val="center"/>
          </w:tcPr>
          <w:p>
            <w:pPr>
              <w:pStyle w:val="60"/>
              <w:spacing w:line="440" w:lineRule="exact"/>
              <w:ind w:firstLine="200"/>
              <w:jc w:val="center"/>
              <w:rPr>
                <w:rFonts w:ascii="微软雅黑" w:hAnsi="微软雅黑" w:eastAsia="微软雅黑" w:cs="微软雅黑"/>
                <w:color w:val="auto"/>
                <w:kern w:val="2"/>
                <w:sz w:val="24"/>
                <w:szCs w:val="24"/>
                <w:highlight w:val="none"/>
              </w:rPr>
            </w:pPr>
          </w:p>
        </w:tc>
        <w:tc>
          <w:tcPr>
            <w:tcW w:w="3699" w:type="dxa"/>
            <w:vAlign w:val="center"/>
          </w:tcPr>
          <w:p>
            <w:pPr>
              <w:pStyle w:val="60"/>
              <w:spacing w:line="440" w:lineRule="exact"/>
              <w:ind w:firstLine="200"/>
              <w:jc w:val="center"/>
              <w:rPr>
                <w:rFonts w:ascii="微软雅黑" w:hAnsi="微软雅黑" w:eastAsia="微软雅黑" w:cs="微软雅黑"/>
                <w:color w:val="auto"/>
                <w:kern w:val="2"/>
                <w:sz w:val="24"/>
                <w:szCs w:val="24"/>
                <w:highlight w:val="none"/>
              </w:rPr>
            </w:pPr>
          </w:p>
        </w:tc>
        <w:tc>
          <w:tcPr>
            <w:tcW w:w="2775" w:type="dxa"/>
            <w:vAlign w:val="center"/>
          </w:tcPr>
          <w:p>
            <w:pPr>
              <w:pStyle w:val="60"/>
              <w:spacing w:line="440" w:lineRule="exact"/>
              <w:ind w:firstLine="200"/>
              <w:jc w:val="center"/>
              <w:rPr>
                <w:rFonts w:ascii="微软雅黑" w:hAnsi="微软雅黑" w:eastAsia="微软雅黑" w:cs="微软雅黑"/>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5005" w:type="dxa"/>
            <w:gridSpan w:val="2"/>
            <w:vAlign w:val="center"/>
          </w:tcPr>
          <w:p>
            <w:pPr>
              <w:pStyle w:val="60"/>
              <w:spacing w:line="440" w:lineRule="exact"/>
              <w:ind w:firstLine="200"/>
              <w:jc w:val="center"/>
              <w:rPr>
                <w:rFonts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rPr>
              <w:t>总价</w:t>
            </w:r>
          </w:p>
        </w:tc>
        <w:tc>
          <w:tcPr>
            <w:tcW w:w="2775" w:type="dxa"/>
            <w:vAlign w:val="center"/>
          </w:tcPr>
          <w:p>
            <w:pPr>
              <w:pStyle w:val="60"/>
              <w:spacing w:line="440" w:lineRule="exact"/>
              <w:ind w:firstLine="200"/>
              <w:jc w:val="center"/>
              <w:rPr>
                <w:rFonts w:ascii="微软雅黑" w:hAnsi="微软雅黑" w:eastAsia="微软雅黑" w:cs="微软雅黑"/>
                <w:color w:val="auto"/>
                <w:kern w:val="2"/>
                <w:sz w:val="24"/>
                <w:szCs w:val="24"/>
                <w:highlight w:val="none"/>
              </w:rPr>
            </w:pPr>
          </w:p>
        </w:tc>
      </w:tr>
    </w:tbl>
    <w:p>
      <w:pPr>
        <w:spacing w:line="440" w:lineRule="exact"/>
        <w:ind w:firstLine="480" w:firstLineChars="200"/>
        <w:outlineLvl w:val="0"/>
        <w:rPr>
          <w:rFonts w:ascii="微软雅黑" w:hAnsi="微软雅黑" w:eastAsia="微软雅黑" w:cs="微软雅黑"/>
          <w:b/>
          <w:color w:val="auto"/>
          <w:sz w:val="24"/>
          <w:highlight w:val="none"/>
        </w:rPr>
      </w:pPr>
      <w:bookmarkStart w:id="471" w:name="_Toc10340"/>
      <w:bookmarkStart w:id="472" w:name="_Toc18998"/>
      <w:bookmarkStart w:id="473" w:name="_Toc1814"/>
      <w:bookmarkStart w:id="474" w:name="_Toc22618"/>
      <w:bookmarkStart w:id="475" w:name="_Toc5002"/>
      <w:bookmarkStart w:id="476" w:name="_Toc27130"/>
      <w:bookmarkStart w:id="477" w:name="_Toc25183"/>
      <w:r>
        <w:rPr>
          <w:rFonts w:hint="eastAsia" w:ascii="微软雅黑" w:hAnsi="微软雅黑" w:eastAsia="微软雅黑" w:cs="微软雅黑"/>
          <w:b/>
          <w:color w:val="auto"/>
          <w:sz w:val="24"/>
          <w:highlight w:val="none"/>
        </w:rPr>
        <w:t>1.4 付款方式和发票开具方式</w:t>
      </w:r>
      <w:bookmarkEnd w:id="471"/>
      <w:bookmarkEnd w:id="472"/>
      <w:bookmarkEnd w:id="473"/>
      <w:bookmarkEnd w:id="474"/>
      <w:bookmarkEnd w:id="475"/>
      <w:bookmarkEnd w:id="476"/>
      <w:bookmarkEnd w:id="477"/>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1.4.1 付款方式：</w:t>
      </w:r>
      <w:r>
        <w:rPr>
          <w:rFonts w:hint="eastAsia" w:ascii="微软雅黑" w:hAnsi="微软雅黑" w:eastAsia="微软雅黑" w:cs="微软雅黑"/>
          <w:color w:val="auto"/>
          <w:sz w:val="24"/>
          <w:highlight w:val="none"/>
          <w:u w:val="single"/>
          <w:lang w:eastAsia="zh-CN"/>
        </w:rPr>
        <w:t>合同签订后，预付合同价款的</w:t>
      </w:r>
      <w:r>
        <w:rPr>
          <w:rFonts w:hint="eastAsia" w:ascii="微软雅黑" w:hAnsi="微软雅黑" w:eastAsia="微软雅黑" w:cs="微软雅黑"/>
          <w:color w:val="auto"/>
          <w:sz w:val="24"/>
          <w:highlight w:val="none"/>
          <w:u w:val="single"/>
          <w:lang w:val="en-US" w:eastAsia="zh-CN"/>
        </w:rPr>
        <w:t>40%，初验</w:t>
      </w:r>
      <w:r>
        <w:rPr>
          <w:rFonts w:hint="eastAsia" w:ascii="微软雅黑" w:hAnsi="微软雅黑" w:eastAsia="微软雅黑" w:cs="微软雅黑"/>
          <w:color w:val="auto"/>
          <w:sz w:val="24"/>
          <w:highlight w:val="none"/>
          <w:u w:val="single"/>
        </w:rPr>
        <w:t>合格后</w:t>
      </w:r>
      <w:r>
        <w:rPr>
          <w:rFonts w:hint="eastAsia" w:ascii="微软雅黑" w:hAnsi="微软雅黑" w:eastAsia="微软雅黑" w:cs="微软雅黑"/>
          <w:color w:val="auto"/>
          <w:sz w:val="24"/>
          <w:highlight w:val="none"/>
          <w:u w:val="single"/>
          <w:lang w:eastAsia="zh-CN"/>
        </w:rPr>
        <w:t>支付</w:t>
      </w:r>
      <w:r>
        <w:rPr>
          <w:rFonts w:hint="eastAsia" w:ascii="微软雅黑" w:hAnsi="微软雅黑" w:eastAsia="微软雅黑" w:cs="微软雅黑"/>
          <w:color w:val="auto"/>
          <w:sz w:val="24"/>
          <w:highlight w:val="none"/>
          <w:u w:val="single"/>
        </w:rPr>
        <w:t>合同</w:t>
      </w:r>
      <w:r>
        <w:rPr>
          <w:rFonts w:hint="eastAsia" w:ascii="微软雅黑" w:hAnsi="微软雅黑" w:eastAsia="微软雅黑" w:cs="微软雅黑"/>
          <w:color w:val="auto"/>
          <w:sz w:val="24"/>
          <w:highlight w:val="none"/>
          <w:u w:val="single"/>
          <w:lang w:eastAsia="zh-CN"/>
        </w:rPr>
        <w:t>价款</w:t>
      </w:r>
      <w:r>
        <w:rPr>
          <w:rFonts w:hint="eastAsia" w:ascii="微软雅黑" w:hAnsi="微软雅黑" w:eastAsia="微软雅黑" w:cs="微软雅黑"/>
          <w:color w:val="auto"/>
          <w:sz w:val="24"/>
          <w:highlight w:val="none"/>
          <w:u w:val="single"/>
        </w:rPr>
        <w:t>的</w:t>
      </w:r>
      <w:r>
        <w:rPr>
          <w:rFonts w:hint="eastAsia" w:ascii="微软雅黑" w:hAnsi="微软雅黑" w:eastAsia="微软雅黑" w:cs="微软雅黑"/>
          <w:color w:val="auto"/>
          <w:sz w:val="24"/>
          <w:highlight w:val="none"/>
          <w:u w:val="single"/>
          <w:lang w:val="en-US" w:eastAsia="zh-CN"/>
        </w:rPr>
        <w:t>5</w:t>
      </w:r>
      <w:r>
        <w:rPr>
          <w:rFonts w:hint="eastAsia" w:ascii="微软雅黑" w:hAnsi="微软雅黑" w:eastAsia="微软雅黑" w:cs="微软雅黑"/>
          <w:color w:val="auto"/>
          <w:sz w:val="24"/>
          <w:highlight w:val="none"/>
          <w:u w:val="single"/>
        </w:rPr>
        <w:t>7%，剩余3%留作质量保证金，三年质保期</w:t>
      </w:r>
      <w:r>
        <w:rPr>
          <w:rFonts w:hint="eastAsia" w:ascii="微软雅黑" w:hAnsi="微软雅黑" w:eastAsia="微软雅黑" w:cs="微软雅黑"/>
          <w:color w:val="auto"/>
          <w:sz w:val="24"/>
          <w:highlight w:val="none"/>
          <w:u w:val="single"/>
          <w:lang w:eastAsia="zh-CN"/>
        </w:rPr>
        <w:t>满</w:t>
      </w:r>
      <w:r>
        <w:rPr>
          <w:rFonts w:hint="eastAsia" w:ascii="微软雅黑" w:hAnsi="微软雅黑" w:eastAsia="微软雅黑" w:cs="微软雅黑"/>
          <w:color w:val="auto"/>
          <w:sz w:val="24"/>
          <w:highlight w:val="none"/>
          <w:u w:val="single"/>
        </w:rPr>
        <w:t>后无息支付剩余</w:t>
      </w:r>
      <w:r>
        <w:rPr>
          <w:rFonts w:hint="eastAsia" w:ascii="微软雅黑" w:hAnsi="微软雅黑" w:eastAsia="微软雅黑" w:cs="微软雅黑"/>
          <w:color w:val="auto"/>
          <w:sz w:val="24"/>
          <w:highlight w:val="none"/>
          <w:u w:val="single"/>
          <w:lang w:eastAsia="zh-CN"/>
        </w:rPr>
        <w:t>价款</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1.4.2 发票开具方式：</w:t>
      </w:r>
      <w:r>
        <w:rPr>
          <w:rFonts w:hint="eastAsia" w:ascii="微软雅黑" w:hAnsi="微软雅黑" w:eastAsia="微软雅黑" w:cs="微软雅黑"/>
          <w:color w:val="auto"/>
          <w:sz w:val="24"/>
          <w:highlight w:val="none"/>
          <w:u w:val="single"/>
        </w:rPr>
        <w:t xml:space="preserve">增值税普通发票                             </w:t>
      </w:r>
      <w:r>
        <w:rPr>
          <w:rFonts w:hint="eastAsia" w:ascii="微软雅黑" w:hAnsi="微软雅黑" w:eastAsia="微软雅黑" w:cs="微软雅黑"/>
          <w:color w:val="auto"/>
          <w:sz w:val="24"/>
          <w:highlight w:val="none"/>
        </w:rPr>
        <w:t>。</w:t>
      </w:r>
    </w:p>
    <w:p>
      <w:pPr>
        <w:spacing w:line="440" w:lineRule="exact"/>
        <w:ind w:firstLine="480" w:firstLineChars="200"/>
        <w:outlineLvl w:val="0"/>
        <w:rPr>
          <w:rFonts w:ascii="微软雅黑" w:hAnsi="微软雅黑" w:eastAsia="微软雅黑" w:cs="微软雅黑"/>
          <w:b/>
          <w:color w:val="auto"/>
          <w:sz w:val="24"/>
          <w:highlight w:val="none"/>
        </w:rPr>
      </w:pPr>
      <w:bookmarkStart w:id="478" w:name="_Toc32071"/>
      <w:bookmarkStart w:id="479" w:name="_Toc19304"/>
      <w:bookmarkStart w:id="480" w:name="_Toc14143"/>
      <w:bookmarkStart w:id="481" w:name="_Toc32496"/>
      <w:bookmarkStart w:id="482" w:name="_Toc2846"/>
      <w:bookmarkStart w:id="483" w:name="_Toc19442"/>
      <w:bookmarkStart w:id="484" w:name="_Toc16708"/>
      <w:r>
        <w:rPr>
          <w:rFonts w:hint="eastAsia" w:ascii="微软雅黑" w:hAnsi="微软雅黑" w:eastAsia="微软雅黑" w:cs="微软雅黑"/>
          <w:b/>
          <w:color w:val="auto"/>
          <w:sz w:val="24"/>
          <w:highlight w:val="none"/>
        </w:rPr>
        <w:t>1.5 交付期限、地点和方式</w:t>
      </w:r>
      <w:bookmarkEnd w:id="478"/>
      <w:bookmarkEnd w:id="479"/>
      <w:bookmarkEnd w:id="480"/>
      <w:bookmarkEnd w:id="481"/>
      <w:bookmarkEnd w:id="482"/>
      <w:bookmarkEnd w:id="483"/>
      <w:bookmarkEnd w:id="484"/>
    </w:p>
    <w:p>
      <w:pPr>
        <w:spacing w:line="440" w:lineRule="exact"/>
        <w:ind w:left="719" w:leftChars="228" w:hanging="240" w:hangingChars="100"/>
        <w:jc w:val="left"/>
        <w:rPr>
          <w:rFonts w:ascii="微软雅黑" w:hAnsi="微软雅黑" w:eastAsia="微软雅黑" w:cs="微软雅黑"/>
          <w:color w:val="auto"/>
          <w:sz w:val="24"/>
          <w:highlight w:val="none"/>
          <w:u w:val="single"/>
        </w:rPr>
      </w:pPr>
      <w:r>
        <w:rPr>
          <w:rFonts w:hint="eastAsia" w:ascii="微软雅黑" w:hAnsi="微软雅黑" w:eastAsia="微软雅黑" w:cs="微软雅黑"/>
          <w:color w:val="auto"/>
          <w:sz w:val="24"/>
          <w:highlight w:val="none"/>
        </w:rPr>
        <w:t>1.5.1 交付期限：</w:t>
      </w:r>
      <w:r>
        <w:rPr>
          <w:rFonts w:hint="eastAsia" w:ascii="微软雅黑" w:hAnsi="微软雅黑" w:eastAsia="微软雅黑" w:cs="微软雅黑"/>
          <w:color w:val="auto"/>
          <w:sz w:val="24"/>
          <w:highlight w:val="none"/>
          <w:u w:val="single"/>
        </w:rPr>
        <w:t xml:space="preserve">  </w:t>
      </w:r>
      <w:r>
        <w:rPr>
          <w:rFonts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b/>
          <w:bCs/>
          <w:color w:val="auto"/>
          <w:sz w:val="24"/>
          <w:highlight w:val="none"/>
          <w:u w:val="single"/>
        </w:rPr>
        <w:t>60</w:t>
      </w:r>
      <w:r>
        <w:rPr>
          <w:rFonts w:hint="eastAsia" w:ascii="微软雅黑" w:hAnsi="微软雅黑" w:eastAsia="微软雅黑" w:cs="微软雅黑"/>
          <w:color w:val="auto"/>
          <w:sz w:val="24"/>
          <w:highlight w:val="none"/>
          <w:u w:val="single"/>
        </w:rPr>
        <w:t>日历天</w:t>
      </w:r>
      <w:r>
        <w:rPr>
          <w:rFonts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1.5.2 交付地点：</w:t>
      </w:r>
      <w:r>
        <w:rPr>
          <w:rFonts w:hint="eastAsia" w:ascii="微软雅黑" w:hAnsi="微软雅黑" w:eastAsia="微软雅黑" w:cs="微软雅黑"/>
          <w:color w:val="auto"/>
          <w:sz w:val="24"/>
          <w:highlight w:val="none"/>
          <w:u w:val="single"/>
        </w:rPr>
        <w:t xml:space="preserve"> 中共疏勒县委员会组织部指定位置               </w:t>
      </w:r>
      <w:r>
        <w:rPr>
          <w:rFonts w:hint="eastAsia" w:ascii="微软雅黑" w:hAnsi="微软雅黑" w:eastAsia="微软雅黑" w:cs="微软雅黑"/>
          <w:color w:val="auto"/>
          <w:sz w:val="24"/>
          <w:highlight w:val="none"/>
        </w:rPr>
        <w:t>；</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1.5.3 交付方式：</w:t>
      </w:r>
      <w:r>
        <w:rPr>
          <w:rFonts w:hint="eastAsia" w:ascii="微软雅黑" w:hAnsi="微软雅黑" w:eastAsia="微软雅黑" w:cs="微软雅黑"/>
          <w:color w:val="auto"/>
          <w:sz w:val="24"/>
          <w:highlight w:val="none"/>
          <w:u w:val="single"/>
        </w:rPr>
        <w:t>平台搭建完成，满足采购需求后交付</w:t>
      </w:r>
      <w:r>
        <w:rPr>
          <w:rFonts w:hint="eastAsia" w:ascii="微软雅黑" w:hAnsi="微软雅黑" w:eastAsia="微软雅黑" w:cs="微软雅黑"/>
          <w:color w:val="auto"/>
          <w:sz w:val="24"/>
          <w:highlight w:val="none"/>
        </w:rPr>
        <w:t>。</w:t>
      </w:r>
    </w:p>
    <w:p>
      <w:pPr>
        <w:spacing w:line="440" w:lineRule="exact"/>
        <w:ind w:firstLine="480" w:firstLineChars="200"/>
        <w:outlineLvl w:val="0"/>
        <w:rPr>
          <w:rFonts w:ascii="微软雅黑" w:hAnsi="微软雅黑" w:eastAsia="微软雅黑" w:cs="微软雅黑"/>
          <w:b/>
          <w:color w:val="auto"/>
          <w:sz w:val="24"/>
          <w:highlight w:val="none"/>
        </w:rPr>
      </w:pPr>
      <w:bookmarkStart w:id="485" w:name="_Toc24629"/>
      <w:bookmarkStart w:id="486" w:name="_Toc24086"/>
      <w:bookmarkStart w:id="487" w:name="_Toc21423"/>
      <w:bookmarkStart w:id="488" w:name="_Toc402"/>
      <w:bookmarkStart w:id="489" w:name="_Toc27250"/>
      <w:bookmarkStart w:id="490" w:name="_Toc19554"/>
      <w:bookmarkStart w:id="491" w:name="_Toc21476"/>
      <w:r>
        <w:rPr>
          <w:rFonts w:hint="eastAsia" w:ascii="微软雅黑" w:hAnsi="微软雅黑" w:eastAsia="微软雅黑" w:cs="微软雅黑"/>
          <w:b/>
          <w:color w:val="auto"/>
          <w:sz w:val="24"/>
          <w:highlight w:val="none"/>
        </w:rPr>
        <w:t>1.6 违约责任</w:t>
      </w:r>
      <w:bookmarkEnd w:id="485"/>
      <w:bookmarkEnd w:id="486"/>
      <w:bookmarkEnd w:id="487"/>
      <w:bookmarkEnd w:id="488"/>
      <w:bookmarkEnd w:id="489"/>
      <w:bookmarkEnd w:id="490"/>
      <w:bookmarkEnd w:id="491"/>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%计算，最高限额为本合同总价的</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%；迟延交付货物的违约金计算数额达到前述最高限额之日起，甲方有权在要求乙方支付违约金的同时，书面通知乙方解除本合同；</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1.6.2 除不可抗力外，如果甲方没有按照本合同约定的付款方式付款，那么乙方可要求甲方支付违约金，违约金按每迟延付款一日的应付而未付款的</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%计算，最高限额为本合同总价的</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%；迟延付款的违约金计算数额达到前述最高限额之日起，乙方有权在要求甲方支付违约金的同时，书面通知甲方解除本合同；</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ind w:firstLine="480" w:firstLineChars="200"/>
        <w:outlineLvl w:val="0"/>
        <w:rPr>
          <w:rFonts w:ascii="微软雅黑" w:hAnsi="微软雅黑" w:eastAsia="微软雅黑" w:cs="微软雅黑"/>
          <w:b/>
          <w:color w:val="auto"/>
          <w:sz w:val="24"/>
          <w:highlight w:val="none"/>
        </w:rPr>
      </w:pPr>
      <w:bookmarkStart w:id="492" w:name="_Toc25059"/>
      <w:bookmarkStart w:id="493" w:name="_Toc15583"/>
      <w:bookmarkStart w:id="494" w:name="_Toc29256"/>
      <w:bookmarkStart w:id="495" w:name="_Toc26216"/>
      <w:bookmarkStart w:id="496" w:name="_Toc16021"/>
      <w:bookmarkStart w:id="497" w:name="_Toc8341"/>
      <w:bookmarkStart w:id="498" w:name="_Toc28375"/>
      <w:r>
        <w:rPr>
          <w:rFonts w:hint="eastAsia" w:ascii="微软雅黑" w:hAnsi="微软雅黑" w:eastAsia="微软雅黑" w:cs="微软雅黑"/>
          <w:b/>
          <w:color w:val="auto"/>
          <w:sz w:val="24"/>
          <w:highlight w:val="none"/>
        </w:rPr>
        <w:t>1.7 合同争议的解决</w:t>
      </w:r>
      <w:bookmarkEnd w:id="492"/>
      <w:bookmarkEnd w:id="493"/>
      <w:bookmarkEnd w:id="494"/>
      <w:bookmarkEnd w:id="495"/>
      <w:bookmarkEnd w:id="496"/>
      <w:bookmarkEnd w:id="497"/>
      <w:bookmarkEnd w:id="498"/>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本合同履行过程中发生的任何争议，双方当事人均可通过和解或者调解解决；不愿和解、调解或者和解、调解不成的，可以选择下列第</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种方式解决：</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1.7.1 将争议提交</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仲裁委员会依申请仲裁时其现行有效的仲裁规则裁决；</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1.7.2 向</w:t>
      </w:r>
      <w:r>
        <w:rPr>
          <w:rFonts w:hint="eastAsia" w:ascii="微软雅黑" w:hAnsi="微软雅黑" w:eastAsia="微软雅黑" w:cs="微软雅黑"/>
          <w:color w:val="auto"/>
          <w:sz w:val="24"/>
          <w:highlight w:val="none"/>
          <w:u w:val="single"/>
        </w:rPr>
        <w:t xml:space="preserve">   （被告住所地、合同履行地、合同签订地、原告住所地、标的物所在地等与争议有实际联系的地点中选出的人民法院名称）    </w:t>
      </w:r>
      <w:r>
        <w:rPr>
          <w:rFonts w:hint="eastAsia" w:ascii="微软雅黑" w:hAnsi="微软雅黑" w:eastAsia="微软雅黑" w:cs="微软雅黑"/>
          <w:color w:val="auto"/>
          <w:sz w:val="24"/>
          <w:highlight w:val="none"/>
        </w:rPr>
        <w:t>人民法院起诉。</w:t>
      </w:r>
    </w:p>
    <w:p>
      <w:pPr>
        <w:spacing w:line="440" w:lineRule="exact"/>
        <w:ind w:firstLine="480" w:firstLineChars="200"/>
        <w:outlineLvl w:val="0"/>
        <w:rPr>
          <w:rFonts w:ascii="微软雅黑" w:hAnsi="微软雅黑" w:eastAsia="微软雅黑" w:cs="微软雅黑"/>
          <w:b/>
          <w:color w:val="auto"/>
          <w:sz w:val="24"/>
          <w:highlight w:val="none"/>
        </w:rPr>
      </w:pPr>
      <w:bookmarkStart w:id="499" w:name="_Toc29047"/>
      <w:bookmarkStart w:id="500" w:name="_Toc11173"/>
      <w:bookmarkStart w:id="501" w:name="_Toc19747"/>
      <w:bookmarkStart w:id="502" w:name="_Toc28199"/>
      <w:bookmarkStart w:id="503" w:name="_Toc29973"/>
      <w:bookmarkStart w:id="504" w:name="_Toc15322"/>
      <w:bookmarkStart w:id="505" w:name="_Toc7245"/>
      <w:r>
        <w:rPr>
          <w:rFonts w:hint="eastAsia" w:ascii="微软雅黑" w:hAnsi="微软雅黑" w:eastAsia="微软雅黑" w:cs="微软雅黑"/>
          <w:b/>
          <w:color w:val="auto"/>
          <w:sz w:val="24"/>
          <w:highlight w:val="none"/>
        </w:rPr>
        <w:t>1.8 合同生效</w:t>
      </w:r>
      <w:bookmarkEnd w:id="499"/>
      <w:bookmarkEnd w:id="500"/>
      <w:bookmarkEnd w:id="501"/>
      <w:bookmarkEnd w:id="502"/>
      <w:bookmarkEnd w:id="503"/>
      <w:bookmarkEnd w:id="504"/>
      <w:bookmarkEnd w:id="505"/>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本合同自双方当事人盖章或者签字时生效。</w:t>
      </w:r>
    </w:p>
    <w:p>
      <w:pPr>
        <w:autoSpaceDE w:val="0"/>
        <w:autoSpaceDN w:val="0"/>
        <w:adjustRightInd w:val="0"/>
        <w:spacing w:line="440" w:lineRule="exact"/>
        <w:rPr>
          <w:rFonts w:ascii="微软雅黑" w:hAnsi="微软雅黑" w:eastAsia="微软雅黑" w:cs="微软雅黑"/>
          <w:color w:val="auto"/>
          <w:sz w:val="24"/>
          <w:highlight w:val="none"/>
          <w:lang w:val="zh-CN"/>
        </w:rPr>
      </w:pPr>
      <w:r>
        <w:rPr>
          <w:rFonts w:hint="eastAsia" w:ascii="微软雅黑" w:hAnsi="微软雅黑" w:eastAsia="微软雅黑" w:cs="微软雅黑"/>
          <w:b/>
          <w:color w:val="auto"/>
          <w:sz w:val="24"/>
          <w:highlight w:val="none"/>
          <w:lang w:val="zh-CN"/>
        </w:rPr>
        <w:t>甲方</w:t>
      </w:r>
      <w:r>
        <w:rPr>
          <w:rFonts w:hint="eastAsia" w:ascii="微软雅黑" w:hAnsi="微软雅黑" w:eastAsia="微软雅黑" w:cs="微软雅黑"/>
          <w:color w:val="auto"/>
          <w:sz w:val="24"/>
          <w:highlight w:val="none"/>
          <w:lang w:val="zh-CN"/>
        </w:rPr>
        <w:t xml:space="preserve">：                             </w:t>
      </w:r>
      <w:r>
        <w:rPr>
          <w:rFonts w:hint="eastAsia" w:ascii="微软雅黑" w:hAnsi="微软雅黑" w:eastAsia="微软雅黑" w:cs="微软雅黑"/>
          <w:b/>
          <w:color w:val="auto"/>
          <w:sz w:val="24"/>
          <w:highlight w:val="none"/>
          <w:lang w:val="zh-CN"/>
        </w:rPr>
        <w:t xml:space="preserve">      乙方</w:t>
      </w:r>
      <w:r>
        <w:rPr>
          <w:rFonts w:hint="eastAsia" w:ascii="微软雅黑" w:hAnsi="微软雅黑" w:eastAsia="微软雅黑" w:cs="微软雅黑"/>
          <w:color w:val="auto"/>
          <w:sz w:val="24"/>
          <w:highlight w:val="none"/>
          <w:lang w:val="zh-CN"/>
        </w:rPr>
        <w:t>：</w:t>
      </w:r>
    </w:p>
    <w:p>
      <w:pPr>
        <w:autoSpaceDE w:val="0"/>
        <w:autoSpaceDN w:val="0"/>
        <w:adjustRightInd w:val="0"/>
        <w:spacing w:line="440" w:lineRule="exact"/>
        <w:rPr>
          <w:rFonts w:ascii="微软雅黑" w:hAnsi="微软雅黑" w:eastAsia="微软雅黑" w:cs="微软雅黑"/>
          <w:color w:val="auto"/>
          <w:sz w:val="24"/>
          <w:highlight w:val="none"/>
          <w:lang w:val="zh-CN"/>
        </w:rPr>
      </w:pPr>
      <w:r>
        <w:rPr>
          <w:rFonts w:hint="eastAsia" w:ascii="微软雅黑" w:hAnsi="微软雅黑" w:eastAsia="微软雅黑" w:cs="微软雅黑"/>
          <w:color w:val="auto"/>
          <w:sz w:val="24"/>
          <w:highlight w:val="none"/>
          <w:lang w:val="zh-CN"/>
        </w:rPr>
        <w:t>统一社会信用代码：                       统一社会信用代码或身份证号码：</w:t>
      </w:r>
    </w:p>
    <w:p>
      <w:pPr>
        <w:autoSpaceDE w:val="0"/>
        <w:autoSpaceDN w:val="0"/>
        <w:adjustRightInd w:val="0"/>
        <w:spacing w:line="440" w:lineRule="exact"/>
        <w:rPr>
          <w:rFonts w:ascii="微软雅黑" w:hAnsi="微软雅黑" w:eastAsia="微软雅黑" w:cs="微软雅黑"/>
          <w:color w:val="auto"/>
          <w:sz w:val="24"/>
          <w:highlight w:val="none"/>
          <w:lang w:val="zh-CN"/>
        </w:rPr>
      </w:pPr>
      <w:r>
        <w:rPr>
          <w:rFonts w:hint="eastAsia" w:ascii="微软雅黑" w:hAnsi="微软雅黑" w:eastAsia="微软雅黑" w:cs="微软雅黑"/>
          <w:color w:val="auto"/>
          <w:sz w:val="24"/>
          <w:highlight w:val="none"/>
          <w:lang w:val="zh-CN"/>
        </w:rPr>
        <w:t xml:space="preserve">住所：                                  </w:t>
      </w:r>
      <w:r>
        <w:rPr>
          <w:rFonts w:hint="eastAsia" w:ascii="微软雅黑" w:hAnsi="微软雅黑" w:eastAsia="微软雅黑" w:cs="微软雅黑"/>
          <w:color w:val="auto"/>
          <w:sz w:val="24"/>
          <w:highlight w:val="none"/>
        </w:rPr>
        <w:t xml:space="preserve"> </w:t>
      </w:r>
      <w:r>
        <w:rPr>
          <w:rFonts w:hint="eastAsia" w:ascii="微软雅黑" w:hAnsi="微软雅黑" w:eastAsia="微软雅黑" w:cs="微软雅黑"/>
          <w:color w:val="auto"/>
          <w:sz w:val="24"/>
          <w:highlight w:val="none"/>
          <w:lang w:val="zh-CN"/>
        </w:rPr>
        <w:t>住所：</w:t>
      </w:r>
    </w:p>
    <w:p>
      <w:pPr>
        <w:autoSpaceDE w:val="0"/>
        <w:autoSpaceDN w:val="0"/>
        <w:adjustRightInd w:val="0"/>
        <w:spacing w:line="440" w:lineRule="exact"/>
        <w:rPr>
          <w:rFonts w:ascii="微软雅黑" w:hAnsi="微软雅黑" w:eastAsia="微软雅黑" w:cs="微软雅黑"/>
          <w:color w:val="auto"/>
          <w:sz w:val="24"/>
          <w:highlight w:val="none"/>
          <w:lang w:val="zh-CN"/>
        </w:rPr>
      </w:pPr>
      <w:r>
        <w:rPr>
          <w:rFonts w:hint="eastAsia" w:ascii="微软雅黑" w:hAnsi="微软雅黑" w:eastAsia="微软雅黑" w:cs="微软雅黑"/>
          <w:color w:val="auto"/>
          <w:sz w:val="24"/>
          <w:highlight w:val="none"/>
          <w:lang w:val="zh-CN"/>
        </w:rPr>
        <w:t xml:space="preserve">法定代表人（负责人）或                  </w:t>
      </w:r>
      <w:r>
        <w:rPr>
          <w:rFonts w:hint="eastAsia" w:ascii="微软雅黑" w:hAnsi="微软雅黑" w:eastAsia="微软雅黑" w:cs="微软雅黑"/>
          <w:color w:val="auto"/>
          <w:sz w:val="24"/>
          <w:highlight w:val="none"/>
        </w:rPr>
        <w:t xml:space="preserve"> </w:t>
      </w:r>
      <w:r>
        <w:rPr>
          <w:rFonts w:hint="eastAsia" w:ascii="微软雅黑" w:hAnsi="微软雅黑" w:eastAsia="微软雅黑" w:cs="微软雅黑"/>
          <w:color w:val="auto"/>
          <w:sz w:val="24"/>
          <w:highlight w:val="none"/>
          <w:lang w:val="zh-CN"/>
        </w:rPr>
        <w:t>法定代表人（负责人）</w:t>
      </w:r>
    </w:p>
    <w:p>
      <w:pPr>
        <w:autoSpaceDE w:val="0"/>
        <w:autoSpaceDN w:val="0"/>
        <w:adjustRightInd w:val="0"/>
        <w:spacing w:line="440" w:lineRule="exact"/>
        <w:rPr>
          <w:rFonts w:ascii="微软雅黑" w:hAnsi="微软雅黑" w:eastAsia="微软雅黑" w:cs="微软雅黑"/>
          <w:color w:val="auto"/>
          <w:sz w:val="24"/>
          <w:highlight w:val="none"/>
          <w:lang w:val="zh-CN"/>
        </w:rPr>
      </w:pPr>
      <w:r>
        <w:rPr>
          <w:rFonts w:hint="eastAsia" w:ascii="微软雅黑" w:hAnsi="微软雅黑" w:eastAsia="微软雅黑" w:cs="微软雅黑"/>
          <w:color w:val="auto"/>
          <w:sz w:val="24"/>
          <w:highlight w:val="none"/>
          <w:lang w:val="zh-CN"/>
        </w:rPr>
        <w:t xml:space="preserve">授权代表（签字）：                      </w:t>
      </w:r>
      <w:r>
        <w:rPr>
          <w:rFonts w:hint="eastAsia" w:ascii="微软雅黑" w:hAnsi="微软雅黑" w:eastAsia="微软雅黑" w:cs="微软雅黑"/>
          <w:color w:val="auto"/>
          <w:sz w:val="24"/>
          <w:highlight w:val="none"/>
        </w:rPr>
        <w:t xml:space="preserve"> </w:t>
      </w:r>
      <w:r>
        <w:rPr>
          <w:rFonts w:hint="eastAsia" w:ascii="微软雅黑" w:hAnsi="微软雅黑" w:eastAsia="微软雅黑" w:cs="微软雅黑"/>
          <w:color w:val="auto"/>
          <w:sz w:val="24"/>
          <w:highlight w:val="none"/>
          <w:lang w:val="zh-CN"/>
        </w:rPr>
        <w:t xml:space="preserve">或授权代表（签字）: </w:t>
      </w:r>
    </w:p>
    <w:p>
      <w:pPr>
        <w:autoSpaceDE w:val="0"/>
        <w:autoSpaceDN w:val="0"/>
        <w:adjustRightInd w:val="0"/>
        <w:spacing w:line="440" w:lineRule="exact"/>
        <w:rPr>
          <w:rFonts w:ascii="微软雅黑" w:hAnsi="微软雅黑" w:eastAsia="微软雅黑" w:cs="微软雅黑"/>
          <w:color w:val="auto"/>
          <w:sz w:val="24"/>
          <w:highlight w:val="none"/>
          <w:lang w:val="zh-CN"/>
        </w:rPr>
      </w:pPr>
      <w:r>
        <w:rPr>
          <w:rFonts w:hint="eastAsia" w:ascii="微软雅黑" w:hAnsi="微软雅黑" w:eastAsia="微软雅黑" w:cs="微软雅黑"/>
          <w:color w:val="auto"/>
          <w:sz w:val="24"/>
          <w:highlight w:val="none"/>
          <w:lang w:val="zh-CN"/>
        </w:rPr>
        <w:t>联系人：                                 联系人：</w:t>
      </w:r>
    </w:p>
    <w:p>
      <w:pPr>
        <w:autoSpaceDE w:val="0"/>
        <w:autoSpaceDN w:val="0"/>
        <w:adjustRightInd w:val="0"/>
        <w:spacing w:line="440" w:lineRule="exact"/>
        <w:rPr>
          <w:rFonts w:ascii="微软雅黑" w:hAnsi="微软雅黑" w:eastAsia="微软雅黑" w:cs="微软雅黑"/>
          <w:color w:val="auto"/>
          <w:sz w:val="24"/>
          <w:highlight w:val="none"/>
          <w:lang w:val="zh-CN"/>
        </w:rPr>
      </w:pPr>
      <w:r>
        <w:rPr>
          <w:rFonts w:hint="eastAsia" w:ascii="微软雅黑" w:hAnsi="微软雅黑" w:eastAsia="微软雅黑" w:cs="微软雅黑"/>
          <w:color w:val="auto"/>
          <w:sz w:val="24"/>
          <w:highlight w:val="none"/>
          <w:lang w:val="zh-CN"/>
        </w:rPr>
        <w:t>约定送达地址：                           约定送达地址：</w:t>
      </w:r>
    </w:p>
    <w:p>
      <w:pPr>
        <w:autoSpaceDE w:val="0"/>
        <w:autoSpaceDN w:val="0"/>
        <w:adjustRightInd w:val="0"/>
        <w:spacing w:line="440" w:lineRule="exact"/>
        <w:rPr>
          <w:rFonts w:ascii="微软雅黑" w:hAnsi="微软雅黑" w:eastAsia="微软雅黑" w:cs="微软雅黑"/>
          <w:color w:val="auto"/>
          <w:sz w:val="24"/>
          <w:highlight w:val="none"/>
          <w:lang w:val="zh-CN"/>
        </w:rPr>
      </w:pPr>
      <w:r>
        <w:rPr>
          <w:rFonts w:hint="eastAsia" w:ascii="微软雅黑" w:hAnsi="微软雅黑" w:eastAsia="微软雅黑" w:cs="微软雅黑"/>
          <w:color w:val="auto"/>
          <w:sz w:val="24"/>
          <w:highlight w:val="none"/>
          <w:lang w:val="zh-CN"/>
        </w:rPr>
        <w:t>邮政编码：                               邮政编码：</w:t>
      </w:r>
    </w:p>
    <w:p>
      <w:pPr>
        <w:autoSpaceDE w:val="0"/>
        <w:autoSpaceDN w:val="0"/>
        <w:adjustRightInd w:val="0"/>
        <w:spacing w:line="440" w:lineRule="exact"/>
        <w:rPr>
          <w:rFonts w:ascii="微软雅黑" w:hAnsi="微软雅黑" w:eastAsia="微软雅黑" w:cs="微软雅黑"/>
          <w:color w:val="auto"/>
          <w:sz w:val="24"/>
          <w:highlight w:val="none"/>
          <w:lang w:val="zh-CN"/>
        </w:rPr>
      </w:pPr>
      <w:r>
        <w:rPr>
          <w:rFonts w:hint="eastAsia" w:ascii="微软雅黑" w:hAnsi="微软雅黑" w:eastAsia="微软雅黑" w:cs="微软雅黑"/>
          <w:color w:val="auto"/>
          <w:sz w:val="24"/>
          <w:highlight w:val="none"/>
          <w:lang w:val="zh-CN"/>
        </w:rPr>
        <w:t xml:space="preserve">电话:                                    电话: </w:t>
      </w:r>
    </w:p>
    <w:p>
      <w:pPr>
        <w:autoSpaceDE w:val="0"/>
        <w:autoSpaceDN w:val="0"/>
        <w:adjustRightInd w:val="0"/>
        <w:spacing w:line="440" w:lineRule="exact"/>
        <w:rPr>
          <w:rFonts w:ascii="微软雅黑" w:hAnsi="微软雅黑" w:eastAsia="微软雅黑" w:cs="微软雅黑"/>
          <w:color w:val="auto"/>
          <w:sz w:val="24"/>
          <w:highlight w:val="none"/>
          <w:lang w:val="zh-CN"/>
        </w:rPr>
      </w:pPr>
      <w:r>
        <w:rPr>
          <w:rFonts w:hint="eastAsia" w:ascii="微软雅黑" w:hAnsi="微软雅黑" w:eastAsia="微软雅黑" w:cs="微软雅黑"/>
          <w:color w:val="auto"/>
          <w:sz w:val="24"/>
          <w:highlight w:val="none"/>
          <w:lang w:val="zh-CN"/>
        </w:rPr>
        <w:t>传真:                                    传真:</w:t>
      </w:r>
    </w:p>
    <w:p>
      <w:pPr>
        <w:autoSpaceDE w:val="0"/>
        <w:autoSpaceDN w:val="0"/>
        <w:adjustRightInd w:val="0"/>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lang w:val="zh-CN"/>
        </w:rPr>
        <w:t>电子邮箱：                               电子邮箱：</w:t>
      </w:r>
    </w:p>
    <w:p>
      <w:pPr>
        <w:autoSpaceDE w:val="0"/>
        <w:autoSpaceDN w:val="0"/>
        <w:adjustRightInd w:val="0"/>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开户银行：                               开户银行： </w:t>
      </w:r>
    </w:p>
    <w:p>
      <w:pPr>
        <w:autoSpaceDE w:val="0"/>
        <w:autoSpaceDN w:val="0"/>
        <w:adjustRightInd w:val="0"/>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 xml:space="preserve">开户名称：                               开户名称： </w:t>
      </w:r>
    </w:p>
    <w:p>
      <w:pPr>
        <w:autoSpaceDE w:val="0"/>
        <w:autoSpaceDN w:val="0"/>
        <w:adjustRightInd w:val="0"/>
        <w:spacing w:line="440" w:lineRule="exact"/>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开户账号：</w:t>
      </w:r>
      <w:r>
        <w:rPr>
          <w:rFonts w:hint="eastAsia" w:ascii="微软雅黑" w:hAnsi="微软雅黑" w:eastAsia="微软雅黑" w:cs="微软雅黑"/>
          <w:color w:val="auto"/>
          <w:sz w:val="24"/>
          <w:highlight w:val="none"/>
          <w:lang w:val="zh-CN"/>
        </w:rPr>
        <w:t xml:space="preserve">                               </w:t>
      </w:r>
      <w:r>
        <w:rPr>
          <w:rFonts w:hint="eastAsia" w:ascii="微软雅黑" w:hAnsi="微软雅黑" w:eastAsia="微软雅黑" w:cs="微软雅黑"/>
          <w:color w:val="auto"/>
          <w:sz w:val="24"/>
          <w:highlight w:val="none"/>
        </w:rPr>
        <w:t>开户账号：</w:t>
      </w:r>
    </w:p>
    <w:p>
      <w:pPr>
        <w:rPr>
          <w:rFonts w:ascii="微软雅黑" w:hAnsi="微软雅黑" w:eastAsia="微软雅黑" w:cs="微软雅黑"/>
          <w:b/>
          <w:color w:val="auto"/>
          <w:sz w:val="24"/>
          <w:highlight w:val="none"/>
        </w:rPr>
      </w:pPr>
      <w:bookmarkStart w:id="506" w:name="_Toc331685783"/>
      <w:r>
        <w:rPr>
          <w:rFonts w:hint="eastAsia" w:ascii="微软雅黑" w:hAnsi="微软雅黑" w:eastAsia="微软雅黑" w:cs="微软雅黑"/>
          <w:b/>
          <w:color w:val="auto"/>
          <w:sz w:val="24"/>
          <w:highlight w:val="none"/>
        </w:rPr>
        <w:br w:type="page"/>
      </w:r>
    </w:p>
    <w:p>
      <w:pPr>
        <w:pStyle w:val="55"/>
        <w:spacing w:line="440" w:lineRule="exact"/>
        <w:ind w:firstLine="2761" w:firstLineChars="1150"/>
        <w:rPr>
          <w:rFonts w:ascii="微软雅黑" w:hAnsi="微软雅黑" w:eastAsia="微软雅黑" w:cs="微软雅黑"/>
          <w:b/>
          <w:color w:val="auto"/>
          <w:szCs w:val="24"/>
          <w:highlight w:val="none"/>
        </w:rPr>
      </w:pPr>
      <w:r>
        <w:rPr>
          <w:rFonts w:hint="eastAsia" w:ascii="微软雅黑" w:hAnsi="微软雅黑" w:eastAsia="微软雅黑" w:cs="微软雅黑"/>
          <w:b/>
          <w:color w:val="auto"/>
          <w:szCs w:val="24"/>
          <w:highlight w:val="none"/>
        </w:rPr>
        <w:t>（二） 合同一般条款</w:t>
      </w:r>
      <w:bookmarkEnd w:id="506"/>
    </w:p>
    <w:p>
      <w:pPr>
        <w:spacing w:line="440" w:lineRule="exact"/>
        <w:ind w:firstLine="480" w:firstLineChars="200"/>
        <w:outlineLvl w:val="0"/>
        <w:rPr>
          <w:rFonts w:ascii="微软雅黑" w:hAnsi="微软雅黑" w:eastAsia="微软雅黑" w:cs="微软雅黑"/>
          <w:b/>
          <w:color w:val="auto"/>
          <w:sz w:val="24"/>
          <w:highlight w:val="none"/>
        </w:rPr>
      </w:pPr>
      <w:bookmarkStart w:id="507" w:name="_Ref467378404"/>
      <w:bookmarkStart w:id="508" w:name="_Ref467379101"/>
      <w:bookmarkStart w:id="509" w:name="_Toc18647"/>
      <w:bookmarkStart w:id="510" w:name="_Toc259093669"/>
      <w:bookmarkStart w:id="511" w:name="_Toc279701240"/>
      <w:bookmarkStart w:id="512" w:name="_Ref467378499"/>
      <w:bookmarkStart w:id="513" w:name="_Toc487900349"/>
      <w:bookmarkStart w:id="514" w:name="_Ref467379094"/>
      <w:bookmarkStart w:id="515" w:name="_Ref467379205"/>
      <w:bookmarkStart w:id="516" w:name="_Toc25071"/>
      <w:bookmarkStart w:id="517" w:name="_Toc30580"/>
      <w:bookmarkStart w:id="518" w:name="_Toc28763"/>
      <w:bookmarkStart w:id="519" w:name="_Ref467379195"/>
      <w:bookmarkStart w:id="520" w:name="_Toc19614"/>
      <w:bookmarkStart w:id="521" w:name="_Ref467378463"/>
      <w:bookmarkStart w:id="522" w:name="_Ref467379214"/>
      <w:bookmarkStart w:id="523" w:name="_Ref467379225"/>
      <w:bookmarkStart w:id="524" w:name="_Ref467379109"/>
      <w:bookmarkStart w:id="525" w:name="_Toc16917"/>
      <w:bookmarkStart w:id="526" w:name="_Toc30609"/>
      <w:r>
        <w:rPr>
          <w:rFonts w:hint="eastAsia" w:ascii="微软雅黑" w:hAnsi="微软雅黑" w:eastAsia="微软雅黑" w:cs="微软雅黑"/>
          <w:b/>
          <w:color w:val="auto"/>
          <w:sz w:val="24"/>
          <w:highlight w:val="none"/>
        </w:rPr>
        <w:t>2.1 定义</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本合同中的下列词语应按以下内容进行解释：</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2.1.1 “合同”系指采购人和中标供应商签订的载明双方当事人所达成的协议，并包括所有的附件、附录和构成合同的其他文件。</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2.1.2 “合同价”系指根据合同约定，中标供应商在完全履行合同义务后，采购人应支付给中标供应商的价格。</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2.1.3 “货物”系指中标供应商根据合同约定应向采购人交付的一切各种形态和种类的物品，包括原材料、燃料、设备、机械、仪表、备件、计算机软件、产品等，并包括工具、手册等其他相关资料。</w:t>
      </w:r>
    </w:p>
    <w:p>
      <w:pPr>
        <w:spacing w:line="440" w:lineRule="exact"/>
        <w:ind w:firstLine="480" w:firstLineChars="200"/>
        <w:rPr>
          <w:rFonts w:ascii="微软雅黑" w:hAnsi="微软雅黑" w:eastAsia="微软雅黑" w:cs="微软雅黑"/>
          <w:color w:val="auto"/>
          <w:sz w:val="24"/>
          <w:highlight w:val="none"/>
        </w:rPr>
      </w:pPr>
      <w:bookmarkStart w:id="527" w:name="_Ref467378840"/>
      <w:r>
        <w:rPr>
          <w:rFonts w:hint="eastAsia" w:ascii="微软雅黑" w:hAnsi="微软雅黑" w:eastAsia="微软雅黑" w:cs="微软雅黑"/>
          <w:color w:val="auto"/>
          <w:sz w:val="24"/>
          <w:highlight w:val="none"/>
        </w:rPr>
        <w:t>2.1.4 “甲方”系指与中标供应商签署合同的采购人</w:t>
      </w:r>
      <w:bookmarkEnd w:id="527"/>
      <w:r>
        <w:rPr>
          <w:rFonts w:hint="eastAsia" w:ascii="微软雅黑" w:hAnsi="微软雅黑" w:eastAsia="微软雅黑" w:cs="微软雅黑"/>
          <w:color w:val="auto"/>
          <w:sz w:val="24"/>
          <w:highlight w:val="none"/>
        </w:rPr>
        <w:t>；采购人委托采购代理机构代表其与乙方签订合同的，采购人的授权委托书作为合同附件。</w:t>
      </w:r>
    </w:p>
    <w:p>
      <w:pPr>
        <w:spacing w:line="440" w:lineRule="exact"/>
        <w:ind w:firstLine="480" w:firstLineChars="200"/>
        <w:rPr>
          <w:rFonts w:ascii="微软雅黑" w:hAnsi="微软雅黑" w:eastAsia="微软雅黑" w:cs="微软雅黑"/>
          <w:color w:val="auto"/>
          <w:sz w:val="24"/>
          <w:highlight w:val="none"/>
        </w:rPr>
      </w:pPr>
      <w:bookmarkStart w:id="528" w:name="_Ref467379400"/>
      <w:r>
        <w:rPr>
          <w:rFonts w:hint="eastAsia" w:ascii="微软雅黑" w:hAnsi="微软雅黑" w:eastAsia="微软雅黑" w:cs="微软雅黑"/>
          <w:color w:val="auto"/>
          <w:sz w:val="24"/>
          <w:highlight w:val="none"/>
        </w:rPr>
        <w:t>2.1.5 “乙方”系指根据合同约定交付货物的中标供应商</w:t>
      </w:r>
      <w:bookmarkEnd w:id="528"/>
      <w:r>
        <w:rPr>
          <w:rFonts w:hint="eastAsia" w:ascii="微软雅黑" w:hAnsi="微软雅黑" w:eastAsia="微软雅黑" w:cs="微软雅黑"/>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440" w:lineRule="exact"/>
        <w:ind w:firstLine="480" w:firstLineChars="200"/>
        <w:rPr>
          <w:rFonts w:ascii="微软雅黑" w:hAnsi="微软雅黑" w:eastAsia="微软雅黑" w:cs="微软雅黑"/>
          <w:color w:val="auto"/>
          <w:sz w:val="24"/>
          <w:highlight w:val="none"/>
        </w:rPr>
      </w:pPr>
      <w:bookmarkStart w:id="529" w:name="_Ref467379436"/>
      <w:r>
        <w:rPr>
          <w:rFonts w:hint="eastAsia" w:ascii="微软雅黑" w:hAnsi="微软雅黑" w:eastAsia="微软雅黑" w:cs="微软雅黑"/>
          <w:color w:val="auto"/>
          <w:sz w:val="24"/>
          <w:highlight w:val="none"/>
        </w:rPr>
        <w:t>2.1.6 “现场”系指合同约定货物将要运至或者安装的地点。</w:t>
      </w:r>
      <w:bookmarkEnd w:id="529"/>
    </w:p>
    <w:p>
      <w:pPr>
        <w:spacing w:line="440" w:lineRule="exact"/>
        <w:ind w:firstLine="480" w:firstLineChars="200"/>
        <w:outlineLvl w:val="0"/>
        <w:rPr>
          <w:rFonts w:ascii="微软雅黑" w:hAnsi="微软雅黑" w:eastAsia="微软雅黑" w:cs="微软雅黑"/>
          <w:b/>
          <w:color w:val="auto"/>
          <w:sz w:val="24"/>
          <w:highlight w:val="none"/>
        </w:rPr>
      </w:pPr>
      <w:bookmarkStart w:id="530" w:name="_Toc27635"/>
      <w:bookmarkStart w:id="531" w:name="_Toc15743"/>
      <w:bookmarkStart w:id="532" w:name="_Toc31875"/>
      <w:bookmarkStart w:id="533" w:name="_Toc13336"/>
      <w:bookmarkStart w:id="534" w:name="_Toc259093670"/>
      <w:bookmarkStart w:id="535" w:name="_Toc4531"/>
      <w:bookmarkStart w:id="536" w:name="_Toc279701241"/>
      <w:bookmarkStart w:id="537" w:name="_Toc19980"/>
      <w:bookmarkStart w:id="538" w:name="_Toc487900350"/>
      <w:bookmarkStart w:id="539" w:name="_Toc32504"/>
      <w:r>
        <w:rPr>
          <w:rFonts w:hint="eastAsia" w:ascii="微软雅黑" w:hAnsi="微软雅黑" w:eastAsia="微软雅黑" w:cs="微软雅黑"/>
          <w:b/>
          <w:color w:val="auto"/>
          <w:sz w:val="24"/>
          <w:highlight w:val="none"/>
        </w:rPr>
        <w:t>2.2 技术规范</w:t>
      </w:r>
      <w:bookmarkEnd w:id="530"/>
      <w:bookmarkEnd w:id="531"/>
      <w:bookmarkEnd w:id="532"/>
      <w:bookmarkEnd w:id="533"/>
      <w:bookmarkEnd w:id="534"/>
      <w:bookmarkEnd w:id="535"/>
      <w:bookmarkEnd w:id="536"/>
      <w:bookmarkEnd w:id="537"/>
      <w:bookmarkEnd w:id="538"/>
      <w:bookmarkEnd w:id="539"/>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440" w:lineRule="exact"/>
        <w:ind w:firstLine="480" w:firstLineChars="200"/>
        <w:outlineLvl w:val="0"/>
        <w:rPr>
          <w:rFonts w:ascii="微软雅黑" w:hAnsi="微软雅黑" w:eastAsia="微软雅黑" w:cs="微软雅黑"/>
          <w:b/>
          <w:color w:val="auto"/>
          <w:sz w:val="24"/>
          <w:highlight w:val="none"/>
        </w:rPr>
      </w:pPr>
      <w:bookmarkStart w:id="540" w:name="_Toc27853"/>
      <w:bookmarkStart w:id="541" w:name="_Toc9829"/>
      <w:bookmarkStart w:id="542" w:name="_Toc16595"/>
      <w:bookmarkStart w:id="543" w:name="_Toc31634"/>
      <w:bookmarkStart w:id="544" w:name="_Toc13399"/>
      <w:bookmarkStart w:id="545" w:name="_Toc19611"/>
      <w:bookmarkStart w:id="546" w:name="_Toc31335"/>
      <w:bookmarkStart w:id="547" w:name="_Toc259093671"/>
      <w:bookmarkStart w:id="548" w:name="_Toc279701242"/>
      <w:bookmarkStart w:id="549" w:name="_Toc487900351"/>
      <w:r>
        <w:rPr>
          <w:rFonts w:hint="eastAsia" w:ascii="微软雅黑" w:hAnsi="微软雅黑" w:eastAsia="微软雅黑" w:cs="微软雅黑"/>
          <w:b/>
          <w:color w:val="auto"/>
          <w:sz w:val="24"/>
          <w:highlight w:val="none"/>
        </w:rPr>
        <w:t>2.3 知识产权</w:t>
      </w:r>
      <w:bookmarkEnd w:id="540"/>
      <w:bookmarkEnd w:id="541"/>
      <w:bookmarkEnd w:id="542"/>
      <w:bookmarkEnd w:id="543"/>
      <w:bookmarkEnd w:id="544"/>
      <w:bookmarkEnd w:id="545"/>
      <w:bookmarkEnd w:id="546"/>
      <w:bookmarkEnd w:id="547"/>
      <w:bookmarkEnd w:id="548"/>
      <w:bookmarkEnd w:id="549"/>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2.3.1 乙方应保证甲方在使用该货物、服务或其任何一部分时不受任何第三方提出的侵犯其著作权、商标权、专利权等知识产权方面的起诉；如果任何第三方提出侵权指控，那么乙方须与该第三方交涉并承担由此发生的一切责任、费用和赔偿；</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2.3.2具有知识产权的计算机软件等货物的知识产权归属，详见</w:t>
      </w:r>
      <w:r>
        <w:rPr>
          <w:rFonts w:hint="eastAsia" w:ascii="微软雅黑" w:hAnsi="微软雅黑" w:eastAsia="微软雅黑" w:cs="微软雅黑"/>
          <w:b/>
          <w:color w:val="auto"/>
          <w:sz w:val="24"/>
          <w:highlight w:val="none"/>
          <w:u w:val="single"/>
        </w:rPr>
        <w:t>合同专用条款</w:t>
      </w:r>
      <w:r>
        <w:rPr>
          <w:rFonts w:hint="eastAsia" w:ascii="微软雅黑" w:hAnsi="微软雅黑" w:eastAsia="微软雅黑" w:cs="微软雅黑"/>
          <w:color w:val="auto"/>
          <w:sz w:val="24"/>
          <w:highlight w:val="none"/>
        </w:rPr>
        <w:t>。</w:t>
      </w:r>
    </w:p>
    <w:p>
      <w:pPr>
        <w:spacing w:line="440" w:lineRule="exact"/>
        <w:ind w:firstLine="480" w:firstLineChars="200"/>
        <w:outlineLvl w:val="0"/>
        <w:rPr>
          <w:rFonts w:ascii="微软雅黑" w:hAnsi="微软雅黑" w:eastAsia="微软雅黑" w:cs="微软雅黑"/>
          <w:b/>
          <w:color w:val="auto"/>
          <w:sz w:val="24"/>
          <w:highlight w:val="none"/>
        </w:rPr>
      </w:pPr>
      <w:bookmarkStart w:id="550" w:name="_Toc4194"/>
      <w:bookmarkStart w:id="551" w:name="_Toc32450"/>
      <w:bookmarkStart w:id="552" w:name="_Toc15014"/>
      <w:bookmarkStart w:id="553" w:name="_Toc29149"/>
      <w:bookmarkStart w:id="554" w:name="_Toc18740"/>
      <w:bookmarkStart w:id="555" w:name="_Toc2346"/>
      <w:bookmarkStart w:id="556" w:name="_Toc11932"/>
      <w:r>
        <w:rPr>
          <w:rFonts w:hint="eastAsia" w:ascii="微软雅黑" w:hAnsi="微软雅黑" w:eastAsia="微软雅黑" w:cs="微软雅黑"/>
          <w:b/>
          <w:color w:val="auto"/>
          <w:sz w:val="24"/>
          <w:highlight w:val="none"/>
        </w:rPr>
        <w:t>2.4 包装和装运</w:t>
      </w:r>
      <w:bookmarkEnd w:id="550"/>
      <w:bookmarkEnd w:id="551"/>
      <w:bookmarkEnd w:id="552"/>
      <w:bookmarkEnd w:id="553"/>
      <w:bookmarkEnd w:id="554"/>
      <w:bookmarkEnd w:id="555"/>
      <w:bookmarkEnd w:id="556"/>
    </w:p>
    <w:p>
      <w:pPr>
        <w:spacing w:line="440" w:lineRule="exact"/>
        <w:ind w:firstLine="480" w:firstLineChars="200"/>
        <w:rPr>
          <w:rFonts w:ascii="微软雅黑" w:hAnsi="微软雅黑" w:eastAsia="微软雅黑" w:cs="微软雅黑"/>
          <w:iCs/>
          <w:color w:val="auto"/>
          <w:sz w:val="24"/>
          <w:highlight w:val="none"/>
        </w:rPr>
      </w:pPr>
      <w:r>
        <w:rPr>
          <w:rFonts w:hint="eastAsia" w:ascii="微软雅黑" w:hAnsi="微软雅黑" w:eastAsia="微软雅黑" w:cs="微软雅黑"/>
          <w:color w:val="auto"/>
          <w:sz w:val="24"/>
          <w:highlight w:val="none"/>
        </w:rPr>
        <w:t>2.4.1除</w:t>
      </w:r>
      <w:r>
        <w:rPr>
          <w:rFonts w:hint="eastAsia" w:ascii="微软雅黑" w:hAnsi="微软雅黑" w:eastAsia="微软雅黑" w:cs="微软雅黑"/>
          <w:b/>
          <w:iCs/>
          <w:color w:val="auto"/>
          <w:sz w:val="24"/>
          <w:highlight w:val="none"/>
          <w:u w:val="single"/>
        </w:rPr>
        <w:t>合同专用条款</w:t>
      </w:r>
      <w:r>
        <w:rPr>
          <w:rFonts w:hint="eastAsia" w:ascii="微软雅黑" w:hAnsi="微软雅黑" w:eastAsia="微软雅黑" w:cs="微软雅黑"/>
          <w:iCs/>
          <w:color w:val="auto"/>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440" w:lineRule="exact"/>
        <w:ind w:firstLine="480" w:firstLineChars="200"/>
        <w:rPr>
          <w:rFonts w:ascii="微软雅黑" w:hAnsi="微软雅黑" w:eastAsia="微软雅黑" w:cs="微软雅黑"/>
          <w:iCs/>
          <w:color w:val="auto"/>
          <w:sz w:val="24"/>
          <w:highlight w:val="none"/>
        </w:rPr>
      </w:pPr>
      <w:r>
        <w:rPr>
          <w:rFonts w:hint="eastAsia" w:ascii="微软雅黑" w:hAnsi="微软雅黑" w:eastAsia="微软雅黑" w:cs="微软雅黑"/>
          <w:iCs/>
          <w:color w:val="auto"/>
          <w:sz w:val="24"/>
          <w:highlight w:val="none"/>
        </w:rPr>
        <w:t>2.4.2 装运货物的要求和通知，详见</w:t>
      </w:r>
      <w:r>
        <w:rPr>
          <w:rFonts w:hint="eastAsia" w:ascii="微软雅黑" w:hAnsi="微软雅黑" w:eastAsia="微软雅黑" w:cs="微软雅黑"/>
          <w:b/>
          <w:iCs/>
          <w:color w:val="auto"/>
          <w:sz w:val="24"/>
          <w:highlight w:val="none"/>
          <w:u w:val="single"/>
        </w:rPr>
        <w:t>合同专用条款</w:t>
      </w:r>
      <w:r>
        <w:rPr>
          <w:rFonts w:hint="eastAsia" w:ascii="微软雅黑" w:hAnsi="微软雅黑" w:eastAsia="微软雅黑" w:cs="微软雅黑"/>
          <w:iCs/>
          <w:color w:val="auto"/>
          <w:sz w:val="24"/>
          <w:highlight w:val="none"/>
        </w:rPr>
        <w:t>。</w:t>
      </w:r>
    </w:p>
    <w:p>
      <w:pPr>
        <w:spacing w:line="440" w:lineRule="exact"/>
        <w:ind w:firstLine="480" w:firstLineChars="200"/>
        <w:outlineLvl w:val="0"/>
        <w:rPr>
          <w:rFonts w:ascii="微软雅黑" w:hAnsi="微软雅黑" w:eastAsia="微软雅黑" w:cs="微软雅黑"/>
          <w:b/>
          <w:color w:val="auto"/>
          <w:sz w:val="24"/>
          <w:highlight w:val="none"/>
        </w:rPr>
      </w:pPr>
      <w:bookmarkStart w:id="557" w:name="_Toc487900354"/>
      <w:bookmarkStart w:id="558" w:name="_Ref467379542"/>
      <w:bookmarkStart w:id="559" w:name="_Toc259093674"/>
      <w:bookmarkStart w:id="560" w:name="_Toc279701245"/>
      <w:bookmarkStart w:id="561" w:name="_Ref467378591"/>
      <w:bookmarkStart w:id="562" w:name="_Ref467379527"/>
      <w:bookmarkStart w:id="563" w:name="_Ref467379536"/>
      <w:bookmarkStart w:id="564" w:name="_Ref467378541"/>
      <w:bookmarkStart w:id="565" w:name="_Toc12131"/>
      <w:bookmarkStart w:id="566" w:name="_Toc30272"/>
      <w:bookmarkStart w:id="567" w:name="_Toc26182"/>
      <w:bookmarkStart w:id="568" w:name="_Toc9259"/>
      <w:bookmarkStart w:id="569" w:name="_Toc19074"/>
      <w:bookmarkStart w:id="570" w:name="_Toc290"/>
      <w:bookmarkStart w:id="571" w:name="_Toc19065"/>
      <w:r>
        <w:rPr>
          <w:rFonts w:hint="eastAsia" w:ascii="微软雅黑" w:hAnsi="微软雅黑" w:eastAsia="微软雅黑" w:cs="微软雅黑"/>
          <w:b/>
          <w:color w:val="auto"/>
          <w:sz w:val="24"/>
          <w:highlight w:val="none"/>
        </w:rPr>
        <w:t>2.</w:t>
      </w:r>
      <w:bookmarkEnd w:id="557"/>
      <w:bookmarkEnd w:id="558"/>
      <w:bookmarkEnd w:id="559"/>
      <w:bookmarkEnd w:id="560"/>
      <w:bookmarkEnd w:id="561"/>
      <w:bookmarkEnd w:id="562"/>
      <w:bookmarkEnd w:id="563"/>
      <w:bookmarkEnd w:id="564"/>
      <w:r>
        <w:rPr>
          <w:rFonts w:hint="eastAsia" w:ascii="微软雅黑" w:hAnsi="微软雅黑" w:eastAsia="微软雅黑" w:cs="微软雅黑"/>
          <w:b/>
          <w:color w:val="auto"/>
          <w:sz w:val="24"/>
          <w:highlight w:val="none"/>
        </w:rPr>
        <w:t>5 履约检查和问题反馈</w:t>
      </w:r>
      <w:bookmarkEnd w:id="565"/>
      <w:bookmarkEnd w:id="566"/>
      <w:bookmarkEnd w:id="567"/>
      <w:bookmarkEnd w:id="568"/>
      <w:bookmarkEnd w:id="569"/>
      <w:bookmarkEnd w:id="570"/>
      <w:bookmarkEnd w:id="571"/>
    </w:p>
    <w:p>
      <w:pPr>
        <w:spacing w:line="440" w:lineRule="exact"/>
        <w:ind w:firstLine="480" w:firstLineChars="200"/>
        <w:rPr>
          <w:rFonts w:ascii="微软雅黑" w:hAnsi="微软雅黑" w:eastAsia="微软雅黑" w:cs="微软雅黑"/>
          <w:color w:val="auto"/>
          <w:sz w:val="24"/>
          <w:highlight w:val="none"/>
        </w:rPr>
      </w:pPr>
      <w:bookmarkStart w:id="572" w:name="_Ref467379657"/>
      <w:r>
        <w:rPr>
          <w:rFonts w:hint="eastAsia" w:ascii="微软雅黑" w:hAnsi="微软雅黑" w:eastAsia="微软雅黑" w:cs="微软雅黑"/>
          <w:color w:val="auto"/>
          <w:sz w:val="24"/>
          <w:highlight w:val="none"/>
        </w:rPr>
        <w:t>2.5.1</w:t>
      </w:r>
      <w:bookmarkEnd w:id="572"/>
      <w:bookmarkStart w:id="573" w:name="_Toc186431854"/>
      <w:bookmarkStart w:id="574" w:name="_Toc279701247"/>
      <w:bookmarkStart w:id="575" w:name="_Toc487900357"/>
      <w:bookmarkStart w:id="576" w:name="_Ref467379793"/>
      <w:bookmarkStart w:id="577" w:name="_Toc259093676"/>
      <w:bookmarkStart w:id="578" w:name="_Ref467379807"/>
      <w:r>
        <w:rPr>
          <w:rFonts w:hint="eastAsia" w:ascii="微软雅黑" w:hAnsi="微软雅黑" w:eastAsia="微软雅黑" w:cs="微软雅黑"/>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2.5.2 合同履行期间，甲方有权将履行过程中出现的问题反馈给乙方，双方当事人应以书面形式约定需要完善和改进的内容</w:t>
      </w:r>
      <w:bookmarkEnd w:id="573"/>
      <w:bookmarkStart w:id="579" w:name="_Toc186431855"/>
      <w:r>
        <w:rPr>
          <w:rFonts w:hint="eastAsia" w:ascii="微软雅黑" w:hAnsi="微软雅黑" w:eastAsia="微软雅黑" w:cs="微软雅黑"/>
          <w:color w:val="auto"/>
          <w:sz w:val="24"/>
          <w:highlight w:val="none"/>
        </w:rPr>
        <w:t>。</w:t>
      </w:r>
    </w:p>
    <w:bookmarkEnd w:id="579"/>
    <w:p>
      <w:pPr>
        <w:spacing w:line="440" w:lineRule="exact"/>
        <w:ind w:firstLine="480" w:firstLineChars="200"/>
        <w:outlineLvl w:val="0"/>
        <w:rPr>
          <w:rFonts w:ascii="微软雅黑" w:hAnsi="微软雅黑" w:eastAsia="微软雅黑" w:cs="微软雅黑"/>
          <w:b/>
          <w:color w:val="auto"/>
          <w:sz w:val="24"/>
          <w:highlight w:val="none"/>
        </w:rPr>
      </w:pPr>
      <w:bookmarkStart w:id="580" w:name="_Toc28451"/>
      <w:bookmarkStart w:id="581" w:name="_Toc9311"/>
      <w:bookmarkStart w:id="582" w:name="_Toc19219"/>
      <w:bookmarkStart w:id="583" w:name="_Toc7836"/>
      <w:bookmarkStart w:id="584" w:name="_Toc23170"/>
      <w:bookmarkStart w:id="585" w:name="_Toc23770"/>
      <w:bookmarkStart w:id="586" w:name="_Toc3700"/>
      <w:r>
        <w:rPr>
          <w:rFonts w:hint="eastAsia" w:ascii="微软雅黑" w:hAnsi="微软雅黑" w:eastAsia="微软雅黑" w:cs="微软雅黑"/>
          <w:b/>
          <w:color w:val="auto"/>
          <w:sz w:val="24"/>
          <w:highlight w:val="none"/>
        </w:rPr>
        <w:t>2.6 结算方式和付款条件</w:t>
      </w:r>
      <w:bookmarkEnd w:id="574"/>
      <w:bookmarkEnd w:id="575"/>
      <w:bookmarkEnd w:id="576"/>
      <w:bookmarkEnd w:id="577"/>
      <w:bookmarkEnd w:id="578"/>
      <w:bookmarkEnd w:id="580"/>
      <w:bookmarkEnd w:id="581"/>
      <w:bookmarkEnd w:id="582"/>
      <w:bookmarkEnd w:id="583"/>
      <w:bookmarkEnd w:id="584"/>
      <w:bookmarkEnd w:id="585"/>
      <w:bookmarkEnd w:id="586"/>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详见</w:t>
      </w:r>
      <w:r>
        <w:rPr>
          <w:rFonts w:hint="eastAsia" w:ascii="微软雅黑" w:hAnsi="微软雅黑" w:eastAsia="微软雅黑" w:cs="微软雅黑"/>
          <w:b/>
          <w:iCs/>
          <w:color w:val="auto"/>
          <w:sz w:val="24"/>
          <w:highlight w:val="none"/>
          <w:u w:val="single"/>
        </w:rPr>
        <w:t>合同专用条款</w:t>
      </w:r>
      <w:r>
        <w:rPr>
          <w:rFonts w:hint="eastAsia" w:ascii="微软雅黑" w:hAnsi="微软雅黑" w:eastAsia="微软雅黑" w:cs="微软雅黑"/>
          <w:color w:val="auto"/>
          <w:sz w:val="24"/>
          <w:highlight w:val="none"/>
        </w:rPr>
        <w:t>。</w:t>
      </w:r>
    </w:p>
    <w:p>
      <w:pPr>
        <w:spacing w:line="440" w:lineRule="exact"/>
        <w:ind w:firstLine="480" w:firstLineChars="200"/>
        <w:outlineLvl w:val="0"/>
        <w:rPr>
          <w:rFonts w:ascii="微软雅黑" w:hAnsi="微软雅黑" w:eastAsia="微软雅黑" w:cs="微软雅黑"/>
          <w:b/>
          <w:color w:val="auto"/>
          <w:sz w:val="24"/>
          <w:highlight w:val="none"/>
        </w:rPr>
      </w:pPr>
      <w:bookmarkStart w:id="587" w:name="_Ref467379923"/>
      <w:bookmarkStart w:id="588" w:name="_Toc487900358"/>
      <w:bookmarkStart w:id="589" w:name="_Ref467379863"/>
      <w:bookmarkStart w:id="590" w:name="_Ref467379852"/>
      <w:bookmarkStart w:id="591" w:name="_Toc259093677"/>
      <w:bookmarkStart w:id="592" w:name="_Toc279701248"/>
      <w:bookmarkStart w:id="593" w:name="_Toc32722"/>
      <w:bookmarkStart w:id="594" w:name="_Toc774"/>
      <w:bookmarkStart w:id="595" w:name="_Toc3645"/>
      <w:bookmarkStart w:id="596" w:name="_Toc3225"/>
      <w:bookmarkStart w:id="597" w:name="_Toc26042"/>
      <w:bookmarkStart w:id="598" w:name="_Toc25221"/>
      <w:bookmarkStart w:id="599" w:name="_Toc16110"/>
      <w:r>
        <w:rPr>
          <w:rFonts w:hint="eastAsia" w:ascii="微软雅黑" w:hAnsi="微软雅黑" w:eastAsia="微软雅黑" w:cs="微软雅黑"/>
          <w:b/>
          <w:color w:val="auto"/>
          <w:sz w:val="24"/>
          <w:highlight w:val="none"/>
        </w:rPr>
        <w:t>2.7 技术资料</w:t>
      </w:r>
      <w:bookmarkEnd w:id="587"/>
      <w:bookmarkEnd w:id="588"/>
      <w:bookmarkEnd w:id="589"/>
      <w:bookmarkEnd w:id="590"/>
      <w:bookmarkEnd w:id="591"/>
      <w:bookmarkEnd w:id="592"/>
      <w:r>
        <w:rPr>
          <w:rFonts w:hint="eastAsia" w:ascii="微软雅黑" w:hAnsi="微软雅黑" w:eastAsia="微软雅黑" w:cs="微软雅黑"/>
          <w:b/>
          <w:color w:val="auto"/>
          <w:sz w:val="24"/>
          <w:highlight w:val="none"/>
        </w:rPr>
        <w:t>和保密义务</w:t>
      </w:r>
      <w:bookmarkEnd w:id="593"/>
      <w:bookmarkEnd w:id="594"/>
      <w:bookmarkEnd w:id="595"/>
      <w:bookmarkEnd w:id="596"/>
      <w:bookmarkEnd w:id="597"/>
      <w:bookmarkEnd w:id="598"/>
      <w:bookmarkEnd w:id="599"/>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2.7.1 乙方有权依据合同约定和项目需要，向甲方了解有关情况，调阅有关资料等，甲方应予积极配合；</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2.7.2 乙方有义务妥善保管和保护由甲方提供的前款信息和资料等；</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440" w:lineRule="exact"/>
        <w:ind w:firstLine="480" w:firstLineChars="200"/>
        <w:outlineLvl w:val="0"/>
        <w:rPr>
          <w:rFonts w:ascii="微软雅黑" w:hAnsi="微软雅黑" w:eastAsia="微软雅黑" w:cs="微软雅黑"/>
          <w:b/>
          <w:color w:val="auto"/>
          <w:sz w:val="24"/>
          <w:highlight w:val="none"/>
        </w:rPr>
      </w:pPr>
      <w:bookmarkStart w:id="600" w:name="_Toc7860"/>
      <w:bookmarkStart w:id="601" w:name="_Toc21515"/>
      <w:bookmarkStart w:id="602" w:name="_Toc16724"/>
      <w:bookmarkStart w:id="603" w:name="_Toc7374"/>
      <w:bookmarkStart w:id="604" w:name="_Toc25074"/>
      <w:r>
        <w:rPr>
          <w:rFonts w:hint="eastAsia" w:ascii="微软雅黑" w:hAnsi="微软雅黑" w:eastAsia="微软雅黑" w:cs="微软雅黑"/>
          <w:b/>
          <w:color w:val="auto"/>
          <w:sz w:val="24"/>
          <w:highlight w:val="none"/>
        </w:rPr>
        <w:t>2.8 质量保证</w:t>
      </w:r>
      <w:bookmarkEnd w:id="600"/>
      <w:bookmarkEnd w:id="601"/>
      <w:bookmarkEnd w:id="602"/>
      <w:bookmarkEnd w:id="603"/>
      <w:bookmarkEnd w:id="604"/>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2.8.1 乙方应建立和完善履行合同的内部质量保证体系，并提供相关内部规章制度给甲方，以便甲方进行监督检查；</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2.8.2 乙方应保证履行合同的人员数量和素质、软件和硬件设备的配置、场地、环境和设施等满足全面履行合同的要求，并应接受甲方的监督检查。</w:t>
      </w:r>
    </w:p>
    <w:p>
      <w:pPr>
        <w:spacing w:line="440" w:lineRule="exact"/>
        <w:ind w:firstLine="480" w:firstLineChars="200"/>
        <w:outlineLvl w:val="0"/>
        <w:rPr>
          <w:rFonts w:ascii="微软雅黑" w:hAnsi="微软雅黑" w:eastAsia="微软雅黑" w:cs="微软雅黑"/>
          <w:b/>
          <w:color w:val="auto"/>
          <w:sz w:val="24"/>
          <w:highlight w:val="none"/>
        </w:rPr>
      </w:pPr>
      <w:bookmarkStart w:id="605" w:name="_Toc25627"/>
      <w:bookmarkStart w:id="606" w:name="_Toc25380"/>
      <w:bookmarkStart w:id="607" w:name="_Toc21412"/>
      <w:bookmarkStart w:id="608" w:name="_Toc726"/>
      <w:bookmarkStart w:id="609" w:name="_Toc17244"/>
      <w:bookmarkStart w:id="610" w:name="_Toc259093681"/>
      <w:bookmarkStart w:id="611" w:name="_Toc279701252"/>
      <w:bookmarkStart w:id="612" w:name="_Toc487900362"/>
      <w:r>
        <w:rPr>
          <w:rFonts w:hint="eastAsia" w:ascii="微软雅黑" w:hAnsi="微软雅黑" w:eastAsia="微软雅黑" w:cs="微软雅黑"/>
          <w:b/>
          <w:color w:val="auto"/>
          <w:sz w:val="24"/>
          <w:highlight w:val="none"/>
        </w:rPr>
        <w:t>2.9 货物的风险负担</w:t>
      </w:r>
      <w:bookmarkEnd w:id="605"/>
      <w:bookmarkEnd w:id="606"/>
      <w:bookmarkEnd w:id="607"/>
      <w:bookmarkEnd w:id="608"/>
      <w:bookmarkEnd w:id="609"/>
    </w:p>
    <w:p>
      <w:pPr>
        <w:spacing w:line="440" w:lineRule="exact"/>
        <w:ind w:firstLine="480" w:firstLineChars="200"/>
        <w:rPr>
          <w:rFonts w:ascii="微软雅黑" w:hAnsi="微软雅黑" w:eastAsia="微软雅黑" w:cs="微软雅黑"/>
          <w:b/>
          <w:color w:val="auto"/>
          <w:sz w:val="24"/>
          <w:highlight w:val="none"/>
        </w:rPr>
      </w:pPr>
      <w:r>
        <w:rPr>
          <w:rFonts w:hint="eastAsia" w:ascii="微软雅黑" w:hAnsi="微软雅黑" w:eastAsia="微软雅黑" w:cs="微软雅黑"/>
          <w:color w:val="auto"/>
          <w:sz w:val="24"/>
          <w:highlight w:val="none"/>
        </w:rPr>
        <w:t>货物或者在途货物或者交付给第一承运人后的货物毁损、灭失的风险负担详见</w:t>
      </w:r>
      <w:r>
        <w:rPr>
          <w:rFonts w:hint="eastAsia" w:ascii="微软雅黑" w:hAnsi="微软雅黑" w:eastAsia="微软雅黑" w:cs="微软雅黑"/>
          <w:b/>
          <w:iCs/>
          <w:color w:val="auto"/>
          <w:sz w:val="24"/>
          <w:highlight w:val="none"/>
          <w:u w:val="single"/>
        </w:rPr>
        <w:t>合同专用条款</w:t>
      </w:r>
      <w:r>
        <w:rPr>
          <w:rFonts w:hint="eastAsia" w:ascii="微软雅黑" w:hAnsi="微软雅黑" w:eastAsia="微软雅黑" w:cs="微软雅黑"/>
          <w:iCs/>
          <w:color w:val="auto"/>
          <w:sz w:val="24"/>
          <w:highlight w:val="none"/>
        </w:rPr>
        <w:t>。</w:t>
      </w:r>
    </w:p>
    <w:p>
      <w:pPr>
        <w:spacing w:line="440" w:lineRule="exact"/>
        <w:ind w:firstLine="480" w:firstLineChars="200"/>
        <w:outlineLvl w:val="0"/>
        <w:rPr>
          <w:rFonts w:ascii="微软雅黑" w:hAnsi="微软雅黑" w:eastAsia="微软雅黑" w:cs="微软雅黑"/>
          <w:b/>
          <w:color w:val="auto"/>
          <w:sz w:val="24"/>
          <w:highlight w:val="none"/>
        </w:rPr>
      </w:pPr>
      <w:bookmarkStart w:id="613" w:name="_Toc14055"/>
      <w:bookmarkStart w:id="614" w:name="_Toc4393"/>
      <w:bookmarkStart w:id="615" w:name="_Toc4636"/>
      <w:bookmarkStart w:id="616" w:name="_Toc2955"/>
      <w:bookmarkStart w:id="617" w:name="_Toc9597"/>
      <w:r>
        <w:rPr>
          <w:rFonts w:hint="eastAsia" w:ascii="微软雅黑" w:hAnsi="微软雅黑" w:eastAsia="微软雅黑" w:cs="微软雅黑"/>
          <w:b/>
          <w:color w:val="auto"/>
          <w:sz w:val="24"/>
          <w:highlight w:val="none"/>
        </w:rPr>
        <w:t>2.10 延迟交货</w:t>
      </w:r>
      <w:bookmarkEnd w:id="610"/>
      <w:bookmarkEnd w:id="611"/>
      <w:bookmarkEnd w:id="612"/>
      <w:bookmarkEnd w:id="613"/>
      <w:bookmarkEnd w:id="614"/>
      <w:bookmarkEnd w:id="615"/>
      <w:bookmarkEnd w:id="616"/>
      <w:bookmarkEnd w:id="617"/>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440" w:lineRule="exact"/>
        <w:ind w:firstLine="480" w:firstLineChars="200"/>
        <w:outlineLvl w:val="0"/>
        <w:rPr>
          <w:rFonts w:ascii="微软雅黑" w:hAnsi="微软雅黑" w:eastAsia="微软雅黑" w:cs="微软雅黑"/>
          <w:b/>
          <w:color w:val="auto"/>
          <w:sz w:val="24"/>
          <w:highlight w:val="none"/>
        </w:rPr>
      </w:pPr>
      <w:bookmarkStart w:id="618" w:name="_Toc24535"/>
      <w:bookmarkStart w:id="619" w:name="_Toc5276"/>
      <w:bookmarkStart w:id="620" w:name="_Toc9562"/>
      <w:bookmarkStart w:id="621" w:name="_Toc7502"/>
      <w:bookmarkStart w:id="622" w:name="_Toc21933"/>
      <w:bookmarkStart w:id="623" w:name="_Toc259093683"/>
      <w:bookmarkStart w:id="624" w:name="_Toc487900364"/>
      <w:bookmarkStart w:id="625" w:name="_Ref467378121"/>
      <w:bookmarkStart w:id="626" w:name="_Toc279701254"/>
      <w:r>
        <w:rPr>
          <w:rFonts w:hint="eastAsia" w:ascii="微软雅黑" w:hAnsi="微软雅黑" w:eastAsia="微软雅黑" w:cs="微软雅黑"/>
          <w:b/>
          <w:color w:val="auto"/>
          <w:sz w:val="24"/>
          <w:highlight w:val="none"/>
        </w:rPr>
        <w:t>2.11 合同变更</w:t>
      </w:r>
      <w:bookmarkEnd w:id="618"/>
      <w:bookmarkEnd w:id="619"/>
      <w:bookmarkEnd w:id="620"/>
      <w:bookmarkEnd w:id="621"/>
      <w:bookmarkEnd w:id="622"/>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2.11.2 合同继续履行将损害国家利益和社会公共利益的，双方当事人应当以书面形式变更合同。有过错的一方应当承担赔偿责任，双方当事人都有过错的，各自承担相应的责任。</w:t>
      </w:r>
      <w:bookmarkStart w:id="627" w:name="_Toc487900369"/>
      <w:bookmarkStart w:id="628" w:name="_Toc279701259"/>
      <w:bookmarkStart w:id="629" w:name="_Toc259093688"/>
    </w:p>
    <w:p>
      <w:pPr>
        <w:spacing w:line="440" w:lineRule="exact"/>
        <w:ind w:firstLine="480" w:firstLineChars="200"/>
        <w:outlineLvl w:val="0"/>
        <w:rPr>
          <w:rFonts w:ascii="微软雅黑" w:hAnsi="微软雅黑" w:eastAsia="微软雅黑" w:cs="微软雅黑"/>
          <w:b/>
          <w:color w:val="auto"/>
          <w:sz w:val="24"/>
          <w:highlight w:val="none"/>
        </w:rPr>
      </w:pPr>
      <w:bookmarkStart w:id="630" w:name="_Toc16788"/>
      <w:bookmarkStart w:id="631" w:name="_Toc22955"/>
      <w:bookmarkStart w:id="632" w:name="_Toc15237"/>
      <w:bookmarkStart w:id="633" w:name="_Toc20446"/>
      <w:bookmarkStart w:id="634" w:name="_Toc10380"/>
      <w:bookmarkStart w:id="635" w:name="_Toc10366"/>
      <w:bookmarkStart w:id="636" w:name="_Toc11573"/>
      <w:r>
        <w:rPr>
          <w:rFonts w:hint="eastAsia" w:ascii="微软雅黑" w:hAnsi="微软雅黑" w:eastAsia="微软雅黑" w:cs="微软雅黑"/>
          <w:b/>
          <w:color w:val="auto"/>
          <w:sz w:val="24"/>
          <w:highlight w:val="none"/>
        </w:rPr>
        <w:t>2.12 合同转让</w:t>
      </w:r>
      <w:bookmarkEnd w:id="627"/>
      <w:bookmarkEnd w:id="628"/>
      <w:bookmarkEnd w:id="629"/>
      <w:r>
        <w:rPr>
          <w:rFonts w:hint="eastAsia" w:ascii="微软雅黑" w:hAnsi="微软雅黑" w:eastAsia="微软雅黑" w:cs="微软雅黑"/>
          <w:b/>
          <w:color w:val="auto"/>
          <w:sz w:val="24"/>
          <w:highlight w:val="none"/>
        </w:rPr>
        <w:t>和分包</w:t>
      </w:r>
      <w:bookmarkEnd w:id="630"/>
      <w:bookmarkEnd w:id="631"/>
      <w:bookmarkEnd w:id="632"/>
      <w:bookmarkEnd w:id="633"/>
      <w:bookmarkEnd w:id="634"/>
      <w:bookmarkEnd w:id="635"/>
      <w:bookmarkEnd w:id="636"/>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440" w:lineRule="exact"/>
        <w:ind w:firstLine="480" w:firstLineChars="200"/>
        <w:outlineLvl w:val="0"/>
        <w:rPr>
          <w:rFonts w:ascii="微软雅黑" w:hAnsi="微软雅黑" w:eastAsia="微软雅黑" w:cs="微软雅黑"/>
          <w:b/>
          <w:color w:val="auto"/>
          <w:sz w:val="24"/>
          <w:highlight w:val="none"/>
        </w:rPr>
      </w:pPr>
      <w:bookmarkStart w:id="637" w:name="_Toc16508"/>
      <w:bookmarkStart w:id="638" w:name="_Toc13566"/>
      <w:bookmarkStart w:id="639" w:name="_Toc14066"/>
      <w:bookmarkStart w:id="640" w:name="_Toc4819"/>
      <w:bookmarkStart w:id="641" w:name="_Toc21823"/>
      <w:bookmarkStart w:id="642" w:name="_Toc10936"/>
      <w:bookmarkStart w:id="643" w:name="_Toc32631"/>
      <w:r>
        <w:rPr>
          <w:rFonts w:hint="eastAsia" w:ascii="微软雅黑" w:hAnsi="微软雅黑" w:eastAsia="微软雅黑" w:cs="微软雅黑"/>
          <w:b/>
          <w:color w:val="auto"/>
          <w:sz w:val="24"/>
          <w:highlight w:val="none"/>
        </w:rPr>
        <w:t>2.13 不可抗力</w:t>
      </w:r>
      <w:bookmarkEnd w:id="637"/>
      <w:bookmarkEnd w:id="638"/>
      <w:bookmarkEnd w:id="639"/>
      <w:bookmarkEnd w:id="640"/>
      <w:bookmarkEnd w:id="641"/>
      <w:bookmarkEnd w:id="642"/>
      <w:bookmarkEnd w:id="643"/>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2.13.1如果任何一方遭遇法律规定的不可抗力，致使合同履行受阻时，履行合同的期限应予延长，延长的期限应相当于不可抗力所影响的时间；</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2.13.2 因不可抗力致使不能实现合同目的的，当事人可以解除合同；</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2.13.3 因不可抗力致使合同有变更必要的，双方当事人应在</w:t>
      </w:r>
      <w:r>
        <w:rPr>
          <w:rFonts w:hint="eastAsia" w:ascii="微软雅黑" w:hAnsi="微软雅黑" w:eastAsia="微软雅黑" w:cs="微软雅黑"/>
          <w:b/>
          <w:color w:val="auto"/>
          <w:sz w:val="24"/>
          <w:highlight w:val="none"/>
          <w:u w:val="single"/>
        </w:rPr>
        <w:t>合同专用条款</w:t>
      </w:r>
      <w:r>
        <w:rPr>
          <w:rFonts w:hint="eastAsia" w:ascii="微软雅黑" w:hAnsi="微软雅黑" w:eastAsia="微软雅黑" w:cs="微软雅黑"/>
          <w:color w:val="auto"/>
          <w:sz w:val="24"/>
          <w:highlight w:val="none"/>
        </w:rPr>
        <w:t>约定时间内以书面形式变更合同；</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2.13.4受不可抗力影响的一方在不可抗力发生后，应在</w:t>
      </w:r>
      <w:r>
        <w:rPr>
          <w:rFonts w:hint="eastAsia" w:ascii="微软雅黑" w:hAnsi="微软雅黑" w:eastAsia="微软雅黑" w:cs="微软雅黑"/>
          <w:b/>
          <w:color w:val="auto"/>
          <w:sz w:val="24"/>
          <w:highlight w:val="none"/>
          <w:u w:val="single"/>
        </w:rPr>
        <w:t>合同专用条款</w:t>
      </w:r>
      <w:r>
        <w:rPr>
          <w:rFonts w:hint="eastAsia" w:ascii="微软雅黑" w:hAnsi="微软雅黑" w:eastAsia="微软雅黑" w:cs="微软雅黑"/>
          <w:color w:val="auto"/>
          <w:sz w:val="24"/>
          <w:highlight w:val="none"/>
        </w:rPr>
        <w:t>约定时间内以书面形式通知对方当事人，并在</w:t>
      </w:r>
      <w:r>
        <w:rPr>
          <w:rFonts w:hint="eastAsia" w:ascii="微软雅黑" w:hAnsi="微软雅黑" w:eastAsia="微软雅黑" w:cs="微软雅黑"/>
          <w:b/>
          <w:color w:val="auto"/>
          <w:sz w:val="24"/>
          <w:highlight w:val="none"/>
          <w:u w:val="single"/>
        </w:rPr>
        <w:t>合同专用条款</w:t>
      </w:r>
      <w:r>
        <w:rPr>
          <w:rFonts w:hint="eastAsia" w:ascii="微软雅黑" w:hAnsi="微软雅黑" w:eastAsia="微软雅黑" w:cs="微软雅黑"/>
          <w:color w:val="auto"/>
          <w:sz w:val="24"/>
          <w:highlight w:val="none"/>
        </w:rPr>
        <w:t>约定时间内，将有关部门出具的证明文件送达对方当事人。</w:t>
      </w:r>
    </w:p>
    <w:p>
      <w:pPr>
        <w:spacing w:line="440" w:lineRule="exact"/>
        <w:ind w:firstLine="480" w:firstLineChars="200"/>
        <w:outlineLvl w:val="0"/>
        <w:rPr>
          <w:rFonts w:ascii="微软雅黑" w:hAnsi="微软雅黑" w:eastAsia="微软雅黑" w:cs="微软雅黑"/>
          <w:b/>
          <w:color w:val="auto"/>
          <w:sz w:val="24"/>
          <w:highlight w:val="none"/>
        </w:rPr>
      </w:pPr>
      <w:bookmarkStart w:id="644" w:name="_Toc29898"/>
      <w:bookmarkStart w:id="645" w:name="_Toc279701255"/>
      <w:bookmarkStart w:id="646" w:name="_Toc30520"/>
      <w:bookmarkStart w:id="647" w:name="_Toc259093684"/>
      <w:bookmarkStart w:id="648" w:name="_Toc487900365"/>
      <w:bookmarkStart w:id="649" w:name="_Toc689"/>
      <w:bookmarkStart w:id="650" w:name="_Toc6969"/>
      <w:bookmarkStart w:id="651" w:name="_Toc29650"/>
      <w:bookmarkStart w:id="652" w:name="_Toc12453"/>
      <w:bookmarkStart w:id="653" w:name="_Toc30676"/>
      <w:r>
        <w:rPr>
          <w:rFonts w:hint="eastAsia" w:ascii="微软雅黑" w:hAnsi="微软雅黑" w:eastAsia="微软雅黑" w:cs="微软雅黑"/>
          <w:b/>
          <w:color w:val="auto"/>
          <w:sz w:val="24"/>
          <w:highlight w:val="none"/>
        </w:rPr>
        <w:t>2.14 税费</w:t>
      </w:r>
      <w:bookmarkEnd w:id="644"/>
      <w:bookmarkEnd w:id="645"/>
      <w:bookmarkEnd w:id="646"/>
      <w:bookmarkEnd w:id="647"/>
      <w:bookmarkEnd w:id="648"/>
      <w:bookmarkEnd w:id="649"/>
      <w:bookmarkEnd w:id="650"/>
      <w:bookmarkEnd w:id="651"/>
      <w:bookmarkEnd w:id="652"/>
      <w:bookmarkEnd w:id="653"/>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与合同有关的一切税费，均按照中华人民共和国法律的相关规定。</w:t>
      </w:r>
    </w:p>
    <w:p>
      <w:pPr>
        <w:spacing w:line="440" w:lineRule="exact"/>
        <w:ind w:firstLine="480" w:firstLineChars="200"/>
        <w:outlineLvl w:val="0"/>
        <w:rPr>
          <w:rFonts w:ascii="微软雅黑" w:hAnsi="微软雅黑" w:eastAsia="微软雅黑" w:cs="微软雅黑"/>
          <w:b/>
          <w:color w:val="auto"/>
          <w:sz w:val="24"/>
          <w:highlight w:val="none"/>
        </w:rPr>
      </w:pPr>
      <w:bookmarkStart w:id="654" w:name="_Toc6444"/>
      <w:bookmarkStart w:id="655" w:name="_Toc8298"/>
      <w:bookmarkStart w:id="656" w:name="_Toc10864"/>
      <w:bookmarkStart w:id="657" w:name="_Toc487900368"/>
      <w:bookmarkStart w:id="658" w:name="_Toc279701258"/>
      <w:bookmarkStart w:id="659" w:name="_Toc20361"/>
      <w:bookmarkStart w:id="660" w:name="_Toc25231"/>
      <w:bookmarkStart w:id="661" w:name="_Toc7102"/>
      <w:bookmarkStart w:id="662" w:name="_Toc16959"/>
      <w:bookmarkStart w:id="663" w:name="_Toc259093687"/>
      <w:r>
        <w:rPr>
          <w:rFonts w:hint="eastAsia" w:ascii="微软雅黑" w:hAnsi="微软雅黑" w:eastAsia="微软雅黑" w:cs="微软雅黑"/>
          <w:b/>
          <w:color w:val="auto"/>
          <w:sz w:val="24"/>
          <w:highlight w:val="none"/>
        </w:rPr>
        <w:t>2.15 乙方破产</w:t>
      </w:r>
      <w:bookmarkEnd w:id="654"/>
      <w:bookmarkEnd w:id="655"/>
      <w:bookmarkEnd w:id="656"/>
      <w:bookmarkEnd w:id="657"/>
      <w:bookmarkEnd w:id="658"/>
      <w:bookmarkEnd w:id="659"/>
      <w:bookmarkEnd w:id="660"/>
      <w:bookmarkEnd w:id="661"/>
      <w:bookmarkEnd w:id="662"/>
      <w:bookmarkEnd w:id="663"/>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440" w:lineRule="exact"/>
        <w:ind w:firstLine="480" w:firstLineChars="200"/>
        <w:outlineLvl w:val="0"/>
        <w:rPr>
          <w:rFonts w:ascii="微软雅黑" w:hAnsi="微软雅黑" w:eastAsia="微软雅黑" w:cs="微软雅黑"/>
          <w:b/>
          <w:color w:val="auto"/>
          <w:sz w:val="24"/>
          <w:highlight w:val="none"/>
        </w:rPr>
      </w:pPr>
      <w:bookmarkStart w:id="664" w:name="_Toc15387"/>
      <w:bookmarkStart w:id="665" w:name="_Toc29333"/>
      <w:bookmarkStart w:id="666" w:name="_Toc26050"/>
      <w:bookmarkStart w:id="667" w:name="_Toc6134"/>
      <w:bookmarkStart w:id="668" w:name="_Toc17804"/>
      <w:bookmarkStart w:id="669" w:name="_Toc25012"/>
      <w:bookmarkStart w:id="670" w:name="_Toc32604"/>
      <w:r>
        <w:rPr>
          <w:rFonts w:hint="eastAsia" w:ascii="微软雅黑" w:hAnsi="微软雅黑" w:eastAsia="微软雅黑" w:cs="微软雅黑"/>
          <w:b/>
          <w:color w:val="auto"/>
          <w:sz w:val="24"/>
          <w:highlight w:val="none"/>
        </w:rPr>
        <w:t>2.16 合同中止、终止</w:t>
      </w:r>
      <w:bookmarkEnd w:id="664"/>
      <w:bookmarkEnd w:id="665"/>
      <w:bookmarkEnd w:id="666"/>
      <w:bookmarkEnd w:id="667"/>
      <w:bookmarkEnd w:id="668"/>
      <w:bookmarkEnd w:id="669"/>
      <w:bookmarkEnd w:id="670"/>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2.16.1 双方当事人不得擅自中止或者终止合同；</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2.16.2合同继续履行将损害国家利益和社会公共利益的，双方当事人应当中止或者终止合同。有过错的一方应当承担赔偿责任，双方当事人都有过错的，各自承担相应的责任。</w:t>
      </w:r>
    </w:p>
    <w:p>
      <w:pPr>
        <w:spacing w:line="440" w:lineRule="exact"/>
        <w:ind w:firstLine="480" w:firstLineChars="200"/>
        <w:outlineLvl w:val="0"/>
        <w:rPr>
          <w:rFonts w:ascii="微软雅黑" w:hAnsi="微软雅黑" w:eastAsia="微软雅黑" w:cs="微软雅黑"/>
          <w:b/>
          <w:color w:val="auto"/>
          <w:sz w:val="24"/>
          <w:highlight w:val="none"/>
        </w:rPr>
      </w:pPr>
      <w:bookmarkStart w:id="671" w:name="_Toc29074"/>
      <w:bookmarkStart w:id="672" w:name="_Toc16543"/>
      <w:bookmarkStart w:id="673" w:name="_Toc30697"/>
      <w:bookmarkStart w:id="674" w:name="_Toc6596"/>
      <w:bookmarkStart w:id="675" w:name="_Toc1125"/>
      <w:bookmarkStart w:id="676" w:name="_Toc6449"/>
      <w:bookmarkStart w:id="677" w:name="_Toc14563"/>
      <w:r>
        <w:rPr>
          <w:rFonts w:hint="eastAsia" w:ascii="微软雅黑" w:hAnsi="微软雅黑" w:eastAsia="微软雅黑" w:cs="微软雅黑"/>
          <w:b/>
          <w:color w:val="auto"/>
          <w:sz w:val="24"/>
          <w:highlight w:val="none"/>
        </w:rPr>
        <w:t>2.17 检验和验收</w:t>
      </w:r>
      <w:bookmarkEnd w:id="671"/>
      <w:bookmarkEnd w:id="672"/>
      <w:bookmarkEnd w:id="673"/>
      <w:bookmarkEnd w:id="674"/>
      <w:bookmarkEnd w:id="675"/>
      <w:bookmarkEnd w:id="676"/>
      <w:bookmarkEnd w:id="677"/>
    </w:p>
    <w:p>
      <w:pPr>
        <w:tabs>
          <w:tab w:val="left" w:pos="360"/>
          <w:tab w:val="left" w:pos="540"/>
          <w:tab w:val="left" w:pos="1080"/>
        </w:tabs>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2.17.1货物交付前，乙方应对货物的质量、数量等方面进行详细、全面的检验，并向甲方出具证明货物符合合同约定的文件；货物交付时，乙方在</w:t>
      </w:r>
      <w:r>
        <w:rPr>
          <w:rFonts w:hint="eastAsia" w:ascii="微软雅黑" w:hAnsi="微软雅黑" w:eastAsia="微软雅黑" w:cs="微软雅黑"/>
          <w:b/>
          <w:color w:val="auto"/>
          <w:sz w:val="24"/>
          <w:highlight w:val="none"/>
          <w:u w:val="single"/>
        </w:rPr>
        <w:t>合同专用条款</w:t>
      </w:r>
      <w:r>
        <w:rPr>
          <w:rFonts w:hint="eastAsia" w:ascii="微软雅黑" w:hAnsi="微软雅黑" w:eastAsia="微软雅黑" w:cs="微软雅黑"/>
          <w:color w:val="auto"/>
          <w:sz w:val="24"/>
          <w:highlight w:val="none"/>
        </w:rPr>
        <w:t>约定时间内组织验收，并可依法邀请相关方参加，验收应出具验收书。</w:t>
      </w:r>
    </w:p>
    <w:p>
      <w:pPr>
        <w:tabs>
          <w:tab w:val="left" w:pos="360"/>
          <w:tab w:val="left" w:pos="540"/>
          <w:tab w:val="left" w:pos="1080"/>
        </w:tabs>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2.17.3 检验和验收标准、程序等具体内容以及前述验收书的效力详见</w:t>
      </w:r>
      <w:r>
        <w:rPr>
          <w:rFonts w:hint="eastAsia" w:ascii="微软雅黑" w:hAnsi="微软雅黑" w:eastAsia="微软雅黑" w:cs="微软雅黑"/>
          <w:b/>
          <w:color w:val="auto"/>
          <w:sz w:val="24"/>
          <w:highlight w:val="none"/>
          <w:u w:val="single"/>
        </w:rPr>
        <w:t>合同专用条款</w:t>
      </w:r>
      <w:r>
        <w:rPr>
          <w:rFonts w:hint="eastAsia" w:ascii="微软雅黑" w:hAnsi="微软雅黑" w:eastAsia="微软雅黑" w:cs="微软雅黑"/>
          <w:color w:val="auto"/>
          <w:sz w:val="24"/>
          <w:highlight w:val="none"/>
        </w:rPr>
        <w:t>。</w:t>
      </w:r>
    </w:p>
    <w:bookmarkEnd w:id="623"/>
    <w:bookmarkEnd w:id="624"/>
    <w:bookmarkEnd w:id="625"/>
    <w:bookmarkEnd w:id="626"/>
    <w:p>
      <w:pPr>
        <w:spacing w:line="440" w:lineRule="exact"/>
        <w:ind w:firstLine="480" w:firstLineChars="200"/>
        <w:outlineLvl w:val="0"/>
        <w:rPr>
          <w:rFonts w:ascii="微软雅黑" w:hAnsi="微软雅黑" w:eastAsia="微软雅黑" w:cs="微软雅黑"/>
          <w:b/>
          <w:color w:val="auto"/>
          <w:sz w:val="24"/>
          <w:highlight w:val="none"/>
        </w:rPr>
      </w:pPr>
      <w:bookmarkStart w:id="678" w:name="_Toc279701261"/>
      <w:bookmarkStart w:id="679" w:name="_Toc487900371"/>
      <w:bookmarkStart w:id="680" w:name="_Toc259093690"/>
      <w:bookmarkStart w:id="681" w:name="_Toc4145"/>
      <w:bookmarkStart w:id="682" w:name="_Toc11284"/>
      <w:bookmarkStart w:id="683" w:name="_Toc25182"/>
      <w:bookmarkStart w:id="684" w:name="_Toc11707"/>
      <w:bookmarkStart w:id="685" w:name="_Toc20938"/>
      <w:bookmarkStart w:id="686" w:name="_Toc19604"/>
      <w:bookmarkStart w:id="687" w:name="_Toc13318"/>
      <w:r>
        <w:rPr>
          <w:rFonts w:hint="eastAsia" w:ascii="微软雅黑" w:hAnsi="微软雅黑" w:eastAsia="微软雅黑" w:cs="微软雅黑"/>
          <w:b/>
          <w:color w:val="auto"/>
          <w:sz w:val="24"/>
          <w:highlight w:val="none"/>
        </w:rPr>
        <w:t>2.18 通知</w:t>
      </w:r>
      <w:bookmarkEnd w:id="678"/>
      <w:bookmarkEnd w:id="679"/>
      <w:bookmarkEnd w:id="680"/>
      <w:r>
        <w:rPr>
          <w:rFonts w:hint="eastAsia" w:ascii="微软雅黑" w:hAnsi="微软雅黑" w:eastAsia="微软雅黑" w:cs="微软雅黑"/>
          <w:b/>
          <w:color w:val="auto"/>
          <w:sz w:val="24"/>
          <w:highlight w:val="none"/>
        </w:rPr>
        <w:t>和送达</w:t>
      </w:r>
      <w:bookmarkEnd w:id="681"/>
      <w:bookmarkEnd w:id="682"/>
      <w:bookmarkEnd w:id="683"/>
      <w:bookmarkEnd w:id="684"/>
      <w:bookmarkEnd w:id="685"/>
      <w:bookmarkEnd w:id="686"/>
      <w:bookmarkEnd w:id="687"/>
    </w:p>
    <w:p>
      <w:pPr>
        <w:spacing w:line="440" w:lineRule="exact"/>
        <w:ind w:firstLine="480" w:firstLineChars="200"/>
        <w:rPr>
          <w:rFonts w:ascii="微软雅黑" w:hAnsi="微软雅黑" w:eastAsia="微软雅黑" w:cs="微软雅黑"/>
          <w:color w:val="auto"/>
          <w:sz w:val="24"/>
          <w:highlight w:val="none"/>
        </w:rPr>
      </w:pPr>
      <w:bookmarkStart w:id="688" w:name="_Toc3135"/>
      <w:bookmarkStart w:id="689" w:name="_Toc6698"/>
      <w:bookmarkStart w:id="690" w:name="_Toc487900372"/>
      <w:bookmarkStart w:id="691" w:name="_Toc259093691"/>
      <w:bookmarkStart w:id="692" w:name="_Toc279701262"/>
      <w:r>
        <w:rPr>
          <w:rFonts w:hint="eastAsia" w:ascii="微软雅黑" w:hAnsi="微软雅黑" w:eastAsia="微软雅黑" w:cs="微软雅黑"/>
          <w:color w:val="auto"/>
          <w:sz w:val="24"/>
          <w:highlight w:val="none"/>
        </w:rPr>
        <w:t>2.18.1 任何一方因履行合同而以合同第一部分尾部所列明的</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发出的所有通知、文件、材料，均视为已向对方当事人送达；任何一方变更上述送达方式或者地址的，应于</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个工作日内书面通知对方当事人，在对方当事人收到有关变更通知之前，变更前的约定送达方式或者地址仍视为有效。</w:t>
      </w:r>
      <w:bookmarkEnd w:id="688"/>
      <w:bookmarkEnd w:id="689"/>
    </w:p>
    <w:p>
      <w:pPr>
        <w:spacing w:line="440" w:lineRule="exact"/>
        <w:ind w:firstLine="480" w:firstLineChars="200"/>
        <w:rPr>
          <w:rFonts w:ascii="微软雅黑" w:hAnsi="微软雅黑" w:eastAsia="微软雅黑" w:cs="微软雅黑"/>
          <w:color w:val="auto"/>
          <w:sz w:val="24"/>
          <w:highlight w:val="none"/>
        </w:rPr>
      </w:pPr>
      <w:bookmarkStart w:id="693" w:name="_Toc23128"/>
      <w:bookmarkStart w:id="694" w:name="_Toc23294"/>
      <w:r>
        <w:rPr>
          <w:rFonts w:hint="eastAsia" w:ascii="微软雅黑" w:hAnsi="微软雅黑" w:eastAsia="微软雅黑" w:cs="微软雅黑"/>
          <w:color w:val="auto"/>
          <w:sz w:val="24"/>
          <w:highlight w:val="none"/>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693"/>
      <w:bookmarkEnd w:id="694"/>
    </w:p>
    <w:p>
      <w:pPr>
        <w:spacing w:line="440" w:lineRule="exact"/>
        <w:ind w:firstLine="480" w:firstLineChars="200"/>
        <w:outlineLvl w:val="0"/>
        <w:rPr>
          <w:rFonts w:ascii="微软雅黑" w:hAnsi="微软雅黑" w:eastAsia="微软雅黑" w:cs="微软雅黑"/>
          <w:b/>
          <w:color w:val="auto"/>
          <w:sz w:val="24"/>
          <w:highlight w:val="none"/>
        </w:rPr>
      </w:pPr>
      <w:bookmarkStart w:id="695" w:name="_Toc4355"/>
      <w:bookmarkStart w:id="696" w:name="_Toc30599"/>
      <w:bookmarkStart w:id="697" w:name="_Toc21547"/>
      <w:bookmarkStart w:id="698" w:name="_Toc11260"/>
      <w:bookmarkStart w:id="699" w:name="_Toc18540"/>
      <w:bookmarkStart w:id="700" w:name="_Toc13206"/>
      <w:bookmarkStart w:id="701" w:name="_Toc23814"/>
      <w:r>
        <w:rPr>
          <w:rFonts w:hint="eastAsia" w:ascii="微软雅黑" w:hAnsi="微软雅黑" w:eastAsia="微软雅黑" w:cs="微软雅黑"/>
          <w:b/>
          <w:color w:val="auto"/>
          <w:sz w:val="24"/>
          <w:highlight w:val="none"/>
        </w:rPr>
        <w:t>2.19 计量单位</w:t>
      </w:r>
      <w:bookmarkEnd w:id="690"/>
      <w:bookmarkEnd w:id="691"/>
      <w:bookmarkEnd w:id="692"/>
      <w:bookmarkEnd w:id="695"/>
      <w:bookmarkEnd w:id="696"/>
      <w:bookmarkEnd w:id="697"/>
      <w:bookmarkEnd w:id="698"/>
      <w:bookmarkEnd w:id="699"/>
      <w:bookmarkEnd w:id="700"/>
      <w:bookmarkEnd w:id="701"/>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除技术规范中另有规定外,合同的计量单位均使用国家法定计量单位。</w:t>
      </w:r>
    </w:p>
    <w:p>
      <w:pPr>
        <w:spacing w:line="440" w:lineRule="exact"/>
        <w:ind w:firstLine="480" w:firstLineChars="200"/>
        <w:outlineLvl w:val="0"/>
        <w:rPr>
          <w:rFonts w:ascii="微软雅黑" w:hAnsi="微软雅黑" w:eastAsia="微软雅黑" w:cs="微软雅黑"/>
          <w:b/>
          <w:color w:val="auto"/>
          <w:sz w:val="24"/>
          <w:highlight w:val="none"/>
        </w:rPr>
      </w:pPr>
      <w:bookmarkStart w:id="702" w:name="_Toc487900373"/>
      <w:bookmarkStart w:id="703" w:name="_Toc30447"/>
      <w:bookmarkStart w:id="704" w:name="_Toc15197"/>
      <w:bookmarkStart w:id="705" w:name="_Toc12773"/>
      <w:bookmarkStart w:id="706" w:name="_Toc259093692"/>
      <w:bookmarkStart w:id="707" w:name="_Toc19455"/>
      <w:bookmarkStart w:id="708" w:name="_Toc1622"/>
      <w:bookmarkStart w:id="709" w:name="_Toc10330"/>
      <w:bookmarkStart w:id="710" w:name="_Toc279701263"/>
      <w:bookmarkStart w:id="711" w:name="_Toc18567"/>
      <w:r>
        <w:rPr>
          <w:rFonts w:hint="eastAsia" w:ascii="微软雅黑" w:hAnsi="微软雅黑" w:eastAsia="微软雅黑" w:cs="微软雅黑"/>
          <w:b/>
          <w:color w:val="auto"/>
          <w:sz w:val="24"/>
          <w:highlight w:val="none"/>
        </w:rPr>
        <w:t>2.20 合同使用的文字和适用的法律</w:t>
      </w:r>
      <w:bookmarkEnd w:id="702"/>
      <w:bookmarkEnd w:id="703"/>
      <w:bookmarkEnd w:id="704"/>
      <w:bookmarkEnd w:id="705"/>
      <w:bookmarkEnd w:id="706"/>
      <w:bookmarkEnd w:id="707"/>
      <w:bookmarkEnd w:id="708"/>
      <w:bookmarkEnd w:id="709"/>
      <w:bookmarkEnd w:id="710"/>
      <w:bookmarkEnd w:id="711"/>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2.20.1 合同使用汉语书就、变更和解释；</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2.20.2 合同适用中华人民共和国法律。</w:t>
      </w:r>
    </w:p>
    <w:p>
      <w:pPr>
        <w:spacing w:line="440" w:lineRule="exact"/>
        <w:ind w:firstLine="480" w:firstLineChars="200"/>
        <w:outlineLvl w:val="0"/>
        <w:rPr>
          <w:rFonts w:ascii="微软雅黑" w:hAnsi="微软雅黑" w:eastAsia="微软雅黑" w:cs="微软雅黑"/>
          <w:b/>
          <w:color w:val="auto"/>
          <w:sz w:val="24"/>
          <w:highlight w:val="none"/>
        </w:rPr>
      </w:pPr>
      <w:bookmarkStart w:id="712" w:name="_Toc7470"/>
      <w:bookmarkStart w:id="713" w:name="_Toc32074"/>
      <w:bookmarkStart w:id="714" w:name="_Toc16799"/>
      <w:bookmarkStart w:id="715" w:name="_Toc27158"/>
      <w:bookmarkStart w:id="716" w:name="_Toc3148"/>
      <w:bookmarkStart w:id="717" w:name="_Toc12004"/>
      <w:bookmarkStart w:id="718" w:name="_Toc279701264"/>
      <w:bookmarkStart w:id="719" w:name="_Toc259093693"/>
      <w:bookmarkStart w:id="720" w:name="_Toc16673"/>
      <w:bookmarkStart w:id="721" w:name="_Toc487900374"/>
      <w:r>
        <w:rPr>
          <w:rFonts w:hint="eastAsia" w:ascii="微软雅黑" w:hAnsi="微软雅黑" w:eastAsia="微软雅黑" w:cs="微软雅黑"/>
          <w:b/>
          <w:color w:val="auto"/>
          <w:sz w:val="24"/>
          <w:highlight w:val="none"/>
        </w:rPr>
        <w:t>2.21 履约保证金</w:t>
      </w:r>
      <w:bookmarkEnd w:id="712"/>
      <w:bookmarkEnd w:id="713"/>
      <w:bookmarkEnd w:id="714"/>
      <w:bookmarkEnd w:id="715"/>
      <w:bookmarkEnd w:id="716"/>
      <w:bookmarkEnd w:id="717"/>
      <w:bookmarkEnd w:id="718"/>
      <w:bookmarkEnd w:id="719"/>
      <w:bookmarkEnd w:id="720"/>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2.21.1 采购文件要求乙方提交履约保证金的，乙方应按</w:t>
      </w:r>
      <w:r>
        <w:rPr>
          <w:rFonts w:hint="eastAsia" w:ascii="微软雅黑" w:hAnsi="微软雅黑" w:eastAsia="微软雅黑" w:cs="微软雅黑"/>
          <w:b/>
          <w:color w:val="auto"/>
          <w:sz w:val="24"/>
          <w:highlight w:val="none"/>
          <w:u w:val="single"/>
        </w:rPr>
        <w:t>合同专用条款</w:t>
      </w:r>
      <w:r>
        <w:rPr>
          <w:rFonts w:hint="eastAsia" w:ascii="微软雅黑" w:hAnsi="微软雅黑" w:eastAsia="微软雅黑" w:cs="微软雅黑"/>
          <w:color w:val="auto"/>
          <w:sz w:val="24"/>
          <w:highlight w:val="none"/>
        </w:rPr>
        <w:t>约定的方式，以支票、汇票、本票或者金融机构、担保机构出具的保函等非现金形式，提交不超过合同价10%的履约保证金；</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2.21.2  履约保证金在</w:t>
      </w:r>
      <w:r>
        <w:rPr>
          <w:rFonts w:hint="eastAsia" w:ascii="微软雅黑" w:hAnsi="微软雅黑" w:eastAsia="微软雅黑" w:cs="微软雅黑"/>
          <w:b/>
          <w:color w:val="auto"/>
          <w:sz w:val="24"/>
          <w:highlight w:val="none"/>
          <w:u w:val="single"/>
        </w:rPr>
        <w:t>合同专用条款</w:t>
      </w:r>
      <w:r>
        <w:rPr>
          <w:rFonts w:hint="eastAsia" w:ascii="微软雅黑" w:hAnsi="微软雅黑" w:eastAsia="微软雅黑" w:cs="微软雅黑"/>
          <w:color w:val="auto"/>
          <w:sz w:val="24"/>
          <w:highlight w:val="none"/>
        </w:rPr>
        <w:t>约定期间内或者货物质量保证期内不予退还或者应完全有效，前述约定期间届满或者货物质量保证期届满之日起</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个工作日内，甲方应将履约保证金退还乙方；</w:t>
      </w:r>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721"/>
    <w:p>
      <w:pPr>
        <w:spacing w:line="440" w:lineRule="exact"/>
        <w:ind w:firstLine="480" w:firstLineChars="200"/>
        <w:outlineLvl w:val="0"/>
        <w:rPr>
          <w:rFonts w:ascii="微软雅黑" w:hAnsi="微软雅黑" w:eastAsia="微软雅黑" w:cs="微软雅黑"/>
          <w:b/>
          <w:color w:val="auto"/>
          <w:sz w:val="24"/>
          <w:highlight w:val="none"/>
        </w:rPr>
      </w:pPr>
      <w:bookmarkStart w:id="722" w:name="_Toc6885"/>
      <w:bookmarkStart w:id="723" w:name="_Toc14001"/>
      <w:bookmarkStart w:id="724" w:name="_Toc1013"/>
      <w:bookmarkStart w:id="725" w:name="_Toc10468"/>
      <w:bookmarkStart w:id="726" w:name="_Toc30706"/>
      <w:bookmarkStart w:id="727" w:name="_Toc19890"/>
      <w:bookmarkStart w:id="728" w:name="_Toc31567"/>
      <w:r>
        <w:rPr>
          <w:rFonts w:hint="eastAsia" w:ascii="微软雅黑" w:hAnsi="微软雅黑" w:eastAsia="微软雅黑" w:cs="微软雅黑"/>
          <w:b/>
          <w:color w:val="auto"/>
          <w:sz w:val="24"/>
          <w:highlight w:val="none"/>
        </w:rPr>
        <w:t>2.22 合同份数</w:t>
      </w:r>
      <w:bookmarkEnd w:id="722"/>
      <w:bookmarkEnd w:id="723"/>
      <w:bookmarkEnd w:id="724"/>
      <w:bookmarkEnd w:id="725"/>
      <w:bookmarkEnd w:id="726"/>
      <w:bookmarkEnd w:id="727"/>
      <w:bookmarkEnd w:id="728"/>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合同份数按</w:t>
      </w:r>
      <w:r>
        <w:rPr>
          <w:rFonts w:hint="eastAsia" w:ascii="微软雅黑" w:hAnsi="微软雅黑" w:eastAsia="微软雅黑" w:cs="微软雅黑"/>
          <w:b/>
          <w:color w:val="auto"/>
          <w:sz w:val="24"/>
          <w:highlight w:val="none"/>
          <w:u w:val="single"/>
        </w:rPr>
        <w:t>合同专用条款</w:t>
      </w:r>
      <w:r>
        <w:rPr>
          <w:rFonts w:hint="eastAsia" w:ascii="微软雅黑" w:hAnsi="微软雅黑" w:eastAsia="微软雅黑" w:cs="微软雅黑"/>
          <w:color w:val="auto"/>
          <w:sz w:val="24"/>
          <w:highlight w:val="none"/>
        </w:rPr>
        <w:t>规定，每份均具有同等法律效力。</w:t>
      </w:r>
    </w:p>
    <w:p>
      <w:pPr>
        <w:pStyle w:val="55"/>
        <w:spacing w:line="440" w:lineRule="exact"/>
        <w:ind w:firstLine="0"/>
        <w:jc w:val="center"/>
        <w:rPr>
          <w:rFonts w:ascii="微软雅黑" w:hAnsi="微软雅黑" w:eastAsia="微软雅黑" w:cs="微软雅黑"/>
          <w:b/>
          <w:color w:val="auto"/>
          <w:szCs w:val="24"/>
          <w:highlight w:val="none"/>
        </w:rPr>
      </w:pPr>
      <w:r>
        <w:rPr>
          <w:rFonts w:hint="eastAsia" w:ascii="微软雅黑" w:hAnsi="微软雅黑" w:eastAsia="微软雅黑" w:cs="微软雅黑"/>
          <w:color w:val="auto"/>
          <w:szCs w:val="24"/>
          <w:highlight w:val="none"/>
        </w:rPr>
        <w:br w:type="page"/>
      </w:r>
      <w:bookmarkStart w:id="729" w:name="_Toc331685784"/>
      <w:r>
        <w:rPr>
          <w:rFonts w:hint="eastAsia" w:ascii="微软雅黑" w:hAnsi="微软雅黑" w:eastAsia="微软雅黑" w:cs="微软雅黑"/>
          <w:b/>
          <w:color w:val="auto"/>
          <w:szCs w:val="24"/>
          <w:highlight w:val="none"/>
        </w:rPr>
        <w:t>（三）  合同专用条款</w:t>
      </w:r>
      <w:bookmarkEnd w:id="729"/>
    </w:p>
    <w:p>
      <w:pPr>
        <w:spacing w:line="44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35"/>
        <w:tblW w:w="84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vAlign w:val="center"/>
          </w:tcPr>
          <w:p>
            <w:pPr>
              <w:spacing w:line="440" w:lineRule="exact"/>
              <w:jc w:val="center"/>
              <w:rPr>
                <w:rFonts w:ascii="微软雅黑" w:hAnsi="微软雅黑" w:eastAsia="微软雅黑" w:cs="微软雅黑"/>
                <w:b/>
                <w:color w:val="auto"/>
                <w:sz w:val="24"/>
                <w:highlight w:val="none"/>
              </w:rPr>
            </w:pPr>
            <w:r>
              <w:rPr>
                <w:rFonts w:hint="eastAsia" w:ascii="微软雅黑" w:hAnsi="微软雅黑" w:eastAsia="微软雅黑" w:cs="微软雅黑"/>
                <w:b/>
                <w:color w:val="auto"/>
                <w:sz w:val="24"/>
                <w:highlight w:val="none"/>
              </w:rPr>
              <w:t>条款号</w:t>
            </w:r>
          </w:p>
        </w:tc>
        <w:tc>
          <w:tcPr>
            <w:tcW w:w="7633" w:type="dxa"/>
            <w:vAlign w:val="center"/>
          </w:tcPr>
          <w:p>
            <w:pPr>
              <w:spacing w:line="440" w:lineRule="exact"/>
              <w:jc w:val="center"/>
              <w:rPr>
                <w:rFonts w:ascii="微软雅黑" w:hAnsi="微软雅黑" w:eastAsia="微软雅黑" w:cs="微软雅黑"/>
                <w:b/>
                <w:color w:val="auto"/>
                <w:sz w:val="24"/>
                <w:highlight w:val="none"/>
              </w:rPr>
            </w:pPr>
            <w:r>
              <w:rPr>
                <w:rFonts w:hint="eastAsia" w:ascii="微软雅黑" w:hAnsi="微软雅黑" w:eastAsia="微软雅黑" w:cs="微软雅黑"/>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vAlign w:val="center"/>
          </w:tcPr>
          <w:p>
            <w:pPr>
              <w:spacing w:line="440" w:lineRule="exact"/>
              <w:rPr>
                <w:rFonts w:ascii="微软雅黑" w:hAnsi="微软雅黑" w:eastAsia="微软雅黑" w:cs="微软雅黑"/>
                <w:color w:val="auto"/>
                <w:sz w:val="24"/>
                <w:highlight w:val="none"/>
              </w:rPr>
            </w:pPr>
          </w:p>
        </w:tc>
        <w:tc>
          <w:tcPr>
            <w:tcW w:w="7633" w:type="dxa"/>
            <w:vAlign w:val="center"/>
          </w:tcPr>
          <w:p>
            <w:pPr>
              <w:spacing w:line="440" w:lineRule="exact"/>
              <w:rPr>
                <w:rFonts w:ascii="微软雅黑" w:hAnsi="微软雅黑" w:eastAsia="微软雅黑" w:cs="微软雅黑"/>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微软雅黑" w:hAnsi="微软雅黑" w:eastAsia="微软雅黑" w:cs="微软雅黑"/>
                <w:color w:val="auto"/>
                <w:sz w:val="24"/>
                <w:highlight w:val="none"/>
              </w:rPr>
            </w:pPr>
          </w:p>
        </w:tc>
        <w:tc>
          <w:tcPr>
            <w:tcW w:w="7633" w:type="dxa"/>
            <w:vAlign w:val="center"/>
          </w:tcPr>
          <w:p>
            <w:pPr>
              <w:spacing w:line="440" w:lineRule="exact"/>
              <w:rPr>
                <w:rFonts w:ascii="微软雅黑" w:hAnsi="微软雅黑" w:eastAsia="微软雅黑" w:cs="微软雅黑"/>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微软雅黑" w:hAnsi="微软雅黑" w:eastAsia="微软雅黑" w:cs="微软雅黑"/>
                <w:color w:val="auto"/>
                <w:sz w:val="24"/>
                <w:highlight w:val="none"/>
              </w:rPr>
            </w:pPr>
          </w:p>
        </w:tc>
        <w:tc>
          <w:tcPr>
            <w:tcW w:w="7633" w:type="dxa"/>
            <w:vAlign w:val="center"/>
          </w:tcPr>
          <w:p>
            <w:pPr>
              <w:spacing w:line="440" w:lineRule="exact"/>
              <w:rPr>
                <w:rFonts w:ascii="微软雅黑" w:hAnsi="微软雅黑" w:eastAsia="微软雅黑" w:cs="微软雅黑"/>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微软雅黑" w:hAnsi="微软雅黑" w:eastAsia="微软雅黑" w:cs="微软雅黑"/>
                <w:color w:val="auto"/>
                <w:sz w:val="24"/>
                <w:highlight w:val="none"/>
              </w:rPr>
            </w:pPr>
          </w:p>
        </w:tc>
        <w:tc>
          <w:tcPr>
            <w:tcW w:w="7633" w:type="dxa"/>
            <w:vAlign w:val="center"/>
          </w:tcPr>
          <w:p>
            <w:pPr>
              <w:spacing w:line="440" w:lineRule="exact"/>
              <w:rPr>
                <w:rFonts w:ascii="微软雅黑" w:hAnsi="微软雅黑" w:eastAsia="微软雅黑" w:cs="微软雅黑"/>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微软雅黑" w:hAnsi="微软雅黑" w:eastAsia="微软雅黑" w:cs="微软雅黑"/>
                <w:color w:val="auto"/>
                <w:sz w:val="24"/>
                <w:highlight w:val="none"/>
              </w:rPr>
            </w:pPr>
          </w:p>
        </w:tc>
        <w:tc>
          <w:tcPr>
            <w:tcW w:w="7633" w:type="dxa"/>
            <w:vAlign w:val="center"/>
          </w:tcPr>
          <w:p>
            <w:pPr>
              <w:spacing w:line="440" w:lineRule="exact"/>
              <w:rPr>
                <w:rFonts w:ascii="微软雅黑" w:hAnsi="微软雅黑" w:eastAsia="微软雅黑" w:cs="微软雅黑"/>
                <w:color w:val="auto"/>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微软雅黑" w:hAnsi="微软雅黑" w:eastAsia="微软雅黑" w:cs="微软雅黑"/>
                <w:color w:val="auto"/>
                <w:sz w:val="24"/>
                <w:highlight w:val="none"/>
              </w:rPr>
            </w:pPr>
          </w:p>
        </w:tc>
        <w:tc>
          <w:tcPr>
            <w:tcW w:w="7633" w:type="dxa"/>
            <w:vAlign w:val="center"/>
          </w:tcPr>
          <w:p>
            <w:pPr>
              <w:spacing w:line="440" w:lineRule="exact"/>
              <w:rPr>
                <w:rFonts w:ascii="微软雅黑" w:hAnsi="微软雅黑" w:eastAsia="微软雅黑" w:cs="微软雅黑"/>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vAlign w:val="center"/>
          </w:tcPr>
          <w:p>
            <w:pPr>
              <w:spacing w:line="440" w:lineRule="exact"/>
              <w:rPr>
                <w:rFonts w:ascii="微软雅黑" w:hAnsi="微软雅黑" w:eastAsia="微软雅黑" w:cs="微软雅黑"/>
                <w:color w:val="auto"/>
                <w:sz w:val="24"/>
                <w:highlight w:val="none"/>
              </w:rPr>
            </w:pPr>
          </w:p>
        </w:tc>
        <w:tc>
          <w:tcPr>
            <w:tcW w:w="7633" w:type="dxa"/>
            <w:vAlign w:val="center"/>
          </w:tcPr>
          <w:p>
            <w:pPr>
              <w:spacing w:line="440" w:lineRule="exact"/>
              <w:rPr>
                <w:rFonts w:ascii="微软雅黑" w:hAnsi="微软雅黑" w:eastAsia="微软雅黑" w:cs="微软雅黑"/>
                <w:color w:val="auto"/>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微软雅黑" w:hAnsi="微软雅黑" w:eastAsia="微软雅黑" w:cs="微软雅黑"/>
                <w:color w:val="auto"/>
                <w:sz w:val="24"/>
                <w:highlight w:val="none"/>
              </w:rPr>
            </w:pPr>
          </w:p>
        </w:tc>
        <w:tc>
          <w:tcPr>
            <w:tcW w:w="7633" w:type="dxa"/>
            <w:vAlign w:val="center"/>
          </w:tcPr>
          <w:p>
            <w:pPr>
              <w:spacing w:line="440" w:lineRule="exact"/>
              <w:rPr>
                <w:rFonts w:ascii="微软雅黑" w:hAnsi="微软雅黑" w:eastAsia="微软雅黑" w:cs="微软雅黑"/>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微软雅黑" w:hAnsi="微软雅黑" w:eastAsia="微软雅黑" w:cs="微软雅黑"/>
                <w:color w:val="auto"/>
                <w:sz w:val="24"/>
                <w:highlight w:val="none"/>
              </w:rPr>
            </w:pPr>
          </w:p>
        </w:tc>
        <w:tc>
          <w:tcPr>
            <w:tcW w:w="7633" w:type="dxa"/>
            <w:vAlign w:val="center"/>
          </w:tcPr>
          <w:p>
            <w:pPr>
              <w:spacing w:line="440" w:lineRule="exact"/>
              <w:rPr>
                <w:rFonts w:ascii="微软雅黑" w:hAnsi="微软雅黑" w:eastAsia="微软雅黑" w:cs="微软雅黑"/>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微软雅黑" w:hAnsi="微软雅黑" w:eastAsia="微软雅黑" w:cs="微软雅黑"/>
                <w:color w:val="auto"/>
                <w:sz w:val="24"/>
                <w:highlight w:val="none"/>
              </w:rPr>
            </w:pPr>
          </w:p>
        </w:tc>
        <w:tc>
          <w:tcPr>
            <w:tcW w:w="7633" w:type="dxa"/>
            <w:vAlign w:val="center"/>
          </w:tcPr>
          <w:p>
            <w:pPr>
              <w:spacing w:line="440" w:lineRule="exact"/>
              <w:rPr>
                <w:rFonts w:ascii="微软雅黑" w:hAnsi="微软雅黑" w:eastAsia="微软雅黑" w:cs="微软雅黑"/>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微软雅黑" w:hAnsi="微软雅黑" w:eastAsia="微软雅黑" w:cs="微软雅黑"/>
                <w:color w:val="auto"/>
                <w:sz w:val="24"/>
                <w:highlight w:val="none"/>
              </w:rPr>
            </w:pPr>
          </w:p>
        </w:tc>
        <w:tc>
          <w:tcPr>
            <w:tcW w:w="7633" w:type="dxa"/>
            <w:vAlign w:val="center"/>
          </w:tcPr>
          <w:p>
            <w:pPr>
              <w:spacing w:line="440" w:lineRule="exact"/>
              <w:rPr>
                <w:rFonts w:ascii="微软雅黑" w:hAnsi="微软雅黑" w:eastAsia="微软雅黑" w:cs="微软雅黑"/>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vAlign w:val="center"/>
          </w:tcPr>
          <w:p>
            <w:pPr>
              <w:spacing w:line="440" w:lineRule="exact"/>
              <w:rPr>
                <w:rFonts w:ascii="微软雅黑" w:hAnsi="微软雅黑" w:eastAsia="微软雅黑" w:cs="微软雅黑"/>
                <w:color w:val="auto"/>
                <w:sz w:val="24"/>
                <w:highlight w:val="none"/>
              </w:rPr>
            </w:pPr>
          </w:p>
        </w:tc>
        <w:tc>
          <w:tcPr>
            <w:tcW w:w="7633" w:type="dxa"/>
            <w:vAlign w:val="center"/>
          </w:tcPr>
          <w:p>
            <w:pPr>
              <w:spacing w:line="440" w:lineRule="exact"/>
              <w:rPr>
                <w:rFonts w:ascii="微软雅黑" w:hAnsi="微软雅黑" w:eastAsia="微软雅黑" w:cs="微软雅黑"/>
                <w:color w:val="auto"/>
                <w:sz w:val="24"/>
                <w:highlight w:val="none"/>
              </w:rPr>
            </w:pPr>
          </w:p>
        </w:tc>
      </w:tr>
    </w:tbl>
    <w:p>
      <w:pPr>
        <w:spacing w:after="156" w:line="560" w:lineRule="exact"/>
        <w:ind w:firstLine="480"/>
        <w:rPr>
          <w:rFonts w:ascii="微软雅黑" w:hAnsi="微软雅黑" w:eastAsia="微软雅黑" w:cs="微软雅黑"/>
          <w:color w:val="auto"/>
          <w:sz w:val="24"/>
          <w:highlight w:val="none"/>
        </w:rPr>
      </w:pPr>
    </w:p>
    <w:p>
      <w:pPr>
        <w:pStyle w:val="4"/>
        <w:spacing w:before="0" w:line="240" w:lineRule="atLeast"/>
        <w:ind w:left="1080" w:leftChars="257" w:hanging="540"/>
        <w:rPr>
          <w:rFonts w:ascii="微软雅黑" w:hAnsi="微软雅黑" w:eastAsia="微软雅黑" w:cs="微软雅黑"/>
          <w:color w:val="auto"/>
          <w:sz w:val="24"/>
          <w:szCs w:val="24"/>
          <w:highlight w:val="none"/>
        </w:rPr>
      </w:pPr>
    </w:p>
    <w:p>
      <w:pPr>
        <w:rPr>
          <w:rFonts w:ascii="微软雅黑" w:hAnsi="微软雅黑" w:eastAsia="微软雅黑" w:cs="微软雅黑"/>
          <w:color w:val="auto"/>
          <w:sz w:val="24"/>
          <w:highlight w:val="none"/>
        </w:rPr>
      </w:pPr>
    </w:p>
    <w:p>
      <w:pPr>
        <w:pStyle w:val="2"/>
        <w:spacing w:line="240" w:lineRule="atLeast"/>
        <w:ind w:firstLine="0"/>
        <w:rPr>
          <w:rFonts w:ascii="微软雅黑" w:hAnsi="微软雅黑" w:eastAsia="微软雅黑" w:cs="微软雅黑"/>
          <w:color w:val="auto"/>
          <w:szCs w:val="24"/>
          <w:highlight w:val="none"/>
        </w:rPr>
      </w:pPr>
    </w:p>
    <w:sectPr>
      <w:headerReference r:id="rId15" w:type="default"/>
      <w:footerReference r:id="rId16" w:type="default"/>
      <w:pgSz w:w="11905" w:h="16838"/>
      <w:pgMar w:top="1440" w:right="1797" w:bottom="1440" w:left="1797" w:header="851" w:footer="992" w:gutter="0"/>
      <w:cols w:space="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panose1 w:val="020B0604020202020204"/>
    <w:charset w:val="00"/>
    <w:family w:val="swiss"/>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方正小标宋简体">
    <w:altName w:val="黑体"/>
    <w:panose1 w:val="00000000000000000000"/>
    <w:charset w:val="86"/>
    <w:family w:val="auto"/>
    <w:pitch w:val="default"/>
    <w:sig w:usb0="00000000" w:usb1="00000000" w:usb2="00000012"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single" w:color="A5A5A5" w:sz="4" w:space="1"/>
      </w:pBdr>
    </w:pPr>
    <w:r>
      <w:rPr>
        <w:rFonts w:hint="eastAsia"/>
      </w:rPr>
      <w:tab/>
    </w:r>
    <w:r>
      <w:pict>
        <v:shape id="_x0000_s2052" o:spid="_x0000_s2052" o:spt="202" type="#_x0000_t202" style="position:absolute;left:0pt;margin-left:203.05pt;margin-top:4.1pt;height:11.4pt;width:9.5pt;mso-position-horizontal-relative:margin;z-index:251668480;mso-width-relative:page;mso-height-relative:page;" filled="f" stroked="f" coordsize="21600,21600" o:gfxdata="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6ZBrHdYAAAAIAQAADwAAAAAAAAABACAAAAAiAAAAZHJzL2Rvd25yZXYu&#10;eG1sUEsBAhQAFAAAAAgAh07iQKDHk9Y2AgAAYwQAAA4AAAAAAAAAAQAgAAAAJQEAAGRycy9lMm9E&#10;b2MueG1sUEsFBgAAAAAGAAYAWQEAAM0FAAAAAA==&#10;">
          <v:path/>
          <v:fill on="f" focussize="0,0"/>
          <v:stroke on="f" weight="0.5pt" joinstyle="miter"/>
          <v:imagedata o:title=""/>
          <o:lock v:ext="edit"/>
          <v:textbox inset="0mm,0mm,0mm,0mm">
            <w:txbxContent>
              <w:p>
                <w:pPr>
                  <w:pStyle w:val="1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p>
    <w:pPr>
      <w:pStyle w:val="19"/>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pPr>
    <w:r>
      <w:pict>
        <v:shape id="_x0000_s2051" o:spid="_x0000_s2051"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52</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pict>
        <v:shape id="_x0000_s2050" o:spid="_x0000_s2050"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TuFGkdIBAACjAwAADgAAAAAAAAABACAAAAAi&#10;AQAAZHJzL2Uyb0RvYy54bWxQSwUGAAAAAAYABgBZAQAAZgUAAAAA&#10;">
          <v:path/>
          <v:fill on="f" focussize="0,0"/>
          <v:stroke on="f" weight="1.25pt" joinstyle="miter"/>
          <v:imagedata o:title=""/>
          <o:lock v:ext="edit"/>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97</w:t>
                </w:r>
                <w:r>
                  <w:rPr>
                    <w:rFonts w:hint="eastAsia"/>
                  </w:rPr>
                  <w:fldChar w:fldCharType="end"/>
                </w:r>
              </w:p>
            </w:txbxContent>
          </v:textbox>
        </v:shape>
      </w:pict>
    </w:r>
  </w:p>
  <w:p>
    <w:pPr>
      <w:pStyle w:val="1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4681"/>
      </w:tabs>
      <w:ind w:right="360"/>
    </w:pPr>
    <w:r>
      <w:pict>
        <v:shape id="_x0000_s2049" o:spid="_x0000_s2049" o:spt="202" type="#_x0000_t202" style="position:absolute;left:0pt;margin-top:0pt;height:11.65pt;width:21.05pt;mso-position-horizontal:center;mso-position-horizontal-relative:margin;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path/>
          <v:fill on="f" focussize="0,0"/>
          <v:stroke on="f" weight="0.5pt" joinstyle="miter"/>
          <v:imagedata o:title=""/>
          <o:lock v:ext="edit"/>
          <v:textbox inset="0mm,0mm,0mm,0mm" style="mso-fit-shape-to-text:t;">
            <w:txbxContent>
              <w:p>
                <w:pPr>
                  <w:pStyle w:val="19"/>
                </w:pPr>
                <w:r>
                  <w:fldChar w:fldCharType="begin"/>
                </w:r>
                <w:r>
                  <w:instrText xml:space="preserve"> PAGE  \* MERGEFORMAT </w:instrText>
                </w:r>
                <w:r>
                  <w:fldChar w:fldCharType="separate"/>
                </w:r>
                <w:r>
                  <w:t>106</w:t>
                </w:r>
                <w:r>
                  <w:fldChar w:fldCharType="end"/>
                </w:r>
              </w:p>
            </w:txbxContent>
          </v:textbox>
        </v:shape>
      </w:pic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ascii="微软雅黑" w:hAnsi="微软雅黑" w:eastAsia="微软雅黑" w:cs="微软雅黑"/>
      </w:rPr>
    </w:pPr>
    <w:r>
      <w:rPr>
        <w:rFonts w:hint="eastAsia" w:ascii="微软雅黑" w:hAnsi="微软雅黑" w:eastAsia="微软雅黑" w:cs="微软雅黑"/>
      </w:rPr>
      <w:t>招标文件--疏勒县乡村振兴平台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p>
  <w:p>
    <w:pPr>
      <w:pStyle w:val="20"/>
      <w:jc w:val="right"/>
    </w:pPr>
    <w:r>
      <w:rPr>
        <w:rFonts w:hint="eastAsia"/>
      </w:rPr>
      <w:t>招标文件--疏勒县乡村振兴平台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p>
  <w:p>
    <w:pPr>
      <w:pStyle w:val="20"/>
      <w:jc w:val="right"/>
    </w:pPr>
    <w:r>
      <w:rPr>
        <w:rFonts w:hint="eastAsia"/>
      </w:rPr>
      <w:t>招标文件--疏勒县乡村振兴平台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p>
  <w:p>
    <w:pPr>
      <w:pStyle w:val="20"/>
      <w:jc w:val="right"/>
    </w:pPr>
    <w:r>
      <w:rPr>
        <w:rFonts w:hint="eastAsia"/>
      </w:rPr>
      <w:t>招标文件--疏勒县乡村振兴平台</w:t>
    </w:r>
  </w:p>
  <w:p>
    <w:pPr>
      <w:pStyle w:val="20"/>
      <w:pBdr>
        <w:bottom w:val="none" w:color="auto" w:sz="0" w:space="0"/>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p>
  <w:p>
    <w:pPr>
      <w:pStyle w:val="20"/>
      <w:jc w:val="right"/>
    </w:pPr>
    <w:r>
      <w:rPr>
        <w:rFonts w:hint="eastAsia"/>
      </w:rPr>
      <w:t>招标文件--疏勒县乡村振兴平台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02E7E1"/>
    <w:multiLevelType w:val="singleLevel"/>
    <w:tmpl w:val="8702E7E1"/>
    <w:lvl w:ilvl="0" w:tentative="0">
      <w:start w:val="1"/>
      <w:numFmt w:val="decimal"/>
      <w:suff w:val="nothing"/>
      <w:lvlText w:val="%1、"/>
      <w:lvlJc w:val="left"/>
    </w:lvl>
  </w:abstractNum>
  <w:abstractNum w:abstractNumId="1">
    <w:nsid w:val="B499F487"/>
    <w:multiLevelType w:val="singleLevel"/>
    <w:tmpl w:val="B499F487"/>
    <w:lvl w:ilvl="0" w:tentative="0">
      <w:start w:val="1"/>
      <w:numFmt w:val="decimal"/>
      <w:suff w:val="nothing"/>
      <w:lvlText w:val="%1."/>
      <w:lvlJc w:val="left"/>
      <w:pPr>
        <w:ind w:left="0" w:firstLine="0"/>
      </w:pPr>
      <w:rPr>
        <w:rFonts w:hint="eastAsia"/>
      </w:rPr>
    </w:lvl>
  </w:abstractNum>
  <w:abstractNum w:abstractNumId="2">
    <w:nsid w:val="BBF5190A"/>
    <w:multiLevelType w:val="singleLevel"/>
    <w:tmpl w:val="BBF5190A"/>
    <w:lvl w:ilvl="0" w:tentative="0">
      <w:start w:val="1"/>
      <w:numFmt w:val="decimal"/>
      <w:lvlText w:val="%1."/>
      <w:lvlJc w:val="left"/>
      <w:pPr>
        <w:ind w:left="420" w:hanging="420"/>
      </w:pPr>
      <w:rPr>
        <w:rFonts w:hint="eastAsia"/>
      </w:rPr>
    </w:lvl>
  </w:abstractNum>
  <w:abstractNum w:abstractNumId="3">
    <w:nsid w:val="C7FC2500"/>
    <w:multiLevelType w:val="singleLevel"/>
    <w:tmpl w:val="C7FC2500"/>
    <w:lvl w:ilvl="0" w:tentative="0">
      <w:start w:val="6"/>
      <w:numFmt w:val="decimal"/>
      <w:suff w:val="nothing"/>
      <w:lvlText w:val="（%1）"/>
      <w:lvlJc w:val="left"/>
    </w:lvl>
  </w:abstractNum>
  <w:abstractNum w:abstractNumId="4">
    <w:nsid w:val="00000002"/>
    <w:multiLevelType w:val="multilevel"/>
    <w:tmpl w:val="00000002"/>
    <w:lvl w:ilvl="0" w:tentative="0">
      <w:start w:val="18"/>
      <w:numFmt w:val="decimal"/>
      <w:lvlText w:val="%1."/>
      <w:lvlJc w:val="left"/>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5">
    <w:nsid w:val="00000006"/>
    <w:multiLevelType w:val="multilevel"/>
    <w:tmpl w:val="00000006"/>
    <w:lvl w:ilvl="0" w:tentative="0">
      <w:start w:val="1"/>
      <w:numFmt w:val="decimal"/>
      <w:lvlText w:val="（%1）"/>
      <w:lvlJc w:val="left"/>
      <w:pPr>
        <w:tabs>
          <w:tab w:val="left" w:pos="1571"/>
        </w:tabs>
        <w:ind w:left="1571" w:hanging="720"/>
      </w:pPr>
      <w:rPr>
        <w:rFonts w:ascii="仿宋_GB2312" w:hAnsi="宋体" w:eastAsia="仿宋_GB2312" w:cs="Times New Roman"/>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6">
    <w:nsid w:val="00000007"/>
    <w:multiLevelType w:val="multilevel"/>
    <w:tmpl w:val="00000007"/>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7">
    <w:nsid w:val="0000000C"/>
    <w:multiLevelType w:val="multilevel"/>
    <w:tmpl w:val="0000000C"/>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8">
    <w:nsid w:val="02193353"/>
    <w:multiLevelType w:val="multilevel"/>
    <w:tmpl w:val="0219335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535724E"/>
    <w:multiLevelType w:val="multilevel"/>
    <w:tmpl w:val="0535724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9FF2282"/>
    <w:multiLevelType w:val="multilevel"/>
    <w:tmpl w:val="09FF228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C1D06A6"/>
    <w:multiLevelType w:val="singleLevel"/>
    <w:tmpl w:val="0C1D06A6"/>
    <w:lvl w:ilvl="0" w:tentative="0">
      <w:start w:val="7"/>
      <w:numFmt w:val="decimal"/>
      <w:suff w:val="nothing"/>
      <w:lvlText w:val="%1、"/>
      <w:lvlJc w:val="left"/>
    </w:lvl>
  </w:abstractNum>
  <w:abstractNum w:abstractNumId="12">
    <w:nsid w:val="10276805"/>
    <w:multiLevelType w:val="multilevel"/>
    <w:tmpl w:val="1027680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5D078C6"/>
    <w:multiLevelType w:val="multilevel"/>
    <w:tmpl w:val="15D078C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6021014"/>
    <w:multiLevelType w:val="multilevel"/>
    <w:tmpl w:val="1602101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62665E6"/>
    <w:multiLevelType w:val="multilevel"/>
    <w:tmpl w:val="162665E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ADB742D"/>
    <w:multiLevelType w:val="multilevel"/>
    <w:tmpl w:val="1ADB742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29C6B44"/>
    <w:multiLevelType w:val="multilevel"/>
    <w:tmpl w:val="229C6B4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4E405A4"/>
    <w:multiLevelType w:val="multilevel"/>
    <w:tmpl w:val="24E405A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A1AE734"/>
    <w:multiLevelType w:val="singleLevel"/>
    <w:tmpl w:val="2A1AE734"/>
    <w:lvl w:ilvl="0" w:tentative="0">
      <w:start w:val="5"/>
      <w:numFmt w:val="decimal"/>
      <w:suff w:val="nothing"/>
      <w:lvlText w:val="%1、"/>
      <w:lvlJc w:val="left"/>
    </w:lvl>
  </w:abstractNum>
  <w:abstractNum w:abstractNumId="20">
    <w:nsid w:val="2AEF5AB5"/>
    <w:multiLevelType w:val="multilevel"/>
    <w:tmpl w:val="2AEF5AB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BCC7AD3"/>
    <w:multiLevelType w:val="singleLevel"/>
    <w:tmpl w:val="2BCC7AD3"/>
    <w:lvl w:ilvl="0" w:tentative="0">
      <w:start w:val="1"/>
      <w:numFmt w:val="decimal"/>
      <w:suff w:val="nothing"/>
      <w:lvlText w:val="%1."/>
      <w:lvlJc w:val="left"/>
      <w:pPr>
        <w:ind w:left="0" w:firstLine="0"/>
      </w:pPr>
      <w:rPr>
        <w:rFonts w:hint="eastAsia"/>
      </w:rPr>
    </w:lvl>
  </w:abstractNum>
  <w:abstractNum w:abstractNumId="22">
    <w:nsid w:val="2D8F0256"/>
    <w:multiLevelType w:val="multilevel"/>
    <w:tmpl w:val="2D8F025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2EAA13EE"/>
    <w:multiLevelType w:val="singleLevel"/>
    <w:tmpl w:val="2EAA13EE"/>
    <w:lvl w:ilvl="0" w:tentative="0">
      <w:start w:val="1"/>
      <w:numFmt w:val="decimal"/>
      <w:suff w:val="space"/>
      <w:lvlText w:val="%1."/>
      <w:lvlJc w:val="left"/>
    </w:lvl>
  </w:abstractNum>
  <w:abstractNum w:abstractNumId="24">
    <w:nsid w:val="3085113F"/>
    <w:multiLevelType w:val="multilevel"/>
    <w:tmpl w:val="3085113F"/>
    <w:lvl w:ilvl="0" w:tentative="0">
      <w:start w:val="1"/>
      <w:numFmt w:val="decimal"/>
      <w:lvlText w:val="%1."/>
      <w:lvlJc w:val="left"/>
      <w:pPr>
        <w:ind w:left="420" w:hanging="420"/>
      </w:p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36652C57"/>
    <w:multiLevelType w:val="singleLevel"/>
    <w:tmpl w:val="36652C57"/>
    <w:lvl w:ilvl="0" w:tentative="0">
      <w:start w:val="6"/>
      <w:numFmt w:val="chineseCounting"/>
      <w:suff w:val="nothing"/>
      <w:lvlText w:val="%1、"/>
      <w:lvlJc w:val="left"/>
      <w:rPr>
        <w:rFonts w:hint="eastAsia"/>
      </w:rPr>
    </w:lvl>
  </w:abstractNum>
  <w:abstractNum w:abstractNumId="26">
    <w:nsid w:val="3C68103F"/>
    <w:multiLevelType w:val="multilevel"/>
    <w:tmpl w:val="3C68103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E311675"/>
    <w:multiLevelType w:val="multilevel"/>
    <w:tmpl w:val="3E31167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489655C8"/>
    <w:multiLevelType w:val="multilevel"/>
    <w:tmpl w:val="489655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48BFA080"/>
    <w:multiLevelType w:val="singleLevel"/>
    <w:tmpl w:val="48BFA080"/>
    <w:lvl w:ilvl="0" w:tentative="0">
      <w:start w:val="1"/>
      <w:numFmt w:val="decimal"/>
      <w:suff w:val="nothing"/>
      <w:lvlText w:val="（%1）"/>
      <w:lvlJc w:val="left"/>
    </w:lvl>
  </w:abstractNum>
  <w:abstractNum w:abstractNumId="30">
    <w:nsid w:val="49592966"/>
    <w:multiLevelType w:val="multilevel"/>
    <w:tmpl w:val="495929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4AECBDE1"/>
    <w:multiLevelType w:val="singleLevel"/>
    <w:tmpl w:val="4AECBDE1"/>
    <w:lvl w:ilvl="0" w:tentative="0">
      <w:start w:val="2"/>
      <w:numFmt w:val="chineseCounting"/>
      <w:suff w:val="nothing"/>
      <w:lvlText w:val="%1、"/>
      <w:lvlJc w:val="left"/>
      <w:rPr>
        <w:rFonts w:hint="eastAsia"/>
      </w:rPr>
    </w:lvl>
  </w:abstractNum>
  <w:abstractNum w:abstractNumId="32">
    <w:nsid w:val="4FB7629B"/>
    <w:multiLevelType w:val="multilevel"/>
    <w:tmpl w:val="4FB7629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514F12C2"/>
    <w:multiLevelType w:val="multilevel"/>
    <w:tmpl w:val="514F12C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58864845"/>
    <w:multiLevelType w:val="multilevel"/>
    <w:tmpl w:val="5886484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5CFB61B0"/>
    <w:multiLevelType w:val="multilevel"/>
    <w:tmpl w:val="5CFB61B0"/>
    <w:lvl w:ilvl="0" w:tentative="0">
      <w:start w:val="1"/>
      <w:numFmt w:val="decimal"/>
      <w:lvlText w:val="%1."/>
      <w:lvlJc w:val="left"/>
      <w:pPr>
        <w:ind w:left="420" w:hanging="420"/>
      </w:p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D886D66"/>
    <w:multiLevelType w:val="multilevel"/>
    <w:tmpl w:val="5D886D6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5F26715C"/>
    <w:multiLevelType w:val="multilevel"/>
    <w:tmpl w:val="5F26715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61DF0097"/>
    <w:multiLevelType w:val="multilevel"/>
    <w:tmpl w:val="61DF009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64240028"/>
    <w:multiLevelType w:val="singleLevel"/>
    <w:tmpl w:val="64240028"/>
    <w:lvl w:ilvl="0" w:tentative="0">
      <w:start w:val="1"/>
      <w:numFmt w:val="decimal"/>
      <w:suff w:val="nothing"/>
      <w:lvlText w:val="%1."/>
      <w:lvlJc w:val="left"/>
      <w:pPr>
        <w:ind w:left="0" w:firstLine="0"/>
      </w:pPr>
      <w:rPr>
        <w:rFonts w:hint="eastAsia"/>
      </w:rPr>
    </w:lvl>
  </w:abstractNum>
  <w:abstractNum w:abstractNumId="40">
    <w:nsid w:val="64500A4D"/>
    <w:multiLevelType w:val="multilevel"/>
    <w:tmpl w:val="64500A4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6A6E3DBB"/>
    <w:multiLevelType w:val="multilevel"/>
    <w:tmpl w:val="6A6E3DB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6C857B27"/>
    <w:multiLevelType w:val="multilevel"/>
    <w:tmpl w:val="6C857B2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CD3204A"/>
    <w:multiLevelType w:val="multilevel"/>
    <w:tmpl w:val="6CD3204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7227B884"/>
    <w:multiLevelType w:val="singleLevel"/>
    <w:tmpl w:val="7227B884"/>
    <w:lvl w:ilvl="0" w:tentative="0">
      <w:start w:val="1"/>
      <w:numFmt w:val="decimal"/>
      <w:suff w:val="nothing"/>
      <w:lvlText w:val="%1、"/>
      <w:lvlJc w:val="left"/>
    </w:lvl>
  </w:abstractNum>
  <w:abstractNum w:abstractNumId="45">
    <w:nsid w:val="7A462C07"/>
    <w:multiLevelType w:val="multilevel"/>
    <w:tmpl w:val="7A462C0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7"/>
  </w:num>
  <w:num w:numId="3">
    <w:abstractNumId w:val="4"/>
  </w:num>
  <w:num w:numId="4">
    <w:abstractNumId w:val="3"/>
  </w:num>
  <w:num w:numId="5">
    <w:abstractNumId w:val="5"/>
  </w:num>
  <w:num w:numId="6">
    <w:abstractNumId w:val="44"/>
  </w:num>
  <w:num w:numId="7">
    <w:abstractNumId w:val="11"/>
  </w:num>
  <w:num w:numId="8">
    <w:abstractNumId w:val="19"/>
  </w:num>
  <w:num w:numId="9">
    <w:abstractNumId w:val="23"/>
  </w:num>
  <w:num w:numId="10">
    <w:abstractNumId w:val="29"/>
  </w:num>
  <w:num w:numId="11">
    <w:abstractNumId w:val="31"/>
  </w:num>
  <w:num w:numId="12">
    <w:abstractNumId w:val="25"/>
  </w:num>
  <w:num w:numId="13">
    <w:abstractNumId w:val="0"/>
  </w:num>
  <w:num w:numId="14">
    <w:abstractNumId w:val="1"/>
  </w:num>
  <w:num w:numId="15">
    <w:abstractNumId w:val="21"/>
  </w:num>
  <w:num w:numId="16">
    <w:abstractNumId w:val="39"/>
  </w:num>
  <w:num w:numId="17">
    <w:abstractNumId w:val="26"/>
  </w:num>
  <w:num w:numId="18">
    <w:abstractNumId w:val="33"/>
  </w:num>
  <w:num w:numId="19">
    <w:abstractNumId w:val="42"/>
  </w:num>
  <w:num w:numId="20">
    <w:abstractNumId w:val="32"/>
  </w:num>
  <w:num w:numId="21">
    <w:abstractNumId w:val="17"/>
  </w:num>
  <w:num w:numId="22">
    <w:abstractNumId w:val="13"/>
  </w:num>
  <w:num w:numId="23">
    <w:abstractNumId w:val="28"/>
  </w:num>
  <w:num w:numId="24">
    <w:abstractNumId w:val="43"/>
  </w:num>
  <w:num w:numId="25">
    <w:abstractNumId w:val="40"/>
  </w:num>
  <w:num w:numId="26">
    <w:abstractNumId w:val="8"/>
  </w:num>
  <w:num w:numId="27">
    <w:abstractNumId w:val="38"/>
  </w:num>
  <w:num w:numId="28">
    <w:abstractNumId w:val="27"/>
  </w:num>
  <w:num w:numId="29">
    <w:abstractNumId w:val="22"/>
  </w:num>
  <w:num w:numId="30">
    <w:abstractNumId w:val="41"/>
  </w:num>
  <w:num w:numId="31">
    <w:abstractNumId w:val="24"/>
  </w:num>
  <w:num w:numId="32">
    <w:abstractNumId w:val="35"/>
  </w:num>
  <w:num w:numId="33">
    <w:abstractNumId w:val="2"/>
  </w:num>
  <w:num w:numId="34">
    <w:abstractNumId w:val="37"/>
  </w:num>
  <w:num w:numId="35">
    <w:abstractNumId w:val="34"/>
  </w:num>
  <w:num w:numId="36">
    <w:abstractNumId w:val="30"/>
  </w:num>
  <w:num w:numId="37">
    <w:abstractNumId w:val="45"/>
  </w:num>
  <w:num w:numId="38">
    <w:abstractNumId w:val="9"/>
  </w:num>
  <w:num w:numId="39">
    <w:abstractNumId w:val="18"/>
  </w:num>
  <w:num w:numId="40">
    <w:abstractNumId w:val="16"/>
  </w:num>
  <w:num w:numId="41">
    <w:abstractNumId w:val="12"/>
  </w:num>
  <w:num w:numId="42">
    <w:abstractNumId w:val="36"/>
  </w:num>
  <w:num w:numId="43">
    <w:abstractNumId w:val="10"/>
  </w:num>
  <w:num w:numId="44">
    <w:abstractNumId w:val="15"/>
  </w:num>
  <w:num w:numId="45">
    <w:abstractNumId w:val="2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hideSpellingErrors/>
  <w:documentProtection w:enforcement="0"/>
  <w:defaultTabStop w:val="420"/>
  <w:drawingGridHorizontalSpacing w:val="210"/>
  <w:drawingGridVerticalSpacing w:val="-7946"/>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004CD"/>
    <w:rsid w:val="00001783"/>
    <w:rsid w:val="00001797"/>
    <w:rsid w:val="0000273B"/>
    <w:rsid w:val="000041A8"/>
    <w:rsid w:val="000055D7"/>
    <w:rsid w:val="0001529F"/>
    <w:rsid w:val="000157E2"/>
    <w:rsid w:val="0001697A"/>
    <w:rsid w:val="000169E1"/>
    <w:rsid w:val="00020D78"/>
    <w:rsid w:val="00021486"/>
    <w:rsid w:val="00021AE8"/>
    <w:rsid w:val="00022E94"/>
    <w:rsid w:val="000313B5"/>
    <w:rsid w:val="00032B95"/>
    <w:rsid w:val="000333A8"/>
    <w:rsid w:val="000434F9"/>
    <w:rsid w:val="00043533"/>
    <w:rsid w:val="00045D67"/>
    <w:rsid w:val="0004677C"/>
    <w:rsid w:val="000538CC"/>
    <w:rsid w:val="000541C7"/>
    <w:rsid w:val="00054A8E"/>
    <w:rsid w:val="00055A71"/>
    <w:rsid w:val="00056583"/>
    <w:rsid w:val="00056932"/>
    <w:rsid w:val="00057BB2"/>
    <w:rsid w:val="0006019D"/>
    <w:rsid w:val="000612B3"/>
    <w:rsid w:val="00061B68"/>
    <w:rsid w:val="00063750"/>
    <w:rsid w:val="00063DE5"/>
    <w:rsid w:val="00065379"/>
    <w:rsid w:val="000673C5"/>
    <w:rsid w:val="00070907"/>
    <w:rsid w:val="000719AB"/>
    <w:rsid w:val="00073852"/>
    <w:rsid w:val="00076670"/>
    <w:rsid w:val="00080B56"/>
    <w:rsid w:val="00080FC7"/>
    <w:rsid w:val="00081D11"/>
    <w:rsid w:val="00083115"/>
    <w:rsid w:val="00093645"/>
    <w:rsid w:val="00096150"/>
    <w:rsid w:val="00096F54"/>
    <w:rsid w:val="000A31C4"/>
    <w:rsid w:val="000A3727"/>
    <w:rsid w:val="000A49C1"/>
    <w:rsid w:val="000A799B"/>
    <w:rsid w:val="000B3242"/>
    <w:rsid w:val="000B3392"/>
    <w:rsid w:val="000B362F"/>
    <w:rsid w:val="000B366A"/>
    <w:rsid w:val="000B6C50"/>
    <w:rsid w:val="000C0FDF"/>
    <w:rsid w:val="000C15AF"/>
    <w:rsid w:val="000C3524"/>
    <w:rsid w:val="000C5071"/>
    <w:rsid w:val="000C55ED"/>
    <w:rsid w:val="000C6F86"/>
    <w:rsid w:val="000D10E4"/>
    <w:rsid w:val="000D1613"/>
    <w:rsid w:val="000D19C1"/>
    <w:rsid w:val="000D4E69"/>
    <w:rsid w:val="000D5125"/>
    <w:rsid w:val="000D7812"/>
    <w:rsid w:val="000E1288"/>
    <w:rsid w:val="000E3784"/>
    <w:rsid w:val="000E37E0"/>
    <w:rsid w:val="000E47A0"/>
    <w:rsid w:val="000E597F"/>
    <w:rsid w:val="000E5BFC"/>
    <w:rsid w:val="000E694F"/>
    <w:rsid w:val="000E7158"/>
    <w:rsid w:val="000E74D4"/>
    <w:rsid w:val="000F2D05"/>
    <w:rsid w:val="000F2EEE"/>
    <w:rsid w:val="000F4234"/>
    <w:rsid w:val="000F6215"/>
    <w:rsid w:val="000F63C8"/>
    <w:rsid w:val="000F6581"/>
    <w:rsid w:val="00102417"/>
    <w:rsid w:val="001032CC"/>
    <w:rsid w:val="00105B0B"/>
    <w:rsid w:val="0011024E"/>
    <w:rsid w:val="00112163"/>
    <w:rsid w:val="00114579"/>
    <w:rsid w:val="00115BF1"/>
    <w:rsid w:val="0012032C"/>
    <w:rsid w:val="0012244B"/>
    <w:rsid w:val="001224B5"/>
    <w:rsid w:val="00122643"/>
    <w:rsid w:val="0012425B"/>
    <w:rsid w:val="001244F8"/>
    <w:rsid w:val="001247F0"/>
    <w:rsid w:val="001252D8"/>
    <w:rsid w:val="001257D4"/>
    <w:rsid w:val="00131E0D"/>
    <w:rsid w:val="001327B2"/>
    <w:rsid w:val="0013359E"/>
    <w:rsid w:val="00137694"/>
    <w:rsid w:val="00141EAC"/>
    <w:rsid w:val="00143652"/>
    <w:rsid w:val="0014627C"/>
    <w:rsid w:val="0015142E"/>
    <w:rsid w:val="00157C74"/>
    <w:rsid w:val="00157D8E"/>
    <w:rsid w:val="00161678"/>
    <w:rsid w:val="00161D71"/>
    <w:rsid w:val="00162805"/>
    <w:rsid w:val="00165014"/>
    <w:rsid w:val="001705FF"/>
    <w:rsid w:val="0017180F"/>
    <w:rsid w:val="00172A27"/>
    <w:rsid w:val="001733C3"/>
    <w:rsid w:val="00173BFF"/>
    <w:rsid w:val="00174749"/>
    <w:rsid w:val="00174FCA"/>
    <w:rsid w:val="00175AFB"/>
    <w:rsid w:val="00176F12"/>
    <w:rsid w:val="001770BE"/>
    <w:rsid w:val="00177A3E"/>
    <w:rsid w:val="00183E4B"/>
    <w:rsid w:val="00185507"/>
    <w:rsid w:val="00187B13"/>
    <w:rsid w:val="00187EB4"/>
    <w:rsid w:val="0019618B"/>
    <w:rsid w:val="00196FA0"/>
    <w:rsid w:val="001A3B44"/>
    <w:rsid w:val="001A4571"/>
    <w:rsid w:val="001A5EEB"/>
    <w:rsid w:val="001A60E4"/>
    <w:rsid w:val="001A62A5"/>
    <w:rsid w:val="001B4216"/>
    <w:rsid w:val="001B49A4"/>
    <w:rsid w:val="001B521B"/>
    <w:rsid w:val="001B5CC8"/>
    <w:rsid w:val="001B6587"/>
    <w:rsid w:val="001C0582"/>
    <w:rsid w:val="001C058D"/>
    <w:rsid w:val="001C24DD"/>
    <w:rsid w:val="001C54C3"/>
    <w:rsid w:val="001C577E"/>
    <w:rsid w:val="001D027D"/>
    <w:rsid w:val="001D4A1E"/>
    <w:rsid w:val="001D70E9"/>
    <w:rsid w:val="001E181E"/>
    <w:rsid w:val="001E1DCD"/>
    <w:rsid w:val="001E4481"/>
    <w:rsid w:val="001E44EF"/>
    <w:rsid w:val="001E6C1A"/>
    <w:rsid w:val="001E7629"/>
    <w:rsid w:val="001E7846"/>
    <w:rsid w:val="001E7E8B"/>
    <w:rsid w:val="001F2F0B"/>
    <w:rsid w:val="001F3130"/>
    <w:rsid w:val="001F5903"/>
    <w:rsid w:val="001F7292"/>
    <w:rsid w:val="002001DC"/>
    <w:rsid w:val="002032B0"/>
    <w:rsid w:val="00203778"/>
    <w:rsid w:val="0020407A"/>
    <w:rsid w:val="00210AE7"/>
    <w:rsid w:val="002123C7"/>
    <w:rsid w:val="002124BD"/>
    <w:rsid w:val="00213411"/>
    <w:rsid w:val="00216D4F"/>
    <w:rsid w:val="00216E43"/>
    <w:rsid w:val="00220866"/>
    <w:rsid w:val="002231A4"/>
    <w:rsid w:val="00223245"/>
    <w:rsid w:val="00224447"/>
    <w:rsid w:val="00224A77"/>
    <w:rsid w:val="0022671D"/>
    <w:rsid w:val="0023090E"/>
    <w:rsid w:val="00231C64"/>
    <w:rsid w:val="00232C22"/>
    <w:rsid w:val="0023318A"/>
    <w:rsid w:val="00236A9B"/>
    <w:rsid w:val="0023715B"/>
    <w:rsid w:val="00237592"/>
    <w:rsid w:val="00244A0E"/>
    <w:rsid w:val="00244F73"/>
    <w:rsid w:val="002501BB"/>
    <w:rsid w:val="002509CA"/>
    <w:rsid w:val="00250C1D"/>
    <w:rsid w:val="00251A29"/>
    <w:rsid w:val="00251B89"/>
    <w:rsid w:val="00253615"/>
    <w:rsid w:val="00253950"/>
    <w:rsid w:val="00254F7E"/>
    <w:rsid w:val="0025569E"/>
    <w:rsid w:val="002564FE"/>
    <w:rsid w:val="002603EB"/>
    <w:rsid w:val="00261FEB"/>
    <w:rsid w:val="00264327"/>
    <w:rsid w:val="002650F1"/>
    <w:rsid w:val="00266403"/>
    <w:rsid w:val="00266406"/>
    <w:rsid w:val="002679CA"/>
    <w:rsid w:val="00272722"/>
    <w:rsid w:val="002745E7"/>
    <w:rsid w:val="002760AC"/>
    <w:rsid w:val="00276DB1"/>
    <w:rsid w:val="00277935"/>
    <w:rsid w:val="00277E8E"/>
    <w:rsid w:val="00280DD6"/>
    <w:rsid w:val="00281827"/>
    <w:rsid w:val="00282496"/>
    <w:rsid w:val="00283033"/>
    <w:rsid w:val="002854DC"/>
    <w:rsid w:val="0028616B"/>
    <w:rsid w:val="00290CDE"/>
    <w:rsid w:val="00290DE2"/>
    <w:rsid w:val="002959CC"/>
    <w:rsid w:val="002A0C27"/>
    <w:rsid w:val="002A2315"/>
    <w:rsid w:val="002A2732"/>
    <w:rsid w:val="002A3153"/>
    <w:rsid w:val="002A6C9C"/>
    <w:rsid w:val="002C10AC"/>
    <w:rsid w:val="002C2AE8"/>
    <w:rsid w:val="002C2FF3"/>
    <w:rsid w:val="002C3A5A"/>
    <w:rsid w:val="002C49B1"/>
    <w:rsid w:val="002C4ABE"/>
    <w:rsid w:val="002C71EC"/>
    <w:rsid w:val="002C7548"/>
    <w:rsid w:val="002C780B"/>
    <w:rsid w:val="002C7E47"/>
    <w:rsid w:val="002D2C13"/>
    <w:rsid w:val="002D2FFB"/>
    <w:rsid w:val="002D4E0A"/>
    <w:rsid w:val="002D4E16"/>
    <w:rsid w:val="002D505C"/>
    <w:rsid w:val="002D5DF8"/>
    <w:rsid w:val="002E334D"/>
    <w:rsid w:val="002E486A"/>
    <w:rsid w:val="002E53C0"/>
    <w:rsid w:val="002E766C"/>
    <w:rsid w:val="002F02C8"/>
    <w:rsid w:val="002F0A07"/>
    <w:rsid w:val="002F2D5F"/>
    <w:rsid w:val="002F46DC"/>
    <w:rsid w:val="002F5145"/>
    <w:rsid w:val="002F5CB9"/>
    <w:rsid w:val="002F5E9B"/>
    <w:rsid w:val="002F683C"/>
    <w:rsid w:val="00310C52"/>
    <w:rsid w:val="0031140B"/>
    <w:rsid w:val="00314E3D"/>
    <w:rsid w:val="00315FEF"/>
    <w:rsid w:val="00317120"/>
    <w:rsid w:val="003171BB"/>
    <w:rsid w:val="00317BC6"/>
    <w:rsid w:val="0032100C"/>
    <w:rsid w:val="003212C2"/>
    <w:rsid w:val="00321921"/>
    <w:rsid w:val="00321926"/>
    <w:rsid w:val="00327707"/>
    <w:rsid w:val="0033060D"/>
    <w:rsid w:val="003318F3"/>
    <w:rsid w:val="00331ECA"/>
    <w:rsid w:val="00333919"/>
    <w:rsid w:val="00334F3E"/>
    <w:rsid w:val="003379AF"/>
    <w:rsid w:val="00337C5C"/>
    <w:rsid w:val="00343E4C"/>
    <w:rsid w:val="003528B8"/>
    <w:rsid w:val="00352BC8"/>
    <w:rsid w:val="00355D82"/>
    <w:rsid w:val="00356CAF"/>
    <w:rsid w:val="003612A6"/>
    <w:rsid w:val="003671F3"/>
    <w:rsid w:val="00367712"/>
    <w:rsid w:val="00367C88"/>
    <w:rsid w:val="00367DB2"/>
    <w:rsid w:val="00370B19"/>
    <w:rsid w:val="00371C8C"/>
    <w:rsid w:val="00373408"/>
    <w:rsid w:val="003748EB"/>
    <w:rsid w:val="00375DCD"/>
    <w:rsid w:val="00376F36"/>
    <w:rsid w:val="003800A6"/>
    <w:rsid w:val="0038151E"/>
    <w:rsid w:val="00382FFA"/>
    <w:rsid w:val="00383B0A"/>
    <w:rsid w:val="0038491D"/>
    <w:rsid w:val="00387606"/>
    <w:rsid w:val="00391DD2"/>
    <w:rsid w:val="003925E1"/>
    <w:rsid w:val="00393D74"/>
    <w:rsid w:val="003943A7"/>
    <w:rsid w:val="00396A66"/>
    <w:rsid w:val="003A0E06"/>
    <w:rsid w:val="003A1A69"/>
    <w:rsid w:val="003A37B8"/>
    <w:rsid w:val="003A582F"/>
    <w:rsid w:val="003A6B72"/>
    <w:rsid w:val="003B020F"/>
    <w:rsid w:val="003B3917"/>
    <w:rsid w:val="003B41D9"/>
    <w:rsid w:val="003B4356"/>
    <w:rsid w:val="003B5422"/>
    <w:rsid w:val="003B7293"/>
    <w:rsid w:val="003B7D7E"/>
    <w:rsid w:val="003C0EF3"/>
    <w:rsid w:val="003C53B2"/>
    <w:rsid w:val="003C6422"/>
    <w:rsid w:val="003C6C9A"/>
    <w:rsid w:val="003D6961"/>
    <w:rsid w:val="003E2C77"/>
    <w:rsid w:val="003E2C89"/>
    <w:rsid w:val="003E3C14"/>
    <w:rsid w:val="003E6516"/>
    <w:rsid w:val="003E747A"/>
    <w:rsid w:val="003F0149"/>
    <w:rsid w:val="003F11BD"/>
    <w:rsid w:val="003F4748"/>
    <w:rsid w:val="003F61AC"/>
    <w:rsid w:val="00401267"/>
    <w:rsid w:val="00401B70"/>
    <w:rsid w:val="00402836"/>
    <w:rsid w:val="0040298F"/>
    <w:rsid w:val="0040367C"/>
    <w:rsid w:val="00404B23"/>
    <w:rsid w:val="00405154"/>
    <w:rsid w:val="004109B8"/>
    <w:rsid w:val="0041238C"/>
    <w:rsid w:val="00412829"/>
    <w:rsid w:val="0041314E"/>
    <w:rsid w:val="00414EDB"/>
    <w:rsid w:val="004164DF"/>
    <w:rsid w:val="0042141B"/>
    <w:rsid w:val="00425FB2"/>
    <w:rsid w:val="004261AF"/>
    <w:rsid w:val="00426BB0"/>
    <w:rsid w:val="00427182"/>
    <w:rsid w:val="00433EEA"/>
    <w:rsid w:val="004408B0"/>
    <w:rsid w:val="004408EE"/>
    <w:rsid w:val="00441C7F"/>
    <w:rsid w:val="00441E5E"/>
    <w:rsid w:val="0044524F"/>
    <w:rsid w:val="0044654E"/>
    <w:rsid w:val="004504F2"/>
    <w:rsid w:val="00450C1F"/>
    <w:rsid w:val="00455240"/>
    <w:rsid w:val="0045705D"/>
    <w:rsid w:val="00457AEF"/>
    <w:rsid w:val="0046046C"/>
    <w:rsid w:val="004663F3"/>
    <w:rsid w:val="00467553"/>
    <w:rsid w:val="00471F78"/>
    <w:rsid w:val="00473B94"/>
    <w:rsid w:val="00473DC2"/>
    <w:rsid w:val="0047556E"/>
    <w:rsid w:val="00475991"/>
    <w:rsid w:val="00475B13"/>
    <w:rsid w:val="00480D8D"/>
    <w:rsid w:val="004814E5"/>
    <w:rsid w:val="004827CD"/>
    <w:rsid w:val="00484641"/>
    <w:rsid w:val="004846F8"/>
    <w:rsid w:val="00485EFC"/>
    <w:rsid w:val="00490A94"/>
    <w:rsid w:val="004911E4"/>
    <w:rsid w:val="004912F4"/>
    <w:rsid w:val="004922BC"/>
    <w:rsid w:val="00492CE8"/>
    <w:rsid w:val="00493558"/>
    <w:rsid w:val="00493EC9"/>
    <w:rsid w:val="00494ECE"/>
    <w:rsid w:val="00495251"/>
    <w:rsid w:val="00495B0C"/>
    <w:rsid w:val="004963A5"/>
    <w:rsid w:val="004A1759"/>
    <w:rsid w:val="004A2275"/>
    <w:rsid w:val="004A2759"/>
    <w:rsid w:val="004A3872"/>
    <w:rsid w:val="004A3AC0"/>
    <w:rsid w:val="004A42D0"/>
    <w:rsid w:val="004A4ED0"/>
    <w:rsid w:val="004A6F61"/>
    <w:rsid w:val="004B0706"/>
    <w:rsid w:val="004B22B1"/>
    <w:rsid w:val="004B46E5"/>
    <w:rsid w:val="004B6542"/>
    <w:rsid w:val="004B72A3"/>
    <w:rsid w:val="004C1E33"/>
    <w:rsid w:val="004C5CA2"/>
    <w:rsid w:val="004C6870"/>
    <w:rsid w:val="004D29A3"/>
    <w:rsid w:val="004D4D48"/>
    <w:rsid w:val="004D5250"/>
    <w:rsid w:val="004D6AD9"/>
    <w:rsid w:val="004E0517"/>
    <w:rsid w:val="004E0C12"/>
    <w:rsid w:val="004E13F0"/>
    <w:rsid w:val="004E4854"/>
    <w:rsid w:val="004E5FCE"/>
    <w:rsid w:val="004F036B"/>
    <w:rsid w:val="004F052D"/>
    <w:rsid w:val="004F0E54"/>
    <w:rsid w:val="004F7B7E"/>
    <w:rsid w:val="00501785"/>
    <w:rsid w:val="00503724"/>
    <w:rsid w:val="00504E3C"/>
    <w:rsid w:val="0050693B"/>
    <w:rsid w:val="00507AD5"/>
    <w:rsid w:val="00513F7C"/>
    <w:rsid w:val="005149B8"/>
    <w:rsid w:val="005168FA"/>
    <w:rsid w:val="005175C0"/>
    <w:rsid w:val="00520001"/>
    <w:rsid w:val="00521717"/>
    <w:rsid w:val="0052391C"/>
    <w:rsid w:val="0052393A"/>
    <w:rsid w:val="00530C3F"/>
    <w:rsid w:val="00532B1D"/>
    <w:rsid w:val="00533524"/>
    <w:rsid w:val="00534347"/>
    <w:rsid w:val="00540C55"/>
    <w:rsid w:val="00542227"/>
    <w:rsid w:val="005422EB"/>
    <w:rsid w:val="0054426F"/>
    <w:rsid w:val="0054508F"/>
    <w:rsid w:val="00546F3A"/>
    <w:rsid w:val="005475C6"/>
    <w:rsid w:val="00550C61"/>
    <w:rsid w:val="00552FBA"/>
    <w:rsid w:val="00554D9D"/>
    <w:rsid w:val="00555A82"/>
    <w:rsid w:val="00556C52"/>
    <w:rsid w:val="0056008C"/>
    <w:rsid w:val="00570A8A"/>
    <w:rsid w:val="00571BE1"/>
    <w:rsid w:val="0057268E"/>
    <w:rsid w:val="00573C95"/>
    <w:rsid w:val="005750B7"/>
    <w:rsid w:val="005806C7"/>
    <w:rsid w:val="00582CA5"/>
    <w:rsid w:val="00582FE9"/>
    <w:rsid w:val="0058511B"/>
    <w:rsid w:val="005852AF"/>
    <w:rsid w:val="00586FF5"/>
    <w:rsid w:val="005940D2"/>
    <w:rsid w:val="005A0332"/>
    <w:rsid w:val="005A1737"/>
    <w:rsid w:val="005A1914"/>
    <w:rsid w:val="005A1D6F"/>
    <w:rsid w:val="005A378B"/>
    <w:rsid w:val="005A3804"/>
    <w:rsid w:val="005A40B3"/>
    <w:rsid w:val="005B1361"/>
    <w:rsid w:val="005B177D"/>
    <w:rsid w:val="005B3B4A"/>
    <w:rsid w:val="005B4C4C"/>
    <w:rsid w:val="005B7966"/>
    <w:rsid w:val="005C0341"/>
    <w:rsid w:val="005C1E3F"/>
    <w:rsid w:val="005C3CDD"/>
    <w:rsid w:val="005D2B33"/>
    <w:rsid w:val="005D4B36"/>
    <w:rsid w:val="005D5B37"/>
    <w:rsid w:val="005D6D35"/>
    <w:rsid w:val="005E1062"/>
    <w:rsid w:val="005E12BD"/>
    <w:rsid w:val="005E132E"/>
    <w:rsid w:val="005E1F41"/>
    <w:rsid w:val="005E305E"/>
    <w:rsid w:val="005E3ECC"/>
    <w:rsid w:val="005E53A4"/>
    <w:rsid w:val="005F1F63"/>
    <w:rsid w:val="005F324D"/>
    <w:rsid w:val="005F4C0F"/>
    <w:rsid w:val="006011F9"/>
    <w:rsid w:val="006016B0"/>
    <w:rsid w:val="00602247"/>
    <w:rsid w:val="006054AE"/>
    <w:rsid w:val="00606661"/>
    <w:rsid w:val="00612A91"/>
    <w:rsid w:val="00615BD4"/>
    <w:rsid w:val="0061675F"/>
    <w:rsid w:val="006176D9"/>
    <w:rsid w:val="0062063C"/>
    <w:rsid w:val="00621EEA"/>
    <w:rsid w:val="00622049"/>
    <w:rsid w:val="006267AC"/>
    <w:rsid w:val="006275F8"/>
    <w:rsid w:val="00630C8F"/>
    <w:rsid w:val="0063126C"/>
    <w:rsid w:val="006321D9"/>
    <w:rsid w:val="00635ACD"/>
    <w:rsid w:val="00645F9B"/>
    <w:rsid w:val="006462F4"/>
    <w:rsid w:val="00646C7B"/>
    <w:rsid w:val="00653EEF"/>
    <w:rsid w:val="00656DB1"/>
    <w:rsid w:val="0065706C"/>
    <w:rsid w:val="006570F3"/>
    <w:rsid w:val="006574CA"/>
    <w:rsid w:val="00663087"/>
    <w:rsid w:val="00666E6E"/>
    <w:rsid w:val="00667926"/>
    <w:rsid w:val="00670B88"/>
    <w:rsid w:val="00672A07"/>
    <w:rsid w:val="00672A3D"/>
    <w:rsid w:val="00673284"/>
    <w:rsid w:val="00673C56"/>
    <w:rsid w:val="00674E3C"/>
    <w:rsid w:val="00684218"/>
    <w:rsid w:val="00684A17"/>
    <w:rsid w:val="0068548A"/>
    <w:rsid w:val="00686ACA"/>
    <w:rsid w:val="006904AF"/>
    <w:rsid w:val="0069484E"/>
    <w:rsid w:val="00695821"/>
    <w:rsid w:val="0069607D"/>
    <w:rsid w:val="006960C5"/>
    <w:rsid w:val="006A05F8"/>
    <w:rsid w:val="006A0897"/>
    <w:rsid w:val="006A27B1"/>
    <w:rsid w:val="006A4246"/>
    <w:rsid w:val="006A56B9"/>
    <w:rsid w:val="006A64EB"/>
    <w:rsid w:val="006A7750"/>
    <w:rsid w:val="006A7FD4"/>
    <w:rsid w:val="006B0E91"/>
    <w:rsid w:val="006B1891"/>
    <w:rsid w:val="006B37AE"/>
    <w:rsid w:val="006B3C07"/>
    <w:rsid w:val="006B476E"/>
    <w:rsid w:val="006B7254"/>
    <w:rsid w:val="006B73B9"/>
    <w:rsid w:val="006C0F43"/>
    <w:rsid w:val="006C2D51"/>
    <w:rsid w:val="006C4083"/>
    <w:rsid w:val="006C4B81"/>
    <w:rsid w:val="006C517C"/>
    <w:rsid w:val="006C5CAA"/>
    <w:rsid w:val="006C6855"/>
    <w:rsid w:val="006C7F43"/>
    <w:rsid w:val="006D16F3"/>
    <w:rsid w:val="006D49E3"/>
    <w:rsid w:val="006D4C2C"/>
    <w:rsid w:val="006D62FF"/>
    <w:rsid w:val="006E019F"/>
    <w:rsid w:val="006E18C4"/>
    <w:rsid w:val="006E3E50"/>
    <w:rsid w:val="006E402A"/>
    <w:rsid w:val="006E525F"/>
    <w:rsid w:val="006E74F5"/>
    <w:rsid w:val="006E7DCA"/>
    <w:rsid w:val="006F03B7"/>
    <w:rsid w:val="006F2035"/>
    <w:rsid w:val="006F28EE"/>
    <w:rsid w:val="006F42C2"/>
    <w:rsid w:val="006F602A"/>
    <w:rsid w:val="006F7412"/>
    <w:rsid w:val="00704E65"/>
    <w:rsid w:val="0071025E"/>
    <w:rsid w:val="007105A5"/>
    <w:rsid w:val="00710B8D"/>
    <w:rsid w:val="00712CF9"/>
    <w:rsid w:val="00713024"/>
    <w:rsid w:val="00713EA1"/>
    <w:rsid w:val="00715D6B"/>
    <w:rsid w:val="00717F6B"/>
    <w:rsid w:val="007212F0"/>
    <w:rsid w:val="00722EC6"/>
    <w:rsid w:val="00723FF6"/>
    <w:rsid w:val="0072460B"/>
    <w:rsid w:val="00726876"/>
    <w:rsid w:val="007269B1"/>
    <w:rsid w:val="00730DF7"/>
    <w:rsid w:val="0073123A"/>
    <w:rsid w:val="007331F6"/>
    <w:rsid w:val="0073362F"/>
    <w:rsid w:val="00733A3E"/>
    <w:rsid w:val="00733BE8"/>
    <w:rsid w:val="00736B54"/>
    <w:rsid w:val="00740605"/>
    <w:rsid w:val="00740FA5"/>
    <w:rsid w:val="007440A8"/>
    <w:rsid w:val="00747B97"/>
    <w:rsid w:val="00747DD4"/>
    <w:rsid w:val="00751820"/>
    <w:rsid w:val="00751B7E"/>
    <w:rsid w:val="00752AB2"/>
    <w:rsid w:val="00754193"/>
    <w:rsid w:val="007556C8"/>
    <w:rsid w:val="00756FA1"/>
    <w:rsid w:val="007605DF"/>
    <w:rsid w:val="0076244A"/>
    <w:rsid w:val="00762D9D"/>
    <w:rsid w:val="00763FD6"/>
    <w:rsid w:val="0076431D"/>
    <w:rsid w:val="00766DE9"/>
    <w:rsid w:val="007678A5"/>
    <w:rsid w:val="00770841"/>
    <w:rsid w:val="00771F67"/>
    <w:rsid w:val="00772012"/>
    <w:rsid w:val="007738C7"/>
    <w:rsid w:val="0077418F"/>
    <w:rsid w:val="00774C01"/>
    <w:rsid w:val="007823C9"/>
    <w:rsid w:val="007835B7"/>
    <w:rsid w:val="007863E1"/>
    <w:rsid w:val="007910D3"/>
    <w:rsid w:val="0079336E"/>
    <w:rsid w:val="00794A98"/>
    <w:rsid w:val="007A24DB"/>
    <w:rsid w:val="007A5BD0"/>
    <w:rsid w:val="007B4B46"/>
    <w:rsid w:val="007B5E5F"/>
    <w:rsid w:val="007B6CA0"/>
    <w:rsid w:val="007B6F71"/>
    <w:rsid w:val="007C06F8"/>
    <w:rsid w:val="007C27E5"/>
    <w:rsid w:val="007C2E24"/>
    <w:rsid w:val="007C3F78"/>
    <w:rsid w:val="007C4B09"/>
    <w:rsid w:val="007C6167"/>
    <w:rsid w:val="007C6EB8"/>
    <w:rsid w:val="007C7809"/>
    <w:rsid w:val="007D13B9"/>
    <w:rsid w:val="007D2774"/>
    <w:rsid w:val="007D71F7"/>
    <w:rsid w:val="007E024C"/>
    <w:rsid w:val="007E160E"/>
    <w:rsid w:val="007E1BDD"/>
    <w:rsid w:val="007E700C"/>
    <w:rsid w:val="007E7388"/>
    <w:rsid w:val="007F1BAF"/>
    <w:rsid w:val="007F1F1C"/>
    <w:rsid w:val="007F2277"/>
    <w:rsid w:val="007F433C"/>
    <w:rsid w:val="007F4428"/>
    <w:rsid w:val="008004B0"/>
    <w:rsid w:val="008045D9"/>
    <w:rsid w:val="00806C8A"/>
    <w:rsid w:val="0080702C"/>
    <w:rsid w:val="00807165"/>
    <w:rsid w:val="00812094"/>
    <w:rsid w:val="0081333B"/>
    <w:rsid w:val="008140D7"/>
    <w:rsid w:val="0081653B"/>
    <w:rsid w:val="00821DF6"/>
    <w:rsid w:val="00823CCC"/>
    <w:rsid w:val="00827179"/>
    <w:rsid w:val="0083029A"/>
    <w:rsid w:val="00830426"/>
    <w:rsid w:val="00830E02"/>
    <w:rsid w:val="00831C83"/>
    <w:rsid w:val="00831E0A"/>
    <w:rsid w:val="00832543"/>
    <w:rsid w:val="008343C4"/>
    <w:rsid w:val="00835847"/>
    <w:rsid w:val="00835C6F"/>
    <w:rsid w:val="00837429"/>
    <w:rsid w:val="0083745B"/>
    <w:rsid w:val="00840252"/>
    <w:rsid w:val="00840420"/>
    <w:rsid w:val="00842DE3"/>
    <w:rsid w:val="00844F5E"/>
    <w:rsid w:val="00846701"/>
    <w:rsid w:val="00850C22"/>
    <w:rsid w:val="0085232F"/>
    <w:rsid w:val="00854E2A"/>
    <w:rsid w:val="008550CD"/>
    <w:rsid w:val="00857E3A"/>
    <w:rsid w:val="00861135"/>
    <w:rsid w:val="00864495"/>
    <w:rsid w:val="0086449D"/>
    <w:rsid w:val="008651BC"/>
    <w:rsid w:val="00867059"/>
    <w:rsid w:val="00867A5A"/>
    <w:rsid w:val="008711B1"/>
    <w:rsid w:val="00871FBA"/>
    <w:rsid w:val="00872119"/>
    <w:rsid w:val="008722FB"/>
    <w:rsid w:val="00877EA2"/>
    <w:rsid w:val="008808CA"/>
    <w:rsid w:val="00886CFD"/>
    <w:rsid w:val="00887D93"/>
    <w:rsid w:val="00890912"/>
    <w:rsid w:val="00890D7D"/>
    <w:rsid w:val="008917B4"/>
    <w:rsid w:val="008933C7"/>
    <w:rsid w:val="008941B9"/>
    <w:rsid w:val="00894216"/>
    <w:rsid w:val="008959F9"/>
    <w:rsid w:val="00896167"/>
    <w:rsid w:val="00896786"/>
    <w:rsid w:val="00897413"/>
    <w:rsid w:val="008A118C"/>
    <w:rsid w:val="008A46DC"/>
    <w:rsid w:val="008A4806"/>
    <w:rsid w:val="008A4BF4"/>
    <w:rsid w:val="008A510D"/>
    <w:rsid w:val="008A5EDE"/>
    <w:rsid w:val="008A7A4E"/>
    <w:rsid w:val="008A7C4F"/>
    <w:rsid w:val="008B2E55"/>
    <w:rsid w:val="008B2FA8"/>
    <w:rsid w:val="008B3253"/>
    <w:rsid w:val="008B3F5C"/>
    <w:rsid w:val="008C020E"/>
    <w:rsid w:val="008C2F9E"/>
    <w:rsid w:val="008D03EA"/>
    <w:rsid w:val="008D16BD"/>
    <w:rsid w:val="008D17A7"/>
    <w:rsid w:val="008D2E91"/>
    <w:rsid w:val="008D58E2"/>
    <w:rsid w:val="008D6283"/>
    <w:rsid w:val="008D7FB0"/>
    <w:rsid w:val="008E050B"/>
    <w:rsid w:val="008E1010"/>
    <w:rsid w:val="008E2C2E"/>
    <w:rsid w:val="008E5C25"/>
    <w:rsid w:val="008E72A8"/>
    <w:rsid w:val="008F0627"/>
    <w:rsid w:val="008F1CDC"/>
    <w:rsid w:val="008F1DA8"/>
    <w:rsid w:val="008F1FF1"/>
    <w:rsid w:val="008F2498"/>
    <w:rsid w:val="008F41FB"/>
    <w:rsid w:val="008F4B49"/>
    <w:rsid w:val="008F5977"/>
    <w:rsid w:val="008F5C9B"/>
    <w:rsid w:val="009039C8"/>
    <w:rsid w:val="00904BCF"/>
    <w:rsid w:val="00905B77"/>
    <w:rsid w:val="00906FD6"/>
    <w:rsid w:val="009079D0"/>
    <w:rsid w:val="00907DCD"/>
    <w:rsid w:val="009104AA"/>
    <w:rsid w:val="0091429A"/>
    <w:rsid w:val="00914466"/>
    <w:rsid w:val="00915D8A"/>
    <w:rsid w:val="00917746"/>
    <w:rsid w:val="009209A5"/>
    <w:rsid w:val="00920F98"/>
    <w:rsid w:val="00922448"/>
    <w:rsid w:val="009228BB"/>
    <w:rsid w:val="00922FDA"/>
    <w:rsid w:val="009244DF"/>
    <w:rsid w:val="00927EF6"/>
    <w:rsid w:val="00930D45"/>
    <w:rsid w:val="00930E14"/>
    <w:rsid w:val="00933885"/>
    <w:rsid w:val="009338DA"/>
    <w:rsid w:val="00936E93"/>
    <w:rsid w:val="00937FDA"/>
    <w:rsid w:val="00947632"/>
    <w:rsid w:val="0094786C"/>
    <w:rsid w:val="00947B9F"/>
    <w:rsid w:val="00947FB4"/>
    <w:rsid w:val="00952077"/>
    <w:rsid w:val="00952D2F"/>
    <w:rsid w:val="00952D60"/>
    <w:rsid w:val="00952E44"/>
    <w:rsid w:val="00955447"/>
    <w:rsid w:val="00955A17"/>
    <w:rsid w:val="00957C50"/>
    <w:rsid w:val="00960E12"/>
    <w:rsid w:val="0096331F"/>
    <w:rsid w:val="00963914"/>
    <w:rsid w:val="00963A90"/>
    <w:rsid w:val="009728D7"/>
    <w:rsid w:val="009729B3"/>
    <w:rsid w:val="009729D8"/>
    <w:rsid w:val="0097453F"/>
    <w:rsid w:val="00974577"/>
    <w:rsid w:val="00975045"/>
    <w:rsid w:val="00976670"/>
    <w:rsid w:val="00976BC3"/>
    <w:rsid w:val="00976E64"/>
    <w:rsid w:val="00977929"/>
    <w:rsid w:val="0098426D"/>
    <w:rsid w:val="00993B1F"/>
    <w:rsid w:val="00993DF1"/>
    <w:rsid w:val="00993F70"/>
    <w:rsid w:val="0099428D"/>
    <w:rsid w:val="00995932"/>
    <w:rsid w:val="00996D49"/>
    <w:rsid w:val="009A1C77"/>
    <w:rsid w:val="009A4969"/>
    <w:rsid w:val="009A51E6"/>
    <w:rsid w:val="009A5BC5"/>
    <w:rsid w:val="009A61AA"/>
    <w:rsid w:val="009A747C"/>
    <w:rsid w:val="009A7DAC"/>
    <w:rsid w:val="009B2B6E"/>
    <w:rsid w:val="009B3C1F"/>
    <w:rsid w:val="009B7D7E"/>
    <w:rsid w:val="009C0A0E"/>
    <w:rsid w:val="009C10F7"/>
    <w:rsid w:val="009C11B1"/>
    <w:rsid w:val="009C1722"/>
    <w:rsid w:val="009C6235"/>
    <w:rsid w:val="009C6E76"/>
    <w:rsid w:val="009D00B8"/>
    <w:rsid w:val="009D09CB"/>
    <w:rsid w:val="009D3E42"/>
    <w:rsid w:val="009D682E"/>
    <w:rsid w:val="009E40F9"/>
    <w:rsid w:val="009E538C"/>
    <w:rsid w:val="009E5844"/>
    <w:rsid w:val="009E653F"/>
    <w:rsid w:val="009E7C9A"/>
    <w:rsid w:val="009F4C6D"/>
    <w:rsid w:val="009F5062"/>
    <w:rsid w:val="009F6262"/>
    <w:rsid w:val="00A01D25"/>
    <w:rsid w:val="00A0624A"/>
    <w:rsid w:val="00A06830"/>
    <w:rsid w:val="00A12892"/>
    <w:rsid w:val="00A149DF"/>
    <w:rsid w:val="00A1634D"/>
    <w:rsid w:val="00A1707B"/>
    <w:rsid w:val="00A32694"/>
    <w:rsid w:val="00A33A18"/>
    <w:rsid w:val="00A350BE"/>
    <w:rsid w:val="00A35C8A"/>
    <w:rsid w:val="00A36343"/>
    <w:rsid w:val="00A36638"/>
    <w:rsid w:val="00A36B9A"/>
    <w:rsid w:val="00A4149B"/>
    <w:rsid w:val="00A51ECF"/>
    <w:rsid w:val="00A5335D"/>
    <w:rsid w:val="00A53EBD"/>
    <w:rsid w:val="00A56524"/>
    <w:rsid w:val="00A610B8"/>
    <w:rsid w:val="00A61208"/>
    <w:rsid w:val="00A62660"/>
    <w:rsid w:val="00A62D2C"/>
    <w:rsid w:val="00A631B4"/>
    <w:rsid w:val="00A64D6A"/>
    <w:rsid w:val="00A66A0F"/>
    <w:rsid w:val="00A67FB0"/>
    <w:rsid w:val="00A700BE"/>
    <w:rsid w:val="00A7038D"/>
    <w:rsid w:val="00A73440"/>
    <w:rsid w:val="00A75908"/>
    <w:rsid w:val="00A75D01"/>
    <w:rsid w:val="00A76B01"/>
    <w:rsid w:val="00A813D7"/>
    <w:rsid w:val="00A83BB1"/>
    <w:rsid w:val="00A87807"/>
    <w:rsid w:val="00A90332"/>
    <w:rsid w:val="00A94426"/>
    <w:rsid w:val="00A9734B"/>
    <w:rsid w:val="00A97D26"/>
    <w:rsid w:val="00AA06C5"/>
    <w:rsid w:val="00AA1669"/>
    <w:rsid w:val="00AA3A8E"/>
    <w:rsid w:val="00AA5BB8"/>
    <w:rsid w:val="00AA5D50"/>
    <w:rsid w:val="00AA6487"/>
    <w:rsid w:val="00AB001E"/>
    <w:rsid w:val="00AB2D04"/>
    <w:rsid w:val="00AB318B"/>
    <w:rsid w:val="00AB7D6A"/>
    <w:rsid w:val="00AC0A22"/>
    <w:rsid w:val="00AC3A3F"/>
    <w:rsid w:val="00AD190D"/>
    <w:rsid w:val="00AD2DAB"/>
    <w:rsid w:val="00AD3BD7"/>
    <w:rsid w:val="00AE1BBB"/>
    <w:rsid w:val="00AE2F4C"/>
    <w:rsid w:val="00AE3B4A"/>
    <w:rsid w:val="00AE4A87"/>
    <w:rsid w:val="00AE673D"/>
    <w:rsid w:val="00AE749B"/>
    <w:rsid w:val="00AF0629"/>
    <w:rsid w:val="00AF1BF1"/>
    <w:rsid w:val="00AF32B8"/>
    <w:rsid w:val="00AF3CB3"/>
    <w:rsid w:val="00AF531B"/>
    <w:rsid w:val="00AF5337"/>
    <w:rsid w:val="00AF53C2"/>
    <w:rsid w:val="00AF71F6"/>
    <w:rsid w:val="00AF7C60"/>
    <w:rsid w:val="00B005C5"/>
    <w:rsid w:val="00B02305"/>
    <w:rsid w:val="00B02E23"/>
    <w:rsid w:val="00B060D5"/>
    <w:rsid w:val="00B1175D"/>
    <w:rsid w:val="00B12731"/>
    <w:rsid w:val="00B12AA5"/>
    <w:rsid w:val="00B146BC"/>
    <w:rsid w:val="00B14DF1"/>
    <w:rsid w:val="00B153B3"/>
    <w:rsid w:val="00B169C4"/>
    <w:rsid w:val="00B17CBB"/>
    <w:rsid w:val="00B20BBF"/>
    <w:rsid w:val="00B217CC"/>
    <w:rsid w:val="00B25447"/>
    <w:rsid w:val="00B271C9"/>
    <w:rsid w:val="00B31C57"/>
    <w:rsid w:val="00B32F09"/>
    <w:rsid w:val="00B33D96"/>
    <w:rsid w:val="00B33E36"/>
    <w:rsid w:val="00B34F0E"/>
    <w:rsid w:val="00B35F5F"/>
    <w:rsid w:val="00B36F78"/>
    <w:rsid w:val="00B3755E"/>
    <w:rsid w:val="00B40414"/>
    <w:rsid w:val="00B404A6"/>
    <w:rsid w:val="00B40A63"/>
    <w:rsid w:val="00B41213"/>
    <w:rsid w:val="00B45C45"/>
    <w:rsid w:val="00B47277"/>
    <w:rsid w:val="00B56FB7"/>
    <w:rsid w:val="00B577A6"/>
    <w:rsid w:val="00B607BE"/>
    <w:rsid w:val="00B61E09"/>
    <w:rsid w:val="00B6274D"/>
    <w:rsid w:val="00B62B63"/>
    <w:rsid w:val="00B64D41"/>
    <w:rsid w:val="00B66CB3"/>
    <w:rsid w:val="00B66D6E"/>
    <w:rsid w:val="00B67351"/>
    <w:rsid w:val="00B706C6"/>
    <w:rsid w:val="00B739CF"/>
    <w:rsid w:val="00B7475F"/>
    <w:rsid w:val="00B758C0"/>
    <w:rsid w:val="00B80B07"/>
    <w:rsid w:val="00B8178C"/>
    <w:rsid w:val="00B81BF0"/>
    <w:rsid w:val="00B82E33"/>
    <w:rsid w:val="00B82ECB"/>
    <w:rsid w:val="00B8310B"/>
    <w:rsid w:val="00B83C8B"/>
    <w:rsid w:val="00B85BAF"/>
    <w:rsid w:val="00B90874"/>
    <w:rsid w:val="00B90BFA"/>
    <w:rsid w:val="00B93044"/>
    <w:rsid w:val="00B931B0"/>
    <w:rsid w:val="00B937E8"/>
    <w:rsid w:val="00B93ED9"/>
    <w:rsid w:val="00B94084"/>
    <w:rsid w:val="00B95E2C"/>
    <w:rsid w:val="00BA2C17"/>
    <w:rsid w:val="00BA40F3"/>
    <w:rsid w:val="00BA5F6B"/>
    <w:rsid w:val="00BA6BD0"/>
    <w:rsid w:val="00BB0589"/>
    <w:rsid w:val="00BB1AF8"/>
    <w:rsid w:val="00BB2E2A"/>
    <w:rsid w:val="00BB4B39"/>
    <w:rsid w:val="00BC3515"/>
    <w:rsid w:val="00BC59C2"/>
    <w:rsid w:val="00BD02CC"/>
    <w:rsid w:val="00BD22C7"/>
    <w:rsid w:val="00BD277B"/>
    <w:rsid w:val="00BD530D"/>
    <w:rsid w:val="00BE205B"/>
    <w:rsid w:val="00BE264E"/>
    <w:rsid w:val="00BE4E80"/>
    <w:rsid w:val="00BE68B4"/>
    <w:rsid w:val="00C029B6"/>
    <w:rsid w:val="00C03B0F"/>
    <w:rsid w:val="00C03E68"/>
    <w:rsid w:val="00C05139"/>
    <w:rsid w:val="00C124B7"/>
    <w:rsid w:val="00C16AB3"/>
    <w:rsid w:val="00C17224"/>
    <w:rsid w:val="00C17685"/>
    <w:rsid w:val="00C20CBD"/>
    <w:rsid w:val="00C223A5"/>
    <w:rsid w:val="00C23A93"/>
    <w:rsid w:val="00C23BCF"/>
    <w:rsid w:val="00C2546E"/>
    <w:rsid w:val="00C2648A"/>
    <w:rsid w:val="00C2711D"/>
    <w:rsid w:val="00C275B4"/>
    <w:rsid w:val="00C310A0"/>
    <w:rsid w:val="00C351DB"/>
    <w:rsid w:val="00C36A88"/>
    <w:rsid w:val="00C44141"/>
    <w:rsid w:val="00C53EEF"/>
    <w:rsid w:val="00C55A01"/>
    <w:rsid w:val="00C56A39"/>
    <w:rsid w:val="00C57DD6"/>
    <w:rsid w:val="00C607D5"/>
    <w:rsid w:val="00C62A8F"/>
    <w:rsid w:val="00C634E0"/>
    <w:rsid w:val="00C671BC"/>
    <w:rsid w:val="00C70919"/>
    <w:rsid w:val="00C759E4"/>
    <w:rsid w:val="00C75BEC"/>
    <w:rsid w:val="00C80D96"/>
    <w:rsid w:val="00C83560"/>
    <w:rsid w:val="00C836E3"/>
    <w:rsid w:val="00C83A19"/>
    <w:rsid w:val="00C8527E"/>
    <w:rsid w:val="00C855D2"/>
    <w:rsid w:val="00C85E96"/>
    <w:rsid w:val="00C86FBD"/>
    <w:rsid w:val="00C9128F"/>
    <w:rsid w:val="00C91666"/>
    <w:rsid w:val="00C9219D"/>
    <w:rsid w:val="00C923D5"/>
    <w:rsid w:val="00C94E84"/>
    <w:rsid w:val="00CA0D9F"/>
    <w:rsid w:val="00CA18FB"/>
    <w:rsid w:val="00CA1BD1"/>
    <w:rsid w:val="00CA1CEF"/>
    <w:rsid w:val="00CA729A"/>
    <w:rsid w:val="00CB030A"/>
    <w:rsid w:val="00CB125C"/>
    <w:rsid w:val="00CB455B"/>
    <w:rsid w:val="00CB4D87"/>
    <w:rsid w:val="00CC4E6E"/>
    <w:rsid w:val="00CC6E0A"/>
    <w:rsid w:val="00CC7617"/>
    <w:rsid w:val="00CC7935"/>
    <w:rsid w:val="00CC7E11"/>
    <w:rsid w:val="00CD17D1"/>
    <w:rsid w:val="00CD20F9"/>
    <w:rsid w:val="00CD66FB"/>
    <w:rsid w:val="00CD67D5"/>
    <w:rsid w:val="00CE6D2A"/>
    <w:rsid w:val="00CE70E4"/>
    <w:rsid w:val="00CF0889"/>
    <w:rsid w:val="00CF2156"/>
    <w:rsid w:val="00CF41C5"/>
    <w:rsid w:val="00CF4D7B"/>
    <w:rsid w:val="00CF6914"/>
    <w:rsid w:val="00CF7F30"/>
    <w:rsid w:val="00D003AF"/>
    <w:rsid w:val="00D013A7"/>
    <w:rsid w:val="00D049C3"/>
    <w:rsid w:val="00D062A5"/>
    <w:rsid w:val="00D07715"/>
    <w:rsid w:val="00D106FE"/>
    <w:rsid w:val="00D10ED3"/>
    <w:rsid w:val="00D125E8"/>
    <w:rsid w:val="00D12D3B"/>
    <w:rsid w:val="00D13D7B"/>
    <w:rsid w:val="00D14535"/>
    <w:rsid w:val="00D15FDA"/>
    <w:rsid w:val="00D161B7"/>
    <w:rsid w:val="00D21A22"/>
    <w:rsid w:val="00D21ED8"/>
    <w:rsid w:val="00D22A32"/>
    <w:rsid w:val="00D23012"/>
    <w:rsid w:val="00D26EC1"/>
    <w:rsid w:val="00D2709A"/>
    <w:rsid w:val="00D30569"/>
    <w:rsid w:val="00D31F30"/>
    <w:rsid w:val="00D31F45"/>
    <w:rsid w:val="00D335BB"/>
    <w:rsid w:val="00D34B05"/>
    <w:rsid w:val="00D37504"/>
    <w:rsid w:val="00D37996"/>
    <w:rsid w:val="00D4725F"/>
    <w:rsid w:val="00D47EAE"/>
    <w:rsid w:val="00D54091"/>
    <w:rsid w:val="00D54B9A"/>
    <w:rsid w:val="00D54F2F"/>
    <w:rsid w:val="00D557F5"/>
    <w:rsid w:val="00D61100"/>
    <w:rsid w:val="00D61C45"/>
    <w:rsid w:val="00D62AEF"/>
    <w:rsid w:val="00D62CE1"/>
    <w:rsid w:val="00D64DD6"/>
    <w:rsid w:val="00D6587C"/>
    <w:rsid w:val="00D72C4E"/>
    <w:rsid w:val="00D756CA"/>
    <w:rsid w:val="00D77713"/>
    <w:rsid w:val="00D7798A"/>
    <w:rsid w:val="00D82490"/>
    <w:rsid w:val="00D8307B"/>
    <w:rsid w:val="00D8327C"/>
    <w:rsid w:val="00D836F7"/>
    <w:rsid w:val="00D84645"/>
    <w:rsid w:val="00D864F8"/>
    <w:rsid w:val="00D879A3"/>
    <w:rsid w:val="00D93123"/>
    <w:rsid w:val="00D931C8"/>
    <w:rsid w:val="00DA527C"/>
    <w:rsid w:val="00DA5B6B"/>
    <w:rsid w:val="00DA700C"/>
    <w:rsid w:val="00DB2EF0"/>
    <w:rsid w:val="00DB4640"/>
    <w:rsid w:val="00DB72D0"/>
    <w:rsid w:val="00DC44F4"/>
    <w:rsid w:val="00DD027E"/>
    <w:rsid w:val="00DD0447"/>
    <w:rsid w:val="00DD05BB"/>
    <w:rsid w:val="00DD688C"/>
    <w:rsid w:val="00DE2783"/>
    <w:rsid w:val="00DE27B8"/>
    <w:rsid w:val="00DE3D55"/>
    <w:rsid w:val="00DE5707"/>
    <w:rsid w:val="00DE70C6"/>
    <w:rsid w:val="00DF0DB1"/>
    <w:rsid w:val="00DF21A8"/>
    <w:rsid w:val="00DF3A84"/>
    <w:rsid w:val="00DF43B0"/>
    <w:rsid w:val="00DF7C6E"/>
    <w:rsid w:val="00E01663"/>
    <w:rsid w:val="00E01A46"/>
    <w:rsid w:val="00E04FDE"/>
    <w:rsid w:val="00E07A39"/>
    <w:rsid w:val="00E104EF"/>
    <w:rsid w:val="00E125CB"/>
    <w:rsid w:val="00E13C7D"/>
    <w:rsid w:val="00E13EDF"/>
    <w:rsid w:val="00E146EE"/>
    <w:rsid w:val="00E165C9"/>
    <w:rsid w:val="00E17165"/>
    <w:rsid w:val="00E202E6"/>
    <w:rsid w:val="00E21B3E"/>
    <w:rsid w:val="00E21F7E"/>
    <w:rsid w:val="00E224C3"/>
    <w:rsid w:val="00E22BB4"/>
    <w:rsid w:val="00E23B83"/>
    <w:rsid w:val="00E23FD1"/>
    <w:rsid w:val="00E25D87"/>
    <w:rsid w:val="00E25F5A"/>
    <w:rsid w:val="00E27377"/>
    <w:rsid w:val="00E300EC"/>
    <w:rsid w:val="00E31E46"/>
    <w:rsid w:val="00E332F5"/>
    <w:rsid w:val="00E34AE2"/>
    <w:rsid w:val="00E37601"/>
    <w:rsid w:val="00E42235"/>
    <w:rsid w:val="00E43B3E"/>
    <w:rsid w:val="00E4414C"/>
    <w:rsid w:val="00E443BA"/>
    <w:rsid w:val="00E45FB7"/>
    <w:rsid w:val="00E470CE"/>
    <w:rsid w:val="00E50F94"/>
    <w:rsid w:val="00E528C9"/>
    <w:rsid w:val="00E5462E"/>
    <w:rsid w:val="00E62AD0"/>
    <w:rsid w:val="00E65605"/>
    <w:rsid w:val="00E65AFF"/>
    <w:rsid w:val="00E6767D"/>
    <w:rsid w:val="00E70600"/>
    <w:rsid w:val="00E7411A"/>
    <w:rsid w:val="00E77A83"/>
    <w:rsid w:val="00E85972"/>
    <w:rsid w:val="00E90E9C"/>
    <w:rsid w:val="00E9512C"/>
    <w:rsid w:val="00EA0077"/>
    <w:rsid w:val="00EA0E38"/>
    <w:rsid w:val="00EA1872"/>
    <w:rsid w:val="00EA604E"/>
    <w:rsid w:val="00EA6536"/>
    <w:rsid w:val="00EA7167"/>
    <w:rsid w:val="00EB0026"/>
    <w:rsid w:val="00EB0384"/>
    <w:rsid w:val="00EB39F8"/>
    <w:rsid w:val="00EB3AE8"/>
    <w:rsid w:val="00EB6196"/>
    <w:rsid w:val="00EB67F0"/>
    <w:rsid w:val="00EB6B0C"/>
    <w:rsid w:val="00EB6EFA"/>
    <w:rsid w:val="00EB6F46"/>
    <w:rsid w:val="00EC058C"/>
    <w:rsid w:val="00EC1BDE"/>
    <w:rsid w:val="00EC1F4B"/>
    <w:rsid w:val="00EC2AD3"/>
    <w:rsid w:val="00ED1413"/>
    <w:rsid w:val="00ED1663"/>
    <w:rsid w:val="00ED50F5"/>
    <w:rsid w:val="00ED6BE1"/>
    <w:rsid w:val="00ED7099"/>
    <w:rsid w:val="00ED7757"/>
    <w:rsid w:val="00EE027B"/>
    <w:rsid w:val="00EE31DF"/>
    <w:rsid w:val="00EE7916"/>
    <w:rsid w:val="00EF01F1"/>
    <w:rsid w:val="00EF1C6E"/>
    <w:rsid w:val="00EF2C80"/>
    <w:rsid w:val="00EF4D3B"/>
    <w:rsid w:val="00EF6A34"/>
    <w:rsid w:val="00EF7579"/>
    <w:rsid w:val="00F00BE0"/>
    <w:rsid w:val="00F016BD"/>
    <w:rsid w:val="00F026F0"/>
    <w:rsid w:val="00F0680A"/>
    <w:rsid w:val="00F06ED0"/>
    <w:rsid w:val="00F12013"/>
    <w:rsid w:val="00F12999"/>
    <w:rsid w:val="00F13822"/>
    <w:rsid w:val="00F14565"/>
    <w:rsid w:val="00F14A70"/>
    <w:rsid w:val="00F175A5"/>
    <w:rsid w:val="00F230F1"/>
    <w:rsid w:val="00F27B8D"/>
    <w:rsid w:val="00F304FB"/>
    <w:rsid w:val="00F313F8"/>
    <w:rsid w:val="00F315AB"/>
    <w:rsid w:val="00F33F07"/>
    <w:rsid w:val="00F35871"/>
    <w:rsid w:val="00F35D52"/>
    <w:rsid w:val="00F35F8C"/>
    <w:rsid w:val="00F36C93"/>
    <w:rsid w:val="00F373E1"/>
    <w:rsid w:val="00F42574"/>
    <w:rsid w:val="00F45257"/>
    <w:rsid w:val="00F45CA2"/>
    <w:rsid w:val="00F45D78"/>
    <w:rsid w:val="00F46154"/>
    <w:rsid w:val="00F46AD5"/>
    <w:rsid w:val="00F47DCD"/>
    <w:rsid w:val="00F50CA4"/>
    <w:rsid w:val="00F50CE7"/>
    <w:rsid w:val="00F51438"/>
    <w:rsid w:val="00F5301A"/>
    <w:rsid w:val="00F549E7"/>
    <w:rsid w:val="00F5550D"/>
    <w:rsid w:val="00F618BB"/>
    <w:rsid w:val="00F6302F"/>
    <w:rsid w:val="00F66DF4"/>
    <w:rsid w:val="00F67625"/>
    <w:rsid w:val="00F76B14"/>
    <w:rsid w:val="00F81487"/>
    <w:rsid w:val="00F85F21"/>
    <w:rsid w:val="00F90CF5"/>
    <w:rsid w:val="00F91AD8"/>
    <w:rsid w:val="00F922B1"/>
    <w:rsid w:val="00FA1CBD"/>
    <w:rsid w:val="00FA56EF"/>
    <w:rsid w:val="00FA5D99"/>
    <w:rsid w:val="00FA6505"/>
    <w:rsid w:val="00FA72F6"/>
    <w:rsid w:val="00FB10A3"/>
    <w:rsid w:val="00FB36D4"/>
    <w:rsid w:val="00FB3B0F"/>
    <w:rsid w:val="00FB510B"/>
    <w:rsid w:val="00FB5D1B"/>
    <w:rsid w:val="00FB75F9"/>
    <w:rsid w:val="00FB7C5A"/>
    <w:rsid w:val="00FC1C97"/>
    <w:rsid w:val="00FC26BF"/>
    <w:rsid w:val="00FC423E"/>
    <w:rsid w:val="00FC523E"/>
    <w:rsid w:val="00FC6CE0"/>
    <w:rsid w:val="00FC7232"/>
    <w:rsid w:val="00FC7525"/>
    <w:rsid w:val="00FD1A30"/>
    <w:rsid w:val="00FD418F"/>
    <w:rsid w:val="00FD4365"/>
    <w:rsid w:val="00FD4D39"/>
    <w:rsid w:val="00FD4F52"/>
    <w:rsid w:val="00FD532F"/>
    <w:rsid w:val="00FD7571"/>
    <w:rsid w:val="00FE1EF3"/>
    <w:rsid w:val="00FE315D"/>
    <w:rsid w:val="00FE3182"/>
    <w:rsid w:val="00FE41E1"/>
    <w:rsid w:val="00FE55F1"/>
    <w:rsid w:val="00FF213C"/>
    <w:rsid w:val="00FF4D81"/>
    <w:rsid w:val="00FF75F5"/>
    <w:rsid w:val="01383857"/>
    <w:rsid w:val="01592D24"/>
    <w:rsid w:val="016E0B09"/>
    <w:rsid w:val="01775986"/>
    <w:rsid w:val="01785895"/>
    <w:rsid w:val="018E7ABF"/>
    <w:rsid w:val="019010FB"/>
    <w:rsid w:val="0198796C"/>
    <w:rsid w:val="01A32E4B"/>
    <w:rsid w:val="01C133B8"/>
    <w:rsid w:val="01D55937"/>
    <w:rsid w:val="020F2171"/>
    <w:rsid w:val="02367291"/>
    <w:rsid w:val="025253F1"/>
    <w:rsid w:val="02653610"/>
    <w:rsid w:val="027358B1"/>
    <w:rsid w:val="029F2B0F"/>
    <w:rsid w:val="02A3645B"/>
    <w:rsid w:val="02E51BA5"/>
    <w:rsid w:val="02F778BD"/>
    <w:rsid w:val="03121468"/>
    <w:rsid w:val="034F088A"/>
    <w:rsid w:val="03787434"/>
    <w:rsid w:val="03822C68"/>
    <w:rsid w:val="039F0FD3"/>
    <w:rsid w:val="039F2BBC"/>
    <w:rsid w:val="03BD5DB9"/>
    <w:rsid w:val="03D96AC5"/>
    <w:rsid w:val="04100867"/>
    <w:rsid w:val="0428358C"/>
    <w:rsid w:val="04975766"/>
    <w:rsid w:val="04C0160F"/>
    <w:rsid w:val="04EE4228"/>
    <w:rsid w:val="05071955"/>
    <w:rsid w:val="050B36B6"/>
    <w:rsid w:val="050E1437"/>
    <w:rsid w:val="051E3875"/>
    <w:rsid w:val="0533125B"/>
    <w:rsid w:val="054F4EE9"/>
    <w:rsid w:val="05A17F9A"/>
    <w:rsid w:val="067A229F"/>
    <w:rsid w:val="06AB5586"/>
    <w:rsid w:val="06CB44B7"/>
    <w:rsid w:val="06D51082"/>
    <w:rsid w:val="06EE20B1"/>
    <w:rsid w:val="07385EDA"/>
    <w:rsid w:val="07566DD2"/>
    <w:rsid w:val="075920B8"/>
    <w:rsid w:val="075B63E2"/>
    <w:rsid w:val="07606D2F"/>
    <w:rsid w:val="079933BD"/>
    <w:rsid w:val="07B1625B"/>
    <w:rsid w:val="07CD303B"/>
    <w:rsid w:val="07D96E9C"/>
    <w:rsid w:val="07DE6EE6"/>
    <w:rsid w:val="08280597"/>
    <w:rsid w:val="08506A31"/>
    <w:rsid w:val="08534B88"/>
    <w:rsid w:val="08631E1C"/>
    <w:rsid w:val="08AD6170"/>
    <w:rsid w:val="08CD7FF3"/>
    <w:rsid w:val="08DA4AFD"/>
    <w:rsid w:val="08E0397B"/>
    <w:rsid w:val="08F062C2"/>
    <w:rsid w:val="090B19E1"/>
    <w:rsid w:val="0910646C"/>
    <w:rsid w:val="099B225F"/>
    <w:rsid w:val="09AC4057"/>
    <w:rsid w:val="09AC6517"/>
    <w:rsid w:val="09D502EE"/>
    <w:rsid w:val="09E15530"/>
    <w:rsid w:val="09E31818"/>
    <w:rsid w:val="09ED54BE"/>
    <w:rsid w:val="09FB0461"/>
    <w:rsid w:val="09FE69CD"/>
    <w:rsid w:val="0A193E85"/>
    <w:rsid w:val="0A1B58FF"/>
    <w:rsid w:val="0A3149B2"/>
    <w:rsid w:val="0A3F7E61"/>
    <w:rsid w:val="0A667EEA"/>
    <w:rsid w:val="0A6956B1"/>
    <w:rsid w:val="0A6D7B49"/>
    <w:rsid w:val="0ABA7CC7"/>
    <w:rsid w:val="0AD11D45"/>
    <w:rsid w:val="0AE903B8"/>
    <w:rsid w:val="0AEB13EA"/>
    <w:rsid w:val="0B0D3A58"/>
    <w:rsid w:val="0B1873A5"/>
    <w:rsid w:val="0B1E68D0"/>
    <w:rsid w:val="0B273A68"/>
    <w:rsid w:val="0B5A2835"/>
    <w:rsid w:val="0B741F22"/>
    <w:rsid w:val="0B7462A1"/>
    <w:rsid w:val="0B807F85"/>
    <w:rsid w:val="0BA16641"/>
    <w:rsid w:val="0BF308A5"/>
    <w:rsid w:val="0C0A01CF"/>
    <w:rsid w:val="0C575418"/>
    <w:rsid w:val="0C7D6FC1"/>
    <w:rsid w:val="0C91214B"/>
    <w:rsid w:val="0CAC6BB6"/>
    <w:rsid w:val="0CC34F37"/>
    <w:rsid w:val="0CC745BC"/>
    <w:rsid w:val="0CD7646E"/>
    <w:rsid w:val="0CEA1C84"/>
    <w:rsid w:val="0D432714"/>
    <w:rsid w:val="0D6172C3"/>
    <w:rsid w:val="0D623DCD"/>
    <w:rsid w:val="0D864353"/>
    <w:rsid w:val="0DD505F0"/>
    <w:rsid w:val="0DEA5E6A"/>
    <w:rsid w:val="0DFC36FB"/>
    <w:rsid w:val="0E412869"/>
    <w:rsid w:val="0E4E52B6"/>
    <w:rsid w:val="0E935B43"/>
    <w:rsid w:val="0EB360A5"/>
    <w:rsid w:val="0EB37705"/>
    <w:rsid w:val="0EF26F3F"/>
    <w:rsid w:val="0F0D26CC"/>
    <w:rsid w:val="0F184ADA"/>
    <w:rsid w:val="0F6074D1"/>
    <w:rsid w:val="0FA1669B"/>
    <w:rsid w:val="0FAB6616"/>
    <w:rsid w:val="103D0A77"/>
    <w:rsid w:val="108A1FD2"/>
    <w:rsid w:val="10935FFB"/>
    <w:rsid w:val="10AF6F65"/>
    <w:rsid w:val="10ED470B"/>
    <w:rsid w:val="10EF538B"/>
    <w:rsid w:val="11312DC0"/>
    <w:rsid w:val="114701EB"/>
    <w:rsid w:val="115710A5"/>
    <w:rsid w:val="118848CF"/>
    <w:rsid w:val="119D30FB"/>
    <w:rsid w:val="11AD411D"/>
    <w:rsid w:val="11C11380"/>
    <w:rsid w:val="11C308A5"/>
    <w:rsid w:val="11EA77AB"/>
    <w:rsid w:val="11ED53C2"/>
    <w:rsid w:val="11F1426F"/>
    <w:rsid w:val="11F23B24"/>
    <w:rsid w:val="11F6537E"/>
    <w:rsid w:val="12092462"/>
    <w:rsid w:val="12095B0B"/>
    <w:rsid w:val="120F2891"/>
    <w:rsid w:val="120F4DC7"/>
    <w:rsid w:val="121D403F"/>
    <w:rsid w:val="123A4835"/>
    <w:rsid w:val="12462E0D"/>
    <w:rsid w:val="124A5D4F"/>
    <w:rsid w:val="124C5748"/>
    <w:rsid w:val="129F7C67"/>
    <w:rsid w:val="12AB5F5E"/>
    <w:rsid w:val="13380DD8"/>
    <w:rsid w:val="133F5A2C"/>
    <w:rsid w:val="1344521A"/>
    <w:rsid w:val="1364253C"/>
    <w:rsid w:val="13645ACB"/>
    <w:rsid w:val="139660DA"/>
    <w:rsid w:val="13E957B5"/>
    <w:rsid w:val="13F54664"/>
    <w:rsid w:val="13FB6CCC"/>
    <w:rsid w:val="14412BB2"/>
    <w:rsid w:val="146F2D0E"/>
    <w:rsid w:val="147E37E4"/>
    <w:rsid w:val="14802B78"/>
    <w:rsid w:val="14B4551F"/>
    <w:rsid w:val="14B53FC8"/>
    <w:rsid w:val="14C85D3C"/>
    <w:rsid w:val="14F55232"/>
    <w:rsid w:val="15900795"/>
    <w:rsid w:val="159C1141"/>
    <w:rsid w:val="15A078BC"/>
    <w:rsid w:val="15AE733A"/>
    <w:rsid w:val="15F01C81"/>
    <w:rsid w:val="15FE6297"/>
    <w:rsid w:val="16214067"/>
    <w:rsid w:val="16AD1EB1"/>
    <w:rsid w:val="16AE1B7F"/>
    <w:rsid w:val="16B87915"/>
    <w:rsid w:val="16EE0D13"/>
    <w:rsid w:val="16F93153"/>
    <w:rsid w:val="172A1253"/>
    <w:rsid w:val="1765194C"/>
    <w:rsid w:val="176E0FF7"/>
    <w:rsid w:val="1786630C"/>
    <w:rsid w:val="17D91621"/>
    <w:rsid w:val="180475D9"/>
    <w:rsid w:val="18073617"/>
    <w:rsid w:val="182C0324"/>
    <w:rsid w:val="184A49C4"/>
    <w:rsid w:val="18904498"/>
    <w:rsid w:val="18930B39"/>
    <w:rsid w:val="189A77AB"/>
    <w:rsid w:val="18A3471E"/>
    <w:rsid w:val="18A478A1"/>
    <w:rsid w:val="18C312AA"/>
    <w:rsid w:val="18E60B80"/>
    <w:rsid w:val="191D7408"/>
    <w:rsid w:val="192B4DF7"/>
    <w:rsid w:val="192C7300"/>
    <w:rsid w:val="1955558A"/>
    <w:rsid w:val="195E1EBD"/>
    <w:rsid w:val="199E0BA8"/>
    <w:rsid w:val="19BA6371"/>
    <w:rsid w:val="19F90D7B"/>
    <w:rsid w:val="19FE6C93"/>
    <w:rsid w:val="1A4964D8"/>
    <w:rsid w:val="1A5427F9"/>
    <w:rsid w:val="1A6721BA"/>
    <w:rsid w:val="1A824BC8"/>
    <w:rsid w:val="1ACB751D"/>
    <w:rsid w:val="1AF6583C"/>
    <w:rsid w:val="1B1F55DD"/>
    <w:rsid w:val="1B690E09"/>
    <w:rsid w:val="1B7B66B5"/>
    <w:rsid w:val="1B8D62AF"/>
    <w:rsid w:val="1B9946BD"/>
    <w:rsid w:val="1C042788"/>
    <w:rsid w:val="1C225F98"/>
    <w:rsid w:val="1C272EF4"/>
    <w:rsid w:val="1C71253C"/>
    <w:rsid w:val="1C961A20"/>
    <w:rsid w:val="1D320A97"/>
    <w:rsid w:val="1D3541D9"/>
    <w:rsid w:val="1D362930"/>
    <w:rsid w:val="1D3D1384"/>
    <w:rsid w:val="1D3E6FE0"/>
    <w:rsid w:val="1D412D21"/>
    <w:rsid w:val="1D4F2685"/>
    <w:rsid w:val="1D5C4C57"/>
    <w:rsid w:val="1DBF625B"/>
    <w:rsid w:val="1DD460DE"/>
    <w:rsid w:val="1E255CEC"/>
    <w:rsid w:val="1E3E2D25"/>
    <w:rsid w:val="1E4507E4"/>
    <w:rsid w:val="1E6210B8"/>
    <w:rsid w:val="1E7243D6"/>
    <w:rsid w:val="1EC014EF"/>
    <w:rsid w:val="1EC34B34"/>
    <w:rsid w:val="1EC664F8"/>
    <w:rsid w:val="1ECB0634"/>
    <w:rsid w:val="1EDA6951"/>
    <w:rsid w:val="1F6D45D1"/>
    <w:rsid w:val="1FB22CB4"/>
    <w:rsid w:val="1FCF7B92"/>
    <w:rsid w:val="1FD72A8C"/>
    <w:rsid w:val="1FF91559"/>
    <w:rsid w:val="200B01D6"/>
    <w:rsid w:val="200D473C"/>
    <w:rsid w:val="203F20B9"/>
    <w:rsid w:val="21134186"/>
    <w:rsid w:val="21A3266E"/>
    <w:rsid w:val="21DC146A"/>
    <w:rsid w:val="22155EFF"/>
    <w:rsid w:val="223C14AF"/>
    <w:rsid w:val="22574289"/>
    <w:rsid w:val="226006F6"/>
    <w:rsid w:val="22E03FFA"/>
    <w:rsid w:val="23144F8F"/>
    <w:rsid w:val="231E34E9"/>
    <w:rsid w:val="23207452"/>
    <w:rsid w:val="2364528E"/>
    <w:rsid w:val="237B5F81"/>
    <w:rsid w:val="2395665B"/>
    <w:rsid w:val="23BA5744"/>
    <w:rsid w:val="24125894"/>
    <w:rsid w:val="2428424E"/>
    <w:rsid w:val="24753143"/>
    <w:rsid w:val="24830D8E"/>
    <w:rsid w:val="24903D1A"/>
    <w:rsid w:val="24AB2998"/>
    <w:rsid w:val="24BF523E"/>
    <w:rsid w:val="24D25358"/>
    <w:rsid w:val="24D5090F"/>
    <w:rsid w:val="24F36825"/>
    <w:rsid w:val="24FC509C"/>
    <w:rsid w:val="25083E1A"/>
    <w:rsid w:val="25445D9E"/>
    <w:rsid w:val="255967FF"/>
    <w:rsid w:val="255C7D41"/>
    <w:rsid w:val="25880026"/>
    <w:rsid w:val="2598432A"/>
    <w:rsid w:val="25BD5723"/>
    <w:rsid w:val="25D47DB0"/>
    <w:rsid w:val="260D7BD3"/>
    <w:rsid w:val="261D251A"/>
    <w:rsid w:val="263D4A6F"/>
    <w:rsid w:val="2654573D"/>
    <w:rsid w:val="26615359"/>
    <w:rsid w:val="26850B84"/>
    <w:rsid w:val="26950446"/>
    <w:rsid w:val="26970E99"/>
    <w:rsid w:val="26B6795F"/>
    <w:rsid w:val="26BC2D3E"/>
    <w:rsid w:val="26CF57CC"/>
    <w:rsid w:val="26EA2454"/>
    <w:rsid w:val="27022042"/>
    <w:rsid w:val="273174D3"/>
    <w:rsid w:val="276C29FF"/>
    <w:rsid w:val="278B181E"/>
    <w:rsid w:val="279A570E"/>
    <w:rsid w:val="27AB0FDC"/>
    <w:rsid w:val="27B13177"/>
    <w:rsid w:val="27B755B5"/>
    <w:rsid w:val="27C359C2"/>
    <w:rsid w:val="28100160"/>
    <w:rsid w:val="281629A6"/>
    <w:rsid w:val="28390F72"/>
    <w:rsid w:val="28750E54"/>
    <w:rsid w:val="28797E13"/>
    <w:rsid w:val="28855A7D"/>
    <w:rsid w:val="288A2404"/>
    <w:rsid w:val="28917B3F"/>
    <w:rsid w:val="28E16F67"/>
    <w:rsid w:val="28E17E49"/>
    <w:rsid w:val="292F6147"/>
    <w:rsid w:val="293079D5"/>
    <w:rsid w:val="293C44BE"/>
    <w:rsid w:val="294E5B15"/>
    <w:rsid w:val="298B06C1"/>
    <w:rsid w:val="29DF68B2"/>
    <w:rsid w:val="29EB624B"/>
    <w:rsid w:val="29ED4864"/>
    <w:rsid w:val="2A193216"/>
    <w:rsid w:val="2A2623A0"/>
    <w:rsid w:val="2A472991"/>
    <w:rsid w:val="2A665C26"/>
    <w:rsid w:val="2ABF25ED"/>
    <w:rsid w:val="2AC92221"/>
    <w:rsid w:val="2AE926E1"/>
    <w:rsid w:val="2B2A3917"/>
    <w:rsid w:val="2B9D1DDD"/>
    <w:rsid w:val="2BB434F9"/>
    <w:rsid w:val="2BBE7165"/>
    <w:rsid w:val="2BE95450"/>
    <w:rsid w:val="2C0440A1"/>
    <w:rsid w:val="2C2643AF"/>
    <w:rsid w:val="2C4508BB"/>
    <w:rsid w:val="2C88526B"/>
    <w:rsid w:val="2C894B83"/>
    <w:rsid w:val="2C9E3659"/>
    <w:rsid w:val="2CC10E10"/>
    <w:rsid w:val="2CC76232"/>
    <w:rsid w:val="2CD0428C"/>
    <w:rsid w:val="2CF271A5"/>
    <w:rsid w:val="2CF74A74"/>
    <w:rsid w:val="2D395076"/>
    <w:rsid w:val="2D426A09"/>
    <w:rsid w:val="2D515053"/>
    <w:rsid w:val="2D69305E"/>
    <w:rsid w:val="2D8400D7"/>
    <w:rsid w:val="2D851D9A"/>
    <w:rsid w:val="2D8E4101"/>
    <w:rsid w:val="2DDA4C4F"/>
    <w:rsid w:val="2DF74948"/>
    <w:rsid w:val="2EDE0726"/>
    <w:rsid w:val="2F1872F5"/>
    <w:rsid w:val="2F3157E3"/>
    <w:rsid w:val="2F46151A"/>
    <w:rsid w:val="2F4E5A67"/>
    <w:rsid w:val="2F6D1EE9"/>
    <w:rsid w:val="2F7B10A8"/>
    <w:rsid w:val="2FAF2723"/>
    <w:rsid w:val="2FCE7999"/>
    <w:rsid w:val="2FE7396B"/>
    <w:rsid w:val="300D7D4A"/>
    <w:rsid w:val="301474F6"/>
    <w:rsid w:val="306E1188"/>
    <w:rsid w:val="308A301A"/>
    <w:rsid w:val="30970570"/>
    <w:rsid w:val="312F572E"/>
    <w:rsid w:val="31810037"/>
    <w:rsid w:val="31C73764"/>
    <w:rsid w:val="31FE7C49"/>
    <w:rsid w:val="32113126"/>
    <w:rsid w:val="32314B24"/>
    <w:rsid w:val="324463DD"/>
    <w:rsid w:val="32756F96"/>
    <w:rsid w:val="329D78CD"/>
    <w:rsid w:val="32E64696"/>
    <w:rsid w:val="3325157B"/>
    <w:rsid w:val="33357390"/>
    <w:rsid w:val="333A4431"/>
    <w:rsid w:val="339F1682"/>
    <w:rsid w:val="33AE3248"/>
    <w:rsid w:val="33C25582"/>
    <w:rsid w:val="340947B5"/>
    <w:rsid w:val="34140F8E"/>
    <w:rsid w:val="34261DC0"/>
    <w:rsid w:val="346644D8"/>
    <w:rsid w:val="34A47562"/>
    <w:rsid w:val="34D84DA0"/>
    <w:rsid w:val="352275C5"/>
    <w:rsid w:val="358B774D"/>
    <w:rsid w:val="35B6520A"/>
    <w:rsid w:val="360607D9"/>
    <w:rsid w:val="36190C5C"/>
    <w:rsid w:val="362163C3"/>
    <w:rsid w:val="363D616D"/>
    <w:rsid w:val="366471B1"/>
    <w:rsid w:val="3680580C"/>
    <w:rsid w:val="369C6266"/>
    <w:rsid w:val="36A55EBB"/>
    <w:rsid w:val="36C03FAB"/>
    <w:rsid w:val="36DC20F9"/>
    <w:rsid w:val="36F3754F"/>
    <w:rsid w:val="37365FF3"/>
    <w:rsid w:val="37545FBF"/>
    <w:rsid w:val="375A4FA8"/>
    <w:rsid w:val="37977513"/>
    <w:rsid w:val="37AC2442"/>
    <w:rsid w:val="383969D2"/>
    <w:rsid w:val="384B59D9"/>
    <w:rsid w:val="385A07E5"/>
    <w:rsid w:val="389E008F"/>
    <w:rsid w:val="38A94C99"/>
    <w:rsid w:val="38BB6F11"/>
    <w:rsid w:val="38C13CA7"/>
    <w:rsid w:val="38D6246F"/>
    <w:rsid w:val="38F00189"/>
    <w:rsid w:val="390E723A"/>
    <w:rsid w:val="399E1244"/>
    <w:rsid w:val="39CD1D02"/>
    <w:rsid w:val="39E94E9D"/>
    <w:rsid w:val="3A046B5A"/>
    <w:rsid w:val="3A3C70DA"/>
    <w:rsid w:val="3A5016BE"/>
    <w:rsid w:val="3A7863DC"/>
    <w:rsid w:val="3A8E5D10"/>
    <w:rsid w:val="3AE11A4E"/>
    <w:rsid w:val="3B10495E"/>
    <w:rsid w:val="3B2A4FB6"/>
    <w:rsid w:val="3B302DEE"/>
    <w:rsid w:val="3B572F27"/>
    <w:rsid w:val="3B762DC4"/>
    <w:rsid w:val="3B932D9C"/>
    <w:rsid w:val="3BA867FF"/>
    <w:rsid w:val="3BB20CD6"/>
    <w:rsid w:val="3BD26834"/>
    <w:rsid w:val="3BD829F6"/>
    <w:rsid w:val="3BF10E40"/>
    <w:rsid w:val="3C19288C"/>
    <w:rsid w:val="3C222812"/>
    <w:rsid w:val="3C271EEA"/>
    <w:rsid w:val="3C5D5F13"/>
    <w:rsid w:val="3C6975F1"/>
    <w:rsid w:val="3C925B83"/>
    <w:rsid w:val="3C9F0E35"/>
    <w:rsid w:val="3CB50EC2"/>
    <w:rsid w:val="3CBA43FC"/>
    <w:rsid w:val="3CCE5FE8"/>
    <w:rsid w:val="3CED1E8F"/>
    <w:rsid w:val="3D0D2931"/>
    <w:rsid w:val="3D1D5333"/>
    <w:rsid w:val="3D573AAE"/>
    <w:rsid w:val="3D9C6D92"/>
    <w:rsid w:val="3DC64B81"/>
    <w:rsid w:val="3DDC6AF7"/>
    <w:rsid w:val="3DDD744F"/>
    <w:rsid w:val="3E0E774F"/>
    <w:rsid w:val="3E123DB6"/>
    <w:rsid w:val="3E5F1E94"/>
    <w:rsid w:val="3EC76F3E"/>
    <w:rsid w:val="3EFE0737"/>
    <w:rsid w:val="3F022944"/>
    <w:rsid w:val="3F125943"/>
    <w:rsid w:val="3F164290"/>
    <w:rsid w:val="3F6D347A"/>
    <w:rsid w:val="3F817D6A"/>
    <w:rsid w:val="3FAF4912"/>
    <w:rsid w:val="3FC578FE"/>
    <w:rsid w:val="3FCD5D58"/>
    <w:rsid w:val="3FF45064"/>
    <w:rsid w:val="402137C2"/>
    <w:rsid w:val="406A72FF"/>
    <w:rsid w:val="40CD787E"/>
    <w:rsid w:val="40ED3909"/>
    <w:rsid w:val="410D5CFC"/>
    <w:rsid w:val="4124144E"/>
    <w:rsid w:val="415D6601"/>
    <w:rsid w:val="41656B87"/>
    <w:rsid w:val="41833F81"/>
    <w:rsid w:val="419954CA"/>
    <w:rsid w:val="41C44696"/>
    <w:rsid w:val="41DA5AB9"/>
    <w:rsid w:val="421B7832"/>
    <w:rsid w:val="42254A34"/>
    <w:rsid w:val="42616642"/>
    <w:rsid w:val="427C3B73"/>
    <w:rsid w:val="42825920"/>
    <w:rsid w:val="429462ED"/>
    <w:rsid w:val="42993A57"/>
    <w:rsid w:val="42BC7DDF"/>
    <w:rsid w:val="42BF3972"/>
    <w:rsid w:val="42C46429"/>
    <w:rsid w:val="43076C51"/>
    <w:rsid w:val="430B10CB"/>
    <w:rsid w:val="434124B7"/>
    <w:rsid w:val="437E2698"/>
    <w:rsid w:val="43821E22"/>
    <w:rsid w:val="43AD43B9"/>
    <w:rsid w:val="43AE66F3"/>
    <w:rsid w:val="43BD1F94"/>
    <w:rsid w:val="43DF31BB"/>
    <w:rsid w:val="44036F73"/>
    <w:rsid w:val="441C6C5E"/>
    <w:rsid w:val="44201AAB"/>
    <w:rsid w:val="448A72D9"/>
    <w:rsid w:val="44C850D5"/>
    <w:rsid w:val="44EF1B82"/>
    <w:rsid w:val="45316F53"/>
    <w:rsid w:val="45797C51"/>
    <w:rsid w:val="457D1F7E"/>
    <w:rsid w:val="45A168B6"/>
    <w:rsid w:val="45C04D27"/>
    <w:rsid w:val="45EE4E64"/>
    <w:rsid w:val="45F66C6A"/>
    <w:rsid w:val="460D316A"/>
    <w:rsid w:val="461B2714"/>
    <w:rsid w:val="46D333AA"/>
    <w:rsid w:val="46D449E8"/>
    <w:rsid w:val="46F41301"/>
    <w:rsid w:val="46FC6C97"/>
    <w:rsid w:val="473D2DF8"/>
    <w:rsid w:val="475A1C6D"/>
    <w:rsid w:val="47B45B1C"/>
    <w:rsid w:val="47F64434"/>
    <w:rsid w:val="47F66832"/>
    <w:rsid w:val="484B304F"/>
    <w:rsid w:val="48783DB1"/>
    <w:rsid w:val="488D04EF"/>
    <w:rsid w:val="48AB215E"/>
    <w:rsid w:val="48C73181"/>
    <w:rsid w:val="48FA5C7A"/>
    <w:rsid w:val="490621DE"/>
    <w:rsid w:val="49791E99"/>
    <w:rsid w:val="49A06E6B"/>
    <w:rsid w:val="49FC31C2"/>
    <w:rsid w:val="4A1F0E6C"/>
    <w:rsid w:val="4AB32C50"/>
    <w:rsid w:val="4AC50AF6"/>
    <w:rsid w:val="4B5C7920"/>
    <w:rsid w:val="4B650C34"/>
    <w:rsid w:val="4B807D59"/>
    <w:rsid w:val="4BA72EF2"/>
    <w:rsid w:val="4BC17159"/>
    <w:rsid w:val="4BED171A"/>
    <w:rsid w:val="4C3E203F"/>
    <w:rsid w:val="4C4A2448"/>
    <w:rsid w:val="4C5401F7"/>
    <w:rsid w:val="4C9E55A8"/>
    <w:rsid w:val="4CF6285E"/>
    <w:rsid w:val="4D1A4118"/>
    <w:rsid w:val="4D5A0F14"/>
    <w:rsid w:val="4D6A2F07"/>
    <w:rsid w:val="4D7337B4"/>
    <w:rsid w:val="4DB85FA2"/>
    <w:rsid w:val="4DCD318D"/>
    <w:rsid w:val="4DED52D5"/>
    <w:rsid w:val="4E3B2540"/>
    <w:rsid w:val="4E3B7D01"/>
    <w:rsid w:val="4E941BA6"/>
    <w:rsid w:val="4ECF17A1"/>
    <w:rsid w:val="4EF46BDB"/>
    <w:rsid w:val="4F154421"/>
    <w:rsid w:val="4F2D5A4F"/>
    <w:rsid w:val="4F395A4A"/>
    <w:rsid w:val="4F553502"/>
    <w:rsid w:val="4F642B19"/>
    <w:rsid w:val="4F73779A"/>
    <w:rsid w:val="4F964DF3"/>
    <w:rsid w:val="4FAA6494"/>
    <w:rsid w:val="4FB97DFA"/>
    <w:rsid w:val="4FEA1985"/>
    <w:rsid w:val="50134995"/>
    <w:rsid w:val="50284FEB"/>
    <w:rsid w:val="506439D9"/>
    <w:rsid w:val="50717530"/>
    <w:rsid w:val="50902684"/>
    <w:rsid w:val="50C91EF6"/>
    <w:rsid w:val="50DF56DA"/>
    <w:rsid w:val="50E340B3"/>
    <w:rsid w:val="50FF623F"/>
    <w:rsid w:val="51133520"/>
    <w:rsid w:val="5156107B"/>
    <w:rsid w:val="51651A97"/>
    <w:rsid w:val="516A1F01"/>
    <w:rsid w:val="518031FF"/>
    <w:rsid w:val="51864A75"/>
    <w:rsid w:val="51AB101F"/>
    <w:rsid w:val="523031F5"/>
    <w:rsid w:val="52693681"/>
    <w:rsid w:val="527103FC"/>
    <w:rsid w:val="527D01C9"/>
    <w:rsid w:val="529A792F"/>
    <w:rsid w:val="52A4759B"/>
    <w:rsid w:val="52AB21AA"/>
    <w:rsid w:val="52B35629"/>
    <w:rsid w:val="52D27ABA"/>
    <w:rsid w:val="52D32AFD"/>
    <w:rsid w:val="52D94035"/>
    <w:rsid w:val="532F3403"/>
    <w:rsid w:val="53481136"/>
    <w:rsid w:val="53563CBE"/>
    <w:rsid w:val="539565FD"/>
    <w:rsid w:val="539F3171"/>
    <w:rsid w:val="53BA5446"/>
    <w:rsid w:val="53C51544"/>
    <w:rsid w:val="545C457B"/>
    <w:rsid w:val="547F42E0"/>
    <w:rsid w:val="548C3A21"/>
    <w:rsid w:val="54BB6C0D"/>
    <w:rsid w:val="558973B5"/>
    <w:rsid w:val="558F7AB7"/>
    <w:rsid w:val="55992337"/>
    <w:rsid w:val="55B13FFD"/>
    <w:rsid w:val="55F76BFC"/>
    <w:rsid w:val="56134D15"/>
    <w:rsid w:val="561F1F50"/>
    <w:rsid w:val="56262AA1"/>
    <w:rsid w:val="562812F6"/>
    <w:rsid w:val="562C469D"/>
    <w:rsid w:val="562E2336"/>
    <w:rsid w:val="565F1615"/>
    <w:rsid w:val="570865F9"/>
    <w:rsid w:val="57653154"/>
    <w:rsid w:val="578B1AD9"/>
    <w:rsid w:val="57A6518A"/>
    <w:rsid w:val="585564B8"/>
    <w:rsid w:val="585E41AF"/>
    <w:rsid w:val="587003A5"/>
    <w:rsid w:val="58AC272C"/>
    <w:rsid w:val="58B0420B"/>
    <w:rsid w:val="58D57356"/>
    <w:rsid w:val="58DF6CF4"/>
    <w:rsid w:val="58E03520"/>
    <w:rsid w:val="5904132B"/>
    <w:rsid w:val="59157827"/>
    <w:rsid w:val="59273A16"/>
    <w:rsid w:val="594400A5"/>
    <w:rsid w:val="59460EC7"/>
    <w:rsid w:val="599430C1"/>
    <w:rsid w:val="59B20FE6"/>
    <w:rsid w:val="59C90F05"/>
    <w:rsid w:val="59CB6474"/>
    <w:rsid w:val="59E21D93"/>
    <w:rsid w:val="5A7E011D"/>
    <w:rsid w:val="5A826F1A"/>
    <w:rsid w:val="5A9410D3"/>
    <w:rsid w:val="5A9A3E23"/>
    <w:rsid w:val="5AB23A35"/>
    <w:rsid w:val="5AC7094C"/>
    <w:rsid w:val="5AD964A1"/>
    <w:rsid w:val="5AF413B3"/>
    <w:rsid w:val="5AFD1CC9"/>
    <w:rsid w:val="5B1C2547"/>
    <w:rsid w:val="5B1D472A"/>
    <w:rsid w:val="5B2E31FB"/>
    <w:rsid w:val="5B4F7AA0"/>
    <w:rsid w:val="5B7E1258"/>
    <w:rsid w:val="5BB827ED"/>
    <w:rsid w:val="5C1343CB"/>
    <w:rsid w:val="5C1D3B80"/>
    <w:rsid w:val="5C3914B8"/>
    <w:rsid w:val="5C470DDD"/>
    <w:rsid w:val="5C482A9C"/>
    <w:rsid w:val="5C6D68F5"/>
    <w:rsid w:val="5C791873"/>
    <w:rsid w:val="5C825AD3"/>
    <w:rsid w:val="5C85755D"/>
    <w:rsid w:val="5C9A0D38"/>
    <w:rsid w:val="5CF21D67"/>
    <w:rsid w:val="5D10112F"/>
    <w:rsid w:val="5D4C285E"/>
    <w:rsid w:val="5D7647EC"/>
    <w:rsid w:val="5D8B6E2C"/>
    <w:rsid w:val="5D8F750B"/>
    <w:rsid w:val="5DA6626A"/>
    <w:rsid w:val="5DBA1FF8"/>
    <w:rsid w:val="5DD6310C"/>
    <w:rsid w:val="5E1D3725"/>
    <w:rsid w:val="5E37668B"/>
    <w:rsid w:val="5E805680"/>
    <w:rsid w:val="5E890264"/>
    <w:rsid w:val="5E9C51FA"/>
    <w:rsid w:val="5EC42D73"/>
    <w:rsid w:val="5ED54C52"/>
    <w:rsid w:val="5F92436A"/>
    <w:rsid w:val="5FC26B04"/>
    <w:rsid w:val="5FD8127C"/>
    <w:rsid w:val="5FDB03B7"/>
    <w:rsid w:val="5FFD75BF"/>
    <w:rsid w:val="60135D3A"/>
    <w:rsid w:val="60C346C6"/>
    <w:rsid w:val="60C73328"/>
    <w:rsid w:val="61117AD1"/>
    <w:rsid w:val="61141727"/>
    <w:rsid w:val="61763C29"/>
    <w:rsid w:val="61D41829"/>
    <w:rsid w:val="620D6063"/>
    <w:rsid w:val="622B074C"/>
    <w:rsid w:val="624921AF"/>
    <w:rsid w:val="625E1FC6"/>
    <w:rsid w:val="62B17F4B"/>
    <w:rsid w:val="62B2507E"/>
    <w:rsid w:val="630048F7"/>
    <w:rsid w:val="63112076"/>
    <w:rsid w:val="631678E5"/>
    <w:rsid w:val="63197275"/>
    <w:rsid w:val="63215DB8"/>
    <w:rsid w:val="632757F0"/>
    <w:rsid w:val="6383139C"/>
    <w:rsid w:val="638C4FB2"/>
    <w:rsid w:val="639D7B4A"/>
    <w:rsid w:val="63B36F2F"/>
    <w:rsid w:val="63B77B8E"/>
    <w:rsid w:val="63FE3066"/>
    <w:rsid w:val="64294634"/>
    <w:rsid w:val="64306F5C"/>
    <w:rsid w:val="645079A9"/>
    <w:rsid w:val="64742C21"/>
    <w:rsid w:val="64961973"/>
    <w:rsid w:val="64BE130D"/>
    <w:rsid w:val="64F024BA"/>
    <w:rsid w:val="650A4AEB"/>
    <w:rsid w:val="656B2ABA"/>
    <w:rsid w:val="659D34DE"/>
    <w:rsid w:val="65AE58E4"/>
    <w:rsid w:val="65BC1F28"/>
    <w:rsid w:val="6634682F"/>
    <w:rsid w:val="66430267"/>
    <w:rsid w:val="66477227"/>
    <w:rsid w:val="666E595E"/>
    <w:rsid w:val="668F7750"/>
    <w:rsid w:val="66946BF8"/>
    <w:rsid w:val="66E56F57"/>
    <w:rsid w:val="66EB545F"/>
    <w:rsid w:val="6704656D"/>
    <w:rsid w:val="670D5425"/>
    <w:rsid w:val="67390B1D"/>
    <w:rsid w:val="673E2A14"/>
    <w:rsid w:val="67851056"/>
    <w:rsid w:val="67B86A7A"/>
    <w:rsid w:val="67EE3048"/>
    <w:rsid w:val="67FA2386"/>
    <w:rsid w:val="6878082B"/>
    <w:rsid w:val="68DB097A"/>
    <w:rsid w:val="68F10571"/>
    <w:rsid w:val="692B0CE1"/>
    <w:rsid w:val="69353A6C"/>
    <w:rsid w:val="693E5B1C"/>
    <w:rsid w:val="6958636F"/>
    <w:rsid w:val="6961015D"/>
    <w:rsid w:val="69982016"/>
    <w:rsid w:val="69B11812"/>
    <w:rsid w:val="6A160FCF"/>
    <w:rsid w:val="6A25345E"/>
    <w:rsid w:val="6A296146"/>
    <w:rsid w:val="6A421599"/>
    <w:rsid w:val="6A8F72B9"/>
    <w:rsid w:val="6AA00CC3"/>
    <w:rsid w:val="6AAB7F50"/>
    <w:rsid w:val="6AB27E74"/>
    <w:rsid w:val="6AF20FCD"/>
    <w:rsid w:val="6B387D44"/>
    <w:rsid w:val="6B642897"/>
    <w:rsid w:val="6B8E3911"/>
    <w:rsid w:val="6BB46349"/>
    <w:rsid w:val="6BD3009E"/>
    <w:rsid w:val="6BED538A"/>
    <w:rsid w:val="6C310293"/>
    <w:rsid w:val="6C5D7FE5"/>
    <w:rsid w:val="6C8C5E51"/>
    <w:rsid w:val="6C9302E3"/>
    <w:rsid w:val="6CA8401E"/>
    <w:rsid w:val="6CC03165"/>
    <w:rsid w:val="6CC90D79"/>
    <w:rsid w:val="6CCE4D35"/>
    <w:rsid w:val="6CD448DF"/>
    <w:rsid w:val="6D1948BC"/>
    <w:rsid w:val="6D390F1E"/>
    <w:rsid w:val="6D422394"/>
    <w:rsid w:val="6D77188B"/>
    <w:rsid w:val="6D8D1ECD"/>
    <w:rsid w:val="6D9956BA"/>
    <w:rsid w:val="6DDE06A3"/>
    <w:rsid w:val="6DE0526B"/>
    <w:rsid w:val="6DFC351E"/>
    <w:rsid w:val="6E104010"/>
    <w:rsid w:val="6E1612B4"/>
    <w:rsid w:val="6E625129"/>
    <w:rsid w:val="6EA16987"/>
    <w:rsid w:val="6EF93550"/>
    <w:rsid w:val="6F177E2C"/>
    <w:rsid w:val="6F1B27B7"/>
    <w:rsid w:val="6F2F4D1B"/>
    <w:rsid w:val="6F321487"/>
    <w:rsid w:val="6F484143"/>
    <w:rsid w:val="6F5722BE"/>
    <w:rsid w:val="6F574271"/>
    <w:rsid w:val="6F750F26"/>
    <w:rsid w:val="6F7B72E9"/>
    <w:rsid w:val="6F7F57E5"/>
    <w:rsid w:val="6F8445D4"/>
    <w:rsid w:val="6F8B20D1"/>
    <w:rsid w:val="6F8D5C1A"/>
    <w:rsid w:val="6F8E342E"/>
    <w:rsid w:val="6FA67838"/>
    <w:rsid w:val="6FA71EC1"/>
    <w:rsid w:val="6FA8133A"/>
    <w:rsid w:val="6FD27139"/>
    <w:rsid w:val="6FFF70CF"/>
    <w:rsid w:val="700F2A9A"/>
    <w:rsid w:val="704748B1"/>
    <w:rsid w:val="70780683"/>
    <w:rsid w:val="70876988"/>
    <w:rsid w:val="70A12867"/>
    <w:rsid w:val="70CD2B48"/>
    <w:rsid w:val="70CF3C64"/>
    <w:rsid w:val="70E002FA"/>
    <w:rsid w:val="71060613"/>
    <w:rsid w:val="71126EE7"/>
    <w:rsid w:val="7147515D"/>
    <w:rsid w:val="71654E27"/>
    <w:rsid w:val="719E73CE"/>
    <w:rsid w:val="71CE529B"/>
    <w:rsid w:val="71EF3234"/>
    <w:rsid w:val="71F0284B"/>
    <w:rsid w:val="71F6500C"/>
    <w:rsid w:val="721709A9"/>
    <w:rsid w:val="72403EF0"/>
    <w:rsid w:val="72AA7B18"/>
    <w:rsid w:val="72AB1549"/>
    <w:rsid w:val="72FB2957"/>
    <w:rsid w:val="7316174B"/>
    <w:rsid w:val="7325663D"/>
    <w:rsid w:val="735D7A7D"/>
    <w:rsid w:val="737E24ED"/>
    <w:rsid w:val="73834891"/>
    <w:rsid w:val="73971C7D"/>
    <w:rsid w:val="73A55FBC"/>
    <w:rsid w:val="73D87234"/>
    <w:rsid w:val="74027DFF"/>
    <w:rsid w:val="7415051C"/>
    <w:rsid w:val="74203020"/>
    <w:rsid w:val="744F7CDA"/>
    <w:rsid w:val="745C23CF"/>
    <w:rsid w:val="7469226C"/>
    <w:rsid w:val="749B58FF"/>
    <w:rsid w:val="749D7461"/>
    <w:rsid w:val="74AF516F"/>
    <w:rsid w:val="74E516DA"/>
    <w:rsid w:val="750168BF"/>
    <w:rsid w:val="7512302B"/>
    <w:rsid w:val="754C44B6"/>
    <w:rsid w:val="75670870"/>
    <w:rsid w:val="757C043C"/>
    <w:rsid w:val="759F5A33"/>
    <w:rsid w:val="75C84068"/>
    <w:rsid w:val="75D933E6"/>
    <w:rsid w:val="75EA2C11"/>
    <w:rsid w:val="75F765FC"/>
    <w:rsid w:val="76134845"/>
    <w:rsid w:val="763922F4"/>
    <w:rsid w:val="764528D1"/>
    <w:rsid w:val="76751AF5"/>
    <w:rsid w:val="76785094"/>
    <w:rsid w:val="76A51CE7"/>
    <w:rsid w:val="77305497"/>
    <w:rsid w:val="773B4FE4"/>
    <w:rsid w:val="774550CB"/>
    <w:rsid w:val="774B075C"/>
    <w:rsid w:val="7770784C"/>
    <w:rsid w:val="77724785"/>
    <w:rsid w:val="77896DD2"/>
    <w:rsid w:val="77B21344"/>
    <w:rsid w:val="77C90574"/>
    <w:rsid w:val="782A7F03"/>
    <w:rsid w:val="78602591"/>
    <w:rsid w:val="787F3820"/>
    <w:rsid w:val="78A453FB"/>
    <w:rsid w:val="7916440C"/>
    <w:rsid w:val="79616DC4"/>
    <w:rsid w:val="79996A4A"/>
    <w:rsid w:val="79E820BE"/>
    <w:rsid w:val="7A5E6ED1"/>
    <w:rsid w:val="7A862644"/>
    <w:rsid w:val="7AA72FDF"/>
    <w:rsid w:val="7ABB4BF9"/>
    <w:rsid w:val="7AEA0DA5"/>
    <w:rsid w:val="7B4128F5"/>
    <w:rsid w:val="7B681A01"/>
    <w:rsid w:val="7B79567F"/>
    <w:rsid w:val="7B86410F"/>
    <w:rsid w:val="7BA5753A"/>
    <w:rsid w:val="7BBB672C"/>
    <w:rsid w:val="7BC72C4A"/>
    <w:rsid w:val="7BD3539E"/>
    <w:rsid w:val="7C1B778F"/>
    <w:rsid w:val="7C47478B"/>
    <w:rsid w:val="7C5E1196"/>
    <w:rsid w:val="7CA66A43"/>
    <w:rsid w:val="7CB42860"/>
    <w:rsid w:val="7CD95637"/>
    <w:rsid w:val="7D021F92"/>
    <w:rsid w:val="7D441F5F"/>
    <w:rsid w:val="7D974FE6"/>
    <w:rsid w:val="7E020AFE"/>
    <w:rsid w:val="7E2A39E4"/>
    <w:rsid w:val="7E585FE7"/>
    <w:rsid w:val="7E595A2B"/>
    <w:rsid w:val="7E671236"/>
    <w:rsid w:val="7E6D34D3"/>
    <w:rsid w:val="7E6E2E4D"/>
    <w:rsid w:val="7E6E7F77"/>
    <w:rsid w:val="7EBE6F11"/>
    <w:rsid w:val="7EC2003B"/>
    <w:rsid w:val="7EC40A46"/>
    <w:rsid w:val="7EE30DF1"/>
    <w:rsid w:val="7F561400"/>
    <w:rsid w:val="7F833D8D"/>
    <w:rsid w:val="7F9B2583"/>
    <w:rsid w:val="7FCF268C"/>
    <w:rsid w:val="7FFB0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6"/>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link w:val="85"/>
    <w:qFormat/>
    <w:uiPriority w:val="0"/>
    <w:pPr>
      <w:keepNext/>
      <w:keepLines/>
      <w:autoSpaceDE w:val="0"/>
      <w:autoSpaceDN w:val="0"/>
      <w:adjustRightInd w:val="0"/>
      <w:spacing w:before="120" w:line="300" w:lineRule="auto"/>
      <w:jc w:val="center"/>
      <w:outlineLvl w:val="1"/>
    </w:pPr>
    <w:rPr>
      <w:rFonts w:ascii="Arial" w:hAnsi="Arial" w:eastAsia="黑体"/>
      <w:kern w:val="0"/>
      <w:sz w:val="30"/>
      <w:szCs w:val="20"/>
    </w:rPr>
  </w:style>
  <w:style w:type="paragraph" w:styleId="5">
    <w:name w:val="heading 3"/>
    <w:basedOn w:val="1"/>
    <w:next w:val="2"/>
    <w:link w:val="95"/>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6">
    <w:name w:val="toc 7"/>
    <w:basedOn w:val="1"/>
    <w:next w:val="1"/>
    <w:qFormat/>
    <w:uiPriority w:val="0"/>
    <w:pPr>
      <w:ind w:left="2520" w:leftChars="1200"/>
    </w:pPr>
  </w:style>
  <w:style w:type="paragraph" w:styleId="7">
    <w:name w:val="toa heading"/>
    <w:basedOn w:val="1"/>
    <w:next w:val="1"/>
    <w:qFormat/>
    <w:uiPriority w:val="0"/>
    <w:pPr>
      <w:spacing w:before="120"/>
    </w:pPr>
    <w:rPr>
      <w:rFonts w:ascii="Cambria" w:hAnsi="Cambria"/>
      <w:sz w:val="24"/>
    </w:rPr>
  </w:style>
  <w:style w:type="paragraph" w:styleId="8">
    <w:name w:val="annotation text"/>
    <w:basedOn w:val="1"/>
    <w:link w:val="78"/>
    <w:qFormat/>
    <w:uiPriority w:val="0"/>
    <w:pPr>
      <w:jc w:val="left"/>
    </w:pPr>
  </w:style>
  <w:style w:type="paragraph" w:styleId="9">
    <w:name w:val="Body Text"/>
    <w:basedOn w:val="1"/>
    <w:next w:val="10"/>
    <w:link w:val="102"/>
    <w:qFormat/>
    <w:uiPriority w:val="0"/>
    <w:pPr>
      <w:tabs>
        <w:tab w:val="left" w:pos="567"/>
      </w:tabs>
      <w:spacing w:before="120" w:line="22" w:lineRule="atLeast"/>
    </w:pPr>
    <w:rPr>
      <w:rFonts w:ascii="宋体" w:hAnsi="宋体"/>
      <w:sz w:val="24"/>
    </w:rPr>
  </w:style>
  <w:style w:type="paragraph" w:styleId="10">
    <w:name w:val="Body Text First Indent"/>
    <w:basedOn w:val="9"/>
    <w:qFormat/>
    <w:uiPriority w:val="0"/>
    <w:pPr>
      <w:ind w:firstLine="420" w:firstLineChars="100"/>
    </w:pPr>
  </w:style>
  <w:style w:type="paragraph" w:styleId="11">
    <w:name w:val="Body Text Indent"/>
    <w:basedOn w:val="1"/>
    <w:qFormat/>
    <w:uiPriority w:val="0"/>
    <w:pPr>
      <w:spacing w:line="360" w:lineRule="auto"/>
      <w:ind w:firstLine="570"/>
    </w:pPr>
    <w:rPr>
      <w:sz w:val="24"/>
    </w:rPr>
  </w:style>
  <w:style w:type="paragraph" w:styleId="12">
    <w:name w:val="toc 5"/>
    <w:basedOn w:val="1"/>
    <w:next w:val="1"/>
    <w:qFormat/>
    <w:uiPriority w:val="0"/>
    <w:pPr>
      <w:ind w:left="1680" w:leftChars="800"/>
    </w:pPr>
  </w:style>
  <w:style w:type="paragraph" w:styleId="13">
    <w:name w:val="toc 3"/>
    <w:basedOn w:val="1"/>
    <w:next w:val="1"/>
    <w:qFormat/>
    <w:uiPriority w:val="0"/>
    <w:pPr>
      <w:tabs>
        <w:tab w:val="left" w:pos="1260"/>
        <w:tab w:val="right" w:leader="dot" w:pos="8630"/>
      </w:tabs>
      <w:ind w:left="840" w:leftChars="400"/>
    </w:pPr>
  </w:style>
  <w:style w:type="paragraph" w:styleId="14">
    <w:name w:val="Plain Text"/>
    <w:basedOn w:val="1"/>
    <w:link w:val="93"/>
    <w:qFormat/>
    <w:uiPriority w:val="0"/>
    <w:rPr>
      <w:rFonts w:ascii="宋体" w:hAnsi="Courier New"/>
      <w:szCs w:val="20"/>
    </w:rPr>
  </w:style>
  <w:style w:type="paragraph" w:styleId="15">
    <w:name w:val="toc 8"/>
    <w:basedOn w:val="1"/>
    <w:next w:val="1"/>
    <w:qFormat/>
    <w:uiPriority w:val="0"/>
    <w:pPr>
      <w:ind w:left="2940" w:leftChars="1400"/>
    </w:pPr>
  </w:style>
  <w:style w:type="paragraph" w:styleId="16">
    <w:name w:val="Date"/>
    <w:basedOn w:val="1"/>
    <w:next w:val="1"/>
    <w:link w:val="97"/>
    <w:qFormat/>
    <w:uiPriority w:val="0"/>
    <w:pPr>
      <w:ind w:left="100" w:leftChars="2500"/>
    </w:pPr>
    <w:rPr>
      <w:rFonts w:ascii="仿宋_GB2312" w:hAnsi="宋体" w:eastAsia="仿宋_GB2312"/>
      <w:color w:val="000000"/>
      <w:sz w:val="24"/>
    </w:rPr>
  </w:style>
  <w:style w:type="paragraph" w:styleId="17">
    <w:name w:val="Body Text Indent 2"/>
    <w:basedOn w:val="1"/>
    <w:qFormat/>
    <w:uiPriority w:val="0"/>
    <w:pPr>
      <w:ind w:firstLine="480" w:firstLineChars="200"/>
    </w:pPr>
    <w:rPr>
      <w:rFonts w:ascii="仿宋_GB2312" w:eastAsia="仿宋_GB2312"/>
      <w:sz w:val="24"/>
    </w:rPr>
  </w:style>
  <w:style w:type="paragraph" w:styleId="18">
    <w:name w:val="Balloon Text"/>
    <w:basedOn w:val="1"/>
    <w:link w:val="82"/>
    <w:qFormat/>
    <w:uiPriority w:val="0"/>
    <w:rPr>
      <w:sz w:val="18"/>
      <w:szCs w:val="18"/>
    </w:rPr>
  </w:style>
  <w:style w:type="paragraph" w:styleId="19">
    <w:name w:val="footer"/>
    <w:basedOn w:val="1"/>
    <w:link w:val="101"/>
    <w:qFormat/>
    <w:uiPriority w:val="0"/>
    <w:pPr>
      <w:tabs>
        <w:tab w:val="center" w:pos="4153"/>
        <w:tab w:val="right" w:pos="8306"/>
      </w:tabs>
      <w:autoSpaceDE w:val="0"/>
      <w:autoSpaceDN w:val="0"/>
      <w:adjustRightInd w:val="0"/>
      <w:snapToGrid w:val="0"/>
      <w:jc w:val="left"/>
    </w:pPr>
    <w:rPr>
      <w:rFonts w:ascii="宋体"/>
      <w:kern w:val="0"/>
      <w:sz w:val="18"/>
      <w:szCs w:val="20"/>
    </w:rPr>
  </w:style>
  <w:style w:type="paragraph" w:styleId="20">
    <w:name w:val="header"/>
    <w:basedOn w:val="1"/>
    <w:link w:val="72"/>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style>
  <w:style w:type="paragraph" w:styleId="22">
    <w:name w:val="toc 4"/>
    <w:basedOn w:val="1"/>
    <w:next w:val="1"/>
    <w:qFormat/>
    <w:uiPriority w:val="0"/>
    <w:pPr>
      <w:ind w:left="1260" w:leftChars="600"/>
    </w:pPr>
  </w:style>
  <w:style w:type="paragraph" w:styleId="23">
    <w:name w:val="Subtitle"/>
    <w:basedOn w:val="1"/>
    <w:next w:val="1"/>
    <w:qFormat/>
    <w:uiPriority w:val="11"/>
    <w:pPr>
      <w:spacing w:before="240" w:after="60" w:line="312" w:lineRule="auto"/>
      <w:jc w:val="center"/>
      <w:outlineLvl w:val="1"/>
    </w:pPr>
    <w:rPr>
      <w:b/>
      <w:bCs/>
      <w:kern w:val="28"/>
      <w:sz w:val="32"/>
      <w:szCs w:val="32"/>
    </w:rPr>
  </w:style>
  <w:style w:type="paragraph" w:styleId="24">
    <w:name w:val="List"/>
    <w:basedOn w:val="1"/>
    <w:qFormat/>
    <w:uiPriority w:val="0"/>
    <w:pPr>
      <w:ind w:left="200" w:hanging="200" w:hangingChars="200"/>
    </w:pPr>
    <w:rPr>
      <w:szCs w:val="20"/>
    </w:rPr>
  </w:style>
  <w:style w:type="paragraph" w:styleId="25">
    <w:name w:val="footnote text"/>
    <w:basedOn w:val="1"/>
    <w:qFormat/>
    <w:uiPriority w:val="0"/>
    <w:pPr>
      <w:snapToGrid w:val="0"/>
      <w:jc w:val="left"/>
    </w:pPr>
    <w:rPr>
      <w:sz w:val="18"/>
    </w:rPr>
  </w:style>
  <w:style w:type="paragraph" w:styleId="26">
    <w:name w:val="toc 6"/>
    <w:basedOn w:val="1"/>
    <w:next w:val="1"/>
    <w:qFormat/>
    <w:uiPriority w:val="0"/>
    <w:pPr>
      <w:ind w:left="2100" w:leftChars="1000"/>
    </w:pPr>
  </w:style>
  <w:style w:type="paragraph" w:styleId="27">
    <w:name w:val="Body Text Indent 3"/>
    <w:basedOn w:val="1"/>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28">
    <w:name w:val="toc 2"/>
    <w:basedOn w:val="1"/>
    <w:next w:val="1"/>
    <w:qFormat/>
    <w:uiPriority w:val="0"/>
    <w:pPr>
      <w:ind w:left="420" w:leftChars="200"/>
    </w:pPr>
  </w:style>
  <w:style w:type="paragraph" w:styleId="29">
    <w:name w:val="toc 9"/>
    <w:basedOn w:val="1"/>
    <w:next w:val="1"/>
    <w:qFormat/>
    <w:uiPriority w:val="0"/>
    <w:pPr>
      <w:ind w:left="3360" w:leftChars="1600"/>
    </w:pPr>
  </w:style>
  <w:style w:type="paragraph" w:styleId="30">
    <w:name w:val="Normal (Web)"/>
    <w:basedOn w:val="1"/>
    <w:qFormat/>
    <w:uiPriority w:val="0"/>
    <w:pPr>
      <w:spacing w:before="100" w:beforeAutospacing="1" w:after="100" w:afterAutospacing="1"/>
      <w:jc w:val="left"/>
    </w:pPr>
    <w:rPr>
      <w:kern w:val="0"/>
      <w:sz w:val="24"/>
    </w:rPr>
  </w:style>
  <w:style w:type="paragraph" w:styleId="31">
    <w:name w:val="index 1"/>
    <w:basedOn w:val="1"/>
    <w:next w:val="1"/>
    <w:qFormat/>
    <w:uiPriority w:val="0"/>
    <w:rPr>
      <w:szCs w:val="20"/>
    </w:rPr>
  </w:style>
  <w:style w:type="paragraph" w:styleId="32">
    <w:name w:val="Title"/>
    <w:basedOn w:val="1"/>
    <w:next w:val="1"/>
    <w:qFormat/>
    <w:uiPriority w:val="0"/>
    <w:pPr>
      <w:jc w:val="center"/>
    </w:pPr>
    <w:rPr>
      <w:b/>
      <w:bCs/>
      <w:sz w:val="30"/>
    </w:rPr>
  </w:style>
  <w:style w:type="paragraph" w:styleId="33">
    <w:name w:val="annotation subject"/>
    <w:basedOn w:val="8"/>
    <w:next w:val="8"/>
    <w:link w:val="67"/>
    <w:qFormat/>
    <w:uiPriority w:val="0"/>
    <w:rPr>
      <w:b/>
      <w:bCs/>
    </w:rPr>
  </w:style>
  <w:style w:type="paragraph" w:styleId="34">
    <w:name w:val="Body Text First Indent 2"/>
    <w:basedOn w:val="11"/>
    <w:qFormat/>
    <w:uiPriority w:val="0"/>
    <w:pPr>
      <w:ind w:firstLine="420" w:firstLineChars="200"/>
    </w:pPr>
  </w:style>
  <w:style w:type="table" w:styleId="36">
    <w:name w:val="Table Grid"/>
    <w:basedOn w:val="3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basedOn w:val="37"/>
    <w:qFormat/>
    <w:uiPriority w:val="0"/>
    <w:rPr>
      <w:rFonts w:ascii="Times New Roman" w:hAnsi="Times New Roman" w:eastAsia="宋体" w:cs="Times New Roman"/>
      <w:b/>
      <w:bCs/>
    </w:rPr>
  </w:style>
  <w:style w:type="character" w:styleId="39">
    <w:name w:val="page number"/>
    <w:basedOn w:val="37"/>
    <w:qFormat/>
    <w:uiPriority w:val="0"/>
    <w:rPr>
      <w:rFonts w:ascii="Times New Roman" w:hAnsi="Times New Roman" w:eastAsia="宋体" w:cs="Times New Roman"/>
    </w:rPr>
  </w:style>
  <w:style w:type="character" w:styleId="40">
    <w:name w:val="FollowedHyperlink"/>
    <w:basedOn w:val="37"/>
    <w:qFormat/>
    <w:uiPriority w:val="0"/>
    <w:rPr>
      <w:rFonts w:ascii="Times New Roman" w:hAnsi="Times New Roman" w:eastAsia="宋体" w:cs="Times New Roman"/>
      <w:color w:val="020202"/>
      <w:sz w:val="18"/>
      <w:szCs w:val="18"/>
      <w:u w:val="none"/>
    </w:rPr>
  </w:style>
  <w:style w:type="character" w:styleId="41">
    <w:name w:val="Emphasis"/>
    <w:basedOn w:val="37"/>
    <w:qFormat/>
    <w:uiPriority w:val="0"/>
    <w:rPr>
      <w:i/>
    </w:rPr>
  </w:style>
  <w:style w:type="character" w:styleId="42">
    <w:name w:val="Hyperlink"/>
    <w:basedOn w:val="37"/>
    <w:qFormat/>
    <w:uiPriority w:val="0"/>
    <w:rPr>
      <w:rFonts w:ascii="Times New Roman" w:hAnsi="Times New Roman" w:eastAsia="宋体" w:cs="Times New Roman"/>
      <w:color w:val="020202"/>
      <w:sz w:val="18"/>
      <w:szCs w:val="18"/>
      <w:u w:val="none"/>
    </w:rPr>
  </w:style>
  <w:style w:type="character" w:styleId="43">
    <w:name w:val="annotation reference"/>
    <w:qFormat/>
    <w:uiPriority w:val="0"/>
    <w:rPr>
      <w:rFonts w:ascii="Times New Roman" w:hAnsi="Times New Roman" w:eastAsia="宋体" w:cs="Times New Roman"/>
      <w:sz w:val="21"/>
      <w:szCs w:val="21"/>
    </w:rPr>
  </w:style>
  <w:style w:type="paragraph" w:customStyle="1" w:styleId="4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45">
    <w:name w:val="Table Paragraph"/>
    <w:basedOn w:val="1"/>
    <w:qFormat/>
    <w:uiPriority w:val="1"/>
    <w:pPr>
      <w:spacing w:before="21"/>
      <w:ind w:left="107"/>
    </w:pPr>
    <w:rPr>
      <w:rFonts w:ascii="宋体" w:hAnsi="宋体" w:cs="宋体"/>
      <w:lang w:val="zh-CN" w:bidi="zh-CN"/>
    </w:rPr>
  </w:style>
  <w:style w:type="paragraph" w:customStyle="1" w:styleId="46">
    <w:name w:val="Char"/>
    <w:basedOn w:val="1"/>
    <w:qFormat/>
    <w:uiPriority w:val="0"/>
    <w:pPr>
      <w:tabs>
        <w:tab w:val="left" w:pos="360"/>
      </w:tabs>
    </w:pPr>
    <w:rPr>
      <w:sz w:val="24"/>
    </w:rPr>
  </w:style>
  <w:style w:type="paragraph" w:customStyle="1" w:styleId="47">
    <w:name w:val="索引 11"/>
    <w:basedOn w:val="1"/>
    <w:next w:val="1"/>
    <w:qFormat/>
    <w:uiPriority w:val="0"/>
    <w:pPr>
      <w:spacing w:line="360" w:lineRule="auto"/>
    </w:pPr>
    <w:rPr>
      <w:rFonts w:ascii="仿宋_GB2312" w:eastAsia="仿宋_GB2312"/>
      <w:sz w:val="24"/>
      <w:szCs w:val="20"/>
    </w:rPr>
  </w:style>
  <w:style w:type="paragraph" w:customStyle="1" w:styleId="4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9">
    <w:name w:val="List Paragraph1"/>
    <w:basedOn w:val="1"/>
    <w:qFormat/>
    <w:uiPriority w:val="34"/>
    <w:pPr>
      <w:ind w:firstLine="420" w:firstLineChars="200"/>
    </w:pPr>
  </w:style>
  <w:style w:type="paragraph" w:styleId="5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51">
    <w:name w:val="List Paragraph"/>
    <w:basedOn w:val="1"/>
    <w:qFormat/>
    <w:uiPriority w:val="0"/>
    <w:pPr>
      <w:ind w:firstLine="420" w:firstLineChars="200"/>
    </w:pPr>
  </w:style>
  <w:style w:type="paragraph" w:customStyle="1" w:styleId="52">
    <w:name w:val="List Paragraph_950ef204-ccf4-4d36-8da3-09d279cbb147"/>
    <w:basedOn w:val="1"/>
    <w:qFormat/>
    <w:uiPriority w:val="0"/>
    <w:pPr>
      <w:ind w:firstLine="420" w:firstLineChars="200"/>
    </w:pPr>
  </w:style>
  <w:style w:type="paragraph" w:customStyle="1" w:styleId="53">
    <w:name w:val="首行缩进"/>
    <w:basedOn w:val="1"/>
    <w:qFormat/>
    <w:uiPriority w:val="0"/>
    <w:pPr>
      <w:ind w:firstLine="480" w:firstLineChars="200"/>
    </w:pPr>
    <w:rPr>
      <w:lang w:val="zh-CN"/>
    </w:rPr>
  </w:style>
  <w:style w:type="paragraph" w:customStyle="1" w:styleId="54">
    <w:name w:val="列出段落1"/>
    <w:basedOn w:val="1"/>
    <w:qFormat/>
    <w:uiPriority w:val="0"/>
    <w:pPr>
      <w:ind w:firstLine="420" w:firstLineChars="200"/>
    </w:pPr>
    <w:rPr>
      <w:rFonts w:ascii="Calibri" w:hAnsi="Calibri"/>
      <w:szCs w:val="21"/>
    </w:rPr>
  </w:style>
  <w:style w:type="paragraph" w:customStyle="1" w:styleId="55">
    <w:name w:val="正文缩进1"/>
    <w:basedOn w:val="1"/>
    <w:link w:val="90"/>
    <w:qFormat/>
    <w:uiPriority w:val="0"/>
    <w:pPr>
      <w:autoSpaceDE w:val="0"/>
      <w:autoSpaceDN w:val="0"/>
      <w:adjustRightInd w:val="0"/>
      <w:ind w:firstLine="420"/>
      <w:jc w:val="left"/>
    </w:pPr>
    <w:rPr>
      <w:rFonts w:ascii="宋体"/>
      <w:kern w:val="0"/>
      <w:sz w:val="24"/>
      <w:szCs w:val="20"/>
    </w:rPr>
  </w:style>
  <w:style w:type="paragraph" w:customStyle="1" w:styleId="56">
    <w:name w:val="图例"/>
    <w:basedOn w:val="1"/>
    <w:qFormat/>
    <w:uiPriority w:val="0"/>
    <w:pPr>
      <w:spacing w:line="360" w:lineRule="auto"/>
      <w:jc w:val="center"/>
    </w:pPr>
    <w:rPr>
      <w:rFonts w:eastAsia="仿宋_GB2312"/>
      <w:b/>
      <w:sz w:val="24"/>
    </w:rPr>
  </w:style>
  <w:style w:type="paragraph" w:customStyle="1" w:styleId="57">
    <w:name w:val="Default"/>
    <w:qFormat/>
    <w:uiPriority w:val="0"/>
    <w:pPr>
      <w:widowControl w:val="0"/>
      <w:autoSpaceDE w:val="0"/>
      <w:autoSpaceDN w:val="0"/>
    </w:pPr>
    <w:rPr>
      <w:rFonts w:ascii="宋体" w:hAnsi="Times New Roman" w:eastAsia="宋体" w:cs="宋体"/>
      <w:color w:val="000000"/>
      <w:sz w:val="24"/>
      <w:szCs w:val="24"/>
      <w:lang w:val="en-US" w:eastAsia="zh-CN" w:bidi="ar-SA"/>
    </w:rPr>
  </w:style>
  <w:style w:type="paragraph" w:customStyle="1" w:styleId="58">
    <w:name w:val="列出段落11"/>
    <w:basedOn w:val="1"/>
    <w:qFormat/>
    <w:uiPriority w:val="0"/>
    <w:pPr>
      <w:widowControl/>
      <w:ind w:firstLine="420" w:firstLineChars="200"/>
      <w:jc w:val="left"/>
    </w:pPr>
    <w:rPr>
      <w:kern w:val="0"/>
      <w:sz w:val="24"/>
    </w:rPr>
  </w:style>
  <w:style w:type="paragraph" w:customStyle="1" w:styleId="59">
    <w:name w:val="正文 New New New New"/>
    <w:basedOn w:val="1"/>
    <w:qFormat/>
    <w:uiPriority w:val="0"/>
    <w:rPr>
      <w:kern w:val="0"/>
      <w:sz w:val="24"/>
    </w:rPr>
  </w:style>
  <w:style w:type="paragraph" w:customStyle="1" w:styleId="60">
    <w:name w:val="纯文本1"/>
    <w:basedOn w:val="1"/>
    <w:link w:val="73"/>
    <w:qFormat/>
    <w:uiPriority w:val="0"/>
    <w:rPr>
      <w:rFonts w:ascii="宋体" w:hAnsi="Courier New"/>
      <w:kern w:val="0"/>
      <w:sz w:val="20"/>
      <w:szCs w:val="20"/>
    </w:rPr>
  </w:style>
  <w:style w:type="paragraph" w:customStyle="1" w:styleId="61">
    <w:name w:val="WPSOffice手动目录 1"/>
    <w:qFormat/>
    <w:uiPriority w:val="0"/>
    <w:rPr>
      <w:rFonts w:ascii="Times New Roman" w:hAnsi="Times New Roman" w:eastAsia="宋体" w:cs="Times New Roman"/>
      <w:lang w:val="en-US" w:eastAsia="zh-CN" w:bidi="ar-SA"/>
    </w:rPr>
  </w:style>
  <w:style w:type="paragraph" w:customStyle="1" w:styleId="62">
    <w:name w:val="Body 1"/>
    <w:qFormat/>
    <w:uiPriority w:val="99"/>
    <w:pPr>
      <w:outlineLvl w:val="0"/>
    </w:pPr>
    <w:rPr>
      <w:rFonts w:ascii="Helvetica" w:hAnsi="Helvetica" w:eastAsia="宋体" w:cs="Times New Roman"/>
      <w:b/>
      <w:color w:val="000000"/>
      <w:lang w:val="en-US" w:eastAsia="zh-CN" w:bidi="ar-SA"/>
    </w:rPr>
  </w:style>
  <w:style w:type="paragraph" w:customStyle="1" w:styleId="63">
    <w:name w:val="Main_heading"/>
    <w:basedOn w:val="1"/>
    <w:next w:val="1"/>
    <w:qFormat/>
    <w:uiPriority w:val="0"/>
    <w:pPr>
      <w:spacing w:before="240" w:after="240" w:line="240" w:lineRule="atLeast"/>
    </w:pPr>
    <w:rPr>
      <w:rFonts w:eastAsia="MS Mincho"/>
      <w:b/>
      <w:sz w:val="28"/>
      <w:lang w:eastAsia="ja-JP"/>
    </w:rPr>
  </w:style>
  <w:style w:type="paragraph" w:customStyle="1" w:styleId="64">
    <w:name w:val="列出段落2"/>
    <w:basedOn w:val="1"/>
    <w:qFormat/>
    <w:uiPriority w:val="0"/>
    <w:pPr>
      <w:ind w:firstLine="420" w:firstLineChars="200"/>
    </w:pPr>
    <w:rPr>
      <w:rFonts w:ascii="Calibri" w:hAnsi="Calibri"/>
    </w:rPr>
  </w:style>
  <w:style w:type="character" w:customStyle="1" w:styleId="65">
    <w:name w:val="prev_page"/>
    <w:basedOn w:val="37"/>
    <w:qFormat/>
    <w:uiPriority w:val="0"/>
    <w:rPr>
      <w:rFonts w:ascii="Times New Roman" w:hAnsi="Times New Roman" w:eastAsia="宋体" w:cs="Times New Roman"/>
      <w:color w:val="C0C0C0"/>
    </w:rPr>
  </w:style>
  <w:style w:type="character" w:customStyle="1" w:styleId="66">
    <w:name w:val="wdlg"/>
    <w:basedOn w:val="37"/>
    <w:qFormat/>
    <w:uiPriority w:val="0"/>
    <w:rPr>
      <w:rFonts w:ascii="宋体" w:hAnsi="宋体" w:eastAsia="宋体" w:cs="宋体"/>
      <w:b/>
      <w:color w:val="000000"/>
      <w:sz w:val="21"/>
      <w:szCs w:val="21"/>
      <w:u w:val="none"/>
    </w:rPr>
  </w:style>
  <w:style w:type="character" w:customStyle="1" w:styleId="67">
    <w:name w:val="批注主题 Char"/>
    <w:link w:val="33"/>
    <w:qFormat/>
    <w:uiPriority w:val="0"/>
    <w:rPr>
      <w:rFonts w:ascii="Times New Roman" w:hAnsi="Times New Roman" w:eastAsia="宋体" w:cs="Times New Roman"/>
      <w:b/>
      <w:bCs/>
      <w:kern w:val="2"/>
      <w:sz w:val="21"/>
      <w:szCs w:val="24"/>
    </w:rPr>
  </w:style>
  <w:style w:type="character" w:customStyle="1" w:styleId="68">
    <w:name w:val="批注主题 Char1"/>
    <w:qFormat/>
    <w:uiPriority w:val="0"/>
    <w:rPr>
      <w:rFonts w:ascii="Times New Roman" w:hAnsi="Times New Roman" w:eastAsia="宋体" w:cs="Times New Roman"/>
      <w:b/>
      <w:bCs/>
      <w:kern w:val="2"/>
      <w:sz w:val="21"/>
      <w:szCs w:val="24"/>
    </w:rPr>
  </w:style>
  <w:style w:type="character" w:customStyle="1" w:styleId="69">
    <w:name w:val="font41"/>
    <w:basedOn w:val="37"/>
    <w:qFormat/>
    <w:uiPriority w:val="0"/>
    <w:rPr>
      <w:rFonts w:hint="eastAsia" w:ascii="宋体" w:hAnsi="宋体" w:eastAsia="宋体" w:cs="宋体"/>
      <w:b/>
      <w:color w:val="000000"/>
      <w:sz w:val="22"/>
      <w:szCs w:val="22"/>
      <w:u w:val="none"/>
    </w:rPr>
  </w:style>
  <w:style w:type="character" w:customStyle="1" w:styleId="70">
    <w:name w:val="firstspanwx"/>
    <w:basedOn w:val="37"/>
    <w:qFormat/>
    <w:uiPriority w:val="0"/>
    <w:rPr>
      <w:rFonts w:ascii="Times New Roman" w:hAnsi="Times New Roman" w:eastAsia="宋体" w:cs="Times New Roman"/>
    </w:rPr>
  </w:style>
  <w:style w:type="character" w:customStyle="1" w:styleId="71">
    <w:name w:val="font71"/>
    <w:basedOn w:val="37"/>
    <w:qFormat/>
    <w:uiPriority w:val="0"/>
    <w:rPr>
      <w:rFonts w:ascii="Arial" w:hAnsi="Arial" w:eastAsia="Arial" w:cs="Times New Roman"/>
      <w:color w:val="000000"/>
      <w:w w:val="100"/>
      <w:sz w:val="16"/>
      <w:szCs w:val="16"/>
      <w:u w:val="none"/>
      <w:shd w:val="clear" w:color="auto" w:fill="auto"/>
    </w:rPr>
  </w:style>
  <w:style w:type="character" w:customStyle="1" w:styleId="72">
    <w:name w:val="页眉 Char"/>
    <w:link w:val="20"/>
    <w:qFormat/>
    <w:uiPriority w:val="0"/>
    <w:rPr>
      <w:rFonts w:ascii="Times New Roman" w:hAnsi="Times New Roman" w:eastAsia="宋体" w:cs="Times New Roman"/>
      <w:kern w:val="2"/>
      <w:sz w:val="18"/>
      <w:szCs w:val="18"/>
    </w:rPr>
  </w:style>
  <w:style w:type="character" w:customStyle="1" w:styleId="73">
    <w:name w:val="纯文本 Char1"/>
    <w:link w:val="60"/>
    <w:qFormat/>
    <w:uiPriority w:val="0"/>
    <w:rPr>
      <w:rFonts w:ascii="宋体" w:hAnsi="Courier New" w:eastAsia="宋体" w:cs="Times New Roman"/>
    </w:rPr>
  </w:style>
  <w:style w:type="character" w:customStyle="1" w:styleId="74">
    <w:name w:val="zpimg"/>
    <w:basedOn w:val="37"/>
    <w:qFormat/>
    <w:uiPriority w:val="0"/>
    <w:rPr>
      <w:rFonts w:ascii="Times New Roman" w:hAnsi="Times New Roman" w:eastAsia="宋体" w:cs="Times New Roman"/>
    </w:rPr>
  </w:style>
  <w:style w:type="character" w:customStyle="1" w:styleId="75">
    <w:name w:val="apple-converted-space"/>
    <w:basedOn w:val="37"/>
    <w:qFormat/>
    <w:uiPriority w:val="0"/>
  </w:style>
  <w:style w:type="character" w:customStyle="1" w:styleId="76">
    <w:name w:val="标题 1 Char"/>
    <w:link w:val="3"/>
    <w:qFormat/>
    <w:uiPriority w:val="0"/>
    <w:rPr>
      <w:rFonts w:ascii="宋体" w:hAnsi="Times New Roman" w:eastAsia="宋体" w:cs="Times New Roman"/>
      <w:b/>
      <w:kern w:val="44"/>
      <w:sz w:val="32"/>
    </w:rPr>
  </w:style>
  <w:style w:type="character" w:customStyle="1" w:styleId="77">
    <w:name w:val="页眉 Char1"/>
    <w:qFormat/>
    <w:uiPriority w:val="0"/>
    <w:rPr>
      <w:rFonts w:ascii="Times New Roman" w:hAnsi="Times New Roman" w:eastAsia="宋体" w:cs="Times New Roman"/>
      <w:kern w:val="2"/>
      <w:sz w:val="18"/>
      <w:szCs w:val="18"/>
    </w:rPr>
  </w:style>
  <w:style w:type="character" w:customStyle="1" w:styleId="78">
    <w:name w:val="批注文字 Char"/>
    <w:link w:val="8"/>
    <w:qFormat/>
    <w:uiPriority w:val="0"/>
    <w:rPr>
      <w:rFonts w:ascii="Times New Roman" w:hAnsi="Times New Roman" w:eastAsia="宋体" w:cs="Times New Roman"/>
      <w:kern w:val="2"/>
      <w:sz w:val="21"/>
      <w:szCs w:val="24"/>
    </w:rPr>
  </w:style>
  <w:style w:type="character" w:customStyle="1" w:styleId="79">
    <w:name w:val="font31"/>
    <w:basedOn w:val="37"/>
    <w:qFormat/>
    <w:uiPriority w:val="0"/>
    <w:rPr>
      <w:rFonts w:hint="eastAsia" w:ascii="宋体" w:hAnsi="宋体" w:eastAsia="宋体" w:cs="宋体"/>
      <w:color w:val="000000"/>
      <w:sz w:val="20"/>
      <w:szCs w:val="20"/>
      <w:u w:val="none"/>
    </w:rPr>
  </w:style>
  <w:style w:type="character" w:customStyle="1" w:styleId="80">
    <w:name w:val="current3"/>
    <w:basedOn w:val="37"/>
    <w:qFormat/>
    <w:uiPriority w:val="0"/>
    <w:rPr>
      <w:rFonts w:ascii="Times New Roman" w:hAnsi="Times New Roman" w:eastAsia="宋体" w:cs="Times New Roman"/>
      <w:color w:val="FFFFFF"/>
      <w:bdr w:val="single" w:color="F53F00" w:sz="6" w:space="0"/>
      <w:shd w:val="clear" w:color="auto" w:fill="F53F00"/>
    </w:rPr>
  </w:style>
  <w:style w:type="character" w:customStyle="1" w:styleId="81">
    <w:name w:val="yue"/>
    <w:basedOn w:val="37"/>
    <w:qFormat/>
    <w:uiPriority w:val="0"/>
    <w:rPr>
      <w:rFonts w:ascii="Times New Roman" w:hAnsi="Times New Roman" w:eastAsia="宋体" w:cs="Times New Roman"/>
    </w:rPr>
  </w:style>
  <w:style w:type="character" w:customStyle="1" w:styleId="82">
    <w:name w:val="批注框文本 Char"/>
    <w:link w:val="18"/>
    <w:qFormat/>
    <w:uiPriority w:val="0"/>
    <w:rPr>
      <w:rFonts w:ascii="Times New Roman" w:hAnsi="Times New Roman" w:eastAsia="宋体" w:cs="Times New Roman"/>
      <w:kern w:val="2"/>
      <w:sz w:val="18"/>
      <w:szCs w:val="18"/>
    </w:rPr>
  </w:style>
  <w:style w:type="character" w:customStyle="1" w:styleId="83">
    <w:name w:val="font61"/>
    <w:basedOn w:val="37"/>
    <w:qFormat/>
    <w:uiPriority w:val="0"/>
    <w:rPr>
      <w:rFonts w:hint="default" w:ascii="Arial" w:hAnsi="Arial" w:cs="Arial"/>
      <w:color w:val="000000"/>
      <w:sz w:val="22"/>
      <w:szCs w:val="22"/>
      <w:u w:val="none"/>
    </w:rPr>
  </w:style>
  <w:style w:type="character" w:customStyle="1" w:styleId="84">
    <w:name w:val="red2"/>
    <w:basedOn w:val="37"/>
    <w:qFormat/>
    <w:uiPriority w:val="0"/>
    <w:rPr>
      <w:rFonts w:ascii="Times New Roman" w:hAnsi="Times New Roman" w:eastAsia="宋体" w:cs="Times New Roman"/>
      <w:b/>
      <w:color w:val="DA2F27"/>
      <w:sz w:val="21"/>
      <w:szCs w:val="21"/>
    </w:rPr>
  </w:style>
  <w:style w:type="character" w:customStyle="1" w:styleId="85">
    <w:name w:val="标题 2 Char"/>
    <w:link w:val="4"/>
    <w:qFormat/>
    <w:uiPriority w:val="0"/>
    <w:rPr>
      <w:rFonts w:ascii="Arial" w:hAnsi="Arial" w:eastAsia="黑体" w:cs="Times New Roman"/>
      <w:b/>
      <w:sz w:val="30"/>
    </w:rPr>
  </w:style>
  <w:style w:type="character" w:customStyle="1" w:styleId="86">
    <w:name w:val="hs_prev_page"/>
    <w:basedOn w:val="37"/>
    <w:qFormat/>
    <w:uiPriority w:val="0"/>
    <w:rPr>
      <w:rFonts w:ascii="Times New Roman" w:hAnsi="Times New Roman" w:eastAsia="宋体" w:cs="Times New Roman"/>
      <w:color w:val="C0C0C0"/>
    </w:rPr>
  </w:style>
  <w:style w:type="character" w:customStyle="1" w:styleId="87">
    <w:name w:val="no_mr"/>
    <w:basedOn w:val="37"/>
    <w:qFormat/>
    <w:uiPriority w:val="0"/>
    <w:rPr>
      <w:rFonts w:ascii="Times New Roman" w:hAnsi="Times New Roman" w:eastAsia="宋体" w:cs="Times New Roman"/>
    </w:rPr>
  </w:style>
  <w:style w:type="character" w:customStyle="1" w:styleId="88">
    <w:name w:val="navadr"/>
    <w:basedOn w:val="37"/>
    <w:qFormat/>
    <w:uiPriority w:val="0"/>
    <w:rPr>
      <w:rFonts w:ascii="Times New Roman" w:hAnsi="Times New Roman" w:eastAsia="宋体" w:cs="Times New Roman"/>
    </w:rPr>
  </w:style>
  <w:style w:type="character" w:customStyle="1" w:styleId="89">
    <w:name w:val="font11"/>
    <w:basedOn w:val="37"/>
    <w:qFormat/>
    <w:uiPriority w:val="0"/>
    <w:rPr>
      <w:rFonts w:hint="eastAsia" w:ascii="宋体" w:hAnsi="宋体" w:eastAsia="宋体" w:cs="宋体"/>
      <w:color w:val="000000"/>
      <w:sz w:val="22"/>
      <w:szCs w:val="22"/>
      <w:u w:val="none"/>
    </w:rPr>
  </w:style>
  <w:style w:type="character" w:customStyle="1" w:styleId="90">
    <w:name w:val="正文缩进 Char1"/>
    <w:link w:val="55"/>
    <w:qFormat/>
    <w:uiPriority w:val="0"/>
    <w:rPr>
      <w:rFonts w:ascii="宋体" w:hAnsi="Times New Roman" w:eastAsia="宋体" w:cs="Times New Roman"/>
      <w:sz w:val="24"/>
    </w:rPr>
  </w:style>
  <w:style w:type="character" w:customStyle="1" w:styleId="91">
    <w:name w:val="批注框文本 Char1"/>
    <w:qFormat/>
    <w:uiPriority w:val="0"/>
    <w:rPr>
      <w:rFonts w:ascii="Times New Roman" w:hAnsi="Times New Roman" w:eastAsia="宋体" w:cs="Times New Roman"/>
      <w:kern w:val="2"/>
      <w:sz w:val="18"/>
      <w:szCs w:val="18"/>
    </w:rPr>
  </w:style>
  <w:style w:type="character" w:customStyle="1" w:styleId="92">
    <w:name w:val="zhou"/>
    <w:basedOn w:val="37"/>
    <w:qFormat/>
    <w:uiPriority w:val="0"/>
    <w:rPr>
      <w:rFonts w:ascii="Times New Roman" w:hAnsi="Times New Roman" w:eastAsia="宋体" w:cs="Times New Roman"/>
      <w:bdr w:val="single" w:color="666666" w:sz="6" w:space="0"/>
    </w:rPr>
  </w:style>
  <w:style w:type="character" w:customStyle="1" w:styleId="93">
    <w:name w:val="纯文本 Char"/>
    <w:link w:val="14"/>
    <w:qFormat/>
    <w:uiPriority w:val="0"/>
    <w:rPr>
      <w:rFonts w:ascii="宋体" w:hAnsi="Courier New" w:eastAsia="宋体" w:cs="Times New Roman"/>
      <w:kern w:val="2"/>
      <w:sz w:val="21"/>
    </w:rPr>
  </w:style>
  <w:style w:type="character" w:customStyle="1" w:styleId="94">
    <w:name w:val="font91"/>
    <w:basedOn w:val="37"/>
    <w:qFormat/>
    <w:uiPriority w:val="0"/>
    <w:rPr>
      <w:rFonts w:ascii="宋体" w:hAnsi="宋体" w:eastAsia="宋体" w:cs="Times New Roman"/>
      <w:color w:val="000000"/>
      <w:w w:val="100"/>
      <w:sz w:val="16"/>
      <w:szCs w:val="16"/>
      <w:u w:val="none"/>
      <w:shd w:val="clear" w:color="auto" w:fill="auto"/>
    </w:rPr>
  </w:style>
  <w:style w:type="character" w:customStyle="1" w:styleId="95">
    <w:name w:val="标题 3 Char"/>
    <w:link w:val="5"/>
    <w:qFormat/>
    <w:uiPriority w:val="0"/>
    <w:rPr>
      <w:rFonts w:ascii="宋体" w:hAnsi="Times New Roman" w:eastAsia="宋体" w:cs="Times New Roman"/>
      <w:b/>
      <w:sz w:val="24"/>
      <w:u w:val="single"/>
    </w:rPr>
  </w:style>
  <w:style w:type="character" w:customStyle="1" w:styleId="96">
    <w:name w:val="批注文字 Char1"/>
    <w:qFormat/>
    <w:uiPriority w:val="0"/>
    <w:rPr>
      <w:rFonts w:ascii="Times New Roman" w:hAnsi="Times New Roman" w:eastAsia="宋体" w:cs="Times New Roman"/>
      <w:kern w:val="2"/>
      <w:sz w:val="21"/>
      <w:szCs w:val="24"/>
    </w:rPr>
  </w:style>
  <w:style w:type="character" w:customStyle="1" w:styleId="97">
    <w:name w:val="日期 Char"/>
    <w:link w:val="16"/>
    <w:qFormat/>
    <w:uiPriority w:val="0"/>
    <w:rPr>
      <w:rFonts w:ascii="仿宋_GB2312" w:hAnsi="宋体" w:eastAsia="仿宋_GB2312" w:cs="Times New Roman"/>
      <w:color w:val="000000"/>
      <w:kern w:val="2"/>
      <w:sz w:val="24"/>
      <w:szCs w:val="24"/>
    </w:rPr>
  </w:style>
  <w:style w:type="character" w:customStyle="1" w:styleId="98">
    <w:name w:val="15"/>
    <w:basedOn w:val="37"/>
    <w:qFormat/>
    <w:uiPriority w:val="0"/>
    <w:rPr>
      <w:rFonts w:hint="default" w:ascii="Times New Roman" w:hAnsi="Times New Roman" w:eastAsia="宋体" w:cs="Times New Roman"/>
      <w:sz w:val="21"/>
      <w:szCs w:val="21"/>
    </w:rPr>
  </w:style>
  <w:style w:type="character" w:customStyle="1" w:styleId="99">
    <w:name w:val="font01"/>
    <w:basedOn w:val="37"/>
    <w:qFormat/>
    <w:uiPriority w:val="0"/>
    <w:rPr>
      <w:rFonts w:ascii="Arial" w:hAnsi="Arial" w:eastAsia="Arial" w:cs="Times New Roman"/>
      <w:b/>
      <w:color w:val="000000"/>
      <w:w w:val="100"/>
      <w:sz w:val="16"/>
      <w:szCs w:val="16"/>
      <w:u w:val="none"/>
      <w:shd w:val="clear" w:color="auto" w:fill="auto"/>
    </w:rPr>
  </w:style>
  <w:style w:type="character" w:customStyle="1" w:styleId="100">
    <w:name w:val="current2"/>
    <w:basedOn w:val="37"/>
    <w:qFormat/>
    <w:uiPriority w:val="0"/>
    <w:rPr>
      <w:rFonts w:ascii="Times New Roman" w:hAnsi="Times New Roman" w:eastAsia="宋体" w:cs="Times New Roman"/>
      <w:color w:val="FFFFFF"/>
      <w:sz w:val="21"/>
      <w:szCs w:val="21"/>
      <w:bdr w:val="single" w:color="0077C3" w:sz="6" w:space="0"/>
      <w:shd w:val="clear" w:color="auto" w:fill="0077C3"/>
    </w:rPr>
  </w:style>
  <w:style w:type="character" w:customStyle="1" w:styleId="101">
    <w:name w:val="页脚 Char"/>
    <w:link w:val="19"/>
    <w:qFormat/>
    <w:uiPriority w:val="0"/>
    <w:rPr>
      <w:rFonts w:ascii="宋体" w:hAnsi="Times New Roman" w:eastAsia="宋体" w:cs="Times New Roman"/>
      <w:sz w:val="18"/>
    </w:rPr>
  </w:style>
  <w:style w:type="character" w:customStyle="1" w:styleId="102">
    <w:name w:val="正文文本 Char"/>
    <w:link w:val="9"/>
    <w:qFormat/>
    <w:uiPriority w:val="0"/>
    <w:rPr>
      <w:rFonts w:ascii="宋体" w:hAnsi="宋体" w:eastAsia="宋体" w:cs="Times New Roman"/>
      <w:kern w:val="2"/>
      <w:sz w:val="24"/>
      <w:szCs w:val="24"/>
    </w:rPr>
  </w:style>
  <w:style w:type="character" w:customStyle="1" w:styleId="103">
    <w:name w:val="font21"/>
    <w:basedOn w:val="37"/>
    <w:qFormat/>
    <w:uiPriority w:val="0"/>
    <w:rPr>
      <w:rFonts w:ascii="宋体" w:hAnsi="宋体" w:eastAsia="宋体" w:cs="Times New Roman"/>
      <w:b/>
      <w:color w:val="000000"/>
      <w:w w:val="100"/>
      <w:sz w:val="16"/>
      <w:szCs w:val="16"/>
      <w:u w:val="none"/>
      <w:shd w:val="clear" w:color="auto" w:fill="auto"/>
    </w:rPr>
  </w:style>
  <w:style w:type="paragraph" w:customStyle="1" w:styleId="104">
    <w:name w:val="采购一级"/>
    <w:qFormat/>
    <w:uiPriority w:val="0"/>
    <w:pPr>
      <w:widowControl w:val="0"/>
      <w:autoSpaceDE w:val="0"/>
      <w:autoSpaceDN w:val="0"/>
      <w:snapToGrid w:val="0"/>
      <w:spacing w:line="560" w:lineRule="exact"/>
      <w:jc w:val="center"/>
      <w:outlineLvl w:val="0"/>
    </w:pPr>
    <w:rPr>
      <w:rFonts w:ascii="方正小标宋简体" w:hAnsi="仿宋" w:eastAsia="方正小标宋简体" w:cs="Times New Roman"/>
      <w:b/>
      <w:kern w:val="44"/>
      <w:sz w:val="36"/>
      <w:szCs w:val="36"/>
      <w:lang w:val="en-US" w:eastAsia="zh-CN" w:bidi="ar-SA"/>
    </w:rPr>
  </w:style>
  <w:style w:type="paragraph" w:customStyle="1" w:styleId="105">
    <w:name w:val="采购二级"/>
    <w:qFormat/>
    <w:uiPriority w:val="0"/>
    <w:pPr>
      <w:widowControl w:val="0"/>
      <w:spacing w:line="560" w:lineRule="exact"/>
      <w:ind w:firstLine="200" w:firstLineChars="200"/>
      <w:jc w:val="both"/>
      <w:outlineLvl w:val="1"/>
    </w:pPr>
    <w:rPr>
      <w:rFonts w:ascii="仿宋" w:hAnsi="仿宋" w:eastAsia="仿宋" w:cs="Times New Roman"/>
      <w:b/>
      <w:sz w:val="28"/>
      <w:szCs w:val="32"/>
      <w:lang w:val="en-US" w:eastAsia="zh-CN" w:bidi="ar-SA"/>
    </w:rPr>
  </w:style>
  <w:style w:type="paragraph" w:customStyle="1" w:styleId="106">
    <w:name w:val="采购正文"/>
    <w:qFormat/>
    <w:uiPriority w:val="0"/>
    <w:pPr>
      <w:widowControl w:val="0"/>
      <w:snapToGrid w:val="0"/>
      <w:spacing w:line="560" w:lineRule="exact"/>
      <w:ind w:firstLine="200" w:firstLineChars="200"/>
      <w:jc w:val="both"/>
    </w:pPr>
    <w:rPr>
      <w:rFonts w:ascii="仿宋" w:hAnsi="仿宋" w:eastAsia="仿宋" w:cs="Times New Roman"/>
      <w:sz w:val="24"/>
      <w:szCs w:val="24"/>
      <w:lang w:val="en-US" w:eastAsia="zh-CN" w:bidi="ar-SA"/>
    </w:rPr>
  </w:style>
  <w:style w:type="paragraph" w:customStyle="1" w:styleId="107">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szCs w:val="20"/>
    </w:rPr>
  </w:style>
  <w:style w:type="character" w:customStyle="1" w:styleId="108">
    <w:name w:val="displayarti"/>
    <w:basedOn w:val="37"/>
    <w:qFormat/>
    <w:uiPriority w:val="0"/>
    <w:rPr>
      <w:color w:val="FFFFFF"/>
      <w:shd w:val="clear" w:color="auto" w:fill="A00000"/>
    </w:rPr>
  </w:style>
  <w:style w:type="character" w:customStyle="1" w:styleId="109">
    <w:name w:val="redfilefwwh"/>
    <w:basedOn w:val="37"/>
    <w:qFormat/>
    <w:uiPriority w:val="0"/>
    <w:rPr>
      <w:color w:val="BA2636"/>
      <w:sz w:val="18"/>
      <w:szCs w:val="18"/>
    </w:rPr>
  </w:style>
  <w:style w:type="character" w:customStyle="1" w:styleId="110">
    <w:name w:val="redfilenumber"/>
    <w:basedOn w:val="37"/>
    <w:qFormat/>
    <w:uiPriority w:val="0"/>
    <w:rPr>
      <w:color w:val="BA2636"/>
      <w:sz w:val="18"/>
      <w:szCs w:val="18"/>
    </w:rPr>
  </w:style>
  <w:style w:type="character" w:customStyle="1" w:styleId="111">
    <w:name w:val="gjfg"/>
    <w:basedOn w:val="37"/>
    <w:qFormat/>
    <w:uiPriority w:val="0"/>
  </w:style>
  <w:style w:type="character" w:customStyle="1" w:styleId="112">
    <w:name w:val="cfdate"/>
    <w:basedOn w:val="37"/>
    <w:qFormat/>
    <w:uiPriority w:val="0"/>
    <w:rPr>
      <w:color w:val="333333"/>
      <w:sz w:val="18"/>
      <w:szCs w:val="18"/>
    </w:rPr>
  </w:style>
  <w:style w:type="character" w:customStyle="1" w:styleId="113">
    <w:name w:val="qxdate"/>
    <w:basedOn w:val="37"/>
    <w:qFormat/>
    <w:uiPriority w:val="0"/>
    <w:rPr>
      <w:color w:val="333333"/>
      <w:sz w:val="18"/>
      <w:szCs w:val="18"/>
    </w:rPr>
  </w:style>
  <w:style w:type="paragraph" w:customStyle="1" w:styleId="114">
    <w:name w:val="WPS Plain"/>
    <w:qFormat/>
    <w:uiPriority w:val="0"/>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2"/>
    <customShpInfo spid="_x0000_s2051"/>
    <customShpInfo spid="_x0000_s2050"/>
    <customShpInfo spid="_x0000_s2049"/>
    <customShpInfo spid="_x0000_s1026"/>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107</Pages>
  <Words>53656</Words>
  <Characters>12008</Characters>
  <Lines>100</Lines>
  <Paragraphs>131</Paragraphs>
  <TotalTime>12</TotalTime>
  <ScaleCrop>false</ScaleCrop>
  <LinksUpToDate>false</LinksUpToDate>
  <CharactersWithSpaces>65533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2018-08-15T03:05:00Z</dcterms:created>
  <dc:creator>USER-</dc:creator>
  <cp:lastModifiedBy>Administrator</cp:lastModifiedBy>
  <cp:lastPrinted>2020-01-13T05:44:00Z</cp:lastPrinted>
  <dcterms:modified xsi:type="dcterms:W3CDTF">2021-11-24T04:09:38Z</dcterms:modified>
  <dc:title>02年杜范本稿</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62C50356DDC9434DB2E79F52045C2280</vt:lpwstr>
  </property>
</Properties>
</file>