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rPr>
          <w:rFonts w:eastAsia="华文中宋"/>
          <w:b/>
          <w:sz w:val="52"/>
        </w:rPr>
      </w:pPr>
      <w:r>
        <w:rPr>
          <w:rFonts w:hint="eastAsia" w:eastAsia="华文中宋"/>
          <w:b/>
          <w:sz w:val="52"/>
        </w:rPr>
        <w:t xml:space="preserve"> </w:t>
      </w:r>
    </w:p>
    <w:p>
      <w:pPr>
        <w:tabs>
          <w:tab w:val="left" w:pos="1134"/>
          <w:tab w:val="left" w:pos="5481"/>
          <w:tab w:val="left" w:pos="5859"/>
        </w:tabs>
        <w:jc w:val="center"/>
        <w:rPr>
          <w:rFonts w:hint="eastAsia" w:ascii="黑体" w:hAnsi="黑体" w:eastAsia="黑体"/>
          <w:sz w:val="52"/>
          <w:szCs w:val="52"/>
          <w:lang w:eastAsia="zh-CN"/>
        </w:rPr>
      </w:pPr>
      <w:r>
        <w:rPr>
          <w:rFonts w:hint="eastAsia" w:ascii="黑体" w:hAnsi="黑体" w:eastAsia="黑体"/>
          <w:sz w:val="52"/>
          <w:szCs w:val="52"/>
        </w:rPr>
        <w:t xml:space="preserve"> </w:t>
      </w:r>
      <w:r>
        <w:rPr>
          <w:rFonts w:hint="eastAsia" w:ascii="黑体" w:hAnsi="黑体" w:eastAsia="黑体"/>
          <w:sz w:val="52"/>
          <w:szCs w:val="52"/>
          <w:lang w:eastAsia="zh-CN"/>
        </w:rPr>
        <w:t>英吉沙县特色食品产业园项目二期-净化车间及动力配电采购</w:t>
      </w:r>
    </w:p>
    <w:p>
      <w:pPr>
        <w:tabs>
          <w:tab w:val="left" w:pos="1134"/>
          <w:tab w:val="left" w:pos="5481"/>
          <w:tab w:val="left" w:pos="5859"/>
        </w:tabs>
        <w:jc w:val="center"/>
        <w:rPr>
          <w:rFonts w:ascii="黑体" w:hAnsi="黑体" w:eastAsia="黑体"/>
          <w:sz w:val="72"/>
          <w:szCs w:val="72"/>
        </w:rPr>
      </w:pPr>
      <w:r>
        <w:rPr>
          <w:rFonts w:hint="eastAsia" w:ascii="黑体" w:hAnsi="黑体" w:eastAsia="黑体"/>
          <w:sz w:val="52"/>
          <w:szCs w:val="52"/>
        </w:rPr>
        <w:t>招标文件</w:t>
      </w:r>
    </w:p>
    <w:p>
      <w:pPr>
        <w:jc w:val="center"/>
        <w:rPr>
          <w:rFonts w:hint="eastAsia" w:ascii="黑体" w:hAnsi="黑体" w:eastAsia="黑体"/>
          <w:b/>
          <w:sz w:val="36"/>
          <w:szCs w:val="36"/>
          <w:lang w:eastAsia="zh-CN"/>
        </w:rPr>
      </w:pPr>
      <w:r>
        <w:rPr>
          <w:rFonts w:hint="eastAsia" w:ascii="黑体" w:hAnsi="黑体" w:eastAsia="黑体"/>
          <w:b/>
          <w:sz w:val="36"/>
          <w:szCs w:val="36"/>
        </w:rPr>
        <w:t>项目编号：</w:t>
      </w:r>
      <w:r>
        <w:rPr>
          <w:rFonts w:eastAsia="Times New Roman"/>
          <w:sz w:val="24"/>
          <w:szCs w:val="28"/>
        </w:rPr>
        <w:t> </w:t>
      </w:r>
      <w:r>
        <w:rPr>
          <w:rFonts w:ascii="Calibri" w:hAnsi="Calibri" w:eastAsia="黑体" w:cs="Calibri"/>
          <w:b/>
          <w:sz w:val="36"/>
          <w:szCs w:val="36"/>
        </w:rPr>
        <w:t> </w:t>
      </w:r>
      <w:r>
        <w:rPr>
          <w:rFonts w:hint="eastAsia" w:ascii="黑体" w:hAnsi="黑体" w:eastAsia="黑体"/>
          <w:b/>
          <w:sz w:val="36"/>
          <w:szCs w:val="36"/>
          <w:lang w:val="en-US" w:eastAsia="zh-CN"/>
        </w:rPr>
        <w:t>XJRJ</w:t>
      </w:r>
      <w:r>
        <w:rPr>
          <w:rFonts w:ascii="黑体" w:hAnsi="黑体" w:eastAsia="黑体"/>
          <w:b/>
          <w:sz w:val="36"/>
          <w:szCs w:val="36"/>
        </w:rPr>
        <w:t>-YJS-2020</w:t>
      </w:r>
      <w:r>
        <w:rPr>
          <w:rFonts w:hint="eastAsia" w:ascii="黑体" w:hAnsi="黑体" w:eastAsia="黑体"/>
          <w:b/>
          <w:sz w:val="36"/>
          <w:szCs w:val="36"/>
          <w:lang w:eastAsia="zh-CN"/>
        </w:rPr>
        <w:t>（</w:t>
      </w:r>
      <w:r>
        <w:rPr>
          <w:rFonts w:hint="eastAsia" w:ascii="黑体" w:hAnsi="黑体" w:eastAsia="黑体"/>
          <w:b/>
          <w:sz w:val="36"/>
          <w:szCs w:val="36"/>
          <w:lang w:val="en-US" w:eastAsia="zh-CN"/>
        </w:rPr>
        <w:t>CG002</w:t>
      </w:r>
      <w:r>
        <w:rPr>
          <w:rFonts w:hint="eastAsia" w:ascii="黑体" w:hAnsi="黑体" w:eastAsia="黑体"/>
          <w:b/>
          <w:sz w:val="36"/>
          <w:szCs w:val="36"/>
          <w:lang w:eastAsia="zh-CN"/>
        </w:rPr>
        <w:t>）</w:t>
      </w:r>
    </w:p>
    <w:p>
      <w:pPr>
        <w:tabs>
          <w:tab w:val="left" w:pos="1134"/>
          <w:tab w:val="left" w:pos="5481"/>
          <w:tab w:val="left" w:pos="5859"/>
        </w:tabs>
        <w:jc w:val="center"/>
        <w:rPr>
          <w:rFonts w:ascii="黑体" w:hAnsi="黑体" w:eastAsia="黑体"/>
          <w:b/>
          <w:sz w:val="36"/>
          <w:szCs w:val="36"/>
        </w:rPr>
      </w:pPr>
      <w:r>
        <w:rPr>
          <w:rFonts w:hint="eastAsia" w:ascii="黑体" w:hAnsi="黑体" w:eastAsia="黑体"/>
          <w:b/>
          <w:sz w:val="36"/>
          <w:szCs w:val="36"/>
        </w:rPr>
        <w:t xml:space="preserve">  </w:t>
      </w:r>
    </w:p>
    <w:p>
      <w:pPr>
        <w:pStyle w:val="30"/>
        <w:ind w:left="723" w:hanging="723"/>
        <w:rPr>
          <w:rFonts w:ascii="黑体" w:hAnsi="黑体" w:eastAsia="黑体"/>
          <w:b/>
          <w:sz w:val="36"/>
          <w:szCs w:val="36"/>
        </w:rPr>
      </w:pPr>
    </w:p>
    <w:p>
      <w:pPr>
        <w:pStyle w:val="30"/>
        <w:ind w:left="723" w:hanging="723"/>
        <w:rPr>
          <w:rFonts w:ascii="黑体" w:hAnsi="黑体" w:eastAsia="黑体"/>
          <w:b/>
          <w:sz w:val="36"/>
          <w:szCs w:val="36"/>
        </w:rPr>
      </w:pPr>
    </w:p>
    <w:p>
      <w:pPr>
        <w:pStyle w:val="30"/>
        <w:ind w:left="723" w:hanging="723"/>
        <w:rPr>
          <w:rFonts w:ascii="黑体" w:hAnsi="黑体" w:eastAsia="黑体"/>
          <w:b/>
          <w:sz w:val="36"/>
          <w:szCs w:val="36"/>
        </w:rPr>
      </w:pPr>
    </w:p>
    <w:p>
      <w:pPr>
        <w:pStyle w:val="30"/>
        <w:ind w:left="723" w:hanging="723"/>
        <w:rPr>
          <w:rFonts w:ascii="黑体" w:hAnsi="黑体" w:eastAsia="黑体"/>
          <w:b/>
          <w:sz w:val="36"/>
          <w:szCs w:val="36"/>
        </w:rPr>
      </w:pPr>
    </w:p>
    <w:p>
      <w:pPr>
        <w:spacing w:line="560" w:lineRule="exact"/>
        <w:ind w:firstLine="422" w:firstLineChars="150"/>
        <w:rPr>
          <w:rFonts w:ascii="仿宋_GB2312" w:hAnsi="仿宋_GB2312" w:eastAsia="仿宋_GB2312"/>
          <w:b/>
          <w:bCs/>
          <w:sz w:val="28"/>
          <w:szCs w:val="28"/>
        </w:rPr>
      </w:pPr>
      <w:r>
        <w:rPr>
          <w:rFonts w:hint="eastAsia" w:ascii="仿宋_GB2312" w:hAnsi="仿宋_GB2312" w:eastAsia="仿宋_GB2312"/>
          <w:b/>
          <w:bCs/>
          <w:sz w:val="28"/>
          <w:szCs w:val="28"/>
        </w:rPr>
        <w:t>采购项目名称：</w:t>
      </w:r>
      <w:r>
        <w:rPr>
          <w:rFonts w:hint="eastAsia" w:ascii="仿宋_GB2312" w:hAnsi="仿宋_GB2312" w:eastAsia="仿宋_GB2312"/>
          <w:b/>
          <w:bCs/>
          <w:sz w:val="28"/>
          <w:szCs w:val="28"/>
          <w:lang w:eastAsia="zh-CN"/>
        </w:rPr>
        <w:t>英吉沙县特色食品产业园项目二期-净化车间及动力配电采购</w:t>
      </w:r>
    </w:p>
    <w:p>
      <w:pPr>
        <w:spacing w:line="560" w:lineRule="exact"/>
        <w:ind w:firstLine="427" w:firstLineChars="152"/>
        <w:rPr>
          <w:rFonts w:ascii="仿宋_GB2312" w:hAnsi="仿宋_GB2312" w:eastAsia="仿宋_GB2312"/>
          <w:b/>
          <w:bCs/>
          <w:sz w:val="28"/>
          <w:szCs w:val="28"/>
        </w:rPr>
      </w:pPr>
      <w:r>
        <w:rPr>
          <w:rFonts w:hint="eastAsia" w:ascii="仿宋_GB2312" w:hAnsi="仿宋_GB2312" w:eastAsia="仿宋_GB2312"/>
          <w:b/>
          <w:bCs/>
          <w:sz w:val="28"/>
          <w:szCs w:val="28"/>
        </w:rPr>
        <w:t>采购单位：</w:t>
      </w:r>
      <w:r>
        <w:rPr>
          <w:rFonts w:hint="eastAsia" w:ascii="仿宋_GB2312" w:hAnsi="仿宋_GB2312" w:eastAsia="仿宋_GB2312"/>
          <w:b/>
          <w:bCs/>
          <w:sz w:val="28"/>
          <w:szCs w:val="28"/>
          <w:lang w:eastAsia="zh-CN"/>
        </w:rPr>
        <w:t>英吉沙县商务和工业信息化局</w:t>
      </w:r>
      <w:r>
        <w:rPr>
          <w:rFonts w:hint="eastAsia" w:ascii="仿宋_GB2312" w:hAnsi="仿宋_GB2312" w:eastAsia="仿宋_GB2312"/>
          <w:b/>
          <w:sz w:val="28"/>
          <w:szCs w:val="28"/>
        </w:rPr>
        <w:t>（盖章）</w:t>
      </w:r>
    </w:p>
    <w:p>
      <w:pPr>
        <w:spacing w:line="560" w:lineRule="exact"/>
        <w:ind w:firstLine="427" w:firstLineChars="152"/>
        <w:rPr>
          <w:rFonts w:ascii="仿宋_GB2312" w:hAnsi="仿宋_GB2312" w:eastAsia="仿宋_GB2312"/>
          <w:b/>
          <w:bCs/>
          <w:sz w:val="28"/>
          <w:szCs w:val="28"/>
        </w:rPr>
      </w:pPr>
      <w:r>
        <w:rPr>
          <w:rFonts w:hint="eastAsia" w:ascii="仿宋_GB2312" w:hAnsi="仿宋_GB2312" w:eastAsia="仿宋_GB2312"/>
          <w:b/>
          <w:bCs/>
          <w:sz w:val="28"/>
          <w:szCs w:val="28"/>
        </w:rPr>
        <w:t>联 系 人：</w:t>
      </w:r>
      <w:r>
        <w:rPr>
          <w:rFonts w:hint="eastAsia" w:ascii="仿宋_GB2312" w:hAnsi="仿宋_GB2312" w:eastAsia="仿宋_GB2312"/>
          <w:b/>
          <w:bCs/>
          <w:sz w:val="28"/>
          <w:szCs w:val="28"/>
          <w:lang w:eastAsia="zh-CN"/>
        </w:rPr>
        <w:t>王主任</w:t>
      </w:r>
      <w:r>
        <w:rPr>
          <w:rFonts w:hint="eastAsia" w:ascii="仿宋_GB2312" w:hAnsi="仿宋_GB2312" w:eastAsia="仿宋_GB2312"/>
          <w:b/>
          <w:bCs/>
          <w:sz w:val="28"/>
          <w:szCs w:val="28"/>
        </w:rPr>
        <w:t xml:space="preserve">       </w:t>
      </w:r>
    </w:p>
    <w:p>
      <w:pPr>
        <w:spacing w:line="560" w:lineRule="exact"/>
        <w:ind w:firstLine="427" w:firstLineChars="152"/>
        <w:rPr>
          <w:rFonts w:hint="eastAsia" w:ascii="仿宋_GB2312" w:hAnsi="仿宋_GB2312" w:eastAsia="仿宋_GB2312"/>
          <w:b/>
          <w:bCs/>
          <w:sz w:val="28"/>
          <w:szCs w:val="28"/>
          <w:lang w:eastAsia="zh-CN"/>
        </w:rPr>
      </w:pPr>
      <w:r>
        <w:rPr>
          <w:rFonts w:hint="eastAsia" w:ascii="仿宋_GB2312" w:hAnsi="仿宋_GB2312" w:eastAsia="仿宋_GB2312"/>
          <w:b/>
          <w:bCs/>
          <w:sz w:val="28"/>
          <w:szCs w:val="28"/>
        </w:rPr>
        <w:t>联系电话：</w:t>
      </w:r>
      <w:r>
        <w:rPr>
          <w:rFonts w:hint="eastAsia" w:ascii="仿宋_GB2312" w:hAnsi="仿宋_GB2312" w:eastAsia="仿宋_GB2312"/>
          <w:b/>
          <w:bCs/>
          <w:sz w:val="28"/>
          <w:szCs w:val="28"/>
          <w:lang w:eastAsia="zh-CN"/>
        </w:rPr>
        <w:t>0998-3633520</w:t>
      </w:r>
    </w:p>
    <w:p>
      <w:pPr>
        <w:spacing w:line="560" w:lineRule="exact"/>
        <w:rPr>
          <w:rFonts w:ascii="仿宋_GB2312" w:hAnsi="仿宋_GB2312" w:eastAsia="仿宋_GB2312"/>
          <w:b/>
          <w:bCs/>
          <w:sz w:val="28"/>
          <w:szCs w:val="28"/>
        </w:rPr>
      </w:pPr>
      <w:r>
        <w:rPr>
          <w:rFonts w:ascii="仿宋_GB2312" w:hAnsi="仿宋_GB2312" w:eastAsia="仿宋_GB2312"/>
          <w:b/>
          <w:bCs/>
          <w:sz w:val="24"/>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224790</wp:posOffset>
                </wp:positionV>
                <wp:extent cx="5286375" cy="0"/>
                <wp:effectExtent l="0" t="0" r="0" b="0"/>
                <wp:wrapNone/>
                <wp:docPr id="2" name="直线 2"/>
                <wp:cNvGraphicFramePr/>
                <a:graphic xmlns:a="http://schemas.openxmlformats.org/drawingml/2006/main">
                  <a:graphicData uri="http://schemas.microsoft.com/office/word/2010/wordprocessingShape">
                    <wps:wsp>
                      <wps:cNvCnPr/>
                      <wps:spPr>
                        <a:xfrm>
                          <a:off x="0" y="0"/>
                          <a:ext cx="5286375" cy="0"/>
                        </a:xfrm>
                        <a:prstGeom prst="line">
                          <a:avLst/>
                        </a:prstGeom>
                        <a:ln w="12700" cap="rnd" cmpd="sng">
                          <a:solidFill>
                            <a:srgbClr val="000000"/>
                          </a:solidFill>
                          <a:prstDash val="sysDot"/>
                          <a:headEnd type="none" w="med" len="med"/>
                          <a:tailEnd type="none" w="med" len="med"/>
                        </a:ln>
                      </wps:spPr>
                      <wps:bodyPr/>
                    </wps:wsp>
                  </a:graphicData>
                </a:graphic>
              </wp:anchor>
            </w:drawing>
          </mc:Choice>
          <mc:Fallback>
            <w:pict>
              <v:line id="直线 2" o:spid="_x0000_s1026" o:spt="20" style="position:absolute;left:0pt;margin-left:5.6pt;margin-top:17.7pt;height:0pt;width:416.25pt;z-index:251659264;mso-width-relative:page;mso-height-relative:page;" filled="f" stroked="t" coordsize="21600,21600" o:gfxdata="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5KCFD2gAAAAgBAAAPAAAAAAAAAAEAIAAAACIAAABkcnMv&#10;ZG93bnJldi54bWxQSwECFAAUAAAACACHTuJAni/Sg8gBAACCAwAADgAAAAAAAAABACAAAAApAQAA&#10;ZHJzL2Uyb0RvYy54bWxQSwUGAAAAAAYABgBZAQAAYwUAAAAA&#10;">
                <v:fill on="f" focussize="0,0"/>
                <v:stroke weight="1pt" color="#000000" joinstyle="round" dashstyle="1 1" endcap="round"/>
                <v:imagedata o:title=""/>
                <o:lock v:ext="edit" aspectratio="f"/>
              </v:line>
            </w:pict>
          </mc:Fallback>
        </mc:AlternateContent>
      </w:r>
    </w:p>
    <w:p>
      <w:pPr>
        <w:spacing w:line="288" w:lineRule="auto"/>
        <w:ind w:firstLine="427" w:firstLineChars="152"/>
        <w:rPr>
          <w:rFonts w:ascii="仿宋_GB2312" w:hAnsi="仿宋_GB2312" w:eastAsia="仿宋_GB2312"/>
          <w:b/>
          <w:bCs/>
          <w:sz w:val="28"/>
          <w:szCs w:val="28"/>
        </w:rPr>
      </w:pPr>
      <w:r>
        <w:rPr>
          <w:rFonts w:hint="eastAsia" w:ascii="仿宋_GB2312" w:hAnsi="仿宋_GB2312" w:eastAsia="仿宋_GB2312"/>
          <w:b/>
          <w:bCs/>
          <w:sz w:val="28"/>
          <w:szCs w:val="28"/>
        </w:rPr>
        <w:t>招标代理机构：</w:t>
      </w:r>
      <w:r>
        <w:rPr>
          <w:rFonts w:hint="eastAsia" w:ascii="仿宋_GB2312" w:hAnsi="仿宋_GB2312" w:eastAsia="仿宋_GB2312"/>
          <w:b/>
          <w:sz w:val="28"/>
          <w:szCs w:val="28"/>
        </w:rPr>
        <w:t>新疆</w:t>
      </w:r>
      <w:r>
        <w:rPr>
          <w:rFonts w:hint="eastAsia" w:ascii="仿宋_GB2312" w:hAnsi="仿宋_GB2312" w:eastAsia="仿宋_GB2312"/>
          <w:b/>
          <w:sz w:val="28"/>
          <w:szCs w:val="28"/>
          <w:lang w:eastAsia="zh-CN"/>
        </w:rPr>
        <w:t>荣九工程</w:t>
      </w:r>
      <w:r>
        <w:rPr>
          <w:rFonts w:hint="eastAsia" w:ascii="仿宋_GB2312" w:hAnsi="仿宋_GB2312" w:eastAsia="仿宋_GB2312"/>
          <w:b/>
          <w:sz w:val="28"/>
          <w:szCs w:val="28"/>
        </w:rPr>
        <w:t>管理有限公司 （盖章）</w:t>
      </w:r>
    </w:p>
    <w:p>
      <w:pPr>
        <w:autoSpaceDE w:val="0"/>
        <w:autoSpaceDN w:val="0"/>
        <w:adjustRightInd w:val="0"/>
        <w:spacing w:line="560" w:lineRule="exact"/>
        <w:ind w:firstLine="427" w:firstLineChars="152"/>
        <w:rPr>
          <w:rFonts w:ascii="仿宋_GB2312" w:hAnsi="仿宋_GB2312" w:eastAsia="仿宋_GB2312"/>
          <w:bCs/>
          <w:kern w:val="0"/>
          <w:sz w:val="28"/>
          <w:szCs w:val="28"/>
        </w:rPr>
      </w:pPr>
      <w:r>
        <w:rPr>
          <w:rFonts w:hint="eastAsia" w:ascii="仿宋_GB2312" w:hAnsi="仿宋_GB2312" w:eastAsia="仿宋_GB2312"/>
          <w:b/>
          <w:bCs/>
          <w:sz w:val="28"/>
          <w:szCs w:val="28"/>
        </w:rPr>
        <w:t>联 系 人：</w:t>
      </w:r>
      <w:r>
        <w:rPr>
          <w:rFonts w:hint="eastAsia" w:ascii="仿宋_GB2312" w:hAnsi="仿宋_GB2312" w:eastAsia="仿宋_GB2312"/>
          <w:b/>
          <w:bCs/>
          <w:sz w:val="28"/>
          <w:szCs w:val="28"/>
          <w:lang w:eastAsia="zh-CN"/>
        </w:rPr>
        <w:t>胡斌</w:t>
      </w:r>
      <w:r>
        <w:rPr>
          <w:rFonts w:hint="eastAsia" w:ascii="仿宋_GB2312" w:hAnsi="仿宋_GB2312" w:eastAsia="仿宋_GB2312"/>
          <w:b/>
          <w:bCs/>
          <w:kern w:val="0"/>
          <w:sz w:val="28"/>
          <w:szCs w:val="28"/>
        </w:rPr>
        <w:t xml:space="preserve"> </w:t>
      </w:r>
      <w:r>
        <w:rPr>
          <w:rFonts w:hint="eastAsia" w:ascii="仿宋_GB2312" w:hAnsi="仿宋_GB2312" w:eastAsia="仿宋_GB2312"/>
          <w:bCs/>
          <w:kern w:val="0"/>
          <w:sz w:val="28"/>
          <w:szCs w:val="28"/>
        </w:rPr>
        <w:t xml:space="preserve"> </w:t>
      </w:r>
    </w:p>
    <w:p>
      <w:pPr>
        <w:autoSpaceDE w:val="0"/>
        <w:autoSpaceDN w:val="0"/>
        <w:adjustRightInd w:val="0"/>
        <w:spacing w:line="560" w:lineRule="exact"/>
        <w:ind w:firstLine="427" w:firstLineChars="152"/>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rPr>
        <w:t>联系电话：</w:t>
      </w:r>
      <w:r>
        <w:rPr>
          <w:rFonts w:hint="eastAsia" w:ascii="仿宋_GB2312" w:hAnsi="仿宋_GB2312" w:eastAsia="仿宋_GB2312"/>
          <w:b/>
          <w:kern w:val="0"/>
          <w:sz w:val="28"/>
          <w:szCs w:val="28"/>
          <w:lang w:eastAsia="zh-CN"/>
        </w:rPr>
        <w:t>15739141779</w:t>
      </w:r>
    </w:p>
    <w:p>
      <w:pPr>
        <w:pStyle w:val="70"/>
        <w:jc w:val="center"/>
        <w:sectPr>
          <w:footerReference r:id="rId5" w:type="first"/>
          <w:headerReference r:id="rId3" w:type="default"/>
          <w:footerReference r:id="rId4" w:type="default"/>
          <w:pgSz w:w="11906" w:h="16838"/>
          <w:pgMar w:top="1440" w:right="1797" w:bottom="1440" w:left="1797" w:header="851" w:footer="992" w:gutter="0"/>
          <w:pgNumType w:fmt="decimal" w:start="1"/>
          <w:cols w:space="720" w:num="1"/>
          <w:titlePg/>
          <w:docGrid w:type="lines" w:linePitch="312" w:charSpace="0"/>
        </w:sectPr>
      </w:pPr>
    </w:p>
    <w:p>
      <w:pPr>
        <w:pStyle w:val="70"/>
        <w:jc w:val="center"/>
      </w:pPr>
      <w:r>
        <w:rPr>
          <w:lang w:val="zh-CN"/>
        </w:rPr>
        <w:t>目录</w:t>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fldChar w:fldCharType="begin"/>
      </w:r>
      <w:r>
        <w:instrText xml:space="preserve"> TOC \o "1-3" \h \z \u </w:instrText>
      </w:r>
      <w:r>
        <w:fldChar w:fldCharType="separate"/>
      </w:r>
      <w:r>
        <w:rPr>
          <w:sz w:val="24"/>
          <w:szCs w:val="24"/>
        </w:rPr>
        <w:fldChar w:fldCharType="begin"/>
      </w:r>
      <w:r>
        <w:rPr>
          <w:sz w:val="24"/>
          <w:szCs w:val="24"/>
        </w:rPr>
        <w:instrText xml:space="preserve"> HYPERLINK \l "_Toc16169" </w:instrText>
      </w:r>
      <w:r>
        <w:rPr>
          <w:sz w:val="24"/>
          <w:szCs w:val="24"/>
        </w:rPr>
        <w:fldChar w:fldCharType="separate"/>
      </w:r>
      <w:r>
        <w:rPr>
          <w:rFonts w:hint="eastAsia" w:eastAsia="黑体"/>
          <w:sz w:val="24"/>
          <w:szCs w:val="24"/>
        </w:rPr>
        <w:t>第一部分  招标公告</w:t>
      </w:r>
      <w:r>
        <w:rPr>
          <w:sz w:val="24"/>
          <w:szCs w:val="24"/>
        </w:rPr>
        <w:tab/>
      </w:r>
      <w:r>
        <w:rPr>
          <w:sz w:val="24"/>
          <w:szCs w:val="24"/>
        </w:rPr>
        <w:fldChar w:fldCharType="end"/>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rPr>
          <w:sz w:val="24"/>
          <w:szCs w:val="24"/>
        </w:rPr>
        <w:fldChar w:fldCharType="begin"/>
      </w:r>
      <w:r>
        <w:rPr>
          <w:sz w:val="24"/>
          <w:szCs w:val="24"/>
        </w:rPr>
        <w:instrText xml:space="preserve"> HYPERLINK \l "_Toc9869" </w:instrText>
      </w:r>
      <w:r>
        <w:rPr>
          <w:sz w:val="24"/>
          <w:szCs w:val="24"/>
        </w:rPr>
        <w:fldChar w:fldCharType="separate"/>
      </w:r>
      <w:r>
        <w:rPr>
          <w:rFonts w:hint="eastAsia" w:eastAsia="黑体"/>
          <w:sz w:val="24"/>
          <w:szCs w:val="24"/>
        </w:rPr>
        <w:t>第二部分   投标人须知前附表</w:t>
      </w:r>
      <w:r>
        <w:rPr>
          <w:sz w:val="24"/>
          <w:szCs w:val="24"/>
        </w:rPr>
        <w:tab/>
      </w:r>
      <w:r>
        <w:rPr>
          <w:sz w:val="24"/>
          <w:szCs w:val="24"/>
        </w:rPr>
        <w:fldChar w:fldCharType="end"/>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rPr>
          <w:sz w:val="24"/>
          <w:szCs w:val="24"/>
        </w:rPr>
        <w:fldChar w:fldCharType="begin"/>
      </w:r>
      <w:r>
        <w:rPr>
          <w:sz w:val="24"/>
          <w:szCs w:val="24"/>
        </w:rPr>
        <w:instrText xml:space="preserve"> HYPERLINK \l "_Toc11230" </w:instrText>
      </w:r>
      <w:r>
        <w:rPr>
          <w:sz w:val="24"/>
          <w:szCs w:val="24"/>
        </w:rPr>
        <w:fldChar w:fldCharType="separate"/>
      </w:r>
      <w:r>
        <w:rPr>
          <w:rFonts w:hint="eastAsia" w:eastAsia="黑体"/>
          <w:sz w:val="24"/>
          <w:szCs w:val="24"/>
        </w:rPr>
        <w:t>第三部分   投标人须知</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"_Toc24930" </w:instrText>
      </w:r>
      <w:r>
        <w:rPr>
          <w:sz w:val="24"/>
          <w:szCs w:val="24"/>
        </w:rPr>
        <w:fldChar w:fldCharType="separate"/>
      </w:r>
      <w:r>
        <w:rPr>
          <w:rFonts w:hint="eastAsia" w:ascii="宋体" w:hAnsi="宋体"/>
          <w:sz w:val="24"/>
          <w:szCs w:val="24"/>
        </w:rPr>
        <w:t>一、总则</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"_Toc18590" </w:instrText>
      </w:r>
      <w:r>
        <w:rPr>
          <w:sz w:val="24"/>
          <w:szCs w:val="24"/>
        </w:rPr>
        <w:fldChar w:fldCharType="separate"/>
      </w:r>
      <w:r>
        <w:rPr>
          <w:rFonts w:hint="eastAsia" w:ascii="宋体" w:hAnsi="宋体"/>
          <w:sz w:val="24"/>
          <w:szCs w:val="24"/>
        </w:rPr>
        <w:t>二、招标文件</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"_Toc13060" </w:instrText>
      </w:r>
      <w:r>
        <w:rPr>
          <w:sz w:val="24"/>
          <w:szCs w:val="24"/>
        </w:rPr>
        <w:fldChar w:fldCharType="separate"/>
      </w:r>
      <w:r>
        <w:rPr>
          <w:rFonts w:hint="eastAsia" w:ascii="宋体" w:hAnsi="宋体"/>
          <w:sz w:val="24"/>
          <w:szCs w:val="24"/>
        </w:rPr>
        <w:t>三、投标文件</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"_Toc11569" </w:instrText>
      </w:r>
      <w:r>
        <w:rPr>
          <w:sz w:val="24"/>
          <w:szCs w:val="24"/>
        </w:rPr>
        <w:fldChar w:fldCharType="separate"/>
      </w:r>
      <w:r>
        <w:rPr>
          <w:rFonts w:hint="eastAsia" w:ascii="宋体" w:hAnsi="宋体"/>
          <w:sz w:val="24"/>
          <w:szCs w:val="24"/>
        </w:rPr>
        <w:t>四、投标保证金</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"_Toc1403" </w:instrText>
      </w:r>
      <w:r>
        <w:rPr>
          <w:sz w:val="24"/>
          <w:szCs w:val="24"/>
        </w:rPr>
        <w:fldChar w:fldCharType="separate"/>
      </w:r>
      <w:r>
        <w:rPr>
          <w:rFonts w:hint="eastAsia" w:ascii="宋体" w:hAnsi="宋体"/>
          <w:sz w:val="24"/>
          <w:szCs w:val="24"/>
        </w:rPr>
        <w:t>五、投标文件的递交</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"_Toc3932" </w:instrText>
      </w:r>
      <w:r>
        <w:rPr>
          <w:sz w:val="24"/>
          <w:szCs w:val="24"/>
        </w:rPr>
        <w:fldChar w:fldCharType="separate"/>
      </w:r>
      <w:r>
        <w:rPr>
          <w:rFonts w:hint="eastAsia" w:ascii="宋体" w:hAnsi="宋体"/>
          <w:sz w:val="24"/>
          <w:szCs w:val="24"/>
        </w:rPr>
        <w:t>六、开标</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"_Toc17388" </w:instrText>
      </w:r>
      <w:r>
        <w:rPr>
          <w:sz w:val="24"/>
          <w:szCs w:val="24"/>
        </w:rPr>
        <w:fldChar w:fldCharType="separate"/>
      </w:r>
      <w:r>
        <w:rPr>
          <w:rFonts w:hint="eastAsia" w:ascii="宋体" w:hAnsi="宋体"/>
          <w:sz w:val="24"/>
          <w:szCs w:val="24"/>
        </w:rPr>
        <w:t>七、评标步骤和要求</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"_Toc20570" </w:instrText>
      </w:r>
      <w:r>
        <w:rPr>
          <w:sz w:val="24"/>
          <w:szCs w:val="24"/>
        </w:rPr>
        <w:fldChar w:fldCharType="separate"/>
      </w:r>
      <w:r>
        <w:rPr>
          <w:rFonts w:hint="eastAsia" w:ascii="宋体" w:hAnsi="宋体"/>
          <w:sz w:val="24"/>
          <w:szCs w:val="24"/>
        </w:rPr>
        <w:t>八、履约保证金</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"_Toc2723" </w:instrText>
      </w:r>
      <w:r>
        <w:rPr>
          <w:sz w:val="24"/>
          <w:szCs w:val="24"/>
        </w:rPr>
        <w:fldChar w:fldCharType="separate"/>
      </w:r>
      <w:r>
        <w:rPr>
          <w:rFonts w:hint="eastAsia" w:ascii="宋体" w:hAnsi="宋体"/>
          <w:sz w:val="24"/>
          <w:szCs w:val="24"/>
        </w:rPr>
        <w:t>九、代理服务费</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"_Toc25405" </w:instrText>
      </w:r>
      <w:r>
        <w:rPr>
          <w:sz w:val="24"/>
          <w:szCs w:val="24"/>
        </w:rPr>
        <w:fldChar w:fldCharType="separate"/>
      </w:r>
      <w:r>
        <w:rPr>
          <w:rFonts w:hint="eastAsia" w:ascii="宋体" w:hAnsi="宋体"/>
          <w:sz w:val="24"/>
          <w:szCs w:val="24"/>
        </w:rPr>
        <w:t>十、签订、备案合同</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"_Toc4224" </w:instrText>
      </w:r>
      <w:r>
        <w:rPr>
          <w:sz w:val="24"/>
          <w:szCs w:val="24"/>
        </w:rPr>
        <w:fldChar w:fldCharType="separate"/>
      </w:r>
      <w:r>
        <w:rPr>
          <w:rFonts w:hint="eastAsia" w:ascii="宋体" w:hAnsi="宋体"/>
          <w:sz w:val="24"/>
          <w:szCs w:val="24"/>
        </w:rPr>
        <w:t>十一、处罚、询问和质疑</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"_Toc15153" </w:instrText>
      </w:r>
      <w:r>
        <w:rPr>
          <w:sz w:val="24"/>
          <w:szCs w:val="24"/>
        </w:rPr>
        <w:fldChar w:fldCharType="separate"/>
      </w:r>
      <w:r>
        <w:rPr>
          <w:rFonts w:hint="eastAsia" w:ascii="宋体" w:hAnsi="宋体"/>
          <w:sz w:val="24"/>
          <w:szCs w:val="24"/>
        </w:rPr>
        <w:t>十二、保密和披露</w:t>
      </w:r>
      <w:r>
        <w:rPr>
          <w:sz w:val="24"/>
          <w:szCs w:val="24"/>
        </w:rPr>
        <w:tab/>
      </w:r>
      <w:r>
        <w:rPr>
          <w:sz w:val="24"/>
          <w:szCs w:val="24"/>
        </w:rPr>
        <w:fldChar w:fldCharType="end"/>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rPr>
          <w:sz w:val="24"/>
          <w:szCs w:val="24"/>
        </w:rPr>
        <w:fldChar w:fldCharType="begin"/>
      </w:r>
      <w:r>
        <w:rPr>
          <w:sz w:val="24"/>
          <w:szCs w:val="24"/>
        </w:rPr>
        <w:instrText xml:space="preserve"> HYPERLINK \l "_Toc23714" </w:instrText>
      </w:r>
      <w:r>
        <w:rPr>
          <w:sz w:val="24"/>
          <w:szCs w:val="24"/>
        </w:rPr>
        <w:fldChar w:fldCharType="separate"/>
      </w:r>
      <w:r>
        <w:rPr>
          <w:rFonts w:hint="eastAsia" w:eastAsia="黑体"/>
          <w:sz w:val="24"/>
          <w:szCs w:val="24"/>
        </w:rPr>
        <w:t>第四部分   采购清单</w:t>
      </w:r>
      <w:r>
        <w:rPr>
          <w:sz w:val="24"/>
          <w:szCs w:val="24"/>
        </w:rPr>
        <w:tab/>
      </w:r>
      <w:r>
        <w:rPr>
          <w:sz w:val="24"/>
          <w:szCs w:val="24"/>
        </w:rPr>
        <w:fldChar w:fldCharType="end"/>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rPr>
          <w:sz w:val="24"/>
          <w:szCs w:val="24"/>
        </w:rPr>
        <w:fldChar w:fldCharType="begin"/>
      </w:r>
      <w:r>
        <w:rPr>
          <w:sz w:val="24"/>
          <w:szCs w:val="24"/>
        </w:rPr>
        <w:instrText xml:space="preserve"> HYPERLINK \l "_Toc10482" </w:instrText>
      </w:r>
      <w:r>
        <w:rPr>
          <w:sz w:val="24"/>
          <w:szCs w:val="24"/>
        </w:rPr>
        <w:fldChar w:fldCharType="separate"/>
      </w:r>
      <w:r>
        <w:rPr>
          <w:rFonts w:hint="eastAsia" w:eastAsia="黑体"/>
          <w:sz w:val="24"/>
          <w:szCs w:val="24"/>
        </w:rPr>
        <w:t>第五部分   评审方法</w:t>
      </w:r>
      <w:r>
        <w:rPr>
          <w:sz w:val="24"/>
          <w:szCs w:val="24"/>
        </w:rPr>
        <w:tab/>
      </w:r>
      <w:r>
        <w:rPr>
          <w:sz w:val="24"/>
          <w:szCs w:val="24"/>
        </w:rPr>
        <w:fldChar w:fldCharType="end"/>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rPr>
          <w:sz w:val="24"/>
          <w:szCs w:val="24"/>
        </w:rPr>
        <w:fldChar w:fldCharType="begin"/>
      </w:r>
      <w:r>
        <w:rPr>
          <w:sz w:val="24"/>
          <w:szCs w:val="24"/>
        </w:rPr>
        <w:instrText xml:space="preserve"> HYPERLINK \l "_Toc12931" </w:instrText>
      </w:r>
      <w:r>
        <w:rPr>
          <w:sz w:val="24"/>
          <w:szCs w:val="24"/>
        </w:rPr>
        <w:fldChar w:fldCharType="separate"/>
      </w:r>
      <w:r>
        <w:rPr>
          <w:rFonts w:hint="eastAsia" w:ascii="宋体" w:hAnsi="宋体"/>
          <w:bCs/>
          <w:sz w:val="24"/>
          <w:szCs w:val="24"/>
        </w:rPr>
        <w:t>初步评审表</w:t>
      </w:r>
      <w:r>
        <w:rPr>
          <w:sz w:val="24"/>
          <w:szCs w:val="24"/>
        </w:rPr>
        <w:tab/>
      </w:r>
      <w:r>
        <w:rPr>
          <w:sz w:val="24"/>
          <w:szCs w:val="24"/>
        </w:rPr>
        <w:fldChar w:fldCharType="end"/>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rPr>
          <w:sz w:val="24"/>
          <w:szCs w:val="24"/>
        </w:rPr>
        <w:fldChar w:fldCharType="begin"/>
      </w:r>
      <w:r>
        <w:rPr>
          <w:sz w:val="24"/>
          <w:szCs w:val="24"/>
        </w:rPr>
        <w:instrText xml:space="preserve"> HYPERLINK \l "_Toc2306" </w:instrText>
      </w:r>
      <w:r>
        <w:rPr>
          <w:sz w:val="24"/>
          <w:szCs w:val="24"/>
        </w:rPr>
        <w:fldChar w:fldCharType="separate"/>
      </w:r>
      <w:r>
        <w:rPr>
          <w:rFonts w:hint="eastAsia" w:ascii="宋体" w:hAnsi="宋体"/>
          <w:bCs/>
          <w:sz w:val="24"/>
          <w:szCs w:val="24"/>
        </w:rPr>
        <w:t>附表2、详细评审</w:t>
      </w:r>
      <w:r>
        <w:rPr>
          <w:sz w:val="24"/>
          <w:szCs w:val="24"/>
        </w:rPr>
        <w:tab/>
      </w:r>
      <w:r>
        <w:rPr>
          <w:sz w:val="24"/>
          <w:szCs w:val="24"/>
        </w:rPr>
        <w:fldChar w:fldCharType="end"/>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rPr>
          <w:sz w:val="24"/>
          <w:szCs w:val="24"/>
        </w:rPr>
        <w:fldChar w:fldCharType="begin"/>
      </w:r>
      <w:r>
        <w:rPr>
          <w:sz w:val="24"/>
          <w:szCs w:val="24"/>
        </w:rPr>
        <w:instrText xml:space="preserve"> HYPERLINK \l "_Toc12259" </w:instrText>
      </w:r>
      <w:r>
        <w:rPr>
          <w:sz w:val="24"/>
          <w:szCs w:val="24"/>
        </w:rPr>
        <w:fldChar w:fldCharType="separate"/>
      </w:r>
      <w:r>
        <w:rPr>
          <w:rFonts w:hint="eastAsia" w:eastAsia="黑体"/>
          <w:sz w:val="24"/>
          <w:szCs w:val="24"/>
        </w:rPr>
        <w:t>第六部分   政府采购合同</w:t>
      </w:r>
      <w:r>
        <w:rPr>
          <w:sz w:val="24"/>
          <w:szCs w:val="24"/>
        </w:rPr>
        <w:tab/>
      </w:r>
      <w:r>
        <w:rPr>
          <w:sz w:val="24"/>
          <w:szCs w:val="24"/>
        </w:rPr>
        <w:fldChar w:fldCharType="end"/>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rPr>
          <w:sz w:val="24"/>
          <w:szCs w:val="24"/>
        </w:rPr>
        <w:fldChar w:fldCharType="begin"/>
      </w:r>
      <w:r>
        <w:rPr>
          <w:sz w:val="24"/>
          <w:szCs w:val="24"/>
        </w:rPr>
        <w:instrText xml:space="preserve"> HYPERLINK \l "_Toc28755" </w:instrText>
      </w:r>
      <w:r>
        <w:rPr>
          <w:sz w:val="24"/>
          <w:szCs w:val="24"/>
        </w:rPr>
        <w:fldChar w:fldCharType="separate"/>
      </w:r>
      <w:r>
        <w:rPr>
          <w:rFonts w:hint="eastAsia" w:eastAsia="黑体"/>
          <w:sz w:val="24"/>
          <w:szCs w:val="24"/>
        </w:rPr>
        <w:t>第七部分   投标文件格式</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"_Toc13115" </w:instrText>
      </w:r>
      <w:r>
        <w:rPr>
          <w:sz w:val="24"/>
          <w:szCs w:val="24"/>
        </w:rPr>
        <w:fldChar w:fldCharType="separate"/>
      </w:r>
      <w:r>
        <w:rPr>
          <w:rFonts w:hint="eastAsia" w:ascii="宋体" w:hAnsi="宋体"/>
          <w:sz w:val="24"/>
          <w:szCs w:val="24"/>
        </w:rPr>
        <w:t>一、资格审查材料</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"_Toc13190" </w:instrText>
      </w:r>
      <w:r>
        <w:rPr>
          <w:sz w:val="24"/>
          <w:szCs w:val="24"/>
        </w:rPr>
        <w:fldChar w:fldCharType="separate"/>
      </w:r>
      <w:r>
        <w:rPr>
          <w:rFonts w:hint="eastAsia" w:ascii="宋体" w:hAnsi="宋体"/>
          <w:sz w:val="24"/>
          <w:szCs w:val="24"/>
        </w:rPr>
        <w:t>（一）★营业执照、组织机构代码证、税务登记证</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"_Toc5773" </w:instrText>
      </w:r>
      <w:r>
        <w:rPr>
          <w:sz w:val="24"/>
          <w:szCs w:val="24"/>
        </w:rPr>
        <w:fldChar w:fldCharType="separate"/>
      </w:r>
      <w:r>
        <w:rPr>
          <w:rFonts w:hint="eastAsia" w:ascii="宋体" w:hAnsi="宋体"/>
          <w:sz w:val="24"/>
          <w:szCs w:val="24"/>
        </w:rPr>
        <w:t>（二）★投标保证金</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"_Toc17652" </w:instrText>
      </w:r>
      <w:r>
        <w:rPr>
          <w:sz w:val="24"/>
          <w:szCs w:val="24"/>
        </w:rPr>
        <w:fldChar w:fldCharType="separate"/>
      </w:r>
      <w:r>
        <w:rPr>
          <w:rFonts w:hint="eastAsia" w:ascii="宋体" w:hAnsi="宋体"/>
          <w:sz w:val="24"/>
          <w:szCs w:val="24"/>
        </w:rPr>
        <w:t>（三）其他声明及文件资料（分公司，业绩证明文件）</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"_Toc27070" </w:instrText>
      </w:r>
      <w:r>
        <w:rPr>
          <w:sz w:val="24"/>
          <w:szCs w:val="24"/>
        </w:rPr>
        <w:fldChar w:fldCharType="separate"/>
      </w:r>
      <w:r>
        <w:rPr>
          <w:rFonts w:hint="eastAsia" w:ascii="宋体" w:hAnsi="宋体"/>
          <w:sz w:val="24"/>
          <w:szCs w:val="24"/>
        </w:rPr>
        <w:t>二、商务部分</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"_Toc2066" </w:instrText>
      </w:r>
      <w:r>
        <w:rPr>
          <w:sz w:val="24"/>
          <w:szCs w:val="24"/>
        </w:rPr>
        <w:fldChar w:fldCharType="separate"/>
      </w:r>
      <w:r>
        <w:rPr>
          <w:rFonts w:hint="eastAsia" w:ascii="宋体" w:hAnsi="宋体"/>
          <w:sz w:val="24"/>
          <w:szCs w:val="24"/>
        </w:rPr>
        <w:t>（四）★投标函</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"_Toc28911" </w:instrText>
      </w:r>
      <w:r>
        <w:rPr>
          <w:sz w:val="24"/>
          <w:szCs w:val="24"/>
        </w:rPr>
        <w:fldChar w:fldCharType="separate"/>
      </w:r>
      <w:r>
        <w:rPr>
          <w:rFonts w:hint="eastAsia" w:ascii="宋体" w:hAnsi="宋体"/>
          <w:sz w:val="24"/>
          <w:szCs w:val="24"/>
        </w:rPr>
        <w:t>（五）★法定代表人授权委托书</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"_Toc27897" </w:instrText>
      </w:r>
      <w:r>
        <w:rPr>
          <w:sz w:val="24"/>
          <w:szCs w:val="24"/>
        </w:rPr>
        <w:fldChar w:fldCharType="separate"/>
      </w:r>
      <w:r>
        <w:rPr>
          <w:rFonts w:hint="eastAsia" w:ascii="宋体" w:hAnsi="宋体"/>
          <w:sz w:val="24"/>
          <w:szCs w:val="24"/>
        </w:rPr>
        <w:t>（六）中小微企业相关证明材料</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"_Toc3692" </w:instrText>
      </w:r>
      <w:r>
        <w:rPr>
          <w:sz w:val="24"/>
          <w:szCs w:val="24"/>
        </w:rPr>
        <w:fldChar w:fldCharType="separate"/>
      </w:r>
      <w:r>
        <w:rPr>
          <w:rFonts w:hint="eastAsia" w:ascii="宋体" w:hAnsi="宋体"/>
          <w:sz w:val="24"/>
          <w:szCs w:val="24"/>
        </w:rPr>
        <w:t>（七）★开标一览表</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"_Toc32015" </w:instrText>
      </w:r>
      <w:r>
        <w:rPr>
          <w:sz w:val="24"/>
          <w:szCs w:val="24"/>
        </w:rPr>
        <w:fldChar w:fldCharType="separate"/>
      </w:r>
      <w:r>
        <w:rPr>
          <w:rFonts w:hint="eastAsia" w:ascii="宋体" w:hAnsi="宋体"/>
          <w:sz w:val="24"/>
          <w:szCs w:val="24"/>
        </w:rPr>
        <w:t>（八）★报价明细表</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"_Toc15649" </w:instrText>
      </w:r>
      <w:r>
        <w:rPr>
          <w:sz w:val="24"/>
          <w:szCs w:val="24"/>
        </w:rPr>
        <w:fldChar w:fldCharType="separate"/>
      </w:r>
      <w:r>
        <w:rPr>
          <w:rFonts w:hint="eastAsia" w:ascii="宋体" w:hAnsi="宋体"/>
          <w:sz w:val="24"/>
          <w:szCs w:val="24"/>
        </w:rPr>
        <w:t>三、技术部分</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"_Toc2603" </w:instrText>
      </w:r>
      <w:r>
        <w:rPr>
          <w:sz w:val="24"/>
          <w:szCs w:val="24"/>
        </w:rPr>
        <w:fldChar w:fldCharType="separate"/>
      </w:r>
      <w:r>
        <w:rPr>
          <w:rFonts w:hint="eastAsia" w:ascii="宋体" w:hAnsi="宋体"/>
          <w:sz w:val="24"/>
          <w:szCs w:val="24"/>
        </w:rPr>
        <w:t>（九）投标人自行编写的技术文件</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"_Toc10173" </w:instrText>
      </w:r>
      <w:r>
        <w:rPr>
          <w:sz w:val="24"/>
          <w:szCs w:val="24"/>
        </w:rPr>
        <w:fldChar w:fldCharType="separate"/>
      </w:r>
      <w:r>
        <w:rPr>
          <w:rFonts w:hint="eastAsia" w:ascii="宋体" w:hAnsi="宋体"/>
          <w:sz w:val="24"/>
          <w:szCs w:val="24"/>
        </w:rPr>
        <w:t>四、服务部分</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pPr>
      <w:r>
        <w:rPr>
          <w:sz w:val="24"/>
          <w:szCs w:val="24"/>
        </w:rPr>
        <w:fldChar w:fldCharType="begin"/>
      </w:r>
      <w:r>
        <w:rPr>
          <w:sz w:val="24"/>
          <w:szCs w:val="24"/>
        </w:rPr>
        <w:instrText xml:space="preserve"> HYPERLINK \l "_Toc31658" </w:instrText>
      </w:r>
      <w:r>
        <w:rPr>
          <w:sz w:val="24"/>
          <w:szCs w:val="24"/>
        </w:rPr>
        <w:fldChar w:fldCharType="separate"/>
      </w:r>
      <w:r>
        <w:rPr>
          <w:rFonts w:hint="eastAsia" w:ascii="宋体" w:hAnsi="宋体"/>
          <w:sz w:val="24"/>
          <w:szCs w:val="24"/>
        </w:rPr>
        <w:t>（十）投标人自行编写的服务文件</w:t>
      </w:r>
      <w:r>
        <w:rPr>
          <w:sz w:val="24"/>
          <w:szCs w:val="24"/>
        </w:rPr>
        <w:tab/>
      </w:r>
      <w:r>
        <w:rPr>
          <w:sz w:val="24"/>
          <w:szCs w:val="24"/>
        </w:rPr>
        <w:fldChar w:fldCharType="end"/>
      </w:r>
    </w:p>
    <w:p>
      <w:r>
        <w:fldChar w:fldCharType="end"/>
      </w:r>
    </w:p>
    <w:p>
      <w:pPr>
        <w:rPr>
          <w:b/>
          <w:bCs/>
          <w:lang w:val="zh-CN"/>
        </w:rPr>
      </w:pPr>
    </w:p>
    <w:p>
      <w:pPr>
        <w:rPr>
          <w:b/>
          <w:bCs/>
          <w:lang w:val="zh-CN"/>
        </w:rPr>
      </w:pPr>
    </w:p>
    <w:p>
      <w:pPr>
        <w:rPr>
          <w:b/>
          <w:bCs/>
          <w:lang w:val="zh-CN"/>
        </w:rPr>
      </w:pPr>
    </w:p>
    <w:p>
      <w:pPr>
        <w:rPr>
          <w:b/>
          <w:bCs/>
          <w:lang w:val="zh-CN"/>
        </w:rPr>
      </w:pPr>
    </w:p>
    <w:p>
      <w:pPr>
        <w:rPr>
          <w:b/>
          <w:bCs/>
          <w:lang w:val="zh-CN"/>
        </w:rPr>
      </w:pPr>
    </w:p>
    <w:p>
      <w:pPr>
        <w:pStyle w:val="30"/>
        <w:ind w:left="723" w:hanging="723"/>
        <w:jc w:val="center"/>
        <w:outlineLvl w:val="0"/>
        <w:rPr>
          <w:rFonts w:eastAsia="黑体"/>
          <w:b/>
          <w:sz w:val="36"/>
          <w:szCs w:val="36"/>
        </w:rPr>
      </w:pPr>
      <w:bookmarkStart w:id="0" w:name="_Toc16169"/>
      <w:r>
        <w:rPr>
          <w:rFonts w:hint="eastAsia" w:eastAsia="黑体"/>
          <w:b/>
          <w:sz w:val="36"/>
          <w:szCs w:val="36"/>
        </w:rPr>
        <w:t>第一部分  招标公告</w:t>
      </w:r>
      <w:bookmarkEnd w:id="0"/>
    </w:p>
    <w:p>
      <w:pPr>
        <w:bidi w:val="0"/>
        <w:jc w:val="center"/>
        <w:rPr>
          <w:rFonts w:hint="eastAsia" w:ascii="宋体" w:hAnsi="宋体" w:eastAsia="宋体" w:cs="宋体"/>
          <w:b/>
          <w:bCs/>
          <w:sz w:val="28"/>
          <w:szCs w:val="28"/>
          <w:lang w:eastAsia="zh-CN"/>
        </w:rPr>
      </w:pPr>
      <w:bookmarkStart w:id="1" w:name="_Toc9869"/>
      <w:bookmarkStart w:id="2" w:name="_Toc33194700"/>
      <w:bookmarkStart w:id="3" w:name="_Toc33212754"/>
      <w:r>
        <w:rPr>
          <w:rFonts w:hint="eastAsia" w:ascii="宋体" w:hAnsi="宋体" w:eastAsia="宋体" w:cs="宋体"/>
          <w:b/>
          <w:bCs/>
          <w:sz w:val="28"/>
          <w:szCs w:val="28"/>
          <w:lang w:eastAsia="zh-CN"/>
        </w:rPr>
        <w:t>英吉沙县特色食品产业园项目-净化车间及动力配电采购</w:t>
      </w:r>
    </w:p>
    <w:p>
      <w:pPr>
        <w:bidi w:val="0"/>
        <w:jc w:val="center"/>
        <w:rPr>
          <w:rFonts w:hint="eastAsia" w:ascii="宋体" w:hAnsi="宋体" w:eastAsia="宋体" w:cs="宋体"/>
          <w:b/>
          <w:bCs/>
          <w:sz w:val="28"/>
          <w:szCs w:val="28"/>
        </w:rPr>
      </w:pPr>
      <w:r>
        <w:rPr>
          <w:rFonts w:hint="eastAsia" w:ascii="宋体" w:hAnsi="宋体" w:eastAsia="宋体" w:cs="宋体"/>
          <w:b/>
          <w:bCs/>
          <w:sz w:val="28"/>
          <w:szCs w:val="28"/>
        </w:rPr>
        <w:t>公开招标公告</w:t>
      </w:r>
    </w:p>
    <w:p>
      <w:pPr>
        <w:pStyle w:val="33"/>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sz w:val="24"/>
          <w:szCs w:val="24"/>
        </w:rPr>
      </w:pPr>
      <w:r>
        <w:rPr>
          <w:rStyle w:val="40"/>
          <w:rFonts w:hint="eastAsia" w:ascii="宋体" w:hAnsi="宋体" w:eastAsia="宋体" w:cs="宋体"/>
          <w:i w:val="0"/>
          <w:caps w:val="0"/>
          <w:color w:val="000000"/>
          <w:spacing w:val="0"/>
          <w:sz w:val="24"/>
          <w:szCs w:val="24"/>
          <w:u w:val="none"/>
        </w:rPr>
        <w:t>一、项目基本情况</w:t>
      </w:r>
      <w:r>
        <w:rPr>
          <w:rFonts w:hint="eastAsia" w:ascii="宋体" w:hAnsi="宋体" w:eastAsia="宋体" w:cs="宋体"/>
          <w:i w:val="0"/>
          <w:caps w:val="0"/>
          <w:color w:val="000000"/>
          <w:spacing w:val="0"/>
          <w:sz w:val="24"/>
          <w:szCs w:val="24"/>
          <w:u w:val="none"/>
        </w:rPr>
        <w:t xml:space="preserve"> </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项目编号：XJRJ-YJS-2020（CG00</w:t>
      </w:r>
      <w:r>
        <w:rPr>
          <w:rFonts w:hint="eastAsia" w:ascii="宋体" w:hAnsi="宋体" w:cs="宋体"/>
          <w:i w:val="0"/>
          <w:caps w:val="0"/>
          <w:color w:val="000000"/>
          <w:spacing w:val="0"/>
          <w:sz w:val="24"/>
          <w:szCs w:val="24"/>
          <w:u w:val="none"/>
          <w:lang w:val="en-US" w:eastAsia="zh-CN"/>
        </w:rPr>
        <w:t>2</w:t>
      </w:r>
      <w:r>
        <w:rPr>
          <w:rFonts w:hint="eastAsia" w:ascii="宋体" w:hAnsi="宋体" w:eastAsia="宋体" w:cs="宋体"/>
          <w:i w:val="0"/>
          <w:caps w:val="0"/>
          <w:color w:val="000000"/>
          <w:spacing w:val="0"/>
          <w:sz w:val="24"/>
          <w:szCs w:val="24"/>
          <w:u w:val="none"/>
        </w:rPr>
        <w:t>）</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lang w:eastAsia="zh-CN"/>
        </w:rPr>
      </w:pPr>
      <w:r>
        <w:rPr>
          <w:rFonts w:hint="eastAsia" w:ascii="宋体" w:hAnsi="宋体" w:eastAsia="宋体" w:cs="宋体"/>
          <w:i w:val="0"/>
          <w:caps w:val="0"/>
          <w:color w:val="000000"/>
          <w:spacing w:val="0"/>
          <w:sz w:val="24"/>
          <w:szCs w:val="24"/>
          <w:u w:val="none"/>
        </w:rPr>
        <w:t>项目名称：</w:t>
      </w:r>
      <w:r>
        <w:rPr>
          <w:rFonts w:hint="eastAsia" w:ascii="宋体" w:hAnsi="宋体" w:eastAsia="宋体" w:cs="宋体"/>
          <w:i w:val="0"/>
          <w:caps w:val="0"/>
          <w:color w:val="000000"/>
          <w:spacing w:val="0"/>
          <w:sz w:val="24"/>
          <w:szCs w:val="24"/>
          <w:u w:val="none"/>
          <w:lang w:eastAsia="zh-CN"/>
        </w:rPr>
        <w:t>英吉沙县特色食品产业园项目-净化车间及动力配电采购</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采购方式：公开招标</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预算金额（元）：</w:t>
      </w:r>
      <w:r>
        <w:rPr>
          <w:rFonts w:hint="eastAsia" w:ascii="宋体" w:hAnsi="宋体" w:eastAsia="宋体" w:cs="宋体"/>
          <w:i w:val="0"/>
          <w:caps w:val="0"/>
          <w:color w:val="000000"/>
          <w:spacing w:val="0"/>
          <w:sz w:val="24"/>
          <w:szCs w:val="24"/>
          <w:u w:val="none"/>
          <w:lang w:val="en-US" w:eastAsia="zh-CN"/>
        </w:rPr>
        <w:t>700万</w:t>
      </w:r>
      <w:r>
        <w:rPr>
          <w:rFonts w:hint="eastAsia" w:ascii="宋体" w:hAnsi="宋体" w:eastAsia="宋体" w:cs="宋体"/>
          <w:i w:val="0"/>
          <w:caps w:val="0"/>
          <w:color w:val="000000"/>
          <w:spacing w:val="0"/>
          <w:sz w:val="24"/>
          <w:szCs w:val="24"/>
          <w:u w:val="none"/>
        </w:rPr>
        <w:t>元</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采购需求：</w:t>
      </w:r>
    </w:p>
    <w:p>
      <w:pPr>
        <w:pStyle w:val="33"/>
        <w:keepNext w:val="0"/>
        <w:keepLines w:val="0"/>
        <w:widowControl/>
        <w:suppressLineNumbers w:val="0"/>
        <w:spacing w:before="60" w:beforeAutospacing="0" w:after="60" w:afterAutospacing="0" w:line="240" w:lineRule="auto"/>
        <w:ind w:left="479" w:leftChars="228" w:right="0" w:firstLine="0" w:firstLineChars="0"/>
        <w:jc w:val="left"/>
        <w:rPr>
          <w:rFonts w:hint="default" w:ascii="宋体" w:hAnsi="宋体" w:eastAsia="宋体" w:cs="宋体"/>
          <w:sz w:val="24"/>
          <w:szCs w:val="24"/>
          <w:lang w:val="en-US" w:eastAsia="zh-CN"/>
        </w:rPr>
      </w:pPr>
      <w:r>
        <w:rPr>
          <w:rFonts w:hint="eastAsia" w:ascii="宋体" w:hAnsi="宋体" w:eastAsia="宋体" w:cs="宋体"/>
          <w:i w:val="0"/>
          <w:caps w:val="0"/>
          <w:color w:val="000000"/>
          <w:spacing w:val="0"/>
          <w:sz w:val="24"/>
          <w:szCs w:val="24"/>
          <w:u w:val="none"/>
        </w:rPr>
        <w:t>标项一:</w:t>
      </w:r>
      <w:r>
        <w:rPr>
          <w:rFonts w:hint="eastAsia" w:ascii="宋体" w:hAnsi="宋体" w:eastAsia="宋体" w:cs="宋体"/>
          <w:i w:val="0"/>
          <w:caps w:val="0"/>
          <w:color w:val="000000"/>
          <w:spacing w:val="0"/>
          <w:sz w:val="24"/>
          <w:szCs w:val="24"/>
          <w:u w:val="none"/>
        </w:rPr>
        <w:br w:type="textWrapping"/>
      </w:r>
      <w:r>
        <w:rPr>
          <w:rFonts w:hint="eastAsia" w:ascii="宋体" w:hAnsi="宋体" w:eastAsia="宋体" w:cs="宋体"/>
          <w:i w:val="0"/>
          <w:caps w:val="0"/>
          <w:color w:val="000000"/>
          <w:spacing w:val="0"/>
          <w:sz w:val="24"/>
          <w:szCs w:val="24"/>
          <w:u w:val="none"/>
        </w:rPr>
        <w:t>标项名称:</w:t>
      </w:r>
      <w:r>
        <w:rPr>
          <w:rFonts w:hint="eastAsia" w:ascii="宋体" w:hAnsi="宋体" w:eastAsia="宋体" w:cs="宋体"/>
          <w:i w:val="0"/>
          <w:caps w:val="0"/>
          <w:color w:val="000000"/>
          <w:spacing w:val="0"/>
          <w:sz w:val="24"/>
          <w:szCs w:val="24"/>
          <w:u w:val="none"/>
          <w:lang w:eastAsia="zh-CN"/>
        </w:rPr>
        <w:t>净化车间及动力配电采购</w:t>
      </w:r>
      <w:r>
        <w:rPr>
          <w:rFonts w:hint="eastAsia" w:ascii="宋体" w:hAnsi="宋体" w:eastAsia="宋体" w:cs="宋体"/>
          <w:i w:val="0"/>
          <w:caps w:val="0"/>
          <w:color w:val="000000"/>
          <w:spacing w:val="0"/>
          <w:sz w:val="24"/>
          <w:szCs w:val="24"/>
          <w:u w:val="none"/>
        </w:rPr>
        <w:br w:type="textWrapping"/>
      </w:r>
      <w:r>
        <w:rPr>
          <w:rFonts w:hint="eastAsia" w:ascii="宋体" w:hAnsi="宋体" w:eastAsia="宋体" w:cs="宋体"/>
          <w:i w:val="0"/>
          <w:caps w:val="0"/>
          <w:color w:val="000000"/>
          <w:spacing w:val="0"/>
          <w:sz w:val="24"/>
          <w:szCs w:val="24"/>
          <w:u w:val="none"/>
        </w:rPr>
        <w:t>预算金额（元）:</w:t>
      </w:r>
      <w:r>
        <w:rPr>
          <w:rFonts w:hint="eastAsia" w:ascii="宋体" w:hAnsi="宋体" w:eastAsia="宋体" w:cs="宋体"/>
          <w:i w:val="0"/>
          <w:caps w:val="0"/>
          <w:color w:val="000000"/>
          <w:spacing w:val="0"/>
          <w:sz w:val="24"/>
          <w:szCs w:val="24"/>
          <w:u w:val="none"/>
          <w:lang w:val="en-US" w:eastAsia="zh-CN"/>
        </w:rPr>
        <w:t>700万元</w:t>
      </w:r>
      <w:r>
        <w:rPr>
          <w:rFonts w:hint="eastAsia" w:ascii="宋体" w:hAnsi="宋体" w:eastAsia="宋体" w:cs="宋体"/>
          <w:i w:val="0"/>
          <w:caps w:val="0"/>
          <w:color w:val="000000"/>
          <w:spacing w:val="0"/>
          <w:sz w:val="24"/>
          <w:szCs w:val="24"/>
          <w:u w:val="none"/>
        </w:rPr>
        <w:br w:type="textWrapping"/>
      </w:r>
      <w:r>
        <w:rPr>
          <w:rFonts w:hint="eastAsia" w:ascii="宋体" w:hAnsi="宋体" w:eastAsia="宋体" w:cs="宋体"/>
          <w:i w:val="0"/>
          <w:caps w:val="0"/>
          <w:color w:val="000000"/>
          <w:spacing w:val="0"/>
          <w:sz w:val="24"/>
          <w:szCs w:val="24"/>
          <w:u w:val="none"/>
        </w:rPr>
        <w:t>简要规格描述或项目基本概况介绍、用途：</w:t>
      </w:r>
      <w:r>
        <w:rPr>
          <w:rFonts w:hint="eastAsia" w:ascii="宋体" w:hAnsi="宋体" w:eastAsia="宋体" w:cs="宋体"/>
          <w:i w:val="0"/>
          <w:caps w:val="0"/>
          <w:color w:val="000000"/>
          <w:spacing w:val="0"/>
          <w:sz w:val="24"/>
          <w:szCs w:val="24"/>
          <w:u w:val="none"/>
          <w:lang w:eastAsia="zh-CN"/>
        </w:rPr>
        <w:t>采购安装</w:t>
      </w:r>
      <w:r>
        <w:rPr>
          <w:rFonts w:hint="eastAsia" w:ascii="宋体" w:hAnsi="宋体" w:eastAsia="宋体" w:cs="宋体"/>
          <w:i w:val="0"/>
          <w:caps w:val="0"/>
          <w:color w:val="000000"/>
          <w:spacing w:val="0"/>
          <w:sz w:val="24"/>
          <w:szCs w:val="24"/>
          <w:u w:val="none"/>
          <w:lang w:val="en-US" w:eastAsia="zh-CN"/>
        </w:rPr>
        <w:t>一批净化车间设备及动力配电设备</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合同履约期限：</w:t>
      </w:r>
      <w:r>
        <w:rPr>
          <w:rFonts w:hint="eastAsia" w:ascii="宋体" w:hAnsi="宋体" w:eastAsia="宋体" w:cs="宋体"/>
          <w:i w:val="0"/>
          <w:caps w:val="0"/>
          <w:color w:val="000000"/>
          <w:spacing w:val="0"/>
          <w:sz w:val="24"/>
          <w:szCs w:val="24"/>
          <w:u w:val="none"/>
          <w:lang w:eastAsia="zh-CN"/>
        </w:rPr>
        <w:t>合同签订之日起</w:t>
      </w:r>
      <w:r>
        <w:rPr>
          <w:rFonts w:hint="eastAsia" w:ascii="宋体" w:hAnsi="宋体" w:eastAsia="宋体" w:cs="宋体"/>
          <w:i w:val="0"/>
          <w:caps w:val="0"/>
          <w:color w:val="000000"/>
          <w:spacing w:val="0"/>
          <w:sz w:val="24"/>
          <w:szCs w:val="24"/>
          <w:u w:val="none"/>
          <w:lang w:val="en-US" w:eastAsia="zh-CN"/>
        </w:rPr>
        <w:t>25日内完整供货安装</w:t>
      </w:r>
      <w:r>
        <w:rPr>
          <w:rFonts w:hint="eastAsia" w:ascii="宋体" w:hAnsi="宋体" w:eastAsia="宋体" w:cs="宋体"/>
          <w:i w:val="0"/>
          <w:caps w:val="0"/>
          <w:color w:val="000000"/>
          <w:spacing w:val="0"/>
          <w:sz w:val="24"/>
          <w:szCs w:val="24"/>
          <w:u w:val="none"/>
        </w:rPr>
        <w:t>。</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i w:val="0"/>
          <w:caps w:val="0"/>
          <w:color w:val="000000"/>
          <w:spacing w:val="0"/>
          <w:sz w:val="24"/>
          <w:szCs w:val="24"/>
          <w:u w:val="none"/>
          <w:lang w:eastAsia="zh-CN"/>
        </w:rPr>
      </w:pPr>
      <w:r>
        <w:rPr>
          <w:rFonts w:hint="eastAsia" w:ascii="宋体" w:hAnsi="宋体" w:eastAsia="宋体" w:cs="宋体"/>
          <w:i w:val="0"/>
          <w:caps w:val="0"/>
          <w:color w:val="000000"/>
          <w:spacing w:val="0"/>
          <w:sz w:val="24"/>
          <w:szCs w:val="24"/>
          <w:u w:val="none"/>
          <w:lang w:eastAsia="zh-CN"/>
        </w:rPr>
        <w:t>质保期限：一年。</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本项目（否）接受联合体投标。</w:t>
      </w:r>
    </w:p>
    <w:p>
      <w:pPr>
        <w:pStyle w:val="33"/>
        <w:keepNext w:val="0"/>
        <w:keepLines w:val="0"/>
        <w:widowControl/>
        <w:suppressLineNumbers w:val="0"/>
        <w:spacing w:before="60" w:beforeAutospacing="0" w:after="60" w:afterAutospacing="0" w:line="240" w:lineRule="atLeast"/>
        <w:ind w:left="0" w:right="0"/>
        <w:jc w:val="left"/>
        <w:rPr>
          <w:rFonts w:hint="eastAsia" w:ascii="宋体" w:hAnsi="宋体" w:eastAsia="宋体" w:cs="宋体"/>
          <w:sz w:val="24"/>
          <w:szCs w:val="24"/>
        </w:rPr>
      </w:pPr>
    </w:p>
    <w:p>
      <w:pPr>
        <w:pStyle w:val="33"/>
        <w:keepNext w:val="0"/>
        <w:keepLines w:val="0"/>
        <w:widowControl/>
        <w:suppressLineNumbers w:val="0"/>
        <w:spacing w:before="60" w:beforeAutospacing="0" w:after="60" w:afterAutospacing="0" w:line="240" w:lineRule="atLeast"/>
        <w:ind w:left="0" w:right="0"/>
        <w:jc w:val="left"/>
        <w:rPr>
          <w:rFonts w:hint="eastAsia" w:ascii="宋体" w:hAnsi="宋体" w:eastAsia="宋体" w:cs="宋体"/>
          <w:sz w:val="24"/>
          <w:szCs w:val="24"/>
        </w:rPr>
      </w:pPr>
      <w:r>
        <w:rPr>
          <w:rStyle w:val="40"/>
          <w:rFonts w:hint="eastAsia" w:ascii="宋体" w:hAnsi="宋体" w:eastAsia="宋体" w:cs="宋体"/>
          <w:i w:val="0"/>
          <w:caps w:val="0"/>
          <w:color w:val="000000"/>
          <w:spacing w:val="0"/>
          <w:sz w:val="24"/>
          <w:szCs w:val="24"/>
          <w:u w:val="none"/>
        </w:rPr>
        <w:t>二、申请人的资格要求：</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1.满足《中华人民共和国政府采购法》第二十二条规定；</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2.落实政府采购政策需满足的资格要求：无</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3.本项目的特定资格要求：（1）五证一码或三证合一的营业执照（含有相关经营范围）；（</w:t>
      </w:r>
      <w:r>
        <w:rPr>
          <w:rFonts w:hint="eastAsia" w:ascii="宋体" w:hAnsi="宋体" w:cs="宋体"/>
          <w:i w:val="0"/>
          <w:caps w:val="0"/>
          <w:color w:val="000000"/>
          <w:spacing w:val="0"/>
          <w:sz w:val="24"/>
          <w:szCs w:val="24"/>
          <w:u w:val="none"/>
          <w:lang w:val="en-US" w:eastAsia="zh-CN"/>
        </w:rPr>
        <w:t>2</w:t>
      </w:r>
      <w:r>
        <w:rPr>
          <w:rFonts w:hint="eastAsia" w:ascii="宋体" w:hAnsi="宋体" w:eastAsia="宋体" w:cs="宋体"/>
          <w:i w:val="0"/>
          <w:caps w:val="0"/>
          <w:color w:val="000000"/>
          <w:spacing w:val="0"/>
          <w:sz w:val="24"/>
          <w:szCs w:val="24"/>
          <w:u w:val="none"/>
        </w:rPr>
        <w:t>）有依法缴纳税收和社会保障资金的良好纪录，</w:t>
      </w:r>
      <w:r>
        <w:rPr>
          <w:rFonts w:hint="eastAsia" w:ascii="宋体" w:hAnsi="宋体" w:eastAsia="宋体" w:cs="宋体"/>
          <w:i w:val="0"/>
          <w:caps w:val="0"/>
          <w:color w:val="000000"/>
          <w:spacing w:val="0"/>
          <w:sz w:val="24"/>
          <w:szCs w:val="24"/>
          <w:u w:val="none"/>
          <w:lang w:val="en-US" w:eastAsia="zh-CN"/>
        </w:rPr>
        <w:t>需具有</w:t>
      </w:r>
      <w:r>
        <w:rPr>
          <w:rFonts w:hint="eastAsia" w:ascii="宋体" w:hAnsi="宋体" w:eastAsia="宋体" w:cs="宋体"/>
          <w:i w:val="0"/>
          <w:caps w:val="0"/>
          <w:color w:val="000000"/>
          <w:spacing w:val="0"/>
          <w:sz w:val="24"/>
          <w:szCs w:val="24"/>
          <w:u w:val="none"/>
        </w:rPr>
        <w:t>近半年完税证明及盖有社保局公章的社保缴纳证明；（</w:t>
      </w:r>
      <w:r>
        <w:rPr>
          <w:rFonts w:hint="eastAsia" w:ascii="宋体" w:hAnsi="宋体" w:cs="宋体"/>
          <w:i w:val="0"/>
          <w:caps w:val="0"/>
          <w:color w:val="000000"/>
          <w:spacing w:val="0"/>
          <w:sz w:val="24"/>
          <w:szCs w:val="24"/>
          <w:u w:val="none"/>
          <w:lang w:val="en-US" w:eastAsia="zh-CN"/>
        </w:rPr>
        <w:t>3</w:t>
      </w:r>
      <w:r>
        <w:rPr>
          <w:rFonts w:hint="eastAsia" w:ascii="宋体" w:hAnsi="宋体" w:eastAsia="宋体" w:cs="宋体"/>
          <w:i w:val="0"/>
          <w:caps w:val="0"/>
          <w:color w:val="000000"/>
          <w:spacing w:val="0"/>
          <w:sz w:val="24"/>
          <w:szCs w:val="24"/>
          <w:u w:val="none"/>
        </w:rPr>
        <w:t>）具有良好的商业信誉和健全的财务会计制度，</w:t>
      </w:r>
      <w:r>
        <w:rPr>
          <w:rFonts w:hint="eastAsia" w:ascii="宋体" w:hAnsi="宋体" w:eastAsia="宋体" w:cs="宋体"/>
          <w:i w:val="0"/>
          <w:caps w:val="0"/>
          <w:color w:val="000000"/>
          <w:spacing w:val="0"/>
          <w:sz w:val="24"/>
          <w:szCs w:val="24"/>
          <w:u w:val="none"/>
          <w:lang w:val="en-US" w:eastAsia="zh-CN"/>
        </w:rPr>
        <w:t>需具有</w:t>
      </w:r>
      <w:r>
        <w:rPr>
          <w:rFonts w:hint="eastAsia" w:ascii="宋体" w:hAnsi="宋体" w:eastAsia="宋体" w:cs="宋体"/>
          <w:i w:val="0"/>
          <w:caps w:val="0"/>
          <w:color w:val="000000"/>
          <w:spacing w:val="0"/>
          <w:sz w:val="24"/>
          <w:szCs w:val="24"/>
          <w:u w:val="none"/>
        </w:rPr>
        <w:t>近一年的财务审计报告或财务报表（成立不足一年的提供企业成立至今的财务报表）；（</w:t>
      </w:r>
      <w:r>
        <w:rPr>
          <w:rFonts w:hint="eastAsia" w:ascii="宋体" w:hAnsi="宋体" w:cs="宋体"/>
          <w:i w:val="0"/>
          <w:caps w:val="0"/>
          <w:color w:val="000000"/>
          <w:spacing w:val="0"/>
          <w:sz w:val="24"/>
          <w:szCs w:val="24"/>
          <w:u w:val="none"/>
          <w:lang w:val="en-US" w:eastAsia="zh-CN"/>
        </w:rPr>
        <w:t>4</w:t>
      </w:r>
      <w:r>
        <w:rPr>
          <w:rFonts w:hint="eastAsia" w:ascii="宋体" w:hAnsi="宋体" w:eastAsia="宋体" w:cs="宋体"/>
          <w:i w:val="0"/>
          <w:caps w:val="0"/>
          <w:color w:val="000000"/>
          <w:spacing w:val="0"/>
          <w:sz w:val="24"/>
          <w:szCs w:val="24"/>
          <w:u w:val="none"/>
        </w:rPr>
        <w:t>）具有良好的售后服务能力和相应的质量保证措施（提供相关证明材料及售后服务承诺书）；（</w:t>
      </w:r>
      <w:r>
        <w:rPr>
          <w:rFonts w:hint="eastAsia" w:ascii="宋体" w:hAnsi="宋体" w:cs="宋体"/>
          <w:i w:val="0"/>
          <w:caps w:val="0"/>
          <w:color w:val="000000"/>
          <w:spacing w:val="0"/>
          <w:sz w:val="24"/>
          <w:szCs w:val="24"/>
          <w:u w:val="none"/>
          <w:lang w:val="en-US" w:eastAsia="zh-CN"/>
        </w:rPr>
        <w:t>5</w:t>
      </w:r>
      <w:r>
        <w:rPr>
          <w:rFonts w:hint="eastAsia" w:ascii="宋体" w:hAnsi="宋体" w:eastAsia="宋体" w:cs="宋体"/>
          <w:i w:val="0"/>
          <w:caps w:val="0"/>
          <w:color w:val="000000"/>
          <w:spacing w:val="0"/>
          <w:sz w:val="24"/>
          <w:szCs w:val="24"/>
          <w:u w:val="none"/>
        </w:rPr>
        <w:t>）投标人如在国家企业信用信息公示系统、“信用中国”网站、中国政府采购网被列入严重违法失信行为记录名单的（尚在处罚期内的），将被拒绝本次投标；（</w:t>
      </w:r>
      <w:r>
        <w:rPr>
          <w:rFonts w:hint="eastAsia" w:ascii="宋体" w:hAnsi="宋体" w:cs="宋体"/>
          <w:i w:val="0"/>
          <w:caps w:val="0"/>
          <w:color w:val="000000"/>
          <w:spacing w:val="0"/>
          <w:sz w:val="24"/>
          <w:szCs w:val="24"/>
          <w:u w:val="none"/>
          <w:lang w:val="en-US" w:eastAsia="zh-CN"/>
        </w:rPr>
        <w:t>6</w:t>
      </w:r>
      <w:r>
        <w:rPr>
          <w:rFonts w:hint="eastAsia" w:ascii="宋体" w:hAnsi="宋体" w:eastAsia="宋体" w:cs="宋体"/>
          <w:i w:val="0"/>
          <w:caps w:val="0"/>
          <w:color w:val="000000"/>
          <w:spacing w:val="0"/>
          <w:sz w:val="24"/>
          <w:szCs w:val="24"/>
          <w:u w:val="none"/>
        </w:rPr>
        <w:t>）相互关联的存在实际控制、管理关系的两个企业，不得参加同一项目的投标；</w:t>
      </w:r>
    </w:p>
    <w:p>
      <w:pPr>
        <w:pStyle w:val="33"/>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sz w:val="24"/>
          <w:szCs w:val="24"/>
        </w:rPr>
      </w:pPr>
      <w:r>
        <w:rPr>
          <w:rStyle w:val="40"/>
          <w:rFonts w:hint="eastAsia" w:ascii="宋体" w:hAnsi="宋体" w:eastAsia="宋体" w:cs="宋体"/>
          <w:i w:val="0"/>
          <w:caps w:val="0"/>
          <w:color w:val="000000"/>
          <w:spacing w:val="0"/>
          <w:sz w:val="24"/>
          <w:szCs w:val="24"/>
          <w:u w:val="none"/>
        </w:rPr>
        <w:t>三、获取招标文件</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时间：2020年09月</w:t>
      </w:r>
      <w:r>
        <w:rPr>
          <w:rFonts w:hint="eastAsia" w:ascii="宋体" w:hAnsi="宋体" w:eastAsia="宋体" w:cs="宋体"/>
          <w:i w:val="0"/>
          <w:caps w:val="0"/>
          <w:color w:val="000000"/>
          <w:spacing w:val="0"/>
          <w:sz w:val="24"/>
          <w:szCs w:val="24"/>
          <w:u w:val="none"/>
          <w:lang w:val="en-US" w:eastAsia="zh-CN"/>
        </w:rPr>
        <w:t>16</w:t>
      </w:r>
      <w:r>
        <w:rPr>
          <w:rFonts w:hint="eastAsia" w:ascii="宋体" w:hAnsi="宋体" w:eastAsia="宋体" w:cs="宋体"/>
          <w:i w:val="0"/>
          <w:caps w:val="0"/>
          <w:color w:val="000000"/>
          <w:spacing w:val="0"/>
          <w:sz w:val="24"/>
          <w:szCs w:val="24"/>
          <w:u w:val="none"/>
        </w:rPr>
        <w:t>日至2020年09月2</w:t>
      </w:r>
      <w:r>
        <w:rPr>
          <w:rFonts w:hint="eastAsia" w:ascii="宋体" w:hAnsi="宋体" w:eastAsia="宋体" w:cs="宋体"/>
          <w:i w:val="0"/>
          <w:caps w:val="0"/>
          <w:color w:val="000000"/>
          <w:spacing w:val="0"/>
          <w:sz w:val="24"/>
          <w:szCs w:val="24"/>
          <w:u w:val="none"/>
          <w:lang w:val="en-US" w:eastAsia="zh-CN"/>
        </w:rPr>
        <w:t>3</w:t>
      </w:r>
      <w:r>
        <w:rPr>
          <w:rFonts w:hint="eastAsia" w:ascii="宋体" w:hAnsi="宋体" w:eastAsia="宋体" w:cs="宋体"/>
          <w:i w:val="0"/>
          <w:caps w:val="0"/>
          <w:color w:val="000000"/>
          <w:spacing w:val="0"/>
          <w:sz w:val="24"/>
          <w:szCs w:val="24"/>
          <w:u w:val="none"/>
        </w:rPr>
        <w:t>日，每天上午10:00至13:30，下午16:00至19:30（北京时间，法定节假日除外）</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地点：新疆政府采购网线上</w:t>
      </w:r>
      <w:r>
        <w:rPr>
          <w:rFonts w:hint="eastAsia" w:ascii="宋体" w:hAnsi="宋体" w:eastAsia="宋体" w:cs="宋体"/>
          <w:i w:val="0"/>
          <w:caps w:val="0"/>
          <w:color w:val="000000"/>
          <w:spacing w:val="0"/>
          <w:sz w:val="24"/>
          <w:szCs w:val="24"/>
          <w:u w:val="none"/>
          <w:lang w:eastAsia="zh-CN"/>
        </w:rPr>
        <w:t>自行下载</w:t>
      </w:r>
      <w:r>
        <w:rPr>
          <w:rFonts w:hint="eastAsia" w:ascii="宋体" w:hAnsi="宋体" w:eastAsia="宋体" w:cs="宋体"/>
          <w:i w:val="0"/>
          <w:caps w:val="0"/>
          <w:color w:val="000000"/>
          <w:spacing w:val="0"/>
          <w:sz w:val="24"/>
          <w:szCs w:val="24"/>
          <w:u w:val="none"/>
        </w:rPr>
        <w:t>获取</w:t>
      </w:r>
      <w:r>
        <w:rPr>
          <w:rFonts w:hint="eastAsia" w:ascii="宋体" w:hAnsi="宋体" w:eastAsia="宋体" w:cs="宋体"/>
          <w:i w:val="0"/>
          <w:caps w:val="0"/>
          <w:color w:val="000000"/>
          <w:spacing w:val="0"/>
          <w:sz w:val="24"/>
          <w:szCs w:val="24"/>
          <w:u w:val="none"/>
          <w:lang w:eastAsia="zh-CN"/>
        </w:rPr>
        <w:t>（公告网页最下方）</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方式：新疆政府采购网线上</w:t>
      </w:r>
      <w:r>
        <w:rPr>
          <w:rFonts w:hint="eastAsia" w:ascii="宋体" w:hAnsi="宋体" w:eastAsia="宋体" w:cs="宋体"/>
          <w:i w:val="0"/>
          <w:caps w:val="0"/>
          <w:color w:val="000000"/>
          <w:spacing w:val="0"/>
          <w:sz w:val="24"/>
          <w:szCs w:val="24"/>
          <w:u w:val="none"/>
          <w:lang w:eastAsia="zh-CN"/>
        </w:rPr>
        <w:t>自行下载</w:t>
      </w:r>
      <w:r>
        <w:rPr>
          <w:rFonts w:hint="eastAsia" w:ascii="宋体" w:hAnsi="宋体" w:eastAsia="宋体" w:cs="宋体"/>
          <w:i w:val="0"/>
          <w:caps w:val="0"/>
          <w:color w:val="000000"/>
          <w:spacing w:val="0"/>
          <w:sz w:val="24"/>
          <w:szCs w:val="24"/>
          <w:u w:val="none"/>
        </w:rPr>
        <w:t>获取</w:t>
      </w:r>
      <w:r>
        <w:rPr>
          <w:rFonts w:hint="eastAsia" w:ascii="宋体" w:hAnsi="宋体" w:eastAsia="宋体" w:cs="宋体"/>
          <w:i w:val="0"/>
          <w:caps w:val="0"/>
          <w:color w:val="000000"/>
          <w:spacing w:val="0"/>
          <w:sz w:val="24"/>
          <w:szCs w:val="24"/>
          <w:u w:val="none"/>
          <w:lang w:eastAsia="zh-CN"/>
        </w:rPr>
        <w:t>（公告网页最下方）</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售价（元）：0</w:t>
      </w:r>
    </w:p>
    <w:p>
      <w:pPr>
        <w:pStyle w:val="33"/>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sz w:val="24"/>
          <w:szCs w:val="24"/>
        </w:rPr>
      </w:pPr>
      <w:r>
        <w:rPr>
          <w:rStyle w:val="40"/>
          <w:rFonts w:hint="eastAsia" w:ascii="宋体" w:hAnsi="宋体" w:eastAsia="宋体" w:cs="宋体"/>
          <w:i w:val="0"/>
          <w:caps w:val="0"/>
          <w:color w:val="000000"/>
          <w:spacing w:val="0"/>
          <w:sz w:val="24"/>
          <w:szCs w:val="24"/>
          <w:u w:val="none"/>
        </w:rPr>
        <w:t>四、提交投标文件截止时间、开标时间和地点</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提交投标文件截止时间：2020年10月0</w:t>
      </w:r>
      <w:r>
        <w:rPr>
          <w:rFonts w:hint="eastAsia" w:ascii="宋体" w:hAnsi="宋体" w:eastAsia="宋体" w:cs="宋体"/>
          <w:i w:val="0"/>
          <w:caps w:val="0"/>
          <w:color w:val="000000"/>
          <w:spacing w:val="0"/>
          <w:sz w:val="24"/>
          <w:szCs w:val="24"/>
          <w:u w:val="none"/>
          <w:lang w:val="en-US" w:eastAsia="zh-CN"/>
        </w:rPr>
        <w:t>7</w:t>
      </w:r>
      <w:r>
        <w:rPr>
          <w:rFonts w:hint="eastAsia" w:ascii="宋体" w:hAnsi="宋体" w:eastAsia="宋体" w:cs="宋体"/>
          <w:i w:val="0"/>
          <w:caps w:val="0"/>
          <w:color w:val="000000"/>
          <w:spacing w:val="0"/>
          <w:sz w:val="24"/>
          <w:szCs w:val="24"/>
          <w:u w:val="none"/>
        </w:rPr>
        <w:t>日 11:00（北京时间）</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投标地点：</w:t>
      </w:r>
      <w:r>
        <w:rPr>
          <w:rFonts w:hint="eastAsia" w:ascii="宋体" w:hAnsi="宋体" w:eastAsia="宋体" w:cs="宋体"/>
          <w:i w:val="0"/>
          <w:caps w:val="0"/>
          <w:color w:val="000000"/>
          <w:spacing w:val="0"/>
          <w:sz w:val="24"/>
          <w:szCs w:val="24"/>
          <w:u w:val="none"/>
          <w:lang w:eastAsia="zh-CN"/>
        </w:rPr>
        <w:t>英吉沙县商务和工业信息化局</w:t>
      </w:r>
      <w:r>
        <w:rPr>
          <w:rFonts w:hint="eastAsia" w:ascii="宋体" w:hAnsi="宋体" w:eastAsia="宋体" w:cs="宋体"/>
          <w:i w:val="0"/>
          <w:caps w:val="0"/>
          <w:color w:val="000000"/>
          <w:spacing w:val="0"/>
          <w:sz w:val="24"/>
          <w:szCs w:val="24"/>
          <w:u w:val="none"/>
        </w:rPr>
        <w:t>会议室</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开标时间：2020年10月0</w:t>
      </w:r>
      <w:r>
        <w:rPr>
          <w:rFonts w:hint="eastAsia" w:ascii="宋体" w:hAnsi="宋体" w:eastAsia="宋体" w:cs="宋体"/>
          <w:i w:val="0"/>
          <w:caps w:val="0"/>
          <w:color w:val="000000"/>
          <w:spacing w:val="0"/>
          <w:sz w:val="24"/>
          <w:szCs w:val="24"/>
          <w:u w:val="none"/>
          <w:lang w:val="en-US" w:eastAsia="zh-CN"/>
        </w:rPr>
        <w:t>7</w:t>
      </w:r>
      <w:r>
        <w:rPr>
          <w:rFonts w:hint="eastAsia" w:ascii="宋体" w:hAnsi="宋体" w:eastAsia="宋体" w:cs="宋体"/>
          <w:i w:val="0"/>
          <w:caps w:val="0"/>
          <w:color w:val="000000"/>
          <w:spacing w:val="0"/>
          <w:sz w:val="24"/>
          <w:szCs w:val="24"/>
          <w:u w:val="none"/>
        </w:rPr>
        <w:t>日 11:00</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开标地点：</w:t>
      </w:r>
      <w:r>
        <w:rPr>
          <w:rFonts w:hint="eastAsia" w:ascii="宋体" w:hAnsi="宋体" w:eastAsia="宋体" w:cs="宋体"/>
          <w:i w:val="0"/>
          <w:caps w:val="0"/>
          <w:color w:val="000000"/>
          <w:spacing w:val="0"/>
          <w:sz w:val="24"/>
          <w:szCs w:val="24"/>
          <w:u w:val="none"/>
          <w:lang w:eastAsia="zh-CN"/>
        </w:rPr>
        <w:t>英吉沙县商务和工业信息化局</w:t>
      </w:r>
      <w:r>
        <w:rPr>
          <w:rFonts w:hint="eastAsia" w:ascii="宋体" w:hAnsi="宋体" w:eastAsia="宋体" w:cs="宋体"/>
          <w:i w:val="0"/>
          <w:caps w:val="0"/>
          <w:color w:val="000000"/>
          <w:spacing w:val="0"/>
          <w:sz w:val="24"/>
          <w:szCs w:val="24"/>
          <w:u w:val="none"/>
        </w:rPr>
        <w:t>会议室</w:t>
      </w:r>
    </w:p>
    <w:p>
      <w:pPr>
        <w:pStyle w:val="33"/>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sz w:val="24"/>
          <w:szCs w:val="24"/>
        </w:rPr>
      </w:pPr>
      <w:r>
        <w:rPr>
          <w:rStyle w:val="40"/>
          <w:rFonts w:hint="eastAsia" w:ascii="宋体" w:hAnsi="宋体" w:eastAsia="宋体" w:cs="宋体"/>
          <w:i w:val="0"/>
          <w:caps w:val="0"/>
          <w:color w:val="000000"/>
          <w:spacing w:val="0"/>
          <w:sz w:val="24"/>
          <w:szCs w:val="24"/>
          <w:u w:val="none"/>
        </w:rPr>
        <w:t>五、公告期限</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自本公告发布之日起5个工作日。</w:t>
      </w:r>
    </w:p>
    <w:p>
      <w:pPr>
        <w:pStyle w:val="33"/>
        <w:keepNext w:val="0"/>
        <w:keepLines w:val="0"/>
        <w:widowControl/>
        <w:suppressLineNumbers w:val="0"/>
        <w:spacing w:before="204" w:beforeAutospacing="0" w:after="204" w:afterAutospacing="0" w:line="384" w:lineRule="atLeast"/>
        <w:ind w:left="0" w:right="0"/>
        <w:jc w:val="both"/>
        <w:rPr>
          <w:rFonts w:hint="eastAsia" w:ascii="宋体" w:hAnsi="宋体" w:eastAsia="宋体" w:cs="宋体"/>
          <w:sz w:val="24"/>
          <w:szCs w:val="24"/>
        </w:rPr>
      </w:pPr>
      <w:r>
        <w:rPr>
          <w:rStyle w:val="40"/>
          <w:rFonts w:hint="eastAsia" w:ascii="宋体" w:hAnsi="宋体" w:eastAsia="宋体" w:cs="宋体"/>
          <w:i w:val="0"/>
          <w:caps w:val="0"/>
          <w:color w:val="000000"/>
          <w:spacing w:val="0"/>
          <w:sz w:val="24"/>
          <w:szCs w:val="24"/>
          <w:u w:val="none"/>
          <w:lang w:eastAsia="zh-CN"/>
        </w:rPr>
        <w:t>六</w:t>
      </w:r>
      <w:r>
        <w:rPr>
          <w:rStyle w:val="40"/>
          <w:rFonts w:hint="eastAsia" w:ascii="宋体" w:hAnsi="宋体" w:eastAsia="宋体" w:cs="宋体"/>
          <w:i w:val="0"/>
          <w:caps w:val="0"/>
          <w:color w:val="000000"/>
          <w:spacing w:val="0"/>
          <w:sz w:val="24"/>
          <w:szCs w:val="24"/>
          <w:u w:val="none"/>
        </w:rPr>
        <w:t>、对本次采购提出询问，请按以下方式联系</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1.采购人信息</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lang w:eastAsia="zh-CN"/>
        </w:rPr>
      </w:pPr>
      <w:r>
        <w:rPr>
          <w:rFonts w:hint="eastAsia" w:ascii="宋体" w:hAnsi="宋体" w:eastAsia="宋体" w:cs="宋体"/>
          <w:i w:val="0"/>
          <w:caps w:val="0"/>
          <w:color w:val="000000"/>
          <w:spacing w:val="0"/>
          <w:sz w:val="24"/>
          <w:szCs w:val="24"/>
          <w:u w:val="none"/>
        </w:rPr>
        <w:t>名 称：</w:t>
      </w:r>
      <w:r>
        <w:rPr>
          <w:rStyle w:val="45"/>
          <w:rFonts w:hint="eastAsia" w:ascii="宋体" w:hAnsi="宋体" w:eastAsia="宋体" w:cs="宋体"/>
          <w:i w:val="0"/>
          <w:caps w:val="0"/>
          <w:color w:val="000000"/>
          <w:spacing w:val="0"/>
          <w:sz w:val="24"/>
          <w:szCs w:val="24"/>
          <w:u w:val="none"/>
          <w:lang w:eastAsia="zh-CN"/>
        </w:rPr>
        <w:t>英吉沙县商务和工业信息化局</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地 址：英吉沙县</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联系方式：</w:t>
      </w:r>
      <w:r>
        <w:rPr>
          <w:rFonts w:hint="eastAsia" w:ascii="宋体" w:hAnsi="宋体" w:eastAsia="宋体" w:cs="宋体"/>
          <w:i w:val="0"/>
          <w:caps w:val="0"/>
          <w:color w:val="000000"/>
          <w:spacing w:val="0"/>
          <w:sz w:val="24"/>
          <w:szCs w:val="24"/>
          <w:u w:val="none"/>
          <w:lang w:eastAsia="zh-CN"/>
        </w:rPr>
        <w:t>0998-3633520</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2.采购代理机构信息</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名 称：新疆荣九工程管理有限公司</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联系方式：15739141779</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3.同级政府采购监督管理部门名称：英吉沙县财政局政府采购办</w:t>
      </w:r>
    </w:p>
    <w:p>
      <w:pPr>
        <w:pStyle w:val="33"/>
        <w:keepNext w:val="0"/>
        <w:keepLines w:val="0"/>
        <w:widowControl/>
        <w:suppressLineNumbers w:val="0"/>
        <w:spacing w:before="60" w:beforeAutospacing="0" w:after="60" w:afterAutospacing="0"/>
        <w:ind w:left="0" w:right="0"/>
        <w:jc w:val="left"/>
      </w:pPr>
      <w:r>
        <w:rPr>
          <w:rFonts w:hint="eastAsia" w:ascii="宋体" w:hAnsi="宋体" w:eastAsia="宋体" w:cs="宋体"/>
          <w:i w:val="0"/>
          <w:caps w:val="0"/>
          <w:color w:val="000000"/>
          <w:spacing w:val="0"/>
          <w:sz w:val="24"/>
          <w:szCs w:val="24"/>
          <w:u w:val="none"/>
        </w:rPr>
        <w:t>  监督投诉电话：0998-3786612</w:t>
      </w:r>
    </w:p>
    <w:p>
      <w:pPr>
        <w:rPr>
          <w:rFonts w:hint="eastAsia" w:eastAsia="黑体"/>
          <w:b/>
          <w:sz w:val="36"/>
          <w:szCs w:val="36"/>
        </w:rPr>
      </w:pPr>
      <w:r>
        <w:rPr>
          <w:rFonts w:hint="eastAsia" w:eastAsia="黑体"/>
          <w:b/>
          <w:sz w:val="36"/>
          <w:szCs w:val="36"/>
        </w:rPr>
        <w:br w:type="page"/>
      </w:r>
    </w:p>
    <w:p>
      <w:pPr>
        <w:spacing w:line="570" w:lineRule="atLeast"/>
        <w:ind w:firstLine="723" w:firstLineChars="200"/>
        <w:jc w:val="center"/>
        <w:outlineLvl w:val="0"/>
        <w:rPr>
          <w:rFonts w:hint="eastAsia"/>
          <w:bCs/>
          <w:kern w:val="0"/>
          <w:szCs w:val="21"/>
        </w:rPr>
      </w:pPr>
      <w:r>
        <w:rPr>
          <w:rFonts w:hint="eastAsia" w:eastAsia="黑体"/>
          <w:b/>
          <w:sz w:val="36"/>
          <w:szCs w:val="36"/>
        </w:rPr>
        <w:t>第二部分   投标人须知前附表</w:t>
      </w:r>
      <w:bookmarkEnd w:id="1"/>
      <w:bookmarkEnd w:id="2"/>
      <w:bookmarkEnd w:id="3"/>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457"/>
        <w:gridCol w:w="611"/>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序号</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内容</w:t>
            </w:r>
          </w:p>
        </w:tc>
        <w:tc>
          <w:tcPr>
            <w:tcW w:w="6746" w:type="dxa"/>
            <w:vAlign w:val="center"/>
          </w:tcPr>
          <w:p>
            <w:pPr>
              <w:pStyle w:val="65"/>
              <w:keepNext w:val="0"/>
              <w:keepLines w:val="0"/>
              <w:numPr>
                <w:ilvl w:val="0"/>
                <w:numId w:val="0"/>
              </w:numPr>
              <w:spacing w:before="0" w:after="0" w:line="360" w:lineRule="auto"/>
              <w:jc w:val="center"/>
              <w:rPr>
                <w:rFonts w:ascii="宋体" w:hAnsi="宋体" w:eastAsia="宋体"/>
                <w:bCs w:val="0"/>
                <w:sz w:val="24"/>
                <w:szCs w:val="24"/>
              </w:rPr>
            </w:pPr>
            <w:r>
              <w:rPr>
                <w:rFonts w:hint="eastAsia" w:ascii="宋体" w:hAnsi="宋体" w:eastAsia="宋体"/>
                <w:bCs w:val="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w:t>
            </w:r>
          </w:p>
        </w:tc>
        <w:tc>
          <w:tcPr>
            <w:tcW w:w="1284" w:type="dxa"/>
            <w:gridSpan w:val="2"/>
            <w:vAlign w:val="center"/>
          </w:tcPr>
          <w:p>
            <w:pPr>
              <w:pStyle w:val="65"/>
              <w:keepNext w:val="0"/>
              <w:keepLines w:val="0"/>
              <w:numPr>
                <w:ilvl w:val="0"/>
                <w:numId w:val="0"/>
              </w:numPr>
              <w:spacing w:before="0" w:after="0" w:line="360" w:lineRule="auto"/>
              <w:jc w:val="center"/>
              <w:rPr>
                <w:rFonts w:ascii="宋体" w:hAnsi="宋体" w:eastAsia="宋体"/>
                <w:bCs w:val="0"/>
                <w:sz w:val="24"/>
                <w:szCs w:val="24"/>
              </w:rPr>
            </w:pPr>
            <w:r>
              <w:rPr>
                <w:rFonts w:hint="eastAsia" w:ascii="宋体" w:hAnsi="宋体" w:eastAsia="宋体"/>
                <w:bCs w:val="0"/>
                <w:sz w:val="24"/>
                <w:szCs w:val="24"/>
              </w:rPr>
              <w:t>采购人</w:t>
            </w:r>
          </w:p>
        </w:tc>
        <w:tc>
          <w:tcPr>
            <w:tcW w:w="6746" w:type="dxa"/>
            <w:vAlign w:val="center"/>
          </w:tcPr>
          <w:p>
            <w:pPr>
              <w:spacing w:line="360" w:lineRule="auto"/>
              <w:rPr>
                <w:rFonts w:hint="eastAsia" w:ascii="宋体" w:hAnsi="宋体" w:eastAsia="宋体" w:cs="宋体"/>
                <w:kern w:val="0"/>
                <w:sz w:val="24"/>
                <w:u w:val="single"/>
                <w:lang w:eastAsia="zh-CN"/>
              </w:rPr>
            </w:pPr>
            <w:r>
              <w:rPr>
                <w:rFonts w:hint="eastAsia" w:ascii="宋体" w:hAnsi="宋体" w:cs="宋体"/>
                <w:sz w:val="24"/>
                <w:lang w:eastAsia="zh-CN"/>
              </w:rPr>
              <w:t>英吉沙县商务和工业信息化局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2</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采购代理机构</w:t>
            </w:r>
          </w:p>
        </w:tc>
        <w:tc>
          <w:tcPr>
            <w:tcW w:w="6746" w:type="dxa"/>
            <w:vAlign w:val="center"/>
          </w:tcPr>
          <w:p>
            <w:pPr>
              <w:widowControl/>
              <w:spacing w:line="360" w:lineRule="auto"/>
              <w:jc w:val="left"/>
              <w:rPr>
                <w:rFonts w:ascii="宋体" w:hAnsi="宋体" w:cs="宋体"/>
                <w:sz w:val="24"/>
                <w:u w:val="single"/>
              </w:rPr>
            </w:pPr>
            <w:r>
              <w:rPr>
                <w:rFonts w:hint="eastAsia" w:ascii="宋体" w:hAnsi="宋体" w:cs="宋体"/>
                <w:sz w:val="24"/>
                <w:lang w:eastAsia="zh-CN"/>
              </w:rPr>
              <w:t>新疆荣九工程管理有限公司</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3</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投标人资格要求</w:t>
            </w:r>
          </w:p>
        </w:tc>
        <w:tc>
          <w:tcPr>
            <w:tcW w:w="6746" w:type="dxa"/>
            <w:vAlign w:val="center"/>
          </w:tcPr>
          <w:p>
            <w:pPr>
              <w:rPr>
                <w:rFonts w:ascii="宋体" w:hAnsi="宋体" w:cs="宋体"/>
                <w:sz w:val="24"/>
              </w:rPr>
            </w:pPr>
            <w:r>
              <w:rPr>
                <w:rFonts w:hint="eastAsia" w:ascii="宋体" w:hAnsi="宋体" w:cs="宋体"/>
                <w:sz w:val="24"/>
              </w:rPr>
              <w:t xml:space="preserve">（1）符合《中华人民共和国政府采购法》第二十二条规定； </w:t>
            </w:r>
          </w:p>
          <w:p>
            <w:pPr>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）五证一码或三证合一的营业执照（含有相关经营范围）；</w:t>
            </w:r>
          </w:p>
          <w:p>
            <w:pPr>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）有依法缴纳税收和社会保障资金的良好纪录，</w:t>
            </w:r>
            <w:r>
              <w:rPr>
                <w:rFonts w:hint="eastAsia" w:ascii="宋体" w:hAnsi="宋体" w:cs="宋体"/>
                <w:sz w:val="24"/>
                <w:lang w:val="en-US" w:eastAsia="zh-CN"/>
              </w:rPr>
              <w:t>需具有</w:t>
            </w:r>
            <w:r>
              <w:rPr>
                <w:rFonts w:hint="eastAsia" w:ascii="宋体" w:hAnsi="宋体" w:cs="宋体"/>
                <w:sz w:val="24"/>
              </w:rPr>
              <w:t>近半年完税证明及盖有社保局公章的社保缴纳证明；</w:t>
            </w:r>
          </w:p>
          <w:p>
            <w:pPr>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）具有良好的商业信誉和健全的财务会计制度，</w:t>
            </w:r>
            <w:r>
              <w:rPr>
                <w:rFonts w:hint="eastAsia" w:ascii="宋体" w:hAnsi="宋体" w:cs="宋体"/>
                <w:sz w:val="24"/>
                <w:lang w:val="en-US" w:eastAsia="zh-CN"/>
              </w:rPr>
              <w:t>需具有</w:t>
            </w:r>
            <w:r>
              <w:rPr>
                <w:rFonts w:hint="eastAsia" w:ascii="宋体" w:hAnsi="宋体" w:cs="宋体"/>
                <w:sz w:val="24"/>
              </w:rPr>
              <w:t>近一年的财务审计报告或财务报表（成立不足一年的提供企业成立至今的财务报表）；</w:t>
            </w:r>
          </w:p>
          <w:p>
            <w:pPr>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）具有良好的售后服务能力和相应的质量保证措施（提供相关证明材料及售后服务承诺书）；</w:t>
            </w:r>
          </w:p>
          <w:p>
            <w:pPr>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）投标人如在国家企业信用信息公示系统、“信用中国”网站、中国政府采购网被列入严重违法失信行为记录名单的（尚在处罚期内的），将被拒绝本次投标；</w:t>
            </w:r>
          </w:p>
          <w:p>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）相互关联的存在实际控制、管理关系的两个企业，不得参加同一项目的投标；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4</w:t>
            </w:r>
          </w:p>
        </w:tc>
        <w:tc>
          <w:tcPr>
            <w:tcW w:w="1284" w:type="dxa"/>
            <w:gridSpan w:val="2"/>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项目</w:t>
            </w:r>
          </w:p>
          <w:p>
            <w:pPr>
              <w:spacing w:line="360" w:lineRule="auto"/>
              <w:jc w:val="center"/>
              <w:rPr>
                <w:rFonts w:ascii="宋体" w:hAnsi="宋体" w:cs="宋体"/>
                <w:b/>
                <w:color w:val="000000"/>
                <w:kern w:val="0"/>
                <w:sz w:val="24"/>
              </w:rPr>
            </w:pPr>
            <w:r>
              <w:rPr>
                <w:rFonts w:hint="eastAsia" w:ascii="宋体" w:hAnsi="宋体" w:cs="宋体"/>
                <w:b/>
                <w:color w:val="000000"/>
                <w:kern w:val="0"/>
                <w:sz w:val="24"/>
              </w:rPr>
              <w:t>名称</w:t>
            </w:r>
          </w:p>
        </w:tc>
        <w:tc>
          <w:tcPr>
            <w:tcW w:w="6746" w:type="dxa"/>
            <w:vAlign w:val="center"/>
          </w:tcPr>
          <w:p>
            <w:pPr>
              <w:spacing w:line="360" w:lineRule="auto"/>
              <w:rPr>
                <w:rFonts w:ascii="宋体" w:hAnsi="宋体" w:cs="宋体"/>
                <w:color w:val="000000"/>
                <w:sz w:val="24"/>
                <w:u w:val="single"/>
              </w:rPr>
            </w:pPr>
            <w:r>
              <w:rPr>
                <w:rFonts w:hint="eastAsia" w:ascii="宋体" w:hAnsi="宋体" w:cs="宋体"/>
                <w:sz w:val="24"/>
                <w:lang w:eastAsia="zh-CN"/>
              </w:rPr>
              <w:t>英吉沙县特色食品产业园项目二期-净化车间及动力配电采购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5</w:t>
            </w:r>
          </w:p>
        </w:tc>
        <w:tc>
          <w:tcPr>
            <w:tcW w:w="1284" w:type="dxa"/>
            <w:gridSpan w:val="2"/>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招标</w:t>
            </w:r>
          </w:p>
          <w:p>
            <w:pPr>
              <w:spacing w:line="360" w:lineRule="auto"/>
              <w:jc w:val="center"/>
              <w:rPr>
                <w:rFonts w:ascii="宋体" w:hAnsi="宋体" w:cs="宋体"/>
                <w:b/>
                <w:color w:val="000000"/>
                <w:kern w:val="0"/>
                <w:sz w:val="24"/>
              </w:rPr>
            </w:pPr>
            <w:r>
              <w:rPr>
                <w:rFonts w:hint="eastAsia" w:ascii="宋体" w:hAnsi="宋体" w:cs="宋体"/>
                <w:b/>
                <w:color w:val="000000"/>
                <w:kern w:val="0"/>
                <w:sz w:val="24"/>
              </w:rPr>
              <w:t>方式</w:t>
            </w:r>
          </w:p>
        </w:tc>
        <w:tc>
          <w:tcPr>
            <w:tcW w:w="6746" w:type="dxa"/>
            <w:vAlign w:val="center"/>
          </w:tcPr>
          <w:p>
            <w:pPr>
              <w:spacing w:line="360" w:lineRule="auto"/>
              <w:rPr>
                <w:rFonts w:ascii="宋体" w:hAnsi="宋体" w:cs="宋体"/>
                <w:color w:val="000000"/>
                <w:sz w:val="24"/>
              </w:rPr>
            </w:pPr>
            <w:r>
              <w:rPr>
                <w:rFonts w:hint="eastAsia" w:ascii="宋体" w:hAnsi="宋体" w:cs="宋体"/>
                <w:color w:val="000000"/>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6</w:t>
            </w:r>
          </w:p>
        </w:tc>
        <w:tc>
          <w:tcPr>
            <w:tcW w:w="1284" w:type="dxa"/>
            <w:gridSpan w:val="2"/>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资金</w:t>
            </w:r>
          </w:p>
          <w:p>
            <w:pPr>
              <w:spacing w:line="360" w:lineRule="auto"/>
              <w:jc w:val="center"/>
              <w:rPr>
                <w:rFonts w:ascii="宋体" w:hAnsi="宋体" w:cs="宋体"/>
                <w:b/>
                <w:color w:val="000000"/>
                <w:kern w:val="0"/>
                <w:sz w:val="24"/>
              </w:rPr>
            </w:pPr>
            <w:r>
              <w:rPr>
                <w:rFonts w:hint="eastAsia" w:ascii="宋体" w:hAnsi="宋体" w:cs="宋体"/>
                <w:b/>
                <w:color w:val="000000"/>
                <w:kern w:val="0"/>
                <w:sz w:val="24"/>
              </w:rPr>
              <w:t>来源</w:t>
            </w:r>
          </w:p>
        </w:tc>
        <w:tc>
          <w:tcPr>
            <w:tcW w:w="6746" w:type="dxa"/>
            <w:vAlign w:val="center"/>
          </w:tcPr>
          <w:p>
            <w:pPr>
              <w:spacing w:line="360" w:lineRule="auto"/>
              <w:rPr>
                <w:rFonts w:ascii="宋体" w:hAnsi="宋体" w:cs="宋体"/>
                <w:color w:val="000000"/>
                <w:sz w:val="24"/>
              </w:rPr>
            </w:pPr>
            <w:r>
              <w:rPr>
                <w:rFonts w:hint="eastAsia" w:ascii="宋体" w:hAnsi="宋体" w:cs="宋体"/>
                <w:color w:val="000000"/>
                <w:sz w:val="24"/>
                <w:lang w:val="en-US" w:eastAsia="zh-CN"/>
              </w:rPr>
              <w:t>2020年抗疫特别国债资金和脱贫攻坚补短板综合财力补助资金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宋体" w:hAnsi="宋体" w:cs="宋体"/>
                <w:b/>
                <w:color w:val="FF0000"/>
                <w:kern w:val="0"/>
                <w:sz w:val="24"/>
              </w:rPr>
            </w:pPr>
            <w:r>
              <w:rPr>
                <w:rFonts w:hint="eastAsia" w:ascii="宋体" w:hAnsi="宋体" w:cs="宋体"/>
                <w:b/>
                <w:kern w:val="0"/>
                <w:sz w:val="24"/>
              </w:rPr>
              <w:t>7</w:t>
            </w:r>
          </w:p>
        </w:tc>
        <w:tc>
          <w:tcPr>
            <w:tcW w:w="0" w:type="auto"/>
            <w:vMerge w:val="restart"/>
            <w:vAlign w:val="center"/>
          </w:tcPr>
          <w:p>
            <w:pPr>
              <w:spacing w:line="360" w:lineRule="auto"/>
              <w:jc w:val="center"/>
              <w:rPr>
                <w:rFonts w:ascii="宋体" w:hAnsi="宋体" w:cs="宋体"/>
                <w:color w:val="FF0000"/>
                <w:sz w:val="24"/>
                <w:highlight w:val="yellow"/>
              </w:rPr>
            </w:pPr>
            <w:r>
              <w:rPr>
                <w:rFonts w:hint="eastAsia" w:ascii="宋体" w:hAnsi="宋体" w:cs="宋体"/>
                <w:b/>
                <w:kern w:val="0"/>
                <w:sz w:val="24"/>
              </w:rPr>
              <w:t>投标文件的组成部分</w:t>
            </w:r>
          </w:p>
        </w:tc>
        <w:tc>
          <w:tcPr>
            <w:tcW w:w="827" w:type="dxa"/>
            <w:vAlign w:val="center"/>
          </w:tcPr>
          <w:p>
            <w:pPr>
              <w:spacing w:line="360" w:lineRule="auto"/>
              <w:jc w:val="center"/>
              <w:rPr>
                <w:rFonts w:ascii="宋体" w:hAnsi="宋体" w:cs="宋体"/>
                <w:b/>
                <w:kern w:val="0"/>
                <w:sz w:val="24"/>
              </w:rPr>
            </w:pPr>
            <w:r>
              <w:rPr>
                <w:rFonts w:hint="eastAsia" w:ascii="宋体" w:hAnsi="宋体" w:cs="宋体"/>
                <w:b/>
                <w:kern w:val="0"/>
                <w:sz w:val="24"/>
              </w:rPr>
              <w:t>封面</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color w:val="FF0000"/>
                <w:kern w:val="0"/>
                <w:sz w:val="24"/>
              </w:rPr>
            </w:pPr>
          </w:p>
        </w:tc>
        <w:tc>
          <w:tcPr>
            <w:tcW w:w="0" w:type="auto"/>
            <w:vMerge w:val="continue"/>
            <w:vAlign w:val="center"/>
          </w:tcPr>
          <w:p>
            <w:pPr>
              <w:spacing w:line="360" w:lineRule="auto"/>
              <w:jc w:val="center"/>
              <w:rPr>
                <w:rFonts w:ascii="宋体" w:hAnsi="宋体" w:cs="宋体"/>
                <w:b/>
                <w:color w:val="FF0000"/>
                <w:kern w:val="0"/>
                <w:sz w:val="24"/>
              </w:rPr>
            </w:pPr>
          </w:p>
        </w:tc>
        <w:tc>
          <w:tcPr>
            <w:tcW w:w="827" w:type="dxa"/>
            <w:vAlign w:val="center"/>
          </w:tcPr>
          <w:p>
            <w:pPr>
              <w:spacing w:line="360" w:lineRule="auto"/>
              <w:jc w:val="center"/>
              <w:rPr>
                <w:rFonts w:ascii="宋体" w:hAnsi="宋体" w:cs="宋体"/>
                <w:b/>
                <w:kern w:val="0"/>
                <w:sz w:val="24"/>
              </w:rPr>
            </w:pPr>
            <w:r>
              <w:rPr>
                <w:rFonts w:hint="eastAsia" w:ascii="宋体" w:hAnsi="宋体" w:cs="宋体"/>
                <w:b/>
                <w:kern w:val="0"/>
                <w:sz w:val="24"/>
              </w:rPr>
              <w:t>商</w:t>
            </w:r>
          </w:p>
          <w:p>
            <w:pPr>
              <w:spacing w:line="360" w:lineRule="auto"/>
              <w:jc w:val="center"/>
              <w:rPr>
                <w:rFonts w:ascii="宋体" w:hAnsi="宋体" w:cs="宋体"/>
                <w:b/>
                <w:kern w:val="0"/>
                <w:sz w:val="24"/>
              </w:rPr>
            </w:pPr>
            <w:r>
              <w:rPr>
                <w:rFonts w:hint="eastAsia" w:ascii="宋体" w:hAnsi="宋体" w:cs="宋体"/>
                <w:b/>
                <w:kern w:val="0"/>
                <w:sz w:val="24"/>
              </w:rPr>
              <w:t>务</w:t>
            </w:r>
          </w:p>
          <w:p>
            <w:pPr>
              <w:spacing w:line="360" w:lineRule="auto"/>
              <w:jc w:val="center"/>
              <w:rPr>
                <w:rFonts w:ascii="宋体" w:hAnsi="宋体" w:cs="宋体"/>
                <w:b/>
                <w:kern w:val="0"/>
                <w:sz w:val="24"/>
              </w:rPr>
            </w:pPr>
            <w:r>
              <w:rPr>
                <w:rFonts w:hint="eastAsia" w:ascii="宋体" w:hAnsi="宋体" w:cs="宋体"/>
                <w:b/>
                <w:kern w:val="0"/>
                <w:sz w:val="24"/>
              </w:rPr>
              <w:t>部</w:t>
            </w:r>
          </w:p>
          <w:p>
            <w:pPr>
              <w:spacing w:line="360" w:lineRule="auto"/>
              <w:jc w:val="center"/>
              <w:rPr>
                <w:rFonts w:ascii="宋体" w:hAnsi="宋体" w:cs="宋体"/>
                <w:b/>
                <w:kern w:val="0"/>
                <w:sz w:val="24"/>
              </w:rPr>
            </w:pPr>
            <w:r>
              <w:rPr>
                <w:rFonts w:hint="eastAsia" w:ascii="宋体" w:hAnsi="宋体" w:cs="宋体"/>
                <w:b/>
                <w:kern w:val="0"/>
                <w:sz w:val="24"/>
              </w:rPr>
              <w:t>分</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★投标函；</w:t>
            </w:r>
          </w:p>
          <w:p>
            <w:pPr>
              <w:spacing w:line="360" w:lineRule="auto"/>
              <w:rPr>
                <w:rFonts w:ascii="宋体" w:hAnsi="宋体" w:cs="宋体"/>
                <w:kern w:val="0"/>
                <w:sz w:val="24"/>
              </w:rPr>
            </w:pPr>
            <w:r>
              <w:rPr>
                <w:rFonts w:hint="eastAsia" w:ascii="宋体" w:hAnsi="宋体" w:cs="宋体"/>
                <w:kern w:val="0"/>
                <w:sz w:val="24"/>
              </w:rPr>
              <w:t>★法定代表人授权委托书；</w:t>
            </w:r>
          </w:p>
          <w:p>
            <w:pPr>
              <w:spacing w:line="360" w:lineRule="auto"/>
              <w:rPr>
                <w:rFonts w:ascii="宋体" w:hAnsi="宋体" w:cs="宋体"/>
                <w:kern w:val="0"/>
                <w:sz w:val="24"/>
              </w:rPr>
            </w:pPr>
            <w:r>
              <w:rPr>
                <w:rFonts w:hint="eastAsia" w:ascii="宋体" w:hAnsi="宋体" w:cs="宋体"/>
                <w:kern w:val="0"/>
                <w:sz w:val="24"/>
              </w:rPr>
              <w:t>★按照“投标人资格要求”规定提交的相关证明材料（</w:t>
            </w:r>
            <w:r>
              <w:rPr>
                <w:rFonts w:hint="eastAsia" w:ascii="宋体" w:hAnsi="宋体" w:cs="宋体"/>
                <w:b/>
                <w:kern w:val="0"/>
                <w:sz w:val="24"/>
              </w:rPr>
              <w:t>评审时需要原件的须于</w:t>
            </w:r>
            <w:r>
              <w:rPr>
                <w:rFonts w:hint="eastAsia" w:ascii="宋体" w:hAnsi="宋体" w:cs="宋体"/>
                <w:b/>
                <w:sz w:val="24"/>
              </w:rPr>
              <w:t>投标截止时间前</w:t>
            </w:r>
            <w:r>
              <w:rPr>
                <w:rFonts w:hint="eastAsia" w:ascii="宋体" w:hAnsi="宋体" w:cs="宋体"/>
                <w:b/>
                <w:kern w:val="0"/>
                <w:sz w:val="24"/>
              </w:rPr>
              <w:t>提供）</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企业信誉</w:t>
            </w:r>
          </w:p>
          <w:p>
            <w:pPr>
              <w:spacing w:line="360" w:lineRule="auto"/>
              <w:rPr>
                <w:rFonts w:ascii="宋体" w:hAnsi="宋体" w:cs="宋体"/>
                <w:kern w:val="0"/>
                <w:sz w:val="24"/>
              </w:rPr>
            </w:pPr>
            <w:r>
              <w:rPr>
                <w:rFonts w:hint="eastAsia" w:ascii="宋体" w:hAnsi="宋体" w:cs="宋体"/>
                <w:kern w:val="0"/>
                <w:sz w:val="24"/>
              </w:rPr>
              <w:t>财务状况</w:t>
            </w:r>
          </w:p>
          <w:p>
            <w:pPr>
              <w:spacing w:line="360" w:lineRule="auto"/>
              <w:rPr>
                <w:rFonts w:ascii="宋体" w:hAnsi="宋体" w:cs="宋体"/>
                <w:color w:val="FF0000"/>
                <w:kern w:val="0"/>
                <w:sz w:val="24"/>
              </w:rPr>
            </w:pPr>
            <w:r>
              <w:rPr>
                <w:rFonts w:hint="eastAsia" w:ascii="宋体" w:hAnsi="宋体" w:cs="宋体"/>
                <w:kern w:val="0"/>
                <w:sz w:val="24"/>
              </w:rPr>
              <w:t xml:space="preserve">服务方案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color w:val="FF0000"/>
                <w:kern w:val="0"/>
                <w:sz w:val="24"/>
              </w:rPr>
            </w:pPr>
          </w:p>
        </w:tc>
        <w:tc>
          <w:tcPr>
            <w:tcW w:w="0" w:type="auto"/>
            <w:vMerge w:val="continue"/>
            <w:vAlign w:val="center"/>
          </w:tcPr>
          <w:p>
            <w:pPr>
              <w:spacing w:line="360" w:lineRule="auto"/>
              <w:jc w:val="center"/>
              <w:rPr>
                <w:rFonts w:ascii="宋体" w:hAnsi="宋体" w:cs="宋体"/>
                <w:color w:val="FF0000"/>
                <w:sz w:val="24"/>
                <w:highlight w:val="yellow"/>
              </w:rPr>
            </w:pPr>
          </w:p>
        </w:tc>
        <w:tc>
          <w:tcPr>
            <w:tcW w:w="827" w:type="dxa"/>
            <w:vAlign w:val="center"/>
          </w:tcPr>
          <w:p>
            <w:pPr>
              <w:spacing w:line="360" w:lineRule="auto"/>
              <w:jc w:val="center"/>
              <w:rPr>
                <w:rFonts w:ascii="宋体" w:hAnsi="宋体" w:cs="宋体"/>
                <w:b/>
                <w:kern w:val="0"/>
                <w:sz w:val="24"/>
              </w:rPr>
            </w:pPr>
            <w:r>
              <w:rPr>
                <w:rFonts w:hint="eastAsia" w:ascii="宋体" w:hAnsi="宋体" w:cs="宋体"/>
                <w:b/>
                <w:kern w:val="0"/>
                <w:sz w:val="24"/>
              </w:rPr>
              <w:t>报</w:t>
            </w:r>
          </w:p>
          <w:p>
            <w:pPr>
              <w:spacing w:line="360" w:lineRule="auto"/>
              <w:jc w:val="center"/>
              <w:rPr>
                <w:rFonts w:ascii="宋体" w:hAnsi="宋体" w:cs="宋体"/>
                <w:b/>
                <w:kern w:val="0"/>
                <w:sz w:val="24"/>
              </w:rPr>
            </w:pPr>
            <w:r>
              <w:rPr>
                <w:rFonts w:hint="eastAsia" w:ascii="宋体" w:hAnsi="宋体" w:cs="宋体"/>
                <w:b/>
                <w:kern w:val="0"/>
                <w:sz w:val="24"/>
              </w:rPr>
              <w:t>价</w:t>
            </w:r>
          </w:p>
          <w:p>
            <w:pPr>
              <w:spacing w:line="360" w:lineRule="auto"/>
              <w:jc w:val="center"/>
              <w:rPr>
                <w:rFonts w:ascii="宋体" w:hAnsi="宋体" w:cs="宋体"/>
                <w:b/>
                <w:kern w:val="0"/>
                <w:sz w:val="24"/>
              </w:rPr>
            </w:pPr>
            <w:r>
              <w:rPr>
                <w:rFonts w:hint="eastAsia" w:ascii="宋体" w:hAnsi="宋体" w:cs="宋体"/>
                <w:b/>
                <w:kern w:val="0"/>
                <w:sz w:val="24"/>
              </w:rPr>
              <w:t>部</w:t>
            </w:r>
          </w:p>
          <w:p>
            <w:pPr>
              <w:spacing w:line="360" w:lineRule="auto"/>
              <w:jc w:val="center"/>
              <w:rPr>
                <w:rFonts w:ascii="宋体" w:hAnsi="宋体" w:cs="宋体"/>
                <w:b/>
                <w:kern w:val="0"/>
                <w:sz w:val="24"/>
              </w:rPr>
            </w:pPr>
            <w:r>
              <w:rPr>
                <w:rFonts w:hint="eastAsia" w:ascii="宋体" w:hAnsi="宋体" w:cs="宋体"/>
                <w:b/>
                <w:kern w:val="0"/>
                <w:sz w:val="24"/>
              </w:rPr>
              <w:t>分</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★开标一览表；</w:t>
            </w:r>
          </w:p>
          <w:p>
            <w:pPr>
              <w:spacing w:line="360" w:lineRule="auto"/>
              <w:rPr>
                <w:rFonts w:ascii="宋体" w:hAnsi="宋体" w:cs="宋体"/>
                <w:kern w:val="0"/>
                <w:sz w:val="24"/>
              </w:rPr>
            </w:pPr>
            <w:r>
              <w:rPr>
                <w:rFonts w:hint="eastAsia" w:ascii="宋体" w:hAnsi="宋体" w:cs="宋体"/>
                <w:kern w:val="0"/>
                <w:sz w:val="24"/>
              </w:rPr>
              <w:t>★报价明细表；</w:t>
            </w:r>
          </w:p>
          <w:p>
            <w:pPr>
              <w:spacing w:line="360" w:lineRule="auto"/>
              <w:rPr>
                <w:rFonts w:ascii="宋体" w:hAnsi="宋体" w:cs="宋体"/>
                <w:kern w:val="0"/>
                <w:sz w:val="24"/>
              </w:rPr>
            </w:pPr>
            <w:r>
              <w:rPr>
                <w:rFonts w:hint="eastAsia" w:ascii="宋体" w:hAnsi="宋体" w:cs="宋体"/>
                <w:kern w:val="0"/>
                <w:sz w:val="24"/>
              </w:rPr>
              <w:t>环境标志产品明细表；</w:t>
            </w:r>
          </w:p>
          <w:p>
            <w:pPr>
              <w:spacing w:line="360" w:lineRule="auto"/>
              <w:rPr>
                <w:rFonts w:ascii="宋体" w:hAnsi="宋体" w:cs="宋体"/>
                <w:kern w:val="0"/>
                <w:sz w:val="24"/>
              </w:rPr>
            </w:pPr>
            <w:r>
              <w:rPr>
                <w:rFonts w:hint="eastAsia" w:ascii="宋体" w:hAnsi="宋体" w:cs="宋体"/>
                <w:kern w:val="0"/>
                <w:sz w:val="24"/>
              </w:rPr>
              <w:t>节能产品明细表；</w:t>
            </w:r>
          </w:p>
          <w:p>
            <w:pPr>
              <w:spacing w:line="360" w:lineRule="auto"/>
              <w:rPr>
                <w:rFonts w:ascii="宋体" w:hAnsi="宋体" w:cs="宋体"/>
                <w:kern w:val="0"/>
                <w:sz w:val="24"/>
              </w:rPr>
            </w:pPr>
            <w:r>
              <w:rPr>
                <w:rFonts w:hint="eastAsia" w:ascii="宋体" w:hAnsi="宋体" w:cs="宋体"/>
                <w:kern w:val="0"/>
                <w:sz w:val="24"/>
              </w:rPr>
              <w:t>小、微型企业产品明细表；</w:t>
            </w:r>
          </w:p>
          <w:p>
            <w:pPr>
              <w:spacing w:line="360" w:lineRule="auto"/>
              <w:rPr>
                <w:rFonts w:ascii="宋体" w:hAnsi="宋体" w:cs="宋体"/>
                <w:kern w:val="0"/>
                <w:sz w:val="24"/>
                <w:u w:val="single"/>
              </w:rPr>
            </w:pPr>
            <w:r>
              <w:rPr>
                <w:rFonts w:hint="eastAsia" w:ascii="宋体" w:hAnsi="宋体" w:cs="宋体"/>
                <w:kern w:val="0"/>
                <w:sz w:val="24"/>
              </w:rPr>
              <w:t>其他：</w:t>
            </w:r>
            <w:r>
              <w:rPr>
                <w:rFonts w:hint="eastAsia" w:ascii="宋体" w:hAnsi="宋体" w:cs="宋体"/>
                <w:kern w:val="0"/>
                <w:sz w:val="24"/>
                <w:u w:val="single"/>
              </w:rPr>
              <w:t xml:space="preserve">                                                </w:t>
            </w:r>
          </w:p>
          <w:p>
            <w:pPr>
              <w:spacing w:line="360" w:lineRule="auto"/>
              <w:rPr>
                <w:rFonts w:ascii="宋体" w:hAnsi="宋体" w:cs="宋体"/>
                <w:color w:val="FF0000"/>
                <w:kern w:val="0"/>
                <w:sz w:val="24"/>
                <w:u w:val="single"/>
              </w:rPr>
            </w:pPr>
            <w:r>
              <w:rPr>
                <w:rFonts w:hint="eastAsia" w:ascii="宋体" w:hAnsi="宋体" w:cs="宋体"/>
                <w:kern w:val="0"/>
                <w:sz w:val="24"/>
                <w:u w:val="single"/>
              </w:rPr>
              <w:t xml:space="preserve">                                                  </w:t>
            </w:r>
            <w:r>
              <w:rPr>
                <w:rFonts w:hint="eastAsia" w:ascii="宋体" w:hAnsi="宋体" w:cs="宋体"/>
                <w:color w:val="FF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color w:val="FF0000"/>
                <w:kern w:val="0"/>
                <w:sz w:val="24"/>
              </w:rPr>
            </w:pPr>
          </w:p>
        </w:tc>
        <w:tc>
          <w:tcPr>
            <w:tcW w:w="0" w:type="auto"/>
            <w:vMerge w:val="continue"/>
            <w:vAlign w:val="center"/>
          </w:tcPr>
          <w:p>
            <w:pPr>
              <w:spacing w:line="360" w:lineRule="auto"/>
              <w:jc w:val="center"/>
              <w:rPr>
                <w:rFonts w:ascii="宋体" w:hAnsi="宋体" w:cs="宋体"/>
                <w:color w:val="FF0000"/>
                <w:sz w:val="24"/>
                <w:highlight w:val="yellow"/>
              </w:rPr>
            </w:pPr>
          </w:p>
        </w:tc>
        <w:tc>
          <w:tcPr>
            <w:tcW w:w="827" w:type="dxa"/>
            <w:vAlign w:val="center"/>
          </w:tcPr>
          <w:p>
            <w:pPr>
              <w:spacing w:line="360" w:lineRule="auto"/>
              <w:jc w:val="center"/>
              <w:rPr>
                <w:rFonts w:ascii="宋体" w:hAnsi="宋体" w:cs="宋体"/>
                <w:b/>
                <w:kern w:val="0"/>
                <w:sz w:val="24"/>
              </w:rPr>
            </w:pPr>
            <w:r>
              <w:rPr>
                <w:rFonts w:hint="eastAsia" w:ascii="宋体" w:hAnsi="宋体" w:cs="宋体"/>
                <w:b/>
                <w:kern w:val="0"/>
                <w:sz w:val="24"/>
              </w:rPr>
              <w:t>技</w:t>
            </w:r>
          </w:p>
          <w:p>
            <w:pPr>
              <w:spacing w:line="360" w:lineRule="auto"/>
              <w:jc w:val="center"/>
              <w:rPr>
                <w:rFonts w:ascii="宋体" w:hAnsi="宋体" w:cs="宋体"/>
                <w:b/>
                <w:kern w:val="0"/>
                <w:sz w:val="24"/>
              </w:rPr>
            </w:pPr>
            <w:r>
              <w:rPr>
                <w:rFonts w:hint="eastAsia" w:ascii="宋体" w:hAnsi="宋体" w:cs="宋体"/>
                <w:b/>
                <w:kern w:val="0"/>
                <w:sz w:val="24"/>
              </w:rPr>
              <w:t>术</w:t>
            </w:r>
          </w:p>
          <w:p>
            <w:pPr>
              <w:spacing w:line="360" w:lineRule="auto"/>
              <w:jc w:val="center"/>
              <w:rPr>
                <w:rFonts w:ascii="宋体" w:hAnsi="宋体" w:cs="宋体"/>
                <w:b/>
                <w:kern w:val="0"/>
                <w:sz w:val="24"/>
              </w:rPr>
            </w:pPr>
            <w:r>
              <w:rPr>
                <w:rFonts w:hint="eastAsia" w:ascii="宋体" w:hAnsi="宋体" w:cs="宋体"/>
                <w:b/>
                <w:kern w:val="0"/>
                <w:sz w:val="24"/>
              </w:rPr>
              <w:t>部</w:t>
            </w:r>
          </w:p>
          <w:p>
            <w:pPr>
              <w:spacing w:line="360" w:lineRule="auto"/>
              <w:jc w:val="center"/>
              <w:rPr>
                <w:rFonts w:ascii="宋体" w:hAnsi="宋体" w:cs="宋体"/>
                <w:b/>
                <w:color w:val="FF0000"/>
                <w:kern w:val="0"/>
                <w:sz w:val="24"/>
              </w:rPr>
            </w:pPr>
            <w:r>
              <w:rPr>
                <w:rFonts w:hint="eastAsia" w:ascii="宋体" w:hAnsi="宋体" w:cs="宋体"/>
                <w:b/>
                <w:kern w:val="0"/>
                <w:sz w:val="24"/>
              </w:rPr>
              <w:t>分</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投标人自行编写的技术文件：</w:t>
            </w:r>
          </w:p>
          <w:p>
            <w:pPr>
              <w:spacing w:line="360" w:lineRule="auto"/>
              <w:rPr>
                <w:rFonts w:ascii="宋体" w:hAnsi="宋体" w:cs="宋体"/>
                <w:kern w:val="0"/>
                <w:sz w:val="24"/>
              </w:rPr>
            </w:pPr>
            <w:r>
              <w:rPr>
                <w:rFonts w:hint="eastAsia" w:ascii="宋体" w:hAnsi="宋体" w:cs="宋体"/>
                <w:kern w:val="0"/>
                <w:sz w:val="24"/>
              </w:rPr>
              <w:t>①货物主要技术指标和运行性能：</w:t>
            </w:r>
          </w:p>
          <w:p>
            <w:pPr>
              <w:spacing w:line="360" w:lineRule="auto"/>
              <w:rPr>
                <w:rFonts w:ascii="宋体" w:hAnsi="宋体" w:cs="宋体"/>
                <w:kern w:val="0"/>
                <w:sz w:val="24"/>
              </w:rPr>
            </w:pPr>
            <w:r>
              <w:rPr>
                <w:rFonts w:hint="eastAsia" w:ascii="宋体" w:hAnsi="宋体" w:cs="宋体"/>
                <w:kern w:val="0"/>
                <w:sz w:val="24"/>
              </w:rPr>
              <w:t>&lt;1&gt; ☆ 技术明细表（详细描述货物技术指标及性能，包括采</w:t>
            </w:r>
          </w:p>
          <w:p>
            <w:pPr>
              <w:spacing w:line="360" w:lineRule="auto"/>
              <w:rPr>
                <w:rFonts w:ascii="宋体" w:hAnsi="宋体" w:cs="宋体"/>
                <w:kern w:val="0"/>
                <w:sz w:val="24"/>
              </w:rPr>
            </w:pPr>
            <w:r>
              <w:rPr>
                <w:rFonts w:hint="eastAsia" w:ascii="宋体" w:hAnsi="宋体" w:cs="宋体"/>
                <w:kern w:val="0"/>
                <w:sz w:val="24"/>
              </w:rPr>
              <w:t>用的新工艺、新技术、新材料等）；</w:t>
            </w:r>
          </w:p>
          <w:p>
            <w:pPr>
              <w:spacing w:line="360" w:lineRule="auto"/>
              <w:rPr>
                <w:rFonts w:ascii="宋体" w:hAnsi="宋体" w:cs="宋体"/>
                <w:kern w:val="0"/>
                <w:sz w:val="24"/>
              </w:rPr>
            </w:pPr>
            <w:r>
              <w:rPr>
                <w:rFonts w:hint="eastAsia" w:ascii="宋体" w:hAnsi="宋体" w:cs="宋体"/>
                <w:kern w:val="0"/>
                <w:sz w:val="24"/>
              </w:rPr>
              <w:t>&lt;2&gt;同货物型号一致的产品手册、彩页、说明书等技术文</w:t>
            </w:r>
          </w:p>
          <w:p>
            <w:pPr>
              <w:spacing w:line="360" w:lineRule="auto"/>
              <w:rPr>
                <w:rFonts w:ascii="宋体" w:hAnsi="宋体" w:cs="宋体"/>
                <w:kern w:val="0"/>
                <w:sz w:val="24"/>
              </w:rPr>
            </w:pPr>
            <w:r>
              <w:rPr>
                <w:rFonts w:hint="eastAsia" w:ascii="宋体" w:hAnsi="宋体" w:cs="宋体"/>
                <w:kern w:val="0"/>
                <w:sz w:val="24"/>
              </w:rPr>
              <w:t>件（包括但不限于招标文件中要求提供的投标产品样本、</w:t>
            </w:r>
          </w:p>
          <w:p>
            <w:pPr>
              <w:spacing w:line="360" w:lineRule="auto"/>
              <w:rPr>
                <w:rFonts w:ascii="宋体" w:hAnsi="宋体" w:cs="宋体"/>
                <w:kern w:val="0"/>
                <w:sz w:val="24"/>
              </w:rPr>
            </w:pPr>
            <w:r>
              <w:rPr>
                <w:rFonts w:hint="eastAsia" w:ascii="宋体" w:hAnsi="宋体" w:cs="宋体"/>
                <w:kern w:val="0"/>
                <w:sz w:val="24"/>
              </w:rPr>
              <w:t>使用保养说明书、图纸以及产品检测报告和认定证书等技</w:t>
            </w:r>
          </w:p>
          <w:p>
            <w:pPr>
              <w:spacing w:line="360" w:lineRule="auto"/>
              <w:rPr>
                <w:rFonts w:ascii="宋体" w:hAnsi="宋体" w:cs="宋体"/>
                <w:kern w:val="0"/>
                <w:sz w:val="24"/>
              </w:rPr>
            </w:pPr>
            <w:r>
              <w:rPr>
                <w:rFonts w:hint="eastAsia" w:ascii="宋体" w:hAnsi="宋体" w:cs="宋体"/>
                <w:kern w:val="0"/>
                <w:sz w:val="24"/>
              </w:rPr>
              <w:t>术资料）；</w:t>
            </w:r>
          </w:p>
          <w:p>
            <w:pPr>
              <w:spacing w:line="360" w:lineRule="auto"/>
              <w:rPr>
                <w:rFonts w:ascii="宋体" w:hAnsi="宋体" w:cs="宋体"/>
                <w:kern w:val="0"/>
                <w:sz w:val="24"/>
              </w:rPr>
            </w:pPr>
            <w:r>
              <w:rPr>
                <w:rFonts w:hint="eastAsia" w:ascii="宋体" w:hAnsi="宋体" w:cs="宋体"/>
                <w:kern w:val="0"/>
                <w:sz w:val="24"/>
              </w:rPr>
              <w:t>&lt;3&gt; ☆ 货物技术规范偏离表；</w:t>
            </w:r>
          </w:p>
          <w:p>
            <w:pPr>
              <w:spacing w:line="360" w:lineRule="auto"/>
              <w:rPr>
                <w:rFonts w:ascii="宋体" w:hAnsi="宋体" w:cs="宋体"/>
                <w:kern w:val="0"/>
                <w:sz w:val="24"/>
              </w:rPr>
            </w:pPr>
            <w:r>
              <w:rPr>
                <w:rFonts w:hint="eastAsia" w:ascii="宋体" w:hAnsi="宋体" w:cs="宋体"/>
                <w:kern w:val="0"/>
                <w:sz w:val="24"/>
              </w:rPr>
              <w:t>②货物配件、耗材、选件表和备件及特殊工具清单；</w:t>
            </w:r>
          </w:p>
          <w:p>
            <w:pPr>
              <w:spacing w:line="360" w:lineRule="auto"/>
              <w:rPr>
                <w:rFonts w:ascii="宋体" w:hAnsi="宋体" w:cs="宋体"/>
                <w:kern w:val="0"/>
                <w:sz w:val="24"/>
              </w:rPr>
            </w:pPr>
            <w:r>
              <w:rPr>
                <w:rFonts w:hint="eastAsia" w:ascii="宋体" w:hAnsi="宋体" w:cs="宋体"/>
                <w:kern w:val="0"/>
                <w:sz w:val="24"/>
              </w:rPr>
              <w:t>③货物安装方案及验收标准；</w:t>
            </w:r>
          </w:p>
          <w:p>
            <w:pPr>
              <w:spacing w:line="360" w:lineRule="auto"/>
              <w:rPr>
                <w:rFonts w:ascii="宋体" w:hAnsi="宋体" w:cs="宋体"/>
                <w:kern w:val="0"/>
                <w:sz w:val="24"/>
              </w:rPr>
            </w:pPr>
            <w:r>
              <w:rPr>
                <w:rFonts w:hint="eastAsia" w:ascii="宋体" w:hAnsi="宋体" w:cs="宋体"/>
                <w:kern w:val="0"/>
                <w:sz w:val="24"/>
              </w:rPr>
              <w:t>④质量保证措施和保证交货期措施；</w:t>
            </w:r>
          </w:p>
          <w:p>
            <w:pPr>
              <w:spacing w:line="360" w:lineRule="auto"/>
              <w:rPr>
                <w:rFonts w:ascii="宋体" w:hAnsi="宋体" w:cs="宋体"/>
                <w:kern w:val="0"/>
                <w:sz w:val="24"/>
                <w:u w:val="single"/>
              </w:rPr>
            </w:pPr>
            <w:r>
              <w:rPr>
                <w:rFonts w:hint="eastAsia" w:ascii="宋体" w:hAnsi="宋体" w:cs="宋体"/>
                <w:kern w:val="0"/>
                <w:sz w:val="24"/>
              </w:rPr>
              <w:t>其他：</w:t>
            </w:r>
            <w:r>
              <w:rPr>
                <w:rFonts w:hint="eastAsia" w:ascii="宋体" w:hAnsi="宋体" w:cs="宋体"/>
                <w:kern w:val="0"/>
                <w:sz w:val="24"/>
                <w:u w:val="single"/>
              </w:rPr>
              <w:t xml:space="preserve">                                                 </w:t>
            </w:r>
          </w:p>
          <w:p>
            <w:pPr>
              <w:spacing w:line="360" w:lineRule="auto"/>
              <w:rPr>
                <w:rFonts w:ascii="宋体" w:hAnsi="宋体" w:cs="宋体"/>
                <w:color w:val="FF0000"/>
                <w:kern w:val="0"/>
                <w:sz w:val="24"/>
                <w:u w:val="single"/>
              </w:rPr>
            </w:pPr>
            <w:r>
              <w:rPr>
                <w:rFonts w:hint="eastAsia" w:ascii="宋体" w:hAnsi="宋体" w:cs="宋体"/>
                <w:kern w:val="0"/>
                <w:sz w:val="24"/>
                <w:u w:val="single"/>
              </w:rPr>
              <w:t xml:space="preserve">                                                       </w:t>
            </w:r>
            <w:r>
              <w:rPr>
                <w:rFonts w:hint="eastAsia" w:ascii="宋体" w:hAnsi="宋体" w:cs="宋体"/>
                <w:color w:val="FF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color w:val="FF0000"/>
                <w:kern w:val="0"/>
                <w:sz w:val="24"/>
              </w:rPr>
            </w:pPr>
          </w:p>
        </w:tc>
        <w:tc>
          <w:tcPr>
            <w:tcW w:w="0" w:type="auto"/>
            <w:vMerge w:val="continue"/>
            <w:vAlign w:val="center"/>
          </w:tcPr>
          <w:p>
            <w:pPr>
              <w:spacing w:line="360" w:lineRule="auto"/>
              <w:jc w:val="center"/>
              <w:rPr>
                <w:rFonts w:ascii="宋体" w:hAnsi="宋体" w:cs="宋体"/>
                <w:color w:val="FF0000"/>
                <w:sz w:val="24"/>
                <w:highlight w:val="yellow"/>
              </w:rPr>
            </w:pPr>
          </w:p>
        </w:tc>
        <w:tc>
          <w:tcPr>
            <w:tcW w:w="827" w:type="dxa"/>
            <w:vAlign w:val="center"/>
          </w:tcPr>
          <w:p>
            <w:pPr>
              <w:spacing w:line="360" w:lineRule="auto"/>
              <w:jc w:val="center"/>
              <w:rPr>
                <w:rFonts w:ascii="宋体" w:hAnsi="宋体" w:cs="宋体"/>
                <w:b/>
                <w:kern w:val="0"/>
                <w:sz w:val="24"/>
              </w:rPr>
            </w:pPr>
            <w:r>
              <w:rPr>
                <w:rFonts w:hint="eastAsia" w:ascii="宋体" w:hAnsi="宋体" w:cs="宋体"/>
                <w:b/>
                <w:kern w:val="0"/>
                <w:sz w:val="24"/>
              </w:rPr>
              <w:t>服</w:t>
            </w:r>
          </w:p>
          <w:p>
            <w:pPr>
              <w:spacing w:line="360" w:lineRule="auto"/>
              <w:jc w:val="center"/>
              <w:rPr>
                <w:rFonts w:ascii="宋体" w:hAnsi="宋体" w:cs="宋体"/>
                <w:b/>
                <w:kern w:val="0"/>
                <w:sz w:val="24"/>
              </w:rPr>
            </w:pPr>
            <w:r>
              <w:rPr>
                <w:rFonts w:hint="eastAsia" w:ascii="宋体" w:hAnsi="宋体" w:cs="宋体"/>
                <w:b/>
                <w:kern w:val="0"/>
                <w:sz w:val="24"/>
              </w:rPr>
              <w:t>务</w:t>
            </w:r>
          </w:p>
          <w:p>
            <w:pPr>
              <w:spacing w:line="360" w:lineRule="auto"/>
              <w:jc w:val="center"/>
              <w:rPr>
                <w:rFonts w:ascii="宋体" w:hAnsi="宋体" w:cs="宋体"/>
                <w:b/>
                <w:kern w:val="0"/>
                <w:sz w:val="24"/>
              </w:rPr>
            </w:pPr>
            <w:r>
              <w:rPr>
                <w:rFonts w:hint="eastAsia" w:ascii="宋体" w:hAnsi="宋体" w:cs="宋体"/>
                <w:b/>
                <w:kern w:val="0"/>
                <w:sz w:val="24"/>
              </w:rPr>
              <w:t>部</w:t>
            </w:r>
          </w:p>
          <w:p>
            <w:pPr>
              <w:spacing w:line="360" w:lineRule="auto"/>
              <w:jc w:val="center"/>
              <w:rPr>
                <w:rFonts w:ascii="宋体" w:hAnsi="宋体" w:cs="宋体"/>
                <w:b/>
                <w:color w:val="FF0000"/>
                <w:kern w:val="0"/>
                <w:sz w:val="24"/>
              </w:rPr>
            </w:pPr>
            <w:r>
              <w:rPr>
                <w:rFonts w:hint="eastAsia" w:ascii="宋体" w:hAnsi="宋体" w:cs="宋体"/>
                <w:b/>
                <w:kern w:val="0"/>
                <w:sz w:val="24"/>
              </w:rPr>
              <w:t>分</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投标人自行编写的服务文件：</w:t>
            </w:r>
          </w:p>
          <w:p>
            <w:pPr>
              <w:spacing w:line="360" w:lineRule="auto"/>
              <w:rPr>
                <w:rFonts w:ascii="宋体" w:hAnsi="宋体" w:cs="宋体"/>
                <w:kern w:val="0"/>
                <w:sz w:val="24"/>
              </w:rPr>
            </w:pPr>
            <w:r>
              <w:rPr>
                <w:rFonts w:hint="eastAsia" w:ascii="宋体" w:hAnsi="宋体" w:cs="宋体"/>
                <w:kern w:val="0"/>
                <w:sz w:val="24"/>
              </w:rPr>
              <w:t>货物的保修期和售后服务的程序、内容及措施；</w:t>
            </w:r>
          </w:p>
          <w:p>
            <w:pPr>
              <w:spacing w:line="360" w:lineRule="auto"/>
              <w:rPr>
                <w:rFonts w:ascii="宋体" w:hAnsi="宋体" w:cs="宋体"/>
                <w:kern w:val="0"/>
                <w:sz w:val="24"/>
              </w:rPr>
            </w:pPr>
            <w:r>
              <w:rPr>
                <w:rFonts w:hint="eastAsia" w:ascii="宋体" w:hAnsi="宋体" w:cs="宋体"/>
                <w:kern w:val="0"/>
                <w:sz w:val="24"/>
              </w:rPr>
              <w:t>响应时间和技术支持情况；</w:t>
            </w:r>
          </w:p>
          <w:p>
            <w:pPr>
              <w:spacing w:line="360" w:lineRule="auto"/>
              <w:rPr>
                <w:rFonts w:ascii="宋体" w:hAnsi="宋体" w:cs="宋体"/>
                <w:kern w:val="0"/>
                <w:sz w:val="24"/>
              </w:rPr>
            </w:pPr>
            <w:r>
              <w:rPr>
                <w:rFonts w:hint="eastAsia" w:ascii="宋体" w:hAnsi="宋体" w:cs="宋体"/>
                <w:kern w:val="0"/>
                <w:sz w:val="24"/>
              </w:rPr>
              <w:t>培训方案及内容；</w:t>
            </w:r>
          </w:p>
          <w:p>
            <w:pPr>
              <w:spacing w:line="360" w:lineRule="auto"/>
              <w:rPr>
                <w:rFonts w:ascii="宋体" w:hAnsi="宋体" w:cs="宋体"/>
                <w:kern w:val="0"/>
                <w:sz w:val="24"/>
              </w:rPr>
            </w:pPr>
            <w:r>
              <w:rPr>
                <w:rFonts w:hint="eastAsia" w:ascii="宋体" w:hAnsi="宋体" w:cs="宋体"/>
                <w:kern w:val="0"/>
                <w:sz w:val="24"/>
              </w:rPr>
              <w:t>售后服务网点明细（包括联系人、详细地址、电话、传真）及</w:t>
            </w:r>
            <w:r>
              <w:rPr>
                <w:rFonts w:hint="eastAsia" w:ascii="宋体" w:hAnsi="宋体" w:cs="宋体"/>
                <w:sz w:val="24"/>
              </w:rPr>
              <w:t>本地化服务；</w:t>
            </w:r>
          </w:p>
          <w:p>
            <w:pPr>
              <w:spacing w:line="360" w:lineRule="auto"/>
              <w:rPr>
                <w:rFonts w:ascii="宋体" w:hAnsi="宋体" w:cs="宋体"/>
                <w:kern w:val="0"/>
                <w:sz w:val="24"/>
                <w:u w:val="single"/>
              </w:rPr>
            </w:pPr>
            <w:r>
              <w:rPr>
                <w:rFonts w:hint="eastAsia" w:ascii="宋体" w:hAnsi="宋体" w:cs="宋体"/>
                <w:kern w:val="0"/>
                <w:sz w:val="24"/>
              </w:rPr>
              <w:t>其他：</w:t>
            </w:r>
            <w:r>
              <w:rPr>
                <w:rFonts w:hint="eastAsia" w:ascii="宋体" w:hAnsi="宋体" w:cs="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8</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是否允许联合体投标</w:t>
            </w:r>
          </w:p>
        </w:tc>
        <w:tc>
          <w:tcPr>
            <w:tcW w:w="6746"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9</w:t>
            </w:r>
          </w:p>
        </w:tc>
        <w:tc>
          <w:tcPr>
            <w:tcW w:w="1284" w:type="dxa"/>
            <w:gridSpan w:val="2"/>
            <w:vAlign w:val="center"/>
          </w:tcPr>
          <w:p>
            <w:pPr>
              <w:spacing w:line="360" w:lineRule="auto"/>
              <w:jc w:val="center"/>
              <w:rPr>
                <w:rFonts w:ascii="宋体" w:hAnsi="宋体" w:cs="宋体"/>
                <w:b/>
                <w:color w:val="FF0000"/>
                <w:sz w:val="24"/>
              </w:rPr>
            </w:pPr>
            <w:r>
              <w:rPr>
                <w:rFonts w:hint="eastAsia" w:ascii="宋体" w:hAnsi="宋体" w:cs="宋体"/>
                <w:b/>
                <w:sz w:val="24"/>
              </w:rPr>
              <w:t>是否允许投报进口产品</w:t>
            </w:r>
          </w:p>
        </w:tc>
        <w:tc>
          <w:tcPr>
            <w:tcW w:w="6746"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□是，允许的货物为</w:t>
            </w:r>
            <w:r>
              <w:rPr>
                <w:rFonts w:hint="eastAsia" w:ascii="宋体" w:hAnsi="宋体" w:cs="宋体"/>
                <w:kern w:val="0"/>
                <w:sz w:val="24"/>
                <w:u w:val="single"/>
              </w:rPr>
              <w:t xml:space="preserve">                      </w:t>
            </w:r>
            <w:r>
              <w:rPr>
                <w:rFonts w:hint="eastAsia" w:ascii="宋体" w:hAnsi="宋体" w:cs="宋体"/>
                <w:kern w:val="0"/>
                <w:sz w:val="24"/>
              </w:rPr>
              <w:t>。</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sz w:val="24"/>
              </w:rPr>
              <w:fldChar w:fldCharType="end"/>
            </w: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10</w:t>
            </w:r>
          </w:p>
        </w:tc>
        <w:tc>
          <w:tcPr>
            <w:tcW w:w="1284" w:type="dxa"/>
            <w:gridSpan w:val="2"/>
            <w:vAlign w:val="center"/>
          </w:tcPr>
          <w:p>
            <w:pPr>
              <w:spacing w:line="360" w:lineRule="auto"/>
              <w:jc w:val="center"/>
              <w:rPr>
                <w:rFonts w:ascii="宋体" w:hAnsi="宋体" w:cs="宋体"/>
                <w:b/>
                <w:sz w:val="24"/>
                <w:highlight w:val="yellow"/>
              </w:rPr>
            </w:pPr>
            <w:r>
              <w:rPr>
                <w:rFonts w:hint="eastAsia" w:ascii="宋体" w:hAnsi="宋体" w:cs="宋体"/>
                <w:b/>
                <w:sz w:val="24"/>
              </w:rPr>
              <w:t>是否允许投标人将项目非主体、非关键性工作交由他人完成</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sz w:val="24"/>
              </w:rPr>
              <w:fldChar w:fldCharType="end"/>
            </w:r>
            <w:r>
              <w:rPr>
                <w:rFonts w:hint="eastAsia" w:ascii="宋体" w:hAnsi="宋体" w:cs="宋体"/>
                <w:kern w:val="0"/>
                <w:sz w:val="24"/>
              </w:rPr>
              <w:t>否。</w:t>
            </w:r>
          </w:p>
          <w:p>
            <w:pPr>
              <w:spacing w:line="360" w:lineRule="auto"/>
              <w:rPr>
                <w:rFonts w:ascii="宋体" w:hAnsi="宋体" w:cs="宋体"/>
                <w:kern w:val="0"/>
                <w:sz w:val="24"/>
              </w:rPr>
            </w:pPr>
            <w:r>
              <w:rPr>
                <w:rFonts w:hint="eastAsia" w:ascii="宋体" w:hAnsi="宋体" w:cs="宋体"/>
                <w:kern w:val="0"/>
                <w:sz w:val="24"/>
              </w:rPr>
              <w:t>□是。中标人按照合同约定或者经采购人同意，可以将项目非主体、非关键性工作分包交由他人完成。此时，接受分包的人应当具备相应的资格条件，并不得再次分包。</w:t>
            </w:r>
          </w:p>
          <w:p>
            <w:pPr>
              <w:spacing w:line="360" w:lineRule="auto"/>
              <w:ind w:firstLine="480"/>
              <w:rPr>
                <w:rFonts w:ascii="宋体" w:hAnsi="宋体" w:cs="宋体"/>
                <w:kern w:val="0"/>
                <w:sz w:val="24"/>
                <w:u w:val="single"/>
              </w:rPr>
            </w:pPr>
            <w:r>
              <w:rPr>
                <w:rFonts w:hint="eastAsia" w:ascii="宋体" w:hAnsi="宋体" w:cs="宋体"/>
                <w:kern w:val="0"/>
                <w:sz w:val="24"/>
              </w:rPr>
              <w:t>分包内容要求：</w:t>
            </w:r>
            <w:r>
              <w:rPr>
                <w:rFonts w:hint="eastAsia" w:ascii="宋体" w:hAnsi="宋体" w:cs="宋体"/>
                <w:kern w:val="0"/>
                <w:sz w:val="24"/>
                <w:u w:val="single"/>
              </w:rPr>
              <w:t xml:space="preserve">                             </w:t>
            </w:r>
          </w:p>
          <w:p>
            <w:pPr>
              <w:spacing w:line="360" w:lineRule="auto"/>
              <w:ind w:firstLine="480" w:firstLineChars="200"/>
              <w:rPr>
                <w:rFonts w:ascii="宋体" w:hAnsi="宋体" w:cs="宋体"/>
                <w:kern w:val="0"/>
                <w:sz w:val="24"/>
                <w:u w:val="single"/>
              </w:rPr>
            </w:pPr>
            <w:r>
              <w:rPr>
                <w:rFonts w:hint="eastAsia" w:ascii="宋体" w:hAnsi="宋体" w:cs="宋体"/>
                <w:kern w:val="0"/>
                <w:sz w:val="24"/>
              </w:rPr>
              <w:t>分包金额要求：</w:t>
            </w:r>
            <w:r>
              <w:rPr>
                <w:rFonts w:hint="eastAsia" w:ascii="宋体" w:hAnsi="宋体" w:cs="宋体"/>
                <w:kern w:val="0"/>
                <w:sz w:val="24"/>
                <w:u w:val="single"/>
              </w:rPr>
              <w:t xml:space="preserve">                             </w:t>
            </w:r>
          </w:p>
          <w:p>
            <w:pPr>
              <w:spacing w:line="360" w:lineRule="auto"/>
              <w:ind w:firstLine="480" w:firstLineChars="200"/>
              <w:rPr>
                <w:rFonts w:ascii="宋体" w:hAnsi="宋体" w:cs="宋体"/>
                <w:kern w:val="0"/>
                <w:sz w:val="24"/>
                <w:u w:val="single"/>
              </w:rPr>
            </w:pPr>
            <w:r>
              <w:rPr>
                <w:rFonts w:hint="eastAsia" w:ascii="宋体" w:hAnsi="宋体" w:cs="宋体"/>
                <w:kern w:val="0"/>
                <w:sz w:val="24"/>
              </w:rPr>
              <w:t>接受分包的第三人资质要求：</w:t>
            </w:r>
            <w:r>
              <w:rPr>
                <w:rFonts w:hint="eastAsia" w:ascii="宋体" w:hAnsi="宋体" w:cs="宋体"/>
                <w:kern w:val="0"/>
                <w:sz w:val="24"/>
                <w:u w:val="single"/>
              </w:rPr>
              <w:t xml:space="preserve">                 </w:t>
            </w:r>
          </w:p>
          <w:p>
            <w:pPr>
              <w:spacing w:line="360" w:lineRule="auto"/>
              <w:ind w:firstLine="480" w:firstLineChars="200"/>
              <w:rPr>
                <w:rFonts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11</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踏勘现场</w:t>
            </w:r>
          </w:p>
        </w:tc>
        <w:tc>
          <w:tcPr>
            <w:tcW w:w="6746"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position w:val="2"/>
                <w:sz w:val="16"/>
              </w:rPr>
              <w:instrText xml:space="preserve">√</w:instrText>
            </w:r>
            <w:r>
              <w:rPr>
                <w:rFonts w:hint="eastAsia" w:ascii="宋体" w:hAnsi="宋体" w:cs="宋体"/>
                <w:kern w:val="0"/>
                <w:sz w:val="24"/>
              </w:rPr>
              <w:instrText xml:space="preserve">)</w:instrText>
            </w:r>
            <w:r>
              <w:rPr>
                <w:rFonts w:hint="eastAsia" w:ascii="宋体" w:hAnsi="宋体" w:cs="宋体"/>
                <w:kern w:val="0"/>
                <w:sz w:val="24"/>
              </w:rPr>
              <w:fldChar w:fldCharType="end"/>
            </w:r>
            <w:r>
              <w:rPr>
                <w:rFonts w:hint="eastAsia" w:ascii="宋体" w:hAnsi="宋体" w:cs="宋体"/>
                <w:kern w:val="0"/>
                <w:sz w:val="24"/>
              </w:rPr>
              <w:t>自行踏勘。</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□统一组织。</w:t>
            </w:r>
          </w:p>
          <w:p>
            <w:pPr>
              <w:autoSpaceDE w:val="0"/>
              <w:autoSpaceDN w:val="0"/>
              <w:adjustRightInd w:val="0"/>
              <w:spacing w:line="360" w:lineRule="auto"/>
              <w:rPr>
                <w:rFonts w:ascii="宋体" w:hAnsi="宋体" w:cs="宋体"/>
                <w:kern w:val="0"/>
                <w:sz w:val="24"/>
                <w:u w:val="single"/>
              </w:rPr>
            </w:pPr>
            <w:r>
              <w:rPr>
                <w:rFonts w:hint="eastAsia" w:ascii="宋体" w:hAnsi="宋体" w:cs="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12</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答疑澄清</w:t>
            </w:r>
          </w:p>
        </w:tc>
        <w:tc>
          <w:tcPr>
            <w:tcW w:w="6746" w:type="dxa"/>
            <w:vAlign w:val="center"/>
          </w:tcPr>
          <w:p>
            <w:pPr>
              <w:spacing w:line="360" w:lineRule="auto"/>
              <w:rPr>
                <w:rFonts w:ascii="宋体" w:hAnsi="宋体" w:cs="宋体"/>
                <w:bCs/>
                <w:sz w:val="24"/>
              </w:rPr>
            </w:pPr>
            <w:r>
              <w:rPr>
                <w:rFonts w:hint="eastAsia" w:ascii="宋体" w:hAnsi="宋体" w:cs="宋体"/>
                <w:kern w:val="0"/>
                <w:sz w:val="24"/>
              </w:rPr>
              <w:t>于</w:t>
            </w:r>
            <w:r>
              <w:rPr>
                <w:rFonts w:hint="eastAsia" w:ascii="宋体" w:hAnsi="宋体" w:cs="宋体"/>
                <w:kern w:val="0"/>
                <w:sz w:val="24"/>
                <w:u w:val="single"/>
              </w:rPr>
              <w:t xml:space="preserve"> 开标前10日  </w:t>
            </w:r>
            <w:r>
              <w:rPr>
                <w:rFonts w:hint="eastAsia" w:ascii="宋体" w:hAnsi="宋体" w:cs="宋体"/>
                <w:bCs/>
                <w:sz w:val="24"/>
              </w:rPr>
              <w:t>接受投标人疑问或澄清要求（逾期不予受理）。</w:t>
            </w:r>
          </w:p>
          <w:p>
            <w:pPr>
              <w:spacing w:line="360" w:lineRule="auto"/>
              <w:rPr>
                <w:rFonts w:ascii="宋体" w:hAnsi="宋体" w:cs="宋体"/>
                <w:kern w:val="0"/>
              </w:rPr>
            </w:pPr>
            <w:r>
              <w:rPr>
                <w:rFonts w:hint="eastAsia" w:ascii="宋体" w:hAnsi="宋体" w:cs="宋体"/>
                <w:kern w:val="0"/>
                <w:sz w:val="24"/>
              </w:rPr>
              <w:t>提交方式：</w:t>
            </w:r>
            <w:r>
              <w:rPr>
                <w:rFonts w:hint="eastAsia" w:ascii="宋体" w:hAnsi="宋体" w:cs="宋体"/>
                <w:bCs/>
                <w:sz w:val="24"/>
              </w:rPr>
              <w:t>提交纸质材料以及营业执照复印件和授权委托书并加盖投标人公章。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13</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投标截止时间（开标时间）和地点</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投标截止时间（开标时间）：</w:t>
            </w:r>
            <w:r>
              <w:rPr>
                <w:rFonts w:ascii="宋体" w:hAnsi="宋体" w:cs="宋体"/>
                <w:kern w:val="0"/>
                <w:sz w:val="24"/>
              </w:rPr>
              <w:t>2020-</w:t>
            </w:r>
            <w:r>
              <w:rPr>
                <w:rFonts w:hint="eastAsia" w:ascii="宋体" w:hAnsi="宋体" w:cs="宋体"/>
                <w:kern w:val="0"/>
                <w:sz w:val="24"/>
                <w:lang w:val="en-US" w:eastAsia="zh-CN"/>
              </w:rPr>
              <w:t>10</w:t>
            </w:r>
            <w:r>
              <w:rPr>
                <w:rFonts w:ascii="宋体" w:hAnsi="宋体" w:cs="宋体"/>
                <w:kern w:val="0"/>
                <w:sz w:val="24"/>
              </w:rPr>
              <w:t>-</w:t>
            </w:r>
            <w:r>
              <w:rPr>
                <w:rFonts w:hint="eastAsia" w:ascii="宋体" w:hAnsi="宋体" w:cs="宋体"/>
                <w:kern w:val="0"/>
                <w:sz w:val="24"/>
                <w:lang w:val="en-US" w:eastAsia="zh-CN"/>
              </w:rPr>
              <w:t>07</w:t>
            </w:r>
            <w:r>
              <w:rPr>
                <w:rFonts w:hint="eastAsia" w:ascii="宋体" w:hAnsi="宋体" w:cs="宋体"/>
                <w:kern w:val="0"/>
                <w:sz w:val="24"/>
              </w:rPr>
              <w:t xml:space="preserve"> 11:00时（北京时间） </w:t>
            </w:r>
          </w:p>
          <w:p>
            <w:pPr>
              <w:spacing w:line="360" w:lineRule="auto"/>
              <w:rPr>
                <w:rFonts w:ascii="宋体" w:hAnsi="宋体" w:cs="宋体"/>
                <w:kern w:val="0"/>
                <w:sz w:val="24"/>
              </w:rPr>
            </w:pPr>
            <w:r>
              <w:rPr>
                <w:rFonts w:hint="eastAsia" w:ascii="宋体" w:hAnsi="宋体" w:cs="宋体"/>
                <w:kern w:val="0"/>
                <w:sz w:val="24"/>
              </w:rPr>
              <w:t>投标（开标）地址：</w:t>
            </w:r>
            <w:r>
              <w:rPr>
                <w:rFonts w:hint="eastAsia" w:ascii="宋体" w:hAnsi="宋体" w:cs="宋体"/>
                <w:kern w:val="0"/>
                <w:sz w:val="24"/>
                <w:lang w:eastAsia="zh-CN"/>
              </w:rPr>
              <w:t>英吉沙县商务和工业信息化局</w:t>
            </w:r>
            <w:r>
              <w:rPr>
                <w:rFonts w:hint="eastAsia" w:ascii="宋体" w:hAnsi="宋体" w:cs="宋体"/>
                <w:kern w:val="0"/>
                <w:sz w:val="24"/>
              </w:rPr>
              <w:t>会议室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13</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投标有效期</w:t>
            </w:r>
          </w:p>
        </w:tc>
        <w:tc>
          <w:tcPr>
            <w:tcW w:w="6746" w:type="dxa"/>
            <w:vAlign w:val="center"/>
          </w:tcPr>
          <w:p>
            <w:pPr>
              <w:spacing w:line="360" w:lineRule="auto"/>
              <w:rPr>
                <w:rFonts w:ascii="宋体" w:hAnsi="宋体" w:cs="宋体"/>
                <w:sz w:val="24"/>
              </w:rPr>
            </w:pPr>
            <w:r>
              <w:rPr>
                <w:rFonts w:hint="eastAsia" w:ascii="宋体" w:hAnsi="宋体" w:cs="宋体"/>
                <w:sz w:val="24"/>
                <w:lang w:val="zh-CN"/>
              </w:rPr>
              <w:t>自投标截止之日起</w:t>
            </w:r>
            <w:r>
              <w:rPr>
                <w:rFonts w:hint="eastAsia" w:ascii="宋体" w:hAnsi="宋体" w:cs="宋体"/>
                <w:sz w:val="24"/>
                <w:u w:val="single"/>
                <w:lang w:val="zh-CN"/>
              </w:rPr>
              <w:t xml:space="preserve"> 60 </w:t>
            </w:r>
            <w:r>
              <w:rPr>
                <w:rFonts w:hint="eastAsia" w:ascii="宋体" w:hAnsi="宋体" w:cs="宋体"/>
                <w:sz w:val="24"/>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14</w:t>
            </w:r>
          </w:p>
        </w:tc>
        <w:tc>
          <w:tcPr>
            <w:tcW w:w="1284" w:type="dxa"/>
            <w:gridSpan w:val="2"/>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投标人在投标截止</w:t>
            </w:r>
          </w:p>
          <w:p>
            <w:pPr>
              <w:spacing w:line="360" w:lineRule="auto"/>
              <w:jc w:val="center"/>
              <w:rPr>
                <w:rFonts w:ascii="宋体" w:hAnsi="宋体" w:cs="宋体"/>
                <w:b/>
                <w:kern w:val="0"/>
                <w:sz w:val="24"/>
              </w:rPr>
            </w:pPr>
            <w:r>
              <w:rPr>
                <w:rFonts w:hint="eastAsia" w:ascii="宋体" w:hAnsi="宋体" w:cs="宋体"/>
                <w:b/>
                <w:kern w:val="0"/>
                <w:sz w:val="24"/>
              </w:rPr>
              <w:t>时间前提交的文件</w:t>
            </w:r>
          </w:p>
        </w:tc>
        <w:tc>
          <w:tcPr>
            <w:tcW w:w="6746" w:type="dxa"/>
            <w:vAlign w:val="center"/>
          </w:tcPr>
          <w:p>
            <w:pPr>
              <w:spacing w:line="360" w:lineRule="auto"/>
              <w:rPr>
                <w:rFonts w:ascii="宋体" w:hAnsi="宋体" w:cs="宋体"/>
                <w:kern w:val="0"/>
                <w:sz w:val="24"/>
              </w:rPr>
            </w:pPr>
            <w:r>
              <w:rPr>
                <w:rFonts w:hint="eastAsia" w:ascii="宋体" w:hAnsi="宋体" w:cs="宋体"/>
                <w:sz w:val="24"/>
              </w:rPr>
              <w:t>投标文件（具体要求见本表第12项）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投标人认为参与投标应当提交的其他材料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15</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投标文件份数</w:t>
            </w:r>
          </w:p>
        </w:tc>
        <w:tc>
          <w:tcPr>
            <w:tcW w:w="6746" w:type="dxa"/>
            <w:vAlign w:val="center"/>
          </w:tcPr>
          <w:p>
            <w:pPr>
              <w:spacing w:line="360" w:lineRule="auto"/>
              <w:rPr>
                <w:rFonts w:ascii="宋体" w:hAnsi="宋体" w:cs="宋体"/>
                <w:sz w:val="24"/>
              </w:rPr>
            </w:pPr>
            <w:r>
              <w:rPr>
                <w:rFonts w:hint="eastAsia" w:ascii="宋体" w:hAnsi="宋体" w:cs="宋体"/>
                <w:sz w:val="24"/>
              </w:rPr>
              <w:t>投标文件包括：</w:t>
            </w:r>
          </w:p>
          <w:p>
            <w:pPr>
              <w:spacing w:line="360" w:lineRule="auto"/>
              <w:rPr>
                <w:rFonts w:ascii="宋体" w:hAnsi="宋体" w:cs="宋体"/>
                <w:sz w:val="24"/>
              </w:rPr>
            </w:pPr>
            <w:r>
              <w:rPr>
                <w:rFonts w:hint="eastAsia" w:ascii="宋体" w:hAnsi="宋体" w:cs="宋体"/>
                <w:sz w:val="24"/>
              </w:rPr>
              <w:t>纸质版文件：正本一份，副本四份，开标一览表一份；</w:t>
            </w:r>
          </w:p>
          <w:p>
            <w:pPr>
              <w:spacing w:line="360" w:lineRule="auto"/>
              <w:rPr>
                <w:rFonts w:ascii="宋体" w:hAnsi="宋体" w:cs="宋体"/>
                <w:sz w:val="24"/>
              </w:rPr>
            </w:pPr>
            <w:r>
              <w:rPr>
                <w:rFonts w:hint="eastAsia" w:ascii="宋体" w:hAnsi="宋体" w:cs="宋体"/>
                <w:sz w:val="24"/>
              </w:rPr>
              <w:t>电子版文件：一份（以U盘形式递交）；</w:t>
            </w:r>
          </w:p>
          <w:p>
            <w:pPr>
              <w:spacing w:line="360" w:lineRule="auto"/>
              <w:rPr>
                <w:rFonts w:ascii="宋体" w:hAnsi="宋体" w:cs="宋体"/>
                <w:sz w:val="24"/>
              </w:rPr>
            </w:pPr>
            <w:r>
              <w:rPr>
                <w:rFonts w:hint="eastAsia" w:ascii="宋体" w:hAnsi="宋体" w:cs="宋体"/>
                <w:sz w:val="24"/>
              </w:rPr>
              <w:t>电子版文件要求包含投标文件正本全部内容，电子版表面标记单位名称。电子版文件内容与投标文件正本内容不一致时以投标文件正本为准。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16</w:t>
            </w:r>
          </w:p>
        </w:tc>
        <w:tc>
          <w:tcPr>
            <w:tcW w:w="1284" w:type="dxa"/>
            <w:gridSpan w:val="2"/>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投标保证金</w:t>
            </w:r>
          </w:p>
        </w:tc>
        <w:tc>
          <w:tcPr>
            <w:tcW w:w="6746" w:type="dxa"/>
            <w:vAlign w:val="center"/>
          </w:tcPr>
          <w:p>
            <w:pPr>
              <w:spacing w:line="360" w:lineRule="auto"/>
              <w:rPr>
                <w:rFonts w:ascii="宋体" w:hAnsi="宋体" w:cs="宋体"/>
                <w:b/>
                <w:bCs/>
                <w:kern w:val="0"/>
                <w:sz w:val="24"/>
              </w:rPr>
            </w:pPr>
            <w:r>
              <w:rPr>
                <w:rFonts w:hint="eastAsia" w:ascii="宋体" w:hAnsi="宋体" w:cs="宋体"/>
                <w:b/>
                <w:sz w:val="24"/>
              </w:rPr>
              <w:t>投标保证金的交纳必须从投标人开户许可证所列账号（结算卡等关联账号不予认可,自然人投标的从与其名称一致的个人账户）进行转账，否则</w:t>
            </w:r>
            <w:r>
              <w:rPr>
                <w:rFonts w:hint="eastAsia" w:ascii="宋体" w:hAnsi="宋体" w:cs="宋体"/>
                <w:b/>
                <w:kern w:val="0"/>
                <w:sz w:val="24"/>
              </w:rPr>
              <w:t>将导致投标被拒绝。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spacing w:line="320" w:lineRule="exact"/>
              <w:rPr>
                <w:rFonts w:ascii="宋体" w:hAnsi="宋体" w:cs="宋体"/>
                <w:color w:val="FF0000"/>
                <w:sz w:val="24"/>
              </w:rPr>
            </w:pPr>
            <w:r>
              <w:rPr>
                <w:rFonts w:hint="eastAsia" w:ascii="宋体" w:hAnsi="宋体" w:cs="宋体"/>
                <w:color w:val="FF0000"/>
                <w:sz w:val="24"/>
              </w:rPr>
              <w:t>投标保证金形式：银行汇票、银行电汇、支票、转账等</w:t>
            </w:r>
          </w:p>
          <w:p>
            <w:pPr>
              <w:spacing w:line="320" w:lineRule="exact"/>
              <w:rPr>
                <w:rFonts w:ascii="宋体" w:hAnsi="宋体" w:cs="宋体"/>
                <w:color w:val="FF0000"/>
                <w:sz w:val="24"/>
              </w:rPr>
            </w:pPr>
            <w:r>
              <w:rPr>
                <w:rFonts w:hint="eastAsia" w:ascii="宋体" w:hAnsi="宋体" w:cs="宋体"/>
                <w:color w:val="FF0000"/>
                <w:sz w:val="24"/>
              </w:rPr>
              <w:t>投标保证金金额：¥</w:t>
            </w:r>
            <w:r>
              <w:rPr>
                <w:rFonts w:hint="eastAsia" w:ascii="宋体" w:hAnsi="宋体" w:cs="宋体"/>
                <w:color w:val="FF0000"/>
                <w:sz w:val="24"/>
                <w:lang w:val="en-US" w:eastAsia="zh-CN"/>
              </w:rPr>
              <w:t>14</w:t>
            </w:r>
            <w:r>
              <w:rPr>
                <w:rFonts w:hint="eastAsia" w:ascii="宋体" w:hAnsi="宋体" w:cs="宋体"/>
                <w:color w:val="FF0000"/>
                <w:sz w:val="24"/>
              </w:rPr>
              <w:t>0000.00元（大写：</w:t>
            </w:r>
            <w:r>
              <w:rPr>
                <w:rFonts w:hint="eastAsia" w:ascii="宋体" w:hAnsi="宋体" w:cs="宋体"/>
                <w:color w:val="FF0000"/>
                <w:sz w:val="24"/>
                <w:lang w:eastAsia="zh-CN"/>
              </w:rPr>
              <w:t>壹拾肆万元整</w:t>
            </w:r>
            <w:r>
              <w:rPr>
                <w:rFonts w:hint="eastAsia" w:ascii="宋体" w:hAnsi="宋体" w:cs="宋体"/>
                <w:color w:val="FF0000"/>
                <w:sz w:val="24"/>
              </w:rPr>
              <w:t>）</w:t>
            </w:r>
          </w:p>
          <w:p>
            <w:pPr>
              <w:spacing w:line="320" w:lineRule="exact"/>
              <w:rPr>
                <w:rFonts w:ascii="宋体" w:hAnsi="宋体" w:cs="宋体"/>
                <w:color w:val="FF0000"/>
                <w:sz w:val="24"/>
              </w:rPr>
            </w:pPr>
            <w:r>
              <w:rPr>
                <w:rFonts w:hint="eastAsia" w:ascii="宋体" w:hAnsi="宋体" w:cs="宋体"/>
                <w:color w:val="FF0000"/>
                <w:sz w:val="24"/>
              </w:rPr>
              <w:t xml:space="preserve">招标人指定的开户银行及账号如下： </w:t>
            </w:r>
          </w:p>
          <w:p>
            <w:pPr>
              <w:spacing w:line="320" w:lineRule="exact"/>
              <w:rPr>
                <w:rFonts w:ascii="宋体" w:hAnsi="宋体" w:cs="宋体"/>
                <w:color w:val="FF0000"/>
                <w:sz w:val="24"/>
              </w:rPr>
            </w:pPr>
            <w:r>
              <w:rPr>
                <w:rFonts w:hint="eastAsia" w:ascii="宋体" w:hAnsi="宋体" w:cs="宋体"/>
                <w:color w:val="FF0000"/>
                <w:sz w:val="24"/>
              </w:rPr>
              <w:t>开户名称：英吉沙县商务和工业信息化局</w:t>
            </w:r>
          </w:p>
          <w:p>
            <w:pPr>
              <w:spacing w:line="320" w:lineRule="exact"/>
              <w:rPr>
                <w:rFonts w:ascii="宋体" w:hAnsi="宋体" w:cs="宋体"/>
                <w:color w:val="FF0000"/>
                <w:sz w:val="24"/>
              </w:rPr>
            </w:pPr>
            <w:r>
              <w:rPr>
                <w:rFonts w:hint="eastAsia" w:ascii="宋体" w:hAnsi="宋体" w:cs="宋体"/>
                <w:color w:val="FF0000"/>
                <w:sz w:val="24"/>
              </w:rPr>
              <w:t>开户账号：3012345009026405341</w:t>
            </w:r>
          </w:p>
          <w:p>
            <w:pPr>
              <w:spacing w:line="320" w:lineRule="exact"/>
              <w:rPr>
                <w:rFonts w:ascii="宋体" w:hAnsi="宋体" w:cs="宋体"/>
                <w:color w:val="FF0000"/>
                <w:sz w:val="24"/>
              </w:rPr>
            </w:pPr>
            <w:r>
              <w:rPr>
                <w:rFonts w:hint="eastAsia" w:ascii="宋体" w:hAnsi="宋体" w:cs="宋体"/>
                <w:color w:val="FF0000"/>
                <w:sz w:val="24"/>
              </w:rPr>
              <w:t>开户银行：英吉沙县工商银行</w:t>
            </w:r>
          </w:p>
          <w:p>
            <w:pPr>
              <w:spacing w:line="320" w:lineRule="exact"/>
              <w:rPr>
                <w:rFonts w:ascii="宋体" w:hAnsi="宋体" w:cs="宋体"/>
                <w:color w:val="FF0000"/>
                <w:sz w:val="24"/>
              </w:rPr>
            </w:pPr>
            <w:r>
              <w:rPr>
                <w:rFonts w:hint="eastAsia" w:ascii="宋体" w:hAnsi="宋体" w:cs="宋体"/>
                <w:color w:val="FF0000"/>
                <w:sz w:val="24"/>
              </w:rPr>
              <w:t>联系方式：0998</w:t>
            </w:r>
            <w:r>
              <w:rPr>
                <w:rFonts w:hint="eastAsia" w:ascii="宋体" w:hAnsi="宋体" w:cs="宋体"/>
                <w:color w:val="FF0000"/>
                <w:sz w:val="24"/>
                <w:lang w:val="en-US" w:eastAsia="zh-CN"/>
              </w:rPr>
              <w:t>-</w:t>
            </w:r>
            <w:r>
              <w:rPr>
                <w:rFonts w:hint="eastAsia" w:ascii="宋体" w:hAnsi="宋体" w:cs="宋体"/>
                <w:color w:val="FF0000"/>
                <w:sz w:val="24"/>
              </w:rPr>
              <w:t>3632059</w:t>
            </w:r>
          </w:p>
          <w:p>
            <w:pPr>
              <w:spacing w:line="320" w:lineRule="exact"/>
              <w:rPr>
                <w:rFonts w:ascii="宋体" w:hAnsi="宋体" w:cs="宋体"/>
                <w:color w:val="FF0000"/>
                <w:sz w:val="24"/>
              </w:rPr>
            </w:pPr>
            <w:r>
              <w:rPr>
                <w:rFonts w:hint="eastAsia" w:ascii="宋体" w:hAnsi="宋体" w:cs="宋体"/>
                <w:color w:val="FF0000"/>
                <w:sz w:val="24"/>
              </w:rPr>
              <w:t>投标保证金必须由投标人的基本帐户一次性汇入以上账户。</w:t>
            </w:r>
          </w:p>
          <w:p>
            <w:pPr>
              <w:spacing w:line="320" w:lineRule="exact"/>
              <w:rPr>
                <w:rFonts w:ascii="宋体" w:hAnsi="宋体" w:cs="宋体"/>
                <w:color w:val="FF0000"/>
                <w:sz w:val="24"/>
              </w:rPr>
            </w:pPr>
            <w:r>
              <w:rPr>
                <w:rFonts w:hint="eastAsia" w:ascii="宋体" w:hAnsi="宋体" w:cs="宋体"/>
                <w:color w:val="FF0000"/>
                <w:sz w:val="24"/>
              </w:rPr>
              <w:t>投标保证金缴纳时间：必须在投标截止时间前</w:t>
            </w:r>
            <w:r>
              <w:rPr>
                <w:rFonts w:hint="eastAsia" w:ascii="宋体" w:hAnsi="宋体" w:cs="宋体"/>
                <w:color w:val="FF0000"/>
                <w:sz w:val="24"/>
                <w:lang w:eastAsia="zh-CN"/>
              </w:rPr>
              <w:t>三</w:t>
            </w:r>
            <w:r>
              <w:rPr>
                <w:rFonts w:hint="eastAsia" w:ascii="宋体" w:hAnsi="宋体" w:cs="宋体"/>
                <w:color w:val="FF0000"/>
                <w:sz w:val="24"/>
              </w:rPr>
              <w:t>天下午18：00分（北京时间）前缴纳，届时不交者视为自动放弃投标资格。</w:t>
            </w:r>
          </w:p>
          <w:p>
            <w:pPr>
              <w:spacing w:line="360" w:lineRule="auto"/>
              <w:rPr>
                <w:rFonts w:ascii="宋体" w:hAnsi="宋体" w:cs="宋体"/>
                <w:b/>
                <w:color w:val="FF0000"/>
                <w:sz w:val="24"/>
              </w:rPr>
            </w:pPr>
            <w:r>
              <w:rPr>
                <w:rFonts w:hint="eastAsia" w:ascii="宋体" w:hAnsi="宋体" w:cs="宋体"/>
                <w:color w:val="FF0000"/>
                <w:sz w:val="24"/>
              </w:rPr>
              <w:t>备注：交纳投标保证金电汇回单凭证附在投标书内，投标单位基本帐户开户许可证或银行开户信息证明附在投标书内。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17</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中小微型企业</w:t>
            </w:r>
          </w:p>
          <w:p>
            <w:pPr>
              <w:spacing w:line="360" w:lineRule="auto"/>
              <w:jc w:val="center"/>
              <w:rPr>
                <w:rFonts w:ascii="宋体" w:hAnsi="宋体" w:cs="宋体"/>
                <w:b/>
                <w:kern w:val="0"/>
                <w:sz w:val="24"/>
              </w:rPr>
            </w:pPr>
            <w:r>
              <w:rPr>
                <w:rFonts w:hint="eastAsia" w:ascii="宋体" w:hAnsi="宋体" w:cs="宋体"/>
                <w:b/>
                <w:kern w:val="0"/>
                <w:sz w:val="24"/>
              </w:rPr>
              <w:t>有关政策</w:t>
            </w:r>
          </w:p>
        </w:tc>
        <w:tc>
          <w:tcPr>
            <w:tcW w:w="6746" w:type="dxa"/>
            <w:tcBorders>
              <w:top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(1)根据工信部等部委发布的《关于印发中小企业划型标准规定的通知》（工信部联企业[2011]300号）规定执行；</w:t>
            </w:r>
          </w:p>
          <w:p>
            <w:pPr>
              <w:widowControl/>
              <w:spacing w:line="360" w:lineRule="auto"/>
              <w:jc w:val="left"/>
              <w:rPr>
                <w:rFonts w:ascii="宋体" w:hAnsi="宋体" w:cs="宋体"/>
                <w:kern w:val="0"/>
                <w:sz w:val="24"/>
              </w:rPr>
            </w:pPr>
            <w:r>
              <w:rPr>
                <w:rFonts w:hint="eastAsia" w:ascii="宋体" w:hAnsi="宋体" w:cs="宋体"/>
                <w:kern w:val="0"/>
                <w:sz w:val="24"/>
              </w:rPr>
              <w:t>(2)按照《财政部司法部关于政府采购支持监狱企业发展有关问题的通知》（财库[2014]68号）文件规定，在政府采购活动中，监狱企业视同小型、微型企业，享受评审中价格扣除的政府采购政策；</w:t>
            </w:r>
          </w:p>
          <w:p>
            <w:pPr>
              <w:spacing w:line="360" w:lineRule="auto"/>
              <w:rPr>
                <w:rFonts w:ascii="宋体" w:hAnsi="宋体" w:cs="宋体"/>
                <w:kern w:val="0"/>
                <w:sz w:val="24"/>
              </w:rPr>
            </w:pPr>
            <w:r>
              <w:rPr>
                <w:rFonts w:hint="eastAsia" w:ascii="宋体" w:hAnsi="宋体" w:cs="宋体"/>
                <w:kern w:val="0"/>
                <w:sz w:val="24"/>
              </w:rPr>
              <w:t xml:space="preserve">(3)价格扣除幅度：小型、微型企业产品价格给予6%的扣除。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18</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评审方法</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综合评分法，即指投标文件满足招标文件全部实质性要求且按照评审因素的量化指标评审得分最高的供应商为中标候选人的评标方法。</w:t>
            </w:r>
            <w:r>
              <w:rPr>
                <w:rFonts w:hint="eastAsia" w:ascii="宋体" w:hAnsi="宋体" w:cs="宋体"/>
                <w:b/>
                <w:kern w:val="0"/>
                <w:sz w:val="24"/>
              </w:rPr>
              <w:t>每一投标人的最终得分为所有评委评分的算术平均值。</w:t>
            </w:r>
            <w:r>
              <w:rPr>
                <w:rFonts w:hint="eastAsia" w:ascii="宋体" w:hAnsi="宋体" w:cs="宋体"/>
                <w:kern w:val="0"/>
                <w:sz w:val="24"/>
              </w:rPr>
              <w:t>得分相同的，报价较低的一方为中标人。得分且投标报价相同的，技术指标较优的一方为中标人。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19</w:t>
            </w:r>
          </w:p>
        </w:tc>
        <w:tc>
          <w:tcPr>
            <w:tcW w:w="1284" w:type="dxa"/>
            <w:gridSpan w:val="2"/>
            <w:vAlign w:val="center"/>
          </w:tcPr>
          <w:p>
            <w:pPr>
              <w:widowControl/>
              <w:spacing w:line="260" w:lineRule="exact"/>
              <w:jc w:val="center"/>
              <w:rPr>
                <w:rFonts w:ascii="宋体" w:hAnsi="宋体" w:cs="宋体"/>
                <w:b/>
                <w:color w:val="000000"/>
                <w:kern w:val="0"/>
                <w:sz w:val="24"/>
              </w:rPr>
            </w:pPr>
            <w:r>
              <w:rPr>
                <w:rFonts w:hint="eastAsia" w:ascii="宋体" w:hAnsi="宋体" w:cs="宋体"/>
                <w:b/>
                <w:bCs/>
                <w:color w:val="000000"/>
                <w:sz w:val="24"/>
              </w:rPr>
              <w:t>评标委员会的组建</w:t>
            </w:r>
          </w:p>
        </w:tc>
        <w:tc>
          <w:tcPr>
            <w:tcW w:w="6746" w:type="dxa"/>
            <w:vAlign w:val="center"/>
          </w:tcPr>
          <w:p>
            <w:pPr>
              <w:widowControl/>
              <w:spacing w:line="260" w:lineRule="exact"/>
              <w:rPr>
                <w:rFonts w:ascii="宋体" w:hAnsi="宋体" w:cs="宋体"/>
                <w:color w:val="000000"/>
                <w:sz w:val="24"/>
              </w:rPr>
            </w:pPr>
            <w:r>
              <w:rPr>
                <w:rFonts w:hint="eastAsia" w:ascii="宋体" w:hAnsi="宋体" w:cs="宋体"/>
                <w:color w:val="000000"/>
                <w:sz w:val="24"/>
              </w:rPr>
              <w:t>评标委员会构成：</w:t>
            </w:r>
            <w:r>
              <w:rPr>
                <w:rFonts w:hint="eastAsia" w:ascii="宋体" w:hAnsi="宋体" w:cs="宋体"/>
                <w:color w:val="000000"/>
                <w:sz w:val="24"/>
                <w:u w:val="single"/>
              </w:rPr>
              <w:t xml:space="preserve">  5 </w:t>
            </w:r>
            <w:r>
              <w:rPr>
                <w:rFonts w:hint="eastAsia" w:ascii="宋体" w:hAnsi="宋体" w:cs="宋体"/>
                <w:color w:val="000000"/>
                <w:sz w:val="24"/>
              </w:rPr>
              <w:t xml:space="preserve"> 人，其中</w:t>
            </w:r>
            <w:r>
              <w:rPr>
                <w:rFonts w:hint="eastAsia" w:ascii="宋体" w:hAnsi="宋体" w:cs="宋体"/>
                <w:sz w:val="24"/>
              </w:rPr>
              <w:t>招标人代表</w:t>
            </w:r>
            <w:r>
              <w:rPr>
                <w:rFonts w:hint="eastAsia" w:ascii="宋体" w:hAnsi="宋体" w:cs="宋体"/>
                <w:color w:val="000000"/>
                <w:sz w:val="24"/>
                <w:u w:val="single"/>
              </w:rPr>
              <w:t xml:space="preserve">  0 </w:t>
            </w:r>
            <w:r>
              <w:rPr>
                <w:rFonts w:hint="eastAsia" w:ascii="宋体" w:hAnsi="宋体" w:cs="宋体"/>
                <w:color w:val="000000"/>
                <w:sz w:val="24"/>
              </w:rPr>
              <w:t>人，</w:t>
            </w:r>
          </w:p>
          <w:p>
            <w:pPr>
              <w:widowControl/>
              <w:spacing w:line="260" w:lineRule="exact"/>
              <w:ind w:left="960" w:hanging="960" w:hangingChars="400"/>
              <w:rPr>
                <w:rFonts w:ascii="宋体" w:hAnsi="宋体" w:cs="宋体"/>
                <w:color w:val="000000"/>
                <w:sz w:val="24"/>
              </w:rPr>
            </w:pPr>
            <w:r>
              <w:rPr>
                <w:rFonts w:hint="eastAsia" w:ascii="宋体" w:hAnsi="宋体" w:cs="宋体"/>
                <w:color w:val="000000"/>
                <w:sz w:val="24"/>
              </w:rPr>
              <w:t>专家</w:t>
            </w:r>
            <w:r>
              <w:rPr>
                <w:rFonts w:hint="eastAsia" w:ascii="宋体" w:hAnsi="宋体" w:cs="宋体"/>
                <w:color w:val="000000"/>
                <w:sz w:val="24"/>
                <w:u w:val="single"/>
              </w:rPr>
              <w:t xml:space="preserve"> 5 </w:t>
            </w:r>
            <w:r>
              <w:rPr>
                <w:rFonts w:hint="eastAsia" w:ascii="宋体" w:hAnsi="宋体" w:cs="宋体"/>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20</w:t>
            </w:r>
          </w:p>
        </w:tc>
        <w:tc>
          <w:tcPr>
            <w:tcW w:w="1284" w:type="dxa"/>
            <w:gridSpan w:val="2"/>
            <w:vAlign w:val="center"/>
          </w:tcPr>
          <w:p>
            <w:pPr>
              <w:widowControl/>
              <w:spacing w:line="260" w:lineRule="exact"/>
              <w:jc w:val="center"/>
              <w:rPr>
                <w:rFonts w:ascii="宋体" w:hAnsi="宋体" w:cs="宋体"/>
                <w:b/>
                <w:bCs/>
                <w:color w:val="000000"/>
                <w:kern w:val="0"/>
                <w:sz w:val="24"/>
              </w:rPr>
            </w:pPr>
            <w:r>
              <w:rPr>
                <w:rFonts w:hint="eastAsia" w:ascii="宋体" w:hAnsi="宋体" w:cs="宋体"/>
                <w:b/>
                <w:bCs/>
                <w:color w:val="000000"/>
                <w:spacing w:val="-10"/>
                <w:sz w:val="24"/>
              </w:rPr>
              <w:t>是否授权评标委员会确定中标人</w:t>
            </w:r>
          </w:p>
        </w:tc>
        <w:tc>
          <w:tcPr>
            <w:tcW w:w="6746" w:type="dxa"/>
            <w:vAlign w:val="center"/>
          </w:tcPr>
          <w:p>
            <w:pPr>
              <w:widowControl/>
              <w:spacing w:line="260" w:lineRule="exact"/>
              <w:rPr>
                <w:rFonts w:ascii="宋体" w:hAnsi="宋体" w:cs="宋体"/>
                <w:color w:val="000000"/>
                <w:sz w:val="24"/>
              </w:rPr>
            </w:pPr>
            <w:r>
              <w:rPr>
                <w:rFonts w:hint="eastAsia" w:ascii="宋体" w:hAnsi="宋体" w:cs="宋体"/>
                <w:color w:val="000000"/>
                <w:sz w:val="24"/>
              </w:rPr>
              <w:t>□是</w:t>
            </w:r>
          </w:p>
          <w:p>
            <w:pPr>
              <w:widowControl/>
              <w:spacing w:line="260" w:lineRule="exact"/>
              <w:rPr>
                <w:rFonts w:ascii="宋体" w:hAnsi="宋体" w:cs="宋体"/>
                <w:color w:val="000000"/>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sz w:val="24"/>
              </w:rPr>
              <w:fldChar w:fldCharType="end"/>
            </w:r>
            <w:r>
              <w:rPr>
                <w:rFonts w:hint="eastAsia" w:ascii="宋体" w:hAnsi="宋体" w:cs="宋体"/>
                <w:color w:val="000000"/>
                <w:sz w:val="24"/>
              </w:rPr>
              <w:t>否，推荐的中标候选人数：</w:t>
            </w:r>
            <w:r>
              <w:rPr>
                <w:rFonts w:hint="eastAsia" w:ascii="宋体" w:hAnsi="宋体" w:cs="宋体"/>
                <w:color w:val="000000"/>
                <w:sz w:val="24"/>
                <w:u w:val="single"/>
              </w:rPr>
              <w:t xml:space="preserve"> 3 </w:t>
            </w:r>
            <w:r>
              <w:rPr>
                <w:rFonts w:hint="eastAsia" w:ascii="宋体" w:hAnsi="宋体" w:cs="宋体"/>
                <w:color w:val="000000"/>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21</w:t>
            </w:r>
          </w:p>
        </w:tc>
        <w:tc>
          <w:tcPr>
            <w:tcW w:w="1284" w:type="dxa"/>
            <w:gridSpan w:val="2"/>
            <w:vAlign w:val="center"/>
          </w:tcPr>
          <w:p>
            <w:pPr>
              <w:widowControl/>
              <w:spacing w:line="260" w:lineRule="exact"/>
              <w:jc w:val="center"/>
              <w:rPr>
                <w:rFonts w:ascii="宋体" w:hAnsi="宋体" w:cs="宋体"/>
                <w:b/>
                <w:color w:val="000000"/>
                <w:kern w:val="0"/>
                <w:sz w:val="24"/>
              </w:rPr>
            </w:pPr>
            <w:r>
              <w:rPr>
                <w:rFonts w:hint="eastAsia" w:ascii="宋体" w:hAnsi="宋体" w:cs="宋体"/>
                <w:b/>
                <w:bCs/>
                <w:color w:val="000000"/>
                <w:spacing w:val="-10"/>
                <w:sz w:val="24"/>
              </w:rPr>
              <w:t>中标候选人公示媒介</w:t>
            </w:r>
          </w:p>
        </w:tc>
        <w:tc>
          <w:tcPr>
            <w:tcW w:w="6746" w:type="dxa"/>
            <w:vAlign w:val="center"/>
          </w:tcPr>
          <w:p>
            <w:pPr>
              <w:widowControl/>
              <w:spacing w:line="260" w:lineRule="exact"/>
              <w:jc w:val="left"/>
              <w:rPr>
                <w:rFonts w:ascii="宋体" w:hAnsi="宋体" w:cs="宋体"/>
                <w:color w:val="000000"/>
                <w:kern w:val="0"/>
                <w:sz w:val="24"/>
              </w:rPr>
            </w:pPr>
            <w:r>
              <w:rPr>
                <w:rFonts w:hint="eastAsia" w:ascii="宋体" w:hAnsi="宋体" w:cs="宋体"/>
                <w:color w:val="000000"/>
                <w:spacing w:val="-10"/>
                <w:sz w:val="24"/>
              </w:rPr>
              <w:t>政采云（https://www.zcygov.cn）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22</w:t>
            </w:r>
          </w:p>
        </w:tc>
        <w:tc>
          <w:tcPr>
            <w:tcW w:w="1284" w:type="dxa"/>
            <w:gridSpan w:val="2"/>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履约保证金</w:t>
            </w:r>
          </w:p>
        </w:tc>
        <w:tc>
          <w:tcPr>
            <w:tcW w:w="6746" w:type="dxa"/>
            <w:vAlign w:val="center"/>
          </w:tcPr>
          <w:p>
            <w:pPr>
              <w:spacing w:line="360" w:lineRule="auto"/>
              <w:rPr>
                <w:rFonts w:ascii="宋体" w:hAnsi="宋体" w:cs="宋体"/>
                <w:sz w:val="24"/>
              </w:rPr>
            </w:pPr>
            <w:r>
              <w:rPr>
                <w:rFonts w:hint="eastAsia" w:ascii="宋体" w:hAnsi="宋体" w:cs="宋体"/>
                <w:bCs/>
                <w:kern w:val="0"/>
                <w:sz w:val="24"/>
              </w:rPr>
              <w:t>履约保证金的交纳必须以公对公账户(</w:t>
            </w:r>
            <w:r>
              <w:rPr>
                <w:rFonts w:hint="eastAsia" w:ascii="宋体" w:hAnsi="宋体" w:cs="宋体"/>
                <w:sz w:val="24"/>
              </w:rPr>
              <w:t>自然人中标的从与其名称一致的个人账户)</w:t>
            </w:r>
            <w:r>
              <w:rPr>
                <w:rFonts w:hint="eastAsia" w:ascii="宋体" w:hAnsi="宋体" w:cs="宋体"/>
                <w:bCs/>
                <w:kern w:val="0"/>
                <w:sz w:val="24"/>
              </w:rPr>
              <w:t>进行转账，否则不予认可。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spacing w:line="360" w:lineRule="auto"/>
              <w:rPr>
                <w:rFonts w:ascii="宋体" w:hAnsi="宋体" w:cs="宋体"/>
                <w:sz w:val="24"/>
              </w:rPr>
            </w:pPr>
            <w:r>
              <w:rPr>
                <w:rFonts w:hint="eastAsia" w:ascii="宋体" w:hAnsi="宋体" w:cs="宋体"/>
                <w:sz w:val="24"/>
              </w:rPr>
              <w:t>交纳时间：成交供应商收到成交通知书后（签订合同前）向采购人缴纳。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spacing w:line="360" w:lineRule="auto"/>
              <w:rPr>
                <w:rFonts w:ascii="宋体" w:hAnsi="宋体" w:cs="宋体"/>
                <w:kern w:val="0"/>
                <w:sz w:val="24"/>
              </w:rPr>
            </w:pPr>
            <w:r>
              <w:rPr>
                <w:rFonts w:hint="eastAsia" w:ascii="宋体" w:hAnsi="宋体" w:cs="宋体"/>
                <w:sz w:val="24"/>
              </w:rPr>
              <w:t>交纳金额：成交价的5%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adjustRightInd w:val="0"/>
              <w:snapToGrid w:val="0"/>
              <w:spacing w:line="400" w:lineRule="exact"/>
              <w:jc w:val="left"/>
              <w:rPr>
                <w:rFonts w:ascii="宋体" w:hAnsi="宋体" w:cs="宋体"/>
                <w:sz w:val="24"/>
              </w:rPr>
            </w:pPr>
            <w:r>
              <w:rPr>
                <w:rFonts w:hint="eastAsia" w:ascii="宋体" w:hAnsi="宋体" w:cs="宋体"/>
                <w:sz w:val="24"/>
              </w:rPr>
              <w:t>履约保证金形式：银行转账。</w:t>
            </w:r>
          </w:p>
          <w:p>
            <w:pPr>
              <w:pStyle w:val="18"/>
              <w:spacing w:after="0" w:line="360" w:lineRule="auto"/>
              <w:rPr>
                <w:rFonts w:ascii="宋体" w:hAnsi="宋体" w:cs="宋体"/>
                <w:sz w:val="24"/>
              </w:rPr>
            </w:pPr>
            <w:r>
              <w:rPr>
                <w:rFonts w:hint="eastAsia" w:ascii="宋体" w:hAnsi="宋体" w:cs="宋体"/>
                <w:sz w:val="24"/>
              </w:rPr>
              <w:t>成交供应商未按招标文件规定缴纳履约保证金的，其谈判保证金将不予退还。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spacing w:line="360" w:lineRule="auto"/>
              <w:rPr>
                <w:rFonts w:ascii="宋体" w:hAnsi="宋体" w:cs="宋体"/>
                <w:kern w:val="0"/>
                <w:sz w:val="24"/>
              </w:rPr>
            </w:pPr>
            <w:r>
              <w:rPr>
                <w:rFonts w:hint="eastAsia" w:ascii="宋体" w:hAnsi="宋体" w:cs="宋体"/>
                <w:sz w:val="24"/>
              </w:rPr>
              <w:t>项目完成且验收合格无质量问题后原路退还。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23</w:t>
            </w:r>
          </w:p>
        </w:tc>
        <w:tc>
          <w:tcPr>
            <w:tcW w:w="1284" w:type="dxa"/>
            <w:gridSpan w:val="2"/>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履约担保</w:t>
            </w:r>
          </w:p>
        </w:tc>
        <w:tc>
          <w:tcPr>
            <w:tcW w:w="6746" w:type="dxa"/>
            <w:vAlign w:val="center"/>
          </w:tcPr>
          <w:p>
            <w:pPr>
              <w:widowControl/>
              <w:spacing w:line="260" w:lineRule="exact"/>
              <w:rPr>
                <w:rFonts w:ascii="宋体" w:hAnsi="宋体" w:cs="宋体"/>
                <w:color w:val="000000"/>
                <w:szCs w:val="21"/>
              </w:rPr>
            </w:pPr>
            <w:r>
              <w:rPr>
                <w:rFonts w:hint="eastAsia" w:ascii="宋体" w:hAnsi="宋体" w:cs="宋体"/>
                <w:color w:val="000000"/>
                <w:szCs w:val="21"/>
              </w:rPr>
              <w:t>履约担保的形式：</w:t>
            </w:r>
            <w:r>
              <w:rPr>
                <w:rFonts w:hint="eastAsia" w:ascii="宋体" w:hAnsi="宋体" w:cs="宋体"/>
                <w:color w:val="000000"/>
                <w:szCs w:val="21"/>
                <w:u w:val="single"/>
              </w:rPr>
              <w:t xml:space="preserve">         /                               </w:t>
            </w:r>
            <w:r>
              <w:rPr>
                <w:rFonts w:hint="eastAsia" w:ascii="宋体" w:hAnsi="宋体" w:cs="宋体"/>
                <w:color w:val="000000"/>
                <w:szCs w:val="21"/>
              </w:rPr>
              <w:t xml:space="preserve"> </w:t>
            </w:r>
          </w:p>
          <w:p>
            <w:pPr>
              <w:spacing w:line="360" w:lineRule="auto"/>
              <w:rPr>
                <w:rFonts w:ascii="宋体" w:hAnsi="宋体" w:cs="宋体"/>
                <w:color w:val="000000"/>
                <w:sz w:val="24"/>
              </w:rPr>
            </w:pPr>
            <w:r>
              <w:rPr>
                <w:rFonts w:hint="eastAsia" w:ascii="宋体" w:hAnsi="宋体" w:cs="宋体"/>
                <w:color w:val="000000"/>
                <w:szCs w:val="21"/>
              </w:rPr>
              <w:t>履约担保的金额：</w:t>
            </w:r>
            <w:r>
              <w:rPr>
                <w:rFonts w:hint="eastAsia" w:ascii="宋体" w:hAnsi="宋体" w:cs="宋体"/>
                <w:color w:val="000000"/>
                <w:szCs w:val="21"/>
                <w:u w:val="single"/>
              </w:rPr>
              <w:t xml:space="preserve">         /                               </w:t>
            </w:r>
            <w:r>
              <w:rPr>
                <w:rFonts w:hint="eastAsia" w:ascii="宋体" w:hAnsi="宋体" w:cs="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24</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代理服务费</w:t>
            </w:r>
          </w:p>
        </w:tc>
        <w:tc>
          <w:tcPr>
            <w:tcW w:w="6746" w:type="dxa"/>
            <w:vAlign w:val="center"/>
          </w:tcPr>
          <w:p>
            <w:pPr>
              <w:spacing w:line="360" w:lineRule="auto"/>
              <w:rPr>
                <w:rFonts w:ascii="宋体" w:hAnsi="宋体" w:cs="宋体"/>
                <w:sz w:val="24"/>
              </w:rPr>
            </w:pPr>
            <w:r>
              <w:rPr>
                <w:rFonts w:hint="eastAsia" w:ascii="宋体" w:hAnsi="宋体" w:cs="宋体"/>
                <w:sz w:val="24"/>
              </w:rPr>
              <w:t>成交供应商在收到成交通知书</w:t>
            </w:r>
            <w:r>
              <w:rPr>
                <w:rFonts w:hint="eastAsia" w:ascii="宋体" w:hAnsi="宋体" w:cs="宋体"/>
                <w:sz w:val="24"/>
                <w:lang w:eastAsia="zh-CN"/>
              </w:rPr>
              <w:t>前</w:t>
            </w:r>
            <w:r>
              <w:rPr>
                <w:rFonts w:hint="eastAsia" w:ascii="宋体" w:hAnsi="宋体" w:cs="宋体"/>
                <w:sz w:val="24"/>
              </w:rPr>
              <w:t>，须向</w:t>
            </w:r>
            <w:r>
              <w:rPr>
                <w:rFonts w:hint="eastAsia" w:ascii="宋体" w:hAnsi="宋体" w:cs="宋体"/>
                <w:sz w:val="24"/>
                <w:lang w:eastAsia="zh-CN"/>
              </w:rPr>
              <w:t>招标代理机构</w:t>
            </w:r>
            <w:r>
              <w:rPr>
                <w:rFonts w:hint="eastAsia" w:ascii="宋体" w:hAnsi="宋体" w:cs="宋体"/>
                <w:sz w:val="24"/>
              </w:rPr>
              <w:t>支付代理服务费，参考国家发展计划委员会“计价格（2002）1980号”文件收取。</w:t>
            </w:r>
          </w:p>
          <w:p>
            <w:pPr>
              <w:spacing w:line="360" w:lineRule="auto"/>
              <w:rPr>
                <w:rFonts w:ascii="宋体" w:hAnsi="宋体" w:cs="宋体"/>
                <w:sz w:val="24"/>
              </w:rPr>
            </w:pPr>
            <w:r>
              <w:rPr>
                <w:rFonts w:hint="eastAsia" w:ascii="宋体" w:hAnsi="宋体" w:cs="宋体"/>
                <w:sz w:val="24"/>
              </w:rPr>
              <w:t>交纳时间：投标人中标后，于领取中标通知书前交纳</w:t>
            </w:r>
            <w:r>
              <w:rPr>
                <w:rFonts w:hint="eastAsia" w:ascii="宋体" w:hAnsi="宋体" w:cs="宋体"/>
                <w:sz w:val="24"/>
                <w:lang w:eastAsia="zh-CN"/>
              </w:rPr>
              <w:t>。</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25</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争议的解决</w:t>
            </w:r>
          </w:p>
        </w:tc>
        <w:tc>
          <w:tcPr>
            <w:tcW w:w="6746" w:type="dxa"/>
            <w:vAlign w:val="center"/>
          </w:tcPr>
          <w:p>
            <w:pPr>
              <w:spacing w:line="360" w:lineRule="auto"/>
              <w:rPr>
                <w:rFonts w:ascii="宋体" w:hAnsi="宋体" w:cs="宋体"/>
                <w:sz w:val="24"/>
              </w:rPr>
            </w:pPr>
            <w:r>
              <w:rPr>
                <w:rFonts w:hint="eastAsia" w:ascii="宋体" w:hAnsi="宋体" w:cs="宋体"/>
                <w:sz w:val="24"/>
              </w:rPr>
              <w:t>协商解决；无法协商的提交当地人民法院判决。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26</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是否需要提交样品</w:t>
            </w:r>
          </w:p>
        </w:tc>
        <w:tc>
          <w:tcPr>
            <w:tcW w:w="6746" w:type="dxa"/>
            <w:vAlign w:val="center"/>
          </w:tcPr>
          <w:p>
            <w:pPr>
              <w:autoSpaceDE w:val="0"/>
              <w:autoSpaceDN w:val="0"/>
              <w:adjustRightInd w:val="0"/>
              <w:spacing w:line="360" w:lineRule="auto"/>
              <w:ind w:left="360" w:hanging="360"/>
              <w:rPr>
                <w:rFonts w:ascii="宋体" w:hAnsi="宋体" w:cs="宋体"/>
                <w:sz w:val="24"/>
                <w:lang w:val="zh-CN"/>
              </w:rPr>
            </w:pPr>
            <w:r>
              <w:rPr>
                <w:rFonts w:hint="eastAsia" w:ascii="宋体" w:hAnsi="宋体" w:cs="宋体"/>
                <w:sz w:val="24"/>
                <w:lang w:val="zh-CN"/>
              </w:rPr>
              <w:t>☑不需要</w:t>
            </w:r>
          </w:p>
          <w:p>
            <w:pPr>
              <w:autoSpaceDE w:val="0"/>
              <w:autoSpaceDN w:val="0"/>
              <w:adjustRightInd w:val="0"/>
              <w:spacing w:line="360" w:lineRule="auto"/>
              <w:ind w:left="360" w:hanging="360"/>
              <w:rPr>
                <w:rFonts w:ascii="宋体" w:hAnsi="宋体" w:cs="宋体"/>
                <w:sz w:val="24"/>
                <w:u w:val="single"/>
              </w:rPr>
            </w:pPr>
            <w:r>
              <w:rPr>
                <w:rFonts w:hint="eastAsia" w:ascii="宋体" w:hAnsi="宋体" w:cs="宋体"/>
                <w:sz w:val="24"/>
                <w:lang w:val="zh-CN"/>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27</w:t>
            </w:r>
          </w:p>
        </w:tc>
        <w:tc>
          <w:tcPr>
            <w:tcW w:w="1284" w:type="dxa"/>
            <w:gridSpan w:val="2"/>
            <w:vAlign w:val="center"/>
          </w:tcPr>
          <w:p>
            <w:pPr>
              <w:autoSpaceDE w:val="0"/>
              <w:autoSpaceDN w:val="0"/>
              <w:adjustRightInd w:val="0"/>
              <w:spacing w:line="360" w:lineRule="auto"/>
              <w:jc w:val="center"/>
              <w:rPr>
                <w:rFonts w:ascii="宋体" w:hAnsi="宋体" w:cs="宋体"/>
                <w:b/>
                <w:color w:val="000000"/>
                <w:kern w:val="0"/>
                <w:sz w:val="24"/>
              </w:rPr>
            </w:pPr>
            <w:r>
              <w:rPr>
                <w:rFonts w:hint="eastAsia" w:ascii="宋体" w:hAnsi="宋体" w:cs="宋体"/>
                <w:b/>
                <w:color w:val="000000"/>
                <w:kern w:val="0"/>
                <w:sz w:val="24"/>
              </w:rPr>
              <w:t>招标预算价</w:t>
            </w:r>
          </w:p>
        </w:tc>
        <w:tc>
          <w:tcPr>
            <w:tcW w:w="6746" w:type="dxa"/>
            <w:vAlign w:val="center"/>
          </w:tcPr>
          <w:p>
            <w:pPr>
              <w:pStyle w:val="30"/>
              <w:ind w:left="202" w:leftChars="1" w:firstLineChars="0"/>
              <w:rPr>
                <w:rFonts w:hint="eastAsia" w:ascii="宋体" w:hAnsi="宋体" w:cs="宋体"/>
                <w:color w:val="000000"/>
                <w:sz w:val="24"/>
                <w:u w:val="single"/>
                <w:lang w:eastAsia="zh-CN"/>
              </w:rPr>
            </w:pPr>
            <w:r>
              <w:rPr>
                <w:rFonts w:hint="eastAsia" w:ascii="宋体" w:hAnsi="宋体" w:cs="宋体"/>
                <w:color w:val="000000"/>
                <w:sz w:val="24"/>
                <w:u w:val="single"/>
              </w:rPr>
              <w:t>预算价：</w:t>
            </w:r>
            <w:r>
              <w:rPr>
                <w:rFonts w:hint="eastAsia" w:ascii="宋体" w:hAnsi="宋体" w:cs="宋体"/>
                <w:color w:val="000000"/>
                <w:sz w:val="24"/>
                <w:u w:val="single"/>
                <w:lang w:val="en-US" w:eastAsia="zh-CN"/>
              </w:rPr>
              <w:t>7000000</w:t>
            </w:r>
            <w:r>
              <w:rPr>
                <w:rFonts w:hint="eastAsia" w:ascii="宋体" w:hAnsi="宋体" w:cs="宋体"/>
                <w:color w:val="000000"/>
                <w:sz w:val="24"/>
                <w:u w:val="single"/>
              </w:rPr>
              <w:t>元 大写：</w:t>
            </w:r>
            <w:r>
              <w:rPr>
                <w:rFonts w:hint="eastAsia" w:ascii="宋体" w:hAnsi="宋体" w:cs="宋体"/>
                <w:color w:val="000000"/>
                <w:sz w:val="24"/>
                <w:u w:val="single"/>
                <w:lang w:eastAsia="zh-CN"/>
              </w:rPr>
              <w:t>柒佰万元整</w:t>
            </w:r>
          </w:p>
          <w:p>
            <w:pPr>
              <w:pStyle w:val="30"/>
              <w:ind w:left="202" w:leftChars="1" w:firstLineChars="0"/>
              <w:rPr>
                <w:rFonts w:hint="eastAsia" w:ascii="宋体" w:hAnsi="宋体" w:cs="宋体"/>
                <w:color w:val="000000"/>
                <w:sz w:val="24"/>
                <w:u w:val="single"/>
                <w:lang w:eastAsia="zh-CN"/>
              </w:rPr>
            </w:pPr>
            <w:r>
              <w:rPr>
                <w:rFonts w:hint="eastAsia" w:ascii="宋体" w:hAnsi="宋体" w:cs="宋体"/>
                <w:color w:val="000000"/>
                <w:sz w:val="24"/>
                <w:u w:val="single"/>
                <w:lang w:eastAsia="zh-CN"/>
              </w:rPr>
              <w:t>合同履约期限：合同签订之日起</w:t>
            </w:r>
            <w:r>
              <w:rPr>
                <w:rFonts w:hint="eastAsia" w:ascii="宋体" w:hAnsi="宋体" w:cs="宋体"/>
                <w:color w:val="000000"/>
                <w:sz w:val="24"/>
                <w:u w:val="single"/>
                <w:lang w:val="en-US" w:eastAsia="zh-CN"/>
              </w:rPr>
              <w:t>25日内完整供货安装</w:t>
            </w:r>
            <w:r>
              <w:rPr>
                <w:rFonts w:hint="eastAsia" w:ascii="宋体" w:hAnsi="宋体" w:cs="宋体"/>
                <w:color w:val="000000"/>
                <w:sz w:val="24"/>
                <w:u w:val="single"/>
                <w:lang w:eastAsia="zh-CN"/>
              </w:rPr>
              <w:t>。</w:t>
            </w:r>
          </w:p>
          <w:p>
            <w:pPr>
              <w:pStyle w:val="30"/>
              <w:ind w:left="202" w:leftChars="1" w:firstLineChars="0"/>
              <w:rPr>
                <w:rFonts w:hint="eastAsia" w:ascii="宋体" w:hAnsi="宋体" w:cs="宋体"/>
                <w:color w:val="000000"/>
                <w:sz w:val="24"/>
                <w:u w:val="single"/>
                <w:lang w:eastAsia="zh-CN"/>
              </w:rPr>
            </w:pPr>
            <w:r>
              <w:rPr>
                <w:rFonts w:hint="eastAsia" w:ascii="宋体" w:hAnsi="宋体" w:cs="宋体"/>
                <w:color w:val="000000"/>
                <w:sz w:val="24"/>
                <w:u w:val="single"/>
                <w:lang w:eastAsia="zh-CN"/>
              </w:rPr>
              <w:t>质保期限：一年。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28</w:t>
            </w:r>
          </w:p>
        </w:tc>
        <w:tc>
          <w:tcPr>
            <w:tcW w:w="1284" w:type="dxa"/>
            <w:gridSpan w:val="2"/>
            <w:vAlign w:val="center"/>
          </w:tcPr>
          <w:p>
            <w:pPr>
              <w:jc w:val="center"/>
              <w:rPr>
                <w:rFonts w:ascii="宋体" w:hAnsi="宋体" w:cs="宋体"/>
                <w:b/>
                <w:bCs/>
                <w:color w:val="000000"/>
                <w:sz w:val="24"/>
              </w:rPr>
            </w:pPr>
            <w:r>
              <w:rPr>
                <w:rFonts w:hint="eastAsia" w:ascii="宋体" w:hAnsi="宋体" w:cs="宋体"/>
                <w:b/>
                <w:bCs/>
                <w:color w:val="000000"/>
                <w:sz w:val="24"/>
              </w:rPr>
              <w:t>开标现场查验及递交原件</w:t>
            </w:r>
          </w:p>
          <w:p>
            <w:pPr>
              <w:spacing w:line="260" w:lineRule="exact"/>
              <w:jc w:val="center"/>
              <w:rPr>
                <w:rFonts w:ascii="宋体" w:hAnsi="宋体" w:cs="宋体"/>
                <w:b/>
                <w:color w:val="000000"/>
                <w:kern w:val="0"/>
                <w:sz w:val="24"/>
              </w:rPr>
            </w:pPr>
          </w:p>
        </w:tc>
        <w:tc>
          <w:tcPr>
            <w:tcW w:w="6746" w:type="dxa"/>
            <w:vAlign w:val="center"/>
          </w:tcPr>
          <w:p>
            <w:pPr>
              <w:adjustRightInd w:val="0"/>
              <w:snapToGrid w:val="0"/>
              <w:rPr>
                <w:rFonts w:ascii="宋体" w:hAnsi="宋体" w:cs="宋体"/>
                <w:b/>
                <w:bCs/>
                <w:color w:val="FF0000"/>
                <w:sz w:val="24"/>
              </w:rPr>
            </w:pPr>
            <w:r>
              <w:rPr>
                <w:rFonts w:hint="eastAsia" w:ascii="宋体" w:hAnsi="宋体" w:cs="宋体"/>
                <w:b/>
                <w:bCs/>
                <w:color w:val="FF0000"/>
                <w:sz w:val="24"/>
              </w:rPr>
              <w:t>招标人邀请所有供应商的法定代表人或其委托代理人参加开标会。供应商的法定代表人或其委托代理人应当按时参加开标会，并在招标人按开标程序进行点名时，向招标人提交法定代表人身份证明文件或法定代表人授权委托书，出示本人身份证，以证明其出席，并携带一下证件资料原件，否则将否决其投标。</w:t>
            </w:r>
          </w:p>
          <w:p>
            <w:pPr>
              <w:numPr>
                <w:ilvl w:val="0"/>
                <w:numId w:val="2"/>
              </w:numPr>
              <w:adjustRightInd w:val="0"/>
              <w:snapToGrid w:val="0"/>
              <w:jc w:val="left"/>
              <w:rPr>
                <w:rFonts w:ascii="宋体" w:hAnsi="宋体" w:cs="宋体"/>
                <w:b/>
                <w:bCs/>
                <w:color w:val="FF0000"/>
                <w:sz w:val="24"/>
              </w:rPr>
            </w:pPr>
            <w:r>
              <w:rPr>
                <w:rFonts w:hint="eastAsia" w:ascii="宋体" w:hAnsi="宋体" w:cs="宋体"/>
                <w:b/>
                <w:bCs/>
                <w:color w:val="FF0000"/>
                <w:sz w:val="24"/>
              </w:rPr>
              <w:t>提供五证一码或三证合一的营业执照（含有相关经营范围）；</w:t>
            </w:r>
          </w:p>
          <w:p>
            <w:pPr>
              <w:numPr>
                <w:ilvl w:val="0"/>
                <w:numId w:val="2"/>
              </w:numPr>
              <w:adjustRightInd w:val="0"/>
              <w:snapToGrid w:val="0"/>
              <w:jc w:val="left"/>
              <w:rPr>
                <w:rFonts w:ascii="宋体" w:hAnsi="宋体" w:cs="宋体"/>
                <w:b/>
                <w:bCs/>
                <w:color w:val="FF0000"/>
                <w:sz w:val="24"/>
              </w:rPr>
            </w:pPr>
            <w:r>
              <w:rPr>
                <w:rFonts w:hint="eastAsia" w:ascii="宋体" w:hAnsi="宋体" w:cs="宋体"/>
                <w:b/>
                <w:bCs/>
                <w:color w:val="FF0000"/>
                <w:sz w:val="24"/>
              </w:rPr>
              <w:t>提供近半年完税证明及盖有社保局公章的社保缴纳证明；</w:t>
            </w:r>
          </w:p>
          <w:p>
            <w:pPr>
              <w:numPr>
                <w:ilvl w:val="0"/>
                <w:numId w:val="2"/>
              </w:numPr>
              <w:adjustRightInd w:val="0"/>
              <w:snapToGrid w:val="0"/>
              <w:jc w:val="left"/>
              <w:rPr>
                <w:rFonts w:ascii="宋体" w:hAnsi="宋体" w:cs="宋体"/>
                <w:b/>
                <w:bCs/>
                <w:color w:val="FF0000"/>
                <w:sz w:val="24"/>
              </w:rPr>
            </w:pPr>
            <w:r>
              <w:rPr>
                <w:rFonts w:hint="eastAsia" w:ascii="宋体" w:hAnsi="宋体" w:cs="宋体"/>
                <w:b/>
                <w:bCs/>
                <w:color w:val="FF0000"/>
                <w:sz w:val="24"/>
              </w:rPr>
              <w:t>提供近一年（2019年度）的财务审计报告，成立不足一年企业的提供企业成立至今的财务报表并加盖财务专用章；</w:t>
            </w:r>
          </w:p>
          <w:p>
            <w:pPr>
              <w:numPr>
                <w:ilvl w:val="0"/>
                <w:numId w:val="2"/>
              </w:numPr>
              <w:adjustRightInd w:val="0"/>
              <w:snapToGrid w:val="0"/>
              <w:jc w:val="left"/>
              <w:rPr>
                <w:rFonts w:ascii="宋体" w:hAnsi="宋体" w:cs="宋体"/>
                <w:b/>
                <w:bCs/>
                <w:color w:val="FF0000"/>
                <w:sz w:val="24"/>
              </w:rPr>
            </w:pPr>
            <w:r>
              <w:rPr>
                <w:rFonts w:hint="eastAsia" w:ascii="宋体" w:hAnsi="宋体" w:cs="宋体"/>
                <w:b/>
                <w:bCs/>
                <w:color w:val="FF0000"/>
                <w:sz w:val="24"/>
              </w:rPr>
              <w:t>提供国家企业信用信息公示系统、“信用中国”网站、中国政府采购网的</w:t>
            </w:r>
            <w:r>
              <w:rPr>
                <w:rFonts w:hint="eastAsia" w:ascii="宋体" w:hAnsi="宋体" w:cs="宋体"/>
                <w:b/>
                <w:bCs/>
                <w:color w:val="FF0000"/>
                <w:sz w:val="24"/>
                <w:lang w:eastAsia="zh-CN"/>
              </w:rPr>
              <w:t>查询记录或报告</w:t>
            </w:r>
            <w:r>
              <w:rPr>
                <w:rFonts w:hint="eastAsia" w:ascii="宋体" w:hAnsi="宋体" w:cs="宋体"/>
                <w:b/>
                <w:bCs/>
                <w:color w:val="FF0000"/>
                <w:sz w:val="24"/>
              </w:rPr>
              <w:t>（</w:t>
            </w:r>
            <w:r>
              <w:rPr>
                <w:rFonts w:hint="eastAsia" w:ascii="宋体" w:hAnsi="宋体" w:cs="宋体"/>
                <w:b/>
                <w:bCs/>
                <w:color w:val="FF0000"/>
                <w:sz w:val="24"/>
                <w:lang w:eastAsia="zh-CN"/>
              </w:rPr>
              <w:t>查询自公告发布之日起止投标截止时间之内</w:t>
            </w:r>
            <w:r>
              <w:rPr>
                <w:rFonts w:hint="eastAsia" w:ascii="宋体" w:hAnsi="宋体" w:cs="宋体"/>
                <w:b/>
                <w:bCs/>
                <w:color w:val="FF0000"/>
                <w:sz w:val="24"/>
              </w:rPr>
              <w:t>）；</w:t>
            </w:r>
          </w:p>
          <w:p>
            <w:pPr>
              <w:numPr>
                <w:ilvl w:val="0"/>
                <w:numId w:val="2"/>
              </w:numPr>
              <w:adjustRightInd w:val="0"/>
              <w:snapToGrid w:val="0"/>
              <w:jc w:val="left"/>
              <w:rPr>
                <w:rFonts w:ascii="宋体" w:hAnsi="宋体" w:cs="宋体"/>
                <w:b/>
                <w:bCs/>
                <w:color w:val="FF0000"/>
                <w:sz w:val="24"/>
              </w:rPr>
            </w:pPr>
            <w:r>
              <w:rPr>
                <w:rFonts w:hint="eastAsia" w:ascii="宋体" w:hAnsi="宋体" w:cs="宋体"/>
                <w:b/>
                <w:bCs/>
                <w:color w:val="FF0000"/>
                <w:sz w:val="24"/>
              </w:rPr>
              <w:t>法定代表人或其委托代理人应携带本人身份证原件</w:t>
            </w:r>
            <w:r>
              <w:rPr>
                <w:rFonts w:hint="eastAsia" w:ascii="宋体" w:hAnsi="宋体" w:cs="宋体"/>
                <w:b/>
                <w:bCs/>
                <w:color w:val="FF0000"/>
                <w:sz w:val="24"/>
                <w:lang w:eastAsia="zh-CN"/>
              </w:rPr>
              <w:t>、</w:t>
            </w:r>
            <w:r>
              <w:rPr>
                <w:rFonts w:hint="eastAsia" w:ascii="宋体" w:hAnsi="宋体" w:cs="宋体"/>
                <w:b/>
                <w:bCs/>
                <w:color w:val="FF0000"/>
                <w:sz w:val="24"/>
              </w:rPr>
              <w:t>近三个月社保证明，委托代理人还应携带法定代表人授权委托书</w:t>
            </w:r>
            <w:r>
              <w:rPr>
                <w:rFonts w:hint="eastAsia" w:ascii="宋体" w:hAnsi="宋体" w:cs="宋体"/>
                <w:b/>
                <w:bCs/>
                <w:color w:val="FF0000"/>
                <w:sz w:val="24"/>
                <w:lang w:eastAsia="zh-CN"/>
              </w:rPr>
              <w:t>、</w:t>
            </w:r>
            <w:r>
              <w:rPr>
                <w:rFonts w:hint="eastAsia" w:ascii="宋体" w:hAnsi="宋体" w:cs="宋体"/>
                <w:b/>
                <w:bCs/>
                <w:color w:val="FF0000"/>
                <w:sz w:val="24"/>
              </w:rPr>
              <w:t>近三个月社保证明；</w:t>
            </w:r>
          </w:p>
          <w:p>
            <w:pPr>
              <w:pStyle w:val="30"/>
              <w:adjustRightInd w:val="0"/>
              <w:snapToGrid w:val="0"/>
              <w:ind w:left="482" w:hanging="482"/>
              <w:rPr>
                <w:rFonts w:ascii="宋体" w:hAnsi="宋体" w:cs="宋体"/>
                <w:b/>
                <w:bCs/>
                <w:color w:val="FF0000"/>
                <w:sz w:val="24"/>
                <w:szCs w:val="24"/>
              </w:rPr>
            </w:pPr>
            <w:r>
              <w:rPr>
                <w:rFonts w:hint="eastAsia" w:ascii="宋体" w:hAnsi="宋体" w:cs="宋体"/>
                <w:b/>
                <w:bCs/>
                <w:color w:val="FF0000"/>
                <w:sz w:val="24"/>
                <w:szCs w:val="24"/>
              </w:rPr>
              <w:t>（7）投标保证金收据、打款凭证电子回单加盖公章、开户许可证或银行开户信息证明。</w:t>
            </w:r>
          </w:p>
          <w:p>
            <w:pPr>
              <w:adjustRightInd w:val="0"/>
              <w:snapToGrid w:val="0"/>
              <w:jc w:val="left"/>
              <w:rPr>
                <w:rFonts w:ascii="宋体" w:hAnsi="宋体" w:cs="宋体"/>
                <w:b/>
                <w:bCs/>
                <w:color w:val="FF0000"/>
                <w:sz w:val="24"/>
              </w:rPr>
            </w:pPr>
            <w:r>
              <w:rPr>
                <w:rFonts w:hint="eastAsia" w:ascii="宋体" w:hAnsi="宋体" w:cs="宋体"/>
                <w:b/>
                <w:bCs/>
                <w:color w:val="FF0000"/>
                <w:sz w:val="24"/>
              </w:rPr>
              <w:t>以上原件不密封，带至开标现场由招标人、监督人进行查验。</w:t>
            </w:r>
          </w:p>
          <w:p>
            <w:pPr>
              <w:adjustRightInd w:val="0"/>
              <w:snapToGrid w:val="0"/>
              <w:jc w:val="left"/>
              <w:rPr>
                <w:rFonts w:ascii="宋体" w:hAnsi="宋体" w:cs="宋体"/>
                <w:color w:val="000000"/>
                <w:sz w:val="24"/>
                <w:lang w:val="zh-CN"/>
              </w:rPr>
            </w:pPr>
            <w:r>
              <w:rPr>
                <w:rFonts w:hint="eastAsia" w:ascii="宋体" w:hAnsi="宋体" w:cs="宋体"/>
                <w:b/>
                <w:bCs/>
                <w:color w:val="FF0000"/>
                <w:sz w:val="24"/>
              </w:rPr>
              <w:t>上述证件的公证件，本次招标不予认可。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其他约定</w:t>
            </w:r>
          </w:p>
        </w:tc>
        <w:tc>
          <w:tcPr>
            <w:tcW w:w="0" w:type="auto"/>
            <w:gridSpan w:val="3"/>
            <w:vAlign w:val="center"/>
          </w:tcPr>
          <w:p>
            <w:pPr>
              <w:numPr>
                <w:ilvl w:val="0"/>
                <w:numId w:val="3"/>
              </w:numPr>
              <w:autoSpaceDE w:val="0"/>
              <w:autoSpaceDN w:val="0"/>
              <w:adjustRightInd w:val="0"/>
              <w:spacing w:line="360" w:lineRule="auto"/>
              <w:rPr>
                <w:rFonts w:hint="eastAsia"/>
                <w:b/>
                <w:bCs/>
              </w:rPr>
            </w:pPr>
            <w:r>
              <w:rPr>
                <w:rFonts w:hint="eastAsia"/>
                <w:b/>
                <w:bCs/>
              </w:rPr>
              <w:t>投标人应依照招标文件要求在投标文件中提供相关材料原件的扫描件</w:t>
            </w:r>
            <w:r>
              <w:rPr>
                <w:rFonts w:hint="eastAsia"/>
                <w:b/>
                <w:bCs/>
                <w:lang w:eastAsia="zh-CN"/>
              </w:rPr>
              <w:t>或复印件</w:t>
            </w:r>
            <w:r>
              <w:rPr>
                <w:rFonts w:hint="eastAsia"/>
                <w:b/>
                <w:bCs/>
              </w:rPr>
              <w:t>。无论何种原因，即使投标人开标时携带了相关材料的原件，但在投标文件中未提供与之内容完全一致的扫描件或复印件，评标委员会可以视同其未提供</w:t>
            </w:r>
            <w:r>
              <w:rPr>
                <w:rFonts w:hint="eastAsia"/>
                <w:b/>
                <w:bCs/>
                <w:lang w:eastAsia="zh-CN"/>
              </w:rPr>
              <w:t>，</w:t>
            </w:r>
            <w:r>
              <w:rPr>
                <w:rFonts w:hint="eastAsia"/>
                <w:b/>
                <w:bCs/>
              </w:rPr>
              <w:t>涉及评分项因素的不得分。</w:t>
            </w:r>
          </w:p>
          <w:p>
            <w:pPr>
              <w:numPr>
                <w:ilvl w:val="0"/>
                <w:numId w:val="3"/>
              </w:numPr>
              <w:autoSpaceDE w:val="0"/>
              <w:autoSpaceDN w:val="0"/>
              <w:adjustRightInd w:val="0"/>
              <w:spacing w:line="360" w:lineRule="auto"/>
              <w:rPr>
                <w:rFonts w:hint="eastAsia"/>
                <w:b/>
                <w:bCs/>
              </w:rPr>
            </w:pPr>
            <w:r>
              <w:rPr>
                <w:rFonts w:hint="eastAsia"/>
                <w:b/>
                <w:bCs/>
              </w:rPr>
              <w:t>评分项里有关涉及评分的</w:t>
            </w:r>
            <w:r>
              <w:rPr>
                <w:rFonts w:hint="eastAsia"/>
                <w:b/>
                <w:bCs/>
                <w:lang w:eastAsia="zh-CN"/>
              </w:rPr>
              <w:t>资料</w:t>
            </w:r>
            <w:r>
              <w:rPr>
                <w:rFonts w:hint="eastAsia"/>
                <w:b/>
                <w:bCs/>
              </w:rPr>
              <w:t>原件，投标商必须单独提供原件</w:t>
            </w:r>
            <w:r>
              <w:rPr>
                <w:rFonts w:hint="eastAsia"/>
                <w:b/>
                <w:bCs/>
                <w:lang w:eastAsia="zh-CN"/>
              </w:rPr>
              <w:t>密封递交</w:t>
            </w:r>
            <w:r>
              <w:rPr>
                <w:rFonts w:hint="eastAsia"/>
                <w:b/>
                <w:bCs/>
              </w:rPr>
              <w:t>以备查验，否则涉及评分项因素的不得分。</w:t>
            </w:r>
          </w:p>
          <w:p>
            <w:pPr>
              <w:numPr>
                <w:ilvl w:val="0"/>
                <w:numId w:val="3"/>
              </w:numPr>
              <w:autoSpaceDE w:val="0"/>
              <w:autoSpaceDN w:val="0"/>
              <w:adjustRightInd w:val="0"/>
              <w:spacing w:line="360" w:lineRule="auto"/>
              <w:rPr>
                <w:rFonts w:hint="default"/>
                <w:lang w:val="en-US" w:eastAsia="zh-CN"/>
              </w:rPr>
            </w:pPr>
            <w:r>
              <w:rPr>
                <w:rFonts w:hint="eastAsia"/>
                <w:b/>
                <w:bCs/>
              </w:rPr>
              <w:t>投标商须按要求提供真实有效的材料，如有弄虚作假行为，将按照相关规定严肃处理。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spacing w:before="156" w:beforeLines="50" w:line="360" w:lineRule="auto"/>
              <w:jc w:val="center"/>
              <w:rPr>
                <w:rFonts w:ascii="宋体" w:hAnsi="宋体" w:cs="宋体"/>
                <w:b/>
                <w:kern w:val="0"/>
                <w:sz w:val="24"/>
              </w:rPr>
            </w:pPr>
            <w:r>
              <w:rPr>
                <w:rFonts w:hint="eastAsia" w:ascii="宋体" w:hAnsi="宋体" w:cs="宋体"/>
                <w:b/>
                <w:bCs/>
                <w:sz w:val="28"/>
                <w:szCs w:val="28"/>
              </w:rPr>
              <w:t>备注</w:t>
            </w:r>
          </w:p>
        </w:tc>
        <w:tc>
          <w:tcPr>
            <w:tcW w:w="0" w:type="auto"/>
            <w:gridSpan w:val="3"/>
            <w:vAlign w:val="center"/>
          </w:tcPr>
          <w:p>
            <w:pPr>
              <w:autoSpaceDE w:val="0"/>
              <w:autoSpaceDN w:val="0"/>
              <w:adjustRightInd w:val="0"/>
              <w:spacing w:line="360" w:lineRule="auto"/>
              <w:rPr>
                <w:rFonts w:ascii="宋体" w:hAnsi="宋体" w:cs="宋体"/>
                <w:sz w:val="24"/>
              </w:rPr>
            </w:pPr>
            <w:r>
              <w:rPr>
                <w:rFonts w:hint="eastAsia" w:ascii="宋体" w:hAnsi="宋体" w:cs="宋体"/>
              </w:rPr>
              <w:t>注</w:t>
            </w:r>
            <w:r>
              <w:rPr>
                <w:rFonts w:hint="eastAsia" w:ascii="宋体" w:hAnsi="宋体" w:cs="宋体"/>
                <w:sz w:val="24"/>
              </w:rPr>
              <w:t>：1、本表中</w:t>
            </w:r>
            <w:r>
              <w:rPr>
                <w:rFonts w:hint="eastAsia" w:ascii="宋体" w:hAnsi="宋体" w:cs="宋体"/>
                <w:sz w:val="24"/>
                <w:lang w:eastAsia="zh-CN"/>
              </w:rPr>
              <w:t>若有</w:t>
            </w:r>
            <w:r>
              <w:rPr>
                <w:rFonts w:hint="eastAsia" w:ascii="宋体" w:hAnsi="宋体" w:cs="宋体"/>
                <w:sz w:val="24"/>
              </w:rPr>
              <w:t>加★项目有缺失或无效，将导致投标无效且不允许在开标后补正；</w:t>
            </w:r>
          </w:p>
          <w:p>
            <w:pPr>
              <w:autoSpaceDE w:val="0"/>
              <w:autoSpaceDN w:val="0"/>
              <w:adjustRightInd w:val="0"/>
              <w:spacing w:line="360" w:lineRule="auto"/>
              <w:rPr>
                <w:rFonts w:ascii="宋体" w:hAnsi="宋体" w:cs="宋体"/>
                <w:sz w:val="24"/>
              </w:rPr>
            </w:pPr>
            <w:r>
              <w:rPr>
                <w:rFonts w:hint="eastAsia" w:ascii="宋体" w:hAnsi="宋体" w:cs="宋体"/>
                <w:sz w:val="24"/>
              </w:rPr>
              <w:t>2、本表内容与招标文件其它内容不一致的，应当以本表内容为准。</w:t>
            </w:r>
          </w:p>
          <w:p>
            <w:pPr>
              <w:autoSpaceDE w:val="0"/>
              <w:autoSpaceDN w:val="0"/>
              <w:adjustRightInd w:val="0"/>
              <w:spacing w:line="360" w:lineRule="auto"/>
              <w:rPr>
                <w:rFonts w:ascii="宋体" w:hAnsi="宋体" w:cs="宋体"/>
              </w:rPr>
            </w:pPr>
            <w:r>
              <w:rPr>
                <w:rFonts w:hint="eastAsia" w:ascii="宋体" w:hAnsi="宋体" w:cs="宋体"/>
                <w:sz w:val="24"/>
              </w:rPr>
              <w:t>3、本表中“</w:t>
            </w: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sz w:val="24"/>
              </w:rPr>
              <w:fldChar w:fldCharType="end"/>
            </w:r>
            <w:r>
              <w:rPr>
                <w:rFonts w:hint="eastAsia" w:ascii="宋体" w:hAnsi="宋体" w:cs="宋体"/>
                <w:sz w:val="24"/>
              </w:rPr>
              <w:t>”标示选择使用该项，“□”标示不选择使用该项。</w:t>
            </w:r>
          </w:p>
        </w:tc>
      </w:tr>
    </w:tbl>
    <w:p>
      <w:pPr>
        <w:pStyle w:val="19"/>
        <w:tabs>
          <w:tab w:val="left" w:pos="0"/>
        </w:tabs>
        <w:spacing w:line="240" w:lineRule="auto"/>
        <w:ind w:left="0" w:leftChars="0" w:firstLine="0" w:firstLineChars="0"/>
        <w:jc w:val="left"/>
        <w:outlineLvl w:val="0"/>
        <w:rPr>
          <w:rFonts w:hint="eastAsia" w:eastAsia="黑体"/>
          <w:b/>
          <w:sz w:val="36"/>
        </w:rPr>
      </w:pPr>
      <w:r>
        <w:rPr>
          <w:rFonts w:ascii="宋体" w:hAnsi="宋体"/>
          <w:kern w:val="0"/>
        </w:rPr>
        <w:br w:type="page"/>
      </w:r>
      <w:bookmarkStart w:id="4" w:name="_Toc33194701"/>
      <w:bookmarkStart w:id="5" w:name="_Toc11230"/>
      <w:bookmarkStart w:id="6" w:name="_Toc33212755"/>
      <w:r>
        <w:rPr>
          <w:rFonts w:hint="eastAsia" w:eastAsia="黑体"/>
          <w:b/>
          <w:sz w:val="36"/>
        </w:rPr>
        <w:t>第三部分   投标人须知</w:t>
      </w:r>
      <w:bookmarkEnd w:id="4"/>
      <w:bookmarkEnd w:id="5"/>
      <w:bookmarkEnd w:id="6"/>
    </w:p>
    <w:p>
      <w:pPr>
        <w:pStyle w:val="4"/>
        <w:numPr>
          <w:ilvl w:val="0"/>
          <w:numId w:val="0"/>
        </w:numPr>
        <w:ind w:left="240"/>
        <w:rPr>
          <w:rFonts w:ascii="宋体" w:hAnsi="宋体"/>
          <w:b w:val="0"/>
          <w:sz w:val="24"/>
        </w:rPr>
      </w:pPr>
      <w:bookmarkStart w:id="7" w:name="_Toc33212756"/>
      <w:bookmarkStart w:id="8" w:name="_Toc24930"/>
      <w:bookmarkStart w:id="9" w:name="_Toc33194702"/>
      <w:r>
        <w:rPr>
          <w:rFonts w:hint="eastAsia" w:ascii="宋体" w:hAnsi="宋体"/>
          <w:b w:val="0"/>
          <w:sz w:val="24"/>
        </w:rPr>
        <w:t>一、总则</w:t>
      </w:r>
      <w:bookmarkEnd w:id="7"/>
      <w:bookmarkEnd w:id="8"/>
      <w:bookmarkEnd w:id="9"/>
    </w:p>
    <w:p>
      <w:pPr>
        <w:spacing w:line="360" w:lineRule="auto"/>
        <w:rPr>
          <w:rFonts w:ascii="宋体" w:hAnsi="宋体"/>
          <w:b/>
          <w:sz w:val="24"/>
        </w:rPr>
      </w:pPr>
      <w:r>
        <w:rPr>
          <w:rFonts w:hint="eastAsia" w:ascii="宋体" w:hAnsi="宋体"/>
          <w:b/>
          <w:sz w:val="24"/>
        </w:rPr>
        <w:t>1.说明</w:t>
      </w:r>
    </w:p>
    <w:p>
      <w:pPr>
        <w:spacing w:line="360" w:lineRule="auto"/>
        <w:ind w:firstLine="480" w:firstLineChars="200"/>
        <w:rPr>
          <w:rFonts w:ascii="宋体" w:hAnsi="宋体"/>
          <w:sz w:val="24"/>
        </w:rPr>
      </w:pPr>
      <w:r>
        <w:rPr>
          <w:rFonts w:hint="eastAsia" w:ascii="宋体" w:hAnsi="宋体"/>
          <w:sz w:val="24"/>
        </w:rPr>
        <w:t>1.1本招标文件适用于本次招标采购项目的招标投标。</w:t>
      </w:r>
    </w:p>
    <w:p>
      <w:pPr>
        <w:spacing w:line="360" w:lineRule="auto"/>
        <w:rPr>
          <w:rFonts w:ascii="宋体" w:hAnsi="宋体"/>
          <w:b/>
          <w:sz w:val="24"/>
        </w:rPr>
      </w:pPr>
      <w:r>
        <w:rPr>
          <w:rFonts w:hint="eastAsia" w:ascii="宋体" w:hAnsi="宋体"/>
          <w:b/>
          <w:sz w:val="24"/>
        </w:rPr>
        <w:t>2.定义</w:t>
      </w:r>
    </w:p>
    <w:p>
      <w:pPr>
        <w:spacing w:line="360" w:lineRule="auto"/>
        <w:ind w:firstLine="480" w:firstLineChars="200"/>
        <w:rPr>
          <w:rFonts w:ascii="宋体" w:hAnsi="宋体"/>
          <w:sz w:val="24"/>
        </w:rPr>
      </w:pPr>
      <w:r>
        <w:rPr>
          <w:rFonts w:hint="eastAsia" w:ascii="宋体" w:hAnsi="宋体"/>
          <w:sz w:val="24"/>
        </w:rPr>
        <w:t>2.1“采购人”名称见本招标文件第二部分“投标人须知前附表”中第1项。</w:t>
      </w:r>
    </w:p>
    <w:p>
      <w:pPr>
        <w:spacing w:line="360" w:lineRule="auto"/>
        <w:ind w:firstLine="480" w:firstLineChars="200"/>
        <w:rPr>
          <w:rFonts w:ascii="宋体" w:hAnsi="宋体"/>
          <w:sz w:val="24"/>
        </w:rPr>
      </w:pPr>
      <w:r>
        <w:rPr>
          <w:rFonts w:hint="eastAsia" w:ascii="宋体" w:hAnsi="宋体"/>
          <w:sz w:val="24"/>
        </w:rPr>
        <w:t>2.2“采购代理机构”名称见本招标文件第二部分“投标人须知前附表”中第2项。</w:t>
      </w:r>
    </w:p>
    <w:p>
      <w:pPr>
        <w:spacing w:line="360" w:lineRule="auto"/>
        <w:ind w:firstLine="480" w:firstLineChars="200"/>
        <w:rPr>
          <w:rFonts w:ascii="宋体" w:hAnsi="宋体"/>
          <w:sz w:val="24"/>
        </w:rPr>
      </w:pPr>
      <w:r>
        <w:rPr>
          <w:rFonts w:hint="eastAsia" w:ascii="宋体" w:hAnsi="宋体"/>
          <w:sz w:val="24"/>
        </w:rPr>
        <w:t>2.3“招标货物”指招标文件第四部分所述所有货物；“服务”指招标文件第四部分所述投标人应该履行的承诺和义务。</w:t>
      </w:r>
    </w:p>
    <w:p>
      <w:pPr>
        <w:spacing w:line="360" w:lineRule="auto"/>
        <w:ind w:firstLine="480" w:firstLineChars="200"/>
        <w:rPr>
          <w:rFonts w:ascii="宋体" w:hAnsi="宋体"/>
          <w:sz w:val="24"/>
        </w:rPr>
      </w:pPr>
      <w:r>
        <w:rPr>
          <w:rFonts w:hint="eastAsia" w:ascii="宋体" w:hAnsi="宋体"/>
          <w:sz w:val="24"/>
        </w:rPr>
        <w:t>2.4“潜在投标人”指符合招标文件各项规定的供应商。</w:t>
      </w:r>
    </w:p>
    <w:p>
      <w:pPr>
        <w:spacing w:line="360" w:lineRule="auto"/>
        <w:ind w:firstLine="480" w:firstLineChars="200"/>
        <w:rPr>
          <w:rFonts w:ascii="宋体" w:hAnsi="宋体"/>
          <w:sz w:val="24"/>
        </w:rPr>
      </w:pPr>
      <w:r>
        <w:rPr>
          <w:rFonts w:hint="eastAsia" w:ascii="宋体" w:hAnsi="宋体"/>
          <w:sz w:val="24"/>
        </w:rPr>
        <w:t>2.5“投标人”指符合招标文件规定并参加投标的供应商。</w:t>
      </w:r>
    </w:p>
    <w:p>
      <w:pPr>
        <w:spacing w:line="360" w:lineRule="auto"/>
        <w:ind w:firstLine="480" w:firstLineChars="200"/>
        <w:rPr>
          <w:rFonts w:ascii="宋体" w:hAnsi="宋体"/>
          <w:sz w:val="24"/>
        </w:rPr>
      </w:pPr>
      <w:r>
        <w:rPr>
          <w:rFonts w:hint="eastAsia" w:ascii="宋体" w:hAnsi="宋体"/>
          <w:sz w:val="24"/>
        </w:rPr>
        <w:t>2.6“投标人盖章”指使用投标人标准公章。</w:t>
      </w:r>
    </w:p>
    <w:p>
      <w:pPr>
        <w:spacing w:line="360" w:lineRule="auto"/>
        <w:ind w:firstLine="480" w:firstLineChars="200"/>
        <w:rPr>
          <w:rFonts w:ascii="宋体" w:hAnsi="宋体"/>
          <w:sz w:val="24"/>
        </w:rPr>
      </w:pPr>
      <w:r>
        <w:rPr>
          <w:rFonts w:hint="eastAsia" w:ascii="宋体" w:hAnsi="宋体"/>
          <w:sz w:val="24"/>
        </w:rPr>
        <w:t>2.7“电子投标文件”指使用未加密的投标文件</w:t>
      </w:r>
      <w:r>
        <w:rPr>
          <w:rFonts w:hint="eastAsia" w:ascii="宋体" w:hAnsi="宋体"/>
          <w:sz w:val="24"/>
          <w:lang w:eastAsia="zh-CN"/>
        </w:rPr>
        <w:t>电子版（与纸质版内容一致）</w:t>
      </w:r>
      <w:r>
        <w:rPr>
          <w:rFonts w:hint="eastAsia" w:ascii="宋体" w:hAnsi="宋体"/>
          <w:sz w:val="24"/>
        </w:rPr>
        <w:t>。</w:t>
      </w:r>
    </w:p>
    <w:p>
      <w:pPr>
        <w:spacing w:line="360" w:lineRule="auto"/>
        <w:rPr>
          <w:rFonts w:ascii="宋体" w:hAnsi="宋体"/>
          <w:b/>
          <w:sz w:val="24"/>
        </w:rPr>
      </w:pPr>
      <w:r>
        <w:rPr>
          <w:rFonts w:hint="eastAsia" w:ascii="宋体" w:hAnsi="宋体"/>
          <w:b/>
          <w:sz w:val="24"/>
        </w:rPr>
        <w:t>3.合格投标人的条件</w:t>
      </w:r>
    </w:p>
    <w:p>
      <w:pPr>
        <w:spacing w:line="360" w:lineRule="auto"/>
        <w:ind w:firstLine="480" w:firstLineChars="200"/>
        <w:rPr>
          <w:rFonts w:ascii="宋体" w:hAnsi="宋体"/>
          <w:sz w:val="24"/>
        </w:rPr>
      </w:pPr>
      <w:r>
        <w:rPr>
          <w:rFonts w:hint="eastAsia" w:ascii="宋体" w:hAnsi="宋体"/>
          <w:sz w:val="24"/>
        </w:rPr>
        <w:t>3.1具有本项目生产、制造、供应或实施能力，符合、承认并承诺履行本文件各项规定的国内法人、其他组织或自然人均可参加投标。</w:t>
      </w:r>
    </w:p>
    <w:p>
      <w:pPr>
        <w:spacing w:line="360" w:lineRule="auto"/>
        <w:ind w:firstLine="480" w:firstLineChars="200"/>
        <w:rPr>
          <w:rFonts w:ascii="宋体" w:hAnsi="宋体"/>
          <w:sz w:val="24"/>
        </w:rPr>
      </w:pPr>
      <w:r>
        <w:rPr>
          <w:rFonts w:hint="eastAsia" w:ascii="宋体" w:hAnsi="宋体"/>
          <w:sz w:val="24"/>
        </w:rPr>
        <w:t>3.2遵守有关的国家法律、法规和条例，具备《中华人民共和国政府采购法》和本招标文件第二部分“投标人须知前附表”中第3项规定的资格条件。</w:t>
      </w:r>
    </w:p>
    <w:p>
      <w:pPr>
        <w:spacing w:line="360" w:lineRule="auto"/>
        <w:ind w:firstLine="480" w:firstLineChars="200"/>
        <w:rPr>
          <w:rFonts w:ascii="宋体" w:hAnsi="宋体"/>
          <w:sz w:val="24"/>
        </w:rPr>
      </w:pPr>
      <w:r>
        <w:rPr>
          <w:rFonts w:hint="eastAsia" w:ascii="宋体" w:hAnsi="宋体"/>
          <w:sz w:val="24"/>
        </w:rPr>
        <w:t>3.3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auto"/>
        <w:ind w:firstLine="480" w:firstLineChars="200"/>
        <w:rPr>
          <w:rFonts w:ascii="宋体" w:hAnsi="宋体"/>
          <w:sz w:val="24"/>
        </w:rPr>
      </w:pPr>
      <w:r>
        <w:rPr>
          <w:rFonts w:hint="eastAsia" w:ascii="宋体" w:hAnsi="宋体"/>
          <w:sz w:val="24"/>
        </w:rPr>
        <w:t>3.4投标人须持有《法定代表人授权委托书》（法定代表人参加投标的可以只提供法定代表人资格证明书）。</w:t>
      </w:r>
    </w:p>
    <w:p>
      <w:pPr>
        <w:spacing w:line="360" w:lineRule="auto"/>
        <w:ind w:firstLine="480" w:firstLineChars="200"/>
        <w:rPr>
          <w:rFonts w:ascii="宋体" w:hAnsi="宋体"/>
          <w:sz w:val="24"/>
        </w:rPr>
      </w:pPr>
      <w:r>
        <w:rPr>
          <w:rFonts w:hint="eastAsia" w:ascii="宋体" w:hAnsi="宋体"/>
          <w:sz w:val="24"/>
        </w:rPr>
        <w:t>3.5投标人在</w:t>
      </w:r>
      <w:r>
        <w:rPr>
          <w:rFonts w:hint="eastAsia" w:ascii="宋体" w:hAnsi="宋体"/>
          <w:color w:val="FF0000"/>
          <w:sz w:val="24"/>
          <w:lang w:eastAsia="zh-CN"/>
        </w:rPr>
        <w:t>新疆政府采购网</w:t>
      </w:r>
      <w:r>
        <w:rPr>
          <w:rFonts w:hint="eastAsia" w:ascii="宋体" w:hAnsi="宋体"/>
          <w:sz w:val="24"/>
          <w:lang w:eastAsia="zh-CN"/>
        </w:rPr>
        <w:t>上自行下载领取</w:t>
      </w:r>
      <w:r>
        <w:rPr>
          <w:rFonts w:hint="eastAsia" w:ascii="宋体" w:hAnsi="宋体"/>
          <w:sz w:val="24"/>
        </w:rPr>
        <w:t>招标文件。</w:t>
      </w:r>
    </w:p>
    <w:p>
      <w:pPr>
        <w:spacing w:line="360" w:lineRule="auto"/>
        <w:ind w:firstLine="480" w:firstLineChars="200"/>
        <w:rPr>
          <w:rFonts w:ascii="宋体" w:hAnsi="宋体"/>
          <w:sz w:val="24"/>
        </w:rPr>
      </w:pPr>
      <w:r>
        <w:rPr>
          <w:rFonts w:hint="eastAsia" w:ascii="宋体" w:hAnsi="宋体"/>
          <w:sz w:val="24"/>
        </w:rPr>
        <w:t>3.6投标人按时足额交纳投标保证金。</w:t>
      </w:r>
    </w:p>
    <w:p>
      <w:pPr>
        <w:spacing w:line="360" w:lineRule="auto"/>
        <w:ind w:firstLine="480" w:firstLineChars="200"/>
        <w:rPr>
          <w:rFonts w:ascii="宋体" w:hAnsi="宋体"/>
          <w:sz w:val="24"/>
        </w:rPr>
      </w:pPr>
      <w:r>
        <w:rPr>
          <w:rFonts w:hint="eastAsia" w:ascii="宋体" w:hAnsi="宋体"/>
          <w:sz w:val="24"/>
        </w:rPr>
        <w:t>3.7本次招标是否允许由两个以上供应商组成一个联合体以一个投标人身份共同投标，按照招标文件第二部分“投标人须知前附表”中的规定。如果允许，除均应符合上述规定外，还应符合下列要求：</w:t>
      </w:r>
    </w:p>
    <w:p>
      <w:pPr>
        <w:spacing w:line="360" w:lineRule="auto"/>
        <w:ind w:firstLine="480" w:firstLineChars="200"/>
        <w:rPr>
          <w:rFonts w:ascii="宋体" w:hAnsi="宋体"/>
          <w:sz w:val="24"/>
        </w:rPr>
      </w:pPr>
      <w:r>
        <w:rPr>
          <w:rFonts w:hint="eastAsia" w:ascii="宋体" w:hAnsi="宋体"/>
          <w:sz w:val="24"/>
        </w:rPr>
        <w:t>1）联合体应提供“联合投标协议书”，该协议书对联合投标各方均具有法律约束力。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spacing w:line="360" w:lineRule="auto"/>
        <w:ind w:firstLine="480" w:firstLineChars="200"/>
        <w:rPr>
          <w:rFonts w:ascii="宋体" w:hAnsi="宋体"/>
          <w:sz w:val="24"/>
        </w:rPr>
      </w:pPr>
      <w:r>
        <w:rPr>
          <w:rFonts w:hint="eastAsia" w:ascii="宋体" w:hAnsi="宋体"/>
          <w:sz w:val="24"/>
        </w:rPr>
        <w:t>2）联合体各方中至少应当有一方对应满足本项目规定的相应资质条件，并且联合体投标人整体应当符合项目的资质要求，否则，其提交的联合投标将被拒绝。联合体中有同类资质的供应商按照联合体分工承担相同工作的，应当按照资质等级较低的供应商确定联合体资质等级。</w:t>
      </w:r>
    </w:p>
    <w:p>
      <w:pPr>
        <w:spacing w:line="360" w:lineRule="auto"/>
        <w:ind w:firstLine="480" w:firstLineChars="200"/>
        <w:rPr>
          <w:rFonts w:ascii="宋体" w:hAnsi="宋体"/>
          <w:sz w:val="24"/>
        </w:rPr>
      </w:pPr>
      <w:r>
        <w:rPr>
          <w:rFonts w:hint="eastAsia" w:ascii="宋体" w:hAnsi="宋体"/>
          <w:sz w:val="24"/>
        </w:rPr>
        <w:t>3）由不同专业的供应商组成的联合体, 首先以投标的全权代表方的应答材料作为认定资质以及商务评审的依据；涉及行业专属的资质,按照所属行业所对应的供应商的应答材料确定。</w:t>
      </w:r>
    </w:p>
    <w:p>
      <w:pPr>
        <w:spacing w:line="360" w:lineRule="auto"/>
        <w:ind w:firstLine="480" w:firstLineChars="200"/>
        <w:rPr>
          <w:rFonts w:ascii="宋体" w:hAnsi="宋体"/>
          <w:sz w:val="24"/>
        </w:rPr>
      </w:pPr>
      <w:r>
        <w:rPr>
          <w:rFonts w:hint="eastAsia" w:ascii="宋体" w:hAnsi="宋体"/>
          <w:sz w:val="24"/>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spacing w:line="360" w:lineRule="auto"/>
        <w:ind w:firstLine="480" w:firstLineChars="200"/>
        <w:rPr>
          <w:rFonts w:ascii="宋体" w:hAnsi="宋体"/>
          <w:sz w:val="24"/>
        </w:rPr>
      </w:pPr>
      <w:r>
        <w:rPr>
          <w:rFonts w:hint="eastAsia" w:ascii="宋体" w:hAnsi="宋体"/>
          <w:sz w:val="24"/>
        </w:rPr>
        <w:t>5）联合体或其成员不得将其在合同项下的权利或义务全部或部分转让给第三人，有关分包事项或服务委托等须事先取得采购代理机构书面同意并且须遵守相关法律、法规、本次招标的全部相关规定。</w:t>
      </w:r>
    </w:p>
    <w:p>
      <w:pPr>
        <w:spacing w:line="360" w:lineRule="auto"/>
        <w:ind w:firstLine="480" w:firstLineChars="200"/>
        <w:rPr>
          <w:rFonts w:ascii="宋体" w:hAnsi="宋体"/>
          <w:sz w:val="24"/>
        </w:rPr>
      </w:pPr>
      <w:r>
        <w:rPr>
          <w:rFonts w:hint="eastAsia" w:ascii="宋体" w:hAnsi="宋体"/>
          <w:sz w:val="24"/>
        </w:rPr>
        <w:t>6）联合体各方均不得同时再以自己独立的名义单独投标，也不得再同时参加其他的联合体投标。若该等情形被发现，其单独的投标和与此有关的联合体的投标均将被一并拒绝。联合体参加投标的，上述3.5款中所述投标人为该联合体的全权代表（即牵头人）。</w:t>
      </w:r>
    </w:p>
    <w:p>
      <w:pPr>
        <w:spacing w:line="360" w:lineRule="auto"/>
        <w:ind w:firstLine="480" w:firstLineChars="200"/>
        <w:rPr>
          <w:rFonts w:ascii="宋体" w:hAnsi="宋体"/>
          <w:sz w:val="24"/>
        </w:rPr>
      </w:pPr>
      <w:r>
        <w:rPr>
          <w:rFonts w:hint="eastAsia" w:ascii="宋体" w:hAnsi="宋体"/>
          <w:sz w:val="24"/>
        </w:rPr>
        <w:t>3.8投标人不得与采购人、采购代理机构等有利害关系。</w:t>
      </w:r>
    </w:p>
    <w:p>
      <w:pPr>
        <w:spacing w:line="360" w:lineRule="auto"/>
        <w:rPr>
          <w:rFonts w:ascii="宋体" w:hAnsi="宋体"/>
          <w:b/>
          <w:sz w:val="24"/>
        </w:rPr>
      </w:pPr>
      <w:r>
        <w:rPr>
          <w:rFonts w:hint="eastAsia" w:ascii="宋体" w:hAnsi="宋体"/>
          <w:b/>
          <w:sz w:val="24"/>
        </w:rPr>
        <w:t>4.投标费用</w:t>
      </w:r>
    </w:p>
    <w:p>
      <w:pPr>
        <w:spacing w:line="360" w:lineRule="auto"/>
        <w:ind w:firstLine="480" w:firstLineChars="200"/>
        <w:rPr>
          <w:rFonts w:ascii="宋体" w:hAnsi="宋体"/>
          <w:sz w:val="24"/>
        </w:rPr>
      </w:pPr>
      <w:r>
        <w:rPr>
          <w:rFonts w:hint="eastAsia" w:ascii="宋体" w:hAnsi="宋体"/>
          <w:sz w:val="24"/>
        </w:rPr>
        <w:t>4.1投标人应承担所有与准备和参加投标有关的费用，采购代理机构在任何情况下均无义务和责任承担此费用。</w:t>
      </w:r>
    </w:p>
    <w:p>
      <w:pPr>
        <w:spacing w:line="360" w:lineRule="auto"/>
        <w:rPr>
          <w:rFonts w:ascii="宋体" w:hAnsi="宋体"/>
          <w:b/>
          <w:sz w:val="24"/>
        </w:rPr>
      </w:pPr>
      <w:r>
        <w:rPr>
          <w:rFonts w:hint="eastAsia" w:ascii="宋体" w:hAnsi="宋体"/>
          <w:b/>
          <w:sz w:val="24"/>
        </w:rPr>
        <w:t>5.纪律</w:t>
      </w:r>
    </w:p>
    <w:p>
      <w:pPr>
        <w:spacing w:line="360" w:lineRule="auto"/>
        <w:ind w:firstLine="480" w:firstLineChars="200"/>
        <w:rPr>
          <w:rFonts w:ascii="宋体" w:hAnsi="宋体"/>
          <w:sz w:val="24"/>
        </w:rPr>
      </w:pPr>
      <w:r>
        <w:rPr>
          <w:rFonts w:hint="eastAsia" w:ascii="宋体" w:hAnsi="宋体"/>
          <w:sz w:val="24"/>
        </w:rPr>
        <w:t>5.1投标人的投标行为应遵守中国的有关法律、法规和规章。</w:t>
      </w:r>
    </w:p>
    <w:p>
      <w:pPr>
        <w:spacing w:line="360" w:lineRule="auto"/>
        <w:ind w:firstLine="480" w:firstLineChars="200"/>
        <w:rPr>
          <w:rFonts w:ascii="宋体" w:hAnsi="宋体"/>
          <w:sz w:val="24"/>
        </w:rPr>
      </w:pPr>
      <w:r>
        <w:rPr>
          <w:rFonts w:hint="eastAsia" w:ascii="宋体" w:hAnsi="宋体"/>
          <w:sz w:val="24"/>
        </w:rPr>
        <w:t>5.2投标人不得相互串通投标报价，不得妨碍其他投标人的公平竞争，不得损害采购人或其他投标人的合法权益，投标人不得以向采购人、评标委员会成员行贿或者采取其他不正当手段谋取中标。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sz w:val="24"/>
        </w:rPr>
      </w:pPr>
      <w:r>
        <w:rPr>
          <w:rFonts w:hint="eastAsia" w:ascii="宋体" w:hAnsi="宋体"/>
          <w:sz w:val="24"/>
        </w:rPr>
        <w:t>5.2.1有下列情形之一的，属于投标人相互串通投标：</w:t>
      </w:r>
    </w:p>
    <w:p>
      <w:pPr>
        <w:spacing w:line="360" w:lineRule="auto"/>
        <w:ind w:firstLine="480" w:firstLineChars="200"/>
        <w:rPr>
          <w:rFonts w:ascii="宋体" w:hAnsi="宋体"/>
          <w:sz w:val="24"/>
        </w:rPr>
      </w:pPr>
      <w:r>
        <w:rPr>
          <w:rFonts w:hint="eastAsia" w:ascii="宋体" w:hAnsi="宋体"/>
          <w:sz w:val="24"/>
        </w:rPr>
        <w:t>1）投标人之间协商报价、技术方案等投标文件的实质性内容；</w:t>
      </w:r>
    </w:p>
    <w:p>
      <w:pPr>
        <w:spacing w:line="360" w:lineRule="auto"/>
        <w:ind w:firstLine="480" w:firstLineChars="200"/>
        <w:rPr>
          <w:rFonts w:ascii="宋体" w:hAnsi="宋体"/>
          <w:sz w:val="24"/>
        </w:rPr>
      </w:pPr>
      <w:r>
        <w:rPr>
          <w:rFonts w:hint="eastAsia" w:ascii="宋体" w:hAnsi="宋体"/>
          <w:sz w:val="24"/>
        </w:rPr>
        <w:t>2）投标人之间事先约定由某一特定投标人中标；</w:t>
      </w:r>
    </w:p>
    <w:p>
      <w:pPr>
        <w:spacing w:line="360" w:lineRule="auto"/>
        <w:ind w:firstLine="480" w:firstLineChars="200"/>
        <w:rPr>
          <w:rFonts w:ascii="宋体" w:hAnsi="宋体"/>
          <w:sz w:val="24"/>
        </w:rPr>
      </w:pPr>
      <w:r>
        <w:rPr>
          <w:rFonts w:hint="eastAsia" w:ascii="宋体" w:hAnsi="宋体"/>
          <w:sz w:val="24"/>
        </w:rPr>
        <w:t>3）投标人之间商定部分投标人放弃参加政府采购活动或者放弃中标；</w:t>
      </w:r>
    </w:p>
    <w:p>
      <w:pPr>
        <w:spacing w:line="360" w:lineRule="auto"/>
        <w:ind w:firstLine="480" w:firstLineChars="200"/>
        <w:rPr>
          <w:rFonts w:ascii="宋体" w:hAnsi="宋体"/>
          <w:sz w:val="24"/>
        </w:rPr>
      </w:pPr>
      <w:r>
        <w:rPr>
          <w:rFonts w:hint="eastAsia" w:ascii="宋体" w:hAnsi="宋体"/>
          <w:sz w:val="24"/>
        </w:rPr>
        <w:t>4）属于同一集团、协会、商会等组织成员的投标人按照该组织要求协同投标；</w:t>
      </w:r>
    </w:p>
    <w:p>
      <w:pPr>
        <w:spacing w:line="360" w:lineRule="auto"/>
        <w:ind w:firstLine="480" w:firstLineChars="200"/>
        <w:rPr>
          <w:rFonts w:ascii="宋体" w:hAnsi="宋体"/>
          <w:sz w:val="24"/>
        </w:rPr>
      </w:pPr>
      <w:r>
        <w:rPr>
          <w:rFonts w:hint="eastAsia" w:ascii="宋体" w:hAnsi="宋体"/>
          <w:sz w:val="24"/>
        </w:rPr>
        <w:t>5）投标人之间为谋求特定投标人中标或者排斥其他投标人的其他串通行为。</w:t>
      </w:r>
    </w:p>
    <w:p>
      <w:pPr>
        <w:spacing w:line="360" w:lineRule="auto"/>
        <w:ind w:firstLine="480" w:firstLineChars="200"/>
        <w:rPr>
          <w:rFonts w:ascii="宋体" w:hAnsi="宋体"/>
          <w:sz w:val="24"/>
        </w:rPr>
      </w:pPr>
      <w:r>
        <w:rPr>
          <w:rFonts w:hint="eastAsia" w:ascii="宋体" w:hAnsi="宋体"/>
          <w:sz w:val="24"/>
        </w:rPr>
        <w:t>5.2.2 有下列情形之一的，视为投标人相互串通投标：</w:t>
      </w:r>
    </w:p>
    <w:p>
      <w:pPr>
        <w:spacing w:line="360" w:lineRule="auto"/>
        <w:ind w:firstLine="480" w:firstLineChars="200"/>
        <w:rPr>
          <w:rFonts w:ascii="宋体" w:hAnsi="宋体"/>
          <w:sz w:val="24"/>
        </w:rPr>
      </w:pPr>
      <w:r>
        <w:rPr>
          <w:rFonts w:hint="eastAsia" w:ascii="宋体" w:hAnsi="宋体"/>
          <w:sz w:val="24"/>
        </w:rPr>
        <w:t>1）不同投标人的投标文件由同一单位或者个人编制，或制作电子投标文件的文件制作机器码（mac地址）一致，或制作电子投标文件的文件创建标识码一致；</w:t>
      </w:r>
    </w:p>
    <w:p>
      <w:pPr>
        <w:spacing w:line="360" w:lineRule="auto"/>
        <w:ind w:firstLine="480" w:firstLineChars="200"/>
        <w:rPr>
          <w:rFonts w:ascii="宋体" w:hAnsi="宋体"/>
          <w:sz w:val="24"/>
        </w:rPr>
      </w:pPr>
      <w:r>
        <w:rPr>
          <w:rFonts w:hint="eastAsia" w:ascii="宋体" w:hAnsi="宋体"/>
          <w:sz w:val="24"/>
        </w:rPr>
        <w:t>2）不同投标人委托同一单位或者个人办理投标事宜；</w:t>
      </w:r>
    </w:p>
    <w:p>
      <w:pPr>
        <w:spacing w:line="360" w:lineRule="auto"/>
        <w:ind w:firstLine="480" w:firstLineChars="200"/>
        <w:rPr>
          <w:rFonts w:ascii="宋体" w:hAnsi="宋体"/>
          <w:sz w:val="24"/>
        </w:rPr>
      </w:pPr>
      <w:r>
        <w:rPr>
          <w:rFonts w:hint="eastAsia" w:ascii="宋体" w:hAnsi="宋体"/>
          <w:sz w:val="24"/>
        </w:rPr>
        <w:t>3）不同投标人的投标文件载明的项目管理成员为同一人；</w:t>
      </w:r>
    </w:p>
    <w:p>
      <w:pPr>
        <w:spacing w:line="360" w:lineRule="auto"/>
        <w:ind w:firstLine="480" w:firstLineChars="200"/>
        <w:rPr>
          <w:rFonts w:ascii="宋体" w:hAnsi="宋体"/>
          <w:sz w:val="24"/>
        </w:rPr>
      </w:pPr>
      <w:r>
        <w:rPr>
          <w:rFonts w:hint="eastAsia" w:ascii="宋体" w:hAnsi="宋体"/>
          <w:sz w:val="24"/>
        </w:rPr>
        <w:t>4）不同投标人的投标文件异常一致或者投标报价呈规律性差异；</w:t>
      </w:r>
    </w:p>
    <w:p>
      <w:pPr>
        <w:spacing w:line="360" w:lineRule="auto"/>
        <w:ind w:firstLine="480" w:firstLineChars="200"/>
        <w:rPr>
          <w:rFonts w:ascii="宋体" w:hAnsi="宋体"/>
          <w:sz w:val="24"/>
        </w:rPr>
      </w:pPr>
      <w:r>
        <w:rPr>
          <w:rFonts w:hint="eastAsia" w:ascii="宋体" w:hAnsi="宋体"/>
          <w:sz w:val="24"/>
        </w:rPr>
        <w:t>5）不同投标人的投标文件相互混装；</w:t>
      </w:r>
    </w:p>
    <w:p>
      <w:pPr>
        <w:spacing w:line="360" w:lineRule="auto"/>
        <w:ind w:firstLine="480" w:firstLineChars="200"/>
        <w:rPr>
          <w:rFonts w:ascii="宋体" w:hAnsi="宋体"/>
          <w:kern w:val="0"/>
          <w:sz w:val="24"/>
        </w:rPr>
      </w:pPr>
      <w:r>
        <w:rPr>
          <w:rFonts w:hint="eastAsia" w:ascii="宋体" w:hAnsi="宋体"/>
          <w:sz w:val="24"/>
        </w:rPr>
        <w:t>6）不同投标人的投标保证金从同一单位或者个人的账户转出，或不同投标人生成</w:t>
      </w:r>
      <w:r>
        <w:rPr>
          <w:rFonts w:hint="eastAsia" w:ascii="宋体" w:hAnsi="宋体"/>
          <w:kern w:val="0"/>
          <w:sz w:val="24"/>
        </w:rPr>
        <w:t>的投标保证金账号不同（账号未生成视为账号不同）但投标保证金交纳至同一个投标保证金账号的。</w:t>
      </w:r>
    </w:p>
    <w:p>
      <w:pPr>
        <w:pStyle w:val="4"/>
        <w:numPr>
          <w:ilvl w:val="0"/>
          <w:numId w:val="0"/>
        </w:numPr>
        <w:ind w:left="240"/>
        <w:rPr>
          <w:rFonts w:ascii="宋体" w:hAnsi="宋体"/>
          <w:b w:val="0"/>
          <w:sz w:val="24"/>
        </w:rPr>
      </w:pPr>
      <w:bookmarkStart w:id="10" w:name="_Toc33194703"/>
      <w:bookmarkStart w:id="11" w:name="_Toc33212757"/>
      <w:bookmarkStart w:id="12" w:name="_Toc18590"/>
      <w:r>
        <w:rPr>
          <w:rFonts w:hint="eastAsia" w:ascii="宋体" w:hAnsi="宋体"/>
          <w:b w:val="0"/>
          <w:sz w:val="24"/>
        </w:rPr>
        <w:t>二、招标文件</w:t>
      </w:r>
      <w:bookmarkEnd w:id="10"/>
      <w:bookmarkEnd w:id="11"/>
      <w:bookmarkEnd w:id="12"/>
    </w:p>
    <w:p>
      <w:pPr>
        <w:spacing w:line="360" w:lineRule="auto"/>
        <w:rPr>
          <w:rFonts w:ascii="宋体" w:hAnsi="宋体"/>
          <w:b/>
          <w:sz w:val="24"/>
        </w:rPr>
      </w:pPr>
      <w:r>
        <w:rPr>
          <w:rFonts w:hint="eastAsia" w:ascii="宋体" w:hAnsi="宋体"/>
          <w:b/>
          <w:sz w:val="24"/>
        </w:rPr>
        <w:t>6.招标文件组成</w:t>
      </w:r>
    </w:p>
    <w:p>
      <w:pPr>
        <w:spacing w:line="360" w:lineRule="auto"/>
        <w:ind w:firstLine="480" w:firstLineChars="200"/>
        <w:rPr>
          <w:rFonts w:ascii="宋体" w:hAnsi="宋体"/>
          <w:sz w:val="24"/>
        </w:rPr>
      </w:pPr>
      <w:r>
        <w:rPr>
          <w:rFonts w:hint="eastAsia" w:ascii="宋体" w:hAnsi="宋体"/>
          <w:sz w:val="24"/>
        </w:rPr>
        <w:t>6.1招标文件由招标文件目录所列内容组成。</w:t>
      </w:r>
    </w:p>
    <w:p>
      <w:pPr>
        <w:spacing w:line="360" w:lineRule="auto"/>
        <w:rPr>
          <w:rFonts w:ascii="宋体" w:hAnsi="宋体"/>
          <w:b/>
          <w:sz w:val="24"/>
        </w:rPr>
      </w:pPr>
      <w:r>
        <w:rPr>
          <w:rFonts w:hint="eastAsia" w:ascii="宋体" w:hAnsi="宋体"/>
          <w:b/>
          <w:sz w:val="24"/>
        </w:rPr>
        <w:t>7.踏勘现场</w:t>
      </w:r>
    </w:p>
    <w:p>
      <w:pPr>
        <w:spacing w:line="360" w:lineRule="auto"/>
        <w:ind w:firstLine="480" w:firstLineChars="200"/>
        <w:rPr>
          <w:rFonts w:ascii="宋体" w:hAnsi="宋体"/>
          <w:sz w:val="24"/>
        </w:rPr>
      </w:pPr>
      <w:r>
        <w:rPr>
          <w:rFonts w:hint="eastAsia" w:ascii="宋体" w:hAnsi="宋体"/>
          <w:sz w:val="24"/>
        </w:rPr>
        <w:t>7.1本项目是否统一组织投标人踏勘现场见招标文件第二部分“投标人须知前附表”中的规定。</w:t>
      </w:r>
    </w:p>
    <w:p>
      <w:pPr>
        <w:spacing w:line="360" w:lineRule="auto"/>
        <w:ind w:firstLine="480" w:firstLineChars="200"/>
        <w:rPr>
          <w:rFonts w:ascii="宋体" w:hAnsi="宋体"/>
          <w:sz w:val="24"/>
        </w:rPr>
      </w:pPr>
      <w:r>
        <w:rPr>
          <w:rFonts w:hint="eastAsia" w:ascii="宋体" w:hAnsi="宋体"/>
          <w:sz w:val="24"/>
        </w:rPr>
        <w:t>7.2踏勘现场所发生的费用由投标人自行承担。除采购人原因外，投标人自行负责在踏勘现场中所发生的人员伤亡和财产损失。</w:t>
      </w:r>
    </w:p>
    <w:p>
      <w:pPr>
        <w:spacing w:line="360" w:lineRule="auto"/>
        <w:ind w:firstLine="480" w:firstLineChars="200"/>
        <w:rPr>
          <w:rFonts w:ascii="宋体" w:hAnsi="宋体"/>
          <w:sz w:val="24"/>
        </w:rPr>
      </w:pPr>
      <w:r>
        <w:rPr>
          <w:rFonts w:hint="eastAsia" w:ascii="宋体" w:hAnsi="宋体"/>
          <w:sz w:val="24"/>
        </w:rPr>
        <w:t>7.3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spacing w:line="360" w:lineRule="auto"/>
        <w:rPr>
          <w:rFonts w:ascii="宋体" w:hAnsi="宋体"/>
          <w:bCs/>
          <w:sz w:val="24"/>
        </w:rPr>
      </w:pPr>
      <w:r>
        <w:rPr>
          <w:rFonts w:hint="eastAsia" w:ascii="宋体" w:hAnsi="宋体"/>
          <w:b/>
          <w:sz w:val="24"/>
        </w:rPr>
        <w:t>8.知识产权</w:t>
      </w:r>
    </w:p>
    <w:p>
      <w:pPr>
        <w:spacing w:line="360" w:lineRule="auto"/>
        <w:ind w:firstLine="549"/>
        <w:rPr>
          <w:rFonts w:ascii="宋体" w:hAnsi="宋体"/>
          <w:sz w:val="24"/>
        </w:rPr>
      </w:pPr>
      <w:r>
        <w:rPr>
          <w:rFonts w:hint="eastAsia" w:ascii="宋体" w:hAnsi="宋体"/>
          <w:sz w:val="24"/>
        </w:rPr>
        <w:t>8.1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spacing w:line="360" w:lineRule="auto"/>
        <w:ind w:firstLine="549"/>
        <w:rPr>
          <w:rFonts w:ascii="宋体" w:hAnsi="宋体"/>
          <w:sz w:val="24"/>
        </w:rPr>
      </w:pPr>
      <w:r>
        <w:rPr>
          <w:rFonts w:hint="eastAsia" w:ascii="宋体" w:hAnsi="宋体"/>
          <w:sz w:val="24"/>
        </w:rPr>
        <w:t>8.2投标人如欲在项目实施过程中采用自有知识成果，须在投标文件中声明，并提供相关知识产权证明文件。使用该知识成果后，投标人须提供开发接口和开发手册等技术文档。</w:t>
      </w:r>
    </w:p>
    <w:p>
      <w:pPr>
        <w:spacing w:line="360" w:lineRule="auto"/>
        <w:rPr>
          <w:rFonts w:ascii="宋体" w:hAnsi="宋体"/>
          <w:b/>
          <w:sz w:val="24"/>
        </w:rPr>
      </w:pPr>
      <w:r>
        <w:rPr>
          <w:rFonts w:hint="eastAsia" w:ascii="宋体" w:hAnsi="宋体"/>
          <w:b/>
          <w:sz w:val="24"/>
        </w:rPr>
        <w:t>9.答疑及招标文件的澄清和修改</w:t>
      </w:r>
    </w:p>
    <w:p>
      <w:pPr>
        <w:spacing w:line="360" w:lineRule="auto"/>
        <w:ind w:firstLine="480" w:firstLineChars="200"/>
        <w:rPr>
          <w:rFonts w:ascii="宋体" w:hAnsi="宋体"/>
          <w:sz w:val="24"/>
        </w:rPr>
      </w:pPr>
      <w:r>
        <w:rPr>
          <w:rFonts w:hint="eastAsia" w:ascii="宋体" w:hAnsi="宋体"/>
          <w:sz w:val="24"/>
        </w:rPr>
        <w:t>9.1投标人如果对招标文件有疑问或要求进行澄清的，应按照招标文件第二部分“投标人须知前附表”第12项规定向采购代理机构提出。必要时，采购代理机构将组织相关专家召开答疑会，如召开，答疑会安排另行通知。</w:t>
      </w:r>
    </w:p>
    <w:p>
      <w:pPr>
        <w:spacing w:line="360" w:lineRule="auto"/>
        <w:ind w:firstLine="480" w:firstLineChars="200"/>
        <w:rPr>
          <w:rFonts w:ascii="宋体" w:hAnsi="宋体"/>
          <w:sz w:val="24"/>
        </w:rPr>
      </w:pPr>
      <w:r>
        <w:rPr>
          <w:rFonts w:hint="eastAsia" w:ascii="宋体" w:hAnsi="宋体"/>
          <w:sz w:val="24"/>
        </w:rPr>
        <w:t>投标人在规定的时间内未对招标文件提出疑问或要求澄清的，采购代理机构将视其</w:t>
      </w:r>
      <w:r>
        <w:rPr>
          <w:rFonts w:hint="eastAsia" w:ascii="宋体" w:hAnsi="宋体"/>
          <w:sz w:val="24"/>
          <w:szCs w:val="28"/>
        </w:rPr>
        <w:t>理解和接受</w:t>
      </w:r>
      <w:r>
        <w:rPr>
          <w:rFonts w:hint="eastAsia" w:ascii="宋体" w:hAnsi="宋体"/>
          <w:sz w:val="24"/>
        </w:rPr>
        <w:t>，对在“答疑接受时间”后就招标文件内容提出的疑问及澄清要求将不予受理。</w:t>
      </w:r>
    </w:p>
    <w:p>
      <w:pPr>
        <w:spacing w:line="360" w:lineRule="auto"/>
        <w:ind w:firstLine="480" w:firstLineChars="200"/>
        <w:rPr>
          <w:rFonts w:ascii="宋体" w:hAnsi="宋体"/>
          <w:sz w:val="24"/>
        </w:rPr>
      </w:pPr>
      <w:r>
        <w:rPr>
          <w:rFonts w:hint="eastAsia" w:ascii="宋体" w:hAnsi="宋体"/>
          <w:sz w:val="24"/>
        </w:rPr>
        <w:t>9.2无论出于何种原因，采购代理机构主动或出于解答投标人疑问对已发出的招标文件进行必要澄清或修改的，如果澄清或修改的内容可能影响投标文件编制，采购代理机构应当在投标截止时间至少15日前，通知所有获取招标文件的潜在投标人；不足15日的，采购代理机构应当顺延提交投标文件的截止时间，并就变更后的投标截止时间发出通知。</w:t>
      </w:r>
    </w:p>
    <w:p>
      <w:pPr>
        <w:spacing w:line="360" w:lineRule="auto"/>
        <w:ind w:firstLine="480" w:firstLineChars="200"/>
        <w:rPr>
          <w:rFonts w:ascii="宋体" w:hAnsi="宋体"/>
          <w:sz w:val="24"/>
        </w:rPr>
      </w:pPr>
      <w:r>
        <w:rPr>
          <w:rFonts w:hint="eastAsia" w:ascii="宋体" w:hAnsi="宋体"/>
          <w:sz w:val="24"/>
        </w:rPr>
        <w:t>9.3采购代理机构一旦对招标文件作出了澄清或修改，即刻发生效力，并作为招标文件的组成部分，对所有现实的或潜在的投标人均具有约束力，而无论是否已经实际收到上述文件。同时，采购代理机构和投标人的权利及义务将受到新的截止期的约束。</w:t>
      </w:r>
    </w:p>
    <w:p>
      <w:pPr>
        <w:spacing w:line="360" w:lineRule="auto"/>
        <w:ind w:firstLine="482" w:firstLineChars="200"/>
        <w:rPr>
          <w:rFonts w:ascii="宋体" w:hAnsi="宋体"/>
          <w:b/>
          <w:sz w:val="24"/>
        </w:rPr>
      </w:pPr>
      <w:r>
        <w:rPr>
          <w:rFonts w:hint="eastAsia" w:ascii="宋体" w:hAnsi="宋体"/>
          <w:b/>
          <w:sz w:val="24"/>
        </w:rPr>
        <w:t>9.4采购代理机构对招标文件作出的澄清或修改将向投标人进行通知，请投标人及时关注并获取相关资料。当招标文件的澄清或修改及其他通知等就同一内容的表述不一致时，以最后发布的内容为准。</w:t>
      </w:r>
    </w:p>
    <w:p>
      <w:pPr>
        <w:pStyle w:val="4"/>
        <w:numPr>
          <w:ilvl w:val="0"/>
          <w:numId w:val="0"/>
        </w:numPr>
        <w:ind w:left="240"/>
        <w:rPr>
          <w:rFonts w:ascii="宋体" w:hAnsi="宋体"/>
          <w:b w:val="0"/>
          <w:sz w:val="24"/>
        </w:rPr>
      </w:pPr>
      <w:bookmarkStart w:id="13" w:name="_Toc33212758"/>
      <w:bookmarkStart w:id="14" w:name="_Toc13060"/>
      <w:bookmarkStart w:id="15" w:name="_Toc33194704"/>
      <w:r>
        <w:rPr>
          <w:rFonts w:hint="eastAsia" w:ascii="宋体" w:hAnsi="宋体"/>
          <w:b w:val="0"/>
          <w:sz w:val="24"/>
        </w:rPr>
        <w:t>三、投标文件</w:t>
      </w:r>
      <w:bookmarkEnd w:id="13"/>
      <w:bookmarkEnd w:id="14"/>
      <w:bookmarkEnd w:id="15"/>
    </w:p>
    <w:p>
      <w:pPr>
        <w:spacing w:line="360" w:lineRule="auto"/>
        <w:rPr>
          <w:rFonts w:ascii="宋体" w:hAnsi="宋体"/>
          <w:b/>
          <w:sz w:val="24"/>
        </w:rPr>
      </w:pPr>
      <w:r>
        <w:rPr>
          <w:rFonts w:hint="eastAsia" w:ascii="宋体" w:hAnsi="宋体"/>
          <w:b/>
          <w:sz w:val="24"/>
        </w:rPr>
        <w:t>11.投标文件的语言及计量单位</w:t>
      </w:r>
    </w:p>
    <w:p>
      <w:pPr>
        <w:spacing w:line="360" w:lineRule="auto"/>
        <w:ind w:firstLine="480" w:firstLineChars="200"/>
        <w:rPr>
          <w:rFonts w:ascii="宋体" w:hAnsi="宋体"/>
          <w:sz w:val="24"/>
        </w:rPr>
      </w:pPr>
      <w:r>
        <w:rPr>
          <w:rFonts w:hint="eastAsia" w:ascii="宋体" w:hAnsi="宋体"/>
          <w:sz w:val="24"/>
        </w:rPr>
        <w:t>11.1投标人提交的投标文件（包括技术文件和资料、图纸中的说明）以及投标人与采购代理机构就有关投标的所有来往函电均应使用中文简体字。原版为外文的证书类文件，以及由外国人作出的本人签名、外国公司的名称或外国印章等可以是外文。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spacing w:line="360" w:lineRule="auto"/>
        <w:ind w:firstLine="480" w:firstLineChars="200"/>
        <w:rPr>
          <w:rFonts w:ascii="宋体" w:hAnsi="宋体"/>
          <w:sz w:val="24"/>
        </w:rPr>
      </w:pPr>
      <w:r>
        <w:rPr>
          <w:rFonts w:hint="eastAsia" w:ascii="宋体" w:hAnsi="宋体"/>
          <w:sz w:val="24"/>
        </w:rPr>
        <w:t>11.2除非招标文件另有规定，投标文件所使用的计量单位，应使用国家法定计量单位。</w:t>
      </w:r>
    </w:p>
    <w:p>
      <w:pPr>
        <w:spacing w:line="360" w:lineRule="auto"/>
        <w:ind w:firstLine="480" w:firstLineChars="200"/>
        <w:rPr>
          <w:rFonts w:ascii="宋体" w:hAnsi="宋体"/>
          <w:sz w:val="24"/>
        </w:rPr>
      </w:pPr>
      <w:r>
        <w:rPr>
          <w:rFonts w:hint="eastAsia" w:ascii="宋体" w:hAnsi="宋体"/>
          <w:sz w:val="24"/>
        </w:rPr>
        <w:t>11.3对违反上述规定情形的，评标委员会有权要求投标人限期提供相应文件或决定对其投标予以拒绝。</w:t>
      </w:r>
    </w:p>
    <w:p>
      <w:pPr>
        <w:spacing w:line="360" w:lineRule="auto"/>
        <w:rPr>
          <w:rFonts w:ascii="宋体" w:hAnsi="宋体"/>
          <w:b/>
          <w:sz w:val="24"/>
        </w:rPr>
      </w:pPr>
      <w:r>
        <w:rPr>
          <w:rFonts w:hint="eastAsia" w:ascii="宋体" w:hAnsi="宋体"/>
          <w:b/>
          <w:sz w:val="24"/>
        </w:rPr>
        <w:t>12.投标文件组成及编制</w:t>
      </w:r>
    </w:p>
    <w:p>
      <w:pPr>
        <w:spacing w:line="360" w:lineRule="auto"/>
        <w:rPr>
          <w:rFonts w:ascii="宋体" w:hAnsi="宋体"/>
          <w:sz w:val="24"/>
        </w:rPr>
      </w:pPr>
      <w:r>
        <w:rPr>
          <w:rFonts w:hint="eastAsia" w:ascii="宋体" w:hAnsi="宋体"/>
          <w:sz w:val="24"/>
        </w:rPr>
        <w:t xml:space="preserve">    12.1本次招标，投标人须按照招标文件第二部分“投标人须知前附表”中第7项规定内容组织投标文件。</w:t>
      </w:r>
    </w:p>
    <w:p>
      <w:pPr>
        <w:spacing w:line="360" w:lineRule="auto"/>
        <w:ind w:firstLine="480"/>
        <w:rPr>
          <w:rFonts w:ascii="宋体" w:hAnsi="宋体"/>
          <w:sz w:val="24"/>
        </w:rPr>
      </w:pPr>
      <w:r>
        <w:rPr>
          <w:rFonts w:hint="eastAsia" w:ascii="宋体" w:hAnsi="宋体"/>
          <w:sz w:val="24"/>
        </w:rPr>
        <w:t>12.2投标人递交投标文件及相关要求按照招标文件第二部分“投标人须知前附表”中第14、15项的规定。</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rPr>
          <w:rFonts w:ascii="宋体" w:hAnsi="宋体"/>
          <w:b/>
          <w:sz w:val="24"/>
        </w:rPr>
      </w:pPr>
      <w:r>
        <w:rPr>
          <w:rFonts w:hint="eastAsia" w:ascii="宋体" w:hAnsi="宋体"/>
          <w:b/>
          <w:sz w:val="24"/>
        </w:rPr>
        <w:t>13.投标报价</w:t>
      </w:r>
    </w:p>
    <w:p>
      <w:pPr>
        <w:spacing w:line="360" w:lineRule="auto"/>
        <w:ind w:firstLine="480" w:firstLineChars="200"/>
        <w:rPr>
          <w:rFonts w:ascii="宋体" w:hAnsi="宋体"/>
          <w:sz w:val="24"/>
        </w:rPr>
      </w:pPr>
      <w:r>
        <w:rPr>
          <w:rFonts w:hint="eastAsia" w:ascii="宋体" w:hAnsi="宋体"/>
          <w:sz w:val="24"/>
        </w:rPr>
        <w:t>13.1除非招标文件另有规定，所有投标报价均以人民币元为计算单位。只要投报了一个确定数额的总价，无论分项价格是否全部填报了相应的金额或免费字样，报价应被视为已经包含了完成本项目</w:t>
      </w:r>
      <w:r>
        <w:rPr>
          <w:rFonts w:hint="eastAsia" w:ascii="宋体" w:hAnsi="宋体"/>
          <w:sz w:val="24"/>
          <w:szCs w:val="28"/>
        </w:rPr>
        <w:t>并通过验收</w:t>
      </w:r>
      <w:r>
        <w:rPr>
          <w:rFonts w:hint="eastAsia" w:ascii="宋体" w:hAnsi="宋体"/>
          <w:sz w:val="24"/>
        </w:rPr>
        <w:t>的所有费用和所需缴纳的所有税、费。在其他情况下，由于分项报价填报不完整、不清楚或存在其他任何失误，所导致的任何不利后果均应当由投标人自行承担。</w:t>
      </w:r>
    </w:p>
    <w:p>
      <w:pPr>
        <w:spacing w:line="360" w:lineRule="auto"/>
        <w:ind w:firstLine="480" w:firstLineChars="200"/>
        <w:rPr>
          <w:rFonts w:ascii="宋体" w:hAnsi="宋体"/>
          <w:b/>
          <w:sz w:val="24"/>
        </w:rPr>
      </w:pPr>
      <w:r>
        <w:rPr>
          <w:rFonts w:hint="eastAsia" w:ascii="宋体" w:hAnsi="宋体"/>
          <w:sz w:val="24"/>
        </w:rPr>
        <w:t>13.2除非招标文件另有规定，</w:t>
      </w:r>
      <w:r>
        <w:rPr>
          <w:rFonts w:hint="eastAsia" w:ascii="宋体" w:hAnsi="宋体"/>
          <w:b/>
          <w:sz w:val="24"/>
        </w:rPr>
        <w:t>不接受可选择或可调整的投标方案和报价，任何有选择的或可调整的投标方案和报价将被视为非响应性投标而被拒绝。</w:t>
      </w:r>
    </w:p>
    <w:p>
      <w:pPr>
        <w:spacing w:line="360" w:lineRule="auto"/>
        <w:ind w:firstLine="480" w:firstLineChars="200"/>
        <w:rPr>
          <w:rFonts w:ascii="宋体" w:hAnsi="宋体"/>
          <w:sz w:val="24"/>
        </w:rPr>
      </w:pPr>
      <w:r>
        <w:rPr>
          <w:rFonts w:hint="eastAsia" w:ascii="宋体" w:hAnsi="宋体"/>
          <w:sz w:val="24"/>
        </w:rPr>
        <w:t>13.3本项目是否接受进口产品按照招标文件第二部分“投标人须知前附表中”中的规定。</w:t>
      </w:r>
    </w:p>
    <w:p>
      <w:pPr>
        <w:spacing w:line="360" w:lineRule="auto"/>
        <w:ind w:firstLine="480" w:firstLineChars="200"/>
        <w:rPr>
          <w:rFonts w:ascii="宋体" w:hAnsi="宋体"/>
          <w:sz w:val="24"/>
        </w:rPr>
      </w:pPr>
      <w:r>
        <w:rPr>
          <w:rFonts w:hint="eastAsia" w:ascii="宋体" w:hAnsi="宋体"/>
          <w:sz w:val="24"/>
        </w:rPr>
        <w:t>13.4本项目是否允许投标人将项目的非主体、非关键性工作交由他人完成按照招标文件第二部分“投标人须知前附表”中项的规定。如允许，投标人根据采购项目的实际情况，拟在中标后将中标项目的非主体、非关键性工作交由他人完成，须在技术文件中载明。</w:t>
      </w:r>
    </w:p>
    <w:p>
      <w:pPr>
        <w:spacing w:line="360" w:lineRule="auto"/>
        <w:ind w:firstLine="480" w:firstLineChars="200"/>
        <w:rPr>
          <w:rFonts w:ascii="宋体" w:hAnsi="宋体"/>
          <w:sz w:val="24"/>
        </w:rPr>
      </w:pPr>
      <w:r>
        <w:rPr>
          <w:rFonts w:hint="eastAsia" w:ascii="宋体" w:hAnsi="宋体"/>
          <w:sz w:val="24"/>
        </w:rPr>
        <w:t>13.5投标人对投标报价若有说明应在投标文件中显著处注明。</w:t>
      </w:r>
    </w:p>
    <w:p>
      <w:pPr>
        <w:spacing w:line="360" w:lineRule="auto"/>
        <w:ind w:firstLine="480" w:firstLineChars="200"/>
        <w:rPr>
          <w:rFonts w:ascii="宋体" w:hAnsi="宋体"/>
          <w:sz w:val="24"/>
        </w:rPr>
      </w:pPr>
      <w:r>
        <w:rPr>
          <w:rFonts w:hint="eastAsia" w:ascii="宋体" w:hAnsi="宋体"/>
          <w:sz w:val="24"/>
        </w:rPr>
        <w:t>除政策性文件规定以外，投标人所报价格在合同实施期间不因市场变化因素而变动。</w:t>
      </w:r>
    </w:p>
    <w:p>
      <w:pPr>
        <w:spacing w:line="360" w:lineRule="auto"/>
        <w:ind w:firstLine="480" w:firstLineChars="200"/>
        <w:rPr>
          <w:rFonts w:ascii="宋体" w:hAnsi="宋体"/>
          <w:sz w:val="24"/>
        </w:rPr>
      </w:pPr>
      <w:r>
        <w:rPr>
          <w:rFonts w:hint="eastAsia" w:ascii="宋体" w:hAnsi="宋体"/>
          <w:sz w:val="24"/>
        </w:rPr>
        <w:t>13.6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spacing w:line="360" w:lineRule="auto"/>
        <w:rPr>
          <w:rFonts w:ascii="宋体" w:hAnsi="宋体"/>
          <w:b/>
          <w:sz w:val="24"/>
        </w:rPr>
      </w:pPr>
      <w:r>
        <w:rPr>
          <w:rFonts w:hint="eastAsia" w:ascii="宋体" w:hAnsi="宋体"/>
          <w:b/>
          <w:sz w:val="24"/>
        </w:rPr>
        <w:t>14.投标有效期</w:t>
      </w:r>
    </w:p>
    <w:p>
      <w:pPr>
        <w:spacing w:line="360" w:lineRule="auto"/>
        <w:ind w:firstLine="480" w:firstLineChars="200"/>
        <w:rPr>
          <w:rFonts w:ascii="宋体" w:hAnsi="宋体"/>
          <w:sz w:val="24"/>
        </w:rPr>
      </w:pPr>
      <w:r>
        <w:rPr>
          <w:rFonts w:hint="eastAsia" w:ascii="宋体" w:hAnsi="宋体"/>
          <w:sz w:val="24"/>
        </w:rPr>
        <w:t>14.1本项目的投标有效期按照招标文件第二部分“投标人须知前附表中”中第13项的规定。投标有效期自开标之日起计算，</w:t>
      </w:r>
      <w:r>
        <w:rPr>
          <w:rFonts w:hint="eastAsia" w:ascii="宋体" w:hAnsi="宋体"/>
          <w:b/>
          <w:sz w:val="24"/>
        </w:rPr>
        <w:t>短于规定期限的投标将按无效投标处理</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14.2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spacing w:line="360" w:lineRule="auto"/>
        <w:rPr>
          <w:rFonts w:ascii="宋体" w:hAnsi="宋体"/>
          <w:b/>
          <w:sz w:val="24"/>
        </w:rPr>
      </w:pPr>
      <w:r>
        <w:rPr>
          <w:rFonts w:hint="eastAsia" w:ascii="宋体" w:hAnsi="宋体"/>
          <w:b/>
          <w:sz w:val="24"/>
        </w:rPr>
        <w:t>15.投标内容填写说明</w:t>
      </w:r>
    </w:p>
    <w:p>
      <w:pPr>
        <w:spacing w:line="360" w:lineRule="auto"/>
        <w:ind w:firstLine="480" w:firstLineChars="200"/>
        <w:rPr>
          <w:rFonts w:ascii="宋体" w:hAnsi="宋体"/>
          <w:sz w:val="24"/>
        </w:rPr>
      </w:pPr>
      <w:r>
        <w:rPr>
          <w:rFonts w:hint="eastAsia" w:ascii="宋体" w:hAnsi="宋体"/>
          <w:sz w:val="24"/>
        </w:rPr>
        <w:t>15.1投标人应详细阅读招标文件的全部内容。投标文件须对招标文件中的内容作出实质性和完整的响应，如果投标文件填报的内容不详，或没有提供招标文件中所要求的全部资料及数据，将可能导致投标被拒绝。</w:t>
      </w:r>
    </w:p>
    <w:p>
      <w:pPr>
        <w:spacing w:line="360" w:lineRule="auto"/>
        <w:ind w:firstLine="480" w:firstLineChars="200"/>
        <w:rPr>
          <w:rFonts w:ascii="宋体" w:hAnsi="宋体"/>
          <w:sz w:val="24"/>
        </w:rPr>
      </w:pPr>
      <w:r>
        <w:rPr>
          <w:rFonts w:hint="eastAsia" w:ascii="宋体" w:hAnsi="宋体"/>
          <w:sz w:val="24"/>
        </w:rPr>
        <w:t>15.2投标文件须严格按照招标文件第七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p>
    <w:p>
      <w:pPr>
        <w:spacing w:line="360" w:lineRule="auto"/>
        <w:ind w:firstLine="480" w:firstLineChars="200"/>
        <w:rPr>
          <w:rFonts w:ascii="宋体" w:hAnsi="宋体"/>
          <w:sz w:val="24"/>
        </w:rPr>
      </w:pPr>
      <w:r>
        <w:rPr>
          <w:rFonts w:hint="eastAsia" w:ascii="宋体" w:hAnsi="宋体"/>
          <w:sz w:val="24"/>
        </w:rPr>
        <w:t>15.3开标一览表为在开标仪式上唱标的内容，要求按格式统一填写，不得自行增减内容。</w:t>
      </w:r>
    </w:p>
    <w:p>
      <w:pPr>
        <w:spacing w:line="360" w:lineRule="auto"/>
        <w:ind w:firstLine="480" w:firstLineChars="200"/>
        <w:rPr>
          <w:rFonts w:ascii="宋体" w:hAnsi="宋体"/>
          <w:sz w:val="24"/>
        </w:rPr>
      </w:pPr>
      <w:r>
        <w:rPr>
          <w:rFonts w:hint="eastAsia" w:ascii="宋体" w:hAnsi="宋体"/>
          <w:sz w:val="24"/>
        </w:rPr>
        <w:t>15.4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spacing w:line="360" w:lineRule="auto"/>
        <w:ind w:firstLine="480" w:firstLineChars="200"/>
        <w:rPr>
          <w:rFonts w:ascii="宋体" w:hAnsi="宋体"/>
          <w:sz w:val="24"/>
        </w:rPr>
      </w:pPr>
      <w:r>
        <w:rPr>
          <w:rFonts w:hint="eastAsia" w:ascii="宋体" w:hAnsi="宋体"/>
          <w:sz w:val="24"/>
        </w:rPr>
        <w:t>15.5投标人必须保证投标文件所提供的全部资料真实可靠，并接受采购代理机构或评标委员会对其中任何资料进一步审查的要求。</w:t>
      </w:r>
    </w:p>
    <w:p>
      <w:pPr>
        <w:spacing w:line="360" w:lineRule="auto"/>
        <w:ind w:firstLine="480" w:firstLineChars="200"/>
        <w:rPr>
          <w:rFonts w:ascii="宋体" w:hAnsi="宋体"/>
          <w:sz w:val="24"/>
        </w:rPr>
      </w:pPr>
      <w:r>
        <w:rPr>
          <w:rFonts w:hint="eastAsia" w:ascii="宋体" w:hAnsi="宋体"/>
          <w:sz w:val="24"/>
        </w:rPr>
        <w:t>15.6</w:t>
      </w:r>
      <w:r>
        <w:rPr>
          <w:rFonts w:hint="eastAsia" w:ascii="宋体" w:hAnsi="宋体"/>
          <w:bCs/>
          <w:sz w:val="24"/>
        </w:rPr>
        <w:t xml:space="preserve">投标人在投标文件及相关文件的签订、履行、通知等事项的文件中的单位公章、印章、盖章等处均指与投标人全称相一致标准公章，不得使用其他形式（如带有“专用章”等字样的印章）。投标文件应由法定代表人或其唯一授权代理人逐页签章并加盖公章。不符合本条规定的按无效投标处理。  </w:t>
      </w:r>
    </w:p>
    <w:p>
      <w:pPr>
        <w:pStyle w:val="4"/>
        <w:numPr>
          <w:ilvl w:val="0"/>
          <w:numId w:val="0"/>
        </w:numPr>
        <w:ind w:left="240"/>
        <w:rPr>
          <w:rFonts w:ascii="宋体" w:hAnsi="宋体"/>
          <w:b w:val="0"/>
          <w:sz w:val="24"/>
        </w:rPr>
      </w:pPr>
      <w:bookmarkStart w:id="16" w:name="_Toc33212759"/>
      <w:bookmarkStart w:id="17" w:name="_Toc11569"/>
      <w:bookmarkStart w:id="18" w:name="_Toc33194705"/>
      <w:r>
        <w:rPr>
          <w:rFonts w:hint="eastAsia" w:ascii="宋体" w:hAnsi="宋体"/>
          <w:b w:val="0"/>
          <w:sz w:val="24"/>
        </w:rPr>
        <w:t>四、投标保证金</w:t>
      </w:r>
      <w:bookmarkEnd w:id="16"/>
      <w:bookmarkEnd w:id="17"/>
      <w:bookmarkEnd w:id="18"/>
    </w:p>
    <w:p>
      <w:pPr>
        <w:spacing w:line="360" w:lineRule="auto"/>
        <w:rPr>
          <w:rFonts w:ascii="宋体" w:hAnsi="宋体"/>
          <w:b/>
          <w:sz w:val="24"/>
        </w:rPr>
      </w:pPr>
      <w:r>
        <w:rPr>
          <w:rFonts w:hint="eastAsia" w:ascii="宋体" w:hAnsi="宋体"/>
          <w:b/>
          <w:sz w:val="24"/>
        </w:rPr>
        <w:t xml:space="preserve">16.投标保证金 </w:t>
      </w:r>
    </w:p>
    <w:p>
      <w:pPr>
        <w:spacing w:line="360" w:lineRule="auto"/>
        <w:ind w:firstLine="480" w:firstLineChars="200"/>
        <w:rPr>
          <w:rFonts w:ascii="宋体" w:hAnsi="宋体"/>
          <w:sz w:val="24"/>
        </w:rPr>
      </w:pPr>
      <w:r>
        <w:rPr>
          <w:rFonts w:hint="eastAsia" w:ascii="宋体" w:hAnsi="宋体"/>
          <w:sz w:val="24"/>
        </w:rPr>
        <w:t>16.1投标人必须按照招标文件第二部分“投标人须知前附表”中第16项的规定交纳投标保证金。投标保证金须于到账截止时间前到帐，并经</w:t>
      </w:r>
      <w:r>
        <w:rPr>
          <w:rFonts w:hint="eastAsia" w:ascii="宋体" w:hAnsi="宋体"/>
          <w:sz w:val="24"/>
          <w:lang w:eastAsia="zh-CN"/>
        </w:rPr>
        <w:t>收款方</w:t>
      </w:r>
      <w:r>
        <w:rPr>
          <w:rFonts w:hint="eastAsia" w:ascii="宋体" w:hAnsi="宋体"/>
          <w:sz w:val="24"/>
        </w:rPr>
        <w:t>确认。</w:t>
      </w:r>
      <w:r>
        <w:rPr>
          <w:rFonts w:hint="eastAsia" w:ascii="宋体" w:hAnsi="宋体"/>
          <w:sz w:val="24"/>
          <w:lang w:eastAsia="zh-CN"/>
        </w:rPr>
        <w:t>收款方</w:t>
      </w:r>
      <w:r>
        <w:rPr>
          <w:rFonts w:hint="eastAsia" w:ascii="宋体" w:hAnsi="宋体"/>
          <w:sz w:val="24"/>
        </w:rPr>
        <w:t>不接收以现金或汇票等其他形式递交的投标保证金。</w:t>
      </w:r>
    </w:p>
    <w:p>
      <w:pPr>
        <w:spacing w:line="360" w:lineRule="auto"/>
        <w:ind w:firstLine="480" w:firstLineChars="200"/>
        <w:rPr>
          <w:rFonts w:ascii="宋体" w:hAnsi="宋体"/>
          <w:sz w:val="24"/>
        </w:rPr>
      </w:pPr>
      <w:r>
        <w:rPr>
          <w:rFonts w:hint="eastAsia" w:ascii="宋体" w:hAnsi="宋体"/>
          <w:sz w:val="24"/>
        </w:rPr>
        <w:t>16.2未中标的投标人的投标保证金在中标通知书发出之日起5个工作日内退还；中标人的投标保证金将在交纳履约保证金并于合同生效后5个工作日内退还。</w:t>
      </w:r>
    </w:p>
    <w:p>
      <w:pPr>
        <w:spacing w:line="360" w:lineRule="auto"/>
        <w:ind w:firstLine="480" w:firstLineChars="200"/>
        <w:rPr>
          <w:rFonts w:ascii="宋体" w:hAnsi="宋体"/>
          <w:sz w:val="24"/>
        </w:rPr>
      </w:pPr>
      <w:r>
        <w:rPr>
          <w:rFonts w:hint="eastAsia" w:ascii="宋体" w:hAnsi="宋体"/>
          <w:sz w:val="24"/>
        </w:rPr>
        <w:t>16.3投标保证金退还一律采用网上银行转帐方式退还至投标人的汇款帐户，资金原路返回。</w:t>
      </w:r>
    </w:p>
    <w:p>
      <w:pPr>
        <w:spacing w:line="360" w:lineRule="auto"/>
        <w:ind w:firstLine="480" w:firstLineChars="200"/>
        <w:rPr>
          <w:rFonts w:ascii="宋体" w:hAnsi="宋体"/>
          <w:sz w:val="24"/>
        </w:rPr>
      </w:pPr>
      <w:r>
        <w:rPr>
          <w:rFonts w:hint="eastAsia" w:ascii="宋体" w:hAnsi="宋体"/>
          <w:sz w:val="24"/>
        </w:rPr>
        <w:t>以上资料须单独密封，于开标时当场提交。未按要求提交的，将影响投标人保证金退付且采购代理机构不承担任何责任。</w:t>
      </w:r>
    </w:p>
    <w:p>
      <w:pPr>
        <w:pStyle w:val="4"/>
        <w:numPr>
          <w:ilvl w:val="0"/>
          <w:numId w:val="0"/>
        </w:numPr>
        <w:ind w:left="240"/>
        <w:rPr>
          <w:rFonts w:ascii="宋体" w:hAnsi="宋体"/>
          <w:b w:val="0"/>
          <w:sz w:val="24"/>
        </w:rPr>
      </w:pPr>
      <w:bookmarkStart w:id="19" w:name="_Toc33212760"/>
      <w:bookmarkStart w:id="20" w:name="_Toc1403"/>
      <w:bookmarkStart w:id="21" w:name="_Toc33194706"/>
      <w:r>
        <w:rPr>
          <w:rFonts w:hint="eastAsia" w:ascii="宋体" w:hAnsi="宋体"/>
          <w:b w:val="0"/>
          <w:sz w:val="24"/>
        </w:rPr>
        <w:t>五、投标文件的递交</w:t>
      </w:r>
      <w:bookmarkEnd w:id="19"/>
      <w:bookmarkEnd w:id="20"/>
      <w:bookmarkEnd w:id="21"/>
    </w:p>
    <w:p>
      <w:pPr>
        <w:spacing w:line="360" w:lineRule="auto"/>
        <w:rPr>
          <w:rFonts w:ascii="宋体" w:hAnsi="宋体"/>
          <w:b/>
          <w:sz w:val="24"/>
        </w:rPr>
      </w:pPr>
      <w:r>
        <w:rPr>
          <w:rFonts w:hint="eastAsia" w:ascii="宋体" w:hAnsi="宋体"/>
          <w:b/>
          <w:sz w:val="24"/>
        </w:rPr>
        <w:t>17.投标文件的密封和标记</w:t>
      </w:r>
    </w:p>
    <w:p>
      <w:pPr>
        <w:spacing w:line="360" w:lineRule="auto"/>
        <w:ind w:firstLine="480" w:firstLineChars="200"/>
        <w:rPr>
          <w:rFonts w:ascii="宋体" w:hAnsi="宋体"/>
          <w:sz w:val="24"/>
        </w:rPr>
      </w:pPr>
      <w:r>
        <w:rPr>
          <w:rFonts w:hint="eastAsia" w:ascii="宋体" w:hAnsi="宋体"/>
          <w:sz w:val="24"/>
        </w:rPr>
        <w:t>17.1电子投标文件做好标示并封装在信封中。封口处加盖投标人公章，封皮上注明项目编号、项目名称、投标人名称，并注明“电子投标文件”字样。</w:t>
      </w:r>
    </w:p>
    <w:p>
      <w:pPr>
        <w:spacing w:line="360" w:lineRule="auto"/>
        <w:ind w:firstLine="480" w:firstLineChars="200"/>
        <w:rPr>
          <w:rFonts w:ascii="宋体" w:hAnsi="宋体"/>
          <w:sz w:val="24"/>
        </w:rPr>
      </w:pPr>
      <w:r>
        <w:rPr>
          <w:rFonts w:hint="eastAsia" w:ascii="宋体" w:hAnsi="宋体"/>
          <w:sz w:val="24"/>
        </w:rPr>
        <w:t>17.2如果投标人未按上述要求密封及加写标记，采购代理机构对投标文件的误投和提前启封概不负责。对由此造成提前开封的投标文件，采购代理机构有权予以拒绝，并退回投标人。</w:t>
      </w:r>
    </w:p>
    <w:p>
      <w:pPr>
        <w:spacing w:line="360" w:lineRule="auto"/>
        <w:ind w:firstLine="480" w:firstLineChars="200"/>
        <w:rPr>
          <w:rFonts w:ascii="宋体" w:hAnsi="宋体"/>
          <w:sz w:val="24"/>
        </w:rPr>
      </w:pPr>
      <w:r>
        <w:rPr>
          <w:rFonts w:hint="eastAsia" w:ascii="宋体" w:hAnsi="宋体"/>
          <w:sz w:val="24"/>
        </w:rPr>
        <w:t>17.3投标人投标所需资料原件以及认为有必要提交的其他材料应单独放于档案袋中并于投标截止时间前一并提交。未按招标文件要求提供资料原件及有关材料的，因此造成的不利后果由投标人自行承担。</w:t>
      </w:r>
    </w:p>
    <w:p>
      <w:pPr>
        <w:spacing w:line="360" w:lineRule="auto"/>
        <w:rPr>
          <w:rFonts w:ascii="宋体" w:hAnsi="宋体"/>
          <w:b/>
          <w:sz w:val="24"/>
        </w:rPr>
      </w:pPr>
      <w:r>
        <w:rPr>
          <w:rFonts w:hint="eastAsia" w:ascii="宋体" w:hAnsi="宋体"/>
          <w:b/>
          <w:sz w:val="24"/>
        </w:rPr>
        <w:t>18.投标文件的递交</w:t>
      </w:r>
    </w:p>
    <w:p>
      <w:pPr>
        <w:spacing w:line="360" w:lineRule="auto"/>
        <w:ind w:firstLine="480" w:firstLineChars="200"/>
        <w:rPr>
          <w:rFonts w:ascii="宋体" w:hAnsi="宋体"/>
          <w:sz w:val="24"/>
        </w:rPr>
      </w:pPr>
      <w:r>
        <w:rPr>
          <w:rFonts w:hint="eastAsia" w:ascii="宋体" w:hAnsi="宋体"/>
          <w:sz w:val="24"/>
        </w:rPr>
        <w:t>18.1投标人应当在投标截止时间前将投标文件送达指定开标地点。招标文件要求的和投标人认为有必要提交的其他材料请于投标截止时间前一并提交。逾期未送达提交的，采购代理机构将拒绝接收，因此造成的不利后果由投标人自行承担。</w:t>
      </w:r>
    </w:p>
    <w:p>
      <w:pPr>
        <w:spacing w:line="360" w:lineRule="auto"/>
        <w:ind w:firstLine="480" w:firstLineChars="200"/>
        <w:rPr>
          <w:rFonts w:ascii="宋体" w:hAnsi="宋体"/>
          <w:sz w:val="24"/>
        </w:rPr>
      </w:pPr>
      <w:r>
        <w:rPr>
          <w:rFonts w:hint="eastAsia" w:ascii="宋体" w:hAnsi="宋体"/>
          <w:sz w:val="24"/>
        </w:rPr>
        <w:t>18.2本项目</w:t>
      </w:r>
      <w:r>
        <w:rPr>
          <w:rFonts w:hint="eastAsia" w:ascii="宋体" w:hAnsi="宋体"/>
          <w:kern w:val="0"/>
          <w:sz w:val="24"/>
        </w:rPr>
        <w:t>是否需要提交样品</w:t>
      </w:r>
      <w:r>
        <w:rPr>
          <w:rFonts w:hint="eastAsia" w:ascii="宋体" w:hAnsi="宋体"/>
          <w:sz w:val="24"/>
        </w:rPr>
        <w:t>按照招标文件第二部分“投标人须知前附表”中第33项的规定。如须提供，还需要遵守以下规定：</w:t>
      </w:r>
    </w:p>
    <w:p>
      <w:pPr>
        <w:spacing w:line="360" w:lineRule="auto"/>
        <w:ind w:firstLine="480" w:firstLineChars="200"/>
        <w:rPr>
          <w:rFonts w:ascii="宋体" w:hAnsi="宋体"/>
          <w:sz w:val="24"/>
        </w:rPr>
      </w:pPr>
      <w:r>
        <w:rPr>
          <w:rFonts w:hint="eastAsia" w:ascii="宋体" w:hAnsi="宋体"/>
          <w:sz w:val="24"/>
        </w:rPr>
        <w:t>1）投标人应当在送样截止时间前将所有样品送达送样地点并登记，逾期未送达的部分将拒绝接收。样品递交时间以投标人持样品到达送样地点并完成登记的时间为准。登记后，送达的样品可以进行组装，组装时间不受限制。</w:t>
      </w:r>
    </w:p>
    <w:p>
      <w:pPr>
        <w:spacing w:line="360" w:lineRule="auto"/>
        <w:ind w:firstLine="480" w:firstLineChars="200"/>
        <w:rPr>
          <w:rFonts w:ascii="宋体" w:hAnsi="宋体"/>
          <w:sz w:val="24"/>
        </w:rPr>
      </w:pPr>
      <w:r>
        <w:rPr>
          <w:rFonts w:hint="eastAsia" w:ascii="宋体" w:hAnsi="宋体"/>
          <w:sz w:val="24"/>
        </w:rPr>
        <w:t>2）送样截止时间前投标人可以对其递交的样品进行更换，但重新递交的样品必须在送样截止时间前送达并重新进行登记，否则将拒绝接收。</w:t>
      </w:r>
    </w:p>
    <w:p>
      <w:pPr>
        <w:spacing w:line="360" w:lineRule="auto"/>
        <w:ind w:firstLine="480" w:firstLineChars="200"/>
        <w:rPr>
          <w:rFonts w:ascii="宋体" w:hAnsi="宋体"/>
          <w:sz w:val="24"/>
        </w:rPr>
      </w:pPr>
      <w:r>
        <w:rPr>
          <w:rFonts w:hint="eastAsia" w:ascii="宋体" w:hAnsi="宋体"/>
          <w:sz w:val="24"/>
        </w:rPr>
        <w:t>3）评审过程中，投标人应听从工作人员安排，不得接近样品存放区域，不得干扰评审秩序。如有上述行为且不听从劝阻者，将导致其投标被拒绝。</w:t>
      </w:r>
    </w:p>
    <w:p>
      <w:pPr>
        <w:spacing w:line="360" w:lineRule="auto"/>
        <w:ind w:firstLine="480" w:firstLineChars="200"/>
        <w:rPr>
          <w:rFonts w:ascii="宋体" w:hAnsi="宋体"/>
          <w:sz w:val="24"/>
        </w:rPr>
      </w:pPr>
      <w:r>
        <w:rPr>
          <w:rFonts w:hint="eastAsia" w:ascii="宋体" w:hAnsi="宋体" w:cs="仿宋"/>
          <w:sz w:val="24"/>
        </w:rPr>
        <w:t>4）</w:t>
      </w:r>
      <w:r>
        <w:rPr>
          <w:rFonts w:hint="eastAsia" w:ascii="宋体" w:hAnsi="宋体"/>
          <w:sz w:val="24"/>
        </w:rPr>
        <w:t>中标人</w:t>
      </w:r>
      <w:r>
        <w:rPr>
          <w:rFonts w:hint="eastAsia" w:ascii="宋体" w:hAnsi="宋体" w:cs="宋体"/>
          <w:kern w:val="0"/>
          <w:sz w:val="24"/>
        </w:rPr>
        <w:t>的样品由采购人封存</w:t>
      </w:r>
      <w:r>
        <w:rPr>
          <w:rFonts w:hint="eastAsia" w:ascii="宋体" w:hAnsi="宋体"/>
          <w:sz w:val="24"/>
        </w:rPr>
        <w:t>作为履约验收的标准，所供货物不得低于样品质量；未中标的样品，在评标结束后请自行取回，当天未取回的，自行承担损坏、遗失等损失和责任。</w:t>
      </w:r>
    </w:p>
    <w:p>
      <w:pPr>
        <w:spacing w:line="360" w:lineRule="auto"/>
        <w:rPr>
          <w:rFonts w:ascii="宋体" w:hAnsi="宋体"/>
          <w:b/>
          <w:sz w:val="24"/>
        </w:rPr>
      </w:pPr>
      <w:r>
        <w:rPr>
          <w:rFonts w:hint="eastAsia" w:ascii="宋体" w:hAnsi="宋体"/>
          <w:b/>
          <w:sz w:val="24"/>
        </w:rPr>
        <w:t>19.投标文件的修改和撤回</w:t>
      </w:r>
    </w:p>
    <w:p>
      <w:pPr>
        <w:spacing w:line="360" w:lineRule="auto"/>
        <w:ind w:firstLine="480" w:firstLineChars="200"/>
        <w:rPr>
          <w:rFonts w:ascii="宋体" w:hAnsi="宋体"/>
          <w:sz w:val="24"/>
        </w:rPr>
      </w:pPr>
      <w:r>
        <w:rPr>
          <w:rFonts w:hint="eastAsia" w:ascii="宋体" w:hAnsi="宋体"/>
          <w:sz w:val="24"/>
        </w:rPr>
        <w:t>19.1 投标人在递交投标文件后，可以修改或撤回其投标，但这种修改和撤回，必须在规定的投标截止时间前。在投标截止时间后，投标人不得要求修改或撤回其投标文件。</w:t>
      </w:r>
    </w:p>
    <w:p>
      <w:pPr>
        <w:pStyle w:val="4"/>
        <w:numPr>
          <w:ilvl w:val="0"/>
          <w:numId w:val="0"/>
        </w:numPr>
        <w:ind w:left="240"/>
        <w:rPr>
          <w:rFonts w:ascii="宋体" w:hAnsi="宋体"/>
          <w:b w:val="0"/>
          <w:sz w:val="24"/>
        </w:rPr>
      </w:pPr>
      <w:bookmarkStart w:id="22" w:name="_Toc3932"/>
      <w:bookmarkStart w:id="23" w:name="_Toc33212761"/>
      <w:bookmarkStart w:id="24" w:name="_Toc33194707"/>
      <w:r>
        <w:rPr>
          <w:rFonts w:hint="eastAsia" w:ascii="宋体" w:hAnsi="宋体"/>
          <w:b w:val="0"/>
          <w:sz w:val="24"/>
        </w:rPr>
        <w:t>六、开标</w:t>
      </w:r>
      <w:bookmarkEnd w:id="22"/>
      <w:bookmarkEnd w:id="23"/>
      <w:bookmarkEnd w:id="24"/>
    </w:p>
    <w:p>
      <w:pPr>
        <w:spacing w:line="360" w:lineRule="auto"/>
        <w:rPr>
          <w:rFonts w:ascii="宋体" w:hAnsi="宋体"/>
          <w:b/>
          <w:sz w:val="24"/>
        </w:rPr>
      </w:pPr>
      <w:r>
        <w:rPr>
          <w:rFonts w:hint="eastAsia" w:ascii="宋体" w:hAnsi="宋体"/>
          <w:b/>
          <w:sz w:val="24"/>
        </w:rPr>
        <w:t>20.开标</w:t>
      </w:r>
    </w:p>
    <w:p>
      <w:pPr>
        <w:spacing w:line="360" w:lineRule="auto"/>
        <w:ind w:firstLine="480" w:firstLineChars="200"/>
        <w:rPr>
          <w:rFonts w:ascii="宋体" w:hAnsi="宋体"/>
          <w:sz w:val="24"/>
        </w:rPr>
      </w:pPr>
      <w:r>
        <w:rPr>
          <w:rFonts w:hint="eastAsia" w:ascii="宋体" w:hAnsi="宋体"/>
          <w:sz w:val="24"/>
        </w:rPr>
        <w:t>20.1采购代理机构按照招标文件规定的时间、地点主持开标。投标人法定代表人或授权代理人应携带身份证及授权委托书参加开标并签到。</w:t>
      </w:r>
    </w:p>
    <w:p>
      <w:pPr>
        <w:spacing w:line="360" w:lineRule="auto"/>
        <w:ind w:firstLine="480" w:firstLineChars="200"/>
        <w:rPr>
          <w:rFonts w:ascii="宋体" w:hAnsi="宋体"/>
          <w:sz w:val="24"/>
        </w:rPr>
      </w:pPr>
      <w:r>
        <w:rPr>
          <w:rFonts w:hint="eastAsia" w:ascii="宋体" w:hAnsi="宋体"/>
          <w:sz w:val="24"/>
        </w:rPr>
        <w:t>20.2开标前，采购代理机构将会同监督人员或公证人员进行验标（检查电子投标文件和投标文件密封情况，检查投标人报名及保证金交纳情况），确认无误后开标。</w:t>
      </w:r>
    </w:p>
    <w:p>
      <w:pPr>
        <w:spacing w:line="360" w:lineRule="auto"/>
        <w:ind w:firstLine="480" w:firstLineChars="200"/>
        <w:rPr>
          <w:rFonts w:ascii="宋体" w:hAnsi="宋体"/>
          <w:sz w:val="24"/>
        </w:rPr>
      </w:pPr>
      <w:r>
        <w:rPr>
          <w:rFonts w:hint="eastAsia" w:ascii="宋体" w:hAnsi="宋体"/>
          <w:sz w:val="24"/>
        </w:rPr>
        <w:t>20.3开标时，采购代理机构将公布投标人名称、投标价格，以及采购代理机构认为合适的其它内容。投标人若有报价和优惠未被唱出，应在开标时及时声明或提请注意，否则采购代理机构对此不承担任何责任。</w:t>
      </w:r>
    </w:p>
    <w:p>
      <w:pPr>
        <w:spacing w:line="360" w:lineRule="auto"/>
        <w:ind w:firstLine="480" w:firstLineChars="200"/>
        <w:rPr>
          <w:rFonts w:ascii="宋体" w:hAnsi="宋体"/>
          <w:sz w:val="24"/>
        </w:rPr>
      </w:pPr>
      <w:r>
        <w:rPr>
          <w:rFonts w:hint="eastAsia" w:ascii="宋体" w:hAnsi="宋体"/>
          <w:sz w:val="24"/>
        </w:rPr>
        <w:t>20.4在评审结束前，未得到采购代理机构允许，投标人法定代表人或授权代理人不得离开开标现场。</w:t>
      </w:r>
    </w:p>
    <w:p>
      <w:pPr>
        <w:spacing w:line="360" w:lineRule="auto"/>
        <w:ind w:firstLine="480" w:firstLineChars="200"/>
        <w:rPr>
          <w:rFonts w:ascii="宋体" w:hAnsi="宋体"/>
          <w:sz w:val="24"/>
        </w:rPr>
      </w:pPr>
      <w:r>
        <w:rPr>
          <w:rFonts w:hint="eastAsia" w:ascii="宋体" w:hAnsi="宋体"/>
          <w:sz w:val="24"/>
        </w:rPr>
        <w:t>20.5监督员对开标过程进行全程公证。</w:t>
      </w:r>
    </w:p>
    <w:p>
      <w:pPr>
        <w:pStyle w:val="4"/>
        <w:numPr>
          <w:ilvl w:val="0"/>
          <w:numId w:val="0"/>
        </w:numPr>
        <w:ind w:left="240"/>
        <w:rPr>
          <w:rFonts w:ascii="宋体" w:hAnsi="宋体"/>
          <w:b w:val="0"/>
          <w:sz w:val="24"/>
        </w:rPr>
      </w:pPr>
      <w:bookmarkStart w:id="25" w:name="_Toc33194708"/>
      <w:bookmarkStart w:id="26" w:name="_Toc17388"/>
      <w:bookmarkStart w:id="27" w:name="_Toc33212762"/>
      <w:r>
        <w:rPr>
          <w:rFonts w:hint="eastAsia" w:ascii="宋体" w:hAnsi="宋体"/>
          <w:b w:val="0"/>
          <w:sz w:val="24"/>
        </w:rPr>
        <w:t>七、评标步骤和要求</w:t>
      </w:r>
      <w:bookmarkEnd w:id="25"/>
      <w:bookmarkEnd w:id="26"/>
      <w:bookmarkEnd w:id="27"/>
    </w:p>
    <w:p>
      <w:pPr>
        <w:spacing w:line="360" w:lineRule="auto"/>
        <w:rPr>
          <w:rFonts w:ascii="宋体" w:hAnsi="宋体"/>
          <w:b/>
          <w:sz w:val="24"/>
        </w:rPr>
      </w:pPr>
      <w:r>
        <w:rPr>
          <w:rFonts w:hint="eastAsia" w:ascii="宋体" w:hAnsi="宋体"/>
          <w:b/>
          <w:sz w:val="24"/>
        </w:rPr>
        <w:t>21.组建评标委员会</w:t>
      </w:r>
    </w:p>
    <w:p>
      <w:pPr>
        <w:spacing w:line="360" w:lineRule="auto"/>
        <w:ind w:firstLine="480" w:firstLineChars="200"/>
        <w:rPr>
          <w:rFonts w:ascii="宋体" w:hAnsi="宋体"/>
          <w:sz w:val="24"/>
        </w:rPr>
      </w:pPr>
      <w:r>
        <w:rPr>
          <w:rFonts w:hint="eastAsia" w:ascii="宋体" w:hAnsi="宋体"/>
          <w:sz w:val="24"/>
        </w:rPr>
        <w:t>21.1采购代理机构根据有关法律法规和本招标文件的规定，结合项目特点组建评标委员会，对投标文件进行评估和比较。评标委员会由五人以上单数组成，其中经济、技术等方面的专家不少于三分之二。</w:t>
      </w:r>
    </w:p>
    <w:p>
      <w:pPr>
        <w:spacing w:line="360" w:lineRule="auto"/>
        <w:ind w:firstLine="480" w:firstLineChars="200"/>
        <w:rPr>
          <w:rFonts w:ascii="宋体" w:hAnsi="宋体"/>
          <w:sz w:val="24"/>
        </w:rPr>
      </w:pPr>
      <w:r>
        <w:rPr>
          <w:rFonts w:hint="eastAsia" w:ascii="宋体" w:hAnsi="宋体"/>
          <w:sz w:val="24"/>
        </w:rPr>
        <w:t>21.2参与过本项目的论证专家不得作为评标专家参加评标，采购人不得以专家身份参与评标。</w:t>
      </w:r>
    </w:p>
    <w:p>
      <w:pPr>
        <w:spacing w:line="360" w:lineRule="auto"/>
        <w:ind w:firstLine="480" w:firstLineChars="200"/>
        <w:rPr>
          <w:rFonts w:ascii="宋体" w:hAnsi="宋体"/>
          <w:sz w:val="24"/>
        </w:rPr>
      </w:pPr>
      <w:r>
        <w:rPr>
          <w:rFonts w:hint="eastAsia" w:ascii="宋体" w:hAnsi="宋体"/>
          <w:sz w:val="24"/>
        </w:rPr>
        <w:t>21.3评标委员会应当执行连续评标的原则完成全部评标工作。发生评标暂停情况时，评标委员会应当封存全部投标文件和评标记录，待具备继续评标的条件时，由原评标委员会继续评标。</w:t>
      </w:r>
    </w:p>
    <w:p>
      <w:pPr>
        <w:spacing w:line="360" w:lineRule="auto"/>
        <w:rPr>
          <w:rFonts w:ascii="宋体" w:hAnsi="宋体" w:cs="宋体"/>
          <w:b/>
          <w:bCs/>
          <w:color w:val="000000"/>
          <w:sz w:val="24"/>
        </w:rPr>
      </w:pPr>
      <w:r>
        <w:rPr>
          <w:rFonts w:hint="eastAsia" w:ascii="宋体" w:hAnsi="宋体" w:cs="宋体"/>
          <w:b/>
          <w:bCs/>
          <w:color w:val="000000"/>
          <w:sz w:val="24"/>
        </w:rPr>
        <w:t>22、资格审查</w:t>
      </w:r>
    </w:p>
    <w:p>
      <w:pPr>
        <w:spacing w:line="360" w:lineRule="auto"/>
        <w:ind w:firstLine="480" w:firstLineChars="200"/>
        <w:rPr>
          <w:rFonts w:ascii="宋体" w:hAnsi="宋体"/>
          <w:sz w:val="24"/>
        </w:rPr>
      </w:pPr>
      <w:r>
        <w:rPr>
          <w:rFonts w:hint="eastAsia" w:ascii="宋体" w:hAnsi="宋体" w:cs="宋体"/>
          <w:color w:val="000000"/>
          <w:sz w:val="24"/>
        </w:rPr>
        <w:t>22.1公开招标采购项目开标结束后，采购人或者采购代理机构应当依法对投标人的资格进行审查。合格投标人不足3家的，不得评标。</w:t>
      </w:r>
    </w:p>
    <w:p>
      <w:pPr>
        <w:spacing w:line="360" w:lineRule="auto"/>
        <w:rPr>
          <w:rFonts w:ascii="宋体" w:hAnsi="宋体"/>
          <w:b/>
          <w:sz w:val="24"/>
        </w:rPr>
      </w:pPr>
      <w:r>
        <w:rPr>
          <w:rFonts w:hint="eastAsia" w:ascii="宋体" w:hAnsi="宋体"/>
          <w:b/>
          <w:sz w:val="24"/>
        </w:rPr>
        <w:t>23.初步评审</w:t>
      </w:r>
    </w:p>
    <w:p>
      <w:pPr>
        <w:spacing w:line="360" w:lineRule="auto"/>
        <w:ind w:firstLine="480" w:firstLineChars="200"/>
        <w:rPr>
          <w:rFonts w:ascii="宋体" w:hAnsi="宋体"/>
          <w:sz w:val="24"/>
        </w:rPr>
      </w:pPr>
      <w:r>
        <w:rPr>
          <w:rFonts w:hint="eastAsia" w:ascii="宋体" w:hAnsi="宋体"/>
          <w:sz w:val="24"/>
        </w:rPr>
        <w:t>23.1评标委员会审查投标文件是否满足招标文件全部实质性要求，有无重大偏离或保留。投标文件如有下列任意一款情形的，将按无效投标处理。</w:t>
      </w:r>
    </w:p>
    <w:p>
      <w:pPr>
        <w:spacing w:line="360" w:lineRule="auto"/>
        <w:ind w:firstLine="472" w:firstLineChars="196"/>
        <w:rPr>
          <w:rFonts w:ascii="宋体" w:hAnsi="宋体"/>
          <w:b/>
          <w:sz w:val="24"/>
        </w:rPr>
      </w:pPr>
      <w:r>
        <w:rPr>
          <w:rFonts w:hint="eastAsia" w:ascii="宋体" w:hAnsi="宋体"/>
          <w:b/>
          <w:sz w:val="24"/>
        </w:rPr>
        <w:t>A、投标人与营业执照名称不相符的；</w:t>
      </w:r>
    </w:p>
    <w:p>
      <w:pPr>
        <w:spacing w:line="360" w:lineRule="auto"/>
        <w:ind w:firstLine="472" w:firstLineChars="196"/>
        <w:rPr>
          <w:rFonts w:ascii="宋体" w:hAnsi="宋体"/>
          <w:b/>
          <w:sz w:val="24"/>
        </w:rPr>
      </w:pPr>
      <w:r>
        <w:rPr>
          <w:rFonts w:hint="eastAsia" w:ascii="宋体" w:hAnsi="宋体"/>
          <w:b/>
          <w:sz w:val="24"/>
        </w:rPr>
        <w:t>B、投标文件未按招标文件的规定签章的；</w:t>
      </w:r>
    </w:p>
    <w:p>
      <w:pPr>
        <w:spacing w:line="360" w:lineRule="auto"/>
        <w:ind w:firstLine="472" w:firstLineChars="196"/>
        <w:rPr>
          <w:rFonts w:ascii="宋体" w:hAnsi="宋体"/>
          <w:b/>
          <w:sz w:val="24"/>
        </w:rPr>
      </w:pPr>
      <w:r>
        <w:rPr>
          <w:rFonts w:hint="eastAsia" w:ascii="宋体" w:hAnsi="宋体"/>
          <w:b/>
          <w:sz w:val="24"/>
        </w:rPr>
        <w:t>C、未按投标文件份数要求提交投标文件的；</w:t>
      </w:r>
    </w:p>
    <w:p>
      <w:pPr>
        <w:spacing w:line="360" w:lineRule="auto"/>
        <w:ind w:firstLine="472" w:firstLineChars="196"/>
        <w:rPr>
          <w:rFonts w:ascii="宋体" w:hAnsi="宋体"/>
          <w:b/>
          <w:sz w:val="24"/>
        </w:rPr>
      </w:pPr>
      <w:r>
        <w:rPr>
          <w:rFonts w:hint="eastAsia" w:ascii="宋体" w:hAnsi="宋体"/>
          <w:b/>
          <w:sz w:val="24"/>
        </w:rPr>
        <w:t>D、报价超过项目预算或经评标委员会认定低于成本的；</w:t>
      </w:r>
    </w:p>
    <w:p>
      <w:pPr>
        <w:spacing w:line="360" w:lineRule="auto"/>
        <w:ind w:firstLine="472" w:firstLineChars="196"/>
        <w:rPr>
          <w:rFonts w:ascii="宋体" w:hAnsi="宋体"/>
          <w:b/>
          <w:sz w:val="24"/>
        </w:rPr>
      </w:pPr>
      <w:r>
        <w:rPr>
          <w:rFonts w:hint="eastAsia" w:ascii="宋体" w:hAnsi="宋体"/>
          <w:b/>
          <w:sz w:val="24"/>
        </w:rPr>
        <w:t>E、投标有效期不足的；</w:t>
      </w:r>
    </w:p>
    <w:p>
      <w:pPr>
        <w:spacing w:line="360" w:lineRule="auto"/>
        <w:ind w:firstLine="472" w:firstLineChars="196"/>
        <w:rPr>
          <w:rFonts w:ascii="宋体" w:hAnsi="宋体"/>
          <w:b/>
          <w:sz w:val="24"/>
        </w:rPr>
      </w:pPr>
      <w:r>
        <w:rPr>
          <w:rFonts w:hint="eastAsia" w:ascii="宋体" w:hAnsi="宋体"/>
          <w:b/>
          <w:sz w:val="24"/>
        </w:rPr>
        <w:t>F、投标人递交的电子投标文件（未加密电子投标文件）均无法满足正常开标、评标使用功能的；</w:t>
      </w:r>
    </w:p>
    <w:p>
      <w:pPr>
        <w:spacing w:line="360" w:lineRule="auto"/>
        <w:ind w:firstLine="472" w:firstLineChars="196"/>
        <w:rPr>
          <w:rFonts w:ascii="宋体" w:hAnsi="宋体"/>
          <w:b/>
          <w:sz w:val="24"/>
        </w:rPr>
      </w:pPr>
      <w:r>
        <w:rPr>
          <w:rFonts w:hint="eastAsia" w:ascii="宋体" w:hAnsi="宋体"/>
          <w:b/>
          <w:sz w:val="24"/>
        </w:rPr>
        <w:t>G、有串通投标或弄虚作假或其他违法行为的，其中在采购活动中存在串通投标行为的供应商，不得参加该项目重新开展的采购活动；</w:t>
      </w:r>
    </w:p>
    <w:p>
      <w:pPr>
        <w:spacing w:line="360" w:lineRule="auto"/>
        <w:ind w:firstLine="472" w:firstLineChars="196"/>
        <w:rPr>
          <w:rFonts w:ascii="宋体" w:hAnsi="宋体"/>
          <w:b/>
          <w:sz w:val="24"/>
        </w:rPr>
      </w:pPr>
      <w:r>
        <w:rPr>
          <w:rFonts w:hint="eastAsia" w:ascii="宋体" w:hAnsi="宋体"/>
          <w:b/>
          <w:sz w:val="24"/>
          <w:lang w:val="en-US" w:eastAsia="zh-CN"/>
        </w:rPr>
        <w:t>H</w:t>
      </w:r>
      <w:r>
        <w:rPr>
          <w:rFonts w:hint="eastAsia" w:ascii="宋体" w:hAnsi="宋体"/>
          <w:b/>
          <w:sz w:val="24"/>
        </w:rPr>
        <w:t>、不符合招标文件中有关分包规定的；</w:t>
      </w:r>
    </w:p>
    <w:p>
      <w:pPr>
        <w:spacing w:line="360" w:lineRule="auto"/>
        <w:ind w:firstLine="472" w:firstLineChars="196"/>
        <w:rPr>
          <w:rFonts w:ascii="宋体" w:hAnsi="宋体"/>
          <w:sz w:val="24"/>
        </w:rPr>
      </w:pPr>
      <w:r>
        <w:rPr>
          <w:rFonts w:hint="eastAsia" w:ascii="宋体" w:hAnsi="宋体"/>
          <w:b/>
          <w:sz w:val="24"/>
          <w:lang w:val="en-US" w:eastAsia="zh-CN"/>
        </w:rPr>
        <w:t>J</w:t>
      </w:r>
      <w:r>
        <w:rPr>
          <w:rFonts w:hint="eastAsia" w:ascii="宋体" w:hAnsi="宋体"/>
          <w:b/>
          <w:sz w:val="24"/>
        </w:rPr>
        <w:t>、不符合法律、法规规定的其他情形或招标文件中规定的其他实质性要求。</w:t>
      </w:r>
    </w:p>
    <w:p>
      <w:pPr>
        <w:spacing w:line="360" w:lineRule="auto"/>
        <w:ind w:firstLine="480" w:firstLineChars="200"/>
        <w:rPr>
          <w:rFonts w:ascii="宋体" w:hAnsi="宋体"/>
          <w:sz w:val="24"/>
        </w:rPr>
      </w:pPr>
      <w:r>
        <w:rPr>
          <w:rFonts w:hint="eastAsia" w:ascii="宋体" w:hAnsi="宋体"/>
          <w:sz w:val="24"/>
        </w:rPr>
        <w:t>23.2投标文件的细微偏差是指投标文件满足招标文件全部实质性要求，但在其他要求方面存在漏项或者提供了不完整的技术信息和数据等情况，并且补正这些遗漏或者不完整，不会对其他投标人造成不公正的结果。细微偏差不影响投标文件的有效性。</w:t>
      </w:r>
    </w:p>
    <w:p>
      <w:pPr>
        <w:spacing w:line="360" w:lineRule="auto"/>
        <w:ind w:firstLine="480" w:firstLineChars="200"/>
        <w:rPr>
          <w:rFonts w:ascii="宋体" w:hAnsi="宋体"/>
          <w:sz w:val="24"/>
        </w:rPr>
      </w:pPr>
      <w:r>
        <w:rPr>
          <w:rFonts w:hint="eastAsia" w:ascii="宋体" w:hAnsi="宋体"/>
          <w:sz w:val="24"/>
        </w:rPr>
        <w:t>23.3初步评审中，对明显的文字和计算错误按下述原则处理，若出现相互矛盾之处，应以排列在先的原则为准优先处理：</w:t>
      </w:r>
    </w:p>
    <w:p>
      <w:pPr>
        <w:spacing w:line="360" w:lineRule="auto"/>
        <w:ind w:firstLine="470" w:firstLineChars="196"/>
        <w:rPr>
          <w:rFonts w:ascii="宋体" w:hAnsi="宋体"/>
          <w:sz w:val="24"/>
        </w:rPr>
      </w:pPr>
      <w:r>
        <w:rPr>
          <w:rFonts w:hint="eastAsia" w:ascii="宋体" w:hAnsi="宋体"/>
          <w:sz w:val="24"/>
        </w:rPr>
        <w:t>1）投标文件中的开标一览表与报价分析表内容不一致的，以开标一览表为准。</w:t>
      </w:r>
    </w:p>
    <w:p>
      <w:pPr>
        <w:spacing w:line="360" w:lineRule="auto"/>
        <w:ind w:firstLine="480" w:firstLineChars="200"/>
        <w:rPr>
          <w:rFonts w:ascii="宋体" w:hAnsi="宋体"/>
          <w:sz w:val="24"/>
        </w:rPr>
      </w:pPr>
      <w:r>
        <w:rPr>
          <w:rFonts w:hint="eastAsia" w:ascii="宋体" w:hAnsi="宋体"/>
          <w:sz w:val="24"/>
        </w:rPr>
        <w:t>2）如果以文字表示的数据与数字表示的有差别，以文字为准修正数字。如果大写金额和小写金额不一致，以大写金额为准。</w:t>
      </w:r>
    </w:p>
    <w:p>
      <w:pPr>
        <w:spacing w:line="360" w:lineRule="auto"/>
        <w:ind w:firstLine="480" w:firstLineChars="200"/>
        <w:rPr>
          <w:rFonts w:ascii="宋体" w:hAnsi="宋体"/>
          <w:sz w:val="24"/>
        </w:rPr>
      </w:pPr>
      <w:r>
        <w:rPr>
          <w:rFonts w:hint="eastAsia" w:ascii="宋体" w:hAnsi="宋体"/>
          <w:sz w:val="24"/>
        </w:rPr>
        <w:t>3）如果单价乘以数量不等于总价，以单价为准修正总价，但单价金额小数点有明显错位的，应以总价为准，并修改单价。如果明细价格相加不等于汇总价格，以明细价格为准。</w:t>
      </w:r>
    </w:p>
    <w:p>
      <w:pPr>
        <w:spacing w:line="360" w:lineRule="auto"/>
        <w:ind w:firstLine="480" w:firstLineChars="200"/>
        <w:rPr>
          <w:rFonts w:ascii="宋体" w:hAnsi="宋体"/>
          <w:sz w:val="24"/>
        </w:rPr>
      </w:pPr>
      <w:r>
        <w:rPr>
          <w:rFonts w:hint="eastAsia" w:ascii="宋体" w:hAnsi="宋体"/>
          <w:sz w:val="24"/>
        </w:rPr>
        <w:t>4）调整后的数据对投标人具有约束力，投标人不同意以上修正，其投标将被拒绝。</w:t>
      </w:r>
    </w:p>
    <w:p>
      <w:pPr>
        <w:spacing w:line="360" w:lineRule="auto"/>
        <w:ind w:firstLine="480" w:firstLineChars="200"/>
        <w:rPr>
          <w:rFonts w:ascii="宋体" w:hAnsi="宋体"/>
          <w:sz w:val="24"/>
        </w:rPr>
      </w:pPr>
      <w:r>
        <w:rPr>
          <w:rFonts w:hint="eastAsia" w:ascii="宋体" w:hAnsi="宋体"/>
          <w:sz w:val="24"/>
        </w:rPr>
        <w:t>23.4评标委员会对投标文件的判定，只依据投标文件内容本身，不依据其他外来证明。</w:t>
      </w:r>
    </w:p>
    <w:p>
      <w:pPr>
        <w:spacing w:line="360" w:lineRule="auto"/>
        <w:rPr>
          <w:rFonts w:ascii="宋体" w:hAnsi="宋体"/>
          <w:b/>
          <w:sz w:val="24"/>
        </w:rPr>
      </w:pPr>
      <w:r>
        <w:rPr>
          <w:rFonts w:hint="eastAsia" w:ascii="宋体" w:hAnsi="宋体"/>
          <w:b/>
          <w:sz w:val="24"/>
        </w:rPr>
        <w:t>24.投标的澄清</w:t>
      </w:r>
    </w:p>
    <w:p>
      <w:pPr>
        <w:spacing w:line="360" w:lineRule="auto"/>
        <w:ind w:firstLine="480" w:firstLineChars="200"/>
        <w:rPr>
          <w:rFonts w:ascii="宋体" w:hAnsi="宋体"/>
          <w:sz w:val="24"/>
        </w:rPr>
      </w:pPr>
      <w:r>
        <w:rPr>
          <w:rFonts w:hint="eastAsia" w:ascii="宋体" w:hAnsi="宋体"/>
          <w:sz w:val="24"/>
        </w:rPr>
        <w:t>24.1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spacing w:line="360" w:lineRule="auto"/>
        <w:ind w:firstLine="480" w:firstLineChars="200"/>
        <w:rPr>
          <w:rFonts w:ascii="宋体" w:hAnsi="宋体"/>
          <w:sz w:val="24"/>
        </w:rPr>
      </w:pPr>
      <w:r>
        <w:rPr>
          <w:rFonts w:hint="eastAsia" w:ascii="宋体" w:hAnsi="宋体"/>
          <w:sz w:val="24"/>
        </w:rPr>
        <w:t>24.2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spacing w:line="360" w:lineRule="auto"/>
        <w:ind w:firstLine="480" w:firstLineChars="200"/>
        <w:rPr>
          <w:rFonts w:ascii="宋体" w:hAnsi="宋体"/>
          <w:sz w:val="24"/>
        </w:rPr>
      </w:pPr>
      <w:r>
        <w:rPr>
          <w:rFonts w:hint="eastAsia" w:ascii="宋体" w:hAnsi="宋体"/>
          <w:sz w:val="24"/>
        </w:rPr>
        <w:t>24.3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spacing w:line="360" w:lineRule="auto"/>
        <w:ind w:firstLine="480" w:firstLineChars="200"/>
        <w:rPr>
          <w:rFonts w:ascii="宋体" w:hAnsi="宋体"/>
          <w:sz w:val="24"/>
        </w:rPr>
      </w:pPr>
      <w:r>
        <w:rPr>
          <w:rFonts w:hint="eastAsia" w:ascii="宋体" w:hAnsi="宋体"/>
          <w:sz w:val="24"/>
        </w:rPr>
        <w:t>24.4 公开招标采购项目开标结束后，采购人或者采购代理机构应当依法对投标人的资格进行审查。合格投标人不足3家的，不得评标。</w:t>
      </w:r>
    </w:p>
    <w:p>
      <w:pPr>
        <w:spacing w:line="360" w:lineRule="auto"/>
        <w:rPr>
          <w:rFonts w:ascii="宋体" w:hAnsi="宋体"/>
          <w:b/>
          <w:sz w:val="24"/>
        </w:rPr>
      </w:pPr>
      <w:r>
        <w:rPr>
          <w:rFonts w:hint="eastAsia" w:ascii="宋体" w:hAnsi="宋体"/>
          <w:b/>
          <w:sz w:val="24"/>
        </w:rPr>
        <w:t>25.详细评审</w:t>
      </w:r>
    </w:p>
    <w:p>
      <w:pPr>
        <w:spacing w:line="360" w:lineRule="auto"/>
        <w:ind w:firstLine="480" w:firstLineChars="200"/>
        <w:rPr>
          <w:rFonts w:ascii="宋体" w:hAnsi="宋体"/>
          <w:sz w:val="24"/>
        </w:rPr>
      </w:pPr>
      <w:r>
        <w:rPr>
          <w:rFonts w:hint="eastAsia" w:ascii="宋体" w:hAnsi="宋体"/>
          <w:sz w:val="24"/>
        </w:rPr>
        <w:t>25.1评标委员会只对满足招标文件全部实质性要求的投标进行评价和比较；评审将严格按照招标文件第二部分“投标人须知前附表”中第19项规定以及招标文件第五部分“评审方法”的要求进行。</w:t>
      </w:r>
    </w:p>
    <w:p>
      <w:pPr>
        <w:spacing w:line="360" w:lineRule="auto"/>
        <w:ind w:firstLine="480" w:firstLineChars="200"/>
        <w:rPr>
          <w:rFonts w:ascii="宋体" w:hAnsi="宋体"/>
          <w:sz w:val="24"/>
        </w:rPr>
      </w:pPr>
      <w:r>
        <w:rPr>
          <w:rFonts w:hint="eastAsia" w:ascii="宋体" w:hAnsi="宋体"/>
          <w:sz w:val="24"/>
        </w:rPr>
        <w:t>25.2评标委员会依法独立评审，严格遵守评审工作纪律。对需要共同认定的事项存在争议的，由评标委员会全体成员按照少数服从多数的原则，以记名投票方式表决并作出评审结论。持不同意见的评标委员会成员应当在评标报告上签署不同意见并说明理由，不签署不同意见的视为同意。</w:t>
      </w:r>
    </w:p>
    <w:p>
      <w:pPr>
        <w:spacing w:line="360" w:lineRule="auto"/>
        <w:ind w:firstLine="480" w:firstLineChars="200"/>
        <w:rPr>
          <w:rFonts w:ascii="宋体" w:hAnsi="宋体"/>
          <w:sz w:val="24"/>
        </w:rPr>
      </w:pPr>
      <w:r>
        <w:rPr>
          <w:rFonts w:hint="eastAsia" w:ascii="宋体" w:hAnsi="宋体"/>
          <w:sz w:val="24"/>
        </w:rPr>
        <w:t>25.3</w:t>
      </w:r>
      <w:r>
        <w:rPr>
          <w:rFonts w:hint="eastAsia" w:ascii="宋体" w:hAnsi="宋体"/>
          <w:kern w:val="0"/>
          <w:sz w:val="24"/>
        </w:rPr>
        <w:t>节能、环保政策执行</w:t>
      </w:r>
      <w:r>
        <w:rPr>
          <w:rFonts w:hint="eastAsia" w:ascii="宋体" w:hAnsi="宋体"/>
          <w:sz w:val="24"/>
        </w:rPr>
        <w:t>以及中小微型企业有关政策分别按照招标文件第二部分“投标人须知前附表”中第17项、第18项规定。评标委员会认定环保产品、节能产品和小、微型企业、监狱企业及相应产品报价后，投标人相应产品政策计算公式如下：</w:t>
      </w:r>
    </w:p>
    <w:p>
      <w:pPr>
        <w:spacing w:line="360" w:lineRule="auto"/>
        <w:ind w:firstLine="480" w:firstLineChars="200"/>
        <w:rPr>
          <w:rFonts w:ascii="宋体" w:hAnsi="宋体"/>
          <w:sz w:val="24"/>
        </w:rPr>
      </w:pPr>
      <w:r>
        <w:rPr>
          <w:rFonts w:hint="eastAsia" w:ascii="宋体" w:hAnsi="宋体"/>
          <w:sz w:val="24"/>
        </w:rPr>
        <w:t>1）产品价格扣除（以价格扣除后的投标人报价作为评审依据）</w:t>
      </w:r>
    </w:p>
    <w:p>
      <w:pPr>
        <w:spacing w:line="360" w:lineRule="auto"/>
        <w:ind w:firstLine="480" w:firstLineChars="200"/>
        <w:rPr>
          <w:rFonts w:ascii="宋体" w:hAnsi="宋体"/>
          <w:sz w:val="24"/>
        </w:rPr>
      </w:pPr>
      <w:r>
        <w:rPr>
          <w:rFonts w:hint="eastAsia" w:ascii="宋体" w:hAnsi="宋体"/>
          <w:sz w:val="24"/>
        </w:rPr>
        <w:t>小、微型企业产品和监狱企业产品价格扣除后的投标人报价=投标人总报价-小、微型企业产品报价*扣除幅度-监狱企业产品报价*扣除幅度。</w:t>
      </w:r>
    </w:p>
    <w:p>
      <w:pPr>
        <w:spacing w:line="360" w:lineRule="auto"/>
        <w:rPr>
          <w:rFonts w:ascii="宋体" w:hAnsi="宋体"/>
          <w:b/>
          <w:sz w:val="24"/>
        </w:rPr>
      </w:pPr>
      <w:r>
        <w:rPr>
          <w:rFonts w:hint="eastAsia" w:ascii="宋体" w:hAnsi="宋体"/>
          <w:b/>
          <w:sz w:val="24"/>
        </w:rPr>
        <w:t>26.确定中标人</w:t>
      </w:r>
    </w:p>
    <w:p>
      <w:pPr>
        <w:spacing w:line="360" w:lineRule="auto"/>
        <w:ind w:firstLine="480" w:firstLineChars="200"/>
        <w:rPr>
          <w:rFonts w:ascii="宋体" w:hAnsi="宋体"/>
          <w:sz w:val="24"/>
        </w:rPr>
      </w:pPr>
      <w:r>
        <w:rPr>
          <w:rFonts w:hint="eastAsia" w:ascii="宋体" w:hAnsi="宋体"/>
          <w:sz w:val="24"/>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80" w:firstLineChars="200"/>
        <w:rPr>
          <w:rFonts w:ascii="宋体" w:hAnsi="宋体"/>
          <w:sz w:val="24"/>
        </w:rPr>
      </w:pPr>
      <w:r>
        <w:rPr>
          <w:rFonts w:hint="eastAsia" w:ascii="宋体" w:hAnsi="宋体"/>
          <w:sz w:val="24"/>
        </w:rPr>
        <w:t>26.2评标委员会根据评审结果及招标文件的规定推荐中标候选人、确定中标人。</w:t>
      </w:r>
    </w:p>
    <w:p>
      <w:pPr>
        <w:spacing w:line="360" w:lineRule="auto"/>
        <w:rPr>
          <w:rFonts w:ascii="宋体" w:hAnsi="宋体"/>
          <w:b/>
          <w:sz w:val="24"/>
        </w:rPr>
      </w:pPr>
      <w:r>
        <w:rPr>
          <w:rFonts w:hint="eastAsia" w:ascii="宋体" w:hAnsi="宋体"/>
          <w:b/>
          <w:sz w:val="24"/>
        </w:rPr>
        <w:t>27.评标过程要求</w:t>
      </w:r>
    </w:p>
    <w:p>
      <w:pPr>
        <w:spacing w:line="360" w:lineRule="auto"/>
        <w:rPr>
          <w:rFonts w:ascii="宋体" w:hAnsi="宋体"/>
          <w:b/>
          <w:sz w:val="24"/>
        </w:rPr>
      </w:pPr>
      <w:r>
        <w:rPr>
          <w:rFonts w:hint="eastAsia" w:ascii="宋体" w:hAnsi="宋体"/>
          <w:sz w:val="24"/>
        </w:rPr>
        <w:t>27.1开标之后，直到签订合同止，凡是属于审查、澄清、评价和比较投标的有关资料以及定标意向等，均不向投标人或者其他与评标无关的人员透露。</w:t>
      </w:r>
    </w:p>
    <w:p>
      <w:pPr>
        <w:spacing w:line="360" w:lineRule="auto"/>
        <w:ind w:firstLine="480" w:firstLineChars="200"/>
        <w:rPr>
          <w:rFonts w:ascii="宋体" w:hAnsi="宋体"/>
          <w:sz w:val="24"/>
        </w:rPr>
      </w:pPr>
      <w:r>
        <w:rPr>
          <w:rFonts w:hint="eastAsia" w:ascii="宋体" w:hAnsi="宋体"/>
          <w:sz w:val="24"/>
        </w:rPr>
        <w:t>27.2在确定中标人之前，投标人试图在投标文件审查、澄清、比较和评标时对评标委员会、采购人和采购代理机构施加任何影响都可能导致其投标无效。</w:t>
      </w:r>
    </w:p>
    <w:p>
      <w:pPr>
        <w:spacing w:line="360" w:lineRule="auto"/>
        <w:rPr>
          <w:rFonts w:ascii="宋体" w:hAnsi="宋体"/>
          <w:b/>
          <w:sz w:val="24"/>
        </w:rPr>
      </w:pPr>
      <w:r>
        <w:rPr>
          <w:rFonts w:hint="eastAsia" w:ascii="宋体" w:hAnsi="宋体"/>
          <w:b/>
          <w:sz w:val="24"/>
        </w:rPr>
        <w:t>28.投标人瑕疵滞后发现的处理规则</w:t>
      </w:r>
    </w:p>
    <w:p>
      <w:pPr>
        <w:spacing w:line="360" w:lineRule="auto"/>
        <w:ind w:firstLine="480" w:firstLineChars="200"/>
        <w:rPr>
          <w:rFonts w:ascii="宋体" w:hAnsi="宋体"/>
          <w:sz w:val="24"/>
        </w:rPr>
      </w:pPr>
      <w:r>
        <w:rPr>
          <w:rFonts w:hint="eastAsia" w:ascii="宋体" w:hAnsi="宋体"/>
          <w:sz w:val="24"/>
        </w:rPr>
        <w:t>28.1无论基于何种原因，各项本应作拒绝或无效投标处理的情形即便未被及时发现而使该投标人进入初审、综合评审或其他后续程序，包括已经签订合同的情形，一旦该投标人被拒绝或此前评议结果被取消，其现有的位置将被其他投标人依序替代，相关的一切损失均由该投标人承担。</w:t>
      </w:r>
    </w:p>
    <w:p>
      <w:pPr>
        <w:spacing w:line="360" w:lineRule="auto"/>
        <w:rPr>
          <w:rFonts w:ascii="宋体" w:hAnsi="宋体"/>
          <w:b/>
          <w:sz w:val="24"/>
        </w:rPr>
      </w:pPr>
      <w:r>
        <w:rPr>
          <w:rFonts w:hint="eastAsia" w:ascii="宋体" w:hAnsi="宋体"/>
          <w:b/>
          <w:sz w:val="24"/>
        </w:rPr>
        <w:t>29.采购项目废标</w:t>
      </w:r>
    </w:p>
    <w:p>
      <w:pPr>
        <w:spacing w:line="360" w:lineRule="auto"/>
        <w:ind w:firstLine="480" w:firstLineChars="200"/>
        <w:rPr>
          <w:rFonts w:ascii="宋体" w:hAnsi="宋体"/>
          <w:sz w:val="24"/>
        </w:rPr>
      </w:pPr>
      <w:r>
        <w:rPr>
          <w:rFonts w:hint="eastAsia" w:ascii="宋体" w:hAnsi="宋体"/>
          <w:sz w:val="24"/>
        </w:rPr>
        <w:t>29.1在评标过程中，评标委员会发现有下列情形之一的，应对采购项目予以废标：</w:t>
      </w:r>
    </w:p>
    <w:p>
      <w:pPr>
        <w:spacing w:line="360" w:lineRule="auto"/>
        <w:ind w:firstLine="480" w:firstLineChars="200"/>
        <w:rPr>
          <w:rFonts w:ascii="宋体" w:hAnsi="宋体"/>
          <w:sz w:val="24"/>
        </w:rPr>
      </w:pPr>
      <w:r>
        <w:rPr>
          <w:rFonts w:hint="eastAsia" w:ascii="宋体" w:hAnsi="宋体"/>
          <w:sz w:val="24"/>
        </w:rPr>
        <w:t xml:space="preserve">1）符合专业条件的供应商或者对招标文件作实质响应的供应商不足三家的； </w:t>
      </w:r>
    </w:p>
    <w:p>
      <w:pPr>
        <w:spacing w:line="360" w:lineRule="auto"/>
        <w:ind w:left="479" w:leftChars="228"/>
        <w:rPr>
          <w:rFonts w:ascii="宋体" w:hAnsi="宋体"/>
          <w:sz w:val="24"/>
        </w:rPr>
      </w:pPr>
      <w:r>
        <w:rPr>
          <w:rFonts w:hint="eastAsia" w:ascii="宋体" w:hAnsi="宋体"/>
          <w:sz w:val="24"/>
        </w:rPr>
        <w:t xml:space="preserve">2）出现影响采购公正的违法、违规行为的； </w:t>
      </w:r>
      <w:r>
        <w:rPr>
          <w:rFonts w:hint="eastAsia" w:ascii="宋体" w:hAnsi="宋体"/>
          <w:sz w:val="24"/>
        </w:rPr>
        <w:br w:type="textWrapping"/>
      </w:r>
      <w:r>
        <w:rPr>
          <w:rFonts w:hint="eastAsia" w:ascii="宋体" w:hAnsi="宋体"/>
          <w:sz w:val="24"/>
        </w:rPr>
        <w:t>3）投标人的报价均超过了采购预算，采购人不能支付的；</w:t>
      </w:r>
      <w:r>
        <w:rPr>
          <w:rFonts w:hint="eastAsia" w:ascii="宋体" w:hAnsi="宋体"/>
          <w:sz w:val="24"/>
        </w:rPr>
        <w:br w:type="textWrapping"/>
      </w:r>
      <w:r>
        <w:rPr>
          <w:rFonts w:hint="eastAsia" w:ascii="宋体" w:hAnsi="宋体"/>
          <w:sz w:val="24"/>
        </w:rPr>
        <w:t>4）因重大变故，采购任务取消的。</w:t>
      </w:r>
    </w:p>
    <w:p>
      <w:pPr>
        <w:spacing w:line="360" w:lineRule="auto"/>
        <w:ind w:firstLine="480" w:firstLineChars="200"/>
        <w:rPr>
          <w:rFonts w:ascii="宋体" w:hAnsi="宋体"/>
          <w:sz w:val="24"/>
        </w:rPr>
      </w:pPr>
      <w:r>
        <w:rPr>
          <w:rFonts w:hint="eastAsia" w:ascii="宋体" w:hAnsi="宋体"/>
          <w:sz w:val="24"/>
        </w:rPr>
        <w:t>废标后，除采购任务取消情形外，将重新组织招标或采取其他方式采购。</w:t>
      </w:r>
    </w:p>
    <w:p>
      <w:pPr>
        <w:pStyle w:val="4"/>
        <w:numPr>
          <w:ilvl w:val="0"/>
          <w:numId w:val="0"/>
        </w:numPr>
        <w:ind w:left="240"/>
        <w:rPr>
          <w:rFonts w:ascii="宋体" w:hAnsi="宋体"/>
          <w:b w:val="0"/>
          <w:sz w:val="24"/>
        </w:rPr>
      </w:pPr>
      <w:bookmarkStart w:id="28" w:name="_Toc20570"/>
      <w:bookmarkStart w:id="29" w:name="_Toc33212763"/>
      <w:bookmarkStart w:id="30" w:name="_Toc33194709"/>
      <w:r>
        <w:rPr>
          <w:rFonts w:hint="eastAsia" w:ascii="宋体" w:hAnsi="宋体"/>
          <w:b w:val="0"/>
          <w:sz w:val="24"/>
        </w:rPr>
        <w:t>八、履约保证金</w:t>
      </w:r>
      <w:bookmarkEnd w:id="28"/>
      <w:bookmarkEnd w:id="29"/>
      <w:bookmarkEnd w:id="30"/>
    </w:p>
    <w:p>
      <w:pPr>
        <w:spacing w:line="360" w:lineRule="auto"/>
        <w:rPr>
          <w:rFonts w:ascii="宋体" w:hAnsi="宋体"/>
          <w:b/>
          <w:sz w:val="24"/>
        </w:rPr>
      </w:pPr>
      <w:r>
        <w:rPr>
          <w:rFonts w:hint="eastAsia" w:ascii="宋体" w:hAnsi="宋体"/>
          <w:b/>
          <w:sz w:val="24"/>
        </w:rPr>
        <w:t>30.履约保证金</w:t>
      </w:r>
    </w:p>
    <w:p>
      <w:pPr>
        <w:spacing w:line="360" w:lineRule="auto"/>
        <w:ind w:firstLine="480" w:firstLineChars="200"/>
        <w:rPr>
          <w:rFonts w:ascii="宋体" w:hAnsi="宋体"/>
          <w:sz w:val="24"/>
        </w:rPr>
      </w:pPr>
      <w:r>
        <w:rPr>
          <w:rFonts w:hint="eastAsia" w:ascii="宋体" w:hAnsi="宋体"/>
          <w:sz w:val="24"/>
        </w:rPr>
        <w:t>30.1中标人应在中标公告发布后，按照招标文件第二部分“投标人须知前附表”中第23项规定及时足额交纳履约保证金。</w:t>
      </w:r>
    </w:p>
    <w:p>
      <w:pPr>
        <w:spacing w:line="360" w:lineRule="auto"/>
        <w:ind w:firstLine="480" w:firstLineChars="200"/>
        <w:rPr>
          <w:rFonts w:ascii="宋体" w:hAnsi="宋体"/>
          <w:sz w:val="24"/>
        </w:rPr>
      </w:pPr>
      <w:r>
        <w:rPr>
          <w:rFonts w:hint="eastAsia" w:ascii="宋体" w:hAnsi="宋体"/>
          <w:sz w:val="24"/>
        </w:rPr>
        <w:t>30.2履约保证金在项目完成且验收合格无质量问题后原路返还。</w:t>
      </w:r>
    </w:p>
    <w:p>
      <w:pPr>
        <w:pStyle w:val="4"/>
        <w:numPr>
          <w:ilvl w:val="0"/>
          <w:numId w:val="0"/>
        </w:numPr>
        <w:ind w:left="240"/>
        <w:rPr>
          <w:rFonts w:ascii="宋体" w:hAnsi="宋体"/>
          <w:b w:val="0"/>
          <w:sz w:val="24"/>
        </w:rPr>
      </w:pPr>
      <w:bookmarkStart w:id="31" w:name="_Toc33212764"/>
      <w:bookmarkStart w:id="32" w:name="_Toc2723"/>
      <w:bookmarkStart w:id="33" w:name="_Toc33194710"/>
      <w:r>
        <w:rPr>
          <w:rFonts w:hint="eastAsia" w:ascii="宋体" w:hAnsi="宋体"/>
          <w:b w:val="0"/>
          <w:sz w:val="24"/>
        </w:rPr>
        <w:t>九、代理服务费</w:t>
      </w:r>
      <w:bookmarkEnd w:id="31"/>
      <w:bookmarkEnd w:id="32"/>
      <w:bookmarkEnd w:id="33"/>
    </w:p>
    <w:p>
      <w:pPr>
        <w:spacing w:line="360" w:lineRule="auto"/>
        <w:rPr>
          <w:rFonts w:ascii="宋体" w:hAnsi="宋体"/>
          <w:b/>
          <w:sz w:val="24"/>
        </w:rPr>
      </w:pPr>
      <w:r>
        <w:rPr>
          <w:rFonts w:hint="eastAsia" w:ascii="宋体" w:hAnsi="宋体"/>
          <w:b/>
          <w:sz w:val="24"/>
        </w:rPr>
        <w:t>31.代理服务费</w:t>
      </w:r>
    </w:p>
    <w:p>
      <w:pPr>
        <w:spacing w:line="360" w:lineRule="auto"/>
        <w:ind w:firstLine="470" w:firstLineChars="196"/>
        <w:rPr>
          <w:rFonts w:ascii="宋体" w:hAnsi="宋体"/>
          <w:sz w:val="24"/>
        </w:rPr>
      </w:pPr>
      <w:r>
        <w:rPr>
          <w:rFonts w:hint="eastAsia" w:ascii="宋体" w:hAnsi="宋体"/>
          <w:sz w:val="24"/>
        </w:rPr>
        <w:t>31.1代理服务费按照招标文件第二部分“投标人须知前附表”中第25项的规定由中标人交纳，请投标人在测算投标报价时充分考虑这一因素。</w:t>
      </w:r>
    </w:p>
    <w:p>
      <w:pPr>
        <w:pStyle w:val="4"/>
        <w:numPr>
          <w:ilvl w:val="0"/>
          <w:numId w:val="0"/>
        </w:numPr>
        <w:ind w:left="240"/>
        <w:rPr>
          <w:rFonts w:ascii="宋体" w:hAnsi="宋体"/>
          <w:b w:val="0"/>
          <w:sz w:val="24"/>
        </w:rPr>
      </w:pPr>
      <w:bookmarkStart w:id="34" w:name="_Toc33212765"/>
      <w:bookmarkStart w:id="35" w:name="_Toc25405"/>
      <w:bookmarkStart w:id="36" w:name="_Toc33194711"/>
      <w:r>
        <w:rPr>
          <w:rFonts w:hint="eastAsia" w:ascii="宋体" w:hAnsi="宋体"/>
          <w:b w:val="0"/>
          <w:sz w:val="24"/>
        </w:rPr>
        <w:t>十、签订、备案合同</w:t>
      </w:r>
      <w:bookmarkEnd w:id="34"/>
      <w:bookmarkEnd w:id="35"/>
      <w:bookmarkEnd w:id="36"/>
    </w:p>
    <w:p>
      <w:pPr>
        <w:spacing w:line="360" w:lineRule="auto"/>
        <w:rPr>
          <w:rFonts w:ascii="宋体" w:hAnsi="宋体"/>
          <w:b/>
          <w:sz w:val="24"/>
        </w:rPr>
      </w:pPr>
      <w:r>
        <w:rPr>
          <w:rFonts w:hint="eastAsia" w:ascii="宋体" w:hAnsi="宋体"/>
          <w:b/>
          <w:sz w:val="24"/>
        </w:rPr>
        <w:t>32.中标通知</w:t>
      </w:r>
    </w:p>
    <w:p>
      <w:pPr>
        <w:spacing w:line="360" w:lineRule="auto"/>
        <w:ind w:firstLine="480" w:firstLineChars="200"/>
        <w:rPr>
          <w:rFonts w:ascii="宋体" w:hAnsi="宋体"/>
          <w:sz w:val="24"/>
        </w:rPr>
      </w:pPr>
      <w:r>
        <w:rPr>
          <w:rFonts w:hint="eastAsia" w:ascii="宋体" w:hAnsi="宋体"/>
          <w:sz w:val="24"/>
        </w:rPr>
        <w:t>32.1中标人确定后, 采购代理机构将在相关政府采购信息发布媒体上发布中标公告，并以书面形式向中标人发出中标通知书，但该中标结果的有效性不依赖于未中标的投标人是否已经收到该通知。中标人应按照上述第30、31条的规定交纳履约保证金、代理服务费并经采购代理机构确认后，委派专人持授权书和身份证件前往采购代理机构处领取中标通知书。中标通知书对采购人和中标人具有同等法律效力。中标通知书发出以后，采购人改变中标结果或者中标人放弃中标，应当承担相应的法律责任。</w:t>
      </w:r>
    </w:p>
    <w:p>
      <w:pPr>
        <w:spacing w:line="360" w:lineRule="auto"/>
        <w:ind w:firstLine="480" w:firstLineChars="200"/>
        <w:rPr>
          <w:rFonts w:ascii="宋体" w:hAnsi="宋体"/>
          <w:sz w:val="24"/>
        </w:rPr>
      </w:pPr>
      <w:r>
        <w:rPr>
          <w:rFonts w:hint="eastAsia" w:ascii="宋体" w:hAnsi="宋体"/>
          <w:sz w:val="24"/>
        </w:rPr>
        <w:t>32.2采购代理机构对未中标的投标人不作未中标原因的解释，但中标结果的有效性不以未中标的投标人是否收到相应的通知为前提。</w:t>
      </w:r>
    </w:p>
    <w:p>
      <w:pPr>
        <w:spacing w:line="360" w:lineRule="auto"/>
        <w:ind w:firstLine="480" w:firstLineChars="200"/>
        <w:rPr>
          <w:rFonts w:ascii="宋体" w:hAnsi="宋体"/>
          <w:sz w:val="24"/>
        </w:rPr>
      </w:pPr>
      <w:r>
        <w:rPr>
          <w:rFonts w:hint="eastAsia" w:ascii="宋体" w:hAnsi="宋体"/>
          <w:sz w:val="24"/>
        </w:rPr>
        <w:t>32.3中标通知书是合同的组成部分。</w:t>
      </w:r>
    </w:p>
    <w:p>
      <w:pPr>
        <w:spacing w:line="360" w:lineRule="auto"/>
        <w:rPr>
          <w:rFonts w:ascii="宋体" w:hAnsi="宋体"/>
          <w:b/>
          <w:sz w:val="24"/>
        </w:rPr>
      </w:pPr>
      <w:r>
        <w:rPr>
          <w:rFonts w:hint="eastAsia" w:ascii="宋体" w:hAnsi="宋体"/>
          <w:b/>
          <w:sz w:val="24"/>
        </w:rPr>
        <w:t>33.签订合同</w:t>
      </w:r>
    </w:p>
    <w:p>
      <w:pPr>
        <w:spacing w:line="360" w:lineRule="auto"/>
        <w:ind w:firstLine="480" w:firstLineChars="200"/>
        <w:rPr>
          <w:rFonts w:ascii="宋体" w:hAnsi="宋体"/>
          <w:sz w:val="24"/>
        </w:rPr>
      </w:pPr>
      <w:r>
        <w:rPr>
          <w:rFonts w:hint="eastAsia" w:ascii="宋体" w:hAnsi="宋体"/>
          <w:sz w:val="24"/>
        </w:rPr>
        <w:t>33.1采购人与中标人须在中标通知书发出之日起15日内，按照招标文件、投标文件及评标过程中的有关澄清、说明或者补正文件的内容签订政府采购合同。中标人不得再与采购人签订背离合同实质性内容的其他协议或声明。</w:t>
      </w:r>
    </w:p>
    <w:p>
      <w:pPr>
        <w:spacing w:line="360" w:lineRule="auto"/>
        <w:ind w:firstLine="480" w:firstLineChars="200"/>
        <w:rPr>
          <w:rFonts w:ascii="宋体" w:hAnsi="宋体"/>
          <w:sz w:val="24"/>
        </w:rPr>
      </w:pPr>
      <w:r>
        <w:rPr>
          <w:rFonts w:hint="eastAsia" w:ascii="宋体" w:hAnsi="宋体"/>
          <w:sz w:val="24"/>
        </w:rPr>
        <w:t>33.2中标人一旦中标及签订合同后，不得转包，亦不得将合同全部及任何权利、义务向第三方转让。</w:t>
      </w:r>
    </w:p>
    <w:p>
      <w:pPr>
        <w:spacing w:line="360" w:lineRule="auto"/>
        <w:ind w:firstLine="480" w:firstLineChars="200"/>
        <w:rPr>
          <w:rFonts w:ascii="宋体" w:hAnsi="宋体"/>
          <w:sz w:val="24"/>
        </w:rPr>
      </w:pPr>
      <w:r>
        <w:rPr>
          <w:rFonts w:hint="eastAsia" w:ascii="宋体" w:hAnsi="宋体"/>
          <w:sz w:val="24"/>
        </w:rPr>
        <w:t>33.3中标人拒绝与采购人签订合同或不履行合同的，采购人可以重新开展政府采购活动，也可以在报经同级人民政府财政部门核准后，按照评审报告推荐的中标候选人名单排序，确定下一候选人为中标人并与该中标人签订合同。</w:t>
      </w:r>
    </w:p>
    <w:p>
      <w:pPr>
        <w:spacing w:line="360" w:lineRule="auto"/>
        <w:ind w:firstLine="480" w:firstLineChars="200"/>
        <w:rPr>
          <w:rFonts w:ascii="宋体" w:hAnsi="宋体"/>
          <w:sz w:val="24"/>
        </w:rPr>
      </w:pPr>
      <w:r>
        <w:rPr>
          <w:rFonts w:hint="eastAsia" w:ascii="宋体" w:hAnsi="宋体"/>
          <w:sz w:val="24"/>
        </w:rPr>
        <w:t>33.4政府采购合同履行中，采购人需追加与合同标的相同的货物、工程或者服务的，在不改变合同其他条款的前提下，可以与中标人签订补充合同并报同级财政部门、采购代理机构备案，但所有补充合同的采购金额不得超过原合同金额的百分之十。</w:t>
      </w:r>
    </w:p>
    <w:p>
      <w:pPr>
        <w:spacing w:line="360" w:lineRule="auto"/>
        <w:ind w:firstLine="480" w:firstLineChars="200"/>
        <w:rPr>
          <w:rFonts w:ascii="宋体" w:hAnsi="宋体"/>
          <w:sz w:val="24"/>
        </w:rPr>
      </w:pPr>
      <w:r>
        <w:rPr>
          <w:rFonts w:hint="eastAsia" w:ascii="宋体" w:hAnsi="宋体"/>
          <w:sz w:val="24"/>
        </w:rPr>
        <w:t>33.5政府采购合同适用合同法，因违反有关约定给对方造成损失的，应承担赔偿责任。</w:t>
      </w:r>
    </w:p>
    <w:p>
      <w:pPr>
        <w:spacing w:line="360" w:lineRule="auto"/>
        <w:ind w:firstLine="480" w:firstLineChars="200"/>
        <w:rPr>
          <w:rFonts w:ascii="宋体" w:hAnsi="宋体"/>
          <w:sz w:val="24"/>
        </w:rPr>
      </w:pPr>
      <w:r>
        <w:rPr>
          <w:rFonts w:hint="eastAsia" w:ascii="宋体" w:hAnsi="宋体"/>
          <w:sz w:val="24"/>
        </w:rPr>
        <w:t>33.6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pacing w:line="360" w:lineRule="auto"/>
        <w:rPr>
          <w:rFonts w:ascii="宋体" w:hAnsi="宋体"/>
          <w:b/>
          <w:sz w:val="24"/>
        </w:rPr>
      </w:pPr>
      <w:r>
        <w:rPr>
          <w:rFonts w:hint="eastAsia" w:ascii="宋体" w:hAnsi="宋体"/>
          <w:b/>
          <w:sz w:val="24"/>
        </w:rPr>
        <w:t>34.合同备案</w:t>
      </w:r>
    </w:p>
    <w:p>
      <w:pPr>
        <w:spacing w:line="360" w:lineRule="auto"/>
        <w:ind w:firstLine="480" w:firstLineChars="200"/>
        <w:rPr>
          <w:rFonts w:ascii="宋体" w:hAnsi="宋体"/>
          <w:sz w:val="24"/>
        </w:rPr>
      </w:pPr>
      <w:r>
        <w:rPr>
          <w:rFonts w:hint="eastAsia" w:ascii="宋体" w:hAnsi="宋体"/>
          <w:sz w:val="24"/>
        </w:rPr>
        <w:t>34.1中标人持政府采购合同于签订合同之日起2个工作日内到采购代理机构处进行备案留存。</w:t>
      </w:r>
    </w:p>
    <w:p>
      <w:pPr>
        <w:pStyle w:val="4"/>
        <w:numPr>
          <w:ilvl w:val="0"/>
          <w:numId w:val="0"/>
        </w:numPr>
        <w:ind w:left="240"/>
        <w:rPr>
          <w:rFonts w:ascii="宋体" w:hAnsi="宋体"/>
          <w:b w:val="0"/>
          <w:sz w:val="24"/>
        </w:rPr>
      </w:pPr>
      <w:bookmarkStart w:id="37" w:name="_Toc33212766"/>
      <w:bookmarkStart w:id="38" w:name="_Toc33194712"/>
      <w:bookmarkStart w:id="39" w:name="_Toc4224"/>
      <w:r>
        <w:rPr>
          <w:rFonts w:hint="eastAsia" w:ascii="宋体" w:hAnsi="宋体"/>
          <w:b w:val="0"/>
          <w:sz w:val="24"/>
        </w:rPr>
        <w:t>十一、处罚、询问和质疑</w:t>
      </w:r>
      <w:bookmarkEnd w:id="37"/>
      <w:bookmarkEnd w:id="38"/>
      <w:bookmarkEnd w:id="39"/>
      <w:r>
        <w:rPr>
          <w:rFonts w:hint="eastAsia" w:ascii="宋体" w:hAnsi="宋体"/>
          <w:b w:val="0"/>
          <w:sz w:val="24"/>
        </w:rPr>
        <w:t xml:space="preserve"> </w:t>
      </w:r>
    </w:p>
    <w:p>
      <w:pPr>
        <w:spacing w:line="360" w:lineRule="auto"/>
        <w:rPr>
          <w:rFonts w:ascii="宋体" w:hAnsi="宋体"/>
          <w:b/>
          <w:sz w:val="24"/>
        </w:rPr>
      </w:pPr>
      <w:r>
        <w:rPr>
          <w:rFonts w:hint="eastAsia" w:ascii="宋体" w:hAnsi="宋体"/>
          <w:b/>
          <w:sz w:val="24"/>
        </w:rPr>
        <w:t>35.处罚</w:t>
      </w:r>
    </w:p>
    <w:p>
      <w:pPr>
        <w:spacing w:line="360" w:lineRule="auto"/>
        <w:ind w:firstLine="480" w:firstLineChars="200"/>
        <w:rPr>
          <w:rFonts w:ascii="宋体" w:hAnsi="宋体"/>
          <w:sz w:val="24"/>
        </w:rPr>
      </w:pPr>
      <w:r>
        <w:rPr>
          <w:rFonts w:hint="eastAsia" w:ascii="宋体" w:hAnsi="宋体"/>
          <w:sz w:val="24"/>
        </w:rPr>
        <w:t>35.1投标人有下列情形之一的，投标保证金或履约保证金不予退还并上交财政，并对其违法、违规行为移交有关部门依据《中华人民共和国政府采购法》和《中华人民共和国政府采购法实施条例》进行处理。</w:t>
      </w:r>
    </w:p>
    <w:p>
      <w:pPr>
        <w:spacing w:line="360" w:lineRule="auto"/>
        <w:ind w:firstLine="480" w:firstLineChars="200"/>
        <w:rPr>
          <w:rFonts w:ascii="宋体" w:hAnsi="宋体"/>
          <w:sz w:val="24"/>
        </w:rPr>
      </w:pPr>
      <w:r>
        <w:rPr>
          <w:rFonts w:hint="eastAsia" w:ascii="宋体" w:hAnsi="宋体"/>
          <w:sz w:val="24"/>
        </w:rPr>
        <w:t>1）开标后在投标有效期内撤回其投标；</w:t>
      </w:r>
    </w:p>
    <w:p>
      <w:pPr>
        <w:spacing w:line="360" w:lineRule="auto"/>
        <w:ind w:firstLine="480" w:firstLineChars="200"/>
        <w:rPr>
          <w:rFonts w:ascii="宋体" w:hAnsi="宋体"/>
          <w:sz w:val="24"/>
        </w:rPr>
      </w:pPr>
      <w:r>
        <w:rPr>
          <w:rFonts w:hint="eastAsia" w:ascii="宋体" w:hAnsi="宋体"/>
          <w:sz w:val="24"/>
        </w:rPr>
        <w:t>2）提供虚假材料谋取中标；</w:t>
      </w:r>
    </w:p>
    <w:p>
      <w:pPr>
        <w:spacing w:line="360" w:lineRule="auto"/>
        <w:ind w:firstLine="480" w:firstLineChars="200"/>
        <w:rPr>
          <w:rFonts w:ascii="宋体" w:hAnsi="宋体"/>
          <w:sz w:val="24"/>
        </w:rPr>
      </w:pPr>
      <w:r>
        <w:rPr>
          <w:rFonts w:hint="eastAsia" w:ascii="宋体" w:hAnsi="宋体"/>
          <w:sz w:val="24"/>
        </w:rPr>
        <w:t>3）采取不正当手段诋毁、排挤其他投标人；</w:t>
      </w:r>
    </w:p>
    <w:p>
      <w:pPr>
        <w:spacing w:line="360" w:lineRule="auto"/>
        <w:ind w:firstLine="480" w:firstLineChars="200"/>
        <w:rPr>
          <w:rFonts w:ascii="宋体" w:hAnsi="宋体"/>
          <w:sz w:val="24"/>
        </w:rPr>
      </w:pPr>
      <w:r>
        <w:rPr>
          <w:rFonts w:hint="eastAsia" w:ascii="宋体" w:hAnsi="宋体"/>
          <w:sz w:val="24"/>
        </w:rPr>
        <w:t>4）与采购人、其他投标人或者采购代理机构串通投标的；</w:t>
      </w:r>
    </w:p>
    <w:p>
      <w:pPr>
        <w:spacing w:line="360" w:lineRule="auto"/>
        <w:ind w:firstLine="480" w:firstLineChars="200"/>
        <w:rPr>
          <w:rFonts w:ascii="宋体" w:hAnsi="宋体"/>
          <w:sz w:val="24"/>
        </w:rPr>
      </w:pPr>
      <w:r>
        <w:rPr>
          <w:rFonts w:hint="eastAsia" w:ascii="宋体" w:hAnsi="宋体"/>
          <w:sz w:val="24"/>
        </w:rPr>
        <w:t>5）向评标委员会、采购人、采购代理机构行贿或者提供其他不正当利益的；</w:t>
      </w:r>
    </w:p>
    <w:p>
      <w:pPr>
        <w:spacing w:line="360" w:lineRule="auto"/>
        <w:ind w:firstLine="480" w:firstLineChars="200"/>
        <w:rPr>
          <w:rFonts w:ascii="宋体" w:hAnsi="宋体"/>
          <w:sz w:val="24"/>
        </w:rPr>
      </w:pPr>
      <w:r>
        <w:rPr>
          <w:rFonts w:hint="eastAsia" w:ascii="宋体" w:hAnsi="宋体"/>
          <w:sz w:val="24"/>
        </w:rPr>
        <w:t>6）在招标采购过程中与采购人进行协商谈判；</w:t>
      </w:r>
    </w:p>
    <w:p>
      <w:pPr>
        <w:spacing w:line="360" w:lineRule="auto"/>
        <w:ind w:firstLine="480" w:firstLineChars="200"/>
        <w:rPr>
          <w:rFonts w:ascii="宋体" w:hAnsi="宋体"/>
          <w:sz w:val="24"/>
        </w:rPr>
      </w:pPr>
      <w:r>
        <w:rPr>
          <w:rFonts w:hint="eastAsia" w:ascii="宋体" w:hAnsi="宋体"/>
          <w:sz w:val="24"/>
        </w:rPr>
        <w:t>7）中标后无正当理由拒不与采购人签订政府采购合同；</w:t>
      </w:r>
    </w:p>
    <w:p>
      <w:pPr>
        <w:spacing w:line="360" w:lineRule="auto"/>
        <w:ind w:firstLine="480" w:firstLineChars="200"/>
        <w:rPr>
          <w:rFonts w:ascii="宋体" w:hAnsi="宋体"/>
          <w:sz w:val="24"/>
        </w:rPr>
      </w:pPr>
      <w:r>
        <w:rPr>
          <w:rFonts w:hint="eastAsia" w:ascii="宋体" w:hAnsi="宋体"/>
          <w:sz w:val="24"/>
        </w:rPr>
        <w:t>8）未按照采购文件确定的事项签订政府采购合同，或与采购人订立背离合同实质性内容的其他协议；</w:t>
      </w:r>
    </w:p>
    <w:p>
      <w:pPr>
        <w:spacing w:line="360" w:lineRule="auto"/>
        <w:ind w:firstLine="480" w:firstLineChars="200"/>
        <w:rPr>
          <w:rFonts w:ascii="宋体" w:hAnsi="宋体"/>
          <w:sz w:val="24"/>
        </w:rPr>
      </w:pPr>
      <w:r>
        <w:rPr>
          <w:rFonts w:hint="eastAsia" w:ascii="宋体" w:hAnsi="宋体"/>
          <w:sz w:val="24"/>
        </w:rPr>
        <w:t>9）将政府采购合同转包，或者在投标文件中未说明，且未经采购人、采购代理机构同意，将中标项目分包给他人；</w:t>
      </w:r>
    </w:p>
    <w:p>
      <w:pPr>
        <w:spacing w:line="360" w:lineRule="auto"/>
        <w:ind w:firstLine="480" w:firstLineChars="200"/>
        <w:rPr>
          <w:rFonts w:ascii="宋体" w:hAnsi="宋体"/>
          <w:sz w:val="24"/>
        </w:rPr>
      </w:pPr>
      <w:r>
        <w:rPr>
          <w:rFonts w:hint="eastAsia" w:ascii="宋体" w:hAnsi="宋体"/>
          <w:sz w:val="24"/>
        </w:rPr>
        <w:t>10）提供假冒伪劣产品；</w:t>
      </w:r>
    </w:p>
    <w:p>
      <w:pPr>
        <w:spacing w:line="360" w:lineRule="auto"/>
        <w:ind w:firstLine="480" w:firstLineChars="200"/>
        <w:rPr>
          <w:rFonts w:ascii="宋体" w:hAnsi="宋体"/>
          <w:sz w:val="24"/>
        </w:rPr>
      </w:pPr>
      <w:r>
        <w:rPr>
          <w:rFonts w:hint="eastAsia" w:ascii="宋体" w:hAnsi="宋体"/>
          <w:sz w:val="24"/>
        </w:rPr>
        <w:t>11）擅自变更、中止或者终止政府采购合同；</w:t>
      </w:r>
    </w:p>
    <w:p>
      <w:pPr>
        <w:spacing w:line="360" w:lineRule="auto"/>
        <w:ind w:firstLine="480" w:firstLineChars="200"/>
        <w:rPr>
          <w:rFonts w:ascii="宋体" w:hAnsi="宋体"/>
          <w:sz w:val="24"/>
        </w:rPr>
      </w:pPr>
      <w:r>
        <w:rPr>
          <w:rFonts w:hint="eastAsia" w:ascii="宋体" w:hAnsi="宋体"/>
          <w:sz w:val="24"/>
        </w:rPr>
        <w:t>12）捏造事实进行虚假质疑、投诉的；</w:t>
      </w:r>
    </w:p>
    <w:p>
      <w:pPr>
        <w:spacing w:line="360" w:lineRule="auto"/>
        <w:ind w:firstLine="480" w:firstLineChars="200"/>
        <w:rPr>
          <w:rFonts w:ascii="宋体" w:hAnsi="宋体"/>
          <w:sz w:val="24"/>
        </w:rPr>
      </w:pPr>
      <w:r>
        <w:rPr>
          <w:rFonts w:hint="eastAsia" w:ascii="宋体" w:hAnsi="宋体"/>
          <w:sz w:val="24"/>
        </w:rPr>
        <w:t>13）拒绝有关部门监督检查或者提供虚假情况；</w:t>
      </w:r>
    </w:p>
    <w:p>
      <w:pPr>
        <w:spacing w:line="360" w:lineRule="auto"/>
        <w:ind w:firstLine="480" w:firstLineChars="200"/>
        <w:rPr>
          <w:rFonts w:ascii="宋体" w:hAnsi="宋体" w:cs="宋体"/>
          <w:kern w:val="0"/>
          <w:szCs w:val="21"/>
        </w:rPr>
      </w:pPr>
      <w:r>
        <w:rPr>
          <w:rFonts w:hint="eastAsia" w:ascii="宋体" w:hAnsi="宋体"/>
          <w:sz w:val="24"/>
        </w:rPr>
        <w:t>14）违法法律、法规规定的其他行为。</w:t>
      </w:r>
    </w:p>
    <w:p>
      <w:pPr>
        <w:spacing w:line="360" w:lineRule="auto"/>
        <w:rPr>
          <w:rFonts w:ascii="宋体" w:hAnsi="宋体"/>
          <w:b/>
          <w:sz w:val="24"/>
        </w:rPr>
      </w:pPr>
      <w:r>
        <w:rPr>
          <w:rFonts w:hint="eastAsia" w:ascii="宋体" w:hAnsi="宋体"/>
          <w:b/>
          <w:sz w:val="24"/>
        </w:rPr>
        <w:t>36．询问</w:t>
      </w:r>
    </w:p>
    <w:p>
      <w:pPr>
        <w:spacing w:line="360" w:lineRule="auto"/>
        <w:ind w:firstLine="480" w:firstLineChars="200"/>
        <w:rPr>
          <w:rFonts w:ascii="宋体" w:hAnsi="宋体"/>
          <w:sz w:val="24"/>
        </w:rPr>
      </w:pPr>
      <w:r>
        <w:rPr>
          <w:rFonts w:hint="eastAsia" w:ascii="宋体" w:hAnsi="宋体"/>
          <w:sz w:val="24"/>
        </w:rPr>
        <w:t>36.1投标人对采购事项有疑问的，可以向采购人或采购代理机构提出询问。</w:t>
      </w:r>
    </w:p>
    <w:p>
      <w:pPr>
        <w:spacing w:line="360" w:lineRule="auto"/>
        <w:rPr>
          <w:rFonts w:ascii="宋体" w:hAnsi="宋体"/>
          <w:b/>
          <w:sz w:val="24"/>
        </w:rPr>
      </w:pPr>
      <w:r>
        <w:rPr>
          <w:rFonts w:hint="eastAsia" w:ascii="宋体" w:hAnsi="宋体"/>
          <w:b/>
          <w:sz w:val="24"/>
        </w:rPr>
        <w:t>37.投标人有权就招标事宜提出质疑</w:t>
      </w:r>
    </w:p>
    <w:p>
      <w:pPr>
        <w:spacing w:line="360" w:lineRule="auto"/>
        <w:ind w:firstLine="480" w:firstLineChars="200"/>
        <w:rPr>
          <w:rFonts w:ascii="宋体" w:hAnsi="宋体"/>
          <w:sz w:val="24"/>
        </w:rPr>
      </w:pPr>
      <w:r>
        <w:rPr>
          <w:rFonts w:hint="eastAsia" w:ascii="宋体" w:hAnsi="宋体"/>
          <w:sz w:val="24"/>
        </w:rPr>
        <w:t>37.1投标人认为招标文件、采购过程和中标结果使自已的权益受到损害的，可以在知道或者应知其权益受到损害之日起7个工作日内，以书面形式向采购人或采购代理机构提出质疑。质疑的提出应当符合《中华人民共和国政府采购法》、《中华人民共和国政府采购法实施条例》的相关规定。</w:t>
      </w:r>
    </w:p>
    <w:p>
      <w:pPr>
        <w:spacing w:line="360" w:lineRule="auto"/>
        <w:ind w:firstLine="480" w:firstLineChars="200"/>
        <w:rPr>
          <w:rFonts w:ascii="宋体" w:hAnsi="宋体"/>
          <w:sz w:val="24"/>
        </w:rPr>
      </w:pPr>
      <w:r>
        <w:rPr>
          <w:rFonts w:hint="eastAsia" w:ascii="宋体" w:hAnsi="宋体"/>
          <w:sz w:val="24"/>
        </w:rPr>
        <w:t>37.2投标人质疑应当有明确的请求和必要的证明材料，否则质疑将被予以驳回，并不得以上述理由要求延长质疑有效期。未递交投标文件的供应商，其未参加后续采购活动，不得对递交投标文件截止后的采购过程、采购结果提出质疑。</w:t>
      </w:r>
    </w:p>
    <w:p>
      <w:pPr>
        <w:spacing w:line="360" w:lineRule="auto"/>
        <w:ind w:firstLine="480" w:firstLineChars="200"/>
        <w:rPr>
          <w:rFonts w:ascii="宋体" w:hAnsi="宋体"/>
          <w:sz w:val="24"/>
        </w:rPr>
      </w:pPr>
      <w:r>
        <w:rPr>
          <w:rFonts w:hint="eastAsia" w:ascii="宋体" w:hAnsi="宋体"/>
          <w:sz w:val="24"/>
        </w:rPr>
        <w:t>37.3质疑人可以采取直接送达或者邮寄方式提交质疑书。采购代理机构收到质疑书后，对质疑书进行审查，对符合质疑条件的将办理签收手续，自签收质疑书之日起即为受理。</w:t>
      </w:r>
    </w:p>
    <w:p>
      <w:pPr>
        <w:spacing w:line="360" w:lineRule="auto"/>
        <w:ind w:firstLine="480" w:firstLineChars="200"/>
        <w:rPr>
          <w:rFonts w:ascii="宋体" w:hAnsi="宋体"/>
          <w:sz w:val="24"/>
        </w:rPr>
      </w:pPr>
      <w:r>
        <w:rPr>
          <w:rFonts w:hint="eastAsia" w:ascii="宋体" w:hAnsi="宋体"/>
          <w:sz w:val="24"/>
        </w:rPr>
        <w:t>37.4采购代理机构将在受理书面质疑后7个工作日内审查质疑事项，作出答复或相关处理决定，并以书面形式通知质疑人和其他相关供应商，但答复的内容不涉及商业秘密。</w:t>
      </w:r>
    </w:p>
    <w:p>
      <w:pPr>
        <w:spacing w:line="360" w:lineRule="auto"/>
        <w:ind w:firstLine="480" w:firstLineChars="200"/>
        <w:rPr>
          <w:rFonts w:ascii="宋体" w:hAnsi="宋体"/>
          <w:sz w:val="24"/>
        </w:rPr>
      </w:pPr>
      <w:r>
        <w:rPr>
          <w:rFonts w:hint="eastAsia" w:ascii="宋体" w:hAnsi="宋体"/>
          <w:sz w:val="24"/>
        </w:rPr>
        <w:t>37.5投标人进行虚假和恶意质疑的，采购代理机构将提请有关部门将其列入不良记录名单，在一至三年内禁止参加政府采购活动，并将处理决定在相关政府采购媒体上公布。</w:t>
      </w:r>
    </w:p>
    <w:p>
      <w:pPr>
        <w:spacing w:line="360" w:lineRule="auto"/>
        <w:ind w:firstLine="480" w:firstLineChars="200"/>
        <w:rPr>
          <w:rFonts w:ascii="宋体" w:hAnsi="宋体"/>
          <w:sz w:val="24"/>
        </w:rPr>
      </w:pPr>
      <w:r>
        <w:rPr>
          <w:rFonts w:hint="eastAsia" w:ascii="宋体" w:hAnsi="宋体"/>
          <w:sz w:val="24"/>
        </w:rPr>
        <w:t>37.6质疑人对答复不满意以及采购代理机构未在规定的时间内作出答复的，可以在答复期满后15个工作日内向行业主管部门投拆。</w:t>
      </w:r>
    </w:p>
    <w:p>
      <w:pPr>
        <w:pStyle w:val="4"/>
        <w:numPr>
          <w:ilvl w:val="0"/>
          <w:numId w:val="0"/>
        </w:numPr>
        <w:ind w:left="240"/>
        <w:rPr>
          <w:rFonts w:ascii="宋体" w:hAnsi="宋体"/>
          <w:b w:val="0"/>
          <w:sz w:val="24"/>
        </w:rPr>
      </w:pPr>
      <w:bookmarkStart w:id="40" w:name="_Toc33212767"/>
      <w:bookmarkStart w:id="41" w:name="_Toc15153"/>
      <w:bookmarkStart w:id="42" w:name="_Toc33194713"/>
      <w:r>
        <w:rPr>
          <w:rFonts w:hint="eastAsia" w:ascii="宋体" w:hAnsi="宋体"/>
          <w:b w:val="0"/>
          <w:sz w:val="24"/>
        </w:rPr>
        <w:t>十二、保密和披露</w:t>
      </w:r>
      <w:bookmarkEnd w:id="40"/>
      <w:bookmarkEnd w:id="41"/>
      <w:bookmarkEnd w:id="42"/>
    </w:p>
    <w:p>
      <w:pPr>
        <w:spacing w:line="360" w:lineRule="auto"/>
        <w:rPr>
          <w:rFonts w:ascii="宋体" w:hAnsi="宋体"/>
          <w:b/>
          <w:sz w:val="24"/>
        </w:rPr>
      </w:pPr>
      <w:r>
        <w:rPr>
          <w:rFonts w:hint="eastAsia" w:ascii="宋体" w:hAnsi="宋体"/>
          <w:b/>
          <w:sz w:val="24"/>
        </w:rPr>
        <w:t>38.保密和披露</w:t>
      </w:r>
    </w:p>
    <w:p>
      <w:pPr>
        <w:spacing w:line="360" w:lineRule="auto"/>
        <w:ind w:firstLine="480" w:firstLineChars="200"/>
        <w:rPr>
          <w:rFonts w:ascii="宋体" w:hAnsi="宋体"/>
          <w:sz w:val="24"/>
        </w:rPr>
      </w:pPr>
      <w:r>
        <w:rPr>
          <w:rFonts w:hint="eastAsia" w:ascii="宋体" w:hAnsi="宋体"/>
          <w:sz w:val="24"/>
        </w:rPr>
        <w:t>38.1投标人自领取招标文件之日起，须承担本招标项目保密义务，不得将因本次招标获得的信息向第三人外传。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spacing w:line="360" w:lineRule="auto"/>
        <w:ind w:firstLine="480" w:firstLineChars="200"/>
        <w:rPr>
          <w:rFonts w:ascii="宋体" w:hAnsi="宋体"/>
          <w:sz w:val="24"/>
        </w:rPr>
      </w:pPr>
      <w:r>
        <w:rPr>
          <w:rFonts w:hint="eastAsia" w:ascii="宋体" w:hAnsi="宋体"/>
          <w:sz w:val="24"/>
        </w:rPr>
        <w:t>38.2采购代理机构有权将投标人提供的所有资料向有关政府部门或评审标书的有关人员披露。</w:t>
      </w:r>
    </w:p>
    <w:p>
      <w:pPr>
        <w:spacing w:line="360" w:lineRule="auto"/>
        <w:ind w:firstLine="480" w:firstLineChars="200"/>
        <w:rPr>
          <w:rFonts w:ascii="宋体" w:hAnsi="宋体"/>
          <w:sz w:val="24"/>
        </w:rPr>
      </w:pPr>
      <w:r>
        <w:rPr>
          <w:rFonts w:hint="eastAsia" w:ascii="宋体" w:hAnsi="宋体"/>
          <w:sz w:val="24"/>
        </w:rPr>
        <w:t>38.3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rPr>
          <w:rFonts w:eastAsia="黑体"/>
          <w:b/>
          <w:sz w:val="36"/>
        </w:rPr>
      </w:pPr>
      <w:bookmarkStart w:id="43" w:name="_Toc33212768"/>
      <w:bookmarkStart w:id="44" w:name="_Toc23714"/>
      <w:bookmarkStart w:id="45" w:name="_Toc33194714"/>
      <w:r>
        <w:rPr>
          <w:rFonts w:hint="eastAsia" w:eastAsia="黑体"/>
          <w:b/>
          <w:sz w:val="36"/>
        </w:rPr>
        <w:br w:type="page"/>
      </w:r>
    </w:p>
    <w:p>
      <w:pPr>
        <w:pStyle w:val="19"/>
        <w:tabs>
          <w:tab w:val="left" w:pos="0"/>
        </w:tabs>
        <w:spacing w:line="240" w:lineRule="auto"/>
        <w:ind w:left="0" w:leftChars="0" w:firstLine="2530" w:firstLineChars="700"/>
        <w:outlineLvl w:val="0"/>
        <w:rPr>
          <w:rFonts w:eastAsia="黑体"/>
          <w:b/>
          <w:sz w:val="36"/>
        </w:rPr>
      </w:pPr>
      <w:r>
        <w:rPr>
          <w:rFonts w:hint="eastAsia" w:eastAsia="黑体"/>
          <w:b/>
          <w:sz w:val="36"/>
        </w:rPr>
        <w:t>第四部分   采购清单</w:t>
      </w:r>
      <w:bookmarkEnd w:id="43"/>
      <w:bookmarkEnd w:id="44"/>
      <w:bookmarkEnd w:id="45"/>
    </w:p>
    <w:tbl>
      <w:tblPr>
        <w:tblStyle w:val="37"/>
        <w:tblW w:w="8325" w:type="dxa"/>
        <w:tblInd w:w="0" w:type="dxa"/>
        <w:shd w:val="clear" w:color="auto" w:fill="auto"/>
        <w:tblLayout w:type="autofit"/>
        <w:tblCellMar>
          <w:top w:w="0" w:type="dxa"/>
          <w:left w:w="0" w:type="dxa"/>
          <w:bottom w:w="0" w:type="dxa"/>
          <w:right w:w="0" w:type="dxa"/>
        </w:tblCellMar>
      </w:tblPr>
      <w:tblGrid>
        <w:gridCol w:w="590"/>
        <w:gridCol w:w="1050"/>
        <w:gridCol w:w="5160"/>
        <w:gridCol w:w="960"/>
        <w:gridCol w:w="576"/>
      </w:tblGrid>
      <w:tr>
        <w:tblPrEx>
          <w:shd w:val="clear" w:color="auto" w:fill="auto"/>
          <w:tblCellMar>
            <w:top w:w="0" w:type="dxa"/>
            <w:left w:w="0" w:type="dxa"/>
            <w:bottom w:w="0" w:type="dxa"/>
            <w:right w:w="0" w:type="dxa"/>
          </w:tblCellMar>
        </w:tblPrEx>
        <w:trPr>
          <w:trHeight w:val="37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bookmarkStart w:id="46" w:name="_Toc10482"/>
            <w:bookmarkStart w:id="47" w:name="_Toc33212775"/>
            <w:r>
              <w:rPr>
                <w:rFonts w:hint="default" w:ascii="方正仿宋_GBK" w:hAnsi="方正仿宋_GBK" w:eastAsia="方正仿宋_GBK" w:cs="方正仿宋_GBK"/>
                <w:b/>
                <w:i w:val="0"/>
                <w:color w:val="000000"/>
                <w:kern w:val="0"/>
                <w:sz w:val="28"/>
                <w:szCs w:val="28"/>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default" w:ascii="方正仿宋_GBK" w:hAnsi="方正仿宋_GBK" w:eastAsia="方正仿宋_GBK" w:cs="方正仿宋_GBK"/>
                <w:b/>
                <w:i w:val="0"/>
                <w:color w:val="000000"/>
                <w:kern w:val="0"/>
                <w:sz w:val="28"/>
                <w:szCs w:val="28"/>
                <w:u w:val="none"/>
                <w:lang w:val="en-US" w:eastAsia="zh-CN" w:bidi="ar"/>
              </w:rPr>
              <w:t>名称</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default" w:ascii="方正仿宋_GBK" w:hAnsi="方正仿宋_GBK" w:eastAsia="方正仿宋_GBK" w:cs="方正仿宋_GBK"/>
                <w:b/>
                <w:i w:val="0"/>
                <w:color w:val="FF0000"/>
                <w:kern w:val="0"/>
                <w:sz w:val="28"/>
                <w:szCs w:val="28"/>
                <w:u w:val="none"/>
                <w:lang w:val="en-US" w:eastAsia="zh-CN" w:bidi="ar"/>
              </w:rPr>
              <w:t>设备参数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default" w:ascii="方正仿宋_GBK" w:hAnsi="方正仿宋_GBK" w:eastAsia="方正仿宋_GBK" w:cs="方正仿宋_GBK"/>
                <w:b/>
                <w:i w:val="0"/>
                <w:color w:val="000000"/>
                <w:kern w:val="0"/>
                <w:sz w:val="28"/>
                <w:szCs w:val="28"/>
                <w:u w:val="none"/>
                <w:lang w:val="en-US" w:eastAsia="zh-CN" w:bidi="ar"/>
              </w:rPr>
              <w:t>数量</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default" w:ascii="方正仿宋_GBK" w:hAnsi="方正仿宋_GBK" w:eastAsia="方正仿宋_GBK" w:cs="方正仿宋_GBK"/>
                <w:b/>
                <w:i w:val="0"/>
                <w:color w:val="000000"/>
                <w:kern w:val="0"/>
                <w:sz w:val="28"/>
                <w:szCs w:val="28"/>
                <w:u w:val="none"/>
                <w:lang w:val="en-US" w:eastAsia="zh-CN" w:bidi="ar"/>
              </w:rPr>
              <w:t>单位</w:t>
            </w:r>
          </w:p>
        </w:tc>
      </w:tr>
      <w:tr>
        <w:tblPrEx>
          <w:tblCellMar>
            <w:top w:w="0" w:type="dxa"/>
            <w:left w:w="0" w:type="dxa"/>
            <w:bottom w:w="0" w:type="dxa"/>
            <w:right w:w="0" w:type="dxa"/>
          </w:tblCellMar>
        </w:tblPrEx>
        <w:trPr>
          <w:trHeight w:val="15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color w:val="FF0000"/>
                <w:sz w:val="24"/>
                <w:lang w:val="en-US" w:eastAsia="zh-CN"/>
              </w:rPr>
              <w:t>★</w:t>
            </w:r>
            <w:r>
              <w:rPr>
                <w:rFonts w:hint="eastAsia" w:ascii="宋体" w:hAnsi="宋体" w:eastAsia="宋体" w:cs="宋体"/>
                <w:i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金属面岩棉夹芯彩钢板（隔墙用，手工净化岩棉板）</w:t>
            </w:r>
          </w:p>
        </w:tc>
        <w:tc>
          <w:tcPr>
            <w:tcW w:w="5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（1）规格：彩涂板厚度0.5mm 岩棉容重100kg/m³ H=50mm；</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（2）材质：净化彩涂板加憎水防火岩棉板；</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材料特点:1、手工岩棉板四周采用镀锌板冷拉型框架；2、防火抗风：A级防火，耐火要达到0.9小时以上，手工板经辊压成型，钢板虽薄但强度高；3、手工板采用中字铝连接；4、房间内采用净化专用型材进行密封，所有缝隙均采用优质密封胶密封除理；                          续；</w:t>
            </w:r>
            <w:r>
              <w:rPr>
                <w:rStyle w:val="80"/>
                <w:lang w:val="en-US" w:eastAsia="zh-CN" w:bidi="ar"/>
              </w:rPr>
              <w:br w:type="textWrapping"/>
            </w:r>
            <w:r>
              <w:rPr>
                <w:rStyle w:val="81"/>
                <w:lang w:val="en-US" w:eastAsia="zh-CN" w:bidi="ar"/>
              </w:rPr>
              <w:t>（3）包含安装损耗及安装辅材等，此部分为交钥匙项目，其他材料均采用符合标准的材料）</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color w:val="FF0000"/>
                <w:sz w:val="24"/>
                <w:lang w:val="en-US" w:eastAsia="zh-CN"/>
              </w:rPr>
              <w:t>★</w:t>
            </w:r>
            <w:r>
              <w:rPr>
                <w:rFonts w:hint="eastAsia" w:ascii="宋体" w:hAnsi="宋体" w:eastAsia="宋体" w:cs="宋体"/>
                <w:i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金属面岩棉夹芯彩钢板（吊顶用，手工净化单玻镁岩棉板）</w:t>
            </w:r>
          </w:p>
        </w:tc>
        <w:tc>
          <w:tcPr>
            <w:tcW w:w="5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（1）规格：彩涂板厚度0.5mm 岩棉容重100kg/m³ H=50mm；</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（2）材质：净化彩涂板加憎水防火岩棉板加单侧玻镁板；</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 xml:space="preserve">材料特点:1、手工岩棉板四周采用镀锌板冷拉型框架；2、防火抗风：A级防火，耐火要达到0.9小时以上，手工板经辊压成型，钢板虽薄但强度高；3、手工板采用中字铝连接；4、吊顶吊挂件采用专用方形调节器，吊杆采用10mm国标通丝镀锌丝杆；5、房间内采用净化专用型材进行密封，所有缝隙均采用优质密封胶密封除理；                                            </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（3）包含安装损耗及安装辅材等，此部分为交钥匙项目，其他材料均采用符合标准的材料）</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5040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净化配套铝合金型材</w:t>
            </w:r>
          </w:p>
        </w:tc>
        <w:tc>
          <w:tcPr>
            <w:tcW w:w="5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（1）规格：50系列（50mm)；</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（2）材质：铝合金材质；</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材料特点:1、表面喷涂处理，颜色接近净化板；2、其他附属安装材料均采用符合标准的材料</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11285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color w:val="FF0000"/>
                <w:sz w:val="24"/>
                <w:lang w:val="en-US" w:eastAsia="zh-CN"/>
              </w:rPr>
              <w:t>★</w:t>
            </w:r>
            <w:r>
              <w:rPr>
                <w:rFonts w:hint="eastAsia" w:ascii="宋体" w:hAnsi="宋体" w:eastAsia="宋体" w:cs="宋体"/>
                <w:i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中空密闭观察窗</w:t>
            </w:r>
          </w:p>
        </w:tc>
        <w:tc>
          <w:tcPr>
            <w:tcW w:w="5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（1）规格：50系列（50mm)；</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（2）材质：专用铝合金及双侧4mm钢化玻璃；</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材料特点:1、采用专用的铝合金框架；2、双侧钢化玻璃采用3C产品</w:t>
            </w:r>
            <w:r>
              <w:rPr>
                <w:rFonts w:hint="eastAsia" w:ascii="宋体" w:hAnsi="宋体" w:cs="宋体"/>
                <w:i w:val="0"/>
                <w:color w:val="FF0000"/>
                <w:kern w:val="0"/>
                <w:sz w:val="18"/>
                <w:szCs w:val="18"/>
                <w:u w:val="none"/>
                <w:lang w:val="en-US" w:eastAsia="zh-CN" w:bidi="ar"/>
              </w:rPr>
              <w:t>（投标时必须</w:t>
            </w:r>
            <w:r>
              <w:rPr>
                <w:rFonts w:hint="eastAsia" w:ascii="宋体" w:hAnsi="宋体" w:eastAsia="宋体" w:cs="宋体"/>
                <w:i w:val="0"/>
                <w:color w:val="FF0000"/>
                <w:kern w:val="0"/>
                <w:sz w:val="18"/>
                <w:szCs w:val="18"/>
                <w:u w:val="none"/>
                <w:lang w:val="en-US" w:eastAsia="zh-CN" w:bidi="ar"/>
              </w:rPr>
              <w:t>提供国家级检测报告</w:t>
            </w:r>
            <w:r>
              <w:rPr>
                <w:rFonts w:hint="eastAsia" w:ascii="宋体" w:hAnsi="宋体" w:cs="宋体"/>
                <w:i w:val="0"/>
                <w:color w:val="FF0000"/>
                <w:kern w:val="0"/>
                <w:sz w:val="18"/>
                <w:szCs w:val="18"/>
                <w:u w:val="none"/>
                <w:lang w:val="en-US" w:eastAsia="zh-CN" w:bidi="ar"/>
              </w:rPr>
              <w:t>和3C认证）</w:t>
            </w:r>
            <w:r>
              <w:rPr>
                <w:rFonts w:hint="eastAsia" w:ascii="宋体" w:hAnsi="宋体" w:eastAsia="宋体" w:cs="宋体"/>
                <w:i w:val="0"/>
                <w:color w:val="FF0000"/>
                <w:kern w:val="0"/>
                <w:sz w:val="18"/>
                <w:szCs w:val="18"/>
                <w:u w:val="none"/>
                <w:lang w:val="en-US" w:eastAsia="zh-CN" w:bidi="ar"/>
              </w:rPr>
              <w:t>；3、窗内壁采用304不锈钢包衬，内部中空处理；其他材料均采用符合标准的材料）4、钢化玻璃的碎片状态要</w:t>
            </w:r>
            <w:r>
              <w:rPr>
                <w:rStyle w:val="82"/>
                <w:rFonts w:eastAsia="宋体"/>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256.70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color w:val="FF0000"/>
                <w:sz w:val="24"/>
                <w:lang w:val="en-US" w:eastAsia="zh-CN"/>
              </w:rPr>
              <w:t>★</w:t>
            </w:r>
            <w:r>
              <w:rPr>
                <w:rFonts w:hint="eastAsia" w:ascii="宋体" w:hAnsi="宋体" w:eastAsia="宋体" w:cs="宋体"/>
                <w:i w:val="0"/>
                <w:color w:val="000000"/>
                <w:kern w:val="0"/>
                <w:sz w:val="18"/>
                <w:szCs w:val="1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钢质净化密闭平开门</w:t>
            </w:r>
          </w:p>
        </w:tc>
        <w:tc>
          <w:tcPr>
            <w:tcW w:w="5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（1）规格：50系列（50mm)；</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（2）材质：钢板压制及双侧钢化玻璃门窗；</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材料特点:1、门板采用0.8mm钢板折压成型，内采用防火蜂窝纸或岩棉；2、门框采用1.2厚钢板压制成型，链条处采用3mm钢板加固处理；3、观察窗内采用304不锈钢包衬，内部中空处理；其他材料均采用符合标准的材料）4、门扇平面度≤0.8mm/m2,气密试验指标≤0.75m3/m.h</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color w:val="FF0000"/>
                <w:sz w:val="24"/>
                <w:lang w:val="en-US" w:eastAsia="zh-CN"/>
              </w:rPr>
              <w:t>★</w:t>
            </w:r>
            <w:r>
              <w:rPr>
                <w:rFonts w:hint="eastAsia" w:ascii="宋体" w:hAnsi="宋体" w:eastAsia="宋体" w:cs="宋体"/>
                <w:i w:val="0"/>
                <w:color w:val="000000"/>
                <w:kern w:val="0"/>
                <w:sz w:val="18"/>
                <w:szCs w:val="18"/>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钢质净化密闭电动门</w:t>
            </w:r>
          </w:p>
        </w:tc>
        <w:tc>
          <w:tcPr>
            <w:tcW w:w="5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（1）规格：50系列（50mm)；</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（2）材质：优质304不锈钢；</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材料特点:1、门板采用0.8mm钢板折压成型，内采用防火蜂窝纸或岩棉；2、门框采用1.2厚钢板压制成型，链条处采用3mm钢板加固处理；3、观察窗内采用304不锈钢包衬，内部中空处理；其他材料均采用符合标准的材料）4、门扇平面度≤0.8mm/m2,气密试验指标≤0.75m3/m.h</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color w:val="FF0000"/>
                <w:sz w:val="24"/>
                <w:lang w:val="en-US" w:eastAsia="zh-CN"/>
              </w:rPr>
              <w:t>★</w:t>
            </w:r>
            <w:r>
              <w:rPr>
                <w:rFonts w:hint="eastAsia" w:ascii="宋体" w:hAnsi="宋体" w:eastAsia="宋体" w:cs="宋体"/>
                <w:i w:val="0"/>
                <w:color w:val="000000"/>
                <w:kern w:val="0"/>
                <w:sz w:val="18"/>
                <w:szCs w:val="18"/>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304不锈钢制防撞自由净化门</w:t>
            </w:r>
          </w:p>
        </w:tc>
        <w:tc>
          <w:tcPr>
            <w:tcW w:w="5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（1）规格：50系列（50mm)；</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（2）材质：优质304不锈钢及门窗；</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材料特点:1、门板采用0.8mm食品级304不锈钢板折压成型；2、门体四周采用加固高强度铝合金防撞钢梁处理；3、门体填充材料采用铝合金航空异体材料，门板厚度40mm；4、配备进口材料拱形防撞板；其他材料均采用符合标准的材料）5门扇平面度</w:t>
            </w:r>
            <w:r>
              <w:rPr>
                <w:rStyle w:val="82"/>
                <w:rFonts w:eastAsia="宋体"/>
                <w:lang w:val="en-US" w:eastAsia="zh-CN" w:bidi="ar"/>
              </w:rPr>
              <w:t>≤</w:t>
            </w:r>
            <w:r>
              <w:rPr>
                <w:rStyle w:val="81"/>
                <w:lang w:val="en-US" w:eastAsia="zh-CN" w:bidi="ar"/>
              </w:rPr>
              <w:t>0.8mm/m2,气密试验指标</w:t>
            </w:r>
            <w:r>
              <w:rPr>
                <w:rStyle w:val="82"/>
                <w:rFonts w:eastAsia="宋体"/>
                <w:lang w:val="en-US" w:eastAsia="zh-CN" w:bidi="ar"/>
              </w:rPr>
              <w:t>≤</w:t>
            </w:r>
            <w:r>
              <w:rPr>
                <w:rStyle w:val="81"/>
                <w:lang w:val="en-US" w:eastAsia="zh-CN" w:bidi="ar"/>
              </w:rPr>
              <w:t>0.75m3/m.h</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47.25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动力配电系统</w:t>
            </w:r>
          </w:p>
        </w:tc>
        <w:tc>
          <w:tcPr>
            <w:tcW w:w="5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（1）设备参数：箱体采用304不锈钢，内部元器件采用国产优质品牌；</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（2）本系统包含配套设施主辅材（包含防火桥架、KGB线管、国标JKLYJ电缆、国标BV线、86接线盒等，其他材料均采用符合标准的材料）3、国标JKLYJ电缆绝缘平均厚度</w:t>
            </w:r>
            <w:r>
              <w:rPr>
                <w:rStyle w:val="82"/>
                <w:rFonts w:eastAsia="宋体"/>
                <w:lang w:val="en-US" w:eastAsia="zh-CN" w:bidi="ar"/>
              </w:rPr>
              <w:t>≥2.2mm.</w:t>
            </w:r>
            <w:r>
              <w:rPr>
                <w:rStyle w:val="81"/>
                <w:lang w:val="en-US" w:eastAsia="zh-CN" w:bidi="ar"/>
              </w:rPr>
              <w:t>导流直流电阻</w:t>
            </w:r>
            <w:r>
              <w:rPr>
                <w:rStyle w:val="82"/>
                <w:rFonts w:eastAsia="宋体"/>
                <w:lang w:val="en-US" w:eastAsia="zh-CN" w:bidi="ar"/>
              </w:rPr>
              <w:t>≤0.125</w:t>
            </w:r>
            <w:r>
              <w:rPr>
                <w:rStyle w:val="83"/>
                <w:lang w:val="en-US" w:eastAsia="zh-CN" w:bidi="ar"/>
              </w:rPr>
              <w:t>Ω/km</w:t>
            </w:r>
            <w:r>
              <w:rPr>
                <w:rStyle w:val="83"/>
                <w:rFonts w:hint="eastAsia"/>
                <w:lang w:val="en-US" w:eastAsia="zh-CN" w:bidi="ar"/>
              </w:rPr>
              <w:t>。（</w:t>
            </w:r>
            <w:r>
              <w:rPr>
                <w:rFonts w:hint="eastAsia" w:ascii="宋体" w:hAnsi="宋体" w:cs="宋体"/>
                <w:i w:val="0"/>
                <w:color w:val="FF0000"/>
                <w:kern w:val="0"/>
                <w:sz w:val="18"/>
                <w:szCs w:val="18"/>
                <w:u w:val="none"/>
                <w:lang w:val="en-US" w:eastAsia="zh-CN" w:bidi="ar"/>
              </w:rPr>
              <w:t>投标时必须</w:t>
            </w:r>
            <w:r>
              <w:rPr>
                <w:rFonts w:hint="eastAsia" w:ascii="宋体" w:hAnsi="宋体" w:eastAsia="宋体" w:cs="宋体"/>
                <w:i w:val="0"/>
                <w:color w:val="FF0000"/>
                <w:kern w:val="0"/>
                <w:sz w:val="18"/>
                <w:szCs w:val="18"/>
                <w:u w:val="none"/>
                <w:lang w:val="en-US" w:eastAsia="zh-CN" w:bidi="ar"/>
              </w:rPr>
              <w:t>提供</w:t>
            </w:r>
            <w:r>
              <w:rPr>
                <w:rFonts w:hint="eastAsia" w:ascii="宋体" w:hAnsi="宋体" w:cs="宋体"/>
                <w:i w:val="0"/>
                <w:color w:val="FF0000"/>
                <w:kern w:val="0"/>
                <w:sz w:val="18"/>
                <w:szCs w:val="18"/>
                <w:u w:val="none"/>
                <w:lang w:val="en-US" w:eastAsia="zh-CN" w:bidi="ar"/>
              </w:rPr>
              <w:t>电缆线的</w:t>
            </w:r>
            <w:bookmarkStart w:id="94" w:name="_GoBack"/>
            <w:bookmarkEnd w:id="94"/>
            <w:r>
              <w:rPr>
                <w:rFonts w:hint="eastAsia" w:ascii="宋体" w:hAnsi="宋体" w:eastAsia="宋体" w:cs="宋体"/>
                <w:i w:val="0"/>
                <w:color w:val="FF0000"/>
                <w:kern w:val="0"/>
                <w:sz w:val="18"/>
                <w:szCs w:val="18"/>
                <w:u w:val="none"/>
                <w:lang w:val="en-US" w:eastAsia="zh-CN" w:bidi="ar"/>
              </w:rPr>
              <w:t>检测报告</w:t>
            </w:r>
            <w:r>
              <w:rPr>
                <w:rFonts w:hint="eastAsia" w:ascii="宋体" w:hAnsi="宋体" w:cs="宋体"/>
                <w:i w:val="0"/>
                <w:color w:val="FF0000"/>
                <w:kern w:val="0"/>
                <w:sz w:val="18"/>
                <w:szCs w:val="18"/>
                <w:u w:val="none"/>
                <w:lang w:val="en-US" w:eastAsia="zh-CN" w:bidi="ar"/>
              </w:rPr>
              <w:t>和3C认证</w:t>
            </w:r>
            <w:r>
              <w:rPr>
                <w:rStyle w:val="83"/>
                <w:rFonts w:hint="eastAsia"/>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15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彩砂环氧自流平</w:t>
            </w:r>
          </w:p>
        </w:tc>
        <w:tc>
          <w:tcPr>
            <w:tcW w:w="5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（1）规格：H=2mm；</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（2）材质：采砂环氧树脂；</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材料特点:1、面漆涂料中添加彩色树脂砂，颜色可根据用户需求来选择；2、要求水泥素地面牢固结实平整不起壳，原地面最好做不起砂，硬度好，没有水泥粉状；其他材料均采用符合标准的材料）</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rPr>
          <w:rFonts w:hint="eastAsia" w:eastAsia="黑体"/>
          <w:b/>
          <w:sz w:val="36"/>
        </w:rPr>
      </w:pPr>
      <w:r>
        <w:rPr>
          <w:rFonts w:hint="eastAsia" w:eastAsia="黑体"/>
          <w:b/>
          <w:sz w:val="36"/>
        </w:rPr>
        <w:br w:type="page"/>
      </w:r>
    </w:p>
    <w:p>
      <w:pPr>
        <w:pStyle w:val="19"/>
        <w:tabs>
          <w:tab w:val="left" w:pos="0"/>
        </w:tabs>
        <w:spacing w:line="240" w:lineRule="auto"/>
        <w:ind w:left="0" w:leftChars="0" w:firstLine="0" w:firstLineChars="0"/>
        <w:jc w:val="center"/>
        <w:outlineLvl w:val="0"/>
      </w:pPr>
      <w:r>
        <w:rPr>
          <w:rFonts w:hint="eastAsia" w:eastAsia="黑体"/>
          <w:b/>
          <w:sz w:val="36"/>
        </w:rPr>
        <w:t>第五部分   评审方法</w:t>
      </w:r>
      <w:bookmarkEnd w:id="46"/>
    </w:p>
    <w:p>
      <w:pPr>
        <w:spacing w:line="520" w:lineRule="exact"/>
        <w:ind w:right="180"/>
        <w:outlineLvl w:val="1"/>
        <w:rPr>
          <w:rFonts w:ascii="宋体" w:hAnsi="宋体"/>
          <w:b/>
          <w:bCs/>
          <w:sz w:val="24"/>
        </w:rPr>
      </w:pPr>
      <w:r>
        <w:rPr>
          <w:rFonts w:hint="eastAsia" w:ascii="宋体" w:hAnsi="宋体"/>
          <w:b/>
          <w:bCs/>
          <w:sz w:val="24"/>
        </w:rPr>
        <w:t>附表1、初步评审</w:t>
      </w:r>
    </w:p>
    <w:p>
      <w:pPr>
        <w:pStyle w:val="13"/>
        <w:jc w:val="center"/>
      </w:pPr>
      <w:r>
        <w:rPr>
          <w:rFonts w:hint="eastAsia" w:ascii="宋体" w:hAnsi="宋体"/>
          <w:b/>
          <w:bCs/>
          <w:sz w:val="24"/>
        </w:rPr>
        <w:t>资格性审查表</w:t>
      </w:r>
    </w:p>
    <w:tbl>
      <w:tblPr>
        <w:tblStyle w:val="3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535"/>
        <w:gridCol w:w="600"/>
        <w:gridCol w:w="61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71" w:type="dxa"/>
            <w:vMerge w:val="restart"/>
            <w:vAlign w:val="center"/>
          </w:tcPr>
          <w:p>
            <w:pPr>
              <w:spacing w:line="300" w:lineRule="auto"/>
              <w:jc w:val="center"/>
              <w:rPr>
                <w:rFonts w:ascii="宋体" w:hAnsi="宋体" w:cs="宋体"/>
                <w:sz w:val="24"/>
              </w:rPr>
            </w:pPr>
            <w:r>
              <w:rPr>
                <w:rFonts w:hint="eastAsia" w:ascii="宋体" w:hAnsi="宋体" w:cs="宋体"/>
                <w:sz w:val="24"/>
              </w:rPr>
              <w:t>序号</w:t>
            </w:r>
          </w:p>
        </w:tc>
        <w:tc>
          <w:tcPr>
            <w:tcW w:w="6535" w:type="dxa"/>
            <w:vMerge w:val="restart"/>
            <w:vAlign w:val="center"/>
          </w:tcPr>
          <w:p>
            <w:pPr>
              <w:spacing w:line="300" w:lineRule="auto"/>
              <w:jc w:val="center"/>
              <w:rPr>
                <w:rFonts w:ascii="宋体" w:hAnsi="宋体" w:cs="宋体"/>
                <w:sz w:val="24"/>
              </w:rPr>
            </w:pPr>
            <w:r>
              <w:rPr>
                <w:rFonts w:hint="eastAsia" w:ascii="宋体" w:hAnsi="宋体" w:cs="宋体"/>
                <w:sz w:val="24"/>
              </w:rPr>
              <w:t>评审内容</w:t>
            </w:r>
          </w:p>
        </w:tc>
        <w:tc>
          <w:tcPr>
            <w:tcW w:w="1920" w:type="dxa"/>
            <w:gridSpan w:val="3"/>
            <w:vAlign w:val="center"/>
          </w:tcPr>
          <w:p>
            <w:pPr>
              <w:spacing w:line="300" w:lineRule="auto"/>
              <w:jc w:val="center"/>
              <w:rPr>
                <w:rFonts w:ascii="宋体" w:hAnsi="宋体" w:cs="宋体"/>
                <w:sz w:val="24"/>
              </w:rPr>
            </w:pPr>
            <w:r>
              <w:rPr>
                <w:rFonts w:hint="eastAsia" w:ascii="宋体" w:hAnsi="宋体" w:cs="宋体"/>
                <w:sz w:val="24"/>
              </w:rPr>
              <w:t>投标商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1" w:type="dxa"/>
            <w:vMerge w:val="continue"/>
            <w:vAlign w:val="center"/>
          </w:tcPr>
          <w:p>
            <w:pPr>
              <w:spacing w:line="300" w:lineRule="auto"/>
              <w:jc w:val="center"/>
              <w:rPr>
                <w:rFonts w:ascii="宋体" w:hAnsi="宋体" w:cs="宋体"/>
                <w:sz w:val="24"/>
              </w:rPr>
            </w:pPr>
          </w:p>
        </w:tc>
        <w:tc>
          <w:tcPr>
            <w:tcW w:w="6535" w:type="dxa"/>
            <w:vMerge w:val="continue"/>
            <w:vAlign w:val="center"/>
          </w:tcPr>
          <w:p>
            <w:pPr>
              <w:spacing w:line="300" w:lineRule="auto"/>
              <w:jc w:val="center"/>
              <w:rPr>
                <w:rFonts w:ascii="宋体" w:hAnsi="宋体" w:cs="宋体"/>
                <w:sz w:val="24"/>
              </w:rPr>
            </w:pPr>
          </w:p>
        </w:tc>
        <w:tc>
          <w:tcPr>
            <w:tcW w:w="600" w:type="dxa"/>
            <w:vAlign w:val="center"/>
          </w:tcPr>
          <w:p>
            <w:pPr>
              <w:spacing w:line="300" w:lineRule="auto"/>
              <w:jc w:val="center"/>
              <w:rPr>
                <w:rFonts w:ascii="宋体" w:hAnsi="宋体" w:cs="宋体"/>
                <w:sz w:val="24"/>
              </w:rPr>
            </w:pPr>
            <w:r>
              <w:rPr>
                <w:rFonts w:hint="eastAsia" w:ascii="宋体" w:hAnsi="宋体" w:cs="宋体"/>
                <w:sz w:val="24"/>
              </w:rPr>
              <w:t>1</w:t>
            </w:r>
          </w:p>
        </w:tc>
        <w:tc>
          <w:tcPr>
            <w:tcW w:w="615" w:type="dxa"/>
            <w:vAlign w:val="center"/>
          </w:tcPr>
          <w:p>
            <w:pPr>
              <w:spacing w:line="300" w:lineRule="auto"/>
              <w:jc w:val="center"/>
              <w:rPr>
                <w:rFonts w:ascii="宋体" w:hAnsi="宋体" w:cs="宋体"/>
                <w:sz w:val="24"/>
              </w:rPr>
            </w:pPr>
            <w:r>
              <w:rPr>
                <w:rFonts w:hint="eastAsia" w:ascii="宋体" w:hAnsi="宋体" w:cs="宋体"/>
                <w:sz w:val="24"/>
              </w:rPr>
              <w:t>2</w:t>
            </w:r>
          </w:p>
        </w:tc>
        <w:tc>
          <w:tcPr>
            <w:tcW w:w="705" w:type="dxa"/>
            <w:vAlign w:val="center"/>
          </w:tcPr>
          <w:p>
            <w:pPr>
              <w:spacing w:line="30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71" w:type="dxa"/>
            <w:vAlign w:val="center"/>
          </w:tcPr>
          <w:p>
            <w:pPr>
              <w:spacing w:line="300" w:lineRule="auto"/>
              <w:jc w:val="center"/>
              <w:rPr>
                <w:rFonts w:ascii="宋体" w:hAnsi="宋体" w:cs="宋体"/>
                <w:sz w:val="24"/>
              </w:rPr>
            </w:pPr>
            <w:r>
              <w:rPr>
                <w:rFonts w:hint="eastAsia" w:ascii="宋体" w:hAnsi="宋体" w:cs="宋体"/>
                <w:sz w:val="24"/>
              </w:rPr>
              <w:t>1</w:t>
            </w:r>
          </w:p>
        </w:tc>
        <w:tc>
          <w:tcPr>
            <w:tcW w:w="6535" w:type="dxa"/>
            <w:vAlign w:val="center"/>
          </w:tcPr>
          <w:p>
            <w:pPr>
              <w:pStyle w:val="33"/>
              <w:widowControl/>
              <w:spacing w:line="400" w:lineRule="exact"/>
              <w:jc w:val="left"/>
              <w:rPr>
                <w:rFonts w:ascii="宋体" w:hAnsi="宋体" w:cs="宋体"/>
              </w:rPr>
            </w:pPr>
            <w:r>
              <w:rPr>
                <w:rFonts w:hint="eastAsia" w:ascii="宋体" w:hAnsi="宋体" w:cs="宋体"/>
                <w:color w:val="000000" w:themeColor="text1"/>
                <w:kern w:val="0"/>
                <w14:textFill>
                  <w14:solidFill>
                    <w14:schemeClr w14:val="tx1"/>
                  </w14:solidFill>
                </w14:textFill>
              </w:rPr>
              <w:t>具有独立承担民事责任的能力（具备相应经营范围的企业营业执照副本）复印件；</w:t>
            </w:r>
          </w:p>
        </w:tc>
        <w:tc>
          <w:tcPr>
            <w:tcW w:w="600" w:type="dxa"/>
          </w:tcPr>
          <w:p>
            <w:pPr>
              <w:spacing w:line="300" w:lineRule="auto"/>
              <w:rPr>
                <w:rFonts w:ascii="宋体" w:hAnsi="宋体" w:cs="宋体"/>
                <w:sz w:val="24"/>
              </w:rPr>
            </w:pPr>
          </w:p>
        </w:tc>
        <w:tc>
          <w:tcPr>
            <w:tcW w:w="615" w:type="dxa"/>
          </w:tcPr>
          <w:p>
            <w:pPr>
              <w:spacing w:line="300" w:lineRule="auto"/>
              <w:rPr>
                <w:rFonts w:ascii="宋体" w:hAnsi="宋体" w:cs="宋体"/>
                <w:sz w:val="24"/>
              </w:rPr>
            </w:pPr>
          </w:p>
        </w:tc>
        <w:tc>
          <w:tcPr>
            <w:tcW w:w="705" w:type="dxa"/>
          </w:tcPr>
          <w:p>
            <w:pPr>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1" w:type="dxa"/>
            <w:vAlign w:val="center"/>
          </w:tcPr>
          <w:p>
            <w:pPr>
              <w:spacing w:line="300" w:lineRule="auto"/>
              <w:jc w:val="center"/>
              <w:rPr>
                <w:rFonts w:ascii="宋体" w:hAnsi="宋体" w:cs="宋体"/>
                <w:sz w:val="24"/>
              </w:rPr>
            </w:pPr>
            <w:r>
              <w:rPr>
                <w:rFonts w:hint="eastAsia" w:ascii="宋体" w:hAnsi="宋体" w:cs="宋体"/>
                <w:sz w:val="24"/>
              </w:rPr>
              <w:t>2</w:t>
            </w:r>
          </w:p>
        </w:tc>
        <w:tc>
          <w:tcPr>
            <w:tcW w:w="6535" w:type="dxa"/>
            <w:vAlign w:val="center"/>
          </w:tcPr>
          <w:p>
            <w:pPr>
              <w:pStyle w:val="33"/>
              <w:widowControl/>
              <w:spacing w:line="400" w:lineRule="exact"/>
              <w:jc w:val="left"/>
              <w:rPr>
                <w:rFonts w:ascii="宋体" w:hAnsi="宋体" w:cs="宋体"/>
              </w:rPr>
            </w:pPr>
            <w:r>
              <w:rPr>
                <w:rFonts w:hint="eastAsia" w:ascii="宋体" w:hAnsi="宋体" w:cs="宋体"/>
                <w:color w:val="000000" w:themeColor="text1"/>
                <w:kern w:val="0"/>
                <w14:textFill>
                  <w14:solidFill>
                    <w14:schemeClr w14:val="tx1"/>
                  </w14:solidFill>
                </w14:textFill>
              </w:rPr>
              <w:t>具有良好的商业信誉和健全的财务会计制度（提供</w:t>
            </w:r>
            <w:r>
              <w:rPr>
                <w:rFonts w:hint="eastAsia" w:ascii="宋体" w:hAnsi="宋体" w:cs="宋体"/>
                <w:color w:val="000000" w:themeColor="text1"/>
                <w:kern w:val="0"/>
                <w:lang w:eastAsia="zh-CN"/>
                <w14:textFill>
                  <w14:solidFill>
                    <w14:schemeClr w14:val="tx1"/>
                  </w14:solidFill>
                </w14:textFill>
              </w:rPr>
              <w:t>近一年</w:t>
            </w:r>
            <w:r>
              <w:rPr>
                <w:rFonts w:hint="eastAsia" w:ascii="宋体" w:hAnsi="宋体" w:cs="宋体"/>
                <w:color w:val="000000" w:themeColor="text1"/>
                <w:kern w:val="0"/>
                <w14:textFill>
                  <w14:solidFill>
                    <w14:schemeClr w14:val="tx1"/>
                  </w14:solidFill>
                </w14:textFill>
              </w:rPr>
              <w:t>财务审计报告或财务报表）；</w:t>
            </w:r>
          </w:p>
        </w:tc>
        <w:tc>
          <w:tcPr>
            <w:tcW w:w="600" w:type="dxa"/>
          </w:tcPr>
          <w:p>
            <w:pPr>
              <w:spacing w:line="300" w:lineRule="auto"/>
              <w:rPr>
                <w:rFonts w:ascii="宋体" w:hAnsi="宋体" w:cs="宋体"/>
                <w:sz w:val="24"/>
              </w:rPr>
            </w:pPr>
          </w:p>
        </w:tc>
        <w:tc>
          <w:tcPr>
            <w:tcW w:w="615" w:type="dxa"/>
          </w:tcPr>
          <w:p>
            <w:pPr>
              <w:spacing w:line="300" w:lineRule="auto"/>
              <w:rPr>
                <w:rFonts w:ascii="宋体" w:hAnsi="宋体" w:cs="宋体"/>
                <w:sz w:val="24"/>
              </w:rPr>
            </w:pPr>
          </w:p>
        </w:tc>
        <w:tc>
          <w:tcPr>
            <w:tcW w:w="705" w:type="dxa"/>
          </w:tcPr>
          <w:p>
            <w:pPr>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71" w:type="dxa"/>
            <w:vAlign w:val="center"/>
          </w:tcPr>
          <w:p>
            <w:pPr>
              <w:spacing w:line="300" w:lineRule="auto"/>
              <w:jc w:val="center"/>
              <w:rPr>
                <w:rFonts w:ascii="宋体" w:hAnsi="宋体" w:cs="宋体"/>
                <w:sz w:val="24"/>
              </w:rPr>
            </w:pPr>
            <w:r>
              <w:rPr>
                <w:rFonts w:hint="eastAsia" w:ascii="宋体" w:hAnsi="宋体" w:cs="宋体"/>
                <w:sz w:val="24"/>
              </w:rPr>
              <w:t>3</w:t>
            </w:r>
          </w:p>
        </w:tc>
        <w:tc>
          <w:tcPr>
            <w:tcW w:w="6535" w:type="dxa"/>
            <w:vAlign w:val="center"/>
          </w:tcPr>
          <w:p>
            <w:pPr>
              <w:pStyle w:val="33"/>
              <w:widowControl/>
              <w:spacing w:line="400" w:lineRule="exact"/>
              <w:jc w:val="left"/>
              <w:rPr>
                <w:rFonts w:ascii="宋体" w:hAnsi="宋体" w:cs="宋体"/>
                <w:bCs/>
                <w:kern w:val="0"/>
                <w:shd w:val="clear" w:color="auto" w:fill="FFFFFF"/>
              </w:rPr>
            </w:pPr>
            <w:r>
              <w:rPr>
                <w:rFonts w:hint="eastAsia" w:ascii="宋体" w:hAnsi="宋体" w:cs="宋体"/>
                <w:color w:val="000000" w:themeColor="text1"/>
                <w:kern w:val="0"/>
                <w14:textFill>
                  <w14:solidFill>
                    <w14:schemeClr w14:val="tx1"/>
                  </w14:solidFill>
                </w14:textFill>
              </w:rPr>
              <w:t>具有履行合同所必需的设施设备和专业技术能力（提供售后服务相关证明资料）；</w:t>
            </w:r>
          </w:p>
        </w:tc>
        <w:tc>
          <w:tcPr>
            <w:tcW w:w="600" w:type="dxa"/>
          </w:tcPr>
          <w:p>
            <w:pPr>
              <w:spacing w:line="300" w:lineRule="auto"/>
              <w:rPr>
                <w:rFonts w:ascii="宋体" w:hAnsi="宋体" w:cs="宋体"/>
                <w:sz w:val="24"/>
              </w:rPr>
            </w:pPr>
          </w:p>
        </w:tc>
        <w:tc>
          <w:tcPr>
            <w:tcW w:w="615" w:type="dxa"/>
          </w:tcPr>
          <w:p>
            <w:pPr>
              <w:spacing w:line="300" w:lineRule="auto"/>
              <w:rPr>
                <w:rFonts w:ascii="宋体" w:hAnsi="宋体" w:cs="宋体"/>
                <w:sz w:val="24"/>
              </w:rPr>
            </w:pPr>
          </w:p>
        </w:tc>
        <w:tc>
          <w:tcPr>
            <w:tcW w:w="705" w:type="dxa"/>
          </w:tcPr>
          <w:p>
            <w:pPr>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1" w:type="dxa"/>
            <w:vAlign w:val="center"/>
          </w:tcPr>
          <w:p>
            <w:pPr>
              <w:spacing w:line="300" w:lineRule="auto"/>
              <w:jc w:val="center"/>
              <w:rPr>
                <w:rFonts w:ascii="宋体" w:hAnsi="宋体" w:cs="宋体"/>
                <w:sz w:val="24"/>
              </w:rPr>
            </w:pPr>
            <w:r>
              <w:rPr>
                <w:rFonts w:hint="eastAsia" w:ascii="宋体" w:hAnsi="宋体" w:cs="宋体"/>
                <w:sz w:val="24"/>
              </w:rPr>
              <w:t>4</w:t>
            </w:r>
          </w:p>
        </w:tc>
        <w:tc>
          <w:tcPr>
            <w:tcW w:w="6535" w:type="dxa"/>
            <w:vAlign w:val="center"/>
          </w:tcPr>
          <w:p>
            <w:pPr>
              <w:widowControl/>
              <w:spacing w:line="400" w:lineRule="exact"/>
              <w:jc w:val="left"/>
              <w:textAlignment w:val="baseline"/>
              <w:rPr>
                <w:rFonts w:ascii="宋体" w:hAnsi="宋体" w:cs="宋体"/>
                <w:sz w:val="24"/>
              </w:rPr>
            </w:pPr>
            <w:r>
              <w:rPr>
                <w:rFonts w:hint="eastAsia" w:ascii="宋体" w:hAnsi="宋体" w:cs="宋体"/>
                <w:color w:val="000000" w:themeColor="text1"/>
                <w:kern w:val="0"/>
                <w:sz w:val="24"/>
                <w14:textFill>
                  <w14:solidFill>
                    <w14:schemeClr w14:val="tx1"/>
                  </w14:solidFill>
                </w14:textFill>
              </w:rPr>
              <w:t>有依法缴纳税收</w:t>
            </w:r>
            <w:r>
              <w:rPr>
                <w:rFonts w:hint="eastAsia" w:ascii="宋体" w:hAnsi="宋体" w:cs="宋体"/>
                <w:color w:val="000000" w:themeColor="text1"/>
                <w:kern w:val="0"/>
                <w:sz w:val="24"/>
                <w:lang w:eastAsia="zh-CN"/>
                <w14:textFill>
                  <w14:solidFill>
                    <w14:schemeClr w14:val="tx1"/>
                  </w14:solidFill>
                </w14:textFill>
              </w:rPr>
              <w:t>和</w:t>
            </w:r>
            <w:r>
              <w:rPr>
                <w:rFonts w:hint="eastAsia" w:ascii="宋体" w:hAnsi="宋体" w:cs="宋体"/>
                <w:color w:val="000000" w:themeColor="text1"/>
                <w:kern w:val="0"/>
                <w:sz w:val="24"/>
                <w14:textFill>
                  <w14:solidFill>
                    <w14:schemeClr w14:val="tx1"/>
                  </w14:solidFill>
                </w14:textFill>
              </w:rPr>
              <w:t>社保的良好纪录，提供近半年连续缴纳税收证明</w:t>
            </w:r>
            <w:r>
              <w:rPr>
                <w:rFonts w:hint="eastAsia" w:ascii="宋体" w:hAnsi="宋体" w:cs="宋体"/>
                <w:color w:val="000000" w:themeColor="text1"/>
                <w:kern w:val="0"/>
                <w:sz w:val="24"/>
                <w:lang w:eastAsia="zh-CN"/>
                <w14:textFill>
                  <w14:solidFill>
                    <w14:schemeClr w14:val="tx1"/>
                  </w14:solidFill>
                </w14:textFill>
              </w:rPr>
              <w:t>和</w:t>
            </w:r>
            <w:r>
              <w:rPr>
                <w:rFonts w:hint="eastAsia" w:ascii="宋体" w:hAnsi="宋体" w:cs="宋体"/>
                <w:color w:val="000000" w:themeColor="text1"/>
                <w:kern w:val="0"/>
                <w:sz w:val="24"/>
                <w14:textFill>
                  <w14:solidFill>
                    <w14:schemeClr w14:val="tx1"/>
                  </w14:solidFill>
                </w14:textFill>
              </w:rPr>
              <w:t>缴纳</w:t>
            </w:r>
            <w:r>
              <w:rPr>
                <w:rFonts w:hint="eastAsia" w:ascii="宋体" w:hAnsi="宋体" w:cs="宋体"/>
                <w:color w:val="000000" w:themeColor="text1"/>
                <w:kern w:val="0"/>
                <w:sz w:val="24"/>
                <w:lang w:eastAsia="zh-CN"/>
                <w14:textFill>
                  <w14:solidFill>
                    <w14:schemeClr w14:val="tx1"/>
                  </w14:solidFill>
                </w14:textFill>
              </w:rPr>
              <w:t>社保证明</w:t>
            </w:r>
            <w:r>
              <w:rPr>
                <w:rFonts w:hint="eastAsia" w:ascii="宋体" w:hAnsi="宋体" w:cs="宋体"/>
                <w:color w:val="000000" w:themeColor="text1"/>
                <w:kern w:val="0"/>
                <w:sz w:val="24"/>
                <w14:textFill>
                  <w14:solidFill>
                    <w14:schemeClr w14:val="tx1"/>
                  </w14:solidFill>
                </w14:textFill>
              </w:rPr>
              <w:t>；</w:t>
            </w:r>
          </w:p>
        </w:tc>
        <w:tc>
          <w:tcPr>
            <w:tcW w:w="600" w:type="dxa"/>
          </w:tcPr>
          <w:p>
            <w:pPr>
              <w:spacing w:line="300" w:lineRule="auto"/>
              <w:rPr>
                <w:rFonts w:ascii="宋体" w:hAnsi="宋体" w:cs="宋体"/>
                <w:sz w:val="24"/>
              </w:rPr>
            </w:pPr>
          </w:p>
        </w:tc>
        <w:tc>
          <w:tcPr>
            <w:tcW w:w="615" w:type="dxa"/>
          </w:tcPr>
          <w:p>
            <w:pPr>
              <w:spacing w:line="300" w:lineRule="auto"/>
              <w:rPr>
                <w:rFonts w:ascii="宋体" w:hAnsi="宋体" w:cs="宋体"/>
                <w:sz w:val="24"/>
              </w:rPr>
            </w:pPr>
          </w:p>
        </w:tc>
        <w:tc>
          <w:tcPr>
            <w:tcW w:w="705" w:type="dxa"/>
          </w:tcPr>
          <w:p>
            <w:pPr>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1" w:type="dxa"/>
            <w:vAlign w:val="center"/>
          </w:tcPr>
          <w:p>
            <w:pPr>
              <w:spacing w:line="300" w:lineRule="auto"/>
              <w:jc w:val="center"/>
              <w:rPr>
                <w:rFonts w:ascii="宋体" w:hAnsi="宋体" w:cs="宋体"/>
                <w:sz w:val="24"/>
              </w:rPr>
            </w:pPr>
            <w:r>
              <w:rPr>
                <w:rFonts w:hint="eastAsia" w:ascii="宋体" w:hAnsi="宋体" w:cs="宋体"/>
                <w:sz w:val="24"/>
              </w:rPr>
              <w:t>5</w:t>
            </w:r>
          </w:p>
        </w:tc>
        <w:tc>
          <w:tcPr>
            <w:tcW w:w="6535" w:type="dxa"/>
            <w:vAlign w:val="center"/>
          </w:tcPr>
          <w:p>
            <w:pPr>
              <w:pStyle w:val="2"/>
              <w:spacing w:line="300" w:lineRule="auto"/>
              <w:rPr>
                <w:rFonts w:ascii="宋体" w:hAnsi="宋体" w:cs="宋体"/>
                <w:sz w:val="24"/>
              </w:rPr>
            </w:pPr>
            <w:r>
              <w:rPr>
                <w:rFonts w:hint="eastAsia" w:ascii="宋体" w:hAnsi="宋体" w:cs="宋体"/>
                <w:color w:val="000000" w:themeColor="text1"/>
                <w:kern w:val="0"/>
                <w:sz w:val="24"/>
                <w14:textFill>
                  <w14:solidFill>
                    <w14:schemeClr w14:val="tx1"/>
                  </w14:solidFill>
                </w14:textFill>
              </w:rPr>
              <w:t>参加此项采购活动前三年内，在经营活动中没有重大违法记录(受行政主管部门的处罚不能参加投标)，包括但不限于以下：</w:t>
            </w:r>
            <w:r>
              <w:rPr>
                <w:rFonts w:ascii="宋体" w:hAnsi="宋体" w:cs="宋体"/>
                <w:color w:val="000000" w:themeColor="text1"/>
                <w:kern w:val="0"/>
                <w:sz w:val="24"/>
                <w14:textFill>
                  <w14:solidFill>
                    <w14:schemeClr w14:val="tx1"/>
                  </w14:solidFill>
                </w14:textFill>
              </w:rPr>
              <w:t>国家企业信用信息公示</w:t>
            </w:r>
            <w:r>
              <w:rPr>
                <w:rFonts w:hint="eastAsia" w:ascii="宋体" w:hAnsi="宋体" w:cs="宋体"/>
                <w:color w:val="000000" w:themeColor="text1"/>
                <w:kern w:val="0"/>
                <w:sz w:val="24"/>
                <w14:textFill>
                  <w14:solidFill>
                    <w14:schemeClr w14:val="tx1"/>
                  </w14:solidFill>
                </w14:textFill>
              </w:rPr>
              <w:t>（</w:t>
            </w:r>
            <w:r>
              <w:fldChar w:fldCharType="begin"/>
            </w:r>
            <w:r>
              <w:instrText xml:space="preserve"> HYPERLINK "http://www.gsxt.gov.cn/%EF%BC%89%E6%9F%A5%E8%AF%A2%E7%BB%93%E6%9E%9C%EF%BC%9B" </w:instrText>
            </w:r>
            <w:r>
              <w:fldChar w:fldCharType="separate"/>
            </w:r>
            <w:r>
              <w:rPr>
                <w:rFonts w:ascii="宋体" w:hAnsi="宋体" w:cs="宋体"/>
                <w:color w:val="000000" w:themeColor="text1"/>
                <w:kern w:val="0"/>
                <w:sz w:val="24"/>
                <w14:textFill>
                  <w14:solidFill>
                    <w14:schemeClr w14:val="tx1"/>
                  </w14:solidFill>
                </w14:textFill>
              </w:rPr>
              <w:t>http://www.gsxt.gov.cn/）</w:t>
            </w:r>
            <w:r>
              <w:rPr>
                <w:rFonts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、“中国政府采购网”（http://www.ccgp.gov.cn）及</w:t>
            </w:r>
            <w:r>
              <w:rPr>
                <w:rFonts w:ascii="宋体" w:hAnsi="宋体" w:cs="宋体"/>
                <w:color w:val="000000" w:themeColor="text1"/>
                <w:kern w:val="0"/>
                <w:sz w:val="24"/>
                <w14:textFill>
                  <w14:solidFill>
                    <w14:schemeClr w14:val="tx1"/>
                  </w14:solidFill>
                </w14:textFill>
              </w:rPr>
              <w:t>信用中国（</w:t>
            </w:r>
            <w:r>
              <w:fldChar w:fldCharType="begin"/>
            </w:r>
            <w:r>
              <w:instrText xml:space="preserve"> HYPERLINK "http://www.creditchina.gov.xn--cn);-7z1irop93kd3v/" </w:instrText>
            </w:r>
            <w:r>
              <w:fldChar w:fldCharType="separate"/>
            </w:r>
            <w:r>
              <w:rPr>
                <w:rFonts w:ascii="宋体" w:hAnsi="宋体" w:cs="宋体"/>
                <w:color w:val="000000" w:themeColor="text1"/>
                <w:kern w:val="0"/>
                <w:sz w:val="24"/>
                <w14:textFill>
                  <w14:solidFill>
                    <w14:schemeClr w14:val="tx1"/>
                  </w14:solidFill>
                </w14:textFill>
              </w:rPr>
              <w:t>www.creditchina.gov.cn）</w:t>
            </w:r>
            <w:r>
              <w:rPr>
                <w:rFonts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等无违法违规行为的查询</w:t>
            </w:r>
            <w:r>
              <w:rPr>
                <w:rFonts w:ascii="宋体" w:hAnsi="宋体" w:cs="宋体"/>
                <w:color w:val="000000" w:themeColor="text1"/>
                <w:kern w:val="0"/>
                <w:sz w:val="24"/>
                <w14:textFill>
                  <w14:solidFill>
                    <w14:schemeClr w14:val="tx1"/>
                  </w14:solidFill>
                </w14:textFill>
              </w:rPr>
              <w:t>结果</w:t>
            </w:r>
            <w:r>
              <w:rPr>
                <w:rFonts w:hint="eastAsia" w:ascii="宋体" w:hAnsi="宋体" w:cs="宋体"/>
                <w:color w:val="000000" w:themeColor="text1"/>
                <w:kern w:val="0"/>
                <w:sz w:val="24"/>
                <w14:textFill>
                  <w14:solidFill>
                    <w14:schemeClr w14:val="tx1"/>
                  </w14:solidFill>
                </w14:textFill>
              </w:rPr>
              <w:t>记录，查询日期为招标公告发布之后开标时间之前；</w:t>
            </w:r>
          </w:p>
        </w:tc>
        <w:tc>
          <w:tcPr>
            <w:tcW w:w="600" w:type="dxa"/>
          </w:tcPr>
          <w:p>
            <w:pPr>
              <w:spacing w:line="300" w:lineRule="auto"/>
              <w:rPr>
                <w:rFonts w:ascii="宋体" w:hAnsi="宋体" w:cs="宋体"/>
                <w:sz w:val="24"/>
              </w:rPr>
            </w:pPr>
          </w:p>
        </w:tc>
        <w:tc>
          <w:tcPr>
            <w:tcW w:w="615" w:type="dxa"/>
          </w:tcPr>
          <w:p>
            <w:pPr>
              <w:spacing w:line="300" w:lineRule="auto"/>
              <w:rPr>
                <w:rFonts w:ascii="宋体" w:hAnsi="宋体" w:cs="宋体"/>
                <w:sz w:val="24"/>
              </w:rPr>
            </w:pPr>
          </w:p>
        </w:tc>
        <w:tc>
          <w:tcPr>
            <w:tcW w:w="705" w:type="dxa"/>
          </w:tcPr>
          <w:p>
            <w:pPr>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1" w:type="dxa"/>
            <w:vAlign w:val="center"/>
          </w:tcPr>
          <w:p>
            <w:pPr>
              <w:spacing w:line="300" w:lineRule="auto"/>
              <w:jc w:val="center"/>
              <w:rPr>
                <w:rFonts w:ascii="宋体" w:hAnsi="宋体" w:cs="宋体"/>
                <w:sz w:val="24"/>
              </w:rPr>
            </w:pPr>
            <w:r>
              <w:rPr>
                <w:rFonts w:hint="eastAsia" w:ascii="宋体" w:hAnsi="宋体" w:cs="宋体"/>
                <w:sz w:val="24"/>
              </w:rPr>
              <w:t>6</w:t>
            </w:r>
          </w:p>
        </w:tc>
        <w:tc>
          <w:tcPr>
            <w:tcW w:w="6535" w:type="dxa"/>
            <w:vAlign w:val="center"/>
          </w:tcPr>
          <w:p>
            <w:pPr>
              <w:pStyle w:val="2"/>
              <w:spacing w:line="300" w:lineRule="auto"/>
              <w:rPr>
                <w:sz w:val="22"/>
                <w:szCs w:val="28"/>
              </w:rPr>
            </w:pPr>
            <w:r>
              <w:rPr>
                <w:rFonts w:hint="eastAsia" w:ascii="宋体" w:hAnsi="宋体" w:cs="宋体"/>
                <w:color w:val="000000" w:themeColor="text1"/>
                <w:kern w:val="0"/>
                <w:sz w:val="24"/>
                <w14:textFill>
                  <w14:solidFill>
                    <w14:schemeClr w14:val="tx1"/>
                  </w14:solidFill>
                </w14:textFill>
              </w:rPr>
              <w:t>法定代表人身份证明及身份证、社保证明，</w:t>
            </w:r>
            <w:r>
              <w:rPr>
                <w:rFonts w:hint="eastAsia" w:ascii="宋体" w:hAnsi="宋体" w:cs="宋体"/>
                <w:color w:val="000000" w:themeColor="text1"/>
                <w:kern w:val="0"/>
                <w:sz w:val="24"/>
                <w:lang w:eastAsia="zh-CN"/>
                <w14:textFill>
                  <w14:solidFill>
                    <w14:schemeClr w14:val="tx1"/>
                  </w14:solidFill>
                </w14:textFill>
              </w:rPr>
              <w:t>或</w:t>
            </w:r>
            <w:r>
              <w:rPr>
                <w:rFonts w:hint="eastAsia" w:ascii="宋体" w:hAnsi="宋体" w:cs="宋体"/>
                <w:color w:val="000000" w:themeColor="text1"/>
                <w:kern w:val="0"/>
                <w:sz w:val="24"/>
                <w14:textFill>
                  <w14:solidFill>
                    <w14:schemeClr w14:val="tx1"/>
                  </w14:solidFill>
                </w14:textFill>
              </w:rPr>
              <w:t>法人代表授权书原件及被授权人身份证、社保证明；</w:t>
            </w:r>
          </w:p>
        </w:tc>
        <w:tc>
          <w:tcPr>
            <w:tcW w:w="600" w:type="dxa"/>
          </w:tcPr>
          <w:p>
            <w:pPr>
              <w:spacing w:line="300" w:lineRule="auto"/>
              <w:rPr>
                <w:rFonts w:ascii="宋体" w:hAnsi="宋体" w:cs="宋体"/>
                <w:sz w:val="24"/>
              </w:rPr>
            </w:pPr>
          </w:p>
        </w:tc>
        <w:tc>
          <w:tcPr>
            <w:tcW w:w="615" w:type="dxa"/>
          </w:tcPr>
          <w:p>
            <w:pPr>
              <w:spacing w:line="300" w:lineRule="auto"/>
              <w:rPr>
                <w:rFonts w:ascii="宋体" w:hAnsi="宋体" w:cs="宋体"/>
                <w:sz w:val="24"/>
              </w:rPr>
            </w:pPr>
          </w:p>
        </w:tc>
        <w:tc>
          <w:tcPr>
            <w:tcW w:w="705" w:type="dxa"/>
          </w:tcPr>
          <w:p>
            <w:pPr>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1" w:type="dxa"/>
            <w:vAlign w:val="center"/>
          </w:tcPr>
          <w:p>
            <w:pPr>
              <w:spacing w:line="300" w:lineRule="auto"/>
              <w:jc w:val="center"/>
              <w:rPr>
                <w:rFonts w:ascii="宋体" w:hAnsi="宋体" w:cs="宋体"/>
                <w:sz w:val="24"/>
              </w:rPr>
            </w:pPr>
            <w:r>
              <w:rPr>
                <w:rFonts w:hint="eastAsia" w:ascii="宋体" w:hAnsi="宋体" w:cs="宋体"/>
                <w:sz w:val="24"/>
              </w:rPr>
              <w:t>7</w:t>
            </w:r>
          </w:p>
        </w:tc>
        <w:tc>
          <w:tcPr>
            <w:tcW w:w="6535" w:type="dxa"/>
            <w:vAlign w:val="center"/>
          </w:tcPr>
          <w:p>
            <w:pPr>
              <w:pStyle w:val="33"/>
              <w:widowControl/>
              <w:spacing w:line="400" w:lineRule="exact"/>
              <w:jc w:val="left"/>
              <w:rPr>
                <w:rFonts w:ascii="宋体" w:hAnsi="宋体" w:cs="宋体"/>
                <w:sz w:val="24"/>
              </w:rPr>
            </w:pPr>
            <w:r>
              <w:rPr>
                <w:rFonts w:hint="eastAsia" w:ascii="宋体" w:hAnsi="宋体" w:cs="宋体"/>
              </w:rPr>
              <w:t>投标保证金收据、打款凭证电子回单加盖公章、开户许可证或银行开户信息证明；</w:t>
            </w:r>
          </w:p>
        </w:tc>
        <w:tc>
          <w:tcPr>
            <w:tcW w:w="600" w:type="dxa"/>
          </w:tcPr>
          <w:p>
            <w:pPr>
              <w:spacing w:line="300" w:lineRule="auto"/>
              <w:rPr>
                <w:rFonts w:ascii="宋体" w:hAnsi="宋体" w:cs="宋体"/>
                <w:sz w:val="24"/>
              </w:rPr>
            </w:pPr>
          </w:p>
        </w:tc>
        <w:tc>
          <w:tcPr>
            <w:tcW w:w="615" w:type="dxa"/>
          </w:tcPr>
          <w:p>
            <w:pPr>
              <w:spacing w:line="300" w:lineRule="auto"/>
              <w:rPr>
                <w:rFonts w:ascii="宋体" w:hAnsi="宋体" w:cs="宋体"/>
                <w:sz w:val="24"/>
              </w:rPr>
            </w:pPr>
          </w:p>
        </w:tc>
        <w:tc>
          <w:tcPr>
            <w:tcW w:w="705" w:type="dxa"/>
          </w:tcPr>
          <w:p>
            <w:pPr>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06" w:type="dxa"/>
            <w:gridSpan w:val="2"/>
            <w:vAlign w:val="center"/>
          </w:tcPr>
          <w:p>
            <w:pPr>
              <w:tabs>
                <w:tab w:val="left" w:pos="2488"/>
              </w:tabs>
              <w:spacing w:line="300" w:lineRule="auto"/>
              <w:jc w:val="left"/>
              <w:rPr>
                <w:rFonts w:ascii="宋体" w:hAnsi="宋体" w:cs="宋体"/>
                <w:sz w:val="24"/>
              </w:rPr>
            </w:pPr>
            <w:r>
              <w:rPr>
                <w:rFonts w:hint="eastAsia" w:ascii="宋体" w:hAnsi="宋体" w:cs="宋体"/>
                <w:sz w:val="24"/>
              </w:rPr>
              <w:t>结论：通过评审打“√”，未通过评审打“×”并写明具体原因</w:t>
            </w:r>
          </w:p>
        </w:tc>
        <w:tc>
          <w:tcPr>
            <w:tcW w:w="600" w:type="dxa"/>
          </w:tcPr>
          <w:p>
            <w:pPr>
              <w:spacing w:line="300" w:lineRule="auto"/>
              <w:rPr>
                <w:rFonts w:ascii="宋体" w:hAnsi="宋体" w:cs="宋体"/>
                <w:sz w:val="24"/>
              </w:rPr>
            </w:pPr>
          </w:p>
        </w:tc>
        <w:tc>
          <w:tcPr>
            <w:tcW w:w="615" w:type="dxa"/>
          </w:tcPr>
          <w:p>
            <w:pPr>
              <w:spacing w:line="300" w:lineRule="auto"/>
              <w:rPr>
                <w:rFonts w:ascii="宋体" w:hAnsi="宋体" w:cs="宋体"/>
                <w:sz w:val="24"/>
              </w:rPr>
            </w:pPr>
          </w:p>
        </w:tc>
        <w:tc>
          <w:tcPr>
            <w:tcW w:w="705" w:type="dxa"/>
          </w:tcPr>
          <w:p>
            <w:pPr>
              <w:spacing w:line="300" w:lineRule="auto"/>
              <w:rPr>
                <w:rFonts w:ascii="宋体" w:hAnsi="宋体" w:cs="宋体"/>
                <w:sz w:val="24"/>
              </w:rPr>
            </w:pPr>
          </w:p>
        </w:tc>
      </w:tr>
    </w:tbl>
    <w:p>
      <w:pPr>
        <w:rPr>
          <w:rFonts w:hint="eastAsia" w:ascii="宋体" w:hAnsi="宋体"/>
          <w:b/>
          <w:bCs/>
          <w:sz w:val="24"/>
        </w:rPr>
      </w:pPr>
      <w:r>
        <w:rPr>
          <w:rFonts w:hint="eastAsia" w:ascii="宋体" w:hAnsi="宋体"/>
          <w:b/>
          <w:bCs/>
          <w:sz w:val="24"/>
        </w:rPr>
        <w:t>说明：（1）上述各项中用“√”表示通过，“×”表示不通过；</w:t>
      </w:r>
    </w:p>
    <w:p>
      <w:pPr>
        <w:rPr>
          <w:rFonts w:hint="eastAsia" w:ascii="宋体" w:hAnsi="宋体"/>
          <w:b/>
          <w:bCs/>
          <w:sz w:val="24"/>
        </w:rPr>
      </w:pPr>
      <w:r>
        <w:rPr>
          <w:rFonts w:hint="eastAsia" w:ascii="宋体" w:hAnsi="宋体"/>
          <w:b/>
          <w:bCs/>
          <w:sz w:val="24"/>
        </w:rPr>
        <w:t>（2）上述各项中如有一项为“×”，则结论为“×”，表示该投标文件中存在重大偏差，不能通过初步评审；评委对某一分项评审认为不合格时，必须要写明原因。</w:t>
      </w:r>
    </w:p>
    <w:p>
      <w:pPr>
        <w:rPr>
          <w:rFonts w:hint="eastAsia" w:ascii="宋体" w:hAnsi="宋体"/>
          <w:b/>
          <w:bCs/>
          <w:sz w:val="24"/>
        </w:rPr>
      </w:pPr>
      <w:r>
        <w:rPr>
          <w:rFonts w:hint="eastAsia" w:ascii="宋体" w:hAnsi="宋体"/>
          <w:b/>
          <w:bCs/>
          <w:sz w:val="24"/>
        </w:rPr>
        <w:t>（3）投标文件最终合格与否，以所有评委的评审意见中少数服从多数为原则定论。</w:t>
      </w:r>
    </w:p>
    <w:p>
      <w:pPr>
        <w:rPr>
          <w:rFonts w:hint="eastAsia" w:ascii="宋体" w:hAnsi="宋体"/>
          <w:b/>
          <w:bCs/>
          <w:sz w:val="24"/>
        </w:rPr>
      </w:pPr>
      <w:r>
        <w:rPr>
          <w:rFonts w:hint="eastAsia" w:ascii="宋体" w:hAnsi="宋体"/>
          <w:b/>
          <w:bCs/>
          <w:sz w:val="24"/>
        </w:rPr>
        <w:t>★备注：如果投标文件中有一项未通过上述审查标准，评标委员会将认定整个投标文件未响应招标文件而予以废标处理。</w:t>
      </w:r>
    </w:p>
    <w:p>
      <w:pPr>
        <w:rPr>
          <w:rFonts w:ascii="宋体" w:hAnsi="宋体"/>
          <w:b/>
          <w:bCs/>
          <w:sz w:val="24"/>
        </w:rPr>
      </w:pPr>
    </w:p>
    <w:p>
      <w:pPr>
        <w:rPr>
          <w:rFonts w:hint="eastAsia" w:ascii="宋体" w:hAnsi="宋体"/>
          <w:b/>
          <w:bCs/>
          <w:sz w:val="24"/>
        </w:rPr>
      </w:pPr>
      <w:r>
        <w:rPr>
          <w:rFonts w:hint="eastAsia" w:ascii="宋体" w:hAnsi="宋体"/>
          <w:b/>
          <w:bCs/>
          <w:sz w:val="24"/>
        </w:rPr>
        <w:br w:type="page"/>
      </w:r>
    </w:p>
    <w:p>
      <w:pPr>
        <w:pStyle w:val="13"/>
        <w:jc w:val="center"/>
      </w:pPr>
      <w:r>
        <w:rPr>
          <w:rFonts w:hint="eastAsia" w:ascii="宋体" w:hAnsi="宋体"/>
          <w:b/>
          <w:bCs/>
          <w:sz w:val="24"/>
        </w:rPr>
        <w:t>符合性审查表</w:t>
      </w:r>
    </w:p>
    <w:tbl>
      <w:tblPr>
        <w:tblStyle w:val="37"/>
        <w:tblpPr w:leftFromText="180" w:rightFromText="180" w:vertAnchor="text" w:horzAnchor="page" w:tblpXSpec="center" w:tblpY="262"/>
        <w:tblOverlap w:val="never"/>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94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03" w:type="dxa"/>
            <w:gridSpan w:val="2"/>
            <w:vAlign w:val="center"/>
          </w:tcPr>
          <w:p>
            <w:pPr>
              <w:spacing w:line="300" w:lineRule="auto"/>
              <w:jc w:val="center"/>
              <w:rPr>
                <w:rFonts w:ascii="宋体" w:hAnsi="宋体" w:cs="宋体"/>
                <w:spacing w:val="-2"/>
                <w:szCs w:val="21"/>
              </w:rPr>
            </w:pPr>
            <w:r>
              <w:rPr>
                <w:rFonts w:hint="eastAsia" w:ascii="宋体" w:hAnsi="宋体" w:cs="宋体"/>
                <w:b/>
                <w:sz w:val="22"/>
                <w:szCs w:val="22"/>
              </w:rPr>
              <w:t>评审内容</w:t>
            </w:r>
          </w:p>
        </w:tc>
        <w:tc>
          <w:tcPr>
            <w:tcW w:w="1969" w:type="dxa"/>
            <w:gridSpan w:val="2"/>
            <w:vAlign w:val="center"/>
          </w:tcPr>
          <w:p>
            <w:pPr>
              <w:spacing w:line="300" w:lineRule="auto"/>
              <w:jc w:val="center"/>
              <w:rPr>
                <w:rFonts w:ascii="宋体" w:hAnsi="宋体" w:cs="宋体"/>
                <w:b/>
                <w:szCs w:val="21"/>
              </w:rPr>
            </w:pPr>
            <w:r>
              <w:rPr>
                <w:rFonts w:hint="eastAsia" w:ascii="宋体" w:hAnsi="宋体" w:cs="宋体"/>
                <w:b/>
                <w:szCs w:val="21"/>
              </w:rPr>
              <w:t>投标商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Align w:val="center"/>
          </w:tcPr>
          <w:p>
            <w:pPr>
              <w:spacing w:line="300" w:lineRule="auto"/>
              <w:jc w:val="center"/>
              <w:rPr>
                <w:rFonts w:ascii="宋体" w:hAnsi="宋体" w:cs="宋体"/>
                <w:szCs w:val="21"/>
              </w:rPr>
            </w:pPr>
            <w:r>
              <w:rPr>
                <w:rFonts w:hint="eastAsia" w:ascii="宋体" w:hAnsi="宋体" w:cs="宋体"/>
                <w:szCs w:val="21"/>
              </w:rPr>
              <w:t>序号</w:t>
            </w:r>
          </w:p>
        </w:tc>
        <w:tc>
          <w:tcPr>
            <w:tcW w:w="6755" w:type="dxa"/>
            <w:vAlign w:val="center"/>
          </w:tcPr>
          <w:p>
            <w:pPr>
              <w:spacing w:line="300" w:lineRule="auto"/>
              <w:rPr>
                <w:rFonts w:ascii="宋体" w:hAnsi="宋体" w:cs="宋体"/>
                <w:spacing w:val="-2"/>
                <w:szCs w:val="21"/>
              </w:rPr>
            </w:pPr>
          </w:p>
        </w:tc>
        <w:tc>
          <w:tcPr>
            <w:tcW w:w="949" w:type="dxa"/>
            <w:vAlign w:val="center"/>
          </w:tcPr>
          <w:p>
            <w:pPr>
              <w:spacing w:line="300" w:lineRule="auto"/>
              <w:jc w:val="center"/>
              <w:rPr>
                <w:rFonts w:ascii="宋体" w:hAnsi="宋体" w:cs="宋体"/>
                <w:spacing w:val="-2"/>
                <w:szCs w:val="21"/>
              </w:rPr>
            </w:pPr>
            <w:r>
              <w:rPr>
                <w:rFonts w:hint="eastAsia" w:ascii="宋体" w:hAnsi="宋体" w:cs="宋体"/>
                <w:spacing w:val="-2"/>
                <w:szCs w:val="21"/>
              </w:rPr>
              <w:t>1</w:t>
            </w:r>
          </w:p>
        </w:tc>
        <w:tc>
          <w:tcPr>
            <w:tcW w:w="1020" w:type="dxa"/>
            <w:vAlign w:val="center"/>
          </w:tcPr>
          <w:p>
            <w:pPr>
              <w:spacing w:line="300" w:lineRule="auto"/>
              <w:jc w:val="center"/>
              <w:rPr>
                <w:rFonts w:ascii="宋体" w:hAnsi="宋体" w:cs="宋体"/>
                <w:spacing w:val="-2"/>
                <w:szCs w:val="21"/>
              </w:rPr>
            </w:pPr>
            <w:r>
              <w:rPr>
                <w:rFonts w:hint="eastAsia" w:ascii="宋体" w:hAnsi="宋体" w:cs="宋体"/>
                <w:spacing w:val="-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供应商报价未高于预算金额，且仅有一个</w:t>
            </w:r>
            <w:r>
              <w:rPr>
                <w:rFonts w:hint="eastAsia" w:ascii="宋体" w:hAnsi="宋体" w:cs="宋体"/>
                <w:color w:val="000000" w:themeColor="text1"/>
                <w:szCs w:val="21"/>
                <w14:textFill>
                  <w14:solidFill>
                    <w14:schemeClr w14:val="tx1"/>
                  </w14:solidFill>
                </w14:textFill>
              </w:rPr>
              <w:t>有效报价，未提交选择性报价</w:t>
            </w:r>
            <w:r>
              <w:rPr>
                <w:rFonts w:hint="eastAsia" w:ascii="宋体" w:hAnsi="宋体" w:cs="宋体"/>
                <w:spacing w:val="-2"/>
                <w:szCs w:val="21"/>
              </w:rPr>
              <w:t>；</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2</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评标委员会认为供应商的报价无明显低于成本价的，供应商的报价不存在异常一致并成规律性的，其报价合理；</w:t>
            </w:r>
          </w:p>
        </w:tc>
        <w:tc>
          <w:tcPr>
            <w:tcW w:w="949" w:type="dxa"/>
            <w:vAlign w:val="center"/>
          </w:tcPr>
          <w:p>
            <w:pPr>
              <w:spacing w:line="300" w:lineRule="auto"/>
              <w:rPr>
                <w:rFonts w:ascii="宋体" w:hAnsi="宋体" w:cs="宋体"/>
                <w:szCs w:val="21"/>
              </w:rPr>
            </w:pPr>
          </w:p>
        </w:tc>
        <w:tc>
          <w:tcPr>
            <w:tcW w:w="1020" w:type="dxa"/>
            <w:vAlign w:val="center"/>
          </w:tcPr>
          <w:p>
            <w:pPr>
              <w:spacing w:line="30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3</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供应商</w:t>
            </w:r>
            <w:r>
              <w:rPr>
                <w:rFonts w:hint="eastAsia" w:ascii="宋体" w:hAnsi="宋体" w:cs="宋体"/>
                <w:color w:val="000000" w:themeColor="text1"/>
                <w:spacing w:val="-2"/>
                <w:szCs w:val="21"/>
                <w14:textFill>
                  <w14:solidFill>
                    <w14:schemeClr w14:val="tx1"/>
                  </w14:solidFill>
                </w14:textFill>
              </w:rPr>
              <w:t>是否按招标文件份数要求提交投标文件；</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4</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投标文件按照招标文件的规定编制、密封、标记及签署盖章的（投标文件正本的印章和签字不能为复印件）；</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lang w:eastAsia="zh-CN"/>
              </w:rPr>
              <w:t>投标</w:t>
            </w:r>
            <w:r>
              <w:rPr>
                <w:rFonts w:hint="eastAsia" w:ascii="宋体" w:hAnsi="宋体" w:cs="宋体"/>
                <w:spacing w:val="-2"/>
                <w:szCs w:val="21"/>
              </w:rPr>
              <w:t>文件没有散页、活页、未胶装的；</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6</w:t>
            </w:r>
          </w:p>
        </w:tc>
        <w:tc>
          <w:tcPr>
            <w:tcW w:w="6755" w:type="dxa"/>
            <w:vAlign w:val="bottom"/>
          </w:tcPr>
          <w:p>
            <w:pPr>
              <w:spacing w:line="300" w:lineRule="auto"/>
              <w:jc w:val="left"/>
              <w:rPr>
                <w:rFonts w:hint="eastAsia" w:ascii="宋体" w:hAnsi="宋体" w:eastAsia="宋体" w:cs="宋体"/>
                <w:spacing w:val="-2"/>
                <w:szCs w:val="21"/>
                <w:lang w:eastAsia="zh-CN"/>
              </w:rPr>
            </w:pPr>
            <w:r>
              <w:rPr>
                <w:rFonts w:hint="eastAsia" w:ascii="宋体" w:hAnsi="宋体" w:cs="宋体"/>
                <w:spacing w:val="-2"/>
                <w:szCs w:val="21"/>
              </w:rPr>
              <w:t>投标文件载明的技术参数</w:t>
            </w:r>
            <w:r>
              <w:rPr>
                <w:rFonts w:hint="eastAsia" w:ascii="宋体" w:hAnsi="宋体" w:cs="宋体"/>
                <w:spacing w:val="-2"/>
                <w:szCs w:val="21"/>
                <w:lang w:eastAsia="zh-CN"/>
              </w:rPr>
              <w:t>要求</w:t>
            </w:r>
            <w:r>
              <w:rPr>
                <w:rFonts w:hint="eastAsia" w:ascii="宋体" w:hAnsi="宋体" w:cs="宋体"/>
                <w:spacing w:val="-2"/>
                <w:szCs w:val="21"/>
              </w:rPr>
              <w:t>等，达到招标文件要求的</w:t>
            </w:r>
            <w:r>
              <w:rPr>
                <w:rFonts w:hint="eastAsia" w:ascii="宋体" w:hAnsi="宋体" w:cs="宋体"/>
                <w:spacing w:val="-2"/>
                <w:szCs w:val="21"/>
                <w:lang w:eastAsia="zh-CN"/>
              </w:rPr>
              <w:t>；</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7</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按招标文件规定的格式填写，内容全或关键字迹清晰、数量等齐全；</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8</w:t>
            </w:r>
          </w:p>
        </w:tc>
        <w:tc>
          <w:tcPr>
            <w:tcW w:w="6755" w:type="dxa"/>
            <w:vAlign w:val="bottom"/>
          </w:tcPr>
          <w:p>
            <w:pPr>
              <w:spacing w:line="300" w:lineRule="auto"/>
              <w:jc w:val="left"/>
              <w:rPr>
                <w:rFonts w:ascii="宋体" w:hAnsi="宋体" w:cs="宋体"/>
                <w:spacing w:val="-2"/>
                <w:szCs w:val="21"/>
              </w:rPr>
            </w:pPr>
            <w:r>
              <w:rPr>
                <w:rFonts w:hint="eastAsia" w:ascii="宋体" w:hAnsi="宋体" w:cs="宋体"/>
                <w:color w:val="000000" w:themeColor="text1"/>
                <w:szCs w:val="21"/>
                <w14:textFill>
                  <w14:solidFill>
                    <w14:schemeClr w14:val="tx1"/>
                  </w14:solidFill>
                </w14:textFill>
              </w:rPr>
              <w:t>投标产品质保期满足招标文件要求；</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9</w:t>
            </w:r>
          </w:p>
        </w:tc>
        <w:tc>
          <w:tcPr>
            <w:tcW w:w="6755" w:type="dxa"/>
            <w:vAlign w:val="center"/>
          </w:tcPr>
          <w:p>
            <w:pPr>
              <w:spacing w:line="400" w:lineRule="exact"/>
              <w:rPr>
                <w:rFonts w:ascii="宋体" w:hAnsi="宋体" w:cs="宋体"/>
                <w:spacing w:val="-2"/>
                <w:szCs w:val="21"/>
              </w:rPr>
            </w:pPr>
            <w:r>
              <w:rPr>
                <w:rFonts w:hint="eastAsia" w:ascii="宋体" w:hAnsi="宋体" w:cs="宋体"/>
                <w:color w:val="000000" w:themeColor="text1"/>
                <w:spacing w:val="-2"/>
                <w:szCs w:val="21"/>
                <w14:textFill>
                  <w14:solidFill>
                    <w14:schemeClr w14:val="tx1"/>
                  </w14:solidFill>
                </w14:textFill>
              </w:rPr>
              <w:t>投标有效期满足招标文件要求；</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6755" w:type="dxa"/>
            <w:vAlign w:val="center"/>
          </w:tcPr>
          <w:p>
            <w:pPr>
              <w:spacing w:line="400" w:lineRule="exact"/>
              <w:rPr>
                <w:rFonts w:ascii="宋体" w:hAnsi="宋体" w:cs="宋体"/>
                <w:spacing w:val="-2"/>
                <w:szCs w:val="21"/>
              </w:rPr>
            </w:pPr>
            <w:r>
              <w:rPr>
                <w:rFonts w:hint="eastAsia" w:ascii="宋体" w:hAnsi="宋体" w:cs="宋体"/>
                <w:color w:val="000000" w:themeColor="text1"/>
                <w:spacing w:val="-2"/>
                <w:szCs w:val="21"/>
                <w14:textFill>
                  <w14:solidFill>
                    <w14:schemeClr w14:val="tx1"/>
                  </w14:solidFill>
                </w14:textFill>
              </w:rPr>
              <w:t>投标人所报交货期限未超过招标文件规定期限；</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没有采购人不能接受的附加条件的；</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符合招标文件中规定的其他实质性要求；</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13</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不同供应商的投标文件没有错漏一致的情况；</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14</w:t>
            </w:r>
          </w:p>
        </w:tc>
        <w:tc>
          <w:tcPr>
            <w:tcW w:w="6755" w:type="dxa"/>
            <w:vAlign w:val="bottom"/>
          </w:tcPr>
          <w:p>
            <w:pPr>
              <w:spacing w:line="300" w:lineRule="auto"/>
              <w:jc w:val="left"/>
              <w:rPr>
                <w:rFonts w:ascii="宋体" w:hAnsi="宋体" w:cs="宋体"/>
                <w:spacing w:val="-2"/>
                <w:szCs w:val="21"/>
              </w:rPr>
            </w:pPr>
            <w:r>
              <w:rPr>
                <w:rFonts w:hint="eastAsia" w:ascii="宋体" w:hAnsi="宋体" w:cs="宋体"/>
                <w:color w:val="000000" w:themeColor="text1"/>
                <w:spacing w:val="-2"/>
                <w:szCs w:val="21"/>
                <w14:textFill>
                  <w14:solidFill>
                    <w14:schemeClr w14:val="tx1"/>
                  </w14:solidFill>
                </w14:textFill>
              </w:rPr>
              <w:t>投标人没有违法招标投标法律法规及现场纪律的。</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pPr>
              <w:spacing w:line="300" w:lineRule="auto"/>
              <w:ind w:firstLine="370" w:firstLineChars="180"/>
              <w:rPr>
                <w:rFonts w:ascii="宋体" w:hAnsi="宋体" w:cs="宋体"/>
                <w:spacing w:val="-2"/>
                <w:szCs w:val="21"/>
              </w:rPr>
            </w:pPr>
            <w:r>
              <w:rPr>
                <w:rFonts w:hint="eastAsia" w:ascii="宋体" w:hAnsi="宋体" w:cs="宋体"/>
                <w:spacing w:val="-2"/>
                <w:szCs w:val="21"/>
              </w:rPr>
              <w:t>结论：通过评审打“√”，未通过评审打“×”并写明具体原因</w:t>
            </w:r>
          </w:p>
        </w:tc>
        <w:tc>
          <w:tcPr>
            <w:tcW w:w="949" w:type="dxa"/>
            <w:vAlign w:val="center"/>
          </w:tcPr>
          <w:p>
            <w:pPr>
              <w:spacing w:line="300" w:lineRule="auto"/>
              <w:ind w:firstLine="370" w:firstLineChars="180"/>
              <w:rPr>
                <w:rFonts w:ascii="宋体" w:hAnsi="宋体" w:cs="宋体"/>
                <w:spacing w:val="-2"/>
                <w:szCs w:val="21"/>
              </w:rPr>
            </w:pPr>
          </w:p>
        </w:tc>
        <w:tc>
          <w:tcPr>
            <w:tcW w:w="1020" w:type="dxa"/>
            <w:vAlign w:val="center"/>
          </w:tcPr>
          <w:p>
            <w:pPr>
              <w:spacing w:line="300" w:lineRule="auto"/>
              <w:ind w:firstLine="370" w:firstLineChars="180"/>
              <w:rPr>
                <w:rFonts w:ascii="宋体" w:hAnsi="宋体" w:cs="宋体"/>
                <w:spacing w:val="-2"/>
                <w:szCs w:val="21"/>
              </w:rPr>
            </w:pPr>
          </w:p>
        </w:tc>
      </w:tr>
    </w:tbl>
    <w:p>
      <w:pPr>
        <w:rPr>
          <w:rFonts w:hint="eastAsia" w:ascii="宋体" w:hAnsi="宋体"/>
          <w:b/>
          <w:bCs/>
          <w:sz w:val="24"/>
        </w:rPr>
      </w:pPr>
      <w:r>
        <w:rPr>
          <w:rFonts w:hint="eastAsia" w:ascii="宋体" w:hAnsi="宋体"/>
          <w:b/>
          <w:bCs/>
          <w:sz w:val="24"/>
        </w:rPr>
        <w:t>说明：（1）上述各项中用“√”表示通过，“×”表示不通过；</w:t>
      </w:r>
    </w:p>
    <w:p>
      <w:pPr>
        <w:rPr>
          <w:rFonts w:hint="eastAsia" w:ascii="宋体" w:hAnsi="宋体"/>
          <w:b/>
          <w:bCs/>
          <w:sz w:val="24"/>
        </w:rPr>
      </w:pPr>
      <w:r>
        <w:rPr>
          <w:rFonts w:hint="eastAsia" w:ascii="宋体" w:hAnsi="宋体"/>
          <w:b/>
          <w:bCs/>
          <w:sz w:val="24"/>
        </w:rPr>
        <w:t>（2）上述各项中如有一项为“×”，则结论为“×”，表示该投标文件中存在重大偏差，不能通过初步评审；评委对某一分项评审认为不合格时，必须要写明原因。</w:t>
      </w:r>
    </w:p>
    <w:p>
      <w:pPr>
        <w:rPr>
          <w:rFonts w:hint="eastAsia" w:ascii="宋体" w:hAnsi="宋体"/>
          <w:b/>
          <w:bCs/>
          <w:sz w:val="24"/>
        </w:rPr>
      </w:pPr>
      <w:r>
        <w:rPr>
          <w:rFonts w:hint="eastAsia" w:ascii="宋体" w:hAnsi="宋体"/>
          <w:b/>
          <w:bCs/>
          <w:sz w:val="24"/>
        </w:rPr>
        <w:t>（3）投标文件最终合格与否，以所有评委的评审意见中少数服从多数为原则定论。</w:t>
      </w:r>
    </w:p>
    <w:p>
      <w:pPr>
        <w:rPr>
          <w:rFonts w:hint="eastAsia" w:ascii="宋体" w:hAnsi="宋体"/>
          <w:b/>
          <w:bCs/>
          <w:sz w:val="24"/>
        </w:rPr>
      </w:pPr>
      <w:r>
        <w:rPr>
          <w:rFonts w:hint="eastAsia" w:ascii="宋体" w:hAnsi="宋体"/>
          <w:b/>
          <w:bCs/>
          <w:sz w:val="24"/>
        </w:rPr>
        <w:t>★备注：如果投标文件中有一项未通过上述审查标准，评标委员会将认定整个投标文件未响应招标文件而予以废标处理。</w:t>
      </w:r>
    </w:p>
    <w:p>
      <w:pPr>
        <w:pStyle w:val="30"/>
        <w:ind w:left="420" w:hanging="420"/>
        <w:sectPr>
          <w:footerReference r:id="rId6" w:type="default"/>
          <w:pgSz w:w="11906" w:h="16838"/>
          <w:pgMar w:top="1440" w:right="1797" w:bottom="1440" w:left="1797" w:header="851" w:footer="992" w:gutter="0"/>
          <w:pgNumType w:fmt="decimal"/>
          <w:cols w:space="720" w:num="1"/>
          <w:docGrid w:type="lines" w:linePitch="312" w:charSpace="0"/>
        </w:sectPr>
      </w:pPr>
    </w:p>
    <w:p>
      <w:pPr>
        <w:keepNext w:val="0"/>
        <w:keepLines w:val="0"/>
        <w:pageBreakBefore/>
        <w:widowControl w:val="0"/>
        <w:kinsoku/>
        <w:wordWrap/>
        <w:overflowPunct/>
        <w:topLinePunct w:val="0"/>
        <w:autoSpaceDE/>
        <w:autoSpaceDN/>
        <w:bidi w:val="0"/>
        <w:adjustRightInd/>
        <w:snapToGrid/>
        <w:spacing w:line="240" w:lineRule="auto"/>
        <w:textAlignment w:val="auto"/>
        <w:outlineLvl w:val="0"/>
        <w:rPr>
          <w:rFonts w:hint="eastAsia" w:ascii="宋体" w:hAnsi="宋体"/>
          <w:b/>
          <w:bCs/>
          <w:color w:val="FF0000"/>
          <w:sz w:val="24"/>
        </w:rPr>
      </w:pPr>
      <w:bookmarkStart w:id="48" w:name="_Toc2306"/>
      <w:r>
        <w:rPr>
          <w:rFonts w:hint="eastAsia" w:ascii="宋体" w:hAnsi="宋体"/>
          <w:b/>
          <w:bCs/>
          <w:color w:val="FF0000"/>
          <w:sz w:val="24"/>
        </w:rPr>
        <w:t>附表2、详细评审</w:t>
      </w:r>
      <w:bookmarkEnd w:id="48"/>
    </w:p>
    <w:tbl>
      <w:tblPr>
        <w:tblStyle w:val="37"/>
        <w:tblW w:w="15168"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815"/>
        <w:gridCol w:w="140"/>
        <w:gridCol w:w="1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shd w:val="clear" w:color="auto" w:fill="auto"/>
            <w:vAlign w:val="center"/>
          </w:tcPr>
          <w:p>
            <w:pPr>
              <w:adjustRightInd w:val="0"/>
              <w:jc w:val="center"/>
              <w:rPr>
                <w:rFonts w:ascii="宋体" w:hAnsi="宋体" w:cs="宋体"/>
                <w:color w:val="FF0000"/>
                <w:sz w:val="24"/>
              </w:rPr>
            </w:pPr>
            <w:r>
              <w:rPr>
                <w:rFonts w:hint="eastAsia" w:ascii="宋体" w:hAnsi="宋体" w:cs="宋体"/>
                <w:color w:val="FF0000"/>
                <w:sz w:val="24"/>
              </w:rPr>
              <w:t>评分</w:t>
            </w:r>
          </w:p>
          <w:p>
            <w:pPr>
              <w:adjustRightInd w:val="0"/>
              <w:jc w:val="center"/>
              <w:rPr>
                <w:rFonts w:ascii="宋体" w:hAnsi="宋体" w:cs="宋体"/>
                <w:color w:val="FF0000"/>
                <w:sz w:val="24"/>
              </w:rPr>
            </w:pPr>
            <w:r>
              <w:rPr>
                <w:rFonts w:hint="eastAsia" w:ascii="宋体" w:hAnsi="宋体" w:cs="宋体"/>
                <w:color w:val="FF0000"/>
                <w:sz w:val="24"/>
              </w:rPr>
              <w:t>因素</w:t>
            </w:r>
          </w:p>
        </w:tc>
        <w:tc>
          <w:tcPr>
            <w:tcW w:w="2815" w:type="dxa"/>
            <w:shd w:val="clear" w:color="auto" w:fill="auto"/>
            <w:vAlign w:val="center"/>
          </w:tcPr>
          <w:p>
            <w:pPr>
              <w:adjustRightInd w:val="0"/>
              <w:jc w:val="center"/>
              <w:rPr>
                <w:rFonts w:ascii="宋体" w:hAnsi="宋体" w:cs="宋体"/>
                <w:color w:val="FF0000"/>
                <w:sz w:val="24"/>
              </w:rPr>
            </w:pPr>
            <w:r>
              <w:rPr>
                <w:rFonts w:hint="eastAsia" w:ascii="宋体" w:hAnsi="宋体" w:cs="宋体"/>
                <w:color w:val="FF0000"/>
                <w:sz w:val="24"/>
              </w:rPr>
              <w:t>子项</w:t>
            </w:r>
          </w:p>
        </w:tc>
        <w:tc>
          <w:tcPr>
            <w:tcW w:w="11198" w:type="dxa"/>
            <w:gridSpan w:val="2"/>
            <w:shd w:val="clear" w:color="auto" w:fill="auto"/>
            <w:vAlign w:val="center"/>
          </w:tcPr>
          <w:p>
            <w:pPr>
              <w:adjustRightInd w:val="0"/>
              <w:jc w:val="center"/>
              <w:rPr>
                <w:rFonts w:ascii="宋体" w:hAnsi="宋体" w:cs="宋体"/>
                <w:color w:val="FF0000"/>
                <w:sz w:val="24"/>
              </w:rPr>
            </w:pPr>
            <w:r>
              <w:rPr>
                <w:rFonts w:hint="eastAsia" w:ascii="宋体" w:hAnsi="宋体" w:cs="宋体"/>
                <w:color w:val="FF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shd w:val="clear" w:color="auto" w:fill="auto"/>
            <w:vAlign w:val="center"/>
          </w:tcPr>
          <w:p>
            <w:pPr>
              <w:adjustRightInd w:val="0"/>
              <w:jc w:val="center"/>
              <w:rPr>
                <w:rFonts w:ascii="宋体" w:hAnsi="宋体" w:cs="宋体"/>
                <w:color w:val="FF0000"/>
                <w:sz w:val="24"/>
              </w:rPr>
            </w:pPr>
            <w:r>
              <w:rPr>
                <w:rFonts w:hint="eastAsia" w:ascii="宋体" w:hAnsi="宋体" w:cs="宋体"/>
                <w:color w:val="FF0000"/>
                <w:sz w:val="24"/>
              </w:rPr>
              <w:t>价格</w:t>
            </w:r>
          </w:p>
          <w:p>
            <w:pPr>
              <w:adjustRightInd w:val="0"/>
              <w:jc w:val="center"/>
              <w:rPr>
                <w:rFonts w:ascii="宋体" w:hAnsi="宋体" w:cs="宋体"/>
                <w:color w:val="FF0000"/>
                <w:sz w:val="24"/>
              </w:rPr>
            </w:pPr>
            <w:r>
              <w:rPr>
                <w:rFonts w:hint="eastAsia" w:ascii="宋体" w:hAnsi="宋体" w:cs="宋体"/>
                <w:color w:val="FF0000"/>
                <w:sz w:val="24"/>
              </w:rPr>
              <w:t>部分</w:t>
            </w:r>
          </w:p>
          <w:p>
            <w:pPr>
              <w:adjustRightInd w:val="0"/>
              <w:jc w:val="center"/>
              <w:rPr>
                <w:rFonts w:ascii="宋体" w:hAnsi="宋体" w:cs="宋体"/>
                <w:color w:val="FF0000"/>
                <w:sz w:val="24"/>
              </w:rPr>
            </w:pPr>
            <w:r>
              <w:rPr>
                <w:rFonts w:hint="eastAsia" w:ascii="宋体" w:hAnsi="宋体" w:cs="宋体"/>
                <w:color w:val="FF0000"/>
                <w:sz w:val="24"/>
              </w:rPr>
              <w:t>（30分）</w:t>
            </w:r>
          </w:p>
        </w:tc>
        <w:tc>
          <w:tcPr>
            <w:tcW w:w="14013" w:type="dxa"/>
            <w:gridSpan w:val="3"/>
            <w:shd w:val="clear" w:color="auto" w:fill="auto"/>
            <w:vAlign w:val="center"/>
          </w:tcPr>
          <w:p>
            <w:pPr>
              <w:adjustRightInd w:val="0"/>
              <w:rPr>
                <w:rFonts w:ascii="宋体" w:hAnsi="宋体" w:cs="宋体"/>
                <w:color w:val="FF0000"/>
                <w:spacing w:val="10"/>
                <w:sz w:val="24"/>
              </w:rPr>
            </w:pPr>
            <w:r>
              <w:rPr>
                <w:rFonts w:hint="eastAsia" w:ascii="宋体" w:hAnsi="宋体" w:cs="宋体"/>
                <w:color w:val="FF0000"/>
                <w:spacing w:val="10"/>
                <w:sz w:val="24"/>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100。</w:t>
            </w:r>
          </w:p>
          <w:p>
            <w:pPr>
              <w:adjustRightInd w:val="0"/>
              <w:rPr>
                <w:rFonts w:ascii="宋体" w:hAnsi="宋体" w:cs="宋体"/>
                <w:color w:val="FF0000"/>
                <w:sz w:val="24"/>
              </w:rPr>
            </w:pPr>
            <w:r>
              <w:rPr>
                <w:rFonts w:hint="eastAsia" w:ascii="宋体" w:hAnsi="宋体" w:cs="宋体"/>
                <w:color w:val="FF0000"/>
                <w:spacing w:val="10"/>
                <w:sz w:val="24"/>
              </w:rPr>
              <w:t>计算分数时四舍五入取小数点后两位,分数最高不超过30分。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5" w:type="dxa"/>
            <w:vMerge w:val="restart"/>
            <w:shd w:val="clear" w:color="auto" w:fill="auto"/>
            <w:vAlign w:val="center"/>
          </w:tcPr>
          <w:p>
            <w:pPr>
              <w:jc w:val="center"/>
              <w:rPr>
                <w:rFonts w:hint="eastAsia" w:ascii="宋体" w:hAnsi="宋体" w:cs="宋体"/>
                <w:color w:val="FF0000"/>
                <w:sz w:val="24"/>
                <w:lang w:eastAsia="zh-CN"/>
              </w:rPr>
            </w:pPr>
            <w:r>
              <w:rPr>
                <w:rFonts w:hint="eastAsia" w:ascii="宋体" w:hAnsi="宋体" w:cs="宋体"/>
                <w:color w:val="FF0000"/>
                <w:sz w:val="24"/>
                <w:lang w:eastAsia="zh-CN"/>
              </w:rPr>
              <w:t>商务</w:t>
            </w:r>
          </w:p>
          <w:p>
            <w:pPr>
              <w:jc w:val="center"/>
              <w:rPr>
                <w:rFonts w:hint="eastAsia" w:ascii="宋体" w:hAnsi="宋体" w:cs="宋体"/>
                <w:color w:val="FF0000"/>
                <w:sz w:val="24"/>
                <w:lang w:eastAsia="zh-CN"/>
              </w:rPr>
            </w:pPr>
            <w:r>
              <w:rPr>
                <w:rFonts w:hint="eastAsia" w:ascii="宋体" w:hAnsi="宋体" w:cs="宋体"/>
                <w:color w:val="FF0000"/>
                <w:sz w:val="24"/>
                <w:lang w:eastAsia="zh-CN"/>
              </w:rPr>
              <w:t>服务</w:t>
            </w:r>
          </w:p>
          <w:p>
            <w:pPr>
              <w:jc w:val="center"/>
              <w:rPr>
                <w:rFonts w:ascii="宋体" w:hAnsi="宋体" w:cs="宋体"/>
                <w:color w:val="FF0000"/>
                <w:sz w:val="24"/>
              </w:rPr>
            </w:pPr>
            <w:r>
              <w:rPr>
                <w:rFonts w:hint="eastAsia" w:ascii="宋体" w:hAnsi="宋体" w:cs="宋体"/>
                <w:color w:val="FF0000"/>
                <w:sz w:val="24"/>
              </w:rPr>
              <w:t>部分</w:t>
            </w:r>
          </w:p>
          <w:p>
            <w:pPr>
              <w:rPr>
                <w:rFonts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30</w:t>
            </w:r>
            <w:r>
              <w:rPr>
                <w:rFonts w:hint="eastAsia" w:ascii="宋体" w:hAnsi="宋体" w:cs="宋体"/>
                <w:color w:val="FF0000"/>
                <w:sz w:val="24"/>
              </w:rPr>
              <w:t>分）</w:t>
            </w:r>
          </w:p>
        </w:tc>
        <w:tc>
          <w:tcPr>
            <w:tcW w:w="2955" w:type="dxa"/>
            <w:gridSpan w:val="2"/>
            <w:shd w:val="clear" w:color="auto" w:fill="auto"/>
            <w:vAlign w:val="center"/>
          </w:tcPr>
          <w:p>
            <w:pPr>
              <w:jc w:val="center"/>
              <w:rPr>
                <w:rFonts w:hint="eastAsia" w:ascii="宋体" w:hAnsi="宋体" w:cs="宋体"/>
                <w:color w:val="FF0000"/>
                <w:sz w:val="24"/>
              </w:rPr>
            </w:pPr>
            <w:r>
              <w:rPr>
                <w:rFonts w:hint="eastAsia" w:ascii="宋体" w:hAnsi="宋体" w:cs="宋体"/>
                <w:color w:val="FF0000"/>
                <w:sz w:val="24"/>
              </w:rPr>
              <w:t>投标文件规范程度（</w:t>
            </w:r>
            <w:r>
              <w:rPr>
                <w:rFonts w:hint="eastAsia" w:ascii="宋体" w:hAnsi="宋体" w:cs="宋体"/>
                <w:color w:val="FF0000"/>
                <w:sz w:val="24"/>
                <w:lang w:val="en-US" w:eastAsia="zh-CN"/>
              </w:rPr>
              <w:t>5</w:t>
            </w:r>
            <w:r>
              <w:rPr>
                <w:rFonts w:hint="eastAsia" w:ascii="宋体" w:hAnsi="宋体" w:cs="宋体"/>
                <w:color w:val="FF0000"/>
                <w:sz w:val="24"/>
              </w:rPr>
              <w:t>分）</w:t>
            </w:r>
          </w:p>
        </w:tc>
        <w:tc>
          <w:tcPr>
            <w:tcW w:w="11058" w:type="dxa"/>
            <w:shd w:val="clear" w:color="auto" w:fill="auto"/>
            <w:vAlign w:val="center"/>
          </w:tcPr>
          <w:p>
            <w:pPr>
              <w:rPr>
                <w:rFonts w:hint="eastAsia" w:ascii="宋体" w:hAnsi="宋体" w:cs="宋体"/>
                <w:color w:val="FF0000"/>
                <w:sz w:val="24"/>
              </w:rPr>
            </w:pPr>
            <w:r>
              <w:rPr>
                <w:rFonts w:hint="eastAsia" w:ascii="宋体" w:hAnsi="宋体" w:cs="宋体"/>
                <w:color w:val="FF0000"/>
                <w:sz w:val="24"/>
              </w:rPr>
              <w:t>投标文件制作规范、完整、目录明晰，附件齐全；综合评价，酌情打分，范围0-</w:t>
            </w:r>
            <w:r>
              <w:rPr>
                <w:rFonts w:hint="eastAsia" w:ascii="宋体" w:hAnsi="宋体" w:cs="宋体"/>
                <w:color w:val="FF0000"/>
                <w:sz w:val="24"/>
                <w:lang w:val="en-US" w:eastAsia="zh-CN"/>
              </w:rPr>
              <w:t>5</w:t>
            </w:r>
            <w:r>
              <w:rPr>
                <w:rFonts w:hint="eastAsia" w:ascii="宋体" w:hAnsi="宋体" w:cs="宋体"/>
                <w:color w:val="FF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55" w:type="dxa"/>
            <w:vMerge w:val="continue"/>
            <w:shd w:val="clear" w:color="auto" w:fill="auto"/>
            <w:vAlign w:val="center"/>
          </w:tcPr>
          <w:p>
            <w:pPr>
              <w:rPr>
                <w:rFonts w:ascii="宋体" w:hAnsi="宋体" w:cs="宋体"/>
                <w:color w:val="FF0000"/>
                <w:sz w:val="24"/>
              </w:rPr>
            </w:pPr>
          </w:p>
        </w:tc>
        <w:tc>
          <w:tcPr>
            <w:tcW w:w="2955" w:type="dxa"/>
            <w:gridSpan w:val="2"/>
            <w:shd w:val="clear" w:color="auto" w:fill="auto"/>
            <w:vAlign w:val="center"/>
          </w:tcPr>
          <w:p>
            <w:pPr>
              <w:jc w:val="center"/>
              <w:rPr>
                <w:rFonts w:hint="eastAsia" w:ascii="宋体" w:hAnsi="宋体" w:cs="宋体"/>
                <w:color w:val="FF0000"/>
                <w:sz w:val="24"/>
              </w:rPr>
            </w:pPr>
            <w:r>
              <w:rPr>
                <w:rFonts w:hint="eastAsia" w:ascii="宋体" w:hAnsi="宋体" w:cs="宋体"/>
                <w:color w:val="FF0000"/>
                <w:sz w:val="24"/>
                <w:lang w:eastAsia="zh-CN"/>
              </w:rPr>
              <w:t>售后服务方案（</w:t>
            </w:r>
            <w:r>
              <w:rPr>
                <w:rFonts w:hint="eastAsia" w:ascii="宋体" w:hAnsi="宋体" w:cs="宋体"/>
                <w:color w:val="FF0000"/>
                <w:sz w:val="24"/>
              </w:rPr>
              <w:t>10分</w:t>
            </w:r>
            <w:r>
              <w:rPr>
                <w:rFonts w:hint="eastAsia" w:ascii="宋体" w:hAnsi="宋体" w:cs="宋体"/>
                <w:color w:val="FF0000"/>
                <w:sz w:val="24"/>
                <w:lang w:eastAsia="zh-CN"/>
              </w:rPr>
              <w:t>）</w:t>
            </w:r>
          </w:p>
        </w:tc>
        <w:tc>
          <w:tcPr>
            <w:tcW w:w="11058" w:type="dxa"/>
            <w:shd w:val="clear" w:color="auto" w:fill="auto"/>
            <w:vAlign w:val="center"/>
          </w:tcPr>
          <w:p>
            <w:pPr>
              <w:rPr>
                <w:rFonts w:hint="eastAsia" w:ascii="宋体" w:hAnsi="宋体" w:cs="宋体"/>
                <w:color w:val="FF0000"/>
                <w:sz w:val="24"/>
              </w:rPr>
            </w:pPr>
            <w:r>
              <w:rPr>
                <w:rFonts w:hint="eastAsia" w:ascii="宋体" w:hAnsi="宋体" w:cs="宋体"/>
                <w:color w:val="FF0000"/>
                <w:sz w:val="24"/>
              </w:rPr>
              <w:t>综合评定投标人的售后服务承诺及维保方案，根据售后服务的及时性、可行性、零配件供应能力，以及维保方案的保障措施、可操作性等综合评分，优：7-10分，良：3-6分，一般：0-2分，对不符合客观实际的承诺和方案，需提供具有说服力的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55" w:type="dxa"/>
            <w:vMerge w:val="continue"/>
            <w:shd w:val="clear" w:color="auto" w:fill="auto"/>
            <w:vAlign w:val="center"/>
          </w:tcPr>
          <w:p>
            <w:pPr>
              <w:rPr>
                <w:rFonts w:hint="eastAsia" w:ascii="宋体" w:hAnsi="宋体" w:cs="宋体"/>
                <w:color w:val="FF0000"/>
                <w:sz w:val="24"/>
              </w:rPr>
            </w:pPr>
          </w:p>
        </w:tc>
        <w:tc>
          <w:tcPr>
            <w:tcW w:w="2955" w:type="dxa"/>
            <w:gridSpan w:val="2"/>
            <w:shd w:val="clear" w:color="auto" w:fill="auto"/>
            <w:vAlign w:val="center"/>
          </w:tcPr>
          <w:p>
            <w:pPr>
              <w:jc w:val="center"/>
              <w:rPr>
                <w:rFonts w:hint="eastAsia" w:ascii="宋体" w:hAnsi="宋体" w:cs="宋体"/>
                <w:color w:val="FF0000"/>
                <w:sz w:val="24"/>
              </w:rPr>
            </w:pPr>
            <w:r>
              <w:rPr>
                <w:rFonts w:hint="eastAsia" w:ascii="宋体" w:hAnsi="宋体" w:cs="宋体"/>
                <w:color w:val="FF0000"/>
                <w:sz w:val="24"/>
                <w:lang w:eastAsia="zh-CN"/>
              </w:rPr>
              <w:t>响应时间（</w:t>
            </w:r>
            <w:r>
              <w:rPr>
                <w:rFonts w:hint="eastAsia" w:ascii="宋体" w:hAnsi="宋体" w:cs="宋体"/>
                <w:color w:val="FF0000"/>
                <w:sz w:val="24"/>
                <w:lang w:val="en-US" w:eastAsia="zh-CN"/>
              </w:rPr>
              <w:t>3</w:t>
            </w:r>
            <w:r>
              <w:rPr>
                <w:rFonts w:hint="eastAsia" w:ascii="宋体" w:hAnsi="宋体" w:cs="宋体"/>
                <w:color w:val="FF0000"/>
                <w:sz w:val="24"/>
              </w:rPr>
              <w:t>分</w:t>
            </w:r>
            <w:r>
              <w:rPr>
                <w:rFonts w:hint="eastAsia" w:ascii="宋体" w:hAnsi="宋体" w:cs="宋体"/>
                <w:color w:val="FF0000"/>
                <w:sz w:val="24"/>
                <w:lang w:eastAsia="zh-CN"/>
              </w:rPr>
              <w:t>）</w:t>
            </w:r>
          </w:p>
        </w:tc>
        <w:tc>
          <w:tcPr>
            <w:tcW w:w="11058" w:type="dxa"/>
            <w:shd w:val="clear" w:color="auto" w:fill="auto"/>
            <w:vAlign w:val="center"/>
          </w:tcPr>
          <w:p>
            <w:pPr>
              <w:rPr>
                <w:rFonts w:hint="eastAsia" w:ascii="宋体" w:hAnsi="宋体" w:cs="宋体"/>
                <w:color w:val="FF0000"/>
                <w:sz w:val="24"/>
              </w:rPr>
            </w:pPr>
            <w:r>
              <w:rPr>
                <w:rFonts w:hint="eastAsia" w:ascii="宋体" w:hAnsi="宋体" w:cs="宋体"/>
                <w:color w:val="FF0000"/>
                <w:sz w:val="24"/>
              </w:rPr>
              <w:t>接到故障电话后</w:t>
            </w:r>
            <w:r>
              <w:rPr>
                <w:rFonts w:hint="eastAsia" w:ascii="宋体" w:hAnsi="宋体" w:cs="宋体"/>
                <w:color w:val="FF0000"/>
                <w:sz w:val="24"/>
                <w:lang w:val="en-US" w:eastAsia="zh-CN"/>
              </w:rPr>
              <w:t>1</w:t>
            </w:r>
            <w:r>
              <w:rPr>
                <w:rFonts w:hint="eastAsia" w:ascii="宋体" w:hAnsi="宋体" w:cs="宋体"/>
                <w:color w:val="FF0000"/>
                <w:sz w:val="24"/>
              </w:rPr>
              <w:t>小时内能抵达现场并解除故障得</w:t>
            </w:r>
            <w:r>
              <w:rPr>
                <w:rFonts w:hint="eastAsia" w:ascii="宋体" w:hAnsi="宋体" w:cs="宋体"/>
                <w:color w:val="FF0000"/>
                <w:sz w:val="24"/>
                <w:lang w:val="en-US" w:eastAsia="zh-CN"/>
              </w:rPr>
              <w:t>3</w:t>
            </w:r>
            <w:r>
              <w:rPr>
                <w:rFonts w:hint="eastAsia" w:ascii="宋体" w:hAnsi="宋体" w:cs="宋体"/>
                <w:color w:val="FF0000"/>
                <w:sz w:val="24"/>
              </w:rPr>
              <w:t>分；</w:t>
            </w:r>
            <w:r>
              <w:rPr>
                <w:rFonts w:hint="eastAsia" w:ascii="宋体" w:hAnsi="宋体" w:cs="宋体"/>
                <w:color w:val="FF0000"/>
                <w:sz w:val="24"/>
                <w:lang w:val="en-US" w:eastAsia="zh-CN"/>
              </w:rPr>
              <w:t>1-2小时</w:t>
            </w:r>
            <w:r>
              <w:rPr>
                <w:rFonts w:hint="eastAsia" w:ascii="宋体" w:hAnsi="宋体" w:cs="宋体"/>
                <w:color w:val="FF0000"/>
                <w:sz w:val="24"/>
              </w:rPr>
              <w:t>内抵达现场并解除故障得</w:t>
            </w:r>
            <w:r>
              <w:rPr>
                <w:rFonts w:hint="eastAsia" w:ascii="宋体" w:hAnsi="宋体" w:cs="宋体"/>
                <w:color w:val="FF0000"/>
                <w:sz w:val="24"/>
                <w:lang w:val="en-US" w:eastAsia="zh-CN"/>
              </w:rPr>
              <w:t>1.5</w:t>
            </w:r>
            <w:r>
              <w:rPr>
                <w:rFonts w:hint="eastAsia" w:ascii="宋体" w:hAnsi="宋体" w:cs="宋体"/>
                <w:color w:val="FF0000"/>
                <w:sz w:val="24"/>
              </w:rPr>
              <w:t>分；其余情形不得分。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55" w:type="dxa"/>
            <w:vMerge w:val="continue"/>
            <w:shd w:val="clear" w:color="auto" w:fill="auto"/>
            <w:vAlign w:val="center"/>
          </w:tcPr>
          <w:p>
            <w:pPr>
              <w:rPr>
                <w:rFonts w:hint="eastAsia" w:ascii="宋体" w:hAnsi="宋体" w:cs="宋体"/>
                <w:color w:val="FF0000"/>
                <w:sz w:val="24"/>
              </w:rPr>
            </w:pPr>
          </w:p>
        </w:tc>
        <w:tc>
          <w:tcPr>
            <w:tcW w:w="2955" w:type="dxa"/>
            <w:gridSpan w:val="2"/>
            <w:shd w:val="clear" w:color="auto" w:fill="auto"/>
            <w:vAlign w:val="center"/>
          </w:tcPr>
          <w:p>
            <w:pPr>
              <w:jc w:val="center"/>
              <w:rPr>
                <w:rFonts w:hint="eastAsia" w:ascii="宋体" w:hAnsi="宋体" w:eastAsia="宋体" w:cs="宋体"/>
                <w:color w:val="FF0000"/>
                <w:sz w:val="24"/>
                <w:lang w:eastAsia="zh-CN"/>
              </w:rPr>
            </w:pPr>
            <w:r>
              <w:rPr>
                <w:rFonts w:hint="eastAsia" w:ascii="宋体" w:hAnsi="宋体" w:cs="宋体"/>
                <w:color w:val="FF0000"/>
                <w:sz w:val="24"/>
                <w:lang w:eastAsia="zh-CN"/>
              </w:rPr>
              <w:t>备品备件（</w:t>
            </w:r>
            <w:r>
              <w:rPr>
                <w:rFonts w:hint="eastAsia" w:ascii="宋体" w:hAnsi="宋体" w:cs="宋体"/>
                <w:color w:val="FF0000"/>
                <w:sz w:val="24"/>
                <w:lang w:val="en-US" w:eastAsia="zh-CN"/>
              </w:rPr>
              <w:t>5分</w:t>
            </w:r>
            <w:r>
              <w:rPr>
                <w:rFonts w:hint="eastAsia" w:ascii="宋体" w:hAnsi="宋体" w:cs="宋体"/>
                <w:color w:val="FF0000"/>
                <w:sz w:val="24"/>
                <w:lang w:eastAsia="zh-CN"/>
              </w:rPr>
              <w:t>）</w:t>
            </w:r>
          </w:p>
        </w:tc>
        <w:tc>
          <w:tcPr>
            <w:tcW w:w="11058" w:type="dxa"/>
            <w:shd w:val="clear" w:color="auto" w:fill="auto"/>
            <w:vAlign w:val="center"/>
          </w:tcPr>
          <w:p>
            <w:pPr>
              <w:rPr>
                <w:rFonts w:hint="eastAsia" w:ascii="宋体" w:hAnsi="宋体" w:cs="宋体"/>
                <w:color w:val="FF0000"/>
                <w:sz w:val="24"/>
              </w:rPr>
            </w:pPr>
            <w:r>
              <w:rPr>
                <w:rFonts w:hint="eastAsia" w:ascii="宋体" w:hAnsi="宋体" w:cs="宋体"/>
                <w:color w:val="FF0000"/>
                <w:sz w:val="24"/>
                <w:lang w:eastAsia="zh-CN"/>
              </w:rPr>
              <w:t>对</w:t>
            </w:r>
            <w:r>
              <w:rPr>
                <w:rFonts w:hint="eastAsia" w:ascii="宋体" w:hAnsi="宋体" w:cs="宋体"/>
                <w:color w:val="FF0000"/>
                <w:sz w:val="24"/>
              </w:rPr>
              <w:t>备品备件及易损零部件的配备等方面进行</w:t>
            </w:r>
            <w:r>
              <w:rPr>
                <w:rFonts w:hint="eastAsia" w:ascii="宋体" w:hAnsi="宋体" w:cs="宋体"/>
                <w:color w:val="FF0000"/>
                <w:sz w:val="24"/>
                <w:lang w:eastAsia="zh-CN"/>
              </w:rPr>
              <w:t>综合</w:t>
            </w:r>
            <w:r>
              <w:rPr>
                <w:rFonts w:hint="eastAsia" w:ascii="宋体" w:hAnsi="宋体" w:cs="宋体"/>
                <w:color w:val="FF0000"/>
                <w:sz w:val="24"/>
              </w:rPr>
              <w:t>评议并打分优异得4-5分，一般2-3分，差得0-1分。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5" w:type="dxa"/>
            <w:vMerge w:val="continue"/>
            <w:shd w:val="clear" w:color="auto" w:fill="auto"/>
            <w:vAlign w:val="center"/>
          </w:tcPr>
          <w:p>
            <w:pPr>
              <w:rPr>
                <w:rFonts w:hint="eastAsia" w:ascii="宋体" w:hAnsi="宋体" w:cs="宋体"/>
                <w:color w:val="FF0000"/>
                <w:sz w:val="24"/>
              </w:rPr>
            </w:pPr>
          </w:p>
        </w:tc>
        <w:tc>
          <w:tcPr>
            <w:tcW w:w="2955" w:type="dxa"/>
            <w:gridSpan w:val="2"/>
            <w:shd w:val="clear" w:color="auto" w:fill="auto"/>
            <w:vAlign w:val="center"/>
          </w:tcPr>
          <w:p>
            <w:pPr>
              <w:jc w:val="center"/>
              <w:rPr>
                <w:rFonts w:hint="eastAsia" w:ascii="宋体" w:hAnsi="宋体" w:eastAsia="宋体" w:cs="宋体"/>
                <w:color w:val="FF0000"/>
                <w:sz w:val="24"/>
                <w:lang w:eastAsia="zh-CN"/>
              </w:rPr>
            </w:pPr>
            <w:r>
              <w:rPr>
                <w:rFonts w:hint="eastAsia" w:ascii="宋体" w:hAnsi="宋体" w:cs="宋体"/>
                <w:color w:val="FF0000"/>
                <w:sz w:val="24"/>
                <w:lang w:eastAsia="zh-CN"/>
              </w:rPr>
              <w:t>供货期（</w:t>
            </w:r>
            <w:r>
              <w:rPr>
                <w:rFonts w:hint="eastAsia" w:ascii="宋体" w:hAnsi="宋体" w:cs="宋体"/>
                <w:color w:val="FF0000"/>
                <w:sz w:val="24"/>
                <w:lang w:val="en-US" w:eastAsia="zh-CN"/>
              </w:rPr>
              <w:t>5分</w:t>
            </w:r>
            <w:r>
              <w:rPr>
                <w:rFonts w:hint="eastAsia" w:ascii="宋体" w:hAnsi="宋体" w:cs="宋体"/>
                <w:color w:val="FF0000"/>
                <w:sz w:val="24"/>
                <w:lang w:eastAsia="zh-CN"/>
              </w:rPr>
              <w:t>）</w:t>
            </w:r>
          </w:p>
        </w:tc>
        <w:tc>
          <w:tcPr>
            <w:tcW w:w="11058" w:type="dxa"/>
            <w:shd w:val="clear" w:color="auto" w:fill="auto"/>
            <w:vAlign w:val="center"/>
          </w:tcPr>
          <w:p>
            <w:pPr>
              <w:rPr>
                <w:rFonts w:hint="eastAsia" w:ascii="宋体" w:hAnsi="宋体" w:cs="宋体"/>
                <w:color w:val="FF0000"/>
                <w:sz w:val="24"/>
              </w:rPr>
            </w:pPr>
            <w:r>
              <w:rPr>
                <w:rFonts w:hint="eastAsia" w:ascii="宋体" w:hAnsi="宋体" w:cs="宋体"/>
                <w:color w:val="FF0000"/>
                <w:sz w:val="24"/>
              </w:rPr>
              <w:t>供货期满足招标文件要求的得1分，每提前一天得0.</w:t>
            </w:r>
            <w:r>
              <w:rPr>
                <w:rFonts w:hint="eastAsia" w:ascii="宋体" w:hAnsi="宋体" w:cs="宋体"/>
                <w:color w:val="FF0000"/>
                <w:sz w:val="24"/>
                <w:lang w:val="en-US" w:eastAsia="zh-CN"/>
              </w:rPr>
              <w:t>2</w:t>
            </w:r>
            <w:r>
              <w:rPr>
                <w:rFonts w:hint="eastAsia" w:ascii="宋体" w:hAnsi="宋体" w:cs="宋体"/>
                <w:color w:val="FF0000"/>
                <w:sz w:val="24"/>
              </w:rPr>
              <w:t>分，满分</w:t>
            </w:r>
            <w:r>
              <w:rPr>
                <w:rFonts w:hint="eastAsia" w:ascii="宋体" w:hAnsi="宋体" w:cs="宋体"/>
                <w:color w:val="FF0000"/>
                <w:sz w:val="24"/>
                <w:lang w:val="en-US" w:eastAsia="zh-CN"/>
              </w:rPr>
              <w:t>3</w:t>
            </w:r>
            <w:r>
              <w:rPr>
                <w:rFonts w:hint="eastAsia" w:ascii="宋体" w:hAnsi="宋体" w:cs="宋体"/>
                <w:color w:val="FF0000"/>
                <w:sz w:val="24"/>
              </w:rPr>
              <w:t>分；具有供货期违约处罚承诺</w:t>
            </w:r>
            <w:r>
              <w:rPr>
                <w:rFonts w:hint="eastAsia" w:ascii="宋体" w:hAnsi="宋体" w:cs="宋体"/>
                <w:color w:val="FF0000"/>
                <w:sz w:val="24"/>
                <w:lang w:eastAsia="zh-CN"/>
              </w:rPr>
              <w:t>，</w:t>
            </w:r>
            <w:r>
              <w:rPr>
                <w:rFonts w:hint="eastAsia" w:ascii="宋体" w:hAnsi="宋体" w:cs="宋体"/>
                <w:color w:val="FF0000"/>
                <w:sz w:val="24"/>
              </w:rPr>
              <w:t>综合评分，范围0-2分</w:t>
            </w:r>
            <w:r>
              <w:rPr>
                <w:rFonts w:hint="eastAsia" w:ascii="宋体" w:hAnsi="宋体" w:cs="宋体"/>
                <w:color w:val="FF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55" w:type="dxa"/>
            <w:vMerge w:val="continue"/>
            <w:shd w:val="clear" w:color="auto" w:fill="auto"/>
            <w:vAlign w:val="center"/>
          </w:tcPr>
          <w:p>
            <w:pPr>
              <w:rPr>
                <w:rFonts w:hint="eastAsia" w:ascii="宋体" w:hAnsi="宋体" w:cs="宋体"/>
                <w:color w:val="FF0000"/>
                <w:sz w:val="24"/>
              </w:rPr>
            </w:pPr>
          </w:p>
        </w:tc>
        <w:tc>
          <w:tcPr>
            <w:tcW w:w="2955" w:type="dxa"/>
            <w:gridSpan w:val="2"/>
            <w:shd w:val="clear" w:color="auto" w:fill="auto"/>
            <w:vAlign w:val="center"/>
          </w:tcPr>
          <w:p>
            <w:pPr>
              <w:jc w:val="center"/>
              <w:rPr>
                <w:rFonts w:hint="eastAsia" w:ascii="宋体" w:hAnsi="宋体" w:cs="宋体"/>
                <w:color w:val="FF0000"/>
                <w:sz w:val="24"/>
              </w:rPr>
            </w:pPr>
            <w:r>
              <w:rPr>
                <w:rFonts w:hint="eastAsia" w:ascii="宋体" w:hAnsi="宋体" w:cs="宋体"/>
                <w:color w:val="FF0000"/>
                <w:sz w:val="24"/>
                <w:lang w:val="en-US" w:eastAsia="zh-CN"/>
              </w:rPr>
              <w:t>售后服务网点（2分）</w:t>
            </w:r>
          </w:p>
        </w:tc>
        <w:tc>
          <w:tcPr>
            <w:tcW w:w="11058" w:type="dxa"/>
            <w:shd w:val="clear" w:color="auto" w:fill="auto"/>
            <w:vAlign w:val="center"/>
          </w:tcPr>
          <w:p>
            <w:pPr>
              <w:rPr>
                <w:rFonts w:hint="eastAsia" w:ascii="宋体" w:hAnsi="宋体" w:cs="宋体"/>
                <w:color w:val="FF0000"/>
                <w:sz w:val="24"/>
              </w:rPr>
            </w:pPr>
            <w:r>
              <w:rPr>
                <w:rFonts w:hint="eastAsia" w:ascii="宋体" w:hAnsi="宋体" w:cs="宋体"/>
                <w:color w:val="FF0000"/>
                <w:sz w:val="24"/>
              </w:rPr>
              <w:t>在项目所在地有固定售后网点的（提供租赁合同）得1分；能提供驻场技术人员的得1分。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55" w:type="dxa"/>
            <w:vMerge w:val="restart"/>
            <w:shd w:val="clear" w:color="auto" w:fill="auto"/>
            <w:vAlign w:val="center"/>
          </w:tcPr>
          <w:p>
            <w:pPr>
              <w:jc w:val="center"/>
              <w:rPr>
                <w:rFonts w:ascii="宋体" w:hAnsi="宋体" w:cs="宋体"/>
                <w:color w:val="FF0000"/>
                <w:sz w:val="24"/>
              </w:rPr>
            </w:pPr>
            <w:r>
              <w:rPr>
                <w:rFonts w:hint="eastAsia" w:ascii="宋体" w:hAnsi="宋体" w:cs="宋体"/>
                <w:color w:val="FF0000"/>
                <w:sz w:val="24"/>
              </w:rPr>
              <w:t>技术</w:t>
            </w:r>
          </w:p>
          <w:p>
            <w:pPr>
              <w:jc w:val="center"/>
              <w:rPr>
                <w:rFonts w:ascii="宋体" w:hAnsi="宋体" w:cs="宋体"/>
                <w:color w:val="FF0000"/>
                <w:sz w:val="24"/>
              </w:rPr>
            </w:pPr>
            <w:r>
              <w:rPr>
                <w:rFonts w:hint="eastAsia" w:ascii="宋体" w:hAnsi="宋体" w:cs="宋体"/>
                <w:color w:val="FF0000"/>
                <w:sz w:val="24"/>
              </w:rPr>
              <w:t>部分</w:t>
            </w:r>
          </w:p>
          <w:p>
            <w:pPr>
              <w:jc w:val="center"/>
              <w:rPr>
                <w:rFonts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40</w:t>
            </w:r>
            <w:r>
              <w:rPr>
                <w:rFonts w:hint="eastAsia" w:ascii="宋体" w:hAnsi="宋体" w:cs="宋体"/>
                <w:color w:val="FF0000"/>
                <w:sz w:val="24"/>
              </w:rPr>
              <w:t>分）</w:t>
            </w:r>
          </w:p>
          <w:p>
            <w:pPr>
              <w:jc w:val="center"/>
              <w:rPr>
                <w:rFonts w:ascii="宋体" w:hAnsi="宋体" w:cs="宋体"/>
                <w:color w:val="FF0000"/>
                <w:sz w:val="24"/>
              </w:rPr>
            </w:pPr>
          </w:p>
        </w:tc>
        <w:tc>
          <w:tcPr>
            <w:tcW w:w="2955" w:type="dxa"/>
            <w:gridSpan w:val="2"/>
            <w:shd w:val="clear" w:color="auto" w:fill="auto"/>
            <w:vAlign w:val="center"/>
          </w:tcPr>
          <w:p>
            <w:pPr>
              <w:jc w:val="center"/>
              <w:rPr>
                <w:rFonts w:hint="eastAsia" w:ascii="宋体" w:hAnsi="宋体" w:eastAsia="宋体" w:cs="宋体"/>
                <w:color w:val="FF0000"/>
                <w:sz w:val="24"/>
                <w:lang w:eastAsia="zh-CN"/>
              </w:rPr>
            </w:pPr>
            <w:r>
              <w:rPr>
                <w:rFonts w:hint="eastAsia" w:ascii="宋体" w:hAnsi="宋体" w:cs="宋体"/>
                <w:color w:val="FF0000"/>
                <w:sz w:val="24"/>
              </w:rPr>
              <w:t>技术参数</w:t>
            </w:r>
            <w:r>
              <w:rPr>
                <w:rFonts w:hint="eastAsia" w:ascii="宋体" w:hAnsi="宋体" w:cs="宋体"/>
                <w:color w:val="FF0000"/>
                <w:sz w:val="24"/>
                <w:lang w:eastAsia="zh-CN"/>
              </w:rPr>
              <w:t>（</w:t>
            </w:r>
            <w:r>
              <w:rPr>
                <w:rFonts w:hint="eastAsia" w:ascii="宋体" w:hAnsi="宋体" w:cs="宋体"/>
                <w:color w:val="FF0000"/>
                <w:sz w:val="24"/>
                <w:lang w:val="en-US" w:eastAsia="zh-CN"/>
              </w:rPr>
              <w:t>20分</w:t>
            </w:r>
            <w:r>
              <w:rPr>
                <w:rFonts w:hint="eastAsia" w:ascii="宋体" w:hAnsi="宋体" w:cs="宋体"/>
                <w:color w:val="FF0000"/>
                <w:sz w:val="24"/>
                <w:lang w:eastAsia="zh-CN"/>
              </w:rPr>
              <w:t>）</w:t>
            </w:r>
          </w:p>
        </w:tc>
        <w:tc>
          <w:tcPr>
            <w:tcW w:w="11058" w:type="dxa"/>
            <w:shd w:val="clear" w:color="auto" w:fill="auto"/>
            <w:vAlign w:val="center"/>
          </w:tcPr>
          <w:p>
            <w:pPr>
              <w:rPr>
                <w:rFonts w:hint="eastAsia" w:ascii="宋体" w:hAnsi="宋体" w:eastAsia="宋体" w:cs="宋体"/>
                <w:color w:val="FF0000"/>
                <w:sz w:val="24"/>
                <w:lang w:eastAsia="zh-CN"/>
              </w:rPr>
            </w:pPr>
            <w:r>
              <w:rPr>
                <w:rFonts w:hint="eastAsia" w:ascii="宋体" w:hAnsi="宋体" w:cs="宋体"/>
                <w:color w:val="FF0000"/>
                <w:sz w:val="24"/>
              </w:rPr>
              <w:t>满足招标文件中技术参数要求的得</w:t>
            </w:r>
            <w:r>
              <w:rPr>
                <w:rFonts w:hint="eastAsia" w:ascii="宋体" w:hAnsi="宋体" w:cs="宋体"/>
                <w:color w:val="FF0000"/>
                <w:sz w:val="24"/>
                <w:lang w:val="en-US" w:eastAsia="zh-CN"/>
              </w:rPr>
              <w:t>20</w:t>
            </w:r>
            <w:r>
              <w:rPr>
                <w:rFonts w:hint="eastAsia" w:ascii="宋体" w:hAnsi="宋体" w:cs="宋体"/>
                <w:color w:val="FF0000"/>
                <w:sz w:val="24"/>
              </w:rPr>
              <w:t>分，技术参数一项负偏离得扣</w:t>
            </w:r>
            <w:r>
              <w:rPr>
                <w:rFonts w:hint="eastAsia" w:ascii="宋体" w:hAnsi="宋体" w:cs="宋体"/>
                <w:color w:val="FF0000"/>
                <w:sz w:val="24"/>
                <w:lang w:val="en-US" w:eastAsia="zh-CN"/>
              </w:rPr>
              <w:t>3</w:t>
            </w:r>
            <w:r>
              <w:rPr>
                <w:rFonts w:hint="eastAsia" w:ascii="宋体" w:hAnsi="宋体" w:cs="宋体"/>
                <w:color w:val="FF0000"/>
                <w:sz w:val="24"/>
              </w:rPr>
              <w:t>分，重大偏离招标文件中技术参数要求的，视为招标文件的不响应（是否为重大偏离一评标委员会专家评定为准），按照招标要求作无效投标处理；其他情况不得分。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55" w:type="dxa"/>
            <w:vMerge w:val="continue"/>
            <w:shd w:val="clear" w:color="auto" w:fill="auto"/>
            <w:vAlign w:val="center"/>
          </w:tcPr>
          <w:p>
            <w:pPr>
              <w:jc w:val="center"/>
              <w:rPr>
                <w:rFonts w:ascii="宋体" w:hAnsi="宋体" w:cs="宋体"/>
                <w:color w:val="FF0000"/>
                <w:sz w:val="24"/>
              </w:rPr>
            </w:pPr>
          </w:p>
        </w:tc>
        <w:tc>
          <w:tcPr>
            <w:tcW w:w="2955" w:type="dxa"/>
            <w:gridSpan w:val="2"/>
            <w:shd w:val="clear" w:color="auto" w:fill="auto"/>
            <w:vAlign w:val="center"/>
          </w:tcPr>
          <w:p>
            <w:pPr>
              <w:jc w:val="center"/>
              <w:rPr>
                <w:rFonts w:hint="eastAsia" w:ascii="宋体" w:hAnsi="宋体" w:cs="宋体"/>
                <w:color w:val="FF0000"/>
                <w:sz w:val="24"/>
              </w:rPr>
            </w:pPr>
            <w:r>
              <w:rPr>
                <w:rFonts w:hint="eastAsia" w:ascii="宋体" w:hAnsi="宋体" w:cs="宋体"/>
                <w:color w:val="FF0000"/>
                <w:sz w:val="24"/>
              </w:rPr>
              <w:t>项目实施方案（</w:t>
            </w:r>
            <w:r>
              <w:rPr>
                <w:rFonts w:hint="eastAsia" w:ascii="宋体" w:hAnsi="宋体" w:cs="宋体"/>
                <w:color w:val="FF0000"/>
                <w:sz w:val="24"/>
                <w:lang w:val="en-US" w:eastAsia="zh-CN"/>
              </w:rPr>
              <w:t>10</w:t>
            </w:r>
            <w:r>
              <w:rPr>
                <w:rFonts w:hint="eastAsia" w:ascii="宋体" w:hAnsi="宋体" w:cs="宋体"/>
                <w:color w:val="FF0000"/>
                <w:sz w:val="24"/>
              </w:rPr>
              <w:t>分）</w:t>
            </w:r>
          </w:p>
        </w:tc>
        <w:tc>
          <w:tcPr>
            <w:tcW w:w="11058" w:type="dxa"/>
            <w:shd w:val="clear" w:color="auto" w:fill="auto"/>
            <w:vAlign w:val="center"/>
          </w:tcPr>
          <w:p>
            <w:pPr>
              <w:jc w:val="left"/>
              <w:rPr>
                <w:rFonts w:hint="eastAsia" w:ascii="宋体" w:hAnsi="宋体" w:cs="宋体"/>
                <w:color w:val="FF0000"/>
                <w:sz w:val="24"/>
              </w:rPr>
            </w:pPr>
            <w:r>
              <w:rPr>
                <w:rFonts w:hint="eastAsia" w:ascii="宋体" w:hAnsi="宋体" w:cs="宋体"/>
                <w:color w:val="FF0000"/>
                <w:sz w:val="24"/>
              </w:rPr>
              <w:t>评标委员会根据投标文件对项目实施方案的完整性、技术说明情况（含货物参数叙述）等符合规定和实际等方面情况进行评议并打分；优得</w:t>
            </w:r>
            <w:r>
              <w:rPr>
                <w:rFonts w:hint="eastAsia" w:ascii="宋体" w:hAnsi="宋体" w:cs="宋体"/>
                <w:color w:val="FF0000"/>
                <w:sz w:val="24"/>
                <w:lang w:val="en-US" w:eastAsia="zh-CN"/>
              </w:rPr>
              <w:t>3</w:t>
            </w:r>
            <w:r>
              <w:rPr>
                <w:rFonts w:hint="eastAsia" w:ascii="宋体" w:hAnsi="宋体" w:cs="宋体"/>
                <w:color w:val="FF0000"/>
                <w:sz w:val="24"/>
              </w:rPr>
              <w:t>-</w:t>
            </w:r>
            <w:r>
              <w:rPr>
                <w:rFonts w:hint="eastAsia" w:ascii="宋体" w:hAnsi="宋体" w:cs="宋体"/>
                <w:color w:val="FF0000"/>
                <w:sz w:val="24"/>
                <w:lang w:val="en-US" w:eastAsia="zh-CN"/>
              </w:rPr>
              <w:t>4</w:t>
            </w:r>
            <w:r>
              <w:rPr>
                <w:rFonts w:hint="eastAsia" w:ascii="宋体" w:hAnsi="宋体" w:cs="宋体"/>
                <w:color w:val="FF0000"/>
                <w:sz w:val="24"/>
              </w:rPr>
              <w:t>分，一般得</w:t>
            </w:r>
            <w:r>
              <w:rPr>
                <w:rFonts w:hint="eastAsia" w:ascii="宋体" w:hAnsi="宋体" w:cs="宋体"/>
                <w:color w:val="FF0000"/>
                <w:sz w:val="24"/>
                <w:lang w:val="en-US" w:eastAsia="zh-CN"/>
              </w:rPr>
              <w:t>1</w:t>
            </w: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分，差得0分。</w:t>
            </w:r>
          </w:p>
          <w:p>
            <w:pPr>
              <w:jc w:val="left"/>
              <w:rPr>
                <w:rFonts w:hint="eastAsia" w:ascii="宋体" w:hAnsi="宋体" w:cs="宋体"/>
                <w:color w:val="FF0000"/>
                <w:sz w:val="24"/>
                <w:lang w:eastAsia="zh-CN"/>
              </w:rPr>
            </w:pPr>
            <w:r>
              <w:rPr>
                <w:rFonts w:hint="eastAsia" w:ascii="宋体" w:hAnsi="宋体" w:cs="宋体"/>
                <w:color w:val="FF0000"/>
                <w:sz w:val="24"/>
              </w:rPr>
              <w:t>（2）根据本项目具体特点及实际要求、货物质量、各个阶段进度、紧急保障措施及善后处理方案等方面情况进行评议并打分：</w:t>
            </w:r>
            <w:r>
              <w:rPr>
                <w:rFonts w:hint="eastAsia" w:ascii="宋体" w:hAnsi="宋体" w:cs="宋体"/>
                <w:color w:val="FF0000"/>
                <w:sz w:val="24"/>
                <w:lang w:eastAsia="zh-CN"/>
              </w:rPr>
              <w:t>优秀得</w:t>
            </w:r>
            <w:r>
              <w:rPr>
                <w:rFonts w:hint="eastAsia" w:ascii="宋体" w:hAnsi="宋体" w:cs="宋体"/>
                <w:color w:val="FF0000"/>
                <w:sz w:val="24"/>
                <w:lang w:val="en-US" w:eastAsia="zh-CN"/>
              </w:rPr>
              <w:t>2-3分，</w:t>
            </w:r>
            <w:r>
              <w:rPr>
                <w:rFonts w:hint="eastAsia" w:ascii="宋体" w:hAnsi="宋体" w:cs="宋体"/>
                <w:color w:val="FF0000"/>
                <w:sz w:val="24"/>
              </w:rPr>
              <w:t>可行得</w:t>
            </w:r>
            <w:r>
              <w:rPr>
                <w:rFonts w:hint="eastAsia" w:ascii="宋体" w:hAnsi="宋体" w:cs="宋体"/>
                <w:color w:val="FF0000"/>
                <w:sz w:val="24"/>
                <w:lang w:val="en-US" w:eastAsia="zh-CN"/>
              </w:rPr>
              <w:t>0-1</w:t>
            </w:r>
            <w:r>
              <w:rPr>
                <w:rFonts w:hint="eastAsia" w:ascii="宋体" w:hAnsi="宋体" w:cs="宋体"/>
                <w:color w:val="FF0000"/>
                <w:sz w:val="24"/>
              </w:rPr>
              <w:t>分</w:t>
            </w:r>
            <w:r>
              <w:rPr>
                <w:rFonts w:hint="eastAsia" w:ascii="宋体" w:hAnsi="宋体" w:cs="宋体"/>
                <w:color w:val="FF0000"/>
                <w:sz w:val="24"/>
                <w:lang w:eastAsia="zh-CN"/>
              </w:rPr>
              <w:t>。</w:t>
            </w:r>
          </w:p>
          <w:p>
            <w:pPr>
              <w:jc w:val="left"/>
              <w:rPr>
                <w:rFonts w:hint="eastAsia" w:ascii="宋体" w:hAnsi="宋体" w:cs="宋体"/>
                <w:color w:val="FF0000"/>
                <w:sz w:val="24"/>
              </w:rPr>
            </w:pPr>
            <w:r>
              <w:rPr>
                <w:rFonts w:hint="eastAsia" w:ascii="宋体" w:hAnsi="宋体" w:cs="宋体"/>
                <w:color w:val="FF0000"/>
                <w:sz w:val="24"/>
              </w:rPr>
              <w:t>（3）根据本项目的实际情况，对运输方案、货物调配、货物交接、清单安排等方面情况进行评议并打分；</w:t>
            </w:r>
            <w:r>
              <w:rPr>
                <w:rFonts w:hint="eastAsia" w:ascii="宋体" w:hAnsi="宋体" w:cs="宋体"/>
                <w:color w:val="FF0000"/>
                <w:sz w:val="24"/>
                <w:lang w:eastAsia="zh-CN"/>
              </w:rPr>
              <w:t>优秀得</w:t>
            </w:r>
            <w:r>
              <w:rPr>
                <w:rFonts w:hint="eastAsia" w:ascii="宋体" w:hAnsi="宋体" w:cs="宋体"/>
                <w:color w:val="FF0000"/>
                <w:sz w:val="24"/>
                <w:lang w:val="en-US" w:eastAsia="zh-CN"/>
              </w:rPr>
              <w:t>2-3分，</w:t>
            </w:r>
            <w:r>
              <w:rPr>
                <w:rFonts w:hint="eastAsia" w:ascii="宋体" w:hAnsi="宋体" w:cs="宋体"/>
                <w:color w:val="FF0000"/>
                <w:sz w:val="24"/>
              </w:rPr>
              <w:t>可行得</w:t>
            </w:r>
            <w:r>
              <w:rPr>
                <w:rFonts w:hint="eastAsia" w:ascii="宋体" w:hAnsi="宋体" w:cs="宋体"/>
                <w:color w:val="FF0000"/>
                <w:sz w:val="24"/>
                <w:lang w:val="en-US" w:eastAsia="zh-CN"/>
              </w:rPr>
              <w:t>0-1</w:t>
            </w:r>
            <w:r>
              <w:rPr>
                <w:rFonts w:hint="eastAsia" w:ascii="宋体" w:hAnsi="宋体" w:cs="宋体"/>
                <w:color w:val="FF0000"/>
                <w:sz w:val="24"/>
              </w:rPr>
              <w:t>分</w:t>
            </w:r>
            <w:r>
              <w:rPr>
                <w:rFonts w:hint="eastAsia" w:ascii="宋体" w:hAnsi="宋体" w:cs="宋体"/>
                <w:color w:val="FF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55" w:type="dxa"/>
            <w:vMerge w:val="continue"/>
            <w:shd w:val="clear" w:color="auto" w:fill="auto"/>
            <w:vAlign w:val="center"/>
          </w:tcPr>
          <w:p>
            <w:pPr>
              <w:jc w:val="center"/>
              <w:rPr>
                <w:rFonts w:ascii="宋体" w:hAnsi="宋体" w:cs="宋体"/>
                <w:color w:val="FF0000"/>
                <w:sz w:val="24"/>
              </w:rPr>
            </w:pPr>
          </w:p>
        </w:tc>
        <w:tc>
          <w:tcPr>
            <w:tcW w:w="2955" w:type="dxa"/>
            <w:gridSpan w:val="2"/>
            <w:shd w:val="clear" w:color="auto" w:fill="auto"/>
            <w:vAlign w:val="center"/>
          </w:tcPr>
          <w:p>
            <w:pPr>
              <w:jc w:val="center"/>
              <w:rPr>
                <w:rFonts w:hint="default" w:ascii="宋体" w:hAnsi="宋体" w:eastAsia="宋体" w:cs="宋体"/>
                <w:color w:val="FF0000"/>
                <w:sz w:val="24"/>
                <w:lang w:val="en-US" w:eastAsia="zh-CN"/>
              </w:rPr>
            </w:pPr>
            <w:r>
              <w:rPr>
                <w:rFonts w:hint="eastAsia" w:ascii="宋体" w:hAnsi="宋体" w:cs="宋体"/>
                <w:color w:val="FF0000"/>
                <w:sz w:val="24"/>
                <w:lang w:val="en-US" w:eastAsia="zh-CN"/>
              </w:rPr>
              <w:t>质检报告（10分）</w:t>
            </w:r>
          </w:p>
        </w:tc>
        <w:tc>
          <w:tcPr>
            <w:tcW w:w="11058" w:type="dxa"/>
            <w:shd w:val="clear" w:color="auto" w:fill="auto"/>
            <w:vAlign w:val="center"/>
          </w:tcPr>
          <w:p>
            <w:pPr>
              <w:rPr>
                <w:rFonts w:hint="eastAsia" w:ascii="宋体" w:hAnsi="宋体" w:cs="宋体"/>
                <w:color w:val="FF0000"/>
                <w:sz w:val="24"/>
                <w:lang w:eastAsia="zh-CN"/>
              </w:rPr>
            </w:pPr>
            <w:r>
              <w:rPr>
                <w:rFonts w:hint="eastAsia" w:ascii="宋体" w:hAnsi="宋体" w:cs="宋体"/>
                <w:color w:val="FF0000"/>
                <w:sz w:val="24"/>
                <w:lang w:val="en-US" w:eastAsia="zh-CN"/>
              </w:rPr>
              <w:t>投标企业所投核心产品（采购清单中的加★项）提供有效期内相关机构出具的产品质量检测报告，完整提供的每一份得2分，最高得10分，不提供不得分。</w:t>
            </w:r>
          </w:p>
        </w:tc>
      </w:tr>
    </w:tbl>
    <w:p>
      <w:pPr>
        <w:pStyle w:val="13"/>
        <w:rPr>
          <w:rFonts w:ascii="宋体" w:hAnsi="宋体"/>
          <w:color w:val="000000"/>
          <w:sz w:val="24"/>
        </w:rPr>
        <w:sectPr>
          <w:pgSz w:w="16838" w:h="11906" w:orient="landscape"/>
          <w:pgMar w:top="680" w:right="1418" w:bottom="680" w:left="1418" w:header="851" w:footer="992" w:gutter="0"/>
          <w:pgNumType w:fmt="decimal"/>
          <w:cols w:space="0" w:num="1"/>
          <w:rtlGutter w:val="0"/>
          <w:docGrid w:type="lines" w:linePitch="312" w:charSpace="0"/>
        </w:sectPr>
      </w:pPr>
    </w:p>
    <w:p>
      <w:pPr>
        <w:pStyle w:val="19"/>
        <w:tabs>
          <w:tab w:val="left" w:pos="0"/>
        </w:tabs>
        <w:spacing w:line="360" w:lineRule="auto"/>
        <w:ind w:left="0" w:leftChars="0" w:firstLine="0" w:firstLineChars="0"/>
        <w:jc w:val="center"/>
        <w:outlineLvl w:val="0"/>
        <w:rPr>
          <w:rFonts w:eastAsia="黑体"/>
          <w:b/>
          <w:sz w:val="36"/>
        </w:rPr>
      </w:pPr>
      <w:bookmarkStart w:id="49" w:name="_Toc12259"/>
      <w:bookmarkStart w:id="50" w:name="_Toc33194718"/>
      <w:bookmarkStart w:id="51" w:name="_Toc33212776"/>
      <w:r>
        <w:rPr>
          <w:rFonts w:hint="eastAsia" w:eastAsia="黑体"/>
          <w:b/>
          <w:sz w:val="36"/>
        </w:rPr>
        <w:t>第六部分   政府采购合同</w:t>
      </w:r>
      <w:bookmarkEnd w:id="47"/>
      <w:bookmarkEnd w:id="49"/>
      <w:bookmarkEnd w:id="50"/>
      <w:bookmarkEnd w:id="51"/>
    </w:p>
    <w:p>
      <w:pPr>
        <w:spacing w:line="360" w:lineRule="auto"/>
        <w:jc w:val="center"/>
        <w:rPr>
          <w:rFonts w:ascii="宋体" w:hAnsi="宋体"/>
          <w:sz w:val="32"/>
          <w:szCs w:val="32"/>
        </w:rPr>
      </w:pPr>
    </w:p>
    <w:p>
      <w:pPr>
        <w:jc w:val="center"/>
        <w:rPr>
          <w:rFonts w:ascii="宋体" w:hAnsi="宋体"/>
          <w:b/>
          <w:sz w:val="24"/>
        </w:rPr>
      </w:pPr>
    </w:p>
    <w:p>
      <w:pPr>
        <w:jc w:val="center"/>
        <w:rPr>
          <w:rFonts w:eastAsia="黑体"/>
          <w:b/>
          <w:sz w:val="52"/>
          <w:szCs w:val="52"/>
        </w:rPr>
      </w:pPr>
    </w:p>
    <w:p>
      <w:pPr>
        <w:jc w:val="center"/>
        <w:rPr>
          <w:rFonts w:eastAsia="黑体"/>
          <w:b/>
          <w:sz w:val="72"/>
          <w:szCs w:val="72"/>
        </w:rPr>
      </w:pPr>
      <w:r>
        <w:rPr>
          <w:rFonts w:hint="eastAsia" w:eastAsia="黑体"/>
          <w:b/>
          <w:sz w:val="72"/>
          <w:szCs w:val="72"/>
        </w:rPr>
        <w:t>政府采购合同</w:t>
      </w:r>
    </w:p>
    <w:p>
      <w:pPr>
        <w:jc w:val="center"/>
        <w:rPr>
          <w:rFonts w:eastAsia="黑体"/>
          <w:b/>
          <w:sz w:val="52"/>
          <w:szCs w:val="52"/>
        </w:rPr>
      </w:pPr>
    </w:p>
    <w:p>
      <w:pPr>
        <w:jc w:val="center"/>
        <w:rPr>
          <w:rFonts w:eastAsia="黑体"/>
          <w:b/>
          <w:sz w:val="52"/>
          <w:szCs w:val="52"/>
        </w:rPr>
      </w:pPr>
    </w:p>
    <w:p>
      <w:pPr>
        <w:jc w:val="center"/>
        <w:rPr>
          <w:rFonts w:eastAsia="黑体"/>
          <w:b/>
          <w:sz w:val="52"/>
          <w:szCs w:val="52"/>
        </w:rPr>
      </w:pPr>
    </w:p>
    <w:p>
      <w:pPr>
        <w:ind w:firstLine="1597" w:firstLineChars="497"/>
        <w:rPr>
          <w:rFonts w:eastAsia="黑体"/>
          <w:b/>
          <w:sz w:val="32"/>
          <w:szCs w:val="32"/>
        </w:rPr>
      </w:pPr>
      <w:r>
        <w:rPr>
          <w:rFonts w:hint="eastAsia" w:eastAsia="黑体"/>
          <w:b/>
          <w:sz w:val="32"/>
          <w:szCs w:val="32"/>
        </w:rPr>
        <w:t>项目名称:</w:t>
      </w:r>
      <w:r>
        <w:rPr>
          <w:rFonts w:hint="eastAsia" w:ascii="宋体" w:hAnsi="宋体" w:eastAsia="黑体"/>
          <w:b/>
          <w:sz w:val="32"/>
          <w:szCs w:val="32"/>
          <w:u w:val="single"/>
        </w:rPr>
        <w:t xml:space="preserve">                          </w:t>
      </w:r>
    </w:p>
    <w:p>
      <w:pPr>
        <w:spacing w:before="312" w:beforeLines="100"/>
        <w:ind w:firstLine="1597" w:firstLineChars="497"/>
        <w:rPr>
          <w:rFonts w:ascii="宋体" w:hAnsi="宋体" w:eastAsia="黑体"/>
          <w:b/>
          <w:sz w:val="32"/>
          <w:szCs w:val="32"/>
          <w:u w:val="single"/>
        </w:rPr>
      </w:pPr>
      <w:r>
        <w:rPr>
          <w:rFonts w:hint="eastAsia" w:eastAsia="黑体"/>
          <w:b/>
          <w:sz w:val="32"/>
          <w:szCs w:val="32"/>
        </w:rPr>
        <w:t>项目编号、包号:</w:t>
      </w:r>
      <w:r>
        <w:rPr>
          <w:rFonts w:hint="eastAsia" w:ascii="宋体" w:hAnsi="宋体" w:eastAsia="黑体"/>
          <w:b/>
          <w:sz w:val="32"/>
          <w:szCs w:val="32"/>
          <w:u w:val="single"/>
        </w:rPr>
        <w:t xml:space="preserve">                    </w:t>
      </w:r>
    </w:p>
    <w:p>
      <w:pPr>
        <w:spacing w:before="312" w:beforeLines="100"/>
        <w:ind w:firstLine="1597" w:firstLineChars="497"/>
        <w:rPr>
          <w:rFonts w:ascii="宋体" w:hAnsi="宋体" w:eastAsia="黑体"/>
          <w:b/>
          <w:sz w:val="32"/>
          <w:szCs w:val="32"/>
          <w:u w:val="single"/>
        </w:rPr>
      </w:pPr>
      <w:r>
        <w:rPr>
          <w:rFonts w:hint="eastAsia" w:ascii="黑体" w:eastAsia="黑体"/>
          <w:b/>
          <w:bCs/>
          <w:kern w:val="0"/>
          <w:sz w:val="32"/>
          <w:szCs w:val="32"/>
        </w:rPr>
        <w:t>合同编号</w:t>
      </w:r>
      <w:r>
        <w:rPr>
          <w:b/>
          <w:bCs/>
          <w:kern w:val="0"/>
          <w:sz w:val="32"/>
          <w:szCs w:val="32"/>
        </w:rPr>
        <w:t>:</w:t>
      </w:r>
      <w:r>
        <w:rPr>
          <w:rFonts w:hint="eastAsia" w:ascii="宋体" w:hAnsi="宋体" w:eastAsia="黑体"/>
          <w:b/>
          <w:sz w:val="32"/>
          <w:szCs w:val="32"/>
          <w:u w:val="single"/>
        </w:rPr>
        <w:t xml:space="preserve">                          </w:t>
      </w:r>
    </w:p>
    <w:p>
      <w:pPr>
        <w:spacing w:before="312" w:beforeLines="100"/>
        <w:jc w:val="center"/>
        <w:rPr>
          <w:rFonts w:ascii="宋体" w:hAnsi="宋体" w:eastAsia="黑体"/>
          <w:b/>
          <w:sz w:val="32"/>
          <w:szCs w:val="32"/>
          <w:u w:val="single"/>
        </w:rPr>
      </w:pPr>
    </w:p>
    <w:p>
      <w:pPr>
        <w:spacing w:before="312" w:beforeLines="100"/>
        <w:jc w:val="center"/>
        <w:rPr>
          <w:rFonts w:ascii="宋体" w:hAnsi="宋体" w:eastAsia="黑体"/>
          <w:b/>
          <w:sz w:val="32"/>
          <w:szCs w:val="32"/>
          <w:u w:val="single"/>
        </w:rPr>
      </w:pPr>
    </w:p>
    <w:p>
      <w:pPr>
        <w:spacing w:before="312" w:beforeLines="100"/>
        <w:jc w:val="center"/>
        <w:rPr>
          <w:rFonts w:ascii="宋体" w:hAnsi="宋体" w:eastAsia="黑体"/>
          <w:b/>
          <w:sz w:val="32"/>
          <w:szCs w:val="32"/>
          <w:u w:val="single"/>
        </w:rPr>
      </w:pPr>
    </w:p>
    <w:p>
      <w:pPr>
        <w:spacing w:before="312" w:beforeLines="100"/>
        <w:jc w:val="center"/>
        <w:rPr>
          <w:rFonts w:ascii="宋体" w:hAnsi="宋体" w:eastAsia="黑体"/>
          <w:b/>
          <w:sz w:val="32"/>
          <w:szCs w:val="32"/>
          <w:u w:val="single"/>
        </w:rPr>
      </w:pPr>
    </w:p>
    <w:p>
      <w:pPr>
        <w:pStyle w:val="30"/>
        <w:ind w:left="420" w:hanging="420"/>
      </w:pPr>
    </w:p>
    <w:p>
      <w:pPr>
        <w:pStyle w:val="30"/>
        <w:ind w:left="420" w:hanging="420"/>
      </w:pPr>
    </w:p>
    <w:p>
      <w:pPr>
        <w:rPr>
          <w:rFonts w:hint="eastAsia" w:eastAsia="黑体"/>
          <w:b/>
          <w:sz w:val="32"/>
          <w:szCs w:val="32"/>
        </w:rPr>
      </w:pPr>
      <w:r>
        <w:rPr>
          <w:rFonts w:hint="eastAsia" w:eastAsia="黑体"/>
          <w:b/>
          <w:sz w:val="32"/>
          <w:szCs w:val="32"/>
        </w:rPr>
        <w:br w:type="page"/>
      </w:r>
    </w:p>
    <w:p>
      <w:pPr>
        <w:rPr>
          <w:rFonts w:eastAsia="黑体"/>
          <w:b/>
          <w:sz w:val="32"/>
          <w:szCs w:val="32"/>
        </w:rPr>
      </w:pPr>
      <w:r>
        <w:rPr>
          <w:rFonts w:hint="eastAsia" w:eastAsia="黑体"/>
          <w:b/>
          <w:sz w:val="32"/>
          <w:szCs w:val="32"/>
        </w:rPr>
        <w:t>甲    方:</w:t>
      </w:r>
      <w:r>
        <w:rPr>
          <w:rFonts w:hint="eastAsia" w:ascii="宋体" w:hAnsi="宋体" w:eastAsia="黑体"/>
          <w:b/>
          <w:sz w:val="32"/>
          <w:szCs w:val="32"/>
          <w:u w:val="single"/>
        </w:rPr>
        <w:t xml:space="preserve">                    </w:t>
      </w:r>
    </w:p>
    <w:p>
      <w:pPr>
        <w:spacing w:before="312" w:beforeLines="100"/>
        <w:rPr>
          <w:rFonts w:ascii="宋体" w:hAnsi="宋体" w:eastAsia="黑体"/>
          <w:b/>
          <w:sz w:val="32"/>
          <w:szCs w:val="32"/>
          <w:u w:val="single"/>
        </w:rPr>
      </w:pPr>
      <w:r>
        <w:rPr>
          <w:rFonts w:hint="eastAsia" w:eastAsia="黑体"/>
          <w:b/>
          <w:sz w:val="32"/>
          <w:szCs w:val="32"/>
        </w:rPr>
        <w:t>乙    方:</w:t>
      </w:r>
      <w:r>
        <w:rPr>
          <w:rFonts w:hint="eastAsia" w:ascii="宋体" w:hAnsi="宋体" w:eastAsia="黑体"/>
          <w:b/>
          <w:sz w:val="32"/>
          <w:szCs w:val="32"/>
          <w:u w:val="single"/>
        </w:rPr>
        <w:t xml:space="preserve">                    </w:t>
      </w:r>
    </w:p>
    <w:p>
      <w:pPr>
        <w:spacing w:before="312" w:beforeLines="100"/>
        <w:rPr>
          <w:sz w:val="24"/>
        </w:rPr>
      </w:pPr>
      <w:r>
        <w:rPr>
          <w:rFonts w:hint="eastAsia" w:eastAsia="黑体"/>
          <w:b/>
          <w:sz w:val="32"/>
          <w:szCs w:val="32"/>
          <w:u w:val="single"/>
        </w:rPr>
        <w:t xml:space="preserve">  </w:t>
      </w:r>
      <w:r>
        <w:rPr>
          <w:rFonts w:hint="eastAsia"/>
          <w:sz w:val="24"/>
        </w:rPr>
        <w:t>甲方所需货物及相关服务在国内以公开招标方式进行采购，经评标委员会评审，确定乙方为中标人。甲、乙双方根据《中华人民共和国政府采购法》、《中华人民共和国合同法》等相关法律以及本项目招标文件的规定，经平等协商达成合同如下：</w:t>
      </w:r>
    </w:p>
    <w:p>
      <w:pPr>
        <w:spacing w:line="360" w:lineRule="auto"/>
        <w:ind w:firstLine="472" w:firstLineChars="196"/>
        <w:rPr>
          <w:sz w:val="24"/>
        </w:rPr>
      </w:pPr>
      <w:r>
        <w:rPr>
          <w:rFonts w:hint="eastAsia" w:ascii="宋体" w:hAnsi="宋体"/>
          <w:b/>
          <w:bCs/>
          <w:sz w:val="24"/>
        </w:rPr>
        <w:t>一、合同文件</w:t>
      </w:r>
    </w:p>
    <w:p>
      <w:pPr>
        <w:spacing w:line="360" w:lineRule="auto"/>
        <w:ind w:firstLine="480" w:firstLineChars="200"/>
        <w:rPr>
          <w:sz w:val="24"/>
        </w:rPr>
      </w:pPr>
      <w:r>
        <w:rPr>
          <w:rFonts w:hint="eastAsia" w:ascii="宋体" w:hAnsi="宋体"/>
          <w:sz w:val="24"/>
        </w:rPr>
        <w:t>本合同所附下列文件是构成本合同不可分割的部分：</w:t>
      </w:r>
    </w:p>
    <w:p>
      <w:pPr>
        <w:spacing w:line="360" w:lineRule="auto"/>
        <w:ind w:firstLine="480" w:firstLineChars="200"/>
        <w:rPr>
          <w:sz w:val="24"/>
        </w:rPr>
      </w:pPr>
      <w:r>
        <w:rPr>
          <w:rFonts w:hint="eastAsia" w:ascii="宋体" w:hAnsi="宋体"/>
          <w:sz w:val="24"/>
        </w:rPr>
        <w:t>（一）本项目招标文件</w:t>
      </w:r>
    </w:p>
    <w:p>
      <w:pPr>
        <w:spacing w:line="360" w:lineRule="auto"/>
        <w:ind w:firstLine="480" w:firstLineChars="200"/>
        <w:rPr>
          <w:sz w:val="24"/>
        </w:rPr>
      </w:pPr>
      <w:r>
        <w:rPr>
          <w:rFonts w:hint="eastAsia" w:ascii="宋体" w:hAnsi="宋体"/>
          <w:sz w:val="24"/>
        </w:rPr>
        <w:t>（二）中标人投标文件</w:t>
      </w:r>
    </w:p>
    <w:p>
      <w:pPr>
        <w:spacing w:line="360" w:lineRule="auto"/>
        <w:ind w:firstLine="480" w:firstLineChars="200"/>
        <w:rPr>
          <w:sz w:val="24"/>
        </w:rPr>
      </w:pPr>
      <w:r>
        <w:rPr>
          <w:rFonts w:hint="eastAsia" w:ascii="宋体" w:hAnsi="宋体"/>
          <w:sz w:val="24"/>
        </w:rPr>
        <w:t>（三）本合同格式及有关合同条款</w:t>
      </w:r>
    </w:p>
    <w:p>
      <w:pPr>
        <w:spacing w:line="360" w:lineRule="auto"/>
        <w:ind w:firstLine="480" w:firstLineChars="200"/>
        <w:rPr>
          <w:sz w:val="24"/>
        </w:rPr>
      </w:pPr>
      <w:r>
        <w:rPr>
          <w:rFonts w:hint="eastAsia" w:ascii="宋体" w:hAnsi="宋体"/>
          <w:sz w:val="24"/>
        </w:rPr>
        <w:t>（四）中标人在评标过程中做出的有关澄清、说明或者补正文件</w:t>
      </w:r>
    </w:p>
    <w:p>
      <w:pPr>
        <w:spacing w:line="360" w:lineRule="auto"/>
        <w:ind w:firstLine="480" w:firstLineChars="200"/>
        <w:rPr>
          <w:sz w:val="24"/>
        </w:rPr>
      </w:pPr>
      <w:r>
        <w:rPr>
          <w:rFonts w:hint="eastAsia" w:ascii="宋体" w:hAnsi="宋体"/>
          <w:sz w:val="24"/>
        </w:rPr>
        <w:t>（五）中标通知书</w:t>
      </w:r>
    </w:p>
    <w:p>
      <w:pPr>
        <w:spacing w:line="360" w:lineRule="auto"/>
        <w:ind w:firstLine="480" w:firstLineChars="200"/>
        <w:rPr>
          <w:sz w:val="24"/>
        </w:rPr>
      </w:pPr>
      <w:r>
        <w:rPr>
          <w:rFonts w:hint="eastAsia" w:ascii="宋体" w:hAnsi="宋体"/>
          <w:sz w:val="24"/>
        </w:rPr>
        <w:t>（六）本合同附件</w:t>
      </w:r>
    </w:p>
    <w:p>
      <w:pPr>
        <w:spacing w:line="360" w:lineRule="auto"/>
        <w:ind w:firstLine="482" w:firstLineChars="200"/>
        <w:rPr>
          <w:sz w:val="24"/>
        </w:rPr>
      </w:pPr>
      <w:r>
        <w:rPr>
          <w:rFonts w:hint="eastAsia" w:ascii="宋体" w:hAnsi="宋体"/>
          <w:b/>
          <w:bCs/>
          <w:sz w:val="24"/>
        </w:rPr>
        <w:t>二、合同的范围和条件</w:t>
      </w:r>
    </w:p>
    <w:p>
      <w:pPr>
        <w:spacing w:line="360" w:lineRule="auto"/>
        <w:ind w:firstLine="480" w:firstLineChars="200"/>
        <w:rPr>
          <w:sz w:val="24"/>
        </w:rPr>
      </w:pPr>
      <w:r>
        <w:rPr>
          <w:rFonts w:hint="eastAsia" w:ascii="宋体" w:hAnsi="宋体"/>
          <w:sz w:val="24"/>
        </w:rPr>
        <w:t>本合同的范围和条件应与上述合同文件的规定相一致。</w:t>
      </w:r>
    </w:p>
    <w:p>
      <w:pPr>
        <w:spacing w:line="360" w:lineRule="auto"/>
        <w:ind w:firstLine="482" w:firstLineChars="200"/>
        <w:rPr>
          <w:sz w:val="24"/>
        </w:rPr>
      </w:pPr>
      <w:r>
        <w:rPr>
          <w:rFonts w:hint="eastAsia" w:ascii="宋体" w:hAnsi="宋体"/>
          <w:b/>
          <w:bCs/>
          <w:sz w:val="24"/>
        </w:rPr>
        <w:t>三、货物、数量及规格</w:t>
      </w:r>
    </w:p>
    <w:p>
      <w:pPr>
        <w:spacing w:line="360" w:lineRule="auto"/>
        <w:ind w:firstLine="480" w:firstLineChars="200"/>
        <w:rPr>
          <w:sz w:val="24"/>
        </w:rPr>
      </w:pPr>
      <w:r>
        <w:rPr>
          <w:rFonts w:hint="eastAsia" w:ascii="宋体" w:hAnsi="宋体"/>
          <w:sz w:val="24"/>
        </w:rPr>
        <w:t>本合同乙方所提供的货物、数量及规格详见合同货物清单（附件）。</w:t>
      </w:r>
    </w:p>
    <w:p>
      <w:pPr>
        <w:spacing w:line="360" w:lineRule="auto"/>
        <w:ind w:firstLine="482" w:firstLineChars="200"/>
        <w:rPr>
          <w:sz w:val="24"/>
        </w:rPr>
      </w:pPr>
      <w:r>
        <w:rPr>
          <w:rFonts w:hint="eastAsia" w:ascii="宋体" w:hAnsi="宋体"/>
          <w:b/>
          <w:bCs/>
          <w:sz w:val="24"/>
        </w:rPr>
        <w:t>四、合同金额</w:t>
      </w:r>
    </w:p>
    <w:p>
      <w:pPr>
        <w:spacing w:line="360" w:lineRule="auto"/>
        <w:ind w:firstLine="480" w:firstLineChars="200"/>
        <w:rPr>
          <w:sz w:val="24"/>
        </w:rPr>
      </w:pPr>
      <w:r>
        <w:rPr>
          <w:rFonts w:hint="eastAsia" w:ascii="宋体" w:hAnsi="宋体"/>
          <w:sz w:val="24"/>
        </w:rPr>
        <w:t>根据上述合同文件要求，合同金额为人民币</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。（分项价格详见合同货物清单）。</w:t>
      </w:r>
    </w:p>
    <w:p>
      <w:pPr>
        <w:spacing w:line="360" w:lineRule="auto"/>
        <w:ind w:firstLine="480" w:firstLineChars="200"/>
        <w:rPr>
          <w:sz w:val="24"/>
        </w:rPr>
      </w:pPr>
      <w:r>
        <w:rPr>
          <w:rFonts w:hint="eastAsia" w:ascii="宋体" w:hAnsi="宋体"/>
          <w:sz w:val="24"/>
        </w:rPr>
        <w:t>乙方开户单位：</w:t>
      </w:r>
    </w:p>
    <w:p>
      <w:pPr>
        <w:spacing w:line="360" w:lineRule="auto"/>
        <w:ind w:firstLine="480" w:firstLineChars="200"/>
        <w:rPr>
          <w:rFonts w:ascii="宋体" w:hAnsi="宋体"/>
          <w:sz w:val="24"/>
        </w:rPr>
      </w:pPr>
      <w:r>
        <w:rPr>
          <w:rFonts w:hint="eastAsia" w:ascii="宋体" w:hAnsi="宋体"/>
          <w:sz w:val="24"/>
        </w:rPr>
        <w:t>开户银行：</w:t>
      </w:r>
    </w:p>
    <w:p>
      <w:pPr>
        <w:spacing w:line="360" w:lineRule="auto"/>
        <w:ind w:firstLine="480" w:firstLineChars="200"/>
        <w:rPr>
          <w:sz w:val="24"/>
        </w:rPr>
      </w:pPr>
      <w:r>
        <w:rPr>
          <w:rFonts w:hint="eastAsia" w:ascii="宋体" w:hAnsi="宋体"/>
          <w:sz w:val="24"/>
        </w:rPr>
        <w:t>帐号：</w:t>
      </w:r>
    </w:p>
    <w:p>
      <w:pPr>
        <w:spacing w:line="360" w:lineRule="auto"/>
        <w:ind w:firstLine="482" w:firstLineChars="200"/>
        <w:rPr>
          <w:sz w:val="24"/>
        </w:rPr>
      </w:pPr>
      <w:r>
        <w:rPr>
          <w:rFonts w:hint="eastAsia" w:ascii="宋体" w:hAnsi="宋体"/>
          <w:b/>
          <w:bCs/>
          <w:sz w:val="24"/>
        </w:rPr>
        <w:t>五、付款途径</w:t>
      </w:r>
    </w:p>
    <w:p>
      <w:pPr>
        <w:spacing w:line="360" w:lineRule="auto"/>
        <w:ind w:firstLine="480" w:firstLineChars="200"/>
        <w:rPr>
          <w:sz w:val="24"/>
        </w:rPr>
      </w:pPr>
      <w:r>
        <w:rPr>
          <w:rFonts w:hint="eastAsia" w:ascii="宋体" w:hAnsi="宋体"/>
          <w:sz w:val="24"/>
        </w:rPr>
        <w:t>□ 国库集中支付      □甲方支付      □ 国库与甲方共同支付</w:t>
      </w:r>
    </w:p>
    <w:p>
      <w:pPr>
        <w:spacing w:line="360" w:lineRule="auto"/>
        <w:ind w:firstLine="480" w:firstLineChars="200"/>
        <w:rPr>
          <w:sz w:val="24"/>
        </w:rPr>
      </w:pPr>
      <w:r>
        <w:rPr>
          <w:rFonts w:hint="eastAsia" w:ascii="宋体" w:hAnsi="宋体"/>
          <w:sz w:val="24"/>
        </w:rPr>
        <w:t>□ 财政性资金</w:t>
      </w:r>
      <w:r>
        <w:rPr>
          <w:rFonts w:hint="eastAsia" w:ascii="宋体" w:hAnsi="宋体"/>
          <w:sz w:val="24"/>
          <w:u w:val="single"/>
        </w:rPr>
        <w:t xml:space="preserve">       </w:t>
      </w:r>
      <w:r>
        <w:rPr>
          <w:rFonts w:hint="eastAsia" w:ascii="宋体" w:hAnsi="宋体"/>
          <w:sz w:val="24"/>
        </w:rPr>
        <w:t>元          □ 自筹性资金</w:t>
      </w:r>
      <w:r>
        <w:rPr>
          <w:rFonts w:hint="eastAsia" w:ascii="宋体" w:hAnsi="宋体"/>
          <w:sz w:val="24"/>
          <w:u w:val="single"/>
        </w:rPr>
        <w:t xml:space="preserve">         </w:t>
      </w:r>
      <w:r>
        <w:rPr>
          <w:rFonts w:hint="eastAsia" w:ascii="宋体" w:hAnsi="宋体"/>
          <w:sz w:val="24"/>
        </w:rPr>
        <w:t>元</w:t>
      </w:r>
    </w:p>
    <w:p>
      <w:pPr>
        <w:spacing w:line="360" w:lineRule="auto"/>
        <w:ind w:firstLine="480" w:firstLineChars="200"/>
        <w:rPr>
          <w:sz w:val="24"/>
        </w:rPr>
      </w:pPr>
      <w:r>
        <w:rPr>
          <w:rFonts w:hint="eastAsia" w:ascii="宋体" w:hAnsi="宋体"/>
          <w:sz w:val="24"/>
        </w:rPr>
        <w:t>属国库集中支付的财政性资金，甲方应按合同约定的付款期限，通过《政府采购管理系统》及时向财政部门报送资金支付申请，财政部门对支付申请审核无误后，将货款直接支付至乙方账户。</w:t>
      </w:r>
    </w:p>
    <w:p>
      <w:pPr>
        <w:spacing w:line="360" w:lineRule="auto"/>
        <w:ind w:firstLine="482" w:firstLineChars="200"/>
        <w:rPr>
          <w:sz w:val="24"/>
        </w:rPr>
      </w:pPr>
      <w:r>
        <w:rPr>
          <w:rFonts w:hint="eastAsia" w:ascii="宋体" w:hAnsi="宋体"/>
          <w:b/>
          <w:bCs/>
          <w:sz w:val="24"/>
        </w:rPr>
        <w:t>六、付款方式</w:t>
      </w:r>
    </w:p>
    <w:p>
      <w:pPr>
        <w:spacing w:line="360" w:lineRule="auto"/>
        <w:ind w:firstLine="480" w:firstLineChars="200"/>
        <w:rPr>
          <w:sz w:val="24"/>
        </w:rPr>
      </w:pPr>
      <w:r>
        <w:rPr>
          <w:rFonts w:hint="eastAsia" w:ascii="宋体" w:hAnsi="宋体"/>
          <w:bCs/>
          <w:sz w:val="24"/>
        </w:rPr>
        <w:t>付款方式：</w:t>
      </w:r>
      <w:r>
        <w:rPr>
          <w:rFonts w:hint="eastAsia" w:ascii="宋体" w:hAnsi="宋体"/>
          <w:sz w:val="24"/>
          <w:u w:val="single"/>
        </w:rPr>
        <w:t xml:space="preserve">                                                    </w:t>
      </w:r>
    </w:p>
    <w:p>
      <w:pPr>
        <w:spacing w:line="360" w:lineRule="auto"/>
        <w:ind w:firstLine="482" w:firstLineChars="200"/>
        <w:rPr>
          <w:sz w:val="24"/>
        </w:rPr>
      </w:pPr>
      <w:r>
        <w:rPr>
          <w:rFonts w:hint="eastAsia" w:ascii="宋体" w:hAnsi="宋体"/>
          <w:b/>
          <w:bCs/>
          <w:sz w:val="24"/>
        </w:rPr>
        <w:t>七、交付日期、地点和保修期</w:t>
      </w:r>
    </w:p>
    <w:p>
      <w:pPr>
        <w:spacing w:line="360" w:lineRule="auto"/>
        <w:ind w:firstLine="480" w:firstLineChars="200"/>
        <w:rPr>
          <w:sz w:val="24"/>
        </w:rPr>
      </w:pPr>
      <w:r>
        <w:rPr>
          <w:rFonts w:hint="eastAsia" w:ascii="宋体" w:hAnsi="宋体"/>
          <w:sz w:val="24"/>
        </w:rPr>
        <w:t>1、交付日期：合同生效之日起</w:t>
      </w:r>
      <w:r>
        <w:rPr>
          <w:rFonts w:hint="eastAsia" w:ascii="宋体" w:hAnsi="宋体"/>
          <w:sz w:val="24"/>
          <w:u w:val="single"/>
        </w:rPr>
        <w:t xml:space="preserve">        </w:t>
      </w:r>
      <w:r>
        <w:rPr>
          <w:rFonts w:hint="eastAsia" w:ascii="宋体" w:hAnsi="宋体"/>
          <w:sz w:val="24"/>
        </w:rPr>
        <w:t>日内交付。</w:t>
      </w:r>
    </w:p>
    <w:p>
      <w:pPr>
        <w:spacing w:line="360" w:lineRule="auto"/>
        <w:ind w:firstLine="480" w:firstLineChars="200"/>
        <w:rPr>
          <w:rFonts w:ascii="宋体" w:hAnsi="宋体"/>
          <w:sz w:val="24"/>
          <w:u w:val="single"/>
        </w:rPr>
      </w:pPr>
      <w:r>
        <w:rPr>
          <w:rFonts w:hint="eastAsia" w:ascii="宋体" w:hAnsi="宋体"/>
          <w:sz w:val="24"/>
        </w:rPr>
        <w:t>2、交付地点：</w:t>
      </w:r>
      <w:r>
        <w:rPr>
          <w:rFonts w:hint="eastAsia" w:ascii="宋体" w:hAnsi="宋体"/>
          <w:sz w:val="24"/>
          <w:u w:val="single"/>
        </w:rPr>
        <w:t xml:space="preserve">                                                 </w:t>
      </w:r>
    </w:p>
    <w:p>
      <w:pPr>
        <w:spacing w:line="360" w:lineRule="auto"/>
        <w:ind w:firstLine="480" w:firstLineChars="200"/>
        <w:rPr>
          <w:sz w:val="24"/>
        </w:rPr>
      </w:pPr>
      <w:r>
        <w:rPr>
          <w:rFonts w:hint="eastAsia" w:ascii="宋体" w:hAnsi="宋体"/>
          <w:sz w:val="24"/>
        </w:rPr>
        <w:t>3、保修期：</w:t>
      </w:r>
      <w:r>
        <w:rPr>
          <w:rFonts w:hint="eastAsia" w:ascii="宋体" w:hAnsi="宋体"/>
          <w:sz w:val="24"/>
          <w:u w:val="single"/>
        </w:rPr>
        <w:t xml:space="preserve">                                                   </w:t>
      </w:r>
    </w:p>
    <w:p>
      <w:pPr>
        <w:spacing w:line="360" w:lineRule="auto"/>
        <w:ind w:firstLine="482" w:firstLineChars="200"/>
        <w:rPr>
          <w:sz w:val="24"/>
        </w:rPr>
      </w:pPr>
      <w:r>
        <w:rPr>
          <w:rFonts w:hint="eastAsia" w:ascii="宋体" w:hAnsi="宋体"/>
          <w:b/>
          <w:bCs/>
          <w:sz w:val="24"/>
        </w:rPr>
        <w:t>八、合同生效</w:t>
      </w:r>
    </w:p>
    <w:p>
      <w:pPr>
        <w:spacing w:line="360" w:lineRule="auto"/>
        <w:ind w:firstLine="480" w:firstLineChars="200"/>
        <w:rPr>
          <w:sz w:val="24"/>
        </w:rPr>
      </w:pPr>
      <w:r>
        <w:rPr>
          <w:rFonts w:hint="eastAsia" w:ascii="宋体" w:hAnsi="宋体"/>
          <w:sz w:val="24"/>
        </w:rPr>
        <w:t>本合同经甲乙双方签字盖章生效。</w:t>
      </w:r>
    </w:p>
    <w:p>
      <w:pPr>
        <w:spacing w:line="360" w:lineRule="auto"/>
        <w:ind w:firstLine="482" w:firstLineChars="200"/>
        <w:rPr>
          <w:sz w:val="24"/>
        </w:rPr>
      </w:pPr>
      <w:r>
        <w:rPr>
          <w:rFonts w:hint="eastAsia" w:ascii="宋体" w:hAnsi="宋体"/>
          <w:b/>
          <w:bCs/>
          <w:sz w:val="24"/>
        </w:rPr>
        <w:t>九、合同保存</w:t>
      </w:r>
    </w:p>
    <w:p>
      <w:pPr>
        <w:spacing w:line="360" w:lineRule="auto"/>
        <w:ind w:firstLine="480" w:firstLineChars="200"/>
        <w:rPr>
          <w:rFonts w:ascii="宋体" w:hAnsi="宋体"/>
          <w:sz w:val="24"/>
        </w:rPr>
      </w:pPr>
      <w:r>
        <w:rPr>
          <w:rFonts w:hint="eastAsia" w:ascii="宋体" w:hAnsi="宋体"/>
          <w:sz w:val="24"/>
        </w:rPr>
        <w:t>本合同一式四份，甲方一份，乙方一份，采购代理机构一份，甲方同级财政部门一份。</w:t>
      </w:r>
    </w:p>
    <w:p>
      <w:pPr>
        <w:spacing w:line="360" w:lineRule="auto"/>
        <w:ind w:firstLine="482" w:firstLineChars="200"/>
        <w:rPr>
          <w:rFonts w:ascii="宋体" w:hAnsi="宋体"/>
          <w:b/>
          <w:sz w:val="24"/>
        </w:rPr>
      </w:pPr>
      <w:r>
        <w:rPr>
          <w:rFonts w:hint="eastAsia" w:ascii="宋体" w:hAnsi="宋体"/>
          <w:b/>
          <w:sz w:val="24"/>
        </w:rPr>
        <w:t>十、其他事项</w:t>
      </w:r>
    </w:p>
    <w:p>
      <w:pPr>
        <w:spacing w:line="360" w:lineRule="auto"/>
        <w:ind w:firstLine="480" w:firstLineChars="200"/>
        <w:rPr>
          <w:rFonts w:ascii="宋体" w:hAnsi="宋体"/>
          <w:sz w:val="24"/>
        </w:rPr>
      </w:pPr>
      <w:r>
        <w:rPr>
          <w:rFonts w:hint="eastAsia" w:ascii="宋体" w:hAnsi="宋体"/>
          <w:sz w:val="24"/>
        </w:rPr>
        <w:t>其他未明事项，由双方本着平等自愿、互利共赢、合法规范原则协商确定。具体内容另附附件。</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jc w:val="left"/>
        <w:rPr>
          <w:rFonts w:ascii="宋体" w:hAnsi="宋体"/>
          <w:b/>
          <w:sz w:val="24"/>
        </w:rPr>
      </w:pPr>
      <w:r>
        <w:rPr>
          <w:rFonts w:hint="eastAsia" w:ascii="宋体" w:hAnsi="宋体"/>
          <w:b/>
          <w:sz w:val="24"/>
        </w:rPr>
        <w:t>甲    方：                            乙    方：</w:t>
      </w:r>
    </w:p>
    <w:p>
      <w:pPr>
        <w:spacing w:line="360" w:lineRule="auto"/>
        <w:jc w:val="left"/>
        <w:rPr>
          <w:rFonts w:ascii="宋体" w:hAnsi="宋体"/>
          <w:sz w:val="24"/>
        </w:rPr>
      </w:pPr>
      <w:r>
        <w:rPr>
          <w:rFonts w:hint="eastAsia" w:ascii="宋体" w:hAnsi="宋体"/>
          <w:sz w:val="24"/>
        </w:rPr>
        <w:t>单位名称(公章)：                      单位名称(公章)：</w:t>
      </w: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法定代表人或授权代理人：（签字）       法定代表人或授权代理人：（签字）</w:t>
      </w: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电    话：                            电    话：</w:t>
      </w:r>
    </w:p>
    <w:p>
      <w:pPr>
        <w:spacing w:line="360" w:lineRule="auto"/>
        <w:jc w:val="left"/>
        <w:rPr>
          <w:rFonts w:ascii="宋体" w:hAnsi="宋体"/>
          <w:sz w:val="24"/>
        </w:rPr>
      </w:pPr>
      <w:r>
        <w:rPr>
          <w:rFonts w:hint="eastAsia" w:ascii="宋体" w:hAnsi="宋体"/>
          <w:sz w:val="24"/>
        </w:rPr>
        <w:t>签订日期：                            签订日期：</w:t>
      </w:r>
    </w:p>
    <w:p>
      <w:pPr>
        <w:spacing w:line="360" w:lineRule="auto"/>
        <w:rPr>
          <w:rFonts w:ascii="宋体" w:hAnsi="宋体"/>
          <w:b/>
          <w:sz w:val="24"/>
        </w:rPr>
      </w:pPr>
    </w:p>
    <w:p>
      <w:pPr>
        <w:pStyle w:val="3"/>
        <w:jc w:val="center"/>
        <w:rPr>
          <w:rFonts w:eastAsia="黑体"/>
          <w:b w:val="0"/>
          <w:sz w:val="36"/>
        </w:rPr>
      </w:pPr>
      <w:r>
        <w:rPr>
          <w:rFonts w:ascii="宋体" w:hAnsi="宋体"/>
          <w:b w:val="0"/>
          <w:sz w:val="24"/>
        </w:rPr>
        <w:br w:type="page"/>
      </w:r>
      <w:bookmarkStart w:id="52" w:name="_Toc33212777"/>
      <w:bookmarkStart w:id="53" w:name="_Toc33194719"/>
      <w:bookmarkStart w:id="54" w:name="_Toc28755"/>
      <w:r>
        <w:rPr>
          <w:rFonts w:hint="eastAsia" w:eastAsia="黑体"/>
          <w:b w:val="0"/>
          <w:sz w:val="36"/>
        </w:rPr>
        <w:t>第七部分   投标文件格式</w:t>
      </w:r>
      <w:bookmarkEnd w:id="52"/>
      <w:bookmarkEnd w:id="53"/>
      <w:bookmarkEnd w:id="54"/>
    </w:p>
    <w:p>
      <w:pPr>
        <w:spacing w:line="360" w:lineRule="auto"/>
        <w:rPr>
          <w:rFonts w:ascii="宋体" w:hAnsi="宋体"/>
          <w:b/>
          <w:sz w:val="24"/>
        </w:rPr>
      </w:pPr>
      <w:r>
        <w:rPr>
          <w:rFonts w:hint="eastAsia" w:ascii="宋体" w:hAnsi="宋体"/>
          <w:b/>
          <w:sz w:val="24"/>
        </w:rPr>
        <w:t>一、封面</w:t>
      </w:r>
    </w:p>
    <w:p>
      <w:pPr>
        <w:spacing w:line="360" w:lineRule="auto"/>
        <w:rPr>
          <w:rFonts w:ascii="宋体" w:hAnsi="宋体"/>
          <w:b/>
          <w:sz w:val="24"/>
        </w:rPr>
      </w:pPr>
      <w:r>
        <w:rPr>
          <w:rFonts w:hint="eastAsia" w:ascii="宋体" w:hAnsi="宋体"/>
          <w:b/>
          <w:sz w:val="24"/>
        </w:rPr>
        <w:t>（一）投标文件封面</w:t>
      </w:r>
    </w:p>
    <w:p>
      <w:pPr>
        <w:spacing w:line="360" w:lineRule="auto"/>
        <w:rPr>
          <w:rFonts w:ascii="宋体" w:hAnsi="宋体"/>
          <w:b/>
          <w:sz w:val="24"/>
        </w:rPr>
      </w:pPr>
    </w:p>
    <w:p>
      <w:pPr>
        <w:spacing w:line="360" w:lineRule="auto"/>
        <w:jc w:val="center"/>
        <w:rPr>
          <w:rFonts w:ascii="宋体" w:hAnsi="宋体"/>
          <w:sz w:val="24"/>
        </w:rPr>
      </w:pPr>
    </w:p>
    <w:p>
      <w:pPr>
        <w:spacing w:line="360" w:lineRule="auto"/>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（项目名称）</w:t>
      </w:r>
    </w:p>
    <w:p>
      <w:pPr>
        <w:spacing w:line="360" w:lineRule="auto"/>
        <w:jc w:val="center"/>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（项目编号）</w:t>
      </w:r>
    </w:p>
    <w:p>
      <w:pPr>
        <w:pStyle w:val="30"/>
        <w:ind w:left="420" w:hanging="420"/>
      </w:pPr>
    </w:p>
    <w:p>
      <w:pPr>
        <w:pStyle w:val="30"/>
        <w:ind w:left="420" w:hanging="420"/>
      </w:pPr>
    </w:p>
    <w:p>
      <w:pPr>
        <w:pStyle w:val="30"/>
        <w:ind w:left="420" w:hanging="420"/>
      </w:pPr>
    </w:p>
    <w:p>
      <w:pPr>
        <w:pStyle w:val="30"/>
        <w:ind w:left="420" w:hanging="420"/>
      </w:pPr>
    </w:p>
    <w:p>
      <w:pPr>
        <w:pStyle w:val="30"/>
        <w:ind w:left="420" w:hanging="420"/>
      </w:pPr>
    </w:p>
    <w:p>
      <w:pPr>
        <w:spacing w:line="360" w:lineRule="auto"/>
        <w:jc w:val="center"/>
        <w:rPr>
          <w:rFonts w:eastAsia="黑体"/>
          <w:b/>
          <w:sz w:val="72"/>
          <w:szCs w:val="72"/>
        </w:rPr>
      </w:pPr>
      <w:r>
        <w:rPr>
          <w:rFonts w:hint="eastAsia" w:eastAsia="黑体"/>
          <w:b/>
          <w:sz w:val="72"/>
          <w:szCs w:val="72"/>
        </w:rPr>
        <w:t>投标文件</w:t>
      </w:r>
    </w:p>
    <w:p>
      <w:pPr>
        <w:spacing w:line="360" w:lineRule="auto"/>
        <w:jc w:val="center"/>
        <w:rPr>
          <w:rFonts w:ascii="宋体" w:hAnsi="宋体"/>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（投标人盖章）</w:t>
      </w:r>
    </w:p>
    <w:p>
      <w:pPr>
        <w:spacing w:line="360" w:lineRule="auto"/>
        <w:jc w:val="center"/>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rPr>
        <w:t>（盖章）</w:t>
      </w:r>
    </w:p>
    <w:p>
      <w:pPr>
        <w:spacing w:line="360" w:lineRule="auto"/>
        <w:jc w:val="center"/>
        <w:rPr>
          <w:rFonts w:ascii="宋体" w:hAnsi="宋体"/>
          <w:sz w:val="28"/>
          <w:szCs w:val="28"/>
          <w:u w:val="single"/>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（年/月/日）</w:t>
      </w:r>
    </w:p>
    <w:p>
      <w:pPr>
        <w:pStyle w:val="18"/>
        <w:tabs>
          <w:tab w:val="left" w:pos="8786"/>
        </w:tabs>
        <w:spacing w:after="0" w:line="360" w:lineRule="auto"/>
        <w:outlineLvl w:val="1"/>
        <w:rPr>
          <w:rFonts w:ascii="宋体" w:hAnsi="宋体"/>
          <w:b/>
          <w:color w:val="000000"/>
          <w:sz w:val="24"/>
        </w:rPr>
      </w:pPr>
      <w:r>
        <w:rPr>
          <w:rFonts w:ascii="宋体" w:hAnsi="宋体"/>
          <w:b/>
          <w:sz w:val="24"/>
        </w:rPr>
        <w:br w:type="page"/>
      </w:r>
      <w:bookmarkStart w:id="55" w:name="_Toc13115"/>
      <w:bookmarkStart w:id="56" w:name="_Toc33194720"/>
      <w:bookmarkStart w:id="57" w:name="_Toc33212778"/>
      <w:r>
        <w:rPr>
          <w:rFonts w:hint="eastAsia" w:ascii="宋体" w:hAnsi="宋体"/>
          <w:b/>
          <w:color w:val="000000"/>
          <w:sz w:val="24"/>
        </w:rPr>
        <w:t>一、资格审查材料</w:t>
      </w:r>
      <w:bookmarkEnd w:id="55"/>
      <w:bookmarkEnd w:id="56"/>
      <w:bookmarkEnd w:id="57"/>
    </w:p>
    <w:p>
      <w:pPr>
        <w:pStyle w:val="18"/>
        <w:tabs>
          <w:tab w:val="left" w:pos="8786"/>
        </w:tabs>
        <w:spacing w:after="0" w:line="360" w:lineRule="auto"/>
        <w:outlineLvl w:val="2"/>
        <w:rPr>
          <w:rFonts w:ascii="宋体" w:hAnsi="宋体"/>
          <w:b/>
          <w:color w:val="000000"/>
          <w:sz w:val="24"/>
        </w:rPr>
      </w:pPr>
      <w:bookmarkStart w:id="58" w:name="_Toc33194721"/>
      <w:bookmarkStart w:id="59" w:name="_Toc33212779"/>
      <w:bookmarkStart w:id="60" w:name="_Toc13190"/>
      <w:r>
        <w:rPr>
          <w:rFonts w:hint="eastAsia" w:ascii="宋体" w:hAnsi="宋体"/>
          <w:b/>
          <w:color w:val="000000"/>
          <w:sz w:val="24"/>
        </w:rPr>
        <w:t>（一）</w:t>
      </w:r>
      <w:r>
        <w:rPr>
          <w:rFonts w:hint="eastAsia" w:ascii="宋体" w:hAnsi="宋体"/>
          <w:b/>
          <w:kern w:val="0"/>
          <w:sz w:val="24"/>
        </w:rPr>
        <w:t>★</w:t>
      </w:r>
      <w:r>
        <w:rPr>
          <w:rFonts w:hint="eastAsia" w:ascii="宋体" w:hAnsi="宋体"/>
          <w:b/>
          <w:color w:val="000000"/>
          <w:sz w:val="24"/>
        </w:rPr>
        <w:t>营业执照、组织机构代码证、税务登记证</w:t>
      </w:r>
      <w:bookmarkEnd w:id="58"/>
      <w:bookmarkEnd w:id="59"/>
      <w:bookmarkEnd w:id="60"/>
    </w:p>
    <w:p>
      <w:pPr>
        <w:pStyle w:val="57"/>
        <w:ind w:firstLine="560" w:firstLineChars="200"/>
        <w:rPr>
          <w:rFonts w:ascii="宋体" w:hAnsi="宋体"/>
        </w:rPr>
      </w:pPr>
      <w:r>
        <w:rPr>
          <w:rFonts w:hint="eastAsia" w:ascii="宋体" w:hAnsi="宋体"/>
        </w:rPr>
        <w:t>说明：此处上传营业执照、组织机构代码证、税务登记证，如三证合一，只需要导入营业执照即可。</w:t>
      </w: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18"/>
        <w:tabs>
          <w:tab w:val="left" w:pos="8786"/>
        </w:tabs>
        <w:spacing w:after="0" w:line="360" w:lineRule="auto"/>
        <w:outlineLvl w:val="2"/>
        <w:rPr>
          <w:rFonts w:ascii="宋体" w:hAnsi="宋体"/>
          <w:b/>
          <w:color w:val="000000"/>
          <w:sz w:val="24"/>
        </w:rPr>
      </w:pPr>
      <w:bookmarkStart w:id="61" w:name="_Toc33212780"/>
      <w:bookmarkStart w:id="62" w:name="_Toc33194722"/>
      <w:bookmarkStart w:id="63" w:name="_Toc5773"/>
      <w:r>
        <w:rPr>
          <w:rFonts w:hint="eastAsia" w:ascii="宋体" w:hAnsi="宋体"/>
          <w:b/>
          <w:color w:val="000000"/>
          <w:sz w:val="24"/>
        </w:rPr>
        <w:t>（二）</w:t>
      </w:r>
      <w:r>
        <w:rPr>
          <w:rFonts w:hint="eastAsia" w:ascii="宋体" w:hAnsi="宋体"/>
          <w:b/>
          <w:kern w:val="0"/>
          <w:sz w:val="24"/>
        </w:rPr>
        <w:t>★</w:t>
      </w:r>
      <w:r>
        <w:rPr>
          <w:rFonts w:hint="eastAsia" w:ascii="宋体" w:hAnsi="宋体"/>
          <w:b/>
          <w:color w:val="000000"/>
          <w:sz w:val="24"/>
        </w:rPr>
        <w:t>投标保证金</w:t>
      </w:r>
      <w:bookmarkEnd w:id="61"/>
      <w:bookmarkEnd w:id="62"/>
      <w:bookmarkEnd w:id="63"/>
    </w:p>
    <w:p>
      <w:pPr>
        <w:pStyle w:val="18"/>
        <w:tabs>
          <w:tab w:val="left" w:pos="8786"/>
        </w:tabs>
        <w:spacing w:after="0" w:line="360" w:lineRule="auto"/>
        <w:rPr>
          <w:rFonts w:ascii="宋体" w:hAnsi="宋体"/>
          <w:sz w:val="24"/>
        </w:rPr>
      </w:pPr>
      <w:r>
        <w:rPr>
          <w:rFonts w:hint="eastAsia" w:ascii="宋体" w:hAnsi="宋体"/>
          <w:b/>
          <w:color w:val="000000"/>
          <w:sz w:val="24"/>
        </w:rPr>
        <w:t xml:space="preserve">   </w:t>
      </w:r>
      <w:r>
        <w:rPr>
          <w:rFonts w:hint="eastAsia" w:ascii="宋体" w:hAnsi="宋体"/>
          <w:sz w:val="24"/>
        </w:rPr>
        <w:t>说明：此处上传投标保证金缴纳凭证；</w:t>
      </w: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rPr>
          <w:rFonts w:ascii="宋体" w:hAnsi="宋体"/>
          <w:b/>
          <w:color w:val="000000"/>
          <w:sz w:val="24"/>
        </w:rPr>
      </w:pPr>
    </w:p>
    <w:p>
      <w:pPr>
        <w:pStyle w:val="18"/>
        <w:tabs>
          <w:tab w:val="left" w:pos="8786"/>
        </w:tabs>
        <w:spacing w:after="0"/>
        <w:outlineLvl w:val="2"/>
        <w:rPr>
          <w:rFonts w:ascii="宋体" w:hAnsi="宋体"/>
          <w:b/>
          <w:color w:val="000000"/>
          <w:sz w:val="24"/>
        </w:rPr>
      </w:pPr>
      <w:bookmarkStart w:id="64" w:name="_Toc33212781"/>
      <w:bookmarkStart w:id="65" w:name="_Toc33194723"/>
      <w:bookmarkStart w:id="66" w:name="_Toc17652"/>
      <w:r>
        <w:rPr>
          <w:rFonts w:hint="eastAsia" w:ascii="宋体" w:hAnsi="宋体"/>
          <w:b/>
          <w:color w:val="000000"/>
          <w:sz w:val="24"/>
        </w:rPr>
        <w:t>（三）其他声明及文件资料（分公司，业绩证明文件）</w:t>
      </w:r>
      <w:bookmarkEnd w:id="64"/>
      <w:bookmarkEnd w:id="65"/>
      <w:bookmarkEnd w:id="66"/>
    </w:p>
    <w:p>
      <w:pPr>
        <w:rPr>
          <w:rFonts w:ascii="宋体" w:hAnsi="宋体"/>
          <w:kern w:val="0"/>
          <w:sz w:val="24"/>
        </w:rPr>
      </w:pPr>
      <w:r>
        <w:rPr>
          <w:rFonts w:hint="eastAsia" w:ascii="宋体" w:hAnsi="宋体"/>
          <w:kern w:val="0"/>
          <w:sz w:val="24"/>
        </w:rPr>
        <w:t>1.供应商在疆设有分公司或售后服务机构证明文件；</w:t>
      </w:r>
    </w:p>
    <w:p>
      <w:pPr>
        <w:rPr>
          <w:rFonts w:ascii="宋体" w:hAnsi="宋体"/>
          <w:kern w:val="0"/>
          <w:sz w:val="24"/>
        </w:rPr>
      </w:pPr>
      <w:r>
        <w:rPr>
          <w:rFonts w:hint="eastAsia" w:ascii="宋体" w:hAnsi="宋体"/>
          <w:kern w:val="0"/>
          <w:sz w:val="24"/>
        </w:rPr>
        <w:t>2.类似项目业绩表；</w:t>
      </w:r>
    </w:p>
    <w:p>
      <w:pPr>
        <w:pStyle w:val="57"/>
        <w:adjustRightInd w:val="0"/>
        <w:snapToGrid w:val="0"/>
        <w:spacing w:line="500" w:lineRule="exact"/>
        <w:rPr>
          <w:rFonts w:ascii="宋体" w:hAnsi="宋体"/>
          <w:sz w:val="24"/>
          <w:szCs w:val="24"/>
        </w:rPr>
      </w:pPr>
      <w:r>
        <w:rPr>
          <w:rFonts w:hint="eastAsia" w:ascii="宋体" w:hAnsi="宋体"/>
          <w:sz w:val="24"/>
          <w:szCs w:val="24"/>
        </w:rPr>
        <w:t>附：类似项目业绩表</w:t>
      </w:r>
    </w:p>
    <w:p>
      <w:pPr>
        <w:pStyle w:val="57"/>
        <w:adjustRightInd w:val="0"/>
        <w:snapToGrid w:val="0"/>
        <w:spacing w:line="500" w:lineRule="exact"/>
        <w:rPr>
          <w:rFonts w:ascii="宋体" w:hAnsi="宋体"/>
          <w:sz w:val="24"/>
          <w:szCs w:val="24"/>
        </w:rPr>
      </w:pPr>
      <w:r>
        <w:rPr>
          <w:rFonts w:hint="eastAsia" w:ascii="宋体" w:hAnsi="宋体"/>
          <w:sz w:val="24"/>
          <w:szCs w:val="24"/>
        </w:rPr>
        <w:t>采购项目编号：</w:t>
      </w:r>
      <w:r>
        <w:rPr>
          <w:rFonts w:hint="eastAsia" w:ascii="宋体" w:hAnsi="宋体"/>
          <w:sz w:val="24"/>
          <w:szCs w:val="24"/>
          <w:u w:val="single"/>
        </w:rPr>
        <w:t xml:space="preserve">                              </w:t>
      </w:r>
      <w:r>
        <w:rPr>
          <w:rFonts w:hint="eastAsia" w:ascii="宋体" w:hAnsi="宋体"/>
          <w:sz w:val="24"/>
          <w:szCs w:val="24"/>
        </w:rPr>
        <w:t xml:space="preserve">     </w:t>
      </w:r>
    </w:p>
    <w:p>
      <w:pPr>
        <w:pStyle w:val="57"/>
        <w:adjustRightInd w:val="0"/>
        <w:snapToGrid w:val="0"/>
        <w:spacing w:line="500" w:lineRule="exact"/>
        <w:rPr>
          <w:rFonts w:ascii="宋体" w:hAnsi="宋体"/>
          <w:sz w:val="24"/>
          <w:szCs w:val="24"/>
          <w:u w:val="single"/>
        </w:rPr>
      </w:pPr>
      <w:r>
        <w:rPr>
          <w:rFonts w:hint="eastAsia" w:ascii="宋体" w:hAnsi="宋体"/>
          <w:sz w:val="24"/>
          <w:szCs w:val="24"/>
        </w:rPr>
        <w:t>采购项目名称：</w:t>
      </w:r>
      <w:r>
        <w:rPr>
          <w:rFonts w:hint="eastAsia" w:ascii="宋体" w:hAnsi="宋体"/>
          <w:sz w:val="24"/>
          <w:szCs w:val="24"/>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项目名称</w:t>
            </w:r>
          </w:p>
        </w:tc>
        <w:tc>
          <w:tcPr>
            <w:tcW w:w="7200" w:type="dxa"/>
          </w:tcPr>
          <w:p>
            <w:pPr>
              <w:pStyle w:val="57"/>
              <w:tabs>
                <w:tab w:val="left" w:pos="2265"/>
              </w:tabs>
              <w:rPr>
                <w:rFonts w:ascii="宋体" w:hAnsi="宋体"/>
                <w:sz w:val="24"/>
                <w:szCs w:val="24"/>
              </w:rPr>
            </w:pPr>
            <w:r>
              <w:rPr>
                <w:rFonts w:ascii="宋体" w:hAnsi="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项目单位名称</w:t>
            </w:r>
          </w:p>
        </w:tc>
        <w:tc>
          <w:tcPr>
            <w:tcW w:w="7200" w:type="dxa"/>
          </w:tcPr>
          <w:p>
            <w:pPr>
              <w:pStyle w:val="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项目单位联系人姓名及联系方式</w:t>
            </w:r>
          </w:p>
        </w:tc>
        <w:tc>
          <w:tcPr>
            <w:tcW w:w="7200" w:type="dxa"/>
          </w:tcPr>
          <w:p>
            <w:pPr>
              <w:pStyle w:val="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合同金额</w:t>
            </w:r>
          </w:p>
        </w:tc>
        <w:tc>
          <w:tcPr>
            <w:tcW w:w="7200" w:type="dxa"/>
          </w:tcPr>
          <w:p>
            <w:pPr>
              <w:pStyle w:val="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项目负责人</w:t>
            </w:r>
          </w:p>
          <w:p>
            <w:pPr>
              <w:pStyle w:val="57"/>
              <w:jc w:val="center"/>
              <w:rPr>
                <w:rFonts w:ascii="宋体" w:hAnsi="宋体"/>
                <w:sz w:val="24"/>
                <w:szCs w:val="24"/>
              </w:rPr>
            </w:pPr>
            <w:r>
              <w:rPr>
                <w:rFonts w:hint="eastAsia" w:ascii="宋体" w:hAnsi="宋体"/>
                <w:sz w:val="24"/>
                <w:szCs w:val="24"/>
              </w:rPr>
              <w:t>姓名</w:t>
            </w:r>
          </w:p>
        </w:tc>
        <w:tc>
          <w:tcPr>
            <w:tcW w:w="7200" w:type="dxa"/>
          </w:tcPr>
          <w:p>
            <w:pPr>
              <w:pStyle w:val="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项目实施时间</w:t>
            </w:r>
          </w:p>
        </w:tc>
        <w:tc>
          <w:tcPr>
            <w:tcW w:w="7200" w:type="dxa"/>
          </w:tcPr>
          <w:p>
            <w:pPr>
              <w:pStyle w:val="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项目内容说明</w:t>
            </w:r>
          </w:p>
        </w:tc>
        <w:tc>
          <w:tcPr>
            <w:tcW w:w="7200" w:type="dxa"/>
          </w:tcPr>
          <w:p>
            <w:pPr>
              <w:pStyle w:val="57"/>
              <w:jc w:val="center"/>
              <w:rPr>
                <w:rFonts w:ascii="宋体" w:hAnsi="宋体"/>
                <w:sz w:val="24"/>
                <w:szCs w:val="24"/>
              </w:rPr>
            </w:pPr>
          </w:p>
        </w:tc>
      </w:tr>
    </w:tbl>
    <w:p>
      <w:pPr>
        <w:pStyle w:val="57"/>
        <w:autoSpaceDE w:val="0"/>
        <w:autoSpaceDN w:val="0"/>
        <w:spacing w:line="360" w:lineRule="auto"/>
        <w:rPr>
          <w:rFonts w:ascii="宋体" w:hAnsi="宋体"/>
          <w:sz w:val="24"/>
          <w:szCs w:val="24"/>
        </w:rPr>
      </w:pPr>
      <w:r>
        <w:rPr>
          <w:rFonts w:hint="eastAsia" w:ascii="宋体" w:hAnsi="宋体"/>
          <w:sz w:val="24"/>
          <w:szCs w:val="24"/>
        </w:rPr>
        <w:t>说明：1．每个合同须单独附表，并附上相关证明材料，否则专家在评审时将不予采信；</w:t>
      </w:r>
    </w:p>
    <w:p>
      <w:pPr>
        <w:pStyle w:val="57"/>
        <w:spacing w:line="360" w:lineRule="auto"/>
        <w:ind w:firstLine="720" w:firstLineChars="300"/>
        <w:rPr>
          <w:rFonts w:hint="eastAsia" w:ascii="宋体" w:hAnsi="宋体" w:eastAsia="宋体"/>
          <w:sz w:val="24"/>
          <w:szCs w:val="24"/>
          <w:lang w:eastAsia="zh-CN"/>
        </w:rPr>
      </w:pPr>
      <w:r>
        <w:rPr>
          <w:rFonts w:hint="eastAsia" w:ascii="宋体" w:hAnsi="宋体"/>
          <w:sz w:val="24"/>
          <w:szCs w:val="24"/>
        </w:rPr>
        <w:t>2．项目内容请详细说明所承担的具体工作内容</w:t>
      </w:r>
      <w:r>
        <w:rPr>
          <w:rFonts w:hint="eastAsia" w:ascii="宋体" w:hAnsi="宋体"/>
          <w:sz w:val="24"/>
          <w:szCs w:val="24"/>
          <w:lang w:eastAsia="zh-CN"/>
        </w:rPr>
        <w:t>。</w:t>
      </w:r>
    </w:p>
    <w:p>
      <w:pPr>
        <w:pStyle w:val="57"/>
        <w:adjustRightInd w:val="0"/>
        <w:snapToGrid w:val="0"/>
        <w:spacing w:line="500" w:lineRule="exact"/>
        <w:rPr>
          <w:rFonts w:ascii="宋体" w:hAnsi="宋体"/>
          <w:sz w:val="24"/>
          <w:szCs w:val="24"/>
        </w:rPr>
      </w:pPr>
      <w:r>
        <w:rPr>
          <w:rFonts w:hint="eastAsia" w:ascii="宋体" w:hAnsi="宋体"/>
          <w:sz w:val="24"/>
          <w:szCs w:val="24"/>
        </w:rPr>
        <w:t>投标人法定代表人（签章）：</w:t>
      </w:r>
      <w:r>
        <w:rPr>
          <w:rFonts w:hint="eastAsia" w:ascii="宋体" w:hAnsi="宋体"/>
          <w:sz w:val="24"/>
          <w:szCs w:val="24"/>
          <w:u w:val="single"/>
        </w:rPr>
        <w:t xml:space="preserve">                  </w:t>
      </w:r>
    </w:p>
    <w:p>
      <w:pPr>
        <w:pStyle w:val="57"/>
        <w:adjustRightInd w:val="0"/>
        <w:snapToGrid w:val="0"/>
        <w:spacing w:line="500" w:lineRule="exact"/>
        <w:rPr>
          <w:rFonts w:ascii="宋体" w:hAnsi="宋体"/>
          <w:sz w:val="24"/>
          <w:szCs w:val="24"/>
          <w:u w:val="single"/>
        </w:rPr>
      </w:pPr>
      <w:r>
        <w:rPr>
          <w:rFonts w:hint="eastAsia" w:ascii="宋体" w:hAnsi="宋体"/>
          <w:sz w:val="24"/>
          <w:szCs w:val="24"/>
        </w:rPr>
        <w:t>投标人名称（签章）：</w:t>
      </w:r>
      <w:r>
        <w:rPr>
          <w:rFonts w:hint="eastAsia" w:ascii="宋体" w:hAnsi="宋体"/>
          <w:sz w:val="24"/>
          <w:szCs w:val="24"/>
          <w:u w:val="single"/>
        </w:rPr>
        <w:t xml:space="preserve">                       </w:t>
      </w:r>
    </w:p>
    <w:p>
      <w:pPr>
        <w:pStyle w:val="57"/>
        <w:spacing w:line="500" w:lineRule="exac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 xml:space="preserve"> 月</w:t>
      </w:r>
      <w:r>
        <w:rPr>
          <w:rFonts w:hint="eastAsia" w:ascii="宋体" w:hAnsi="宋体"/>
          <w:sz w:val="24"/>
          <w:szCs w:val="24"/>
          <w:u w:val="single"/>
        </w:rPr>
        <w:t xml:space="preserve">    </w:t>
      </w:r>
      <w:r>
        <w:rPr>
          <w:rFonts w:hint="eastAsia" w:ascii="宋体" w:hAnsi="宋体"/>
          <w:sz w:val="24"/>
          <w:szCs w:val="24"/>
        </w:rPr>
        <w:t xml:space="preserve"> 日</w:t>
      </w:r>
    </w:p>
    <w:p>
      <w:pPr>
        <w:rPr>
          <w:rFonts w:hint="eastAsia" w:ascii="宋体" w:hAnsi="宋体"/>
          <w:b/>
          <w:sz w:val="24"/>
        </w:rPr>
      </w:pPr>
      <w:bookmarkStart w:id="67" w:name="_Toc27070"/>
      <w:bookmarkStart w:id="68" w:name="_Toc33194724"/>
      <w:bookmarkStart w:id="69" w:name="_Toc33212782"/>
      <w:r>
        <w:rPr>
          <w:rFonts w:hint="eastAsia" w:ascii="宋体" w:hAnsi="宋体"/>
          <w:b/>
          <w:sz w:val="24"/>
        </w:rPr>
        <w:br w:type="page"/>
      </w:r>
    </w:p>
    <w:p>
      <w:pPr>
        <w:pStyle w:val="18"/>
        <w:tabs>
          <w:tab w:val="left" w:pos="8786"/>
        </w:tabs>
        <w:spacing w:after="0" w:line="360" w:lineRule="auto"/>
        <w:outlineLvl w:val="1"/>
        <w:rPr>
          <w:rFonts w:ascii="宋体" w:hAnsi="宋体"/>
          <w:b/>
          <w:sz w:val="24"/>
        </w:rPr>
      </w:pPr>
      <w:r>
        <w:rPr>
          <w:rFonts w:hint="eastAsia" w:ascii="宋体" w:hAnsi="宋体"/>
          <w:b/>
          <w:sz w:val="24"/>
        </w:rPr>
        <w:t>二、商务部分</w:t>
      </w:r>
      <w:bookmarkEnd w:id="67"/>
      <w:bookmarkEnd w:id="68"/>
      <w:bookmarkEnd w:id="69"/>
    </w:p>
    <w:p>
      <w:pPr>
        <w:pStyle w:val="18"/>
        <w:tabs>
          <w:tab w:val="left" w:pos="8786"/>
        </w:tabs>
        <w:spacing w:after="0" w:line="360" w:lineRule="auto"/>
        <w:outlineLvl w:val="2"/>
        <w:rPr>
          <w:rFonts w:ascii="宋体" w:hAnsi="宋体"/>
          <w:b/>
          <w:sz w:val="24"/>
        </w:rPr>
      </w:pPr>
      <w:bookmarkStart w:id="70" w:name="_Toc2066"/>
      <w:bookmarkStart w:id="71" w:name="_Toc33194725"/>
      <w:bookmarkStart w:id="72" w:name="_Toc33212783"/>
      <w:r>
        <w:rPr>
          <w:rFonts w:hint="eastAsia" w:ascii="宋体" w:hAnsi="宋体"/>
          <w:b/>
          <w:sz w:val="24"/>
        </w:rPr>
        <w:t>（四）</w:t>
      </w:r>
      <w:r>
        <w:rPr>
          <w:rFonts w:hint="eastAsia" w:ascii="宋体" w:hAnsi="宋体"/>
          <w:b/>
          <w:kern w:val="0"/>
          <w:sz w:val="24"/>
        </w:rPr>
        <w:t>★</w:t>
      </w:r>
      <w:r>
        <w:rPr>
          <w:rFonts w:hint="eastAsia" w:ascii="宋体" w:hAnsi="宋体"/>
          <w:b/>
          <w:sz w:val="24"/>
        </w:rPr>
        <w:t>投标函</w:t>
      </w:r>
      <w:bookmarkEnd w:id="70"/>
      <w:bookmarkEnd w:id="71"/>
      <w:bookmarkEnd w:id="72"/>
    </w:p>
    <w:p>
      <w:pPr>
        <w:pStyle w:val="24"/>
        <w:widowControl/>
        <w:spacing w:line="360" w:lineRule="auto"/>
        <w:ind w:leftChars="0"/>
        <w:rPr>
          <w:rFonts w:ascii="宋体" w:hAnsi="宋体"/>
          <w:sz w:val="24"/>
        </w:rPr>
      </w:pPr>
      <w:r>
        <w:rPr>
          <w:rFonts w:hint="eastAsia" w:ascii="宋体" w:hAnsi="宋体"/>
          <w:sz w:val="24"/>
        </w:rPr>
        <w:t>{采购人或采购代理机构}：</w:t>
      </w:r>
    </w:p>
    <w:p>
      <w:pPr>
        <w:pStyle w:val="24"/>
        <w:widowControl/>
        <w:spacing w:line="360" w:lineRule="auto"/>
        <w:ind w:left="0" w:leftChars="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(投标人名称)授权</w:t>
      </w:r>
      <w:r>
        <w:rPr>
          <w:rFonts w:hint="eastAsia" w:ascii="宋体" w:hAnsi="宋体"/>
          <w:sz w:val="24"/>
          <w:u w:val="single"/>
        </w:rPr>
        <w:t xml:space="preserve">                    </w:t>
      </w:r>
      <w:r>
        <w:rPr>
          <w:rFonts w:hint="eastAsia" w:ascii="宋体" w:hAnsi="宋体"/>
          <w:sz w:val="24"/>
        </w:rPr>
        <w:t>(投标人授权代理人姓名)</w:t>
      </w:r>
      <w:r>
        <w:rPr>
          <w:rFonts w:hint="eastAsia" w:ascii="宋体" w:hAnsi="宋体"/>
          <w:sz w:val="24"/>
          <w:u w:val="single"/>
        </w:rPr>
        <w:t xml:space="preserve">                      </w:t>
      </w:r>
      <w:r>
        <w:rPr>
          <w:rFonts w:hint="eastAsia" w:ascii="宋体" w:hAnsi="宋体"/>
          <w:sz w:val="24"/>
        </w:rPr>
        <w:t>(职务、职称)为我方代表，参加贵方组织的</w:t>
      </w:r>
      <w:r>
        <w:rPr>
          <w:rFonts w:hint="eastAsia" w:ascii="宋体" w:hAnsi="宋体"/>
          <w:sz w:val="24"/>
          <w:u w:val="single"/>
        </w:rPr>
        <w:t xml:space="preserve">                       </w:t>
      </w:r>
      <w:r>
        <w:rPr>
          <w:rFonts w:hint="eastAsia" w:ascii="宋体" w:hAnsi="宋体"/>
          <w:sz w:val="24"/>
        </w:rPr>
        <w:t xml:space="preserve"> (项目名称、项目编号、包号)招标的有关活动，并对此项目进行投标。为此：</w:t>
      </w:r>
    </w:p>
    <w:p>
      <w:pPr>
        <w:pStyle w:val="24"/>
        <w:widowControl/>
        <w:spacing w:line="360" w:lineRule="auto"/>
        <w:ind w:left="0" w:leftChars="0" w:firstLine="480" w:firstLineChars="200"/>
        <w:rPr>
          <w:rFonts w:ascii="宋体" w:hAnsi="宋体"/>
          <w:sz w:val="24"/>
        </w:rPr>
      </w:pPr>
      <w:r>
        <w:rPr>
          <w:rFonts w:hint="eastAsia" w:ascii="宋体" w:hAnsi="宋体"/>
          <w:sz w:val="24"/>
        </w:rPr>
        <w:t>1、我方承诺：已经具备《中华人民共和国政府采购法》中规定的参加政府采购活动的供应商应当具备的条件和本招标文件中规定的条件。</w:t>
      </w:r>
    </w:p>
    <w:p>
      <w:pPr>
        <w:pStyle w:val="24"/>
        <w:widowControl/>
        <w:spacing w:line="360" w:lineRule="auto"/>
        <w:ind w:left="0" w:leftChars="0" w:firstLine="480" w:firstLineChars="200"/>
        <w:rPr>
          <w:rFonts w:ascii="宋体" w:hAnsi="宋体"/>
          <w:sz w:val="24"/>
        </w:rPr>
      </w:pPr>
      <w:r>
        <w:rPr>
          <w:rFonts w:hint="eastAsia" w:ascii="宋体" w:hAnsi="宋体"/>
          <w:sz w:val="24"/>
        </w:rPr>
        <w:t>2、我方同意在本项目招标文件中规定的投标有效期内遵守本投标文件中的承诺且在此期限期满之前均具有约束力。如果在开标后规定的投标有效期内撤回投标，我方的投标保证金可被贵方没收。</w:t>
      </w:r>
    </w:p>
    <w:p>
      <w:pPr>
        <w:pStyle w:val="24"/>
        <w:widowControl/>
        <w:spacing w:line="360" w:lineRule="auto"/>
        <w:ind w:left="0" w:leftChars="0" w:firstLine="480" w:firstLineChars="200"/>
        <w:rPr>
          <w:rFonts w:ascii="宋体" w:hAnsi="宋体"/>
          <w:sz w:val="24"/>
        </w:rPr>
      </w:pPr>
      <w:r>
        <w:rPr>
          <w:rFonts w:hint="eastAsia" w:ascii="宋体" w:hAnsi="宋体"/>
          <w:sz w:val="24"/>
        </w:rPr>
        <w:t>3、按照招标文件规定提供全部投标文件，按照招标文件要求提供和交付的货物及相关服务的投标报价见开标一览表。</w:t>
      </w:r>
    </w:p>
    <w:p>
      <w:pPr>
        <w:pStyle w:val="24"/>
        <w:widowControl/>
        <w:spacing w:line="360" w:lineRule="auto"/>
        <w:ind w:left="0" w:leftChars="0" w:firstLine="480" w:firstLineChars="200"/>
        <w:rPr>
          <w:rFonts w:ascii="宋体" w:hAnsi="宋体"/>
          <w:sz w:val="24"/>
        </w:rPr>
      </w:pPr>
      <w:r>
        <w:rPr>
          <w:rFonts w:hint="eastAsia" w:ascii="宋体" w:hAnsi="宋体"/>
          <w:sz w:val="24"/>
        </w:rPr>
        <w:t>4、我方承诺：接受招标文件中的全部条款且无任何异议，保证遵守招标文件的规定。</w:t>
      </w:r>
    </w:p>
    <w:p>
      <w:pPr>
        <w:pStyle w:val="24"/>
        <w:widowControl/>
        <w:spacing w:line="360" w:lineRule="auto"/>
        <w:ind w:left="0" w:leftChars="0" w:firstLine="480" w:firstLineChars="200"/>
        <w:rPr>
          <w:rFonts w:ascii="宋体" w:hAnsi="宋体"/>
          <w:sz w:val="24"/>
        </w:rPr>
      </w:pPr>
      <w:r>
        <w:rPr>
          <w:rFonts w:hint="eastAsia" w:ascii="宋体" w:hAnsi="宋体"/>
          <w:sz w:val="24"/>
        </w:rPr>
        <w:t>5、我方承诺：完全满足和响应招标文件中的各项技术和服务要求，若有偏差，已在偏离表中予以明确特别说明。</w:t>
      </w:r>
    </w:p>
    <w:p>
      <w:pPr>
        <w:pStyle w:val="24"/>
        <w:widowControl/>
        <w:spacing w:line="360" w:lineRule="auto"/>
        <w:ind w:left="0" w:leftChars="0" w:firstLine="480" w:firstLineChars="200"/>
        <w:rPr>
          <w:rFonts w:ascii="宋体" w:hAnsi="宋体"/>
          <w:sz w:val="24"/>
        </w:rPr>
      </w:pPr>
      <w:r>
        <w:rPr>
          <w:rFonts w:hint="eastAsia" w:ascii="宋体" w:hAnsi="宋体"/>
          <w:sz w:val="24"/>
        </w:rPr>
        <w:t>6、我方完全理解贵方不一定接受最低价的投标或收到的任何投标，以及投标报价若超过项目预算时投标将被拒绝。</w:t>
      </w:r>
    </w:p>
    <w:p>
      <w:pPr>
        <w:pStyle w:val="24"/>
        <w:widowControl/>
        <w:spacing w:line="360" w:lineRule="auto"/>
        <w:ind w:left="0" w:leftChars="0" w:firstLine="480" w:firstLineChars="200"/>
        <w:rPr>
          <w:rFonts w:ascii="宋体" w:hAnsi="宋体"/>
          <w:sz w:val="24"/>
        </w:rPr>
      </w:pPr>
      <w:r>
        <w:rPr>
          <w:rFonts w:hint="eastAsia" w:ascii="宋体" w:hAnsi="宋体"/>
          <w:sz w:val="24"/>
        </w:rPr>
        <w:t>7、我方已详细审核全部投标文件，包括投标文件修改书（如有的话）、参考资料及有关附件，确认无误。</w:t>
      </w:r>
    </w:p>
    <w:p>
      <w:pPr>
        <w:pStyle w:val="24"/>
        <w:widowControl/>
        <w:spacing w:line="360" w:lineRule="auto"/>
        <w:ind w:left="0" w:leftChars="0" w:firstLine="480" w:firstLineChars="200"/>
        <w:rPr>
          <w:rFonts w:ascii="宋体" w:hAnsi="宋体"/>
          <w:sz w:val="24"/>
        </w:rPr>
      </w:pPr>
      <w:r>
        <w:rPr>
          <w:rFonts w:hint="eastAsia" w:ascii="宋体" w:hAnsi="宋体"/>
          <w:sz w:val="24"/>
        </w:rPr>
        <w:t>8、我方承诺：</w:t>
      </w:r>
      <w:r>
        <w:rPr>
          <w:rFonts w:ascii="宋体" w:hAnsi="宋体"/>
          <w:sz w:val="24"/>
        </w:rPr>
        <w:t>保证所报货物均为原厂正品，</w:t>
      </w:r>
      <w:r>
        <w:rPr>
          <w:rFonts w:hint="eastAsia" w:ascii="宋体" w:hAnsi="宋体"/>
          <w:sz w:val="24"/>
        </w:rPr>
        <w:t>如所报货物属国家强制认证产品的均已通过认证且在有效期内，否则，由此产生的一切法律责任由我方承担。</w:t>
      </w:r>
    </w:p>
    <w:p>
      <w:pPr>
        <w:pStyle w:val="24"/>
        <w:widowControl/>
        <w:spacing w:line="360" w:lineRule="auto"/>
        <w:ind w:left="0" w:leftChars="0" w:firstLine="480" w:firstLineChars="200"/>
        <w:rPr>
          <w:rFonts w:ascii="宋体" w:hAnsi="宋体"/>
          <w:sz w:val="24"/>
        </w:rPr>
      </w:pPr>
      <w:r>
        <w:rPr>
          <w:rFonts w:hint="eastAsia" w:ascii="宋体" w:hAnsi="宋体"/>
          <w:sz w:val="24"/>
        </w:rPr>
        <w:t>9、我方承诺：与在本项目中设计编制技术规格的机构及其附属机构无任何直接隶属关系和利益关联。</w:t>
      </w:r>
    </w:p>
    <w:p>
      <w:pPr>
        <w:pStyle w:val="24"/>
        <w:widowControl/>
        <w:spacing w:line="360" w:lineRule="auto"/>
        <w:ind w:left="0" w:leftChars="0" w:firstLine="480" w:firstLineChars="200"/>
        <w:rPr>
          <w:rFonts w:ascii="宋体" w:hAnsi="宋体"/>
          <w:sz w:val="24"/>
        </w:rPr>
      </w:pPr>
      <w:r>
        <w:rPr>
          <w:rFonts w:hint="eastAsia" w:ascii="宋体" w:hAnsi="宋体"/>
          <w:sz w:val="24"/>
        </w:rPr>
        <w:t>10、保证忠实地执行双方所签订的合同，并承担合同规定的责任和义务。</w:t>
      </w:r>
    </w:p>
    <w:p>
      <w:pPr>
        <w:pStyle w:val="24"/>
        <w:widowControl/>
        <w:spacing w:line="360" w:lineRule="auto"/>
        <w:ind w:left="0" w:leftChars="0" w:firstLine="480" w:firstLineChars="200"/>
        <w:rPr>
          <w:rFonts w:ascii="宋体" w:hAnsi="宋体"/>
          <w:sz w:val="24"/>
        </w:rPr>
      </w:pPr>
      <w:r>
        <w:rPr>
          <w:rFonts w:hint="eastAsia" w:ascii="宋体" w:hAnsi="宋体"/>
          <w:sz w:val="24"/>
        </w:rPr>
        <w:t>11、我方承诺：投标文件所提供的一切资料提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24"/>
        <w:widowControl/>
        <w:spacing w:line="360" w:lineRule="auto"/>
        <w:ind w:left="0" w:leftChars="0" w:firstLine="480" w:firstLineChars="200"/>
        <w:rPr>
          <w:rFonts w:ascii="宋体" w:hAnsi="宋体"/>
          <w:sz w:val="24"/>
        </w:rPr>
      </w:pPr>
      <w:r>
        <w:rPr>
          <w:rFonts w:hint="eastAsia" w:ascii="宋体" w:hAnsi="宋体"/>
          <w:sz w:val="24"/>
        </w:rPr>
        <w:t>12、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4"/>
        <w:widowControl/>
        <w:spacing w:line="360" w:lineRule="auto"/>
        <w:ind w:left="0" w:leftChars="0" w:firstLine="480" w:firstLineChars="200"/>
        <w:rPr>
          <w:rFonts w:ascii="宋体" w:hAnsi="宋体"/>
          <w:sz w:val="24"/>
        </w:rPr>
      </w:pPr>
      <w:r>
        <w:rPr>
          <w:rFonts w:hint="eastAsia" w:ascii="宋体" w:hAnsi="宋体"/>
          <w:sz w:val="24"/>
        </w:rPr>
        <w:t>1）提供虚假材料谋取中标、成交的；</w:t>
      </w:r>
    </w:p>
    <w:p>
      <w:pPr>
        <w:pStyle w:val="24"/>
        <w:widowControl/>
        <w:spacing w:line="360" w:lineRule="auto"/>
        <w:ind w:left="0" w:leftChars="0" w:firstLine="480" w:firstLineChars="200"/>
        <w:rPr>
          <w:rFonts w:ascii="宋体" w:hAnsi="宋体"/>
          <w:sz w:val="24"/>
        </w:rPr>
      </w:pPr>
      <w:r>
        <w:rPr>
          <w:rFonts w:hint="eastAsia" w:ascii="宋体" w:hAnsi="宋体"/>
          <w:sz w:val="24"/>
        </w:rPr>
        <w:t>2）采取不正当手段诋毁、排挤其他供应商的；</w:t>
      </w:r>
    </w:p>
    <w:p>
      <w:pPr>
        <w:pStyle w:val="24"/>
        <w:widowControl/>
        <w:spacing w:line="360" w:lineRule="auto"/>
        <w:ind w:left="0" w:leftChars="0" w:firstLine="480" w:firstLineChars="200"/>
        <w:rPr>
          <w:rFonts w:ascii="宋体" w:hAnsi="宋体"/>
          <w:sz w:val="24"/>
        </w:rPr>
      </w:pPr>
      <w:r>
        <w:rPr>
          <w:rFonts w:hint="eastAsia" w:ascii="宋体" w:hAnsi="宋体"/>
          <w:sz w:val="24"/>
        </w:rPr>
        <w:t>3）与采购人、其他供应商或者采购代理机构恶意串通的；</w:t>
      </w:r>
    </w:p>
    <w:p>
      <w:pPr>
        <w:pStyle w:val="24"/>
        <w:widowControl/>
        <w:spacing w:line="360" w:lineRule="auto"/>
        <w:ind w:left="0" w:leftChars="0" w:firstLine="480" w:firstLineChars="200"/>
        <w:rPr>
          <w:rFonts w:ascii="宋体" w:hAnsi="宋体"/>
          <w:sz w:val="24"/>
        </w:rPr>
      </w:pPr>
      <w:r>
        <w:rPr>
          <w:rFonts w:hint="eastAsia" w:ascii="宋体" w:hAnsi="宋体"/>
          <w:sz w:val="24"/>
        </w:rPr>
        <w:t>4）向采购人、采购代理机构行贿或者提供其他不正当利益的；</w:t>
      </w:r>
    </w:p>
    <w:p>
      <w:pPr>
        <w:pStyle w:val="24"/>
        <w:widowControl/>
        <w:spacing w:line="360" w:lineRule="auto"/>
        <w:ind w:left="0" w:leftChars="0" w:firstLine="480" w:firstLineChars="200"/>
        <w:rPr>
          <w:rFonts w:ascii="宋体" w:hAnsi="宋体"/>
          <w:sz w:val="24"/>
        </w:rPr>
      </w:pPr>
      <w:r>
        <w:rPr>
          <w:rFonts w:hint="eastAsia" w:ascii="宋体" w:hAnsi="宋体"/>
          <w:sz w:val="24"/>
        </w:rPr>
        <w:t>5）在招标采购过程中与采购人进行协商谈判的；</w:t>
      </w:r>
    </w:p>
    <w:p>
      <w:pPr>
        <w:pStyle w:val="24"/>
        <w:widowControl/>
        <w:spacing w:line="360" w:lineRule="auto"/>
        <w:ind w:left="0" w:leftChars="0" w:firstLine="480" w:firstLineChars="200"/>
        <w:rPr>
          <w:rFonts w:ascii="宋体" w:hAnsi="宋体"/>
          <w:sz w:val="24"/>
        </w:rPr>
      </w:pPr>
      <w:r>
        <w:rPr>
          <w:rFonts w:hint="eastAsia" w:ascii="宋体" w:hAnsi="宋体"/>
          <w:sz w:val="24"/>
        </w:rPr>
        <w:t>6）拒绝有关部门监督检查或提供虚假情况的。</w:t>
      </w:r>
    </w:p>
    <w:p/>
    <w:p>
      <w:pPr>
        <w:pStyle w:val="24"/>
        <w:widowControl/>
        <w:spacing w:line="360" w:lineRule="auto"/>
        <w:ind w:left="0" w:leftChars="0" w:firstLine="480" w:firstLineChars="200"/>
        <w:rPr>
          <w:rFonts w:ascii="宋体" w:hAnsi="宋体"/>
          <w:sz w:val="24"/>
        </w:rPr>
      </w:pPr>
      <w:r>
        <w:rPr>
          <w:rFonts w:hint="eastAsia" w:ascii="宋体" w:hAnsi="宋体"/>
          <w:sz w:val="24"/>
        </w:rPr>
        <w:t>与本投标有关的一切往来通讯请寄：</w:t>
      </w:r>
    </w:p>
    <w:p>
      <w:pPr>
        <w:pStyle w:val="24"/>
        <w:widowControl/>
        <w:spacing w:line="360" w:lineRule="auto"/>
        <w:ind w:left="0" w:leftChars="0" w:firstLine="480" w:firstLineChars="200"/>
        <w:rPr>
          <w:rFonts w:ascii="宋体" w:hAnsi="宋体"/>
          <w:sz w:val="24"/>
        </w:rPr>
      </w:pPr>
      <w:r>
        <w:rPr>
          <w:rFonts w:hint="eastAsia" w:ascii="宋体" w:hAnsi="宋体"/>
          <w:sz w:val="24"/>
        </w:rPr>
        <w:t>地址：____________________________________________________</w:t>
      </w:r>
    </w:p>
    <w:p>
      <w:pPr>
        <w:pStyle w:val="24"/>
        <w:widowControl/>
        <w:spacing w:line="360" w:lineRule="auto"/>
        <w:ind w:left="0" w:leftChars="0" w:firstLine="480" w:firstLineChars="200"/>
        <w:rPr>
          <w:rFonts w:ascii="宋体" w:hAnsi="宋体"/>
          <w:sz w:val="24"/>
        </w:rPr>
      </w:pPr>
      <w:r>
        <w:rPr>
          <w:rFonts w:hint="eastAsia" w:ascii="宋体" w:hAnsi="宋体"/>
          <w:sz w:val="24"/>
        </w:rPr>
        <w:t>邮编：____________</w:t>
      </w:r>
    </w:p>
    <w:p>
      <w:pPr>
        <w:pStyle w:val="24"/>
        <w:widowControl/>
        <w:spacing w:line="360" w:lineRule="auto"/>
        <w:ind w:left="0" w:leftChars="0" w:firstLine="480" w:firstLineChars="200"/>
        <w:rPr>
          <w:rFonts w:ascii="宋体" w:hAnsi="宋体"/>
          <w:sz w:val="24"/>
        </w:rPr>
      </w:pPr>
      <w:r>
        <w:rPr>
          <w:rFonts w:hint="eastAsia" w:ascii="宋体" w:hAnsi="宋体"/>
          <w:sz w:val="24"/>
        </w:rPr>
        <w:t>电话：____________</w:t>
      </w:r>
    </w:p>
    <w:p>
      <w:pPr>
        <w:pStyle w:val="24"/>
        <w:widowControl/>
        <w:spacing w:line="360" w:lineRule="auto"/>
        <w:ind w:left="0" w:leftChars="0" w:firstLine="480" w:firstLineChars="200"/>
        <w:rPr>
          <w:rFonts w:ascii="宋体" w:hAnsi="宋体"/>
          <w:sz w:val="24"/>
        </w:rPr>
      </w:pPr>
      <w:r>
        <w:rPr>
          <w:rFonts w:hint="eastAsia" w:ascii="宋体" w:hAnsi="宋体"/>
          <w:sz w:val="24"/>
        </w:rPr>
        <w:t>传真：____________</w:t>
      </w:r>
    </w:p>
    <w:p>
      <w:pPr>
        <w:pStyle w:val="24"/>
        <w:widowControl/>
        <w:spacing w:line="360" w:lineRule="auto"/>
        <w:ind w:left="0" w:leftChars="0" w:firstLine="480" w:firstLineChars="200"/>
        <w:rPr>
          <w:rFonts w:ascii="宋体" w:hAnsi="宋体"/>
          <w:sz w:val="24"/>
        </w:rPr>
      </w:pPr>
      <w:r>
        <w:rPr>
          <w:rFonts w:hint="eastAsia" w:ascii="宋体" w:hAnsi="宋体"/>
          <w:sz w:val="24"/>
        </w:rPr>
        <w:t>电子邮箱：____________</w:t>
      </w:r>
    </w:p>
    <w:p>
      <w:pPr>
        <w:pStyle w:val="24"/>
        <w:widowControl/>
        <w:spacing w:line="360" w:lineRule="auto"/>
        <w:ind w:left="0" w:leftChars="0" w:firstLine="480" w:firstLineChars="200"/>
        <w:rPr>
          <w:rFonts w:ascii="宋体" w:hAnsi="宋体"/>
          <w:sz w:val="24"/>
        </w:rPr>
      </w:pPr>
      <w:r>
        <w:rPr>
          <w:rFonts w:hint="eastAsia" w:ascii="宋体" w:hAnsi="宋体"/>
          <w:sz w:val="24"/>
        </w:rPr>
        <w:t>投标人法定代表人或授权代理人联系电话：</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投标人法定代表人盖章：</w:t>
      </w:r>
    </w:p>
    <w:p>
      <w:pPr>
        <w:spacing w:line="360" w:lineRule="auto"/>
        <w:ind w:firstLine="480" w:firstLineChars="200"/>
        <w:rPr>
          <w:rFonts w:ascii="宋体" w:hAnsi="宋体"/>
          <w:sz w:val="24"/>
        </w:rPr>
      </w:pPr>
      <w:r>
        <w:rPr>
          <w:rFonts w:hint="eastAsia" w:ascii="宋体" w:hAnsi="宋体"/>
          <w:sz w:val="24"/>
        </w:rPr>
        <w:t>投标人盖章：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pStyle w:val="24"/>
        <w:widowControl/>
        <w:spacing w:line="360" w:lineRule="auto"/>
        <w:ind w:left="0" w:leftChars="0"/>
        <w:rPr>
          <w:rFonts w:ascii="宋体" w:hAnsi="宋体"/>
          <w:b/>
          <w:sz w:val="24"/>
        </w:rPr>
      </w:pPr>
    </w:p>
    <w:p>
      <w:pPr>
        <w:pStyle w:val="24"/>
        <w:widowControl/>
        <w:spacing w:line="360" w:lineRule="auto"/>
        <w:ind w:left="0" w:leftChars="0"/>
        <w:rPr>
          <w:rFonts w:ascii="宋体" w:hAnsi="宋体"/>
          <w:b/>
          <w:sz w:val="24"/>
        </w:rPr>
      </w:pPr>
      <w:r>
        <w:rPr>
          <w:rFonts w:hint="eastAsia" w:ascii="宋体" w:hAnsi="宋体"/>
          <w:b/>
          <w:sz w:val="24"/>
        </w:rPr>
        <w:t>说明：除可填报项目外，对本投标函的任何修改将被视为非实质性响应投标，从而导致该投标被拒绝。</w:t>
      </w:r>
    </w:p>
    <w:p>
      <w:pPr>
        <w:pStyle w:val="18"/>
        <w:spacing w:after="0" w:line="360" w:lineRule="auto"/>
        <w:ind w:left="420" w:hanging="420" w:hangingChars="199"/>
        <w:outlineLvl w:val="2"/>
        <w:rPr>
          <w:rFonts w:ascii="宋体" w:hAnsi="宋体"/>
          <w:b/>
          <w:sz w:val="24"/>
        </w:rPr>
      </w:pPr>
      <w:r>
        <w:rPr>
          <w:b/>
          <w:szCs w:val="21"/>
        </w:rPr>
        <w:br w:type="page"/>
      </w:r>
      <w:bookmarkStart w:id="73" w:name="_Toc28911"/>
      <w:bookmarkStart w:id="74" w:name="_Toc33194726"/>
      <w:bookmarkStart w:id="75" w:name="_Toc33212784"/>
      <w:r>
        <w:rPr>
          <w:rFonts w:hint="eastAsia" w:ascii="宋体" w:hAnsi="宋体"/>
          <w:b/>
          <w:sz w:val="24"/>
        </w:rPr>
        <w:t>（五）</w:t>
      </w:r>
      <w:r>
        <w:rPr>
          <w:rFonts w:hint="eastAsia" w:ascii="宋体" w:hAnsi="宋体"/>
          <w:b/>
          <w:kern w:val="0"/>
          <w:sz w:val="24"/>
        </w:rPr>
        <w:t>★</w:t>
      </w:r>
      <w:r>
        <w:rPr>
          <w:rFonts w:hint="eastAsia" w:ascii="宋体" w:hAnsi="宋体"/>
          <w:b/>
          <w:sz w:val="24"/>
        </w:rPr>
        <w:t>法定代表人授权委托书</w:t>
      </w:r>
      <w:bookmarkEnd w:id="73"/>
      <w:bookmarkEnd w:id="74"/>
      <w:bookmarkEnd w:id="75"/>
    </w:p>
    <w:p>
      <w:pPr>
        <w:pStyle w:val="18"/>
        <w:spacing w:after="0" w:line="360" w:lineRule="auto"/>
        <w:ind w:firstLine="482" w:firstLineChars="200"/>
        <w:rPr>
          <w:rFonts w:ascii="宋体" w:hAnsi="宋体"/>
          <w:b/>
          <w:sz w:val="24"/>
        </w:rPr>
      </w:pPr>
    </w:p>
    <w:p>
      <w:pPr>
        <w:pStyle w:val="23"/>
        <w:tabs>
          <w:tab w:val="left" w:pos="5580"/>
        </w:tabs>
        <w:spacing w:line="360" w:lineRule="auto"/>
        <w:ind w:firstLine="480"/>
        <w:rPr>
          <w:rFonts w:hAnsi="宋体"/>
          <w:sz w:val="24"/>
          <w:szCs w:val="28"/>
        </w:rPr>
      </w:pPr>
      <w:r>
        <w:rPr>
          <w:rFonts w:hint="eastAsia" w:hAnsi="宋体"/>
          <w:sz w:val="24"/>
          <w:szCs w:val="24"/>
        </w:rPr>
        <w:t xml:space="preserve">本授权书声明：注册于 </w:t>
      </w:r>
      <w:r>
        <w:rPr>
          <w:rFonts w:hint="eastAsia" w:hAnsi="宋体"/>
          <w:sz w:val="24"/>
          <w:szCs w:val="24"/>
          <w:u w:val="single"/>
        </w:rPr>
        <w:t xml:space="preserve">              </w:t>
      </w:r>
      <w:r>
        <w:rPr>
          <w:rFonts w:hint="eastAsia" w:hAnsi="宋体"/>
          <w:sz w:val="24"/>
          <w:szCs w:val="24"/>
        </w:rPr>
        <w:t>（投标人住址）的</w:t>
      </w:r>
      <w:r>
        <w:rPr>
          <w:rFonts w:hint="eastAsia" w:hAnsi="宋体"/>
          <w:sz w:val="24"/>
          <w:szCs w:val="24"/>
          <w:u w:val="single"/>
        </w:rPr>
        <w:t xml:space="preserve">           </w:t>
      </w:r>
      <w:r>
        <w:rPr>
          <w:rFonts w:hint="eastAsia" w:hAnsi="宋体"/>
          <w:sz w:val="24"/>
          <w:szCs w:val="24"/>
        </w:rPr>
        <w:t>（投标人名称）的在下面盖章的</w:t>
      </w:r>
      <w:r>
        <w:rPr>
          <w:rFonts w:hint="eastAsia" w:hAnsi="宋体"/>
          <w:sz w:val="24"/>
          <w:szCs w:val="24"/>
          <w:u w:val="single"/>
        </w:rPr>
        <w:t xml:space="preserve">             </w:t>
      </w:r>
      <w:r>
        <w:rPr>
          <w:rFonts w:hint="eastAsia" w:hAnsi="宋体"/>
          <w:sz w:val="24"/>
          <w:szCs w:val="24"/>
        </w:rPr>
        <w:t>（法定代表人姓名、职务）代表本公司授权</w:t>
      </w:r>
      <w:r>
        <w:rPr>
          <w:rFonts w:hint="eastAsia" w:hAnsi="宋体"/>
          <w:sz w:val="24"/>
          <w:szCs w:val="24"/>
          <w:u w:val="single"/>
        </w:rPr>
        <w:t xml:space="preserve">             </w:t>
      </w:r>
      <w:r>
        <w:rPr>
          <w:rFonts w:hint="eastAsia" w:hAnsi="宋体"/>
          <w:sz w:val="24"/>
          <w:szCs w:val="24"/>
        </w:rPr>
        <w:t>（授权代理人的姓名、职务）为本公司的合法代理人，就贵方组织</w:t>
      </w:r>
      <w:r>
        <w:rPr>
          <w:rFonts w:hint="eastAsia" w:hAnsi="宋体"/>
          <w:sz w:val="24"/>
          <w:szCs w:val="24"/>
          <w:u w:val="single"/>
        </w:rPr>
        <w:t xml:space="preserve">             </w:t>
      </w:r>
      <w:r>
        <w:rPr>
          <w:rFonts w:hint="eastAsia" w:hAnsi="宋体"/>
          <w:sz w:val="24"/>
          <w:szCs w:val="24"/>
        </w:rPr>
        <w:t>（项目名称）项目（项目编号、包号：</w:t>
      </w:r>
      <w:r>
        <w:rPr>
          <w:rFonts w:hint="eastAsia" w:hAnsi="宋体"/>
          <w:sz w:val="24"/>
          <w:szCs w:val="24"/>
          <w:u w:val="single"/>
        </w:rPr>
        <w:t xml:space="preserve">           </w:t>
      </w:r>
      <w:r>
        <w:rPr>
          <w:rFonts w:hint="eastAsia" w:hAnsi="宋体"/>
          <w:sz w:val="24"/>
          <w:szCs w:val="24"/>
        </w:rPr>
        <w:t>），以本公司名义处理一切与之有关的事宜。</w:t>
      </w:r>
      <w:r>
        <w:rPr>
          <w:rFonts w:hint="eastAsia" w:hAnsi="宋体"/>
          <w:sz w:val="24"/>
          <w:szCs w:val="28"/>
        </w:rPr>
        <w:t>投标人授权代理人在投标过程中所签署的一切文件和处理与之有关的一切事务，本公司均予以认可并对此承担责任。</w:t>
      </w:r>
    </w:p>
    <w:p>
      <w:pPr>
        <w:pStyle w:val="23"/>
        <w:tabs>
          <w:tab w:val="left" w:pos="5580"/>
        </w:tabs>
        <w:spacing w:line="360" w:lineRule="auto"/>
        <w:ind w:firstLine="480"/>
        <w:rPr>
          <w:rFonts w:hAnsi="宋体"/>
          <w:sz w:val="24"/>
          <w:szCs w:val="24"/>
        </w:rPr>
      </w:pPr>
      <w:r>
        <w:rPr>
          <w:rFonts w:hint="eastAsia" w:hAnsi="宋体"/>
          <w:sz w:val="24"/>
          <w:szCs w:val="28"/>
        </w:rPr>
        <w:t>投标人授权代理人无转委托权。特此授权。</w:t>
      </w:r>
      <w:r>
        <w:rPr>
          <w:rFonts w:hint="eastAsia" w:hAnsi="宋体"/>
          <w:sz w:val="24"/>
          <w:szCs w:val="24"/>
        </w:rPr>
        <w:cr/>
      </w:r>
      <w:r>
        <w:rPr>
          <w:rFonts w:hint="eastAsia" w:hAnsi="宋体"/>
          <w:sz w:val="24"/>
          <w:szCs w:val="24"/>
        </w:rPr>
        <w:t>　　</w:t>
      </w:r>
    </w:p>
    <w:p>
      <w:pPr>
        <w:pStyle w:val="23"/>
        <w:tabs>
          <w:tab w:val="left" w:pos="5580"/>
        </w:tabs>
        <w:spacing w:line="360" w:lineRule="auto"/>
        <w:ind w:firstLine="480"/>
        <w:rPr>
          <w:rFonts w:hAnsi="宋体"/>
          <w:sz w:val="24"/>
          <w:szCs w:val="24"/>
        </w:rPr>
      </w:pPr>
      <w:r>
        <w:rPr>
          <w:rFonts w:hint="eastAsia" w:hAnsi="宋体"/>
          <w:sz w:val="24"/>
          <w:szCs w:val="24"/>
        </w:rPr>
        <w:t>本授权书于__________年_____月______日生效，特此声明。</w:t>
      </w:r>
      <w:r>
        <w:rPr>
          <w:rFonts w:hint="eastAsia" w:hAnsi="宋体"/>
          <w:sz w:val="24"/>
          <w:szCs w:val="24"/>
        </w:rPr>
        <w:cr/>
      </w: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jc w:val="center"/>
        <w:rPr>
          <w:rFonts w:hAnsi="宋体"/>
          <w:b/>
          <w:sz w:val="24"/>
          <w:szCs w:val="24"/>
        </w:rPr>
      </w:pPr>
      <w:r>
        <w:rPr>
          <w:rFonts w:hint="eastAsia" w:hAnsi="宋体"/>
          <w:b/>
          <w:sz w:val="24"/>
          <w:szCs w:val="24"/>
        </w:rPr>
        <w:t>（附授权代理人身份证正反两面扫描件）</w:t>
      </w: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spacing w:line="360" w:lineRule="auto"/>
        <w:ind w:firstLine="480" w:firstLineChars="200"/>
        <w:rPr>
          <w:rFonts w:ascii="宋体" w:hAnsi="宋体"/>
          <w:sz w:val="24"/>
        </w:rPr>
      </w:pPr>
      <w:r>
        <w:rPr>
          <w:rFonts w:hint="eastAsia" w:ascii="宋体" w:hAnsi="宋体"/>
          <w:sz w:val="24"/>
        </w:rPr>
        <w:t>投标人法定代表人盖章：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pStyle w:val="23"/>
        <w:snapToGrid w:val="0"/>
        <w:spacing w:line="360" w:lineRule="auto"/>
        <w:jc w:val="left"/>
        <w:rPr>
          <w:rFonts w:hAnsi="宋体"/>
          <w:b/>
          <w:sz w:val="24"/>
          <w:szCs w:val="24"/>
        </w:rPr>
      </w:pPr>
    </w:p>
    <w:p>
      <w:pPr>
        <w:pStyle w:val="24"/>
        <w:widowControl/>
        <w:spacing w:line="360" w:lineRule="auto"/>
        <w:ind w:left="0" w:leftChars="0"/>
        <w:rPr>
          <w:rFonts w:ascii="宋体" w:hAnsi="宋体"/>
          <w:b/>
          <w:sz w:val="24"/>
        </w:rPr>
      </w:pPr>
      <w:r>
        <w:rPr>
          <w:rFonts w:ascii="宋体" w:hAnsi="宋体"/>
          <w:b/>
          <w:sz w:val="24"/>
        </w:rPr>
        <w:br w:type="page"/>
      </w:r>
      <w:r>
        <w:rPr>
          <w:rFonts w:hint="eastAsia" w:ascii="宋体" w:hAnsi="宋体"/>
          <w:b/>
          <w:sz w:val="24"/>
        </w:rPr>
        <w:t>附：法定代表人身份证明书</w:t>
      </w:r>
    </w:p>
    <w:p>
      <w:pPr>
        <w:spacing w:line="360" w:lineRule="auto"/>
        <w:rPr>
          <w:rFonts w:ascii="宋体" w:hAnsi="宋体"/>
        </w:rPr>
      </w:pP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单位名称：</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单位</w:t>
      </w:r>
      <w:r>
        <w:rPr>
          <w:rFonts w:hint="eastAsia" w:ascii="宋体" w:hAnsi="宋体"/>
          <w:sz w:val="24"/>
        </w:rPr>
        <w:t>类型</w:t>
      </w:r>
      <w:r>
        <w:rPr>
          <w:rFonts w:ascii="宋体" w:hAnsi="宋体"/>
          <w:sz w:val="24"/>
        </w:rPr>
        <w:t>：</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住</w:t>
      </w:r>
      <w:r>
        <w:rPr>
          <w:rFonts w:ascii="宋体" w:hAnsi="宋体"/>
          <w:sz w:val="24"/>
        </w:rPr>
        <w:t xml:space="preserve">    </w:t>
      </w:r>
      <w:r>
        <w:rPr>
          <w:rFonts w:hint="eastAsia" w:ascii="宋体" w:hAnsi="宋体"/>
          <w:sz w:val="24"/>
        </w:rPr>
        <w:t>所</w:t>
      </w:r>
      <w:r>
        <w:rPr>
          <w:rFonts w:ascii="宋体" w:hAnsi="宋体"/>
          <w:sz w:val="24"/>
        </w:rPr>
        <w:t>：</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成立</w:t>
      </w:r>
      <w:r>
        <w:rPr>
          <w:rFonts w:hint="eastAsia" w:ascii="宋体" w:hAnsi="宋体"/>
          <w:sz w:val="24"/>
        </w:rPr>
        <w:t>日期</w:t>
      </w:r>
      <w:r>
        <w:rPr>
          <w:rFonts w:ascii="宋体" w:hAnsi="宋体"/>
          <w:sz w:val="24"/>
        </w:rPr>
        <w:t>：</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spacing w:line="360" w:lineRule="auto"/>
        <w:ind w:firstLine="465"/>
        <w:rPr>
          <w:rFonts w:ascii="宋体" w:hAnsi="宋体"/>
          <w:sz w:val="24"/>
          <w:u w:val="single"/>
        </w:rPr>
      </w:pPr>
      <w:r>
        <w:rPr>
          <w:rFonts w:hint="eastAsia" w:ascii="宋体" w:hAnsi="宋体"/>
          <w:sz w:val="24"/>
        </w:rPr>
        <w:t>营业期限</w:t>
      </w:r>
      <w:r>
        <w:rPr>
          <w:rFonts w:ascii="宋体" w:hAnsi="宋体"/>
          <w:sz w:val="24"/>
        </w:rPr>
        <w:t>：</w:t>
      </w:r>
      <w:r>
        <w:rPr>
          <w:rFonts w:hint="eastAsia" w:ascii="宋体" w:hAnsi="宋体"/>
          <w:sz w:val="24"/>
          <w:u w:val="single"/>
        </w:rPr>
        <w:t xml:space="preserve">                                  </w:t>
      </w:r>
    </w:p>
    <w:p>
      <w:pPr>
        <w:spacing w:line="360" w:lineRule="auto"/>
        <w:ind w:firstLine="465"/>
        <w:rPr>
          <w:rFonts w:ascii="宋体" w:hAnsi="宋体"/>
          <w:sz w:val="24"/>
        </w:rPr>
      </w:pPr>
    </w:p>
    <w:p>
      <w:pPr>
        <w:spacing w:line="360" w:lineRule="auto"/>
        <w:ind w:firstLine="480" w:firstLineChars="200"/>
        <w:rPr>
          <w:rFonts w:ascii="宋体" w:hAnsi="宋体"/>
          <w:sz w:val="24"/>
          <w:u w:val="single"/>
        </w:rPr>
      </w:pPr>
      <w:r>
        <w:rPr>
          <w:rFonts w:ascii="宋体" w:hAnsi="宋体"/>
          <w:sz w:val="24"/>
        </w:rPr>
        <w:t>姓    名：</w:t>
      </w:r>
      <w:r>
        <w:rPr>
          <w:rFonts w:hint="eastAsia" w:ascii="宋体" w:hAnsi="宋体"/>
          <w:sz w:val="24"/>
          <w:u w:val="single"/>
        </w:rPr>
        <w:t xml:space="preserve">          </w:t>
      </w:r>
      <w:r>
        <w:rPr>
          <w:rFonts w:ascii="宋体" w:hAnsi="宋体"/>
          <w:sz w:val="24"/>
        </w:rPr>
        <w:t>性别：</w:t>
      </w:r>
      <w:r>
        <w:rPr>
          <w:rFonts w:hint="eastAsia" w:ascii="宋体" w:hAnsi="宋体"/>
          <w:sz w:val="24"/>
          <w:u w:val="single"/>
        </w:rPr>
        <w:t xml:space="preserve">           </w:t>
      </w:r>
    </w:p>
    <w:p>
      <w:pPr>
        <w:spacing w:line="360" w:lineRule="auto"/>
        <w:ind w:firstLine="480"/>
        <w:rPr>
          <w:rFonts w:ascii="宋体" w:hAnsi="宋体"/>
          <w:sz w:val="24"/>
        </w:rPr>
      </w:pPr>
      <w:r>
        <w:rPr>
          <w:rFonts w:ascii="宋体" w:hAnsi="宋体"/>
          <w:sz w:val="24"/>
        </w:rPr>
        <w:t>系</w:t>
      </w:r>
      <w:r>
        <w:rPr>
          <w:rFonts w:hint="eastAsia" w:ascii="宋体" w:hAnsi="宋体"/>
          <w:sz w:val="24"/>
          <w:u w:val="single"/>
        </w:rPr>
        <w:t xml:space="preserve">    （投标人名称）   </w:t>
      </w:r>
      <w:r>
        <w:rPr>
          <w:rFonts w:ascii="宋体" w:hAnsi="宋体"/>
          <w:sz w:val="24"/>
        </w:rPr>
        <w:t>的法定代表人。</w:t>
      </w:r>
    </w:p>
    <w:p>
      <w:pPr>
        <w:spacing w:line="360" w:lineRule="auto"/>
        <w:ind w:firstLine="480"/>
        <w:rPr>
          <w:rFonts w:ascii="宋体" w:hAnsi="宋体"/>
          <w:sz w:val="24"/>
        </w:rPr>
      </w:pPr>
    </w:p>
    <w:p>
      <w:pPr>
        <w:spacing w:line="360" w:lineRule="auto"/>
        <w:ind w:firstLine="480"/>
        <w:rPr>
          <w:rFonts w:ascii="宋体" w:hAnsi="宋体"/>
          <w:sz w:val="24"/>
        </w:rPr>
      </w:pPr>
      <w:r>
        <w:rPr>
          <w:rFonts w:ascii="宋体" w:hAnsi="宋体"/>
          <w:sz w:val="24"/>
        </w:rPr>
        <w:t>特此证明。</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pStyle w:val="23"/>
        <w:tabs>
          <w:tab w:val="left" w:pos="5580"/>
        </w:tabs>
        <w:spacing w:line="360" w:lineRule="auto"/>
        <w:jc w:val="center"/>
        <w:rPr>
          <w:rFonts w:hAnsi="宋体"/>
          <w:sz w:val="24"/>
          <w:szCs w:val="24"/>
        </w:rPr>
      </w:pPr>
      <w:r>
        <w:rPr>
          <w:rFonts w:hint="eastAsia" w:hAnsi="宋体"/>
          <w:sz w:val="24"/>
          <w:szCs w:val="24"/>
        </w:rPr>
        <w:t>（附法定代表人身份证正反两面扫描件）</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注：1、本项目只允许有唯一的投标人授权代理人，且必须为投标人在职员工。</w:t>
      </w:r>
    </w:p>
    <w:p>
      <w:pPr>
        <w:spacing w:line="360" w:lineRule="auto"/>
        <w:ind w:firstLine="480" w:firstLineChars="200"/>
        <w:rPr>
          <w:rFonts w:ascii="宋体" w:hAnsi="宋体"/>
          <w:sz w:val="24"/>
        </w:rPr>
      </w:pPr>
      <w:r>
        <w:rPr>
          <w:rFonts w:hint="eastAsia" w:ascii="宋体" w:hAnsi="宋体"/>
          <w:sz w:val="24"/>
        </w:rPr>
        <w:t>2、投标人法定代表人参加投标的，可以不提供法定代表人授权委托书，但必须提供上述法定代表人身份证明书，否则将按无效投标处理。</w:t>
      </w:r>
    </w:p>
    <w:p>
      <w:pPr>
        <w:pStyle w:val="5"/>
        <w:numPr>
          <w:ilvl w:val="0"/>
          <w:numId w:val="0"/>
        </w:numPr>
        <w:rPr>
          <w:rFonts w:ascii="宋体" w:hAnsi="宋体"/>
          <w:b w:val="0"/>
          <w:sz w:val="24"/>
        </w:rPr>
      </w:pPr>
      <w:bookmarkStart w:id="76" w:name="_Toc3692"/>
      <w:bookmarkStart w:id="77" w:name="_Toc33194728"/>
      <w:bookmarkStart w:id="78" w:name="_Toc33212786"/>
      <w:r>
        <w:rPr>
          <w:rFonts w:hint="eastAsia" w:ascii="宋体" w:hAnsi="宋体"/>
          <w:b w:val="0"/>
          <w:sz w:val="24"/>
        </w:rPr>
        <w:t>（</w:t>
      </w:r>
      <w:r>
        <w:rPr>
          <w:rFonts w:hint="eastAsia" w:ascii="宋体" w:hAnsi="宋体"/>
          <w:b w:val="0"/>
          <w:sz w:val="24"/>
          <w:lang w:eastAsia="zh-CN"/>
        </w:rPr>
        <w:t>六</w:t>
      </w:r>
      <w:r>
        <w:rPr>
          <w:rFonts w:hint="eastAsia" w:ascii="宋体" w:hAnsi="宋体"/>
          <w:b w:val="0"/>
          <w:sz w:val="24"/>
        </w:rPr>
        <w:t>）</w:t>
      </w:r>
      <w:r>
        <w:rPr>
          <w:rFonts w:hint="eastAsia" w:ascii="宋体" w:hAnsi="宋体"/>
          <w:sz w:val="24"/>
        </w:rPr>
        <w:t>★</w:t>
      </w:r>
      <w:r>
        <w:rPr>
          <w:rFonts w:hint="eastAsia" w:ascii="宋体" w:hAnsi="宋体"/>
          <w:b w:val="0"/>
          <w:sz w:val="24"/>
        </w:rPr>
        <w:t>开标一览表</w:t>
      </w:r>
      <w:bookmarkEnd w:id="76"/>
      <w:bookmarkEnd w:id="77"/>
      <w:bookmarkEnd w:id="78"/>
    </w:p>
    <w:p>
      <w:pPr>
        <w:pStyle w:val="19"/>
        <w:spacing w:line="360" w:lineRule="auto"/>
        <w:ind w:left="0" w:leftChars="0" w:firstLine="0" w:firstLineChars="0"/>
      </w:pPr>
      <w:r>
        <w:rPr>
          <w:rFonts w:hint="eastAsia"/>
        </w:rPr>
        <w:t>项目编号、包号：</w:t>
      </w:r>
      <w:r>
        <w:rPr>
          <w:rFonts w:hint="eastAsia"/>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pPr>
              <w:tabs>
                <w:tab w:val="left" w:pos="1337"/>
              </w:tabs>
              <w:spacing w:line="360" w:lineRule="auto"/>
              <w:jc w:val="center"/>
              <w:rPr>
                <w:rFonts w:eastAsia="黑体"/>
                <w:sz w:val="24"/>
              </w:rPr>
            </w:pPr>
            <w:r>
              <w:rPr>
                <w:rFonts w:hint="eastAsia" w:ascii="黑体"/>
                <w:bCs/>
                <w:sz w:val="24"/>
              </w:rPr>
              <w:t>项目名称</w:t>
            </w:r>
          </w:p>
        </w:tc>
        <w:tc>
          <w:tcPr>
            <w:tcW w:w="6770" w:type="dxa"/>
            <w:tcBorders>
              <w:bottom w:val="single" w:color="auto" w:sz="4" w:space="0"/>
            </w:tcBorders>
            <w:vAlign w:val="center"/>
          </w:tcPr>
          <w:p>
            <w:pPr>
              <w:tabs>
                <w:tab w:val="left" w:pos="1337"/>
              </w:tabs>
              <w:spacing w:line="360" w:lineRule="auto"/>
              <w:jc w:val="center"/>
              <w:rPr>
                <w:rFonts w:ascii="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pPr>
              <w:tabs>
                <w:tab w:val="left" w:pos="1337"/>
              </w:tabs>
              <w:spacing w:line="360" w:lineRule="auto"/>
              <w:jc w:val="center"/>
              <w:rPr>
                <w:sz w:val="24"/>
              </w:rPr>
            </w:pPr>
            <w:r>
              <w:rPr>
                <w:rFonts w:hint="eastAsia" w:ascii="黑体"/>
                <w:bCs/>
                <w:sz w:val="24"/>
              </w:rPr>
              <w:t>投 标 报 价</w:t>
            </w:r>
          </w:p>
        </w:tc>
        <w:tc>
          <w:tcPr>
            <w:tcW w:w="6770" w:type="dxa"/>
          </w:tcPr>
          <w:p>
            <w:pPr>
              <w:tabs>
                <w:tab w:val="left" w:pos="1337"/>
              </w:tabs>
              <w:spacing w:line="360" w:lineRule="auto"/>
              <w:rPr>
                <w:rFonts w:ascii="黑体"/>
                <w:bCs/>
                <w:sz w:val="24"/>
              </w:rPr>
            </w:pPr>
          </w:p>
          <w:p>
            <w:pPr>
              <w:tabs>
                <w:tab w:val="left" w:pos="1337"/>
              </w:tabs>
              <w:spacing w:line="360" w:lineRule="auto"/>
              <w:rPr>
                <w:rFonts w:ascii="黑体"/>
                <w:bCs/>
                <w:sz w:val="24"/>
              </w:rPr>
            </w:pPr>
            <w:r>
              <w:rPr>
                <w:rFonts w:hint="eastAsia" w:ascii="黑体"/>
                <w:bCs/>
                <w:sz w:val="24"/>
              </w:rPr>
              <w:t>小写：</w:t>
            </w:r>
            <w:r>
              <w:rPr>
                <w:rFonts w:hint="eastAsia" w:ascii="黑体"/>
                <w:bCs/>
                <w:sz w:val="24"/>
                <w:u w:val="single"/>
              </w:rPr>
              <w:t xml:space="preserve">                               </w:t>
            </w:r>
          </w:p>
          <w:p>
            <w:pPr>
              <w:tabs>
                <w:tab w:val="left" w:pos="1337"/>
              </w:tabs>
              <w:spacing w:line="360" w:lineRule="auto"/>
              <w:rPr>
                <w:rFonts w:ascii="黑体"/>
                <w:bCs/>
                <w:sz w:val="24"/>
              </w:rPr>
            </w:pPr>
          </w:p>
          <w:p>
            <w:pPr>
              <w:tabs>
                <w:tab w:val="left" w:pos="1337"/>
              </w:tabs>
              <w:spacing w:line="360" w:lineRule="auto"/>
              <w:rPr>
                <w:rFonts w:ascii="黑体"/>
                <w:bCs/>
                <w:sz w:val="24"/>
              </w:rPr>
            </w:pPr>
            <w:r>
              <w:rPr>
                <w:rFonts w:hint="eastAsia" w:ascii="黑体"/>
                <w:bCs/>
                <w:sz w:val="24"/>
              </w:rPr>
              <w:t>大写：</w:t>
            </w:r>
            <w:r>
              <w:rPr>
                <w:rFonts w:hint="eastAsia" w:ascii="黑体"/>
                <w:bCs/>
                <w:sz w:val="24"/>
                <w:u w:val="single"/>
              </w:rPr>
              <w:t xml:space="preserve">                               </w:t>
            </w:r>
          </w:p>
          <w:p>
            <w:pPr>
              <w:tabs>
                <w:tab w:val="left" w:pos="1337"/>
              </w:tabs>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tabs>
                <w:tab w:val="left" w:pos="1337"/>
              </w:tabs>
              <w:spacing w:line="360" w:lineRule="auto"/>
              <w:jc w:val="center"/>
              <w:rPr>
                <w:rFonts w:ascii="黑体"/>
                <w:bCs/>
                <w:sz w:val="24"/>
              </w:rPr>
            </w:pPr>
            <w:r>
              <w:rPr>
                <w:rFonts w:hint="eastAsia" w:ascii="黑体"/>
                <w:bCs/>
                <w:sz w:val="24"/>
              </w:rPr>
              <w:t>报价单位</w:t>
            </w:r>
          </w:p>
        </w:tc>
        <w:tc>
          <w:tcPr>
            <w:tcW w:w="6770" w:type="dxa"/>
          </w:tcPr>
          <w:p>
            <w:pPr>
              <w:tabs>
                <w:tab w:val="left" w:pos="1337"/>
              </w:tabs>
              <w:spacing w:line="360" w:lineRule="auto"/>
              <w:rPr>
                <w:sz w:val="24"/>
              </w:rPr>
            </w:pP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tabs>
                <w:tab w:val="left" w:pos="1337"/>
              </w:tabs>
              <w:spacing w:line="360" w:lineRule="auto"/>
              <w:jc w:val="center"/>
              <w:rPr>
                <w:sz w:val="24"/>
              </w:rPr>
            </w:pPr>
            <w:r>
              <w:rPr>
                <w:rFonts w:hint="eastAsia" w:ascii="黑体"/>
                <w:bCs/>
                <w:sz w:val="24"/>
              </w:rPr>
              <w:t>交货日期</w:t>
            </w:r>
          </w:p>
        </w:tc>
        <w:tc>
          <w:tcPr>
            <w:tcW w:w="6770" w:type="dxa"/>
          </w:tcPr>
          <w:p>
            <w:pPr>
              <w:tabs>
                <w:tab w:val="left" w:pos="1337"/>
              </w:tabs>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pPr>
              <w:tabs>
                <w:tab w:val="left" w:pos="1337"/>
              </w:tabs>
              <w:spacing w:line="360" w:lineRule="auto"/>
              <w:rPr>
                <w:sz w:val="24"/>
              </w:rPr>
            </w:pPr>
            <w:r>
              <w:rPr>
                <w:rFonts w:hint="eastAsia" w:ascii="黑体"/>
                <w:bCs/>
                <w:sz w:val="24"/>
              </w:rPr>
              <w:t>备注：</w:t>
            </w:r>
          </w:p>
        </w:tc>
      </w:tr>
    </w:tbl>
    <w:p>
      <w:pPr>
        <w:spacing w:line="360" w:lineRule="auto"/>
        <w:rPr>
          <w:rFonts w:ascii="宋体" w:hAnsi="宋体"/>
          <w:sz w:val="24"/>
        </w:rPr>
      </w:pPr>
      <w:r>
        <w:rPr>
          <w:rFonts w:hint="eastAsia" w:ascii="宋体" w:hAnsi="宋体"/>
          <w:sz w:val="24"/>
        </w:rPr>
        <w:t>说明：1、投标人严格按照规定的格式填写。投标报价为优惠后报价，并作为评审及定标的依据。</w:t>
      </w:r>
    </w:p>
    <w:p>
      <w:pPr>
        <w:spacing w:line="360" w:lineRule="auto"/>
        <w:rPr>
          <w:rFonts w:ascii="宋体" w:hAnsi="宋体"/>
          <w:sz w:val="24"/>
        </w:rPr>
      </w:pPr>
      <w:r>
        <w:rPr>
          <w:rFonts w:hint="eastAsia" w:ascii="宋体" w:hAnsi="宋体"/>
          <w:sz w:val="24"/>
        </w:rPr>
        <w:t xml:space="preserve">      2、任何有选择或有条件的投标报价或表中某一包填写多个报价，均将导致投标被拒绝。</w:t>
      </w:r>
    </w:p>
    <w:p>
      <w:pPr>
        <w:spacing w:line="360" w:lineRule="auto"/>
        <w:ind w:firstLine="480" w:firstLineChars="200"/>
        <w:rPr>
          <w:rFonts w:ascii="宋体" w:hAnsi="宋体"/>
          <w:sz w:val="24"/>
        </w:rPr>
      </w:pPr>
    </w:p>
    <w:p>
      <w:pPr>
        <w:spacing w:line="360" w:lineRule="auto"/>
        <w:ind w:firstLine="480" w:firstLineChars="200"/>
        <w:rPr>
          <w:sz w:val="24"/>
          <w:u w:val="single"/>
        </w:rPr>
      </w:pPr>
    </w:p>
    <w:p>
      <w:pPr>
        <w:spacing w:line="360" w:lineRule="auto"/>
        <w:ind w:firstLine="480" w:firstLineChars="200"/>
        <w:rPr>
          <w:sz w:val="24"/>
          <w:u w:val="single"/>
        </w:rPr>
      </w:pPr>
      <w:r>
        <w:rPr>
          <w:rFonts w:hint="eastAsia" w:ascii="宋体" w:hAnsi="宋体"/>
          <w:sz w:val="24"/>
        </w:rPr>
        <w:t>投标人盖章：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spacing w:line="360" w:lineRule="auto"/>
        <w:rPr>
          <w:sz w:val="24"/>
        </w:rPr>
      </w:pPr>
    </w:p>
    <w:p>
      <w:pPr>
        <w:pStyle w:val="5"/>
        <w:numPr>
          <w:ilvl w:val="0"/>
          <w:numId w:val="0"/>
        </w:numPr>
        <w:rPr>
          <w:rFonts w:ascii="宋体" w:hAnsi="宋体"/>
          <w:sz w:val="24"/>
        </w:rPr>
      </w:pPr>
      <w:r>
        <w:rPr>
          <w:rFonts w:ascii="宋体" w:hAnsi="宋体"/>
          <w:b w:val="0"/>
          <w:sz w:val="24"/>
        </w:rPr>
        <w:br w:type="page"/>
      </w:r>
      <w:bookmarkStart w:id="79" w:name="_Toc33194729"/>
      <w:bookmarkStart w:id="80" w:name="_Toc32015"/>
      <w:bookmarkStart w:id="81" w:name="_Toc33212787"/>
      <w:r>
        <w:rPr>
          <w:rFonts w:hint="eastAsia" w:ascii="宋体" w:hAnsi="宋体"/>
          <w:sz w:val="24"/>
        </w:rPr>
        <w:t>（</w:t>
      </w:r>
      <w:r>
        <w:rPr>
          <w:rFonts w:hint="eastAsia" w:ascii="宋体" w:hAnsi="宋体"/>
          <w:sz w:val="24"/>
          <w:lang w:eastAsia="zh-CN"/>
        </w:rPr>
        <w:t>七</w:t>
      </w:r>
      <w:r>
        <w:rPr>
          <w:rFonts w:hint="eastAsia" w:ascii="宋体" w:hAnsi="宋体"/>
          <w:sz w:val="24"/>
        </w:rPr>
        <w:t>）★报价明细表</w:t>
      </w:r>
      <w:bookmarkEnd w:id="79"/>
      <w:bookmarkEnd w:id="80"/>
      <w:bookmarkEnd w:id="81"/>
    </w:p>
    <w:p>
      <w:pPr>
        <w:tabs>
          <w:tab w:val="left" w:pos="5580"/>
        </w:tabs>
        <w:spacing w:line="360" w:lineRule="auto"/>
        <w:jc w:val="left"/>
        <w:rPr>
          <w:rFonts w:ascii="宋体" w:hAnsi="宋体"/>
          <w:b/>
          <w:kern w:val="0"/>
          <w:sz w:val="24"/>
        </w:rPr>
      </w:pPr>
      <w:r>
        <w:rPr>
          <w:rFonts w:hint="eastAsia"/>
          <w:sz w:val="24"/>
        </w:rPr>
        <w:t>项目编号、包号：</w:t>
      </w:r>
      <w:r>
        <w:rPr>
          <w:rFonts w:hint="eastAsia"/>
          <w:sz w:val="24"/>
          <w:u w:val="single"/>
        </w:rPr>
        <w:t xml:space="preserve">                    </w:t>
      </w:r>
      <w:r>
        <w:rPr>
          <w:rFonts w:hint="eastAsia"/>
          <w:sz w:val="24"/>
        </w:rPr>
        <w:t xml:space="preserve">             </w:t>
      </w:r>
      <w:r>
        <w:rPr>
          <w:rFonts w:hint="eastAsia" w:ascii="宋体" w:hAnsi="宋体"/>
          <w:sz w:val="24"/>
        </w:rPr>
        <w:t>报价单位；</w:t>
      </w:r>
      <w:r>
        <w:rPr>
          <w:rFonts w:hint="eastAsia" w:ascii="宋体" w:hAnsi="宋体"/>
          <w:sz w:val="24"/>
          <w:u w:val="single"/>
        </w:rPr>
        <w:t xml:space="preserve">         </w:t>
      </w:r>
    </w:p>
    <w:tbl>
      <w:tblPr>
        <w:tblStyle w:val="37"/>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3418"/>
        <w:gridCol w:w="955"/>
        <w:gridCol w:w="95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项</w:t>
            </w:r>
          </w:p>
        </w:tc>
        <w:tc>
          <w:tcPr>
            <w:tcW w:w="2441" w:type="dxa"/>
            <w:tcBorders>
              <w:top w:val="single" w:color="auto" w:sz="12" w:space="0"/>
              <w:bottom w:val="single" w:color="auto" w:sz="4"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1</w:t>
            </w:r>
          </w:p>
        </w:tc>
        <w:tc>
          <w:tcPr>
            <w:tcW w:w="3418" w:type="dxa"/>
            <w:tcBorders>
              <w:top w:val="single" w:color="auto" w:sz="12" w:space="0"/>
              <w:bottom w:val="single" w:color="auto" w:sz="4" w:space="0"/>
            </w:tcBorders>
            <w:vAlign w:val="center"/>
          </w:tcPr>
          <w:p>
            <w:pPr>
              <w:tabs>
                <w:tab w:val="left" w:pos="1337"/>
              </w:tabs>
              <w:spacing w:line="360" w:lineRule="auto"/>
              <w:ind w:right="-42"/>
              <w:jc w:val="center"/>
              <w:rPr>
                <w:rFonts w:ascii="宋体" w:hAnsi="宋体"/>
                <w:sz w:val="24"/>
              </w:rPr>
            </w:pPr>
            <w:r>
              <w:rPr>
                <w:rFonts w:hint="eastAsia" w:ascii="宋体" w:hAnsi="宋体"/>
                <w:sz w:val="24"/>
              </w:rPr>
              <w:t>2</w:t>
            </w:r>
          </w:p>
        </w:tc>
        <w:tc>
          <w:tcPr>
            <w:tcW w:w="3056" w:type="dxa"/>
            <w:gridSpan w:val="3"/>
            <w:tcBorders>
              <w:top w:val="single" w:color="auto" w:sz="12" w:space="0"/>
              <w:bottom w:val="single" w:color="auto" w:sz="4" w:space="0"/>
              <w:right w:val="single" w:color="auto" w:sz="12"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tcBorders>
              <w:left w:val="single" w:color="auto" w:sz="12"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序</w:t>
            </w:r>
          </w:p>
          <w:p>
            <w:pPr>
              <w:tabs>
                <w:tab w:val="left" w:pos="1337"/>
              </w:tabs>
              <w:spacing w:line="360" w:lineRule="auto"/>
              <w:ind w:left="-42" w:right="-42"/>
              <w:jc w:val="center"/>
              <w:rPr>
                <w:rFonts w:ascii="宋体" w:hAnsi="宋体"/>
                <w:sz w:val="24"/>
              </w:rPr>
            </w:pPr>
            <w:r>
              <w:rPr>
                <w:rFonts w:hint="eastAsia" w:ascii="宋体" w:hAnsi="宋体"/>
                <w:sz w:val="24"/>
              </w:rPr>
              <w:t>号</w:t>
            </w:r>
          </w:p>
        </w:tc>
        <w:tc>
          <w:tcPr>
            <w:tcW w:w="2441" w:type="dxa"/>
            <w:vMerge w:val="restart"/>
            <w:vAlign w:val="center"/>
          </w:tcPr>
          <w:p>
            <w:pPr>
              <w:tabs>
                <w:tab w:val="left" w:pos="1337"/>
              </w:tabs>
              <w:spacing w:line="360" w:lineRule="auto"/>
              <w:jc w:val="center"/>
              <w:rPr>
                <w:rFonts w:ascii="宋体" w:hAnsi="宋体"/>
                <w:sz w:val="24"/>
              </w:rPr>
            </w:pPr>
            <w:r>
              <w:rPr>
                <w:rFonts w:hint="eastAsia" w:ascii="宋体" w:hAnsi="宋体"/>
                <w:sz w:val="24"/>
              </w:rPr>
              <w:t>产品名称</w:t>
            </w:r>
          </w:p>
        </w:tc>
        <w:tc>
          <w:tcPr>
            <w:tcW w:w="3418" w:type="dxa"/>
            <w:vMerge w:val="restart"/>
            <w:vAlign w:val="center"/>
          </w:tcPr>
          <w:p>
            <w:pPr>
              <w:tabs>
                <w:tab w:val="left" w:pos="1337"/>
              </w:tabs>
              <w:spacing w:line="360" w:lineRule="auto"/>
              <w:ind w:left="-42" w:right="-42"/>
              <w:jc w:val="center"/>
              <w:rPr>
                <w:rFonts w:ascii="宋体" w:hAnsi="宋体"/>
                <w:sz w:val="24"/>
              </w:rPr>
            </w:pPr>
            <w:r>
              <w:rPr>
                <w:rFonts w:hint="eastAsia" w:ascii="宋体" w:hAnsi="宋体"/>
                <w:sz w:val="24"/>
              </w:rPr>
              <w:t>品牌、型号</w:t>
            </w:r>
          </w:p>
        </w:tc>
        <w:tc>
          <w:tcPr>
            <w:tcW w:w="3056" w:type="dxa"/>
            <w:gridSpan w:val="3"/>
            <w:tcBorders>
              <w:right w:val="single" w:color="auto" w:sz="12" w:space="0"/>
            </w:tcBorders>
            <w:vAlign w:val="center"/>
          </w:tcPr>
          <w:p>
            <w:pPr>
              <w:spacing w:line="360" w:lineRule="auto"/>
              <w:jc w:val="center"/>
              <w:rPr>
                <w:rFonts w:ascii="宋体" w:hAnsi="宋体"/>
                <w:sz w:val="24"/>
              </w:rPr>
            </w:pPr>
            <w:r>
              <w:rPr>
                <w:rFonts w:hint="eastAsia" w:ascii="宋体" w:hAnsi="宋体"/>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tcBorders>
              <w:left w:val="single" w:color="auto" w:sz="12" w:space="0"/>
            </w:tcBorders>
            <w:vAlign w:val="center"/>
          </w:tcPr>
          <w:p>
            <w:pPr>
              <w:tabs>
                <w:tab w:val="left" w:pos="1337"/>
              </w:tabs>
              <w:spacing w:line="360" w:lineRule="auto"/>
              <w:ind w:left="-42" w:right="-42"/>
              <w:jc w:val="center"/>
              <w:rPr>
                <w:rFonts w:ascii="宋体" w:hAnsi="宋体"/>
                <w:sz w:val="24"/>
              </w:rPr>
            </w:pPr>
          </w:p>
        </w:tc>
        <w:tc>
          <w:tcPr>
            <w:tcW w:w="2441" w:type="dxa"/>
            <w:vMerge w:val="continue"/>
            <w:vAlign w:val="center"/>
          </w:tcPr>
          <w:p>
            <w:pPr>
              <w:tabs>
                <w:tab w:val="left" w:pos="1337"/>
              </w:tabs>
              <w:spacing w:line="360" w:lineRule="auto"/>
              <w:ind w:left="-42" w:right="-42"/>
              <w:jc w:val="center"/>
              <w:rPr>
                <w:rFonts w:ascii="宋体" w:hAnsi="宋体"/>
                <w:sz w:val="24"/>
              </w:rPr>
            </w:pPr>
          </w:p>
        </w:tc>
        <w:tc>
          <w:tcPr>
            <w:tcW w:w="3418" w:type="dxa"/>
            <w:vMerge w:val="continue"/>
            <w:vAlign w:val="center"/>
          </w:tcPr>
          <w:p>
            <w:pPr>
              <w:tabs>
                <w:tab w:val="left" w:pos="1337"/>
              </w:tabs>
              <w:spacing w:line="360" w:lineRule="auto"/>
              <w:ind w:left="-42" w:right="-42"/>
              <w:jc w:val="center"/>
              <w:rPr>
                <w:rFonts w:ascii="宋体" w:hAnsi="宋体"/>
                <w:sz w:val="24"/>
              </w:rPr>
            </w:pPr>
          </w:p>
        </w:tc>
        <w:tc>
          <w:tcPr>
            <w:tcW w:w="955" w:type="dxa"/>
            <w:vAlign w:val="center"/>
          </w:tcPr>
          <w:p>
            <w:pPr>
              <w:tabs>
                <w:tab w:val="left" w:pos="1337"/>
              </w:tabs>
              <w:spacing w:line="360" w:lineRule="auto"/>
              <w:jc w:val="center"/>
              <w:rPr>
                <w:rFonts w:ascii="宋体" w:hAnsi="宋体"/>
                <w:sz w:val="24"/>
              </w:rPr>
            </w:pPr>
            <w:r>
              <w:rPr>
                <w:rFonts w:hint="eastAsia" w:ascii="宋体" w:hAnsi="宋体"/>
                <w:sz w:val="24"/>
              </w:rPr>
              <w:t>单价</w:t>
            </w:r>
          </w:p>
        </w:tc>
        <w:tc>
          <w:tcPr>
            <w:tcW w:w="955" w:type="dxa"/>
            <w:vAlign w:val="center"/>
          </w:tcPr>
          <w:p>
            <w:pPr>
              <w:widowControl/>
              <w:spacing w:line="360" w:lineRule="auto"/>
              <w:jc w:val="center"/>
              <w:rPr>
                <w:rFonts w:ascii="宋体" w:hAnsi="宋体"/>
                <w:sz w:val="24"/>
              </w:rPr>
            </w:pPr>
            <w:r>
              <w:rPr>
                <w:rFonts w:hint="eastAsia" w:ascii="宋体" w:hAnsi="宋体"/>
                <w:sz w:val="24"/>
              </w:rPr>
              <w:t>数量</w:t>
            </w:r>
          </w:p>
        </w:tc>
        <w:tc>
          <w:tcPr>
            <w:tcW w:w="1146" w:type="dxa"/>
            <w:tcBorders>
              <w:right w:val="single" w:color="auto" w:sz="12" w:space="0"/>
            </w:tcBorders>
            <w:vAlign w:val="center"/>
          </w:tcPr>
          <w:p>
            <w:pPr>
              <w:widowControl/>
              <w:spacing w:line="360" w:lineRule="auto"/>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1</w:t>
            </w:r>
          </w:p>
        </w:tc>
        <w:tc>
          <w:tcPr>
            <w:tcW w:w="2441" w:type="dxa"/>
            <w:vAlign w:val="center"/>
          </w:tcPr>
          <w:p>
            <w:pPr>
              <w:tabs>
                <w:tab w:val="left" w:pos="1337"/>
              </w:tabs>
              <w:spacing w:line="360" w:lineRule="auto"/>
              <w:jc w:val="center"/>
              <w:rPr>
                <w:rFonts w:ascii="宋体" w:hAnsi="宋体"/>
                <w:sz w:val="24"/>
              </w:rPr>
            </w:pPr>
          </w:p>
        </w:tc>
        <w:tc>
          <w:tcPr>
            <w:tcW w:w="3418" w:type="dxa"/>
            <w:vAlign w:val="center"/>
          </w:tcPr>
          <w:p>
            <w:pPr>
              <w:tabs>
                <w:tab w:val="left" w:pos="1337"/>
              </w:tabs>
              <w:spacing w:line="360" w:lineRule="auto"/>
              <w:jc w:val="center"/>
              <w:rPr>
                <w:rFonts w:ascii="宋体" w:hAnsi="宋体"/>
                <w:sz w:val="24"/>
              </w:rPr>
            </w:pPr>
          </w:p>
        </w:tc>
        <w:tc>
          <w:tcPr>
            <w:tcW w:w="955" w:type="dxa"/>
            <w:vAlign w:val="center"/>
          </w:tcPr>
          <w:p>
            <w:pPr>
              <w:tabs>
                <w:tab w:val="left" w:pos="1337"/>
              </w:tabs>
              <w:spacing w:line="360" w:lineRule="auto"/>
              <w:jc w:val="center"/>
              <w:rPr>
                <w:rFonts w:ascii="宋体" w:hAnsi="宋体"/>
                <w:sz w:val="24"/>
              </w:rPr>
            </w:pPr>
          </w:p>
        </w:tc>
        <w:tc>
          <w:tcPr>
            <w:tcW w:w="955" w:type="dxa"/>
            <w:vAlign w:val="center"/>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2</w:t>
            </w:r>
          </w:p>
        </w:tc>
        <w:tc>
          <w:tcPr>
            <w:tcW w:w="2441" w:type="dxa"/>
            <w:vAlign w:val="center"/>
          </w:tcPr>
          <w:p>
            <w:pPr>
              <w:tabs>
                <w:tab w:val="left" w:pos="1337"/>
              </w:tabs>
              <w:spacing w:line="360" w:lineRule="auto"/>
              <w:jc w:val="center"/>
              <w:rPr>
                <w:rFonts w:ascii="宋体" w:hAnsi="宋体"/>
                <w:sz w:val="24"/>
              </w:rPr>
            </w:pPr>
          </w:p>
        </w:tc>
        <w:tc>
          <w:tcPr>
            <w:tcW w:w="3418"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3</w:t>
            </w:r>
          </w:p>
        </w:tc>
        <w:tc>
          <w:tcPr>
            <w:tcW w:w="2441" w:type="dxa"/>
            <w:vAlign w:val="center"/>
          </w:tcPr>
          <w:p>
            <w:pPr>
              <w:tabs>
                <w:tab w:val="left" w:pos="1337"/>
              </w:tabs>
              <w:spacing w:line="360" w:lineRule="auto"/>
              <w:jc w:val="center"/>
              <w:rPr>
                <w:rFonts w:ascii="宋体" w:hAnsi="宋体"/>
                <w:sz w:val="24"/>
              </w:rPr>
            </w:pPr>
          </w:p>
        </w:tc>
        <w:tc>
          <w:tcPr>
            <w:tcW w:w="3418"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4</w:t>
            </w:r>
          </w:p>
        </w:tc>
        <w:tc>
          <w:tcPr>
            <w:tcW w:w="2441" w:type="dxa"/>
            <w:vAlign w:val="center"/>
          </w:tcPr>
          <w:p>
            <w:pPr>
              <w:tabs>
                <w:tab w:val="left" w:pos="1337"/>
              </w:tabs>
              <w:spacing w:line="360" w:lineRule="auto"/>
              <w:jc w:val="center"/>
              <w:rPr>
                <w:rFonts w:ascii="宋体" w:hAnsi="宋体"/>
                <w:sz w:val="24"/>
              </w:rPr>
            </w:pPr>
          </w:p>
        </w:tc>
        <w:tc>
          <w:tcPr>
            <w:tcW w:w="3418"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5</w:t>
            </w:r>
          </w:p>
        </w:tc>
        <w:tc>
          <w:tcPr>
            <w:tcW w:w="2441" w:type="dxa"/>
            <w:vAlign w:val="center"/>
          </w:tcPr>
          <w:p>
            <w:pPr>
              <w:tabs>
                <w:tab w:val="left" w:pos="1337"/>
              </w:tabs>
              <w:spacing w:line="360" w:lineRule="auto"/>
              <w:jc w:val="center"/>
              <w:rPr>
                <w:rFonts w:ascii="宋体" w:hAnsi="宋体"/>
                <w:sz w:val="24"/>
              </w:rPr>
            </w:pPr>
            <w:r>
              <w:rPr>
                <w:rFonts w:hint="eastAsia" w:ascii="宋体" w:hAnsi="宋体"/>
                <w:sz w:val="24"/>
              </w:rPr>
              <w:t>…</w:t>
            </w:r>
          </w:p>
        </w:tc>
        <w:tc>
          <w:tcPr>
            <w:tcW w:w="3418"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955" w:type="dxa"/>
            <w:vAlign w:val="center"/>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产品费用小计</w:t>
            </w:r>
          </w:p>
        </w:tc>
        <w:tc>
          <w:tcPr>
            <w:tcW w:w="3418"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安装调试费用</w:t>
            </w:r>
          </w:p>
        </w:tc>
        <w:tc>
          <w:tcPr>
            <w:tcW w:w="3418" w:type="dxa"/>
            <w:tcBorders>
              <w:bottom w:val="single" w:color="auto" w:sz="12" w:space="0"/>
            </w:tcBorders>
          </w:tcPr>
          <w:p>
            <w:pPr>
              <w:tabs>
                <w:tab w:val="left" w:pos="1337"/>
              </w:tabs>
              <w:spacing w:line="360" w:lineRule="auto"/>
              <w:jc w:val="center"/>
              <w:rPr>
                <w:rFonts w:ascii="宋体" w:hAnsi="宋体"/>
                <w:sz w:val="24"/>
              </w:rPr>
            </w:pPr>
            <w:r>
              <w:rPr>
                <w:rFonts w:hint="eastAsia" w:ascii="宋体" w:hAnsi="宋体"/>
                <w:sz w:val="24"/>
              </w:rPr>
              <w:t>/</w:t>
            </w: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维护与技术支持费用</w:t>
            </w:r>
          </w:p>
        </w:tc>
        <w:tc>
          <w:tcPr>
            <w:tcW w:w="3418" w:type="dxa"/>
            <w:tcBorders>
              <w:bottom w:val="single" w:color="auto" w:sz="12" w:space="0"/>
            </w:tcBorders>
          </w:tcPr>
          <w:p>
            <w:pPr>
              <w:tabs>
                <w:tab w:val="left" w:pos="1337"/>
              </w:tabs>
              <w:spacing w:line="360" w:lineRule="auto"/>
              <w:jc w:val="center"/>
              <w:rPr>
                <w:rFonts w:ascii="宋体" w:hAnsi="宋体"/>
                <w:sz w:val="24"/>
              </w:rPr>
            </w:pPr>
            <w:r>
              <w:rPr>
                <w:rFonts w:hint="eastAsia" w:ascii="宋体" w:hAnsi="宋体"/>
                <w:sz w:val="24"/>
              </w:rPr>
              <w:t>/</w:t>
            </w: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培训费用</w:t>
            </w:r>
          </w:p>
        </w:tc>
        <w:tc>
          <w:tcPr>
            <w:tcW w:w="3418" w:type="dxa"/>
            <w:tcBorders>
              <w:bottom w:val="single" w:color="auto" w:sz="12" w:space="0"/>
            </w:tcBorders>
          </w:tcPr>
          <w:p>
            <w:pPr>
              <w:tabs>
                <w:tab w:val="left" w:pos="1337"/>
              </w:tabs>
              <w:spacing w:line="360" w:lineRule="auto"/>
              <w:jc w:val="center"/>
              <w:rPr>
                <w:rFonts w:ascii="宋体" w:hAnsi="宋体"/>
                <w:sz w:val="24"/>
              </w:rPr>
            </w:pPr>
            <w:r>
              <w:rPr>
                <w:rFonts w:hint="eastAsia" w:ascii="宋体" w:hAnsi="宋体"/>
                <w:sz w:val="24"/>
              </w:rPr>
              <w:t>/</w:t>
            </w: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备品备件费用</w:t>
            </w:r>
          </w:p>
        </w:tc>
        <w:tc>
          <w:tcPr>
            <w:tcW w:w="3418" w:type="dxa"/>
            <w:tcBorders>
              <w:bottom w:val="single" w:color="auto" w:sz="12" w:space="0"/>
            </w:tcBorders>
          </w:tcPr>
          <w:p>
            <w:pPr>
              <w:tabs>
                <w:tab w:val="left" w:pos="1337"/>
              </w:tabs>
              <w:spacing w:line="360" w:lineRule="auto"/>
              <w:jc w:val="center"/>
              <w:rPr>
                <w:rFonts w:ascii="宋体" w:hAnsi="宋体"/>
                <w:sz w:val="24"/>
              </w:rPr>
            </w:pPr>
            <w:r>
              <w:rPr>
                <w:rFonts w:hint="eastAsia" w:ascii="宋体" w:hAnsi="宋体"/>
                <w:sz w:val="24"/>
              </w:rPr>
              <w:t>/</w:t>
            </w: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运输与保险费用</w:t>
            </w:r>
          </w:p>
        </w:tc>
        <w:tc>
          <w:tcPr>
            <w:tcW w:w="3418" w:type="dxa"/>
            <w:tcBorders>
              <w:bottom w:val="single" w:color="auto" w:sz="12" w:space="0"/>
            </w:tcBorders>
          </w:tcPr>
          <w:p>
            <w:pPr>
              <w:tabs>
                <w:tab w:val="left" w:pos="1337"/>
              </w:tabs>
              <w:spacing w:line="360" w:lineRule="auto"/>
              <w:jc w:val="center"/>
              <w:rPr>
                <w:rFonts w:ascii="宋体" w:hAnsi="宋体"/>
                <w:sz w:val="24"/>
              </w:rPr>
            </w:pPr>
            <w:r>
              <w:rPr>
                <w:rFonts w:hint="eastAsia" w:ascii="宋体" w:hAnsi="宋体"/>
                <w:sz w:val="24"/>
              </w:rPr>
              <w:t>/</w:t>
            </w: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2186"/>
              </w:tabs>
              <w:spacing w:line="360" w:lineRule="auto"/>
              <w:jc w:val="center"/>
              <w:rPr>
                <w:rFonts w:ascii="宋体" w:hAnsi="宋体"/>
                <w:sz w:val="24"/>
              </w:rPr>
            </w:pPr>
            <w:r>
              <w:rPr>
                <w:rFonts w:hint="eastAsia" w:ascii="宋体" w:hAnsi="宋体"/>
                <w:sz w:val="24"/>
              </w:rPr>
              <w:t>其他</w:t>
            </w:r>
          </w:p>
        </w:tc>
        <w:tc>
          <w:tcPr>
            <w:tcW w:w="3418"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2186"/>
              </w:tabs>
              <w:spacing w:line="360" w:lineRule="auto"/>
              <w:jc w:val="center"/>
              <w:rPr>
                <w:rFonts w:ascii="宋体" w:hAnsi="宋体"/>
                <w:sz w:val="24"/>
              </w:rPr>
            </w:pPr>
            <w:r>
              <w:rPr>
                <w:rFonts w:hint="eastAsia" w:ascii="宋体" w:hAnsi="宋体"/>
                <w:sz w:val="24"/>
              </w:rPr>
              <w:t>合计</w:t>
            </w:r>
          </w:p>
        </w:tc>
        <w:tc>
          <w:tcPr>
            <w:tcW w:w="3418"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bl>
    <w:p>
      <w:pPr>
        <w:spacing w:line="360" w:lineRule="auto"/>
        <w:rPr>
          <w:rFonts w:ascii="宋体" w:hAnsi="宋体"/>
          <w:sz w:val="24"/>
        </w:rPr>
      </w:pPr>
      <w:r>
        <w:rPr>
          <w:rFonts w:hint="eastAsia" w:ascii="宋体" w:hAnsi="宋体"/>
          <w:sz w:val="24"/>
        </w:rPr>
        <w:t>说明：1、</w:t>
      </w:r>
      <w:r>
        <w:rPr>
          <w:rFonts w:hint="eastAsia" w:ascii="宋体" w:hAnsi="宋体"/>
          <w:bCs/>
          <w:sz w:val="24"/>
        </w:rPr>
        <w:t>投标人必须填写报价分析表，否则将导致投标被拒绝。</w:t>
      </w:r>
    </w:p>
    <w:p>
      <w:pPr>
        <w:spacing w:line="360" w:lineRule="auto"/>
        <w:ind w:left="720"/>
        <w:rPr>
          <w:rFonts w:ascii="宋体" w:hAnsi="宋体"/>
          <w:sz w:val="24"/>
        </w:rPr>
      </w:pPr>
      <w:r>
        <w:rPr>
          <w:rFonts w:hint="eastAsia" w:ascii="宋体" w:hAnsi="宋体"/>
          <w:sz w:val="24"/>
        </w:rPr>
        <w:t>2、报价分析表中合计价格应等于开标一览表中的投标报价。</w:t>
      </w:r>
    </w:p>
    <w:p>
      <w:pPr>
        <w:spacing w:line="360" w:lineRule="auto"/>
        <w:ind w:firstLine="480" w:firstLineChars="200"/>
        <w:rPr>
          <w:rFonts w:ascii="宋体" w:hAnsi="宋体"/>
          <w:sz w:val="24"/>
        </w:rPr>
      </w:pPr>
    </w:p>
    <w:p>
      <w:pPr>
        <w:spacing w:line="360" w:lineRule="auto"/>
        <w:ind w:firstLine="480" w:firstLineChars="200"/>
        <w:rPr>
          <w:sz w:val="24"/>
          <w:u w:val="single"/>
        </w:rPr>
      </w:pPr>
      <w:r>
        <w:rPr>
          <w:rFonts w:hint="eastAsia" w:ascii="宋体" w:hAnsi="宋体"/>
          <w:sz w:val="24"/>
        </w:rPr>
        <w:t>投标人盖章：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spacing w:line="360" w:lineRule="auto"/>
        <w:rPr>
          <w:rFonts w:ascii="宋体" w:hAnsi="宋体"/>
          <w:sz w:val="24"/>
        </w:rPr>
      </w:pPr>
    </w:p>
    <w:p>
      <w:pPr>
        <w:pStyle w:val="4"/>
        <w:numPr>
          <w:ilvl w:val="0"/>
          <w:numId w:val="0"/>
        </w:numPr>
        <w:ind w:left="240"/>
        <w:rPr>
          <w:rFonts w:ascii="宋体" w:hAnsi="宋体"/>
          <w:b w:val="0"/>
          <w:szCs w:val="21"/>
        </w:rPr>
      </w:pPr>
      <w:bookmarkStart w:id="82" w:name="_Toc33194730"/>
      <w:bookmarkStart w:id="83" w:name="_Toc15649"/>
      <w:bookmarkStart w:id="84" w:name="_Toc33212788"/>
      <w:r>
        <w:rPr>
          <w:rFonts w:hint="eastAsia" w:ascii="宋体" w:hAnsi="宋体"/>
          <w:b w:val="0"/>
          <w:sz w:val="24"/>
        </w:rPr>
        <w:t>三、技术部分</w:t>
      </w:r>
      <w:bookmarkEnd w:id="82"/>
      <w:bookmarkEnd w:id="83"/>
      <w:bookmarkEnd w:id="84"/>
    </w:p>
    <w:p>
      <w:pPr>
        <w:pStyle w:val="5"/>
        <w:numPr>
          <w:ilvl w:val="0"/>
          <w:numId w:val="0"/>
        </w:numPr>
        <w:rPr>
          <w:rFonts w:ascii="宋体" w:hAnsi="宋体"/>
          <w:b w:val="0"/>
          <w:sz w:val="24"/>
        </w:rPr>
      </w:pPr>
      <w:bookmarkStart w:id="85" w:name="_Toc33194731"/>
      <w:bookmarkStart w:id="86" w:name="_Toc33212789"/>
      <w:bookmarkStart w:id="87" w:name="_Toc2603"/>
      <w:r>
        <w:rPr>
          <w:rFonts w:hint="eastAsia" w:ascii="宋体" w:hAnsi="宋体"/>
          <w:b w:val="0"/>
          <w:sz w:val="24"/>
        </w:rPr>
        <w:t>（</w:t>
      </w:r>
      <w:r>
        <w:rPr>
          <w:rFonts w:hint="eastAsia" w:ascii="宋体" w:hAnsi="宋体"/>
          <w:b w:val="0"/>
          <w:sz w:val="24"/>
          <w:lang w:eastAsia="zh-CN"/>
        </w:rPr>
        <w:t>八</w:t>
      </w:r>
      <w:r>
        <w:rPr>
          <w:rFonts w:hint="eastAsia" w:ascii="宋体" w:hAnsi="宋体"/>
          <w:b w:val="0"/>
          <w:sz w:val="24"/>
        </w:rPr>
        <w:t>）投标人自行编写的技术文件</w:t>
      </w:r>
      <w:bookmarkEnd w:id="85"/>
      <w:bookmarkEnd w:id="86"/>
      <w:bookmarkEnd w:id="87"/>
    </w:p>
    <w:p>
      <w:pPr>
        <w:spacing w:line="360" w:lineRule="auto"/>
        <w:rPr>
          <w:rFonts w:ascii="宋体" w:hAnsi="宋体"/>
          <w:kern w:val="0"/>
          <w:sz w:val="24"/>
        </w:rPr>
      </w:pPr>
      <w:r>
        <w:rPr>
          <w:rFonts w:hint="eastAsia" w:ascii="宋体" w:hAnsi="宋体"/>
          <w:kern w:val="0"/>
          <w:sz w:val="24"/>
        </w:rPr>
        <w:t>&lt;1&gt;货物主要技术指标和运行性能：</w:t>
      </w:r>
    </w:p>
    <w:p>
      <w:pPr>
        <w:spacing w:line="360" w:lineRule="auto"/>
        <w:rPr>
          <w:rFonts w:ascii="宋体" w:hAnsi="宋体"/>
          <w:kern w:val="0"/>
          <w:sz w:val="24"/>
        </w:rPr>
      </w:pPr>
      <w:r>
        <w:rPr>
          <w:rFonts w:hint="eastAsia" w:ascii="宋体" w:hAnsi="宋体"/>
          <w:kern w:val="0"/>
          <w:sz w:val="24"/>
        </w:rPr>
        <w:t>①★技术明细（详细描述货物技术指标及性能，包括采用的新工艺、新技术、新材料等）；</w:t>
      </w:r>
    </w:p>
    <w:p>
      <w:pPr>
        <w:spacing w:line="360" w:lineRule="auto"/>
        <w:rPr>
          <w:rFonts w:ascii="宋体" w:hAnsi="宋体"/>
          <w:sz w:val="24"/>
        </w:rPr>
      </w:pPr>
      <w:r>
        <w:rPr>
          <w:rFonts w:hint="eastAsia" w:ascii="宋体" w:hAnsi="宋体"/>
          <w:sz w:val="24"/>
        </w:rPr>
        <w:t>注：1.</w:t>
      </w:r>
      <w:r>
        <w:rPr>
          <w:rFonts w:hint="eastAsia" w:ascii="宋体" w:hAnsi="宋体"/>
          <w:bCs/>
          <w:sz w:val="24"/>
        </w:rPr>
        <w:t>投标人必须提报技术明细。如果所报内容无法满足招标文件中提出的要求或者与投标人在技术文件中提供的内容不一致，投标有可能被拒绝。</w:t>
      </w:r>
    </w:p>
    <w:p>
      <w:pPr>
        <w:spacing w:line="360" w:lineRule="auto"/>
        <w:ind w:firstLine="422" w:firstLineChars="176"/>
        <w:rPr>
          <w:rFonts w:ascii="宋体" w:hAnsi="宋体"/>
          <w:bCs/>
          <w:sz w:val="24"/>
        </w:rPr>
      </w:pPr>
      <w:r>
        <w:rPr>
          <w:rFonts w:hint="eastAsia" w:ascii="宋体" w:hAnsi="宋体"/>
          <w:bCs/>
          <w:sz w:val="24"/>
        </w:rPr>
        <w:t>2.技术规格不得完全复制招标文件内容，否则按无效投标处理。</w:t>
      </w:r>
    </w:p>
    <w:p>
      <w:pPr>
        <w:pStyle w:val="14"/>
        <w:spacing w:before="0" w:after="0" w:line="360" w:lineRule="auto"/>
        <w:ind w:right="960"/>
        <w:rPr>
          <w:rFonts w:eastAsia="宋体"/>
          <w:sz w:val="24"/>
          <w:szCs w:val="24"/>
        </w:rPr>
      </w:pPr>
    </w:p>
    <w:p>
      <w:pPr>
        <w:pStyle w:val="19"/>
        <w:spacing w:line="360" w:lineRule="auto"/>
        <w:ind w:left="0" w:leftChars="0" w:firstLine="0" w:firstLineChars="0"/>
      </w:pPr>
    </w:p>
    <w:p>
      <w:pPr>
        <w:spacing w:line="360" w:lineRule="auto"/>
        <w:rPr>
          <w:rFonts w:ascii="宋体" w:hAnsi="宋体"/>
          <w:kern w:val="0"/>
          <w:sz w:val="24"/>
        </w:rPr>
      </w:pPr>
      <w:r>
        <w:rPr>
          <w:rFonts w:hint="eastAsia" w:ascii="宋体" w:hAnsi="宋体"/>
          <w:kern w:val="0"/>
          <w:sz w:val="24"/>
        </w:rPr>
        <w:t>附：参考格式</w:t>
      </w:r>
    </w:p>
    <w:p>
      <w:pPr>
        <w:pStyle w:val="19"/>
        <w:spacing w:line="360" w:lineRule="auto"/>
        <w:ind w:left="0" w:leftChars="0" w:firstLine="0" w:firstLineChars="0"/>
      </w:pPr>
      <w:r>
        <w:rPr>
          <w:rFonts w:hint="eastAsia"/>
        </w:rPr>
        <w:t>项目编号、包号：</w:t>
      </w:r>
      <w:r>
        <w:rPr>
          <w:rFonts w:hint="eastAsia"/>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852"/>
        <w:gridCol w:w="1843"/>
        <w:gridCol w:w="3796"/>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项</w:t>
            </w:r>
          </w:p>
        </w:tc>
        <w:tc>
          <w:tcPr>
            <w:tcW w:w="1852" w:type="dxa"/>
            <w:tcBorders>
              <w:top w:val="single" w:color="auto" w:sz="12" w:space="0"/>
              <w:bottom w:val="single" w:color="auto" w:sz="4"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1</w:t>
            </w:r>
          </w:p>
        </w:tc>
        <w:tc>
          <w:tcPr>
            <w:tcW w:w="1843" w:type="dxa"/>
            <w:tcBorders>
              <w:top w:val="single" w:color="auto" w:sz="12" w:space="0"/>
              <w:bottom w:val="single" w:color="auto" w:sz="4" w:space="0"/>
            </w:tcBorders>
          </w:tcPr>
          <w:p>
            <w:pPr>
              <w:tabs>
                <w:tab w:val="left" w:pos="1337"/>
              </w:tabs>
              <w:spacing w:line="360" w:lineRule="auto"/>
              <w:ind w:right="-42"/>
              <w:jc w:val="center"/>
              <w:rPr>
                <w:rFonts w:ascii="宋体" w:hAnsi="宋体"/>
                <w:sz w:val="24"/>
              </w:rPr>
            </w:pPr>
            <w:r>
              <w:rPr>
                <w:rFonts w:hint="eastAsia" w:ascii="宋体" w:hAnsi="宋体"/>
                <w:sz w:val="24"/>
              </w:rPr>
              <w:t>2</w:t>
            </w:r>
          </w:p>
        </w:tc>
        <w:tc>
          <w:tcPr>
            <w:tcW w:w="3796" w:type="dxa"/>
            <w:tcBorders>
              <w:top w:val="single" w:color="auto" w:sz="12" w:space="0"/>
              <w:bottom w:val="single" w:color="auto" w:sz="4" w:space="0"/>
            </w:tcBorders>
            <w:vAlign w:val="center"/>
          </w:tcPr>
          <w:p>
            <w:pPr>
              <w:tabs>
                <w:tab w:val="left" w:pos="1337"/>
              </w:tabs>
              <w:spacing w:line="360" w:lineRule="auto"/>
              <w:ind w:right="-42"/>
              <w:jc w:val="center"/>
              <w:rPr>
                <w:rFonts w:ascii="宋体" w:hAnsi="宋体"/>
                <w:sz w:val="24"/>
              </w:rPr>
            </w:pPr>
            <w:r>
              <w:rPr>
                <w:rFonts w:hint="eastAsia" w:ascii="宋体" w:hAnsi="宋体"/>
                <w:sz w:val="24"/>
              </w:rPr>
              <w:t>3</w:t>
            </w:r>
          </w:p>
        </w:tc>
        <w:tc>
          <w:tcPr>
            <w:tcW w:w="1024" w:type="dxa"/>
            <w:tcBorders>
              <w:top w:val="single" w:color="auto" w:sz="12" w:space="0"/>
              <w:bottom w:val="single" w:color="auto" w:sz="4" w:space="0"/>
              <w:right w:val="single" w:color="auto" w:sz="12"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序</w:t>
            </w:r>
          </w:p>
          <w:p>
            <w:pPr>
              <w:tabs>
                <w:tab w:val="left" w:pos="1337"/>
              </w:tabs>
              <w:spacing w:line="360" w:lineRule="auto"/>
              <w:ind w:left="-42" w:right="-42"/>
              <w:jc w:val="center"/>
              <w:rPr>
                <w:rFonts w:ascii="宋体" w:hAnsi="宋体"/>
                <w:sz w:val="24"/>
              </w:rPr>
            </w:pPr>
            <w:r>
              <w:rPr>
                <w:rFonts w:hint="eastAsia" w:ascii="宋体" w:hAnsi="宋体"/>
                <w:sz w:val="24"/>
              </w:rPr>
              <w:t>号</w:t>
            </w:r>
          </w:p>
        </w:tc>
        <w:tc>
          <w:tcPr>
            <w:tcW w:w="1852" w:type="dxa"/>
            <w:vAlign w:val="center"/>
          </w:tcPr>
          <w:p>
            <w:pPr>
              <w:tabs>
                <w:tab w:val="left" w:pos="1337"/>
              </w:tabs>
              <w:spacing w:line="360" w:lineRule="auto"/>
              <w:jc w:val="center"/>
              <w:rPr>
                <w:rFonts w:ascii="宋体" w:hAnsi="宋体"/>
                <w:sz w:val="24"/>
              </w:rPr>
            </w:pPr>
            <w:r>
              <w:rPr>
                <w:rFonts w:hint="eastAsia" w:ascii="宋体" w:hAnsi="宋体"/>
                <w:sz w:val="24"/>
              </w:rPr>
              <w:t>产品名称</w:t>
            </w:r>
          </w:p>
        </w:tc>
        <w:tc>
          <w:tcPr>
            <w:tcW w:w="1843" w:type="dxa"/>
            <w:vAlign w:val="center"/>
          </w:tcPr>
          <w:p>
            <w:pPr>
              <w:tabs>
                <w:tab w:val="left" w:pos="1337"/>
              </w:tabs>
              <w:spacing w:line="360" w:lineRule="auto"/>
              <w:ind w:left="-42" w:right="-42"/>
              <w:jc w:val="center"/>
              <w:rPr>
                <w:rFonts w:ascii="宋体" w:hAnsi="宋体"/>
                <w:sz w:val="24"/>
              </w:rPr>
            </w:pPr>
            <w:r>
              <w:rPr>
                <w:rFonts w:hint="eastAsia" w:ascii="宋体" w:hAnsi="宋体"/>
                <w:sz w:val="24"/>
              </w:rPr>
              <w:t>品牌、型号</w:t>
            </w:r>
          </w:p>
        </w:tc>
        <w:tc>
          <w:tcPr>
            <w:tcW w:w="3796" w:type="dxa"/>
            <w:vAlign w:val="center"/>
          </w:tcPr>
          <w:p>
            <w:pPr>
              <w:tabs>
                <w:tab w:val="left" w:pos="1337"/>
              </w:tabs>
              <w:spacing w:line="360" w:lineRule="auto"/>
              <w:ind w:left="-42" w:right="-42"/>
              <w:jc w:val="center"/>
              <w:rPr>
                <w:rFonts w:ascii="宋体" w:hAnsi="宋体"/>
                <w:sz w:val="24"/>
              </w:rPr>
            </w:pPr>
            <w:r>
              <w:rPr>
                <w:rFonts w:hint="eastAsia" w:ascii="宋体" w:hAnsi="宋体"/>
                <w:sz w:val="24"/>
              </w:rPr>
              <w:t>技术规格</w:t>
            </w:r>
          </w:p>
        </w:tc>
        <w:tc>
          <w:tcPr>
            <w:tcW w:w="1024" w:type="dxa"/>
            <w:tcBorders>
              <w:right w:val="single" w:color="auto" w:sz="12" w:space="0"/>
            </w:tcBorders>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1</w:t>
            </w:r>
          </w:p>
        </w:tc>
        <w:tc>
          <w:tcPr>
            <w:tcW w:w="1852" w:type="dxa"/>
            <w:vAlign w:val="center"/>
          </w:tcPr>
          <w:p>
            <w:pPr>
              <w:tabs>
                <w:tab w:val="left" w:pos="1337"/>
              </w:tabs>
              <w:spacing w:line="360" w:lineRule="auto"/>
              <w:jc w:val="center"/>
              <w:rPr>
                <w:rFonts w:ascii="宋体" w:hAnsi="宋体"/>
                <w:sz w:val="24"/>
              </w:rPr>
            </w:pPr>
          </w:p>
        </w:tc>
        <w:tc>
          <w:tcPr>
            <w:tcW w:w="1843" w:type="dxa"/>
          </w:tcPr>
          <w:p>
            <w:pPr>
              <w:tabs>
                <w:tab w:val="left" w:pos="1337"/>
              </w:tabs>
              <w:spacing w:line="360" w:lineRule="auto"/>
              <w:jc w:val="center"/>
              <w:rPr>
                <w:rFonts w:ascii="宋体" w:hAnsi="宋体"/>
                <w:sz w:val="24"/>
              </w:rPr>
            </w:pPr>
          </w:p>
        </w:tc>
        <w:tc>
          <w:tcPr>
            <w:tcW w:w="3796" w:type="dxa"/>
            <w:vAlign w:val="center"/>
          </w:tcPr>
          <w:p>
            <w:pPr>
              <w:tabs>
                <w:tab w:val="left" w:pos="1337"/>
              </w:tabs>
              <w:spacing w:line="360" w:lineRule="auto"/>
              <w:jc w:val="center"/>
              <w:rPr>
                <w:rFonts w:ascii="宋体" w:hAnsi="宋体"/>
                <w:sz w:val="24"/>
              </w:rPr>
            </w:pPr>
          </w:p>
        </w:tc>
        <w:tc>
          <w:tcPr>
            <w:tcW w:w="1024"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2</w:t>
            </w:r>
          </w:p>
        </w:tc>
        <w:tc>
          <w:tcPr>
            <w:tcW w:w="1852" w:type="dxa"/>
            <w:vAlign w:val="center"/>
          </w:tcPr>
          <w:p>
            <w:pPr>
              <w:tabs>
                <w:tab w:val="left" w:pos="1337"/>
              </w:tabs>
              <w:spacing w:line="360" w:lineRule="auto"/>
              <w:jc w:val="center"/>
              <w:rPr>
                <w:rFonts w:ascii="宋体" w:hAnsi="宋体"/>
                <w:sz w:val="24"/>
              </w:rPr>
            </w:pPr>
          </w:p>
        </w:tc>
        <w:tc>
          <w:tcPr>
            <w:tcW w:w="1843" w:type="dxa"/>
          </w:tcPr>
          <w:p>
            <w:pPr>
              <w:tabs>
                <w:tab w:val="left" w:pos="1337"/>
              </w:tabs>
              <w:spacing w:line="360" w:lineRule="auto"/>
              <w:jc w:val="center"/>
              <w:rPr>
                <w:rFonts w:ascii="宋体" w:hAnsi="宋体"/>
                <w:sz w:val="24"/>
              </w:rPr>
            </w:pPr>
          </w:p>
        </w:tc>
        <w:tc>
          <w:tcPr>
            <w:tcW w:w="3796" w:type="dxa"/>
          </w:tcPr>
          <w:p>
            <w:pPr>
              <w:tabs>
                <w:tab w:val="left" w:pos="1337"/>
              </w:tabs>
              <w:spacing w:line="360" w:lineRule="auto"/>
              <w:jc w:val="center"/>
              <w:rPr>
                <w:rFonts w:ascii="宋体" w:hAnsi="宋体"/>
                <w:sz w:val="24"/>
              </w:rPr>
            </w:pPr>
          </w:p>
        </w:tc>
        <w:tc>
          <w:tcPr>
            <w:tcW w:w="1024" w:type="dxa"/>
            <w:tcBorders>
              <w:right w:val="single" w:color="auto" w:sz="12" w:space="0"/>
            </w:tcBorders>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3</w:t>
            </w:r>
          </w:p>
        </w:tc>
        <w:tc>
          <w:tcPr>
            <w:tcW w:w="1852" w:type="dxa"/>
            <w:vAlign w:val="center"/>
          </w:tcPr>
          <w:p>
            <w:pPr>
              <w:tabs>
                <w:tab w:val="left" w:pos="1337"/>
              </w:tabs>
              <w:spacing w:line="360" w:lineRule="auto"/>
              <w:jc w:val="center"/>
              <w:rPr>
                <w:rFonts w:ascii="宋体" w:hAnsi="宋体"/>
                <w:sz w:val="24"/>
              </w:rPr>
            </w:pPr>
          </w:p>
        </w:tc>
        <w:tc>
          <w:tcPr>
            <w:tcW w:w="1843" w:type="dxa"/>
          </w:tcPr>
          <w:p>
            <w:pPr>
              <w:tabs>
                <w:tab w:val="left" w:pos="1337"/>
              </w:tabs>
              <w:spacing w:line="360" w:lineRule="auto"/>
              <w:jc w:val="center"/>
              <w:rPr>
                <w:rFonts w:ascii="宋体" w:hAnsi="宋体"/>
                <w:sz w:val="24"/>
              </w:rPr>
            </w:pPr>
          </w:p>
        </w:tc>
        <w:tc>
          <w:tcPr>
            <w:tcW w:w="3796" w:type="dxa"/>
          </w:tcPr>
          <w:p>
            <w:pPr>
              <w:tabs>
                <w:tab w:val="left" w:pos="1337"/>
              </w:tabs>
              <w:spacing w:line="360" w:lineRule="auto"/>
              <w:jc w:val="center"/>
              <w:rPr>
                <w:rFonts w:ascii="宋体" w:hAnsi="宋体"/>
                <w:sz w:val="24"/>
              </w:rPr>
            </w:pPr>
          </w:p>
        </w:tc>
        <w:tc>
          <w:tcPr>
            <w:tcW w:w="1024" w:type="dxa"/>
            <w:tcBorders>
              <w:right w:val="single" w:color="auto" w:sz="12" w:space="0"/>
            </w:tcBorders>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4</w:t>
            </w:r>
          </w:p>
        </w:tc>
        <w:tc>
          <w:tcPr>
            <w:tcW w:w="1852" w:type="dxa"/>
            <w:vAlign w:val="center"/>
          </w:tcPr>
          <w:p>
            <w:pPr>
              <w:tabs>
                <w:tab w:val="left" w:pos="1337"/>
              </w:tabs>
              <w:spacing w:line="360" w:lineRule="auto"/>
              <w:jc w:val="center"/>
              <w:rPr>
                <w:rFonts w:ascii="宋体" w:hAnsi="宋体"/>
                <w:sz w:val="24"/>
              </w:rPr>
            </w:pPr>
          </w:p>
        </w:tc>
        <w:tc>
          <w:tcPr>
            <w:tcW w:w="1843" w:type="dxa"/>
          </w:tcPr>
          <w:p>
            <w:pPr>
              <w:tabs>
                <w:tab w:val="left" w:pos="1337"/>
              </w:tabs>
              <w:spacing w:line="360" w:lineRule="auto"/>
              <w:jc w:val="center"/>
              <w:rPr>
                <w:rFonts w:ascii="宋体" w:hAnsi="宋体"/>
                <w:sz w:val="24"/>
              </w:rPr>
            </w:pPr>
          </w:p>
        </w:tc>
        <w:tc>
          <w:tcPr>
            <w:tcW w:w="3796" w:type="dxa"/>
          </w:tcPr>
          <w:p>
            <w:pPr>
              <w:tabs>
                <w:tab w:val="left" w:pos="1337"/>
              </w:tabs>
              <w:spacing w:line="360" w:lineRule="auto"/>
              <w:jc w:val="center"/>
              <w:rPr>
                <w:rFonts w:ascii="宋体" w:hAnsi="宋体"/>
                <w:sz w:val="24"/>
              </w:rPr>
            </w:pPr>
          </w:p>
        </w:tc>
        <w:tc>
          <w:tcPr>
            <w:tcW w:w="1024" w:type="dxa"/>
            <w:tcBorders>
              <w:right w:val="single" w:color="auto" w:sz="12" w:space="0"/>
            </w:tcBorders>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5</w:t>
            </w:r>
          </w:p>
        </w:tc>
        <w:tc>
          <w:tcPr>
            <w:tcW w:w="1852" w:type="dxa"/>
            <w:vAlign w:val="center"/>
          </w:tcPr>
          <w:p>
            <w:pPr>
              <w:tabs>
                <w:tab w:val="left" w:pos="1337"/>
              </w:tabs>
              <w:spacing w:line="360" w:lineRule="auto"/>
              <w:jc w:val="center"/>
              <w:rPr>
                <w:rFonts w:ascii="宋体" w:hAnsi="宋体"/>
                <w:sz w:val="24"/>
              </w:rPr>
            </w:pPr>
          </w:p>
        </w:tc>
        <w:tc>
          <w:tcPr>
            <w:tcW w:w="1843" w:type="dxa"/>
          </w:tcPr>
          <w:p>
            <w:pPr>
              <w:tabs>
                <w:tab w:val="left" w:pos="1337"/>
              </w:tabs>
              <w:spacing w:line="360" w:lineRule="auto"/>
              <w:jc w:val="center"/>
              <w:rPr>
                <w:rFonts w:ascii="宋体" w:hAnsi="宋体"/>
                <w:sz w:val="24"/>
              </w:rPr>
            </w:pPr>
          </w:p>
        </w:tc>
        <w:tc>
          <w:tcPr>
            <w:tcW w:w="3796" w:type="dxa"/>
          </w:tcPr>
          <w:p>
            <w:pPr>
              <w:tabs>
                <w:tab w:val="left" w:pos="1337"/>
              </w:tabs>
              <w:spacing w:line="360" w:lineRule="auto"/>
              <w:jc w:val="center"/>
              <w:rPr>
                <w:rFonts w:ascii="宋体" w:hAnsi="宋体"/>
                <w:sz w:val="24"/>
              </w:rPr>
            </w:pPr>
          </w:p>
        </w:tc>
        <w:tc>
          <w:tcPr>
            <w:tcW w:w="1024" w:type="dxa"/>
            <w:tcBorders>
              <w:right w:val="single" w:color="auto" w:sz="12" w:space="0"/>
            </w:tcBorders>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6</w:t>
            </w:r>
          </w:p>
        </w:tc>
        <w:tc>
          <w:tcPr>
            <w:tcW w:w="1852"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w:t>
            </w:r>
          </w:p>
        </w:tc>
        <w:tc>
          <w:tcPr>
            <w:tcW w:w="1843" w:type="dxa"/>
            <w:tcBorders>
              <w:bottom w:val="single" w:color="auto" w:sz="12" w:space="0"/>
            </w:tcBorders>
          </w:tcPr>
          <w:p>
            <w:pPr>
              <w:tabs>
                <w:tab w:val="left" w:pos="1337"/>
              </w:tabs>
              <w:spacing w:line="360" w:lineRule="auto"/>
              <w:jc w:val="center"/>
              <w:rPr>
                <w:rFonts w:ascii="宋体" w:hAnsi="宋体"/>
                <w:sz w:val="24"/>
              </w:rPr>
            </w:pPr>
          </w:p>
        </w:tc>
        <w:tc>
          <w:tcPr>
            <w:tcW w:w="3796" w:type="dxa"/>
            <w:tcBorders>
              <w:bottom w:val="single" w:color="auto" w:sz="12" w:space="0"/>
            </w:tcBorders>
          </w:tcPr>
          <w:p>
            <w:pPr>
              <w:tabs>
                <w:tab w:val="left" w:pos="1337"/>
              </w:tabs>
              <w:spacing w:line="360" w:lineRule="auto"/>
              <w:jc w:val="center"/>
              <w:rPr>
                <w:rFonts w:ascii="宋体" w:hAnsi="宋体"/>
                <w:sz w:val="24"/>
              </w:rPr>
            </w:pPr>
          </w:p>
        </w:tc>
        <w:tc>
          <w:tcPr>
            <w:tcW w:w="1024" w:type="dxa"/>
            <w:tcBorders>
              <w:bottom w:val="single" w:color="auto" w:sz="12" w:space="0"/>
              <w:right w:val="single" w:color="auto" w:sz="12" w:space="0"/>
            </w:tcBorders>
          </w:tcPr>
          <w:p>
            <w:pPr>
              <w:tabs>
                <w:tab w:val="left" w:pos="1337"/>
              </w:tabs>
              <w:spacing w:line="360" w:lineRule="auto"/>
              <w:jc w:val="cente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kern w:val="0"/>
          <w:sz w:val="24"/>
        </w:rPr>
      </w:pPr>
      <w:r>
        <w:rPr>
          <w:rFonts w:ascii="宋体" w:hAnsi="宋体"/>
          <w:kern w:val="0"/>
          <w:sz w:val="24"/>
        </w:rPr>
        <w:br w:type="page"/>
      </w:r>
      <w:r>
        <w:rPr>
          <w:rFonts w:hint="eastAsia" w:ascii="宋体" w:hAnsi="宋体"/>
          <w:kern w:val="0"/>
          <w:sz w:val="24"/>
        </w:rPr>
        <w:t>②同货物型号一致的产品手册、彩页、说明书等技术文件（包括但不限于招标文件中要求提供的</w:t>
      </w:r>
      <w:r>
        <w:rPr>
          <w:rFonts w:hint="eastAsia"/>
          <w:sz w:val="24"/>
          <w:szCs w:val="27"/>
        </w:rPr>
        <w:t>投标产品样本、使用保养说明书、图纸以及产品检测报告和认定证书等技术资料）</w:t>
      </w:r>
      <w:r>
        <w:rPr>
          <w:rFonts w:hint="eastAsia" w:ascii="宋体" w:hAnsi="宋体"/>
          <w:kern w:val="0"/>
          <w:sz w:val="24"/>
        </w:rPr>
        <w:t>；</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③货物技术规范偏离表；</w:t>
      </w:r>
    </w:p>
    <w:p>
      <w:pPr>
        <w:spacing w:line="360" w:lineRule="auto"/>
        <w:rPr>
          <w:rFonts w:ascii="宋体" w:hAnsi="宋体"/>
          <w:kern w:val="0"/>
          <w:sz w:val="24"/>
        </w:rPr>
      </w:pPr>
      <w:r>
        <w:rPr>
          <w:rFonts w:hint="eastAsia"/>
          <w:sz w:val="24"/>
        </w:rPr>
        <w:t>项目编号、包号：</w:t>
      </w:r>
      <w:r>
        <w:rPr>
          <w:rFonts w:hint="eastAsia"/>
          <w:sz w:val="24"/>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序号</w:t>
            </w:r>
          </w:p>
        </w:tc>
        <w:tc>
          <w:tcPr>
            <w:tcW w:w="2101"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货物名称及编号</w:t>
            </w:r>
          </w:p>
        </w:tc>
        <w:tc>
          <w:tcPr>
            <w:tcW w:w="1021"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数量</w:t>
            </w:r>
          </w:p>
        </w:tc>
        <w:tc>
          <w:tcPr>
            <w:tcW w:w="1707"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招标文件技术规范、要求</w:t>
            </w:r>
          </w:p>
        </w:tc>
        <w:tc>
          <w:tcPr>
            <w:tcW w:w="1337"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投标文件对应规范</w:t>
            </w:r>
          </w:p>
        </w:tc>
        <w:tc>
          <w:tcPr>
            <w:tcW w:w="1337"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偏差</w:t>
            </w:r>
          </w:p>
        </w:tc>
        <w:tc>
          <w:tcPr>
            <w:tcW w:w="977" w:type="dxa"/>
            <w:tcBorders>
              <w:top w:val="single" w:color="auto" w:sz="12" w:space="0"/>
              <w:right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tabs>
                <w:tab w:val="left" w:pos="1337"/>
              </w:tabs>
              <w:spacing w:line="360" w:lineRule="auto"/>
              <w:jc w:val="center"/>
              <w:rPr>
                <w:sz w:val="24"/>
              </w:rPr>
            </w:pPr>
          </w:p>
        </w:tc>
        <w:tc>
          <w:tcPr>
            <w:tcW w:w="2101" w:type="dxa"/>
            <w:vAlign w:val="center"/>
          </w:tcPr>
          <w:p>
            <w:pPr>
              <w:tabs>
                <w:tab w:val="left" w:pos="1337"/>
              </w:tabs>
              <w:spacing w:line="360" w:lineRule="auto"/>
              <w:jc w:val="center"/>
              <w:rPr>
                <w:sz w:val="24"/>
              </w:rPr>
            </w:pPr>
          </w:p>
        </w:tc>
        <w:tc>
          <w:tcPr>
            <w:tcW w:w="1021" w:type="dxa"/>
            <w:vAlign w:val="center"/>
          </w:tcPr>
          <w:p>
            <w:pPr>
              <w:tabs>
                <w:tab w:val="left" w:pos="1337"/>
              </w:tabs>
              <w:spacing w:line="360" w:lineRule="auto"/>
              <w:jc w:val="center"/>
              <w:rPr>
                <w:sz w:val="24"/>
              </w:rPr>
            </w:pPr>
          </w:p>
        </w:tc>
        <w:tc>
          <w:tcPr>
            <w:tcW w:w="170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977" w:type="dxa"/>
            <w:tcBorders>
              <w:right w:val="single" w:color="auto" w:sz="12" w:space="0"/>
            </w:tcBorders>
            <w:vAlign w:val="center"/>
          </w:tcPr>
          <w:p>
            <w:pPr>
              <w:tabs>
                <w:tab w:val="left" w:pos="133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tabs>
                <w:tab w:val="left" w:pos="1337"/>
              </w:tabs>
              <w:spacing w:line="360" w:lineRule="auto"/>
              <w:jc w:val="center"/>
              <w:rPr>
                <w:sz w:val="24"/>
              </w:rPr>
            </w:pPr>
          </w:p>
        </w:tc>
        <w:tc>
          <w:tcPr>
            <w:tcW w:w="2101" w:type="dxa"/>
            <w:vAlign w:val="center"/>
          </w:tcPr>
          <w:p>
            <w:pPr>
              <w:tabs>
                <w:tab w:val="left" w:pos="1337"/>
              </w:tabs>
              <w:spacing w:line="360" w:lineRule="auto"/>
              <w:jc w:val="center"/>
              <w:rPr>
                <w:sz w:val="24"/>
              </w:rPr>
            </w:pPr>
          </w:p>
        </w:tc>
        <w:tc>
          <w:tcPr>
            <w:tcW w:w="1021" w:type="dxa"/>
            <w:vAlign w:val="center"/>
          </w:tcPr>
          <w:p>
            <w:pPr>
              <w:tabs>
                <w:tab w:val="left" w:pos="1337"/>
              </w:tabs>
              <w:spacing w:line="360" w:lineRule="auto"/>
              <w:jc w:val="center"/>
              <w:rPr>
                <w:sz w:val="24"/>
              </w:rPr>
            </w:pPr>
          </w:p>
        </w:tc>
        <w:tc>
          <w:tcPr>
            <w:tcW w:w="170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977" w:type="dxa"/>
            <w:tcBorders>
              <w:right w:val="single" w:color="auto" w:sz="12" w:space="0"/>
            </w:tcBorders>
            <w:vAlign w:val="center"/>
          </w:tcPr>
          <w:p>
            <w:pPr>
              <w:tabs>
                <w:tab w:val="left" w:pos="133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tabs>
                <w:tab w:val="left" w:pos="1337"/>
              </w:tabs>
              <w:spacing w:line="360" w:lineRule="auto"/>
              <w:jc w:val="center"/>
              <w:rPr>
                <w:sz w:val="24"/>
              </w:rPr>
            </w:pPr>
          </w:p>
        </w:tc>
        <w:tc>
          <w:tcPr>
            <w:tcW w:w="2101" w:type="dxa"/>
            <w:vAlign w:val="center"/>
          </w:tcPr>
          <w:p>
            <w:pPr>
              <w:tabs>
                <w:tab w:val="left" w:pos="1337"/>
              </w:tabs>
              <w:spacing w:line="360" w:lineRule="auto"/>
              <w:jc w:val="center"/>
              <w:rPr>
                <w:sz w:val="24"/>
              </w:rPr>
            </w:pPr>
          </w:p>
        </w:tc>
        <w:tc>
          <w:tcPr>
            <w:tcW w:w="1021" w:type="dxa"/>
            <w:vAlign w:val="center"/>
          </w:tcPr>
          <w:p>
            <w:pPr>
              <w:tabs>
                <w:tab w:val="left" w:pos="1337"/>
              </w:tabs>
              <w:spacing w:line="360" w:lineRule="auto"/>
              <w:jc w:val="center"/>
              <w:rPr>
                <w:sz w:val="24"/>
              </w:rPr>
            </w:pPr>
          </w:p>
        </w:tc>
        <w:tc>
          <w:tcPr>
            <w:tcW w:w="170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977" w:type="dxa"/>
            <w:tcBorders>
              <w:right w:val="single" w:color="auto" w:sz="12" w:space="0"/>
            </w:tcBorders>
            <w:vAlign w:val="center"/>
          </w:tcPr>
          <w:p>
            <w:pPr>
              <w:tabs>
                <w:tab w:val="left" w:pos="133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vAlign w:val="center"/>
          </w:tcPr>
          <w:p>
            <w:pPr>
              <w:tabs>
                <w:tab w:val="left" w:pos="1337"/>
              </w:tabs>
              <w:spacing w:line="360" w:lineRule="auto"/>
              <w:jc w:val="center"/>
              <w:rPr>
                <w:sz w:val="24"/>
              </w:rPr>
            </w:pPr>
          </w:p>
        </w:tc>
        <w:tc>
          <w:tcPr>
            <w:tcW w:w="2101" w:type="dxa"/>
            <w:tcBorders>
              <w:bottom w:val="single" w:color="auto" w:sz="12" w:space="0"/>
            </w:tcBorders>
            <w:vAlign w:val="center"/>
          </w:tcPr>
          <w:p>
            <w:pPr>
              <w:tabs>
                <w:tab w:val="left" w:pos="1337"/>
              </w:tabs>
              <w:spacing w:line="360" w:lineRule="auto"/>
              <w:jc w:val="center"/>
              <w:rPr>
                <w:sz w:val="24"/>
              </w:rPr>
            </w:pPr>
          </w:p>
        </w:tc>
        <w:tc>
          <w:tcPr>
            <w:tcW w:w="1021" w:type="dxa"/>
            <w:tcBorders>
              <w:bottom w:val="single" w:color="auto" w:sz="12" w:space="0"/>
            </w:tcBorders>
            <w:vAlign w:val="center"/>
          </w:tcPr>
          <w:p>
            <w:pPr>
              <w:tabs>
                <w:tab w:val="left" w:pos="1337"/>
              </w:tabs>
              <w:spacing w:line="360" w:lineRule="auto"/>
              <w:jc w:val="center"/>
              <w:rPr>
                <w:sz w:val="24"/>
              </w:rPr>
            </w:pPr>
          </w:p>
        </w:tc>
        <w:tc>
          <w:tcPr>
            <w:tcW w:w="1707" w:type="dxa"/>
            <w:tcBorders>
              <w:bottom w:val="single" w:color="auto" w:sz="12" w:space="0"/>
            </w:tcBorders>
            <w:vAlign w:val="center"/>
          </w:tcPr>
          <w:p>
            <w:pPr>
              <w:tabs>
                <w:tab w:val="left" w:pos="1337"/>
              </w:tabs>
              <w:spacing w:line="360" w:lineRule="auto"/>
              <w:jc w:val="center"/>
              <w:rPr>
                <w:sz w:val="24"/>
              </w:rPr>
            </w:pPr>
          </w:p>
        </w:tc>
        <w:tc>
          <w:tcPr>
            <w:tcW w:w="1337" w:type="dxa"/>
            <w:tcBorders>
              <w:bottom w:val="single" w:color="auto" w:sz="12" w:space="0"/>
            </w:tcBorders>
            <w:vAlign w:val="center"/>
          </w:tcPr>
          <w:p>
            <w:pPr>
              <w:tabs>
                <w:tab w:val="left" w:pos="1337"/>
              </w:tabs>
              <w:spacing w:line="360" w:lineRule="auto"/>
              <w:jc w:val="center"/>
              <w:rPr>
                <w:sz w:val="24"/>
              </w:rPr>
            </w:pPr>
          </w:p>
        </w:tc>
        <w:tc>
          <w:tcPr>
            <w:tcW w:w="1337" w:type="dxa"/>
            <w:tcBorders>
              <w:bottom w:val="single" w:color="auto" w:sz="12" w:space="0"/>
            </w:tcBorders>
            <w:vAlign w:val="center"/>
          </w:tcPr>
          <w:p>
            <w:pPr>
              <w:tabs>
                <w:tab w:val="left" w:pos="1337"/>
              </w:tabs>
              <w:spacing w:line="360" w:lineRule="auto"/>
              <w:jc w:val="center"/>
              <w:rPr>
                <w:sz w:val="24"/>
              </w:rPr>
            </w:pPr>
          </w:p>
        </w:tc>
        <w:tc>
          <w:tcPr>
            <w:tcW w:w="977" w:type="dxa"/>
            <w:tcBorders>
              <w:bottom w:val="single" w:color="auto" w:sz="12" w:space="0"/>
              <w:right w:val="single" w:color="auto" w:sz="12" w:space="0"/>
            </w:tcBorders>
            <w:vAlign w:val="center"/>
          </w:tcPr>
          <w:p>
            <w:pPr>
              <w:tabs>
                <w:tab w:val="left" w:pos="1337"/>
              </w:tabs>
              <w:spacing w:line="360" w:lineRule="auto"/>
              <w:jc w:val="center"/>
              <w:rPr>
                <w:sz w:val="24"/>
              </w:rPr>
            </w:pPr>
          </w:p>
        </w:tc>
      </w:tr>
    </w:tbl>
    <w:p>
      <w:pPr>
        <w:spacing w:line="360" w:lineRule="auto"/>
        <w:ind w:left="2"/>
        <w:rPr>
          <w:rFonts w:ascii="宋体" w:hAnsi="宋体"/>
          <w:sz w:val="24"/>
        </w:rPr>
      </w:pPr>
      <w:r>
        <w:rPr>
          <w:rFonts w:hint="eastAsia" w:ascii="宋体" w:hAnsi="宋体"/>
          <w:sz w:val="24"/>
        </w:rPr>
        <w:t>说明：如投标人提交的货物技术规范与招标文件的要求存在偏离，需逐项填写《货物技术规范偏离表》。</w:t>
      </w:r>
    </w:p>
    <w:p>
      <w:pPr>
        <w:spacing w:line="360" w:lineRule="auto"/>
        <w:ind w:left="2"/>
        <w:rPr>
          <w:rFonts w:ascii="宋体" w:hAnsi="宋体"/>
          <w:sz w:val="24"/>
        </w:rPr>
      </w:pPr>
    </w:p>
    <w:p>
      <w:pPr>
        <w:spacing w:line="360" w:lineRule="auto"/>
        <w:ind w:left="2"/>
        <w:rPr>
          <w:rFonts w:ascii="宋体" w:hAnsi="宋体"/>
          <w:sz w:val="24"/>
        </w:rPr>
      </w:pPr>
    </w:p>
    <w:p>
      <w:pPr>
        <w:spacing w:line="360" w:lineRule="auto"/>
        <w:ind w:left="2"/>
        <w:rPr>
          <w:rFonts w:ascii="宋体" w:hAnsi="宋体"/>
          <w:sz w:val="24"/>
        </w:rPr>
      </w:pPr>
    </w:p>
    <w:p>
      <w:pPr>
        <w:spacing w:line="360" w:lineRule="auto"/>
        <w:rPr>
          <w:rFonts w:ascii="宋体" w:hAnsi="宋体"/>
          <w:kern w:val="0"/>
          <w:sz w:val="24"/>
        </w:rPr>
      </w:pPr>
      <w:r>
        <w:rPr>
          <w:rFonts w:hint="eastAsia" w:ascii="宋体" w:hAnsi="宋体"/>
          <w:kern w:val="0"/>
          <w:sz w:val="24"/>
        </w:rPr>
        <w:t>&lt;2&gt;货物配件、耗材、选件表和备件及特殊工具清单；</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&lt;3&gt;货物安装方案及验收标准；</w:t>
      </w:r>
    </w:p>
    <w:p>
      <w:pPr>
        <w:tabs>
          <w:tab w:val="left" w:pos="5580"/>
        </w:tabs>
        <w:spacing w:line="360" w:lineRule="auto"/>
        <w:jc w:val="left"/>
        <w:rPr>
          <w:rFonts w:ascii="宋体" w:hAnsi="宋体"/>
          <w:kern w:val="0"/>
          <w:sz w:val="24"/>
        </w:rPr>
      </w:pPr>
    </w:p>
    <w:p>
      <w:pPr>
        <w:tabs>
          <w:tab w:val="left" w:pos="5580"/>
        </w:tabs>
        <w:spacing w:line="360" w:lineRule="auto"/>
        <w:jc w:val="left"/>
        <w:rPr>
          <w:rFonts w:ascii="宋体" w:hAnsi="宋体"/>
          <w:kern w:val="0"/>
          <w:sz w:val="24"/>
        </w:rPr>
      </w:pPr>
    </w:p>
    <w:p>
      <w:pPr>
        <w:tabs>
          <w:tab w:val="left" w:pos="5580"/>
        </w:tabs>
        <w:spacing w:line="360" w:lineRule="auto"/>
        <w:jc w:val="left"/>
        <w:rPr>
          <w:rFonts w:ascii="宋体" w:hAnsi="宋体"/>
          <w:kern w:val="0"/>
          <w:sz w:val="24"/>
        </w:rPr>
      </w:pPr>
      <w:r>
        <w:rPr>
          <w:rFonts w:hint="eastAsia" w:ascii="宋体" w:hAnsi="宋体"/>
          <w:kern w:val="0"/>
          <w:sz w:val="24"/>
        </w:rPr>
        <w:t>&lt;4&gt;质量保证措施和保证交货期措施；</w:t>
      </w:r>
    </w:p>
    <w:p>
      <w:pPr>
        <w:pStyle w:val="4"/>
        <w:numPr>
          <w:ilvl w:val="0"/>
          <w:numId w:val="0"/>
        </w:numPr>
        <w:ind w:left="240"/>
        <w:rPr>
          <w:rFonts w:ascii="宋体" w:hAnsi="宋体"/>
          <w:b w:val="0"/>
          <w:szCs w:val="21"/>
        </w:rPr>
      </w:pPr>
      <w:bookmarkStart w:id="88" w:name="_Toc33212790"/>
      <w:bookmarkStart w:id="89" w:name="_Toc10173"/>
      <w:bookmarkStart w:id="90" w:name="_Toc33194732"/>
      <w:r>
        <w:rPr>
          <w:rFonts w:hint="eastAsia" w:ascii="宋体" w:hAnsi="宋体"/>
          <w:b w:val="0"/>
          <w:sz w:val="24"/>
        </w:rPr>
        <w:t>四、服务部分</w:t>
      </w:r>
      <w:bookmarkEnd w:id="88"/>
      <w:bookmarkEnd w:id="89"/>
      <w:bookmarkEnd w:id="90"/>
    </w:p>
    <w:p>
      <w:pPr>
        <w:pStyle w:val="4"/>
        <w:numPr>
          <w:ilvl w:val="0"/>
          <w:numId w:val="0"/>
        </w:numPr>
        <w:ind w:left="240"/>
        <w:rPr>
          <w:rFonts w:ascii="宋体" w:hAnsi="宋体"/>
          <w:b w:val="0"/>
          <w:szCs w:val="21"/>
        </w:rPr>
      </w:pPr>
      <w:bookmarkStart w:id="91" w:name="_Toc33194733"/>
      <w:bookmarkStart w:id="92" w:name="_Toc33212791"/>
      <w:bookmarkStart w:id="93" w:name="_Toc31658"/>
      <w:r>
        <w:rPr>
          <w:rFonts w:hint="eastAsia" w:ascii="宋体" w:hAnsi="宋体"/>
          <w:b w:val="0"/>
          <w:sz w:val="24"/>
        </w:rPr>
        <w:t>（</w:t>
      </w:r>
      <w:r>
        <w:rPr>
          <w:rFonts w:hint="eastAsia" w:ascii="宋体" w:hAnsi="宋体"/>
          <w:b w:val="0"/>
          <w:sz w:val="24"/>
          <w:lang w:eastAsia="zh-CN"/>
        </w:rPr>
        <w:t>九</w:t>
      </w:r>
      <w:r>
        <w:rPr>
          <w:rFonts w:hint="eastAsia" w:ascii="宋体" w:hAnsi="宋体"/>
          <w:b w:val="0"/>
          <w:sz w:val="24"/>
        </w:rPr>
        <w:t>）投标人自行编写的服务文件</w:t>
      </w:r>
      <w:bookmarkEnd w:id="91"/>
      <w:bookmarkEnd w:id="92"/>
      <w:bookmarkEnd w:id="93"/>
    </w:p>
    <w:p>
      <w:pPr>
        <w:spacing w:line="360" w:lineRule="auto"/>
        <w:rPr>
          <w:rFonts w:ascii="宋体" w:hAnsi="宋体"/>
          <w:kern w:val="0"/>
          <w:sz w:val="24"/>
        </w:rPr>
      </w:pPr>
      <w:r>
        <w:rPr>
          <w:rFonts w:hint="eastAsia" w:ascii="宋体" w:hAnsi="宋体"/>
          <w:kern w:val="0"/>
          <w:sz w:val="24"/>
        </w:rPr>
        <w:t>&lt;1&gt;货物的保修期和售后服务的程序、内容及措施；</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&lt;2&gt;响应时间和技术支持情况；</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&lt;3&gt;培训方案及内容；</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sz w:val="24"/>
        </w:rPr>
      </w:pPr>
      <w:r>
        <w:rPr>
          <w:rFonts w:hint="eastAsia" w:ascii="宋体" w:hAnsi="宋体"/>
          <w:kern w:val="0"/>
          <w:sz w:val="24"/>
        </w:rPr>
        <w:t>&lt;4&gt;售后服务网点明细（包括联系人、详细地址、电话、传真）及</w:t>
      </w:r>
      <w:r>
        <w:rPr>
          <w:rFonts w:hint="eastAsia"/>
          <w:sz w:val="24"/>
        </w:rPr>
        <w:t>本地化服务；</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&lt;5&gt;服务项目偏离表</w:t>
      </w:r>
    </w:p>
    <w:p>
      <w:pPr>
        <w:pStyle w:val="19"/>
        <w:spacing w:line="360" w:lineRule="auto"/>
        <w:ind w:left="0" w:leftChars="0" w:firstLine="0" w:firstLineChars="0"/>
      </w:pPr>
      <w:r>
        <w:rPr>
          <w:rFonts w:hint="eastAsia"/>
        </w:rPr>
        <w:t>项目编号、包号：</w:t>
      </w:r>
      <w:r>
        <w:rPr>
          <w:rFonts w:hint="eastAsia"/>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28"/>
        <w:gridCol w:w="2674"/>
        <w:gridCol w:w="2483"/>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6" w:type="dxa"/>
            <w:tcBorders>
              <w:top w:val="single" w:color="auto" w:sz="12" w:space="0"/>
              <w:left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序号</w:t>
            </w:r>
          </w:p>
        </w:tc>
        <w:tc>
          <w:tcPr>
            <w:tcW w:w="1528"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招标文件</w:t>
            </w:r>
          </w:p>
          <w:p>
            <w:pPr>
              <w:tabs>
                <w:tab w:val="left" w:pos="1337"/>
              </w:tabs>
              <w:spacing w:line="360" w:lineRule="auto"/>
              <w:jc w:val="center"/>
              <w:rPr>
                <w:rFonts w:ascii="宋体" w:hAnsi="宋体"/>
                <w:bCs/>
                <w:sz w:val="24"/>
              </w:rPr>
            </w:pPr>
            <w:r>
              <w:rPr>
                <w:rFonts w:hint="eastAsia" w:ascii="宋体" w:hAnsi="宋体"/>
                <w:bCs/>
                <w:sz w:val="24"/>
              </w:rPr>
              <w:t>条款号</w:t>
            </w:r>
          </w:p>
        </w:tc>
        <w:tc>
          <w:tcPr>
            <w:tcW w:w="2674"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招标文件的服务条款</w:t>
            </w:r>
          </w:p>
        </w:tc>
        <w:tc>
          <w:tcPr>
            <w:tcW w:w="2483"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投标文件的服务条款</w:t>
            </w:r>
          </w:p>
        </w:tc>
        <w:tc>
          <w:tcPr>
            <w:tcW w:w="1146" w:type="dxa"/>
            <w:tcBorders>
              <w:top w:val="single" w:color="auto" w:sz="12" w:space="0"/>
              <w:right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tabs>
                <w:tab w:val="left" w:pos="1337"/>
              </w:tabs>
              <w:spacing w:line="360" w:lineRule="auto"/>
              <w:jc w:val="center"/>
              <w:rPr>
                <w:rFonts w:ascii="宋体" w:hAnsi="宋体"/>
                <w:sz w:val="24"/>
              </w:rPr>
            </w:pPr>
          </w:p>
        </w:tc>
        <w:tc>
          <w:tcPr>
            <w:tcW w:w="1528" w:type="dxa"/>
            <w:vAlign w:val="center"/>
          </w:tcPr>
          <w:p>
            <w:pPr>
              <w:tabs>
                <w:tab w:val="left" w:pos="1337"/>
              </w:tabs>
              <w:spacing w:line="360" w:lineRule="auto"/>
              <w:jc w:val="center"/>
              <w:rPr>
                <w:rFonts w:ascii="宋体" w:hAnsi="宋体"/>
                <w:sz w:val="24"/>
              </w:rPr>
            </w:pPr>
          </w:p>
        </w:tc>
        <w:tc>
          <w:tcPr>
            <w:tcW w:w="2674" w:type="dxa"/>
            <w:vAlign w:val="center"/>
          </w:tcPr>
          <w:p>
            <w:pPr>
              <w:tabs>
                <w:tab w:val="left" w:pos="1337"/>
              </w:tabs>
              <w:spacing w:line="360" w:lineRule="auto"/>
              <w:jc w:val="center"/>
              <w:rPr>
                <w:rFonts w:ascii="宋体" w:hAnsi="宋体"/>
                <w:sz w:val="24"/>
              </w:rPr>
            </w:pPr>
          </w:p>
        </w:tc>
        <w:tc>
          <w:tcPr>
            <w:tcW w:w="2483" w:type="dxa"/>
            <w:vAlign w:val="center"/>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tabs>
                <w:tab w:val="left" w:pos="1337"/>
              </w:tabs>
              <w:spacing w:line="360" w:lineRule="auto"/>
              <w:jc w:val="center"/>
              <w:rPr>
                <w:rFonts w:ascii="宋体" w:hAnsi="宋体"/>
                <w:sz w:val="24"/>
              </w:rPr>
            </w:pPr>
          </w:p>
        </w:tc>
        <w:tc>
          <w:tcPr>
            <w:tcW w:w="1528" w:type="dxa"/>
            <w:vAlign w:val="center"/>
          </w:tcPr>
          <w:p>
            <w:pPr>
              <w:tabs>
                <w:tab w:val="left" w:pos="1337"/>
              </w:tabs>
              <w:spacing w:line="360" w:lineRule="auto"/>
              <w:jc w:val="center"/>
              <w:rPr>
                <w:rFonts w:ascii="宋体" w:hAnsi="宋体"/>
                <w:sz w:val="24"/>
              </w:rPr>
            </w:pPr>
          </w:p>
        </w:tc>
        <w:tc>
          <w:tcPr>
            <w:tcW w:w="2674" w:type="dxa"/>
            <w:vAlign w:val="center"/>
          </w:tcPr>
          <w:p>
            <w:pPr>
              <w:tabs>
                <w:tab w:val="left" w:pos="1337"/>
              </w:tabs>
              <w:spacing w:line="360" w:lineRule="auto"/>
              <w:jc w:val="center"/>
              <w:rPr>
                <w:rFonts w:ascii="宋体" w:hAnsi="宋体"/>
                <w:sz w:val="24"/>
              </w:rPr>
            </w:pPr>
          </w:p>
        </w:tc>
        <w:tc>
          <w:tcPr>
            <w:tcW w:w="2483" w:type="dxa"/>
            <w:vAlign w:val="center"/>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tabs>
                <w:tab w:val="left" w:pos="1337"/>
              </w:tabs>
              <w:spacing w:line="360" w:lineRule="auto"/>
              <w:jc w:val="center"/>
              <w:rPr>
                <w:rFonts w:ascii="宋体" w:hAnsi="宋体"/>
                <w:sz w:val="24"/>
              </w:rPr>
            </w:pPr>
          </w:p>
        </w:tc>
        <w:tc>
          <w:tcPr>
            <w:tcW w:w="1528" w:type="dxa"/>
            <w:vAlign w:val="center"/>
          </w:tcPr>
          <w:p>
            <w:pPr>
              <w:tabs>
                <w:tab w:val="left" w:pos="1337"/>
              </w:tabs>
              <w:spacing w:line="360" w:lineRule="auto"/>
              <w:jc w:val="center"/>
              <w:rPr>
                <w:rFonts w:ascii="宋体" w:hAnsi="宋体"/>
                <w:sz w:val="24"/>
              </w:rPr>
            </w:pPr>
          </w:p>
        </w:tc>
        <w:tc>
          <w:tcPr>
            <w:tcW w:w="2674" w:type="dxa"/>
            <w:vAlign w:val="center"/>
          </w:tcPr>
          <w:p>
            <w:pPr>
              <w:tabs>
                <w:tab w:val="left" w:pos="1337"/>
              </w:tabs>
              <w:spacing w:line="360" w:lineRule="auto"/>
              <w:jc w:val="center"/>
              <w:rPr>
                <w:rFonts w:ascii="宋体" w:hAnsi="宋体"/>
                <w:sz w:val="24"/>
              </w:rPr>
            </w:pPr>
          </w:p>
        </w:tc>
        <w:tc>
          <w:tcPr>
            <w:tcW w:w="2483" w:type="dxa"/>
            <w:vAlign w:val="center"/>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46"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1528" w:type="dxa"/>
            <w:tcBorders>
              <w:bottom w:val="single" w:color="auto" w:sz="12" w:space="0"/>
            </w:tcBorders>
            <w:vAlign w:val="center"/>
          </w:tcPr>
          <w:p>
            <w:pPr>
              <w:tabs>
                <w:tab w:val="left" w:pos="1337"/>
              </w:tabs>
              <w:spacing w:line="360" w:lineRule="auto"/>
              <w:jc w:val="center"/>
              <w:rPr>
                <w:rFonts w:ascii="宋体" w:hAnsi="宋体"/>
                <w:sz w:val="24"/>
              </w:rPr>
            </w:pPr>
          </w:p>
        </w:tc>
        <w:tc>
          <w:tcPr>
            <w:tcW w:w="2674" w:type="dxa"/>
            <w:tcBorders>
              <w:bottom w:val="single" w:color="auto" w:sz="12" w:space="0"/>
            </w:tcBorders>
            <w:vAlign w:val="center"/>
          </w:tcPr>
          <w:p>
            <w:pPr>
              <w:tabs>
                <w:tab w:val="left" w:pos="1337"/>
              </w:tabs>
              <w:spacing w:line="360" w:lineRule="auto"/>
              <w:jc w:val="center"/>
              <w:rPr>
                <w:rFonts w:ascii="宋体" w:hAnsi="宋体"/>
                <w:sz w:val="24"/>
              </w:rPr>
            </w:pPr>
          </w:p>
        </w:tc>
        <w:tc>
          <w:tcPr>
            <w:tcW w:w="2483"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bl>
    <w:p>
      <w:pPr>
        <w:spacing w:line="360" w:lineRule="auto"/>
        <w:ind w:left="2"/>
        <w:rPr>
          <w:rFonts w:ascii="宋体" w:hAnsi="宋体"/>
          <w:sz w:val="24"/>
        </w:rPr>
      </w:pPr>
      <w:r>
        <w:rPr>
          <w:rFonts w:hint="eastAsia" w:ascii="宋体" w:hAnsi="宋体"/>
          <w:sz w:val="24"/>
        </w:rPr>
        <w:t>说明：如投标人提交的服务条款与招标文件的要求存在偏离，需逐项填写《服务项目偏离表》。</w:t>
      </w:r>
    </w:p>
    <w:sectPr>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Noto Sans Mono CJK JP Regular">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86D41"/>
    <w:multiLevelType w:val="singleLevel"/>
    <w:tmpl w:val="C4E86D41"/>
    <w:lvl w:ilvl="0" w:tentative="0">
      <w:start w:val="1"/>
      <w:numFmt w:val="decimal"/>
      <w:suff w:val="nothing"/>
      <w:lvlText w:val="%1、"/>
      <w:lvlJc w:val="left"/>
    </w:lvl>
  </w:abstractNum>
  <w:abstractNum w:abstractNumId="1">
    <w:nsid w:val="2458246C"/>
    <w:multiLevelType w:val="singleLevel"/>
    <w:tmpl w:val="2458246C"/>
    <w:lvl w:ilvl="0" w:tentative="0">
      <w:start w:val="1"/>
      <w:numFmt w:val="decimal"/>
      <w:suff w:val="nothing"/>
      <w:lvlText w:val="（%1）"/>
      <w:lvlJc w:val="left"/>
    </w:lvl>
  </w:abstractNum>
  <w:abstractNum w:abstractNumId="2">
    <w:nsid w:val="656D6133"/>
    <w:multiLevelType w:val="multilevel"/>
    <w:tmpl w:val="656D6133"/>
    <w:lvl w:ilvl="0" w:tentative="0">
      <w:start w:val="1"/>
      <w:numFmt w:val="chineseCountingThousand"/>
      <w:pStyle w:val="71"/>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5"/>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pStyle w:val="7"/>
      <w:suff w:val="nothing"/>
      <w:lvlText w:val="%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25"/>
    <w:rsid w:val="00000190"/>
    <w:rsid w:val="00000957"/>
    <w:rsid w:val="00000BEF"/>
    <w:rsid w:val="00000ED2"/>
    <w:rsid w:val="000010F1"/>
    <w:rsid w:val="0000114B"/>
    <w:rsid w:val="00001698"/>
    <w:rsid w:val="0000190B"/>
    <w:rsid w:val="00002342"/>
    <w:rsid w:val="000025A4"/>
    <w:rsid w:val="000026A6"/>
    <w:rsid w:val="00002AA1"/>
    <w:rsid w:val="00002FB0"/>
    <w:rsid w:val="00003089"/>
    <w:rsid w:val="00003815"/>
    <w:rsid w:val="00003816"/>
    <w:rsid w:val="00003BA8"/>
    <w:rsid w:val="00003F79"/>
    <w:rsid w:val="00004331"/>
    <w:rsid w:val="00004665"/>
    <w:rsid w:val="0000515F"/>
    <w:rsid w:val="0000563C"/>
    <w:rsid w:val="00005836"/>
    <w:rsid w:val="00005908"/>
    <w:rsid w:val="00005B0D"/>
    <w:rsid w:val="00005B26"/>
    <w:rsid w:val="0000656F"/>
    <w:rsid w:val="00006A6F"/>
    <w:rsid w:val="00006E41"/>
    <w:rsid w:val="00006E7E"/>
    <w:rsid w:val="000076B3"/>
    <w:rsid w:val="000100D9"/>
    <w:rsid w:val="00010411"/>
    <w:rsid w:val="00010A45"/>
    <w:rsid w:val="00010DA8"/>
    <w:rsid w:val="0001266D"/>
    <w:rsid w:val="00012ECB"/>
    <w:rsid w:val="00013287"/>
    <w:rsid w:val="00013304"/>
    <w:rsid w:val="000138A8"/>
    <w:rsid w:val="00013B4A"/>
    <w:rsid w:val="00014DC2"/>
    <w:rsid w:val="000152A0"/>
    <w:rsid w:val="00015A83"/>
    <w:rsid w:val="00015A8B"/>
    <w:rsid w:val="00015C59"/>
    <w:rsid w:val="00015CFC"/>
    <w:rsid w:val="00015EB0"/>
    <w:rsid w:val="00015FBF"/>
    <w:rsid w:val="000162AD"/>
    <w:rsid w:val="000169FA"/>
    <w:rsid w:val="0001715A"/>
    <w:rsid w:val="000174EB"/>
    <w:rsid w:val="00017B46"/>
    <w:rsid w:val="00017C4B"/>
    <w:rsid w:val="00017E59"/>
    <w:rsid w:val="00017FD7"/>
    <w:rsid w:val="0002146D"/>
    <w:rsid w:val="00021481"/>
    <w:rsid w:val="000214E0"/>
    <w:rsid w:val="00021C6E"/>
    <w:rsid w:val="00021DD5"/>
    <w:rsid w:val="00021DDD"/>
    <w:rsid w:val="00021F3C"/>
    <w:rsid w:val="00022406"/>
    <w:rsid w:val="00022B2F"/>
    <w:rsid w:val="00023204"/>
    <w:rsid w:val="000233FE"/>
    <w:rsid w:val="00024048"/>
    <w:rsid w:val="00024171"/>
    <w:rsid w:val="00024254"/>
    <w:rsid w:val="00024A7A"/>
    <w:rsid w:val="00024B49"/>
    <w:rsid w:val="00025227"/>
    <w:rsid w:val="00025342"/>
    <w:rsid w:val="00025383"/>
    <w:rsid w:val="0002551C"/>
    <w:rsid w:val="00025906"/>
    <w:rsid w:val="00025A5A"/>
    <w:rsid w:val="0002616E"/>
    <w:rsid w:val="00026256"/>
    <w:rsid w:val="000269AD"/>
    <w:rsid w:val="00026A42"/>
    <w:rsid w:val="00026B63"/>
    <w:rsid w:val="00027040"/>
    <w:rsid w:val="00027549"/>
    <w:rsid w:val="000275CF"/>
    <w:rsid w:val="000317C5"/>
    <w:rsid w:val="00031C4D"/>
    <w:rsid w:val="00031E5C"/>
    <w:rsid w:val="0003255C"/>
    <w:rsid w:val="00032839"/>
    <w:rsid w:val="0003287D"/>
    <w:rsid w:val="0003294F"/>
    <w:rsid w:val="00032A46"/>
    <w:rsid w:val="00032D5C"/>
    <w:rsid w:val="00032D94"/>
    <w:rsid w:val="000334F9"/>
    <w:rsid w:val="00033D3B"/>
    <w:rsid w:val="00034057"/>
    <w:rsid w:val="00034962"/>
    <w:rsid w:val="000349E5"/>
    <w:rsid w:val="00034A30"/>
    <w:rsid w:val="000358CB"/>
    <w:rsid w:val="000367A1"/>
    <w:rsid w:val="000367B7"/>
    <w:rsid w:val="0003685C"/>
    <w:rsid w:val="00036E9D"/>
    <w:rsid w:val="000372BC"/>
    <w:rsid w:val="00037DE8"/>
    <w:rsid w:val="00037F5F"/>
    <w:rsid w:val="00041BC1"/>
    <w:rsid w:val="00041FEB"/>
    <w:rsid w:val="000428C3"/>
    <w:rsid w:val="00043606"/>
    <w:rsid w:val="000440E5"/>
    <w:rsid w:val="00044A29"/>
    <w:rsid w:val="00044BDD"/>
    <w:rsid w:val="00044C7F"/>
    <w:rsid w:val="00045C06"/>
    <w:rsid w:val="00045C2A"/>
    <w:rsid w:val="00045C83"/>
    <w:rsid w:val="00045CDE"/>
    <w:rsid w:val="00046816"/>
    <w:rsid w:val="000506E7"/>
    <w:rsid w:val="000507D5"/>
    <w:rsid w:val="000516F8"/>
    <w:rsid w:val="0005170C"/>
    <w:rsid w:val="00051759"/>
    <w:rsid w:val="00051E36"/>
    <w:rsid w:val="00052D20"/>
    <w:rsid w:val="00052E1F"/>
    <w:rsid w:val="000530F6"/>
    <w:rsid w:val="0005331E"/>
    <w:rsid w:val="00053555"/>
    <w:rsid w:val="000537CD"/>
    <w:rsid w:val="00053B63"/>
    <w:rsid w:val="00053FFC"/>
    <w:rsid w:val="000546C1"/>
    <w:rsid w:val="000547B3"/>
    <w:rsid w:val="00054EC5"/>
    <w:rsid w:val="0005653E"/>
    <w:rsid w:val="0005654F"/>
    <w:rsid w:val="00056D58"/>
    <w:rsid w:val="000572BF"/>
    <w:rsid w:val="0005752D"/>
    <w:rsid w:val="000576FC"/>
    <w:rsid w:val="0006009E"/>
    <w:rsid w:val="000602CC"/>
    <w:rsid w:val="000605C5"/>
    <w:rsid w:val="0006083A"/>
    <w:rsid w:val="00060B1D"/>
    <w:rsid w:val="00060D9F"/>
    <w:rsid w:val="00060EA8"/>
    <w:rsid w:val="00061AAB"/>
    <w:rsid w:val="00061E16"/>
    <w:rsid w:val="00062108"/>
    <w:rsid w:val="00062534"/>
    <w:rsid w:val="000626E7"/>
    <w:rsid w:val="00062DC7"/>
    <w:rsid w:val="00063340"/>
    <w:rsid w:val="000634DA"/>
    <w:rsid w:val="00063610"/>
    <w:rsid w:val="0006442D"/>
    <w:rsid w:val="000644FD"/>
    <w:rsid w:val="00064B93"/>
    <w:rsid w:val="00064BB1"/>
    <w:rsid w:val="00064CC7"/>
    <w:rsid w:val="00064CD3"/>
    <w:rsid w:val="00064E8F"/>
    <w:rsid w:val="00065245"/>
    <w:rsid w:val="00065732"/>
    <w:rsid w:val="00065B9A"/>
    <w:rsid w:val="00065E5F"/>
    <w:rsid w:val="00066261"/>
    <w:rsid w:val="00066498"/>
    <w:rsid w:val="0006678E"/>
    <w:rsid w:val="00066837"/>
    <w:rsid w:val="00066CAD"/>
    <w:rsid w:val="00067D1D"/>
    <w:rsid w:val="00070B28"/>
    <w:rsid w:val="00070E3A"/>
    <w:rsid w:val="00071333"/>
    <w:rsid w:val="0007176B"/>
    <w:rsid w:val="00071BC1"/>
    <w:rsid w:val="00071C0E"/>
    <w:rsid w:val="00071D76"/>
    <w:rsid w:val="00071DC0"/>
    <w:rsid w:val="00072C12"/>
    <w:rsid w:val="00072D36"/>
    <w:rsid w:val="00073045"/>
    <w:rsid w:val="000734E0"/>
    <w:rsid w:val="00073687"/>
    <w:rsid w:val="000742AE"/>
    <w:rsid w:val="00074716"/>
    <w:rsid w:val="0007475E"/>
    <w:rsid w:val="00075173"/>
    <w:rsid w:val="00075662"/>
    <w:rsid w:val="00075907"/>
    <w:rsid w:val="0007694A"/>
    <w:rsid w:val="00076B0B"/>
    <w:rsid w:val="00076CBE"/>
    <w:rsid w:val="000775AE"/>
    <w:rsid w:val="000777B4"/>
    <w:rsid w:val="00077B5F"/>
    <w:rsid w:val="00080175"/>
    <w:rsid w:val="00080858"/>
    <w:rsid w:val="00080A62"/>
    <w:rsid w:val="00081A34"/>
    <w:rsid w:val="00081CDA"/>
    <w:rsid w:val="000820C8"/>
    <w:rsid w:val="000822FC"/>
    <w:rsid w:val="00082AEB"/>
    <w:rsid w:val="0008303F"/>
    <w:rsid w:val="000830F3"/>
    <w:rsid w:val="0008337D"/>
    <w:rsid w:val="00083CF6"/>
    <w:rsid w:val="00085017"/>
    <w:rsid w:val="000852A6"/>
    <w:rsid w:val="00085305"/>
    <w:rsid w:val="00085DAB"/>
    <w:rsid w:val="000860E5"/>
    <w:rsid w:val="000860EE"/>
    <w:rsid w:val="00086327"/>
    <w:rsid w:val="00086B8A"/>
    <w:rsid w:val="00086D3A"/>
    <w:rsid w:val="000872F0"/>
    <w:rsid w:val="0008757F"/>
    <w:rsid w:val="00087621"/>
    <w:rsid w:val="0008764C"/>
    <w:rsid w:val="00090910"/>
    <w:rsid w:val="00090B31"/>
    <w:rsid w:val="00090FBA"/>
    <w:rsid w:val="0009104C"/>
    <w:rsid w:val="000913BA"/>
    <w:rsid w:val="000915E6"/>
    <w:rsid w:val="000918E1"/>
    <w:rsid w:val="0009193D"/>
    <w:rsid w:val="0009270F"/>
    <w:rsid w:val="000928EE"/>
    <w:rsid w:val="00092C27"/>
    <w:rsid w:val="00092C28"/>
    <w:rsid w:val="00092C5B"/>
    <w:rsid w:val="0009307F"/>
    <w:rsid w:val="00093695"/>
    <w:rsid w:val="000936CF"/>
    <w:rsid w:val="00093B52"/>
    <w:rsid w:val="00093F2E"/>
    <w:rsid w:val="0009419F"/>
    <w:rsid w:val="0009438D"/>
    <w:rsid w:val="00094B47"/>
    <w:rsid w:val="00094E25"/>
    <w:rsid w:val="0009515D"/>
    <w:rsid w:val="00095E39"/>
    <w:rsid w:val="0009673F"/>
    <w:rsid w:val="0009677E"/>
    <w:rsid w:val="00097306"/>
    <w:rsid w:val="00097686"/>
    <w:rsid w:val="00097788"/>
    <w:rsid w:val="000979CF"/>
    <w:rsid w:val="000A03FB"/>
    <w:rsid w:val="000A0B1F"/>
    <w:rsid w:val="000A0BEB"/>
    <w:rsid w:val="000A0EAF"/>
    <w:rsid w:val="000A1AB7"/>
    <w:rsid w:val="000A2A84"/>
    <w:rsid w:val="000A2D3F"/>
    <w:rsid w:val="000A2FFA"/>
    <w:rsid w:val="000A32FD"/>
    <w:rsid w:val="000A388F"/>
    <w:rsid w:val="000A3CAD"/>
    <w:rsid w:val="000A3CD2"/>
    <w:rsid w:val="000A3EC2"/>
    <w:rsid w:val="000A401D"/>
    <w:rsid w:val="000A4785"/>
    <w:rsid w:val="000A4B9F"/>
    <w:rsid w:val="000A4CB9"/>
    <w:rsid w:val="000A537F"/>
    <w:rsid w:val="000A54AE"/>
    <w:rsid w:val="000A5591"/>
    <w:rsid w:val="000A5B66"/>
    <w:rsid w:val="000A657F"/>
    <w:rsid w:val="000A6699"/>
    <w:rsid w:val="000A66E1"/>
    <w:rsid w:val="000A6780"/>
    <w:rsid w:val="000A69F1"/>
    <w:rsid w:val="000A6CB1"/>
    <w:rsid w:val="000A6FCF"/>
    <w:rsid w:val="000A72EC"/>
    <w:rsid w:val="000A771A"/>
    <w:rsid w:val="000A787C"/>
    <w:rsid w:val="000A7A7C"/>
    <w:rsid w:val="000B0058"/>
    <w:rsid w:val="000B016C"/>
    <w:rsid w:val="000B05EB"/>
    <w:rsid w:val="000B1019"/>
    <w:rsid w:val="000B1761"/>
    <w:rsid w:val="000B17F6"/>
    <w:rsid w:val="000B1AD3"/>
    <w:rsid w:val="000B1AE6"/>
    <w:rsid w:val="000B1E80"/>
    <w:rsid w:val="000B1ED5"/>
    <w:rsid w:val="000B1F08"/>
    <w:rsid w:val="000B2353"/>
    <w:rsid w:val="000B2571"/>
    <w:rsid w:val="000B2C4B"/>
    <w:rsid w:val="000B30D6"/>
    <w:rsid w:val="000B317E"/>
    <w:rsid w:val="000B35D6"/>
    <w:rsid w:val="000B3786"/>
    <w:rsid w:val="000B4347"/>
    <w:rsid w:val="000B5972"/>
    <w:rsid w:val="000B5A29"/>
    <w:rsid w:val="000B5F84"/>
    <w:rsid w:val="000B6362"/>
    <w:rsid w:val="000B66A6"/>
    <w:rsid w:val="000B6707"/>
    <w:rsid w:val="000B7ECF"/>
    <w:rsid w:val="000C0292"/>
    <w:rsid w:val="000C092E"/>
    <w:rsid w:val="000C0AB2"/>
    <w:rsid w:val="000C0CA2"/>
    <w:rsid w:val="000C0D08"/>
    <w:rsid w:val="000C0F9E"/>
    <w:rsid w:val="000C1029"/>
    <w:rsid w:val="000C14FF"/>
    <w:rsid w:val="000C2293"/>
    <w:rsid w:val="000C3E53"/>
    <w:rsid w:val="000C417C"/>
    <w:rsid w:val="000C431F"/>
    <w:rsid w:val="000C55CA"/>
    <w:rsid w:val="000C6FBF"/>
    <w:rsid w:val="000C705A"/>
    <w:rsid w:val="000D0EDF"/>
    <w:rsid w:val="000D0EF0"/>
    <w:rsid w:val="000D0F09"/>
    <w:rsid w:val="000D0FBD"/>
    <w:rsid w:val="000D0FF3"/>
    <w:rsid w:val="000D15E3"/>
    <w:rsid w:val="000D17F3"/>
    <w:rsid w:val="000D1AAE"/>
    <w:rsid w:val="000D1C4B"/>
    <w:rsid w:val="000D1F44"/>
    <w:rsid w:val="000D2007"/>
    <w:rsid w:val="000D20CA"/>
    <w:rsid w:val="000D219D"/>
    <w:rsid w:val="000D23D3"/>
    <w:rsid w:val="000D260C"/>
    <w:rsid w:val="000D2DF6"/>
    <w:rsid w:val="000D3650"/>
    <w:rsid w:val="000D41D5"/>
    <w:rsid w:val="000D42F7"/>
    <w:rsid w:val="000D44C4"/>
    <w:rsid w:val="000D46C5"/>
    <w:rsid w:val="000D496D"/>
    <w:rsid w:val="000D4A84"/>
    <w:rsid w:val="000D4EC1"/>
    <w:rsid w:val="000D6186"/>
    <w:rsid w:val="000D6301"/>
    <w:rsid w:val="000D6B4E"/>
    <w:rsid w:val="000D70FD"/>
    <w:rsid w:val="000D7792"/>
    <w:rsid w:val="000E0387"/>
    <w:rsid w:val="000E04B8"/>
    <w:rsid w:val="000E062A"/>
    <w:rsid w:val="000E0B53"/>
    <w:rsid w:val="000E11D3"/>
    <w:rsid w:val="000E137E"/>
    <w:rsid w:val="000E1540"/>
    <w:rsid w:val="000E29C5"/>
    <w:rsid w:val="000E2F42"/>
    <w:rsid w:val="000E31C9"/>
    <w:rsid w:val="000E3553"/>
    <w:rsid w:val="000E361A"/>
    <w:rsid w:val="000E3711"/>
    <w:rsid w:val="000E37FE"/>
    <w:rsid w:val="000E3A88"/>
    <w:rsid w:val="000E4638"/>
    <w:rsid w:val="000E4C0F"/>
    <w:rsid w:val="000E4C1C"/>
    <w:rsid w:val="000E4D70"/>
    <w:rsid w:val="000E516A"/>
    <w:rsid w:val="000E51AB"/>
    <w:rsid w:val="000E6238"/>
    <w:rsid w:val="000E658F"/>
    <w:rsid w:val="000E68BF"/>
    <w:rsid w:val="000E6A2A"/>
    <w:rsid w:val="000E76B3"/>
    <w:rsid w:val="000E7AF5"/>
    <w:rsid w:val="000F00C9"/>
    <w:rsid w:val="000F02C6"/>
    <w:rsid w:val="000F16EE"/>
    <w:rsid w:val="000F2484"/>
    <w:rsid w:val="000F3487"/>
    <w:rsid w:val="000F3698"/>
    <w:rsid w:val="000F3DB8"/>
    <w:rsid w:val="000F3FFD"/>
    <w:rsid w:val="000F458C"/>
    <w:rsid w:val="000F464C"/>
    <w:rsid w:val="000F4731"/>
    <w:rsid w:val="000F48D2"/>
    <w:rsid w:val="000F4D9B"/>
    <w:rsid w:val="000F514E"/>
    <w:rsid w:val="000F5389"/>
    <w:rsid w:val="000F5625"/>
    <w:rsid w:val="000F5E2C"/>
    <w:rsid w:val="000F6E94"/>
    <w:rsid w:val="000F74A9"/>
    <w:rsid w:val="000F7546"/>
    <w:rsid w:val="000F7877"/>
    <w:rsid w:val="000F7B8A"/>
    <w:rsid w:val="000F7FF1"/>
    <w:rsid w:val="001000A0"/>
    <w:rsid w:val="0010042C"/>
    <w:rsid w:val="00100450"/>
    <w:rsid w:val="001007AD"/>
    <w:rsid w:val="001007E8"/>
    <w:rsid w:val="00100F62"/>
    <w:rsid w:val="00100FFC"/>
    <w:rsid w:val="0010119F"/>
    <w:rsid w:val="00101718"/>
    <w:rsid w:val="001020C4"/>
    <w:rsid w:val="001021B0"/>
    <w:rsid w:val="00102B46"/>
    <w:rsid w:val="00102E6D"/>
    <w:rsid w:val="001031E9"/>
    <w:rsid w:val="001037C8"/>
    <w:rsid w:val="00103D21"/>
    <w:rsid w:val="0010430C"/>
    <w:rsid w:val="00104636"/>
    <w:rsid w:val="00104B10"/>
    <w:rsid w:val="00104F2D"/>
    <w:rsid w:val="001050E4"/>
    <w:rsid w:val="0010553B"/>
    <w:rsid w:val="00105D2F"/>
    <w:rsid w:val="001073F7"/>
    <w:rsid w:val="00107B89"/>
    <w:rsid w:val="00107BCF"/>
    <w:rsid w:val="00107C72"/>
    <w:rsid w:val="00107F7C"/>
    <w:rsid w:val="001101A6"/>
    <w:rsid w:val="001101D2"/>
    <w:rsid w:val="00110690"/>
    <w:rsid w:val="001109DD"/>
    <w:rsid w:val="00111027"/>
    <w:rsid w:val="001110DF"/>
    <w:rsid w:val="00111156"/>
    <w:rsid w:val="00111345"/>
    <w:rsid w:val="00111370"/>
    <w:rsid w:val="001113BD"/>
    <w:rsid w:val="00111562"/>
    <w:rsid w:val="001119D4"/>
    <w:rsid w:val="00111CA1"/>
    <w:rsid w:val="00111CC4"/>
    <w:rsid w:val="00111E33"/>
    <w:rsid w:val="00112170"/>
    <w:rsid w:val="00112786"/>
    <w:rsid w:val="00112B5E"/>
    <w:rsid w:val="0011338B"/>
    <w:rsid w:val="00113AD6"/>
    <w:rsid w:val="001145B3"/>
    <w:rsid w:val="00115DCF"/>
    <w:rsid w:val="00115DD7"/>
    <w:rsid w:val="00116222"/>
    <w:rsid w:val="00116377"/>
    <w:rsid w:val="001165F8"/>
    <w:rsid w:val="00116EDF"/>
    <w:rsid w:val="00116F1C"/>
    <w:rsid w:val="0011731C"/>
    <w:rsid w:val="00117A65"/>
    <w:rsid w:val="00117E0A"/>
    <w:rsid w:val="00120577"/>
    <w:rsid w:val="00120D9C"/>
    <w:rsid w:val="0012145D"/>
    <w:rsid w:val="00121554"/>
    <w:rsid w:val="0012188C"/>
    <w:rsid w:val="001221A6"/>
    <w:rsid w:val="0012225E"/>
    <w:rsid w:val="00122391"/>
    <w:rsid w:val="00122536"/>
    <w:rsid w:val="001227D5"/>
    <w:rsid w:val="00122EE7"/>
    <w:rsid w:val="001230A0"/>
    <w:rsid w:val="001238EE"/>
    <w:rsid w:val="00123DB9"/>
    <w:rsid w:val="00123FC4"/>
    <w:rsid w:val="00124A67"/>
    <w:rsid w:val="00124ACF"/>
    <w:rsid w:val="0012542B"/>
    <w:rsid w:val="0012544D"/>
    <w:rsid w:val="00125DA0"/>
    <w:rsid w:val="00126368"/>
    <w:rsid w:val="00126380"/>
    <w:rsid w:val="00127066"/>
    <w:rsid w:val="001271C9"/>
    <w:rsid w:val="001271DC"/>
    <w:rsid w:val="0012767B"/>
    <w:rsid w:val="00127C66"/>
    <w:rsid w:val="001302FE"/>
    <w:rsid w:val="001306C7"/>
    <w:rsid w:val="001308B5"/>
    <w:rsid w:val="001310F1"/>
    <w:rsid w:val="0013124E"/>
    <w:rsid w:val="00131566"/>
    <w:rsid w:val="00131FE5"/>
    <w:rsid w:val="001320B4"/>
    <w:rsid w:val="00132479"/>
    <w:rsid w:val="00132932"/>
    <w:rsid w:val="00132D7D"/>
    <w:rsid w:val="00132D9D"/>
    <w:rsid w:val="00132E9B"/>
    <w:rsid w:val="00133949"/>
    <w:rsid w:val="00133BA3"/>
    <w:rsid w:val="00133BFE"/>
    <w:rsid w:val="00133E50"/>
    <w:rsid w:val="0013413B"/>
    <w:rsid w:val="001341FA"/>
    <w:rsid w:val="00134598"/>
    <w:rsid w:val="00134952"/>
    <w:rsid w:val="00135021"/>
    <w:rsid w:val="00135E46"/>
    <w:rsid w:val="001360F7"/>
    <w:rsid w:val="00136281"/>
    <w:rsid w:val="00136629"/>
    <w:rsid w:val="001366BE"/>
    <w:rsid w:val="00136773"/>
    <w:rsid w:val="0013691A"/>
    <w:rsid w:val="00136F58"/>
    <w:rsid w:val="00137647"/>
    <w:rsid w:val="00137685"/>
    <w:rsid w:val="0014006B"/>
    <w:rsid w:val="00140AA1"/>
    <w:rsid w:val="00140C79"/>
    <w:rsid w:val="00140D36"/>
    <w:rsid w:val="00141118"/>
    <w:rsid w:val="00141ED6"/>
    <w:rsid w:val="0014249C"/>
    <w:rsid w:val="00142B63"/>
    <w:rsid w:val="001430D8"/>
    <w:rsid w:val="00143494"/>
    <w:rsid w:val="0014360F"/>
    <w:rsid w:val="00143BF0"/>
    <w:rsid w:val="00143DED"/>
    <w:rsid w:val="001441C9"/>
    <w:rsid w:val="00144502"/>
    <w:rsid w:val="00145B19"/>
    <w:rsid w:val="00145C2C"/>
    <w:rsid w:val="00145C4E"/>
    <w:rsid w:val="00145F29"/>
    <w:rsid w:val="00146187"/>
    <w:rsid w:val="0014654F"/>
    <w:rsid w:val="001467E7"/>
    <w:rsid w:val="00146983"/>
    <w:rsid w:val="00147232"/>
    <w:rsid w:val="00147760"/>
    <w:rsid w:val="001477D5"/>
    <w:rsid w:val="001501E4"/>
    <w:rsid w:val="00150AC2"/>
    <w:rsid w:val="00150B31"/>
    <w:rsid w:val="00150B34"/>
    <w:rsid w:val="00150DC0"/>
    <w:rsid w:val="001513A5"/>
    <w:rsid w:val="001513DA"/>
    <w:rsid w:val="00151476"/>
    <w:rsid w:val="0015290D"/>
    <w:rsid w:val="00153CD5"/>
    <w:rsid w:val="00154485"/>
    <w:rsid w:val="0015453C"/>
    <w:rsid w:val="001553CF"/>
    <w:rsid w:val="001558E4"/>
    <w:rsid w:val="00155D5E"/>
    <w:rsid w:val="00156B70"/>
    <w:rsid w:val="00156C17"/>
    <w:rsid w:val="00156EE4"/>
    <w:rsid w:val="00160F37"/>
    <w:rsid w:val="001611A0"/>
    <w:rsid w:val="00161666"/>
    <w:rsid w:val="001618AD"/>
    <w:rsid w:val="001618CF"/>
    <w:rsid w:val="00161AD1"/>
    <w:rsid w:val="00162339"/>
    <w:rsid w:val="00162D36"/>
    <w:rsid w:val="00162E51"/>
    <w:rsid w:val="0016313E"/>
    <w:rsid w:val="0016315A"/>
    <w:rsid w:val="00163396"/>
    <w:rsid w:val="001637D3"/>
    <w:rsid w:val="00163F7E"/>
    <w:rsid w:val="00164948"/>
    <w:rsid w:val="001653DF"/>
    <w:rsid w:val="00166108"/>
    <w:rsid w:val="001662D8"/>
    <w:rsid w:val="001663F3"/>
    <w:rsid w:val="0016692D"/>
    <w:rsid w:val="00166BC6"/>
    <w:rsid w:val="00167F0C"/>
    <w:rsid w:val="0017009C"/>
    <w:rsid w:val="00170243"/>
    <w:rsid w:val="00170727"/>
    <w:rsid w:val="00170CC8"/>
    <w:rsid w:val="001710B6"/>
    <w:rsid w:val="0017174E"/>
    <w:rsid w:val="0017197C"/>
    <w:rsid w:val="001719E5"/>
    <w:rsid w:val="00171C07"/>
    <w:rsid w:val="00171C34"/>
    <w:rsid w:val="00171CDF"/>
    <w:rsid w:val="00172D28"/>
    <w:rsid w:val="00173A54"/>
    <w:rsid w:val="00173A9E"/>
    <w:rsid w:val="00173F05"/>
    <w:rsid w:val="00173FA9"/>
    <w:rsid w:val="00173FB7"/>
    <w:rsid w:val="00173FC9"/>
    <w:rsid w:val="001743F9"/>
    <w:rsid w:val="0017489B"/>
    <w:rsid w:val="00174AC6"/>
    <w:rsid w:val="00174BB2"/>
    <w:rsid w:val="0017538D"/>
    <w:rsid w:val="001758C9"/>
    <w:rsid w:val="001761AF"/>
    <w:rsid w:val="001768E4"/>
    <w:rsid w:val="0017752F"/>
    <w:rsid w:val="001806B2"/>
    <w:rsid w:val="001806D6"/>
    <w:rsid w:val="00181E97"/>
    <w:rsid w:val="001820F9"/>
    <w:rsid w:val="00182918"/>
    <w:rsid w:val="001832EB"/>
    <w:rsid w:val="001837DD"/>
    <w:rsid w:val="0018385A"/>
    <w:rsid w:val="00183C77"/>
    <w:rsid w:val="00183D3F"/>
    <w:rsid w:val="00184063"/>
    <w:rsid w:val="0018413D"/>
    <w:rsid w:val="00184294"/>
    <w:rsid w:val="0018490A"/>
    <w:rsid w:val="001851A9"/>
    <w:rsid w:val="0018587D"/>
    <w:rsid w:val="00185CA6"/>
    <w:rsid w:val="00185DD2"/>
    <w:rsid w:val="0018624A"/>
    <w:rsid w:val="001867C4"/>
    <w:rsid w:val="001871C9"/>
    <w:rsid w:val="0018729D"/>
    <w:rsid w:val="00187452"/>
    <w:rsid w:val="0018767E"/>
    <w:rsid w:val="00187FF9"/>
    <w:rsid w:val="00190379"/>
    <w:rsid w:val="00190C26"/>
    <w:rsid w:val="00190E20"/>
    <w:rsid w:val="0019175D"/>
    <w:rsid w:val="00192172"/>
    <w:rsid w:val="00192493"/>
    <w:rsid w:val="00193275"/>
    <w:rsid w:val="00193528"/>
    <w:rsid w:val="00193652"/>
    <w:rsid w:val="001938A0"/>
    <w:rsid w:val="00193DA9"/>
    <w:rsid w:val="00193F29"/>
    <w:rsid w:val="001941B1"/>
    <w:rsid w:val="00194324"/>
    <w:rsid w:val="0019458A"/>
    <w:rsid w:val="00195D14"/>
    <w:rsid w:val="00195EDB"/>
    <w:rsid w:val="0019680C"/>
    <w:rsid w:val="00196C86"/>
    <w:rsid w:val="00196D0A"/>
    <w:rsid w:val="001973B3"/>
    <w:rsid w:val="001977E5"/>
    <w:rsid w:val="001979E0"/>
    <w:rsid w:val="00197A7F"/>
    <w:rsid w:val="00197A83"/>
    <w:rsid w:val="00197AF2"/>
    <w:rsid w:val="00197C32"/>
    <w:rsid w:val="001A020D"/>
    <w:rsid w:val="001A0816"/>
    <w:rsid w:val="001A088C"/>
    <w:rsid w:val="001A0DA6"/>
    <w:rsid w:val="001A13F2"/>
    <w:rsid w:val="001A1585"/>
    <w:rsid w:val="001A1C2C"/>
    <w:rsid w:val="001A1F06"/>
    <w:rsid w:val="001A2164"/>
    <w:rsid w:val="001A268D"/>
    <w:rsid w:val="001A27F3"/>
    <w:rsid w:val="001A2C83"/>
    <w:rsid w:val="001A306A"/>
    <w:rsid w:val="001A3247"/>
    <w:rsid w:val="001A3919"/>
    <w:rsid w:val="001A3A39"/>
    <w:rsid w:val="001A3C0C"/>
    <w:rsid w:val="001A3FAC"/>
    <w:rsid w:val="001A4C97"/>
    <w:rsid w:val="001A5018"/>
    <w:rsid w:val="001A5376"/>
    <w:rsid w:val="001A5DBC"/>
    <w:rsid w:val="001A5DC5"/>
    <w:rsid w:val="001A6EFA"/>
    <w:rsid w:val="001A7BEB"/>
    <w:rsid w:val="001A7E2D"/>
    <w:rsid w:val="001B00B5"/>
    <w:rsid w:val="001B0328"/>
    <w:rsid w:val="001B04EB"/>
    <w:rsid w:val="001B0A5B"/>
    <w:rsid w:val="001B1B6F"/>
    <w:rsid w:val="001B1DB7"/>
    <w:rsid w:val="001B2830"/>
    <w:rsid w:val="001B2918"/>
    <w:rsid w:val="001B2C66"/>
    <w:rsid w:val="001B2E9C"/>
    <w:rsid w:val="001B300C"/>
    <w:rsid w:val="001B3332"/>
    <w:rsid w:val="001B3632"/>
    <w:rsid w:val="001B38D6"/>
    <w:rsid w:val="001B3B92"/>
    <w:rsid w:val="001B3C1A"/>
    <w:rsid w:val="001B45CE"/>
    <w:rsid w:val="001B4778"/>
    <w:rsid w:val="001B4805"/>
    <w:rsid w:val="001B480B"/>
    <w:rsid w:val="001B496E"/>
    <w:rsid w:val="001B4F97"/>
    <w:rsid w:val="001B50CE"/>
    <w:rsid w:val="001B5207"/>
    <w:rsid w:val="001B53E8"/>
    <w:rsid w:val="001B5AA6"/>
    <w:rsid w:val="001B5BE8"/>
    <w:rsid w:val="001B5CE7"/>
    <w:rsid w:val="001B5FA8"/>
    <w:rsid w:val="001B65B1"/>
    <w:rsid w:val="001B6941"/>
    <w:rsid w:val="001B7241"/>
    <w:rsid w:val="001B7F4A"/>
    <w:rsid w:val="001C010D"/>
    <w:rsid w:val="001C0658"/>
    <w:rsid w:val="001C0AD6"/>
    <w:rsid w:val="001C0E1F"/>
    <w:rsid w:val="001C0F98"/>
    <w:rsid w:val="001C1129"/>
    <w:rsid w:val="001C14A8"/>
    <w:rsid w:val="001C1944"/>
    <w:rsid w:val="001C1C89"/>
    <w:rsid w:val="001C21BC"/>
    <w:rsid w:val="001C27C7"/>
    <w:rsid w:val="001C28C3"/>
    <w:rsid w:val="001C2B03"/>
    <w:rsid w:val="001C2E4C"/>
    <w:rsid w:val="001C364C"/>
    <w:rsid w:val="001C3940"/>
    <w:rsid w:val="001C3CAC"/>
    <w:rsid w:val="001C468C"/>
    <w:rsid w:val="001C5038"/>
    <w:rsid w:val="001C52AE"/>
    <w:rsid w:val="001C53EB"/>
    <w:rsid w:val="001C5B95"/>
    <w:rsid w:val="001C5ECE"/>
    <w:rsid w:val="001C607E"/>
    <w:rsid w:val="001C6CE6"/>
    <w:rsid w:val="001C7F3D"/>
    <w:rsid w:val="001D024C"/>
    <w:rsid w:val="001D07AE"/>
    <w:rsid w:val="001D0B68"/>
    <w:rsid w:val="001D229F"/>
    <w:rsid w:val="001D2360"/>
    <w:rsid w:val="001D236A"/>
    <w:rsid w:val="001D25AD"/>
    <w:rsid w:val="001D2A9A"/>
    <w:rsid w:val="001D396E"/>
    <w:rsid w:val="001D3CE1"/>
    <w:rsid w:val="001D3E94"/>
    <w:rsid w:val="001D4A16"/>
    <w:rsid w:val="001D4ED9"/>
    <w:rsid w:val="001D5156"/>
    <w:rsid w:val="001D531D"/>
    <w:rsid w:val="001D56F6"/>
    <w:rsid w:val="001D5F3B"/>
    <w:rsid w:val="001D6D3A"/>
    <w:rsid w:val="001D76C9"/>
    <w:rsid w:val="001D7703"/>
    <w:rsid w:val="001E0515"/>
    <w:rsid w:val="001E0528"/>
    <w:rsid w:val="001E0C22"/>
    <w:rsid w:val="001E12D8"/>
    <w:rsid w:val="001E1DB2"/>
    <w:rsid w:val="001E1E43"/>
    <w:rsid w:val="001E2C93"/>
    <w:rsid w:val="001E3473"/>
    <w:rsid w:val="001E3C00"/>
    <w:rsid w:val="001E4412"/>
    <w:rsid w:val="001E5EBC"/>
    <w:rsid w:val="001E64DC"/>
    <w:rsid w:val="001E6DE6"/>
    <w:rsid w:val="001E7394"/>
    <w:rsid w:val="001E73BD"/>
    <w:rsid w:val="001E74BC"/>
    <w:rsid w:val="001E7647"/>
    <w:rsid w:val="001E7805"/>
    <w:rsid w:val="001F03BF"/>
    <w:rsid w:val="001F0F63"/>
    <w:rsid w:val="001F166A"/>
    <w:rsid w:val="001F17DE"/>
    <w:rsid w:val="001F2009"/>
    <w:rsid w:val="001F29CD"/>
    <w:rsid w:val="001F34B5"/>
    <w:rsid w:val="001F37EE"/>
    <w:rsid w:val="001F3B41"/>
    <w:rsid w:val="001F3C7A"/>
    <w:rsid w:val="001F3CAA"/>
    <w:rsid w:val="001F464C"/>
    <w:rsid w:val="001F50F2"/>
    <w:rsid w:val="001F56FC"/>
    <w:rsid w:val="001F5A4D"/>
    <w:rsid w:val="001F5BC2"/>
    <w:rsid w:val="001F5EF6"/>
    <w:rsid w:val="001F69BC"/>
    <w:rsid w:val="001F6DD9"/>
    <w:rsid w:val="001F6E23"/>
    <w:rsid w:val="001F77BD"/>
    <w:rsid w:val="002000A1"/>
    <w:rsid w:val="0020153B"/>
    <w:rsid w:val="002015D6"/>
    <w:rsid w:val="00201D38"/>
    <w:rsid w:val="00202056"/>
    <w:rsid w:val="00202137"/>
    <w:rsid w:val="00202574"/>
    <w:rsid w:val="002026E2"/>
    <w:rsid w:val="00202CB1"/>
    <w:rsid w:val="00202F67"/>
    <w:rsid w:val="002033B4"/>
    <w:rsid w:val="002042C6"/>
    <w:rsid w:val="00204532"/>
    <w:rsid w:val="0020486A"/>
    <w:rsid w:val="00204980"/>
    <w:rsid w:val="00204B77"/>
    <w:rsid w:val="002053D2"/>
    <w:rsid w:val="002054E8"/>
    <w:rsid w:val="00205A9F"/>
    <w:rsid w:val="00205B55"/>
    <w:rsid w:val="00205B60"/>
    <w:rsid w:val="002064A5"/>
    <w:rsid w:val="00206FB7"/>
    <w:rsid w:val="002073F1"/>
    <w:rsid w:val="00207F4F"/>
    <w:rsid w:val="00207F52"/>
    <w:rsid w:val="00210F59"/>
    <w:rsid w:val="00210FEE"/>
    <w:rsid w:val="00211202"/>
    <w:rsid w:val="0021185B"/>
    <w:rsid w:val="00211962"/>
    <w:rsid w:val="002120D5"/>
    <w:rsid w:val="00213C6E"/>
    <w:rsid w:val="00214495"/>
    <w:rsid w:val="002151C1"/>
    <w:rsid w:val="00216507"/>
    <w:rsid w:val="00216A37"/>
    <w:rsid w:val="002176B9"/>
    <w:rsid w:val="00217D57"/>
    <w:rsid w:val="002203EA"/>
    <w:rsid w:val="00220459"/>
    <w:rsid w:val="00221AA8"/>
    <w:rsid w:val="00221CB1"/>
    <w:rsid w:val="00221F70"/>
    <w:rsid w:val="00222466"/>
    <w:rsid w:val="0022300C"/>
    <w:rsid w:val="00224132"/>
    <w:rsid w:val="002241EB"/>
    <w:rsid w:val="00224223"/>
    <w:rsid w:val="00224D2A"/>
    <w:rsid w:val="00224D5E"/>
    <w:rsid w:val="00226552"/>
    <w:rsid w:val="002265DD"/>
    <w:rsid w:val="0022695E"/>
    <w:rsid w:val="00226D48"/>
    <w:rsid w:val="00226E59"/>
    <w:rsid w:val="00227AAC"/>
    <w:rsid w:val="00227F9B"/>
    <w:rsid w:val="00230620"/>
    <w:rsid w:val="002306FE"/>
    <w:rsid w:val="0023071F"/>
    <w:rsid w:val="002310E1"/>
    <w:rsid w:val="00231831"/>
    <w:rsid w:val="002318D9"/>
    <w:rsid w:val="002319CA"/>
    <w:rsid w:val="00231E59"/>
    <w:rsid w:val="002321AC"/>
    <w:rsid w:val="00232608"/>
    <w:rsid w:val="00232B05"/>
    <w:rsid w:val="002334B9"/>
    <w:rsid w:val="002336C9"/>
    <w:rsid w:val="00233E67"/>
    <w:rsid w:val="0023478A"/>
    <w:rsid w:val="002348B3"/>
    <w:rsid w:val="00235735"/>
    <w:rsid w:val="00235DB6"/>
    <w:rsid w:val="00235FE6"/>
    <w:rsid w:val="0023675E"/>
    <w:rsid w:val="00236A67"/>
    <w:rsid w:val="00237270"/>
    <w:rsid w:val="00237FFA"/>
    <w:rsid w:val="002402C0"/>
    <w:rsid w:val="0024035D"/>
    <w:rsid w:val="00240BD1"/>
    <w:rsid w:val="00240E57"/>
    <w:rsid w:val="00240EF7"/>
    <w:rsid w:val="00241D54"/>
    <w:rsid w:val="0024221E"/>
    <w:rsid w:val="0024299C"/>
    <w:rsid w:val="00242D6B"/>
    <w:rsid w:val="00242F61"/>
    <w:rsid w:val="002430BC"/>
    <w:rsid w:val="002432AA"/>
    <w:rsid w:val="00243D32"/>
    <w:rsid w:val="00243DCE"/>
    <w:rsid w:val="00244F26"/>
    <w:rsid w:val="0024548C"/>
    <w:rsid w:val="00245666"/>
    <w:rsid w:val="0024680F"/>
    <w:rsid w:val="00246D6E"/>
    <w:rsid w:val="00250028"/>
    <w:rsid w:val="002500DA"/>
    <w:rsid w:val="00250366"/>
    <w:rsid w:val="00250402"/>
    <w:rsid w:val="00250667"/>
    <w:rsid w:val="0025067F"/>
    <w:rsid w:val="002507A4"/>
    <w:rsid w:val="00250C89"/>
    <w:rsid w:val="00251850"/>
    <w:rsid w:val="0025186F"/>
    <w:rsid w:val="00252249"/>
    <w:rsid w:val="00252A78"/>
    <w:rsid w:val="00253AE9"/>
    <w:rsid w:val="00254B18"/>
    <w:rsid w:val="00254FFD"/>
    <w:rsid w:val="00255378"/>
    <w:rsid w:val="00255437"/>
    <w:rsid w:val="00255ADF"/>
    <w:rsid w:val="00255D90"/>
    <w:rsid w:val="00255F8D"/>
    <w:rsid w:val="002566D0"/>
    <w:rsid w:val="00256EC9"/>
    <w:rsid w:val="00257225"/>
    <w:rsid w:val="002572DF"/>
    <w:rsid w:val="00257469"/>
    <w:rsid w:val="0025752C"/>
    <w:rsid w:val="00257614"/>
    <w:rsid w:val="00257C19"/>
    <w:rsid w:val="002603D3"/>
    <w:rsid w:val="0026117E"/>
    <w:rsid w:val="00261FA6"/>
    <w:rsid w:val="00262B4D"/>
    <w:rsid w:val="00263D2B"/>
    <w:rsid w:val="00263DB0"/>
    <w:rsid w:val="002640FB"/>
    <w:rsid w:val="00264370"/>
    <w:rsid w:val="00264449"/>
    <w:rsid w:val="00264A9F"/>
    <w:rsid w:val="00264EF3"/>
    <w:rsid w:val="00265080"/>
    <w:rsid w:val="002655E0"/>
    <w:rsid w:val="0026590C"/>
    <w:rsid w:val="00265B19"/>
    <w:rsid w:val="00265BBF"/>
    <w:rsid w:val="00265C0B"/>
    <w:rsid w:val="00266121"/>
    <w:rsid w:val="002662B0"/>
    <w:rsid w:val="002662E4"/>
    <w:rsid w:val="002666E0"/>
    <w:rsid w:val="002669A3"/>
    <w:rsid w:val="00266D7F"/>
    <w:rsid w:val="00266F9E"/>
    <w:rsid w:val="00266FCF"/>
    <w:rsid w:val="00267A34"/>
    <w:rsid w:val="00267AFE"/>
    <w:rsid w:val="00267F60"/>
    <w:rsid w:val="00270865"/>
    <w:rsid w:val="00270BDB"/>
    <w:rsid w:val="00270EBA"/>
    <w:rsid w:val="002710EF"/>
    <w:rsid w:val="00271512"/>
    <w:rsid w:val="002718E8"/>
    <w:rsid w:val="002723DF"/>
    <w:rsid w:val="002728A9"/>
    <w:rsid w:val="00272A97"/>
    <w:rsid w:val="00272B48"/>
    <w:rsid w:val="00272DDF"/>
    <w:rsid w:val="00273572"/>
    <w:rsid w:val="002737A0"/>
    <w:rsid w:val="00273CBA"/>
    <w:rsid w:val="002741A9"/>
    <w:rsid w:val="002747E8"/>
    <w:rsid w:val="00274F09"/>
    <w:rsid w:val="002752B5"/>
    <w:rsid w:val="002757BF"/>
    <w:rsid w:val="002758DF"/>
    <w:rsid w:val="00275F4E"/>
    <w:rsid w:val="00276092"/>
    <w:rsid w:val="002762EC"/>
    <w:rsid w:val="002765E8"/>
    <w:rsid w:val="00276C89"/>
    <w:rsid w:val="00276CB8"/>
    <w:rsid w:val="0027780E"/>
    <w:rsid w:val="0028000F"/>
    <w:rsid w:val="00280262"/>
    <w:rsid w:val="00280319"/>
    <w:rsid w:val="002808F7"/>
    <w:rsid w:val="00280CA3"/>
    <w:rsid w:val="00280DB1"/>
    <w:rsid w:val="00281868"/>
    <w:rsid w:val="00281A8D"/>
    <w:rsid w:val="00282622"/>
    <w:rsid w:val="00282900"/>
    <w:rsid w:val="00282CB6"/>
    <w:rsid w:val="00282E9A"/>
    <w:rsid w:val="00283922"/>
    <w:rsid w:val="00283A1D"/>
    <w:rsid w:val="00283B63"/>
    <w:rsid w:val="00284749"/>
    <w:rsid w:val="00284A9F"/>
    <w:rsid w:val="0028587A"/>
    <w:rsid w:val="00285DD0"/>
    <w:rsid w:val="0028600D"/>
    <w:rsid w:val="00286407"/>
    <w:rsid w:val="00286A19"/>
    <w:rsid w:val="00286EE4"/>
    <w:rsid w:val="0028747F"/>
    <w:rsid w:val="00290311"/>
    <w:rsid w:val="002907BE"/>
    <w:rsid w:val="00290844"/>
    <w:rsid w:val="002914BB"/>
    <w:rsid w:val="00291650"/>
    <w:rsid w:val="00291A1B"/>
    <w:rsid w:val="00291F49"/>
    <w:rsid w:val="00292668"/>
    <w:rsid w:val="002926DE"/>
    <w:rsid w:val="00292A09"/>
    <w:rsid w:val="00292DB4"/>
    <w:rsid w:val="002938EC"/>
    <w:rsid w:val="00293CC4"/>
    <w:rsid w:val="00294121"/>
    <w:rsid w:val="00294C82"/>
    <w:rsid w:val="002950ED"/>
    <w:rsid w:val="002951E2"/>
    <w:rsid w:val="0029589E"/>
    <w:rsid w:val="002961CB"/>
    <w:rsid w:val="002964A7"/>
    <w:rsid w:val="002966B7"/>
    <w:rsid w:val="00297499"/>
    <w:rsid w:val="00297BFC"/>
    <w:rsid w:val="002A02AD"/>
    <w:rsid w:val="002A0358"/>
    <w:rsid w:val="002A0976"/>
    <w:rsid w:val="002A0B13"/>
    <w:rsid w:val="002A12D4"/>
    <w:rsid w:val="002A1537"/>
    <w:rsid w:val="002A1DE6"/>
    <w:rsid w:val="002A21D4"/>
    <w:rsid w:val="002A2D62"/>
    <w:rsid w:val="002A2EE0"/>
    <w:rsid w:val="002A3199"/>
    <w:rsid w:val="002A33BA"/>
    <w:rsid w:val="002A44A2"/>
    <w:rsid w:val="002A4587"/>
    <w:rsid w:val="002A4BF8"/>
    <w:rsid w:val="002A51B5"/>
    <w:rsid w:val="002A5860"/>
    <w:rsid w:val="002A595B"/>
    <w:rsid w:val="002A6585"/>
    <w:rsid w:val="002A6BA3"/>
    <w:rsid w:val="002A7072"/>
    <w:rsid w:val="002A7868"/>
    <w:rsid w:val="002A7DB5"/>
    <w:rsid w:val="002B0398"/>
    <w:rsid w:val="002B0439"/>
    <w:rsid w:val="002B06A2"/>
    <w:rsid w:val="002B0F43"/>
    <w:rsid w:val="002B1185"/>
    <w:rsid w:val="002B21A4"/>
    <w:rsid w:val="002B2237"/>
    <w:rsid w:val="002B22B2"/>
    <w:rsid w:val="002B2709"/>
    <w:rsid w:val="002B39CD"/>
    <w:rsid w:val="002B3CD9"/>
    <w:rsid w:val="002B3D5D"/>
    <w:rsid w:val="002B3F4E"/>
    <w:rsid w:val="002B440E"/>
    <w:rsid w:val="002B5602"/>
    <w:rsid w:val="002B6BA6"/>
    <w:rsid w:val="002B6D38"/>
    <w:rsid w:val="002B6EBC"/>
    <w:rsid w:val="002B71E8"/>
    <w:rsid w:val="002B71FF"/>
    <w:rsid w:val="002B742A"/>
    <w:rsid w:val="002C0002"/>
    <w:rsid w:val="002C03E3"/>
    <w:rsid w:val="002C0791"/>
    <w:rsid w:val="002C09B1"/>
    <w:rsid w:val="002C0E4B"/>
    <w:rsid w:val="002C1DCE"/>
    <w:rsid w:val="002C232A"/>
    <w:rsid w:val="002C23D2"/>
    <w:rsid w:val="002C2550"/>
    <w:rsid w:val="002C332E"/>
    <w:rsid w:val="002C37A9"/>
    <w:rsid w:val="002C392B"/>
    <w:rsid w:val="002C3AD0"/>
    <w:rsid w:val="002C3E8B"/>
    <w:rsid w:val="002C482F"/>
    <w:rsid w:val="002C4A70"/>
    <w:rsid w:val="002C4F2E"/>
    <w:rsid w:val="002C55C3"/>
    <w:rsid w:val="002C5CF2"/>
    <w:rsid w:val="002C62E5"/>
    <w:rsid w:val="002C63F3"/>
    <w:rsid w:val="002C6DEA"/>
    <w:rsid w:val="002C70D7"/>
    <w:rsid w:val="002C72A4"/>
    <w:rsid w:val="002C7516"/>
    <w:rsid w:val="002C7542"/>
    <w:rsid w:val="002C7B4D"/>
    <w:rsid w:val="002D0123"/>
    <w:rsid w:val="002D022B"/>
    <w:rsid w:val="002D17E5"/>
    <w:rsid w:val="002D1BCF"/>
    <w:rsid w:val="002D1CBA"/>
    <w:rsid w:val="002D2381"/>
    <w:rsid w:val="002D23F7"/>
    <w:rsid w:val="002D2730"/>
    <w:rsid w:val="002D27A6"/>
    <w:rsid w:val="002D2C35"/>
    <w:rsid w:val="002D305B"/>
    <w:rsid w:val="002D3190"/>
    <w:rsid w:val="002D3AEF"/>
    <w:rsid w:val="002D3CDA"/>
    <w:rsid w:val="002D3D11"/>
    <w:rsid w:val="002D4036"/>
    <w:rsid w:val="002D4E93"/>
    <w:rsid w:val="002D5C23"/>
    <w:rsid w:val="002D5D57"/>
    <w:rsid w:val="002D642F"/>
    <w:rsid w:val="002D685D"/>
    <w:rsid w:val="002D68A0"/>
    <w:rsid w:val="002D696E"/>
    <w:rsid w:val="002D6A8D"/>
    <w:rsid w:val="002D6FAB"/>
    <w:rsid w:val="002D7348"/>
    <w:rsid w:val="002D7DDD"/>
    <w:rsid w:val="002D7E29"/>
    <w:rsid w:val="002E00E5"/>
    <w:rsid w:val="002E023D"/>
    <w:rsid w:val="002E07BE"/>
    <w:rsid w:val="002E094E"/>
    <w:rsid w:val="002E12FD"/>
    <w:rsid w:val="002E176B"/>
    <w:rsid w:val="002E18AF"/>
    <w:rsid w:val="002E19CF"/>
    <w:rsid w:val="002E19FD"/>
    <w:rsid w:val="002E1A5D"/>
    <w:rsid w:val="002E2179"/>
    <w:rsid w:val="002E21A0"/>
    <w:rsid w:val="002E2884"/>
    <w:rsid w:val="002E2BD6"/>
    <w:rsid w:val="002E3624"/>
    <w:rsid w:val="002E3A01"/>
    <w:rsid w:val="002E3D49"/>
    <w:rsid w:val="002E4375"/>
    <w:rsid w:val="002E4F42"/>
    <w:rsid w:val="002E5151"/>
    <w:rsid w:val="002E52A3"/>
    <w:rsid w:val="002E546E"/>
    <w:rsid w:val="002E549B"/>
    <w:rsid w:val="002E55F5"/>
    <w:rsid w:val="002E5D81"/>
    <w:rsid w:val="002E600B"/>
    <w:rsid w:val="002E6793"/>
    <w:rsid w:val="002E6816"/>
    <w:rsid w:val="002E6D5F"/>
    <w:rsid w:val="002E6F7E"/>
    <w:rsid w:val="002F0399"/>
    <w:rsid w:val="002F03C7"/>
    <w:rsid w:val="002F0825"/>
    <w:rsid w:val="002F1619"/>
    <w:rsid w:val="002F1869"/>
    <w:rsid w:val="002F1DC6"/>
    <w:rsid w:val="002F259A"/>
    <w:rsid w:val="002F2A74"/>
    <w:rsid w:val="002F2BB9"/>
    <w:rsid w:val="002F334D"/>
    <w:rsid w:val="002F3A94"/>
    <w:rsid w:val="002F3D47"/>
    <w:rsid w:val="002F4321"/>
    <w:rsid w:val="002F4472"/>
    <w:rsid w:val="002F4700"/>
    <w:rsid w:val="002F471C"/>
    <w:rsid w:val="002F4997"/>
    <w:rsid w:val="002F533F"/>
    <w:rsid w:val="002F53B8"/>
    <w:rsid w:val="002F53F0"/>
    <w:rsid w:val="002F59CA"/>
    <w:rsid w:val="002F613F"/>
    <w:rsid w:val="002F629E"/>
    <w:rsid w:val="002F65D2"/>
    <w:rsid w:val="002F69F1"/>
    <w:rsid w:val="002F6CDC"/>
    <w:rsid w:val="002F72A9"/>
    <w:rsid w:val="002F77D5"/>
    <w:rsid w:val="002F7CDD"/>
    <w:rsid w:val="00300F1F"/>
    <w:rsid w:val="003011E5"/>
    <w:rsid w:val="003012A3"/>
    <w:rsid w:val="003012B9"/>
    <w:rsid w:val="00301CAF"/>
    <w:rsid w:val="0030273D"/>
    <w:rsid w:val="003030E7"/>
    <w:rsid w:val="00303362"/>
    <w:rsid w:val="00303702"/>
    <w:rsid w:val="0030422F"/>
    <w:rsid w:val="00304609"/>
    <w:rsid w:val="00304A46"/>
    <w:rsid w:val="00304F50"/>
    <w:rsid w:val="003054B2"/>
    <w:rsid w:val="00305707"/>
    <w:rsid w:val="00305A90"/>
    <w:rsid w:val="00305AAE"/>
    <w:rsid w:val="00305BC6"/>
    <w:rsid w:val="00305C47"/>
    <w:rsid w:val="00305FB6"/>
    <w:rsid w:val="0030635B"/>
    <w:rsid w:val="003068F4"/>
    <w:rsid w:val="00307A91"/>
    <w:rsid w:val="00307B14"/>
    <w:rsid w:val="00310142"/>
    <w:rsid w:val="00311132"/>
    <w:rsid w:val="0031126B"/>
    <w:rsid w:val="00311AD8"/>
    <w:rsid w:val="00311B37"/>
    <w:rsid w:val="00311E17"/>
    <w:rsid w:val="00312143"/>
    <w:rsid w:val="00312578"/>
    <w:rsid w:val="00312624"/>
    <w:rsid w:val="00313231"/>
    <w:rsid w:val="00313ACA"/>
    <w:rsid w:val="0031409C"/>
    <w:rsid w:val="00314155"/>
    <w:rsid w:val="003142A4"/>
    <w:rsid w:val="0031471F"/>
    <w:rsid w:val="00314D74"/>
    <w:rsid w:val="0031585C"/>
    <w:rsid w:val="00316516"/>
    <w:rsid w:val="00316871"/>
    <w:rsid w:val="00316AEB"/>
    <w:rsid w:val="0031775C"/>
    <w:rsid w:val="00317858"/>
    <w:rsid w:val="003178A7"/>
    <w:rsid w:val="00317DA4"/>
    <w:rsid w:val="00320BA4"/>
    <w:rsid w:val="00321040"/>
    <w:rsid w:val="003213B1"/>
    <w:rsid w:val="003215BE"/>
    <w:rsid w:val="00321BB5"/>
    <w:rsid w:val="00321BCD"/>
    <w:rsid w:val="00322DE2"/>
    <w:rsid w:val="0032379B"/>
    <w:rsid w:val="00324069"/>
    <w:rsid w:val="0032424B"/>
    <w:rsid w:val="0032429D"/>
    <w:rsid w:val="00324B67"/>
    <w:rsid w:val="00325C77"/>
    <w:rsid w:val="00325E64"/>
    <w:rsid w:val="00326DE8"/>
    <w:rsid w:val="00326E02"/>
    <w:rsid w:val="00327512"/>
    <w:rsid w:val="003300E2"/>
    <w:rsid w:val="00330138"/>
    <w:rsid w:val="0033029B"/>
    <w:rsid w:val="00330360"/>
    <w:rsid w:val="00330F36"/>
    <w:rsid w:val="003311D1"/>
    <w:rsid w:val="003316A6"/>
    <w:rsid w:val="0033187C"/>
    <w:rsid w:val="00331D1A"/>
    <w:rsid w:val="003323E7"/>
    <w:rsid w:val="00332965"/>
    <w:rsid w:val="00332EAC"/>
    <w:rsid w:val="00332F36"/>
    <w:rsid w:val="003333A4"/>
    <w:rsid w:val="003333C8"/>
    <w:rsid w:val="00334125"/>
    <w:rsid w:val="0033415A"/>
    <w:rsid w:val="00334635"/>
    <w:rsid w:val="00334AA1"/>
    <w:rsid w:val="00334AF6"/>
    <w:rsid w:val="00334B0D"/>
    <w:rsid w:val="00335FAF"/>
    <w:rsid w:val="003371E5"/>
    <w:rsid w:val="00340874"/>
    <w:rsid w:val="00340A94"/>
    <w:rsid w:val="00340B79"/>
    <w:rsid w:val="00340FC4"/>
    <w:rsid w:val="003412D4"/>
    <w:rsid w:val="00341325"/>
    <w:rsid w:val="003414E8"/>
    <w:rsid w:val="00341653"/>
    <w:rsid w:val="0034178F"/>
    <w:rsid w:val="0034193A"/>
    <w:rsid w:val="003419BF"/>
    <w:rsid w:val="003419D0"/>
    <w:rsid w:val="00341FD7"/>
    <w:rsid w:val="003426ED"/>
    <w:rsid w:val="00342D80"/>
    <w:rsid w:val="00343188"/>
    <w:rsid w:val="003431D1"/>
    <w:rsid w:val="003436A4"/>
    <w:rsid w:val="00343767"/>
    <w:rsid w:val="00343A15"/>
    <w:rsid w:val="00344088"/>
    <w:rsid w:val="003445CC"/>
    <w:rsid w:val="0034476D"/>
    <w:rsid w:val="00344AF4"/>
    <w:rsid w:val="00344D39"/>
    <w:rsid w:val="00344EB9"/>
    <w:rsid w:val="003450F8"/>
    <w:rsid w:val="00345510"/>
    <w:rsid w:val="003458DE"/>
    <w:rsid w:val="003458E6"/>
    <w:rsid w:val="003459AF"/>
    <w:rsid w:val="00345C96"/>
    <w:rsid w:val="00345CC5"/>
    <w:rsid w:val="003466F2"/>
    <w:rsid w:val="003468D9"/>
    <w:rsid w:val="00346970"/>
    <w:rsid w:val="00346E85"/>
    <w:rsid w:val="00350562"/>
    <w:rsid w:val="00350C6D"/>
    <w:rsid w:val="003511F6"/>
    <w:rsid w:val="00351CF8"/>
    <w:rsid w:val="003522E0"/>
    <w:rsid w:val="00352664"/>
    <w:rsid w:val="0035267B"/>
    <w:rsid w:val="00352754"/>
    <w:rsid w:val="00352D78"/>
    <w:rsid w:val="00353487"/>
    <w:rsid w:val="0035359C"/>
    <w:rsid w:val="00353A66"/>
    <w:rsid w:val="00353DF0"/>
    <w:rsid w:val="00353F94"/>
    <w:rsid w:val="0035422C"/>
    <w:rsid w:val="003542A5"/>
    <w:rsid w:val="00355689"/>
    <w:rsid w:val="003559A9"/>
    <w:rsid w:val="00355B86"/>
    <w:rsid w:val="00356059"/>
    <w:rsid w:val="00356433"/>
    <w:rsid w:val="003564CF"/>
    <w:rsid w:val="00356F50"/>
    <w:rsid w:val="0035711C"/>
    <w:rsid w:val="00357EB3"/>
    <w:rsid w:val="0036059F"/>
    <w:rsid w:val="003614B4"/>
    <w:rsid w:val="00361E0E"/>
    <w:rsid w:val="003628EB"/>
    <w:rsid w:val="00362D58"/>
    <w:rsid w:val="00362DAD"/>
    <w:rsid w:val="00363192"/>
    <w:rsid w:val="003633CF"/>
    <w:rsid w:val="0036375A"/>
    <w:rsid w:val="00363B2A"/>
    <w:rsid w:val="00363CC9"/>
    <w:rsid w:val="00363DAD"/>
    <w:rsid w:val="00363F26"/>
    <w:rsid w:val="00364B92"/>
    <w:rsid w:val="003651CB"/>
    <w:rsid w:val="00365210"/>
    <w:rsid w:val="00366A00"/>
    <w:rsid w:val="003673D6"/>
    <w:rsid w:val="003673F5"/>
    <w:rsid w:val="003678AF"/>
    <w:rsid w:val="003701DE"/>
    <w:rsid w:val="00370BD1"/>
    <w:rsid w:val="00371979"/>
    <w:rsid w:val="00371A23"/>
    <w:rsid w:val="00371B55"/>
    <w:rsid w:val="00371DA7"/>
    <w:rsid w:val="00371E00"/>
    <w:rsid w:val="0037208A"/>
    <w:rsid w:val="00372EAA"/>
    <w:rsid w:val="003735CB"/>
    <w:rsid w:val="00373861"/>
    <w:rsid w:val="00373A23"/>
    <w:rsid w:val="00374263"/>
    <w:rsid w:val="003742BC"/>
    <w:rsid w:val="00374532"/>
    <w:rsid w:val="00374D8C"/>
    <w:rsid w:val="0037557A"/>
    <w:rsid w:val="00375832"/>
    <w:rsid w:val="00375FFA"/>
    <w:rsid w:val="00376166"/>
    <w:rsid w:val="00376309"/>
    <w:rsid w:val="00376B99"/>
    <w:rsid w:val="00376F92"/>
    <w:rsid w:val="003775BC"/>
    <w:rsid w:val="003777F0"/>
    <w:rsid w:val="00377A69"/>
    <w:rsid w:val="00377B58"/>
    <w:rsid w:val="003802D2"/>
    <w:rsid w:val="0038037C"/>
    <w:rsid w:val="003818FA"/>
    <w:rsid w:val="00381A6B"/>
    <w:rsid w:val="00381E33"/>
    <w:rsid w:val="0038205A"/>
    <w:rsid w:val="0038210D"/>
    <w:rsid w:val="003822B5"/>
    <w:rsid w:val="00382463"/>
    <w:rsid w:val="00382BA1"/>
    <w:rsid w:val="00382C2E"/>
    <w:rsid w:val="00382CC0"/>
    <w:rsid w:val="00382DF0"/>
    <w:rsid w:val="003833C8"/>
    <w:rsid w:val="003834D8"/>
    <w:rsid w:val="00383733"/>
    <w:rsid w:val="00383B92"/>
    <w:rsid w:val="00383CAB"/>
    <w:rsid w:val="00384975"/>
    <w:rsid w:val="0038503C"/>
    <w:rsid w:val="003853E1"/>
    <w:rsid w:val="0038552A"/>
    <w:rsid w:val="00385BEA"/>
    <w:rsid w:val="00386C0A"/>
    <w:rsid w:val="00386CCE"/>
    <w:rsid w:val="00386FFF"/>
    <w:rsid w:val="00387515"/>
    <w:rsid w:val="00387808"/>
    <w:rsid w:val="00387AE5"/>
    <w:rsid w:val="00387B78"/>
    <w:rsid w:val="003904E7"/>
    <w:rsid w:val="003905EA"/>
    <w:rsid w:val="00390807"/>
    <w:rsid w:val="003909E2"/>
    <w:rsid w:val="00391100"/>
    <w:rsid w:val="00391755"/>
    <w:rsid w:val="003919A7"/>
    <w:rsid w:val="00391C41"/>
    <w:rsid w:val="00392910"/>
    <w:rsid w:val="00392A4B"/>
    <w:rsid w:val="003931A4"/>
    <w:rsid w:val="00394062"/>
    <w:rsid w:val="00394380"/>
    <w:rsid w:val="00394443"/>
    <w:rsid w:val="003948B0"/>
    <w:rsid w:val="00395171"/>
    <w:rsid w:val="003965AF"/>
    <w:rsid w:val="003970B8"/>
    <w:rsid w:val="003971C1"/>
    <w:rsid w:val="0039799D"/>
    <w:rsid w:val="003A040C"/>
    <w:rsid w:val="003A04B2"/>
    <w:rsid w:val="003A0CA4"/>
    <w:rsid w:val="003A0FA1"/>
    <w:rsid w:val="003A1609"/>
    <w:rsid w:val="003A18DC"/>
    <w:rsid w:val="003A1B45"/>
    <w:rsid w:val="003A1C93"/>
    <w:rsid w:val="003A1CF0"/>
    <w:rsid w:val="003A212B"/>
    <w:rsid w:val="003A2931"/>
    <w:rsid w:val="003A2B7A"/>
    <w:rsid w:val="003A2C09"/>
    <w:rsid w:val="003A3704"/>
    <w:rsid w:val="003A397C"/>
    <w:rsid w:val="003A39D7"/>
    <w:rsid w:val="003A3D58"/>
    <w:rsid w:val="003A46A6"/>
    <w:rsid w:val="003A4CFB"/>
    <w:rsid w:val="003A4F8C"/>
    <w:rsid w:val="003A50F5"/>
    <w:rsid w:val="003A531E"/>
    <w:rsid w:val="003A647F"/>
    <w:rsid w:val="003A6594"/>
    <w:rsid w:val="003A6EB4"/>
    <w:rsid w:val="003A6FFB"/>
    <w:rsid w:val="003A72AD"/>
    <w:rsid w:val="003A7F77"/>
    <w:rsid w:val="003B040D"/>
    <w:rsid w:val="003B0752"/>
    <w:rsid w:val="003B0812"/>
    <w:rsid w:val="003B0C87"/>
    <w:rsid w:val="003B1AD2"/>
    <w:rsid w:val="003B1C7D"/>
    <w:rsid w:val="003B1F8F"/>
    <w:rsid w:val="003B21BE"/>
    <w:rsid w:val="003B262A"/>
    <w:rsid w:val="003B2754"/>
    <w:rsid w:val="003B295D"/>
    <w:rsid w:val="003B2C85"/>
    <w:rsid w:val="003B2D10"/>
    <w:rsid w:val="003B3D47"/>
    <w:rsid w:val="003B5123"/>
    <w:rsid w:val="003B51EE"/>
    <w:rsid w:val="003B5595"/>
    <w:rsid w:val="003B59F8"/>
    <w:rsid w:val="003B5CEA"/>
    <w:rsid w:val="003B614F"/>
    <w:rsid w:val="003B6BC1"/>
    <w:rsid w:val="003B6E07"/>
    <w:rsid w:val="003B6EE0"/>
    <w:rsid w:val="003B7379"/>
    <w:rsid w:val="003B73B5"/>
    <w:rsid w:val="003B73C3"/>
    <w:rsid w:val="003C010D"/>
    <w:rsid w:val="003C021A"/>
    <w:rsid w:val="003C075E"/>
    <w:rsid w:val="003C0B01"/>
    <w:rsid w:val="003C140D"/>
    <w:rsid w:val="003C14F1"/>
    <w:rsid w:val="003C16CD"/>
    <w:rsid w:val="003C1F94"/>
    <w:rsid w:val="003C267E"/>
    <w:rsid w:val="003C33AD"/>
    <w:rsid w:val="003C36B2"/>
    <w:rsid w:val="003C38F2"/>
    <w:rsid w:val="003C3987"/>
    <w:rsid w:val="003C3C24"/>
    <w:rsid w:val="003C47E3"/>
    <w:rsid w:val="003C570E"/>
    <w:rsid w:val="003C5725"/>
    <w:rsid w:val="003C57F6"/>
    <w:rsid w:val="003C6364"/>
    <w:rsid w:val="003C64E7"/>
    <w:rsid w:val="003C75B6"/>
    <w:rsid w:val="003C7BB9"/>
    <w:rsid w:val="003C7BDE"/>
    <w:rsid w:val="003C7D4B"/>
    <w:rsid w:val="003C7DD1"/>
    <w:rsid w:val="003C7E5B"/>
    <w:rsid w:val="003D01EC"/>
    <w:rsid w:val="003D044E"/>
    <w:rsid w:val="003D07A5"/>
    <w:rsid w:val="003D09A4"/>
    <w:rsid w:val="003D0C72"/>
    <w:rsid w:val="003D16C2"/>
    <w:rsid w:val="003D1B01"/>
    <w:rsid w:val="003D1FDF"/>
    <w:rsid w:val="003D21AB"/>
    <w:rsid w:val="003D22E7"/>
    <w:rsid w:val="003D2856"/>
    <w:rsid w:val="003D28FD"/>
    <w:rsid w:val="003D35AA"/>
    <w:rsid w:val="003D3BB7"/>
    <w:rsid w:val="003D425A"/>
    <w:rsid w:val="003D45A7"/>
    <w:rsid w:val="003D4B93"/>
    <w:rsid w:val="003D589F"/>
    <w:rsid w:val="003D5ECC"/>
    <w:rsid w:val="003D62FD"/>
    <w:rsid w:val="003D65A9"/>
    <w:rsid w:val="003D6669"/>
    <w:rsid w:val="003D6937"/>
    <w:rsid w:val="003D73BF"/>
    <w:rsid w:val="003D74A4"/>
    <w:rsid w:val="003D75BA"/>
    <w:rsid w:val="003D7B51"/>
    <w:rsid w:val="003D7BFB"/>
    <w:rsid w:val="003E07F5"/>
    <w:rsid w:val="003E085B"/>
    <w:rsid w:val="003E0E08"/>
    <w:rsid w:val="003E0FD2"/>
    <w:rsid w:val="003E1A8D"/>
    <w:rsid w:val="003E1C74"/>
    <w:rsid w:val="003E2494"/>
    <w:rsid w:val="003E24E7"/>
    <w:rsid w:val="003E2EDB"/>
    <w:rsid w:val="003E3368"/>
    <w:rsid w:val="003E338D"/>
    <w:rsid w:val="003E3937"/>
    <w:rsid w:val="003E3BFD"/>
    <w:rsid w:val="003E4FDD"/>
    <w:rsid w:val="003E5257"/>
    <w:rsid w:val="003E5664"/>
    <w:rsid w:val="003E60A6"/>
    <w:rsid w:val="003E68BC"/>
    <w:rsid w:val="003E72A2"/>
    <w:rsid w:val="003E7DAC"/>
    <w:rsid w:val="003F0347"/>
    <w:rsid w:val="003F0E28"/>
    <w:rsid w:val="003F0F86"/>
    <w:rsid w:val="003F137F"/>
    <w:rsid w:val="003F1ECC"/>
    <w:rsid w:val="003F252D"/>
    <w:rsid w:val="003F48FE"/>
    <w:rsid w:val="003F4ACA"/>
    <w:rsid w:val="003F55BC"/>
    <w:rsid w:val="003F56E9"/>
    <w:rsid w:val="003F61E7"/>
    <w:rsid w:val="003F664A"/>
    <w:rsid w:val="003F6A93"/>
    <w:rsid w:val="003F6B15"/>
    <w:rsid w:val="003F6B1D"/>
    <w:rsid w:val="003F6F2D"/>
    <w:rsid w:val="003F75A7"/>
    <w:rsid w:val="003F788E"/>
    <w:rsid w:val="004005DD"/>
    <w:rsid w:val="004009EB"/>
    <w:rsid w:val="00400DC2"/>
    <w:rsid w:val="004014F7"/>
    <w:rsid w:val="00401715"/>
    <w:rsid w:val="00401763"/>
    <w:rsid w:val="00401D8B"/>
    <w:rsid w:val="0040233E"/>
    <w:rsid w:val="004025FE"/>
    <w:rsid w:val="0040349C"/>
    <w:rsid w:val="0040388C"/>
    <w:rsid w:val="0040394D"/>
    <w:rsid w:val="0040430F"/>
    <w:rsid w:val="00404B7C"/>
    <w:rsid w:val="00404D36"/>
    <w:rsid w:val="0040502B"/>
    <w:rsid w:val="004053BA"/>
    <w:rsid w:val="00405CA1"/>
    <w:rsid w:val="0040684F"/>
    <w:rsid w:val="00407003"/>
    <w:rsid w:val="004073FF"/>
    <w:rsid w:val="00407BEA"/>
    <w:rsid w:val="00407FDE"/>
    <w:rsid w:val="00410051"/>
    <w:rsid w:val="0041012B"/>
    <w:rsid w:val="004102FD"/>
    <w:rsid w:val="00410E6B"/>
    <w:rsid w:val="00410E8A"/>
    <w:rsid w:val="004113B9"/>
    <w:rsid w:val="00411958"/>
    <w:rsid w:val="00411D37"/>
    <w:rsid w:val="00412272"/>
    <w:rsid w:val="004123FD"/>
    <w:rsid w:val="00412733"/>
    <w:rsid w:val="0041283C"/>
    <w:rsid w:val="00412A9F"/>
    <w:rsid w:val="0041304C"/>
    <w:rsid w:val="004134F7"/>
    <w:rsid w:val="0041382D"/>
    <w:rsid w:val="00414393"/>
    <w:rsid w:val="004152BF"/>
    <w:rsid w:val="00415C11"/>
    <w:rsid w:val="004167AA"/>
    <w:rsid w:val="00417A44"/>
    <w:rsid w:val="00417F7F"/>
    <w:rsid w:val="004204D3"/>
    <w:rsid w:val="00420562"/>
    <w:rsid w:val="0042094D"/>
    <w:rsid w:val="0042124E"/>
    <w:rsid w:val="0042146C"/>
    <w:rsid w:val="00421F7B"/>
    <w:rsid w:val="004224A6"/>
    <w:rsid w:val="00422B8B"/>
    <w:rsid w:val="00422E05"/>
    <w:rsid w:val="00423215"/>
    <w:rsid w:val="004236F7"/>
    <w:rsid w:val="00424A1C"/>
    <w:rsid w:val="00424F89"/>
    <w:rsid w:val="0042562A"/>
    <w:rsid w:val="0042589C"/>
    <w:rsid w:val="00425ABF"/>
    <w:rsid w:val="00426455"/>
    <w:rsid w:val="00426872"/>
    <w:rsid w:val="004271A4"/>
    <w:rsid w:val="004275FA"/>
    <w:rsid w:val="00427A67"/>
    <w:rsid w:val="00427AEE"/>
    <w:rsid w:val="00427BEE"/>
    <w:rsid w:val="00427D93"/>
    <w:rsid w:val="00427F30"/>
    <w:rsid w:val="004303E0"/>
    <w:rsid w:val="004307CC"/>
    <w:rsid w:val="00430C50"/>
    <w:rsid w:val="00430F9D"/>
    <w:rsid w:val="00432134"/>
    <w:rsid w:val="004323AD"/>
    <w:rsid w:val="00432D57"/>
    <w:rsid w:val="00432D82"/>
    <w:rsid w:val="004338DB"/>
    <w:rsid w:val="00433919"/>
    <w:rsid w:val="00433C81"/>
    <w:rsid w:val="00434399"/>
    <w:rsid w:val="004344CF"/>
    <w:rsid w:val="004346FB"/>
    <w:rsid w:val="004349C6"/>
    <w:rsid w:val="00434BE6"/>
    <w:rsid w:val="00434F66"/>
    <w:rsid w:val="00435BF3"/>
    <w:rsid w:val="00435DAD"/>
    <w:rsid w:val="00435F90"/>
    <w:rsid w:val="004360DC"/>
    <w:rsid w:val="0043668B"/>
    <w:rsid w:val="00436DD1"/>
    <w:rsid w:val="0043705A"/>
    <w:rsid w:val="0043723A"/>
    <w:rsid w:val="00437264"/>
    <w:rsid w:val="00437A1D"/>
    <w:rsid w:val="00437FD9"/>
    <w:rsid w:val="00440BD0"/>
    <w:rsid w:val="00441279"/>
    <w:rsid w:val="004412F6"/>
    <w:rsid w:val="00441A94"/>
    <w:rsid w:val="00441D27"/>
    <w:rsid w:val="00441FBF"/>
    <w:rsid w:val="00443660"/>
    <w:rsid w:val="00443CFA"/>
    <w:rsid w:val="00444053"/>
    <w:rsid w:val="00444973"/>
    <w:rsid w:val="00446463"/>
    <w:rsid w:val="0044655A"/>
    <w:rsid w:val="004465C9"/>
    <w:rsid w:val="004467EE"/>
    <w:rsid w:val="00446AE0"/>
    <w:rsid w:val="00446EC8"/>
    <w:rsid w:val="00447A47"/>
    <w:rsid w:val="00447D77"/>
    <w:rsid w:val="00447D7D"/>
    <w:rsid w:val="00447DCC"/>
    <w:rsid w:val="00450327"/>
    <w:rsid w:val="00450F62"/>
    <w:rsid w:val="004510DA"/>
    <w:rsid w:val="00451BA9"/>
    <w:rsid w:val="00451F0A"/>
    <w:rsid w:val="00452563"/>
    <w:rsid w:val="004526C8"/>
    <w:rsid w:val="004527A5"/>
    <w:rsid w:val="004527DD"/>
    <w:rsid w:val="004529B1"/>
    <w:rsid w:val="00453650"/>
    <w:rsid w:val="0045385C"/>
    <w:rsid w:val="00453AB0"/>
    <w:rsid w:val="00453BC0"/>
    <w:rsid w:val="00454487"/>
    <w:rsid w:val="00454633"/>
    <w:rsid w:val="00454B84"/>
    <w:rsid w:val="00454EAA"/>
    <w:rsid w:val="00454F86"/>
    <w:rsid w:val="00455523"/>
    <w:rsid w:val="0045565D"/>
    <w:rsid w:val="00456350"/>
    <w:rsid w:val="004565F0"/>
    <w:rsid w:val="004566C3"/>
    <w:rsid w:val="0045693A"/>
    <w:rsid w:val="00456A27"/>
    <w:rsid w:val="00456D55"/>
    <w:rsid w:val="00456F5A"/>
    <w:rsid w:val="0045743B"/>
    <w:rsid w:val="00460623"/>
    <w:rsid w:val="00460E4C"/>
    <w:rsid w:val="00460EC8"/>
    <w:rsid w:val="004615C6"/>
    <w:rsid w:val="004627FF"/>
    <w:rsid w:val="004631F8"/>
    <w:rsid w:val="00463A11"/>
    <w:rsid w:val="00463F18"/>
    <w:rsid w:val="0046453F"/>
    <w:rsid w:val="00464FD9"/>
    <w:rsid w:val="004657DF"/>
    <w:rsid w:val="00465A21"/>
    <w:rsid w:val="004666F7"/>
    <w:rsid w:val="0046721A"/>
    <w:rsid w:val="004672A0"/>
    <w:rsid w:val="0046776A"/>
    <w:rsid w:val="00467B12"/>
    <w:rsid w:val="0047008B"/>
    <w:rsid w:val="004702E7"/>
    <w:rsid w:val="00470C08"/>
    <w:rsid w:val="00470C8D"/>
    <w:rsid w:val="00470F04"/>
    <w:rsid w:val="004714E9"/>
    <w:rsid w:val="00471D4D"/>
    <w:rsid w:val="00472538"/>
    <w:rsid w:val="004728E9"/>
    <w:rsid w:val="00473224"/>
    <w:rsid w:val="004733C0"/>
    <w:rsid w:val="0047376C"/>
    <w:rsid w:val="00473897"/>
    <w:rsid w:val="00473BB9"/>
    <w:rsid w:val="00474731"/>
    <w:rsid w:val="00474E00"/>
    <w:rsid w:val="00474FAE"/>
    <w:rsid w:val="004750F0"/>
    <w:rsid w:val="00475421"/>
    <w:rsid w:val="00475A80"/>
    <w:rsid w:val="00475ACE"/>
    <w:rsid w:val="00475CEC"/>
    <w:rsid w:val="00475EAB"/>
    <w:rsid w:val="00475FD0"/>
    <w:rsid w:val="00476C7D"/>
    <w:rsid w:val="00477344"/>
    <w:rsid w:val="004773F4"/>
    <w:rsid w:val="00477876"/>
    <w:rsid w:val="0047793F"/>
    <w:rsid w:val="004800A3"/>
    <w:rsid w:val="004804E2"/>
    <w:rsid w:val="00480786"/>
    <w:rsid w:val="004807D3"/>
    <w:rsid w:val="0048086E"/>
    <w:rsid w:val="00480B3F"/>
    <w:rsid w:val="00480BA1"/>
    <w:rsid w:val="004812F1"/>
    <w:rsid w:val="004814A1"/>
    <w:rsid w:val="00481538"/>
    <w:rsid w:val="00481A41"/>
    <w:rsid w:val="00481B75"/>
    <w:rsid w:val="004827A8"/>
    <w:rsid w:val="00482A2E"/>
    <w:rsid w:val="00482EBE"/>
    <w:rsid w:val="00483669"/>
    <w:rsid w:val="00483905"/>
    <w:rsid w:val="0048420B"/>
    <w:rsid w:val="00484592"/>
    <w:rsid w:val="00484748"/>
    <w:rsid w:val="00485A77"/>
    <w:rsid w:val="00485D8D"/>
    <w:rsid w:val="00486078"/>
    <w:rsid w:val="0048618A"/>
    <w:rsid w:val="004861B0"/>
    <w:rsid w:val="0048621F"/>
    <w:rsid w:val="0048772A"/>
    <w:rsid w:val="0049011F"/>
    <w:rsid w:val="004901E9"/>
    <w:rsid w:val="00490313"/>
    <w:rsid w:val="00490471"/>
    <w:rsid w:val="00490567"/>
    <w:rsid w:val="004907BB"/>
    <w:rsid w:val="00490A59"/>
    <w:rsid w:val="00490BDE"/>
    <w:rsid w:val="00491A98"/>
    <w:rsid w:val="004921EC"/>
    <w:rsid w:val="00492A1B"/>
    <w:rsid w:val="00492B50"/>
    <w:rsid w:val="004935A7"/>
    <w:rsid w:val="00493732"/>
    <w:rsid w:val="00494BE8"/>
    <w:rsid w:val="00494DE5"/>
    <w:rsid w:val="00495264"/>
    <w:rsid w:val="004955AC"/>
    <w:rsid w:val="004958AE"/>
    <w:rsid w:val="00495A64"/>
    <w:rsid w:val="00495DCF"/>
    <w:rsid w:val="004969BD"/>
    <w:rsid w:val="0049703D"/>
    <w:rsid w:val="00497173"/>
    <w:rsid w:val="004977F0"/>
    <w:rsid w:val="004A0165"/>
    <w:rsid w:val="004A11FE"/>
    <w:rsid w:val="004A1331"/>
    <w:rsid w:val="004A13D5"/>
    <w:rsid w:val="004A14FA"/>
    <w:rsid w:val="004A169E"/>
    <w:rsid w:val="004A2082"/>
    <w:rsid w:val="004A23D6"/>
    <w:rsid w:val="004A26E4"/>
    <w:rsid w:val="004A299B"/>
    <w:rsid w:val="004A2F3F"/>
    <w:rsid w:val="004A2F88"/>
    <w:rsid w:val="004A3068"/>
    <w:rsid w:val="004A3306"/>
    <w:rsid w:val="004A3419"/>
    <w:rsid w:val="004A348F"/>
    <w:rsid w:val="004A385D"/>
    <w:rsid w:val="004A423C"/>
    <w:rsid w:val="004A45AC"/>
    <w:rsid w:val="004A4A26"/>
    <w:rsid w:val="004A4E43"/>
    <w:rsid w:val="004A52C5"/>
    <w:rsid w:val="004A5711"/>
    <w:rsid w:val="004A5875"/>
    <w:rsid w:val="004A5A3F"/>
    <w:rsid w:val="004A5DE0"/>
    <w:rsid w:val="004A6017"/>
    <w:rsid w:val="004A6051"/>
    <w:rsid w:val="004A619A"/>
    <w:rsid w:val="004A7378"/>
    <w:rsid w:val="004A7A03"/>
    <w:rsid w:val="004A7B10"/>
    <w:rsid w:val="004A7B75"/>
    <w:rsid w:val="004B04A3"/>
    <w:rsid w:val="004B0D56"/>
    <w:rsid w:val="004B0E00"/>
    <w:rsid w:val="004B101C"/>
    <w:rsid w:val="004B1394"/>
    <w:rsid w:val="004B1C01"/>
    <w:rsid w:val="004B1F83"/>
    <w:rsid w:val="004B247C"/>
    <w:rsid w:val="004B2B84"/>
    <w:rsid w:val="004B2BA7"/>
    <w:rsid w:val="004B307D"/>
    <w:rsid w:val="004B3566"/>
    <w:rsid w:val="004B3BA1"/>
    <w:rsid w:val="004B3F36"/>
    <w:rsid w:val="004B42C1"/>
    <w:rsid w:val="004B4925"/>
    <w:rsid w:val="004B5C0B"/>
    <w:rsid w:val="004B5C82"/>
    <w:rsid w:val="004B5DB7"/>
    <w:rsid w:val="004B5E66"/>
    <w:rsid w:val="004B5F7F"/>
    <w:rsid w:val="004B5FF5"/>
    <w:rsid w:val="004B6285"/>
    <w:rsid w:val="004B6DBC"/>
    <w:rsid w:val="004B71EB"/>
    <w:rsid w:val="004B74A7"/>
    <w:rsid w:val="004B7627"/>
    <w:rsid w:val="004C04EC"/>
    <w:rsid w:val="004C06B5"/>
    <w:rsid w:val="004C0898"/>
    <w:rsid w:val="004C1514"/>
    <w:rsid w:val="004C1EC9"/>
    <w:rsid w:val="004C2076"/>
    <w:rsid w:val="004C2310"/>
    <w:rsid w:val="004C24A6"/>
    <w:rsid w:val="004C2B50"/>
    <w:rsid w:val="004C3205"/>
    <w:rsid w:val="004C3CFF"/>
    <w:rsid w:val="004C40A5"/>
    <w:rsid w:val="004C4726"/>
    <w:rsid w:val="004C47E4"/>
    <w:rsid w:val="004C4AE2"/>
    <w:rsid w:val="004C4D10"/>
    <w:rsid w:val="004C5E93"/>
    <w:rsid w:val="004C6116"/>
    <w:rsid w:val="004C617E"/>
    <w:rsid w:val="004C623E"/>
    <w:rsid w:val="004C6912"/>
    <w:rsid w:val="004C6BFE"/>
    <w:rsid w:val="004C6E4F"/>
    <w:rsid w:val="004C7230"/>
    <w:rsid w:val="004C7316"/>
    <w:rsid w:val="004C73D4"/>
    <w:rsid w:val="004C78C2"/>
    <w:rsid w:val="004C7D00"/>
    <w:rsid w:val="004C7D4B"/>
    <w:rsid w:val="004D0195"/>
    <w:rsid w:val="004D0617"/>
    <w:rsid w:val="004D0A21"/>
    <w:rsid w:val="004D0D91"/>
    <w:rsid w:val="004D0D98"/>
    <w:rsid w:val="004D113B"/>
    <w:rsid w:val="004D1D88"/>
    <w:rsid w:val="004D2DBD"/>
    <w:rsid w:val="004D34BB"/>
    <w:rsid w:val="004D34C5"/>
    <w:rsid w:val="004D35B9"/>
    <w:rsid w:val="004D38F1"/>
    <w:rsid w:val="004D3A54"/>
    <w:rsid w:val="004D4A2D"/>
    <w:rsid w:val="004D5081"/>
    <w:rsid w:val="004D5206"/>
    <w:rsid w:val="004D6EBD"/>
    <w:rsid w:val="004D714D"/>
    <w:rsid w:val="004D7670"/>
    <w:rsid w:val="004D790F"/>
    <w:rsid w:val="004D79FE"/>
    <w:rsid w:val="004D7C2B"/>
    <w:rsid w:val="004D7E89"/>
    <w:rsid w:val="004D7F68"/>
    <w:rsid w:val="004E0397"/>
    <w:rsid w:val="004E03CD"/>
    <w:rsid w:val="004E0681"/>
    <w:rsid w:val="004E1777"/>
    <w:rsid w:val="004E274B"/>
    <w:rsid w:val="004E2952"/>
    <w:rsid w:val="004E2A14"/>
    <w:rsid w:val="004E3447"/>
    <w:rsid w:val="004E3B52"/>
    <w:rsid w:val="004E46E5"/>
    <w:rsid w:val="004E4EB4"/>
    <w:rsid w:val="004E5025"/>
    <w:rsid w:val="004E672A"/>
    <w:rsid w:val="004E69A1"/>
    <w:rsid w:val="004E6F24"/>
    <w:rsid w:val="004E7028"/>
    <w:rsid w:val="004E7706"/>
    <w:rsid w:val="004E7AD6"/>
    <w:rsid w:val="004E7F04"/>
    <w:rsid w:val="004F03AD"/>
    <w:rsid w:val="004F0978"/>
    <w:rsid w:val="004F0D0C"/>
    <w:rsid w:val="004F185A"/>
    <w:rsid w:val="004F1B84"/>
    <w:rsid w:val="004F247F"/>
    <w:rsid w:val="004F25FF"/>
    <w:rsid w:val="004F262A"/>
    <w:rsid w:val="004F2DFD"/>
    <w:rsid w:val="004F372C"/>
    <w:rsid w:val="004F3BBA"/>
    <w:rsid w:val="004F49F2"/>
    <w:rsid w:val="004F54DD"/>
    <w:rsid w:val="004F553C"/>
    <w:rsid w:val="004F55B2"/>
    <w:rsid w:val="004F5707"/>
    <w:rsid w:val="004F5BC6"/>
    <w:rsid w:val="004F61AA"/>
    <w:rsid w:val="004F67AE"/>
    <w:rsid w:val="004F6F88"/>
    <w:rsid w:val="004F73B7"/>
    <w:rsid w:val="004F73C2"/>
    <w:rsid w:val="004F79EF"/>
    <w:rsid w:val="004F7A13"/>
    <w:rsid w:val="004F7AEF"/>
    <w:rsid w:val="004F7B34"/>
    <w:rsid w:val="004F7CA1"/>
    <w:rsid w:val="0050015D"/>
    <w:rsid w:val="005005BB"/>
    <w:rsid w:val="00500A35"/>
    <w:rsid w:val="00500CB7"/>
    <w:rsid w:val="00500D87"/>
    <w:rsid w:val="00502D4E"/>
    <w:rsid w:val="00503B6D"/>
    <w:rsid w:val="00504293"/>
    <w:rsid w:val="005049EB"/>
    <w:rsid w:val="00505664"/>
    <w:rsid w:val="00505D43"/>
    <w:rsid w:val="00505D4F"/>
    <w:rsid w:val="00505E73"/>
    <w:rsid w:val="005061E8"/>
    <w:rsid w:val="00506523"/>
    <w:rsid w:val="00506D00"/>
    <w:rsid w:val="00510284"/>
    <w:rsid w:val="00510533"/>
    <w:rsid w:val="00510CA5"/>
    <w:rsid w:val="0051121F"/>
    <w:rsid w:val="005118A0"/>
    <w:rsid w:val="00511919"/>
    <w:rsid w:val="00511F91"/>
    <w:rsid w:val="005124C6"/>
    <w:rsid w:val="005126C2"/>
    <w:rsid w:val="005127DF"/>
    <w:rsid w:val="005128C4"/>
    <w:rsid w:val="00512BAE"/>
    <w:rsid w:val="00513F59"/>
    <w:rsid w:val="005140D0"/>
    <w:rsid w:val="005142DE"/>
    <w:rsid w:val="005144C8"/>
    <w:rsid w:val="005144D3"/>
    <w:rsid w:val="00515E8C"/>
    <w:rsid w:val="005160DB"/>
    <w:rsid w:val="00516AF1"/>
    <w:rsid w:val="005171E3"/>
    <w:rsid w:val="005179C1"/>
    <w:rsid w:val="00517F0C"/>
    <w:rsid w:val="00517FF3"/>
    <w:rsid w:val="005202D7"/>
    <w:rsid w:val="0052043F"/>
    <w:rsid w:val="005209B9"/>
    <w:rsid w:val="005215F9"/>
    <w:rsid w:val="00521A01"/>
    <w:rsid w:val="005233CE"/>
    <w:rsid w:val="0052399A"/>
    <w:rsid w:val="00523B97"/>
    <w:rsid w:val="00523CC3"/>
    <w:rsid w:val="00523F95"/>
    <w:rsid w:val="00524172"/>
    <w:rsid w:val="00524189"/>
    <w:rsid w:val="0052544A"/>
    <w:rsid w:val="0052593D"/>
    <w:rsid w:val="005259C7"/>
    <w:rsid w:val="00527F83"/>
    <w:rsid w:val="005301FE"/>
    <w:rsid w:val="0053073D"/>
    <w:rsid w:val="005308EC"/>
    <w:rsid w:val="00530981"/>
    <w:rsid w:val="00531E0F"/>
    <w:rsid w:val="00531EF9"/>
    <w:rsid w:val="00531FFC"/>
    <w:rsid w:val="00532302"/>
    <w:rsid w:val="005324A8"/>
    <w:rsid w:val="00532725"/>
    <w:rsid w:val="0053345B"/>
    <w:rsid w:val="005336D1"/>
    <w:rsid w:val="0053386A"/>
    <w:rsid w:val="00533A4A"/>
    <w:rsid w:val="005341CD"/>
    <w:rsid w:val="00534288"/>
    <w:rsid w:val="005346F7"/>
    <w:rsid w:val="00534705"/>
    <w:rsid w:val="00534AB2"/>
    <w:rsid w:val="00534E96"/>
    <w:rsid w:val="005350BF"/>
    <w:rsid w:val="005354EE"/>
    <w:rsid w:val="00535618"/>
    <w:rsid w:val="0053653A"/>
    <w:rsid w:val="00536C76"/>
    <w:rsid w:val="00537375"/>
    <w:rsid w:val="0053749F"/>
    <w:rsid w:val="00537C63"/>
    <w:rsid w:val="00537C7D"/>
    <w:rsid w:val="00537D01"/>
    <w:rsid w:val="00537D4C"/>
    <w:rsid w:val="00537D8B"/>
    <w:rsid w:val="00537DDE"/>
    <w:rsid w:val="00540394"/>
    <w:rsid w:val="005404CE"/>
    <w:rsid w:val="0054050C"/>
    <w:rsid w:val="005406C6"/>
    <w:rsid w:val="0054088C"/>
    <w:rsid w:val="00540940"/>
    <w:rsid w:val="005411E2"/>
    <w:rsid w:val="005411ED"/>
    <w:rsid w:val="005414D7"/>
    <w:rsid w:val="00541A95"/>
    <w:rsid w:val="00542103"/>
    <w:rsid w:val="00542411"/>
    <w:rsid w:val="00542773"/>
    <w:rsid w:val="005427FD"/>
    <w:rsid w:val="00543142"/>
    <w:rsid w:val="00543181"/>
    <w:rsid w:val="0054372D"/>
    <w:rsid w:val="00544250"/>
    <w:rsid w:val="005447BF"/>
    <w:rsid w:val="00544966"/>
    <w:rsid w:val="00545CA7"/>
    <w:rsid w:val="005462AC"/>
    <w:rsid w:val="005467FD"/>
    <w:rsid w:val="005470A3"/>
    <w:rsid w:val="005475F9"/>
    <w:rsid w:val="0054767A"/>
    <w:rsid w:val="00547850"/>
    <w:rsid w:val="005503A3"/>
    <w:rsid w:val="0055050C"/>
    <w:rsid w:val="00550DD0"/>
    <w:rsid w:val="00551C23"/>
    <w:rsid w:val="0055204F"/>
    <w:rsid w:val="00552457"/>
    <w:rsid w:val="0055256E"/>
    <w:rsid w:val="00552936"/>
    <w:rsid w:val="00552CF6"/>
    <w:rsid w:val="005531E9"/>
    <w:rsid w:val="0055339B"/>
    <w:rsid w:val="00553B7A"/>
    <w:rsid w:val="00553C4F"/>
    <w:rsid w:val="00553FAF"/>
    <w:rsid w:val="00554A79"/>
    <w:rsid w:val="005553CC"/>
    <w:rsid w:val="00555520"/>
    <w:rsid w:val="00555BC1"/>
    <w:rsid w:val="0055615C"/>
    <w:rsid w:val="00556433"/>
    <w:rsid w:val="00556E64"/>
    <w:rsid w:val="005570EC"/>
    <w:rsid w:val="00557BFB"/>
    <w:rsid w:val="005603BC"/>
    <w:rsid w:val="00560581"/>
    <w:rsid w:val="0056138C"/>
    <w:rsid w:val="00561396"/>
    <w:rsid w:val="00561453"/>
    <w:rsid w:val="0056160F"/>
    <w:rsid w:val="005621E2"/>
    <w:rsid w:val="00562420"/>
    <w:rsid w:val="00562BE9"/>
    <w:rsid w:val="00562BF0"/>
    <w:rsid w:val="00562C10"/>
    <w:rsid w:val="00562C80"/>
    <w:rsid w:val="00563D09"/>
    <w:rsid w:val="005640EB"/>
    <w:rsid w:val="00564862"/>
    <w:rsid w:val="00564DC8"/>
    <w:rsid w:val="00564E1E"/>
    <w:rsid w:val="00565DF7"/>
    <w:rsid w:val="00566117"/>
    <w:rsid w:val="00566899"/>
    <w:rsid w:val="00566A03"/>
    <w:rsid w:val="005671E1"/>
    <w:rsid w:val="005675EF"/>
    <w:rsid w:val="0056776A"/>
    <w:rsid w:val="00567B95"/>
    <w:rsid w:val="00567EDA"/>
    <w:rsid w:val="005703B6"/>
    <w:rsid w:val="00570414"/>
    <w:rsid w:val="00570D4A"/>
    <w:rsid w:val="00571710"/>
    <w:rsid w:val="005717F1"/>
    <w:rsid w:val="0057192A"/>
    <w:rsid w:val="00571D78"/>
    <w:rsid w:val="005725D2"/>
    <w:rsid w:val="005726CD"/>
    <w:rsid w:val="005727F2"/>
    <w:rsid w:val="005737B4"/>
    <w:rsid w:val="00573D7F"/>
    <w:rsid w:val="00573E7B"/>
    <w:rsid w:val="0057407D"/>
    <w:rsid w:val="00574DBC"/>
    <w:rsid w:val="00574F77"/>
    <w:rsid w:val="0057503D"/>
    <w:rsid w:val="00575291"/>
    <w:rsid w:val="00575862"/>
    <w:rsid w:val="00575AFE"/>
    <w:rsid w:val="00575B97"/>
    <w:rsid w:val="00575D0C"/>
    <w:rsid w:val="0057601E"/>
    <w:rsid w:val="005761BB"/>
    <w:rsid w:val="00576247"/>
    <w:rsid w:val="005763DA"/>
    <w:rsid w:val="00576716"/>
    <w:rsid w:val="00576EDB"/>
    <w:rsid w:val="005778E3"/>
    <w:rsid w:val="00577F70"/>
    <w:rsid w:val="00580410"/>
    <w:rsid w:val="005806A3"/>
    <w:rsid w:val="00580758"/>
    <w:rsid w:val="00580FF2"/>
    <w:rsid w:val="005811DB"/>
    <w:rsid w:val="00581433"/>
    <w:rsid w:val="00581667"/>
    <w:rsid w:val="00581E3E"/>
    <w:rsid w:val="00582EC1"/>
    <w:rsid w:val="00583358"/>
    <w:rsid w:val="00584180"/>
    <w:rsid w:val="005846ED"/>
    <w:rsid w:val="00584E02"/>
    <w:rsid w:val="005851E1"/>
    <w:rsid w:val="0058582C"/>
    <w:rsid w:val="00585B5F"/>
    <w:rsid w:val="00585E8B"/>
    <w:rsid w:val="00585EF3"/>
    <w:rsid w:val="00586043"/>
    <w:rsid w:val="00586332"/>
    <w:rsid w:val="00586CB8"/>
    <w:rsid w:val="00587125"/>
    <w:rsid w:val="005876D2"/>
    <w:rsid w:val="0058778C"/>
    <w:rsid w:val="00590351"/>
    <w:rsid w:val="0059079A"/>
    <w:rsid w:val="005907A4"/>
    <w:rsid w:val="00590A7A"/>
    <w:rsid w:val="00590F45"/>
    <w:rsid w:val="005911CB"/>
    <w:rsid w:val="005914FE"/>
    <w:rsid w:val="00591847"/>
    <w:rsid w:val="00591CB6"/>
    <w:rsid w:val="005921E5"/>
    <w:rsid w:val="005925EA"/>
    <w:rsid w:val="00592813"/>
    <w:rsid w:val="005931B0"/>
    <w:rsid w:val="0059343F"/>
    <w:rsid w:val="00593AEA"/>
    <w:rsid w:val="00594523"/>
    <w:rsid w:val="00594586"/>
    <w:rsid w:val="00594A97"/>
    <w:rsid w:val="0059509E"/>
    <w:rsid w:val="005957F0"/>
    <w:rsid w:val="00595EAA"/>
    <w:rsid w:val="00596337"/>
    <w:rsid w:val="00596942"/>
    <w:rsid w:val="00596999"/>
    <w:rsid w:val="00596B19"/>
    <w:rsid w:val="005974CF"/>
    <w:rsid w:val="005976A7"/>
    <w:rsid w:val="00597D7F"/>
    <w:rsid w:val="005A0031"/>
    <w:rsid w:val="005A0FEB"/>
    <w:rsid w:val="005A16A8"/>
    <w:rsid w:val="005A1D3C"/>
    <w:rsid w:val="005A2443"/>
    <w:rsid w:val="005A25D4"/>
    <w:rsid w:val="005A2A69"/>
    <w:rsid w:val="005A36C6"/>
    <w:rsid w:val="005A3876"/>
    <w:rsid w:val="005A3FD8"/>
    <w:rsid w:val="005A4797"/>
    <w:rsid w:val="005A4AB2"/>
    <w:rsid w:val="005A4E22"/>
    <w:rsid w:val="005A5335"/>
    <w:rsid w:val="005A54A0"/>
    <w:rsid w:val="005A56A0"/>
    <w:rsid w:val="005A57F8"/>
    <w:rsid w:val="005A60CA"/>
    <w:rsid w:val="005A640D"/>
    <w:rsid w:val="005A6A32"/>
    <w:rsid w:val="005A73D8"/>
    <w:rsid w:val="005A7C47"/>
    <w:rsid w:val="005B0221"/>
    <w:rsid w:val="005B033D"/>
    <w:rsid w:val="005B08DA"/>
    <w:rsid w:val="005B1306"/>
    <w:rsid w:val="005B1576"/>
    <w:rsid w:val="005B1738"/>
    <w:rsid w:val="005B1789"/>
    <w:rsid w:val="005B1FA8"/>
    <w:rsid w:val="005B2105"/>
    <w:rsid w:val="005B21F0"/>
    <w:rsid w:val="005B2859"/>
    <w:rsid w:val="005B2B8A"/>
    <w:rsid w:val="005B2C56"/>
    <w:rsid w:val="005B2CAB"/>
    <w:rsid w:val="005B2CE9"/>
    <w:rsid w:val="005B3176"/>
    <w:rsid w:val="005B379C"/>
    <w:rsid w:val="005B381D"/>
    <w:rsid w:val="005B3D0A"/>
    <w:rsid w:val="005B3D8F"/>
    <w:rsid w:val="005B4400"/>
    <w:rsid w:val="005B4CEE"/>
    <w:rsid w:val="005B4F27"/>
    <w:rsid w:val="005B5143"/>
    <w:rsid w:val="005B52C4"/>
    <w:rsid w:val="005B5561"/>
    <w:rsid w:val="005B5F60"/>
    <w:rsid w:val="005B64A4"/>
    <w:rsid w:val="005B64B7"/>
    <w:rsid w:val="005B66B1"/>
    <w:rsid w:val="005B6F4A"/>
    <w:rsid w:val="005B73FA"/>
    <w:rsid w:val="005C19F6"/>
    <w:rsid w:val="005C1E87"/>
    <w:rsid w:val="005C1F45"/>
    <w:rsid w:val="005C2623"/>
    <w:rsid w:val="005C267B"/>
    <w:rsid w:val="005C275A"/>
    <w:rsid w:val="005C27E7"/>
    <w:rsid w:val="005C2806"/>
    <w:rsid w:val="005C2836"/>
    <w:rsid w:val="005C2DDA"/>
    <w:rsid w:val="005C32FF"/>
    <w:rsid w:val="005C3CF0"/>
    <w:rsid w:val="005C3D14"/>
    <w:rsid w:val="005C4982"/>
    <w:rsid w:val="005C4A9E"/>
    <w:rsid w:val="005C4AE4"/>
    <w:rsid w:val="005C501C"/>
    <w:rsid w:val="005C5069"/>
    <w:rsid w:val="005C51CA"/>
    <w:rsid w:val="005C5979"/>
    <w:rsid w:val="005C599F"/>
    <w:rsid w:val="005C5B42"/>
    <w:rsid w:val="005C61EF"/>
    <w:rsid w:val="005C6292"/>
    <w:rsid w:val="005C6ED9"/>
    <w:rsid w:val="005C704D"/>
    <w:rsid w:val="005C7439"/>
    <w:rsid w:val="005C7972"/>
    <w:rsid w:val="005C7D06"/>
    <w:rsid w:val="005D0A14"/>
    <w:rsid w:val="005D0CD6"/>
    <w:rsid w:val="005D1488"/>
    <w:rsid w:val="005D1670"/>
    <w:rsid w:val="005D1B3C"/>
    <w:rsid w:val="005D28F4"/>
    <w:rsid w:val="005D2D5A"/>
    <w:rsid w:val="005D2E25"/>
    <w:rsid w:val="005D2F48"/>
    <w:rsid w:val="005D3325"/>
    <w:rsid w:val="005D33D3"/>
    <w:rsid w:val="005D3597"/>
    <w:rsid w:val="005D35EB"/>
    <w:rsid w:val="005D397F"/>
    <w:rsid w:val="005D3D38"/>
    <w:rsid w:val="005D51A2"/>
    <w:rsid w:val="005D5880"/>
    <w:rsid w:val="005D5D0F"/>
    <w:rsid w:val="005D618A"/>
    <w:rsid w:val="005D625A"/>
    <w:rsid w:val="005D6296"/>
    <w:rsid w:val="005D6315"/>
    <w:rsid w:val="005D6CC7"/>
    <w:rsid w:val="005D73B3"/>
    <w:rsid w:val="005D7417"/>
    <w:rsid w:val="005D7548"/>
    <w:rsid w:val="005D7969"/>
    <w:rsid w:val="005D7EBC"/>
    <w:rsid w:val="005E0341"/>
    <w:rsid w:val="005E097E"/>
    <w:rsid w:val="005E0A60"/>
    <w:rsid w:val="005E1087"/>
    <w:rsid w:val="005E177B"/>
    <w:rsid w:val="005E17FB"/>
    <w:rsid w:val="005E1A6E"/>
    <w:rsid w:val="005E1D3A"/>
    <w:rsid w:val="005E228F"/>
    <w:rsid w:val="005E24DA"/>
    <w:rsid w:val="005E3855"/>
    <w:rsid w:val="005E3A4B"/>
    <w:rsid w:val="005E460F"/>
    <w:rsid w:val="005E49DC"/>
    <w:rsid w:val="005E52B6"/>
    <w:rsid w:val="005E5571"/>
    <w:rsid w:val="005E5D77"/>
    <w:rsid w:val="005E6245"/>
    <w:rsid w:val="005E62B0"/>
    <w:rsid w:val="005E63D6"/>
    <w:rsid w:val="005E6A8D"/>
    <w:rsid w:val="005E7030"/>
    <w:rsid w:val="005E7684"/>
    <w:rsid w:val="005E7B6F"/>
    <w:rsid w:val="005E7FBD"/>
    <w:rsid w:val="005F0078"/>
    <w:rsid w:val="005F0271"/>
    <w:rsid w:val="005F06E6"/>
    <w:rsid w:val="005F0715"/>
    <w:rsid w:val="005F0EAF"/>
    <w:rsid w:val="005F177D"/>
    <w:rsid w:val="005F19A0"/>
    <w:rsid w:val="005F21DF"/>
    <w:rsid w:val="005F22AB"/>
    <w:rsid w:val="005F2F9A"/>
    <w:rsid w:val="005F3453"/>
    <w:rsid w:val="005F35A8"/>
    <w:rsid w:val="005F35EC"/>
    <w:rsid w:val="005F4880"/>
    <w:rsid w:val="005F511E"/>
    <w:rsid w:val="005F649C"/>
    <w:rsid w:val="005F78E7"/>
    <w:rsid w:val="006013E4"/>
    <w:rsid w:val="0060147C"/>
    <w:rsid w:val="00601DFB"/>
    <w:rsid w:val="0060261E"/>
    <w:rsid w:val="00602755"/>
    <w:rsid w:val="00602C97"/>
    <w:rsid w:val="00602E20"/>
    <w:rsid w:val="006032F2"/>
    <w:rsid w:val="0060418C"/>
    <w:rsid w:val="00604252"/>
    <w:rsid w:val="00604345"/>
    <w:rsid w:val="00604446"/>
    <w:rsid w:val="0060464D"/>
    <w:rsid w:val="00604ED5"/>
    <w:rsid w:val="0060546E"/>
    <w:rsid w:val="00605A87"/>
    <w:rsid w:val="00605A97"/>
    <w:rsid w:val="00605C91"/>
    <w:rsid w:val="00605E15"/>
    <w:rsid w:val="006064D3"/>
    <w:rsid w:val="00606697"/>
    <w:rsid w:val="00606B40"/>
    <w:rsid w:val="00607A77"/>
    <w:rsid w:val="00607E54"/>
    <w:rsid w:val="006100C8"/>
    <w:rsid w:val="00610C7D"/>
    <w:rsid w:val="00610E89"/>
    <w:rsid w:val="00611315"/>
    <w:rsid w:val="00611D21"/>
    <w:rsid w:val="00612824"/>
    <w:rsid w:val="006128ED"/>
    <w:rsid w:val="00612A51"/>
    <w:rsid w:val="00612A7E"/>
    <w:rsid w:val="00613943"/>
    <w:rsid w:val="00613B53"/>
    <w:rsid w:val="00613E81"/>
    <w:rsid w:val="00614305"/>
    <w:rsid w:val="006143F9"/>
    <w:rsid w:val="00614A6D"/>
    <w:rsid w:val="00615DB4"/>
    <w:rsid w:val="00616538"/>
    <w:rsid w:val="00616F7B"/>
    <w:rsid w:val="00617989"/>
    <w:rsid w:val="00617C2B"/>
    <w:rsid w:val="00617CD5"/>
    <w:rsid w:val="00617FEA"/>
    <w:rsid w:val="00620247"/>
    <w:rsid w:val="006205FD"/>
    <w:rsid w:val="00620653"/>
    <w:rsid w:val="00620962"/>
    <w:rsid w:val="00620BA4"/>
    <w:rsid w:val="00620E60"/>
    <w:rsid w:val="006212C3"/>
    <w:rsid w:val="006221EF"/>
    <w:rsid w:val="00623201"/>
    <w:rsid w:val="0062333F"/>
    <w:rsid w:val="0062359C"/>
    <w:rsid w:val="006236CA"/>
    <w:rsid w:val="00623860"/>
    <w:rsid w:val="00624052"/>
    <w:rsid w:val="006240C9"/>
    <w:rsid w:val="00624368"/>
    <w:rsid w:val="00624784"/>
    <w:rsid w:val="006251B2"/>
    <w:rsid w:val="006254CB"/>
    <w:rsid w:val="006254EF"/>
    <w:rsid w:val="00625869"/>
    <w:rsid w:val="00625875"/>
    <w:rsid w:val="00625EF6"/>
    <w:rsid w:val="006262DA"/>
    <w:rsid w:val="006264AF"/>
    <w:rsid w:val="00626554"/>
    <w:rsid w:val="00627067"/>
    <w:rsid w:val="0062716D"/>
    <w:rsid w:val="00627692"/>
    <w:rsid w:val="0062772A"/>
    <w:rsid w:val="006279D3"/>
    <w:rsid w:val="00627B15"/>
    <w:rsid w:val="00627C25"/>
    <w:rsid w:val="00627E87"/>
    <w:rsid w:val="00630340"/>
    <w:rsid w:val="006304C2"/>
    <w:rsid w:val="0063106B"/>
    <w:rsid w:val="006310E3"/>
    <w:rsid w:val="00631209"/>
    <w:rsid w:val="00631282"/>
    <w:rsid w:val="00631427"/>
    <w:rsid w:val="006314C3"/>
    <w:rsid w:val="006317FD"/>
    <w:rsid w:val="00631E96"/>
    <w:rsid w:val="006321FA"/>
    <w:rsid w:val="006325AD"/>
    <w:rsid w:val="006328DD"/>
    <w:rsid w:val="00632D3A"/>
    <w:rsid w:val="00632D53"/>
    <w:rsid w:val="00632E21"/>
    <w:rsid w:val="00632E68"/>
    <w:rsid w:val="00632EA8"/>
    <w:rsid w:val="00633656"/>
    <w:rsid w:val="00633C31"/>
    <w:rsid w:val="00633F22"/>
    <w:rsid w:val="006340EA"/>
    <w:rsid w:val="00634612"/>
    <w:rsid w:val="006348BA"/>
    <w:rsid w:val="00634F2A"/>
    <w:rsid w:val="006350FA"/>
    <w:rsid w:val="006357D7"/>
    <w:rsid w:val="00635AC9"/>
    <w:rsid w:val="00635D5E"/>
    <w:rsid w:val="00635DD2"/>
    <w:rsid w:val="0063667E"/>
    <w:rsid w:val="006372A4"/>
    <w:rsid w:val="00637A50"/>
    <w:rsid w:val="006401A4"/>
    <w:rsid w:val="0064023C"/>
    <w:rsid w:val="00640EC8"/>
    <w:rsid w:val="0064106A"/>
    <w:rsid w:val="0064141C"/>
    <w:rsid w:val="006418B8"/>
    <w:rsid w:val="00641946"/>
    <w:rsid w:val="00641C0D"/>
    <w:rsid w:val="00641C95"/>
    <w:rsid w:val="00641F92"/>
    <w:rsid w:val="006429FA"/>
    <w:rsid w:val="00642D86"/>
    <w:rsid w:val="00643027"/>
    <w:rsid w:val="0064377A"/>
    <w:rsid w:val="00643AE0"/>
    <w:rsid w:val="006442AE"/>
    <w:rsid w:val="00644400"/>
    <w:rsid w:val="006444A3"/>
    <w:rsid w:val="00644A8A"/>
    <w:rsid w:val="00644BCE"/>
    <w:rsid w:val="00644FD7"/>
    <w:rsid w:val="006450B4"/>
    <w:rsid w:val="00645B30"/>
    <w:rsid w:val="00646F2A"/>
    <w:rsid w:val="0064738D"/>
    <w:rsid w:val="006478A2"/>
    <w:rsid w:val="00647ECE"/>
    <w:rsid w:val="006501B8"/>
    <w:rsid w:val="0065062F"/>
    <w:rsid w:val="00650981"/>
    <w:rsid w:val="00650EA5"/>
    <w:rsid w:val="006511E1"/>
    <w:rsid w:val="00651337"/>
    <w:rsid w:val="00651510"/>
    <w:rsid w:val="006516B0"/>
    <w:rsid w:val="00653178"/>
    <w:rsid w:val="0065322E"/>
    <w:rsid w:val="00653C53"/>
    <w:rsid w:val="00653E83"/>
    <w:rsid w:val="0065465E"/>
    <w:rsid w:val="00655AF9"/>
    <w:rsid w:val="00655B08"/>
    <w:rsid w:val="00655CFA"/>
    <w:rsid w:val="00655D5C"/>
    <w:rsid w:val="006560DB"/>
    <w:rsid w:val="006563FD"/>
    <w:rsid w:val="00656408"/>
    <w:rsid w:val="00656460"/>
    <w:rsid w:val="0065647C"/>
    <w:rsid w:val="006565DA"/>
    <w:rsid w:val="00657446"/>
    <w:rsid w:val="006609F3"/>
    <w:rsid w:val="00660B84"/>
    <w:rsid w:val="00660E36"/>
    <w:rsid w:val="00660F40"/>
    <w:rsid w:val="006613E4"/>
    <w:rsid w:val="0066141F"/>
    <w:rsid w:val="00661A0A"/>
    <w:rsid w:val="006621F0"/>
    <w:rsid w:val="00662D11"/>
    <w:rsid w:val="00662DAE"/>
    <w:rsid w:val="00662E4D"/>
    <w:rsid w:val="006632AF"/>
    <w:rsid w:val="00663358"/>
    <w:rsid w:val="00663594"/>
    <w:rsid w:val="006636AF"/>
    <w:rsid w:val="00663B95"/>
    <w:rsid w:val="00663CD9"/>
    <w:rsid w:val="00663D2E"/>
    <w:rsid w:val="00663ED6"/>
    <w:rsid w:val="00665084"/>
    <w:rsid w:val="006657EC"/>
    <w:rsid w:val="00665FE3"/>
    <w:rsid w:val="00665FF8"/>
    <w:rsid w:val="00666235"/>
    <w:rsid w:val="00666395"/>
    <w:rsid w:val="00666986"/>
    <w:rsid w:val="006670BB"/>
    <w:rsid w:val="0066747C"/>
    <w:rsid w:val="00667646"/>
    <w:rsid w:val="006676A7"/>
    <w:rsid w:val="00667706"/>
    <w:rsid w:val="00667779"/>
    <w:rsid w:val="00667966"/>
    <w:rsid w:val="00667EA4"/>
    <w:rsid w:val="006700B7"/>
    <w:rsid w:val="00670403"/>
    <w:rsid w:val="0067045F"/>
    <w:rsid w:val="00670463"/>
    <w:rsid w:val="00670CD5"/>
    <w:rsid w:val="0067108E"/>
    <w:rsid w:val="00671575"/>
    <w:rsid w:val="00671ED3"/>
    <w:rsid w:val="00672177"/>
    <w:rsid w:val="00672479"/>
    <w:rsid w:val="0067253D"/>
    <w:rsid w:val="00672D22"/>
    <w:rsid w:val="00672E3A"/>
    <w:rsid w:val="00672F8D"/>
    <w:rsid w:val="00673888"/>
    <w:rsid w:val="00673986"/>
    <w:rsid w:val="0067409E"/>
    <w:rsid w:val="00674212"/>
    <w:rsid w:val="006742A5"/>
    <w:rsid w:val="006746DE"/>
    <w:rsid w:val="006749D1"/>
    <w:rsid w:val="00674E21"/>
    <w:rsid w:val="00675616"/>
    <w:rsid w:val="006756BE"/>
    <w:rsid w:val="00675A47"/>
    <w:rsid w:val="00675E39"/>
    <w:rsid w:val="006769CB"/>
    <w:rsid w:val="0067740A"/>
    <w:rsid w:val="00677D87"/>
    <w:rsid w:val="00680391"/>
    <w:rsid w:val="006804F0"/>
    <w:rsid w:val="00680504"/>
    <w:rsid w:val="00680A6B"/>
    <w:rsid w:val="00680CDC"/>
    <w:rsid w:val="00680DBF"/>
    <w:rsid w:val="00680E48"/>
    <w:rsid w:val="006816E8"/>
    <w:rsid w:val="006819B6"/>
    <w:rsid w:val="00681A9F"/>
    <w:rsid w:val="006825C9"/>
    <w:rsid w:val="0068274A"/>
    <w:rsid w:val="00683039"/>
    <w:rsid w:val="006830F7"/>
    <w:rsid w:val="00683155"/>
    <w:rsid w:val="00683969"/>
    <w:rsid w:val="00683C49"/>
    <w:rsid w:val="00683DFB"/>
    <w:rsid w:val="00684711"/>
    <w:rsid w:val="00684FF6"/>
    <w:rsid w:val="00685033"/>
    <w:rsid w:val="0068576D"/>
    <w:rsid w:val="0068583D"/>
    <w:rsid w:val="006858B8"/>
    <w:rsid w:val="00685E3B"/>
    <w:rsid w:val="00685FB1"/>
    <w:rsid w:val="00686BFB"/>
    <w:rsid w:val="00686CB3"/>
    <w:rsid w:val="00686E30"/>
    <w:rsid w:val="00686E4E"/>
    <w:rsid w:val="006872FE"/>
    <w:rsid w:val="00687708"/>
    <w:rsid w:val="00687745"/>
    <w:rsid w:val="00687C3A"/>
    <w:rsid w:val="00690429"/>
    <w:rsid w:val="00690B89"/>
    <w:rsid w:val="00690CED"/>
    <w:rsid w:val="00691DD0"/>
    <w:rsid w:val="00691E15"/>
    <w:rsid w:val="00691F8E"/>
    <w:rsid w:val="00692250"/>
    <w:rsid w:val="006923A7"/>
    <w:rsid w:val="00692CC8"/>
    <w:rsid w:val="006938D8"/>
    <w:rsid w:val="00693F2B"/>
    <w:rsid w:val="006948A5"/>
    <w:rsid w:val="006948D8"/>
    <w:rsid w:val="00694A67"/>
    <w:rsid w:val="00694D7F"/>
    <w:rsid w:val="00695040"/>
    <w:rsid w:val="00695AD2"/>
    <w:rsid w:val="0069617C"/>
    <w:rsid w:val="00696D30"/>
    <w:rsid w:val="0069720D"/>
    <w:rsid w:val="0069772C"/>
    <w:rsid w:val="00697CDA"/>
    <w:rsid w:val="00697D0E"/>
    <w:rsid w:val="00697DAD"/>
    <w:rsid w:val="00697F73"/>
    <w:rsid w:val="006A0774"/>
    <w:rsid w:val="006A0BDF"/>
    <w:rsid w:val="006A1050"/>
    <w:rsid w:val="006A124B"/>
    <w:rsid w:val="006A1320"/>
    <w:rsid w:val="006A1603"/>
    <w:rsid w:val="006A1855"/>
    <w:rsid w:val="006A19DF"/>
    <w:rsid w:val="006A1C3E"/>
    <w:rsid w:val="006A1DF4"/>
    <w:rsid w:val="006A1F73"/>
    <w:rsid w:val="006A244E"/>
    <w:rsid w:val="006A322B"/>
    <w:rsid w:val="006A3AF4"/>
    <w:rsid w:val="006A4315"/>
    <w:rsid w:val="006A4501"/>
    <w:rsid w:val="006A4891"/>
    <w:rsid w:val="006A4B51"/>
    <w:rsid w:val="006A56F9"/>
    <w:rsid w:val="006A5FDB"/>
    <w:rsid w:val="006A6475"/>
    <w:rsid w:val="006A68B9"/>
    <w:rsid w:val="006A6966"/>
    <w:rsid w:val="006A6BEC"/>
    <w:rsid w:val="006A72B9"/>
    <w:rsid w:val="006A7E75"/>
    <w:rsid w:val="006B02B5"/>
    <w:rsid w:val="006B0EBE"/>
    <w:rsid w:val="006B120D"/>
    <w:rsid w:val="006B1ED2"/>
    <w:rsid w:val="006B249A"/>
    <w:rsid w:val="006B2889"/>
    <w:rsid w:val="006B3129"/>
    <w:rsid w:val="006B3258"/>
    <w:rsid w:val="006B3BB3"/>
    <w:rsid w:val="006B3BE5"/>
    <w:rsid w:val="006B43D0"/>
    <w:rsid w:val="006B483C"/>
    <w:rsid w:val="006B484B"/>
    <w:rsid w:val="006B4A13"/>
    <w:rsid w:val="006B4E65"/>
    <w:rsid w:val="006B5E9A"/>
    <w:rsid w:val="006B6AD7"/>
    <w:rsid w:val="006B7094"/>
    <w:rsid w:val="006B7228"/>
    <w:rsid w:val="006B723F"/>
    <w:rsid w:val="006B78CA"/>
    <w:rsid w:val="006B7C40"/>
    <w:rsid w:val="006B7E3C"/>
    <w:rsid w:val="006B7EB1"/>
    <w:rsid w:val="006C0334"/>
    <w:rsid w:val="006C042C"/>
    <w:rsid w:val="006C0608"/>
    <w:rsid w:val="006C0A15"/>
    <w:rsid w:val="006C0AF1"/>
    <w:rsid w:val="006C0D38"/>
    <w:rsid w:val="006C0D7D"/>
    <w:rsid w:val="006C0E4B"/>
    <w:rsid w:val="006C153E"/>
    <w:rsid w:val="006C1CA6"/>
    <w:rsid w:val="006C1E1A"/>
    <w:rsid w:val="006C2097"/>
    <w:rsid w:val="006C265C"/>
    <w:rsid w:val="006C3027"/>
    <w:rsid w:val="006C38C8"/>
    <w:rsid w:val="006C38D5"/>
    <w:rsid w:val="006C3CD0"/>
    <w:rsid w:val="006C42C6"/>
    <w:rsid w:val="006C49CB"/>
    <w:rsid w:val="006C518D"/>
    <w:rsid w:val="006C5D95"/>
    <w:rsid w:val="006C5E73"/>
    <w:rsid w:val="006C610D"/>
    <w:rsid w:val="006C6413"/>
    <w:rsid w:val="006C7B38"/>
    <w:rsid w:val="006C7C49"/>
    <w:rsid w:val="006D0431"/>
    <w:rsid w:val="006D076E"/>
    <w:rsid w:val="006D0933"/>
    <w:rsid w:val="006D09B8"/>
    <w:rsid w:val="006D0F44"/>
    <w:rsid w:val="006D1584"/>
    <w:rsid w:val="006D164B"/>
    <w:rsid w:val="006D209E"/>
    <w:rsid w:val="006D20C3"/>
    <w:rsid w:val="006D2155"/>
    <w:rsid w:val="006D2B1D"/>
    <w:rsid w:val="006D2FCE"/>
    <w:rsid w:val="006D3654"/>
    <w:rsid w:val="006D3FA9"/>
    <w:rsid w:val="006D41D4"/>
    <w:rsid w:val="006D4DDB"/>
    <w:rsid w:val="006D4F96"/>
    <w:rsid w:val="006D535E"/>
    <w:rsid w:val="006D55B7"/>
    <w:rsid w:val="006D5934"/>
    <w:rsid w:val="006D5983"/>
    <w:rsid w:val="006D6107"/>
    <w:rsid w:val="006D641B"/>
    <w:rsid w:val="006D653B"/>
    <w:rsid w:val="006D685A"/>
    <w:rsid w:val="006D6933"/>
    <w:rsid w:val="006D6F8E"/>
    <w:rsid w:val="006D77B7"/>
    <w:rsid w:val="006D7CA0"/>
    <w:rsid w:val="006E0883"/>
    <w:rsid w:val="006E16BC"/>
    <w:rsid w:val="006E1ABB"/>
    <w:rsid w:val="006E1B62"/>
    <w:rsid w:val="006E1DC1"/>
    <w:rsid w:val="006E2385"/>
    <w:rsid w:val="006E28DD"/>
    <w:rsid w:val="006E30BC"/>
    <w:rsid w:val="006E334E"/>
    <w:rsid w:val="006E342E"/>
    <w:rsid w:val="006E3626"/>
    <w:rsid w:val="006E388D"/>
    <w:rsid w:val="006E3CBA"/>
    <w:rsid w:val="006E4D2E"/>
    <w:rsid w:val="006E51C7"/>
    <w:rsid w:val="006E523F"/>
    <w:rsid w:val="006E59F1"/>
    <w:rsid w:val="006E5B97"/>
    <w:rsid w:val="006E5C8E"/>
    <w:rsid w:val="006E5F20"/>
    <w:rsid w:val="006E5FB9"/>
    <w:rsid w:val="006E67D2"/>
    <w:rsid w:val="006E686B"/>
    <w:rsid w:val="006E69CF"/>
    <w:rsid w:val="006E6C56"/>
    <w:rsid w:val="006E7327"/>
    <w:rsid w:val="006E7853"/>
    <w:rsid w:val="006E78AD"/>
    <w:rsid w:val="006E7B27"/>
    <w:rsid w:val="006E7D27"/>
    <w:rsid w:val="006F050F"/>
    <w:rsid w:val="006F1090"/>
    <w:rsid w:val="006F1D55"/>
    <w:rsid w:val="006F1F98"/>
    <w:rsid w:val="006F2C25"/>
    <w:rsid w:val="006F2E34"/>
    <w:rsid w:val="006F3301"/>
    <w:rsid w:val="006F38FE"/>
    <w:rsid w:val="006F3CAE"/>
    <w:rsid w:val="006F3E5E"/>
    <w:rsid w:val="006F465C"/>
    <w:rsid w:val="006F4B16"/>
    <w:rsid w:val="006F5588"/>
    <w:rsid w:val="006F5A48"/>
    <w:rsid w:val="006F5E81"/>
    <w:rsid w:val="006F67D7"/>
    <w:rsid w:val="006F7D31"/>
    <w:rsid w:val="006F7D55"/>
    <w:rsid w:val="006F7F40"/>
    <w:rsid w:val="00700542"/>
    <w:rsid w:val="00700C02"/>
    <w:rsid w:val="00700F84"/>
    <w:rsid w:val="00701960"/>
    <w:rsid w:val="00701969"/>
    <w:rsid w:val="00701D3B"/>
    <w:rsid w:val="00702783"/>
    <w:rsid w:val="00702897"/>
    <w:rsid w:val="00702A6B"/>
    <w:rsid w:val="00702C3D"/>
    <w:rsid w:val="00702E5A"/>
    <w:rsid w:val="00702F8D"/>
    <w:rsid w:val="007030D5"/>
    <w:rsid w:val="00704041"/>
    <w:rsid w:val="00704256"/>
    <w:rsid w:val="00704C2D"/>
    <w:rsid w:val="00704EEF"/>
    <w:rsid w:val="007052E5"/>
    <w:rsid w:val="007052EB"/>
    <w:rsid w:val="00705424"/>
    <w:rsid w:val="007059D9"/>
    <w:rsid w:val="00705D32"/>
    <w:rsid w:val="00705D74"/>
    <w:rsid w:val="007068CF"/>
    <w:rsid w:val="00707158"/>
    <w:rsid w:val="00707350"/>
    <w:rsid w:val="00707A9D"/>
    <w:rsid w:val="00707C3B"/>
    <w:rsid w:val="007102C5"/>
    <w:rsid w:val="00710AAF"/>
    <w:rsid w:val="00710C91"/>
    <w:rsid w:val="00710F09"/>
    <w:rsid w:val="007118E9"/>
    <w:rsid w:val="00711F7F"/>
    <w:rsid w:val="00711FB3"/>
    <w:rsid w:val="00712690"/>
    <w:rsid w:val="00712D94"/>
    <w:rsid w:val="00712F72"/>
    <w:rsid w:val="0071341D"/>
    <w:rsid w:val="007139DB"/>
    <w:rsid w:val="007139E4"/>
    <w:rsid w:val="00713B91"/>
    <w:rsid w:val="00713E61"/>
    <w:rsid w:val="007145FE"/>
    <w:rsid w:val="0071460F"/>
    <w:rsid w:val="0071499F"/>
    <w:rsid w:val="00714BE9"/>
    <w:rsid w:val="00714DD7"/>
    <w:rsid w:val="007150D6"/>
    <w:rsid w:val="00715449"/>
    <w:rsid w:val="0071568F"/>
    <w:rsid w:val="00715951"/>
    <w:rsid w:val="00715DDC"/>
    <w:rsid w:val="00715E45"/>
    <w:rsid w:val="007163D0"/>
    <w:rsid w:val="00716432"/>
    <w:rsid w:val="007164E6"/>
    <w:rsid w:val="0071710E"/>
    <w:rsid w:val="00717393"/>
    <w:rsid w:val="007178BA"/>
    <w:rsid w:val="00720434"/>
    <w:rsid w:val="007204C3"/>
    <w:rsid w:val="00720523"/>
    <w:rsid w:val="00720611"/>
    <w:rsid w:val="00720983"/>
    <w:rsid w:val="00720BAA"/>
    <w:rsid w:val="007214A2"/>
    <w:rsid w:val="00721FD6"/>
    <w:rsid w:val="007224FB"/>
    <w:rsid w:val="00722A9A"/>
    <w:rsid w:val="00722B78"/>
    <w:rsid w:val="0072395D"/>
    <w:rsid w:val="00723B1F"/>
    <w:rsid w:val="00723F8C"/>
    <w:rsid w:val="00724B5D"/>
    <w:rsid w:val="00724BC5"/>
    <w:rsid w:val="00725317"/>
    <w:rsid w:val="00725D56"/>
    <w:rsid w:val="00725E09"/>
    <w:rsid w:val="00725F4E"/>
    <w:rsid w:val="00727164"/>
    <w:rsid w:val="00727950"/>
    <w:rsid w:val="00727C36"/>
    <w:rsid w:val="00727D12"/>
    <w:rsid w:val="00730A25"/>
    <w:rsid w:val="00730E8D"/>
    <w:rsid w:val="00730FB7"/>
    <w:rsid w:val="007312CB"/>
    <w:rsid w:val="00731479"/>
    <w:rsid w:val="007316E4"/>
    <w:rsid w:val="00731F68"/>
    <w:rsid w:val="0073224E"/>
    <w:rsid w:val="00732D61"/>
    <w:rsid w:val="00733272"/>
    <w:rsid w:val="00734041"/>
    <w:rsid w:val="00734069"/>
    <w:rsid w:val="00735192"/>
    <w:rsid w:val="0073520E"/>
    <w:rsid w:val="00735B95"/>
    <w:rsid w:val="00735E1B"/>
    <w:rsid w:val="00735E55"/>
    <w:rsid w:val="00735FE7"/>
    <w:rsid w:val="00736E6D"/>
    <w:rsid w:val="00737383"/>
    <w:rsid w:val="00737D7C"/>
    <w:rsid w:val="0074011B"/>
    <w:rsid w:val="00740C13"/>
    <w:rsid w:val="007414B6"/>
    <w:rsid w:val="007418C4"/>
    <w:rsid w:val="007418E9"/>
    <w:rsid w:val="00741D69"/>
    <w:rsid w:val="00741E12"/>
    <w:rsid w:val="0074227D"/>
    <w:rsid w:val="00742526"/>
    <w:rsid w:val="0074306F"/>
    <w:rsid w:val="007430E8"/>
    <w:rsid w:val="00743191"/>
    <w:rsid w:val="00743534"/>
    <w:rsid w:val="00744081"/>
    <w:rsid w:val="00744381"/>
    <w:rsid w:val="00744454"/>
    <w:rsid w:val="0074480F"/>
    <w:rsid w:val="00745294"/>
    <w:rsid w:val="007452AB"/>
    <w:rsid w:val="00745470"/>
    <w:rsid w:val="007459F1"/>
    <w:rsid w:val="00745AA1"/>
    <w:rsid w:val="00745BC3"/>
    <w:rsid w:val="007462C3"/>
    <w:rsid w:val="0074642B"/>
    <w:rsid w:val="007467A4"/>
    <w:rsid w:val="00746AAC"/>
    <w:rsid w:val="00746DA8"/>
    <w:rsid w:val="007472A7"/>
    <w:rsid w:val="007478B9"/>
    <w:rsid w:val="00747AD5"/>
    <w:rsid w:val="00747E10"/>
    <w:rsid w:val="00747F8A"/>
    <w:rsid w:val="00750234"/>
    <w:rsid w:val="0075026F"/>
    <w:rsid w:val="00750944"/>
    <w:rsid w:val="00750BBD"/>
    <w:rsid w:val="00750C25"/>
    <w:rsid w:val="00751578"/>
    <w:rsid w:val="007515F4"/>
    <w:rsid w:val="0075266A"/>
    <w:rsid w:val="00753336"/>
    <w:rsid w:val="007536F7"/>
    <w:rsid w:val="00753873"/>
    <w:rsid w:val="0075399C"/>
    <w:rsid w:val="00753A3B"/>
    <w:rsid w:val="00753D94"/>
    <w:rsid w:val="00753FE8"/>
    <w:rsid w:val="0075463B"/>
    <w:rsid w:val="00754BA7"/>
    <w:rsid w:val="007550D8"/>
    <w:rsid w:val="007558F2"/>
    <w:rsid w:val="0075592A"/>
    <w:rsid w:val="00755A71"/>
    <w:rsid w:val="00755B5E"/>
    <w:rsid w:val="00756643"/>
    <w:rsid w:val="00756840"/>
    <w:rsid w:val="00756B3A"/>
    <w:rsid w:val="00756CBF"/>
    <w:rsid w:val="00756F4B"/>
    <w:rsid w:val="007576B8"/>
    <w:rsid w:val="00757A52"/>
    <w:rsid w:val="00757A92"/>
    <w:rsid w:val="00757EFB"/>
    <w:rsid w:val="0076008C"/>
    <w:rsid w:val="007600B8"/>
    <w:rsid w:val="00760388"/>
    <w:rsid w:val="00760B63"/>
    <w:rsid w:val="007612BE"/>
    <w:rsid w:val="00761846"/>
    <w:rsid w:val="007619E5"/>
    <w:rsid w:val="00761E58"/>
    <w:rsid w:val="0076252A"/>
    <w:rsid w:val="00762689"/>
    <w:rsid w:val="00762E87"/>
    <w:rsid w:val="00762FC3"/>
    <w:rsid w:val="0076314B"/>
    <w:rsid w:val="00763210"/>
    <w:rsid w:val="00763633"/>
    <w:rsid w:val="007637A1"/>
    <w:rsid w:val="007653A2"/>
    <w:rsid w:val="007655E8"/>
    <w:rsid w:val="00765765"/>
    <w:rsid w:val="00766419"/>
    <w:rsid w:val="007664EF"/>
    <w:rsid w:val="00766522"/>
    <w:rsid w:val="0076673A"/>
    <w:rsid w:val="007668C4"/>
    <w:rsid w:val="00766A02"/>
    <w:rsid w:val="00766F35"/>
    <w:rsid w:val="00767AE6"/>
    <w:rsid w:val="007701C4"/>
    <w:rsid w:val="00770514"/>
    <w:rsid w:val="00770E17"/>
    <w:rsid w:val="007713F5"/>
    <w:rsid w:val="007716C8"/>
    <w:rsid w:val="00771BC6"/>
    <w:rsid w:val="00771D0D"/>
    <w:rsid w:val="0077297F"/>
    <w:rsid w:val="00772BD0"/>
    <w:rsid w:val="00772F7D"/>
    <w:rsid w:val="00772FFA"/>
    <w:rsid w:val="007730D4"/>
    <w:rsid w:val="00773112"/>
    <w:rsid w:val="00773453"/>
    <w:rsid w:val="007734DF"/>
    <w:rsid w:val="007735BA"/>
    <w:rsid w:val="00773817"/>
    <w:rsid w:val="007739DD"/>
    <w:rsid w:val="00773AB6"/>
    <w:rsid w:val="00773B30"/>
    <w:rsid w:val="00773D43"/>
    <w:rsid w:val="00773F59"/>
    <w:rsid w:val="0077454B"/>
    <w:rsid w:val="007750AF"/>
    <w:rsid w:val="0077564C"/>
    <w:rsid w:val="0077590A"/>
    <w:rsid w:val="007759DC"/>
    <w:rsid w:val="00775BAF"/>
    <w:rsid w:val="00775C7D"/>
    <w:rsid w:val="00776120"/>
    <w:rsid w:val="00776461"/>
    <w:rsid w:val="00776B13"/>
    <w:rsid w:val="007774E2"/>
    <w:rsid w:val="0077762A"/>
    <w:rsid w:val="00777ABC"/>
    <w:rsid w:val="00780680"/>
    <w:rsid w:val="00781481"/>
    <w:rsid w:val="007816F0"/>
    <w:rsid w:val="00781ABB"/>
    <w:rsid w:val="00782265"/>
    <w:rsid w:val="00782A91"/>
    <w:rsid w:val="0078368D"/>
    <w:rsid w:val="00783A63"/>
    <w:rsid w:val="00783A8B"/>
    <w:rsid w:val="00783B99"/>
    <w:rsid w:val="0078427A"/>
    <w:rsid w:val="00784BCB"/>
    <w:rsid w:val="00784ECB"/>
    <w:rsid w:val="00785186"/>
    <w:rsid w:val="007851E2"/>
    <w:rsid w:val="00785C24"/>
    <w:rsid w:val="00786506"/>
    <w:rsid w:val="00787405"/>
    <w:rsid w:val="0078743E"/>
    <w:rsid w:val="0078795C"/>
    <w:rsid w:val="00787E48"/>
    <w:rsid w:val="00790165"/>
    <w:rsid w:val="007901F6"/>
    <w:rsid w:val="00790C93"/>
    <w:rsid w:val="00790ECF"/>
    <w:rsid w:val="00792087"/>
    <w:rsid w:val="007929D5"/>
    <w:rsid w:val="00793C8C"/>
    <w:rsid w:val="00793D63"/>
    <w:rsid w:val="00793EA2"/>
    <w:rsid w:val="007940E0"/>
    <w:rsid w:val="007942CA"/>
    <w:rsid w:val="00794611"/>
    <w:rsid w:val="00794635"/>
    <w:rsid w:val="007947C0"/>
    <w:rsid w:val="0079516B"/>
    <w:rsid w:val="00795244"/>
    <w:rsid w:val="0079537E"/>
    <w:rsid w:val="00795920"/>
    <w:rsid w:val="007959F1"/>
    <w:rsid w:val="00796076"/>
    <w:rsid w:val="00796224"/>
    <w:rsid w:val="0079645C"/>
    <w:rsid w:val="0079646C"/>
    <w:rsid w:val="0079669F"/>
    <w:rsid w:val="00797F19"/>
    <w:rsid w:val="007A02EB"/>
    <w:rsid w:val="007A0483"/>
    <w:rsid w:val="007A05B2"/>
    <w:rsid w:val="007A17AF"/>
    <w:rsid w:val="007A1AC6"/>
    <w:rsid w:val="007A1BAB"/>
    <w:rsid w:val="007A239F"/>
    <w:rsid w:val="007A398C"/>
    <w:rsid w:val="007A3E0F"/>
    <w:rsid w:val="007A40E1"/>
    <w:rsid w:val="007A4142"/>
    <w:rsid w:val="007A4483"/>
    <w:rsid w:val="007A4614"/>
    <w:rsid w:val="007A4B1C"/>
    <w:rsid w:val="007A50F0"/>
    <w:rsid w:val="007A51A2"/>
    <w:rsid w:val="007A55EF"/>
    <w:rsid w:val="007A5752"/>
    <w:rsid w:val="007A6620"/>
    <w:rsid w:val="007A6623"/>
    <w:rsid w:val="007A68A9"/>
    <w:rsid w:val="007A6BD1"/>
    <w:rsid w:val="007A7570"/>
    <w:rsid w:val="007A77DD"/>
    <w:rsid w:val="007A7C0D"/>
    <w:rsid w:val="007A7E6B"/>
    <w:rsid w:val="007B0458"/>
    <w:rsid w:val="007B083E"/>
    <w:rsid w:val="007B120C"/>
    <w:rsid w:val="007B154D"/>
    <w:rsid w:val="007B1BA0"/>
    <w:rsid w:val="007B2082"/>
    <w:rsid w:val="007B20EB"/>
    <w:rsid w:val="007B22D5"/>
    <w:rsid w:val="007B2466"/>
    <w:rsid w:val="007B26F1"/>
    <w:rsid w:val="007B2FD3"/>
    <w:rsid w:val="007B31AB"/>
    <w:rsid w:val="007B32AC"/>
    <w:rsid w:val="007B4023"/>
    <w:rsid w:val="007B449B"/>
    <w:rsid w:val="007B4CFC"/>
    <w:rsid w:val="007B4E46"/>
    <w:rsid w:val="007B55FB"/>
    <w:rsid w:val="007B56DE"/>
    <w:rsid w:val="007B5E88"/>
    <w:rsid w:val="007B6124"/>
    <w:rsid w:val="007B62D8"/>
    <w:rsid w:val="007B6C02"/>
    <w:rsid w:val="007B6E37"/>
    <w:rsid w:val="007B7064"/>
    <w:rsid w:val="007C06EE"/>
    <w:rsid w:val="007C0B85"/>
    <w:rsid w:val="007C2075"/>
    <w:rsid w:val="007C2879"/>
    <w:rsid w:val="007C3482"/>
    <w:rsid w:val="007C3489"/>
    <w:rsid w:val="007C3558"/>
    <w:rsid w:val="007C36E0"/>
    <w:rsid w:val="007C37EB"/>
    <w:rsid w:val="007C3963"/>
    <w:rsid w:val="007C3C23"/>
    <w:rsid w:val="007C3EDA"/>
    <w:rsid w:val="007C425D"/>
    <w:rsid w:val="007C44DF"/>
    <w:rsid w:val="007C4A5B"/>
    <w:rsid w:val="007C5416"/>
    <w:rsid w:val="007C59AE"/>
    <w:rsid w:val="007C5ED9"/>
    <w:rsid w:val="007C69E5"/>
    <w:rsid w:val="007C797D"/>
    <w:rsid w:val="007D0C44"/>
    <w:rsid w:val="007D1D20"/>
    <w:rsid w:val="007D282D"/>
    <w:rsid w:val="007D32FF"/>
    <w:rsid w:val="007D3E19"/>
    <w:rsid w:val="007D5695"/>
    <w:rsid w:val="007D5ABB"/>
    <w:rsid w:val="007D5D4D"/>
    <w:rsid w:val="007D5DDC"/>
    <w:rsid w:val="007D644C"/>
    <w:rsid w:val="007D6B09"/>
    <w:rsid w:val="007D6F90"/>
    <w:rsid w:val="007D7045"/>
    <w:rsid w:val="007D787B"/>
    <w:rsid w:val="007D7E6E"/>
    <w:rsid w:val="007E0163"/>
    <w:rsid w:val="007E0259"/>
    <w:rsid w:val="007E055F"/>
    <w:rsid w:val="007E1119"/>
    <w:rsid w:val="007E195B"/>
    <w:rsid w:val="007E2053"/>
    <w:rsid w:val="007E2302"/>
    <w:rsid w:val="007E2E4A"/>
    <w:rsid w:val="007E3097"/>
    <w:rsid w:val="007E399C"/>
    <w:rsid w:val="007E3BBA"/>
    <w:rsid w:val="007E3F3B"/>
    <w:rsid w:val="007E4A11"/>
    <w:rsid w:val="007E4F28"/>
    <w:rsid w:val="007E503B"/>
    <w:rsid w:val="007E5277"/>
    <w:rsid w:val="007E529A"/>
    <w:rsid w:val="007E530F"/>
    <w:rsid w:val="007E563F"/>
    <w:rsid w:val="007E56C6"/>
    <w:rsid w:val="007E5711"/>
    <w:rsid w:val="007E57EC"/>
    <w:rsid w:val="007E5A88"/>
    <w:rsid w:val="007E5C5E"/>
    <w:rsid w:val="007E5E8E"/>
    <w:rsid w:val="007E6871"/>
    <w:rsid w:val="007E7246"/>
    <w:rsid w:val="007E7333"/>
    <w:rsid w:val="007E73BB"/>
    <w:rsid w:val="007E76B8"/>
    <w:rsid w:val="007E7F00"/>
    <w:rsid w:val="007E7FE5"/>
    <w:rsid w:val="007F0205"/>
    <w:rsid w:val="007F04EF"/>
    <w:rsid w:val="007F0D58"/>
    <w:rsid w:val="007F0DDB"/>
    <w:rsid w:val="007F14F1"/>
    <w:rsid w:val="007F192A"/>
    <w:rsid w:val="007F19BB"/>
    <w:rsid w:val="007F1C4F"/>
    <w:rsid w:val="007F26BB"/>
    <w:rsid w:val="007F27D8"/>
    <w:rsid w:val="007F3A82"/>
    <w:rsid w:val="007F3CE0"/>
    <w:rsid w:val="007F3DD1"/>
    <w:rsid w:val="007F42AA"/>
    <w:rsid w:val="007F42E8"/>
    <w:rsid w:val="007F433D"/>
    <w:rsid w:val="007F46CB"/>
    <w:rsid w:val="007F4A15"/>
    <w:rsid w:val="007F4D6A"/>
    <w:rsid w:val="007F53DB"/>
    <w:rsid w:val="007F57EB"/>
    <w:rsid w:val="007F58D3"/>
    <w:rsid w:val="007F5CE0"/>
    <w:rsid w:val="007F6441"/>
    <w:rsid w:val="007F66B5"/>
    <w:rsid w:val="007F6865"/>
    <w:rsid w:val="007F6E87"/>
    <w:rsid w:val="007F76F7"/>
    <w:rsid w:val="008001D1"/>
    <w:rsid w:val="00800780"/>
    <w:rsid w:val="00800D99"/>
    <w:rsid w:val="008012DB"/>
    <w:rsid w:val="0080168A"/>
    <w:rsid w:val="008018D0"/>
    <w:rsid w:val="00801AA3"/>
    <w:rsid w:val="00801BFE"/>
    <w:rsid w:val="00802533"/>
    <w:rsid w:val="00802E53"/>
    <w:rsid w:val="00804057"/>
    <w:rsid w:val="00804388"/>
    <w:rsid w:val="00804746"/>
    <w:rsid w:val="00804F60"/>
    <w:rsid w:val="008054DB"/>
    <w:rsid w:val="008059D6"/>
    <w:rsid w:val="00805A49"/>
    <w:rsid w:val="00805D98"/>
    <w:rsid w:val="00805EC2"/>
    <w:rsid w:val="008063C6"/>
    <w:rsid w:val="008064DE"/>
    <w:rsid w:val="00806ABD"/>
    <w:rsid w:val="00807347"/>
    <w:rsid w:val="008077E6"/>
    <w:rsid w:val="00807882"/>
    <w:rsid w:val="008078F1"/>
    <w:rsid w:val="00807972"/>
    <w:rsid w:val="00807B4D"/>
    <w:rsid w:val="00810327"/>
    <w:rsid w:val="00811872"/>
    <w:rsid w:val="00811EAE"/>
    <w:rsid w:val="0081246C"/>
    <w:rsid w:val="00812514"/>
    <w:rsid w:val="00813573"/>
    <w:rsid w:val="00813637"/>
    <w:rsid w:val="008139A9"/>
    <w:rsid w:val="008139F8"/>
    <w:rsid w:val="00813BB3"/>
    <w:rsid w:val="00813CD2"/>
    <w:rsid w:val="0081446A"/>
    <w:rsid w:val="008144D8"/>
    <w:rsid w:val="00814F24"/>
    <w:rsid w:val="0081502F"/>
    <w:rsid w:val="008154F2"/>
    <w:rsid w:val="0081568E"/>
    <w:rsid w:val="00815ADC"/>
    <w:rsid w:val="00815B69"/>
    <w:rsid w:val="008160DB"/>
    <w:rsid w:val="00816149"/>
    <w:rsid w:val="008168DE"/>
    <w:rsid w:val="00816CF6"/>
    <w:rsid w:val="00816E8E"/>
    <w:rsid w:val="00817226"/>
    <w:rsid w:val="00817669"/>
    <w:rsid w:val="008176DF"/>
    <w:rsid w:val="00817ADD"/>
    <w:rsid w:val="00817EA3"/>
    <w:rsid w:val="00820309"/>
    <w:rsid w:val="00820B26"/>
    <w:rsid w:val="00820D8B"/>
    <w:rsid w:val="00820FC6"/>
    <w:rsid w:val="008214AD"/>
    <w:rsid w:val="00821517"/>
    <w:rsid w:val="008219C7"/>
    <w:rsid w:val="00821D5C"/>
    <w:rsid w:val="008220E5"/>
    <w:rsid w:val="008224B6"/>
    <w:rsid w:val="00822ADB"/>
    <w:rsid w:val="00822C8A"/>
    <w:rsid w:val="0082337A"/>
    <w:rsid w:val="00823514"/>
    <w:rsid w:val="00823FEC"/>
    <w:rsid w:val="00824900"/>
    <w:rsid w:val="00824A2E"/>
    <w:rsid w:val="00824EC9"/>
    <w:rsid w:val="00825D66"/>
    <w:rsid w:val="00825E1E"/>
    <w:rsid w:val="00826338"/>
    <w:rsid w:val="0082716E"/>
    <w:rsid w:val="00827564"/>
    <w:rsid w:val="00827B33"/>
    <w:rsid w:val="00827CC3"/>
    <w:rsid w:val="008310C7"/>
    <w:rsid w:val="0083195A"/>
    <w:rsid w:val="00831A06"/>
    <w:rsid w:val="00831AC5"/>
    <w:rsid w:val="008325DB"/>
    <w:rsid w:val="00832F3B"/>
    <w:rsid w:val="00834E6E"/>
    <w:rsid w:val="0083565C"/>
    <w:rsid w:val="0083586D"/>
    <w:rsid w:val="008359A6"/>
    <w:rsid w:val="00835DCD"/>
    <w:rsid w:val="00836D90"/>
    <w:rsid w:val="00837556"/>
    <w:rsid w:val="008375A3"/>
    <w:rsid w:val="00837942"/>
    <w:rsid w:val="00840327"/>
    <w:rsid w:val="0084093E"/>
    <w:rsid w:val="0084119C"/>
    <w:rsid w:val="0084185D"/>
    <w:rsid w:val="00841A91"/>
    <w:rsid w:val="00841B67"/>
    <w:rsid w:val="00842289"/>
    <w:rsid w:val="0084237E"/>
    <w:rsid w:val="008425A3"/>
    <w:rsid w:val="00842DF7"/>
    <w:rsid w:val="00842FA1"/>
    <w:rsid w:val="008435D0"/>
    <w:rsid w:val="00843BFE"/>
    <w:rsid w:val="00843D02"/>
    <w:rsid w:val="0084439F"/>
    <w:rsid w:val="008444A5"/>
    <w:rsid w:val="00844B3F"/>
    <w:rsid w:val="00845E7A"/>
    <w:rsid w:val="00845F45"/>
    <w:rsid w:val="00846001"/>
    <w:rsid w:val="008468FB"/>
    <w:rsid w:val="00846AE9"/>
    <w:rsid w:val="00847A75"/>
    <w:rsid w:val="00847CCD"/>
    <w:rsid w:val="00847E30"/>
    <w:rsid w:val="008505D7"/>
    <w:rsid w:val="00850821"/>
    <w:rsid w:val="00850867"/>
    <w:rsid w:val="0085096D"/>
    <w:rsid w:val="00850CC5"/>
    <w:rsid w:val="00851143"/>
    <w:rsid w:val="008511C1"/>
    <w:rsid w:val="00851774"/>
    <w:rsid w:val="00851DD3"/>
    <w:rsid w:val="00852351"/>
    <w:rsid w:val="008524AC"/>
    <w:rsid w:val="00852B21"/>
    <w:rsid w:val="00852E04"/>
    <w:rsid w:val="00852E26"/>
    <w:rsid w:val="00852F13"/>
    <w:rsid w:val="008536B6"/>
    <w:rsid w:val="00853A1D"/>
    <w:rsid w:val="00853A5F"/>
    <w:rsid w:val="00854C7E"/>
    <w:rsid w:val="00854F74"/>
    <w:rsid w:val="00856A95"/>
    <w:rsid w:val="00856CFF"/>
    <w:rsid w:val="00857010"/>
    <w:rsid w:val="00860305"/>
    <w:rsid w:val="0086039C"/>
    <w:rsid w:val="00860811"/>
    <w:rsid w:val="00860D67"/>
    <w:rsid w:val="00860D93"/>
    <w:rsid w:val="00861A93"/>
    <w:rsid w:val="0086229F"/>
    <w:rsid w:val="008626C8"/>
    <w:rsid w:val="008629E1"/>
    <w:rsid w:val="0086308B"/>
    <w:rsid w:val="0086323F"/>
    <w:rsid w:val="008632B8"/>
    <w:rsid w:val="00863927"/>
    <w:rsid w:val="0086398E"/>
    <w:rsid w:val="00863AEF"/>
    <w:rsid w:val="00863CE4"/>
    <w:rsid w:val="0086423F"/>
    <w:rsid w:val="008644E2"/>
    <w:rsid w:val="00865836"/>
    <w:rsid w:val="00865B9C"/>
    <w:rsid w:val="0086617A"/>
    <w:rsid w:val="008664D6"/>
    <w:rsid w:val="0086686E"/>
    <w:rsid w:val="00866B93"/>
    <w:rsid w:val="00866FC6"/>
    <w:rsid w:val="008673B7"/>
    <w:rsid w:val="00867718"/>
    <w:rsid w:val="00867733"/>
    <w:rsid w:val="00867771"/>
    <w:rsid w:val="00867B2F"/>
    <w:rsid w:val="00867E76"/>
    <w:rsid w:val="008704C4"/>
    <w:rsid w:val="00870581"/>
    <w:rsid w:val="00871241"/>
    <w:rsid w:val="00871505"/>
    <w:rsid w:val="0087195C"/>
    <w:rsid w:val="00871FBB"/>
    <w:rsid w:val="008722A6"/>
    <w:rsid w:val="00873189"/>
    <w:rsid w:val="0087335E"/>
    <w:rsid w:val="008736FE"/>
    <w:rsid w:val="00873756"/>
    <w:rsid w:val="00874116"/>
    <w:rsid w:val="008743E3"/>
    <w:rsid w:val="00874DA0"/>
    <w:rsid w:val="008751C4"/>
    <w:rsid w:val="00875AEF"/>
    <w:rsid w:val="00875AF4"/>
    <w:rsid w:val="00875C71"/>
    <w:rsid w:val="00875DB2"/>
    <w:rsid w:val="008762B5"/>
    <w:rsid w:val="0087688C"/>
    <w:rsid w:val="0087695E"/>
    <w:rsid w:val="00877485"/>
    <w:rsid w:val="00877780"/>
    <w:rsid w:val="00877784"/>
    <w:rsid w:val="00877C29"/>
    <w:rsid w:val="0088084B"/>
    <w:rsid w:val="00880B73"/>
    <w:rsid w:val="00881B3D"/>
    <w:rsid w:val="00881E9A"/>
    <w:rsid w:val="00882661"/>
    <w:rsid w:val="008826AE"/>
    <w:rsid w:val="0088276D"/>
    <w:rsid w:val="00882829"/>
    <w:rsid w:val="00882BD8"/>
    <w:rsid w:val="00882D58"/>
    <w:rsid w:val="00883017"/>
    <w:rsid w:val="00883461"/>
    <w:rsid w:val="008836CD"/>
    <w:rsid w:val="008845FA"/>
    <w:rsid w:val="00884BF0"/>
    <w:rsid w:val="008851AA"/>
    <w:rsid w:val="008857A4"/>
    <w:rsid w:val="00885981"/>
    <w:rsid w:val="00885BCA"/>
    <w:rsid w:val="00885F79"/>
    <w:rsid w:val="00885F9B"/>
    <w:rsid w:val="008873F8"/>
    <w:rsid w:val="00887930"/>
    <w:rsid w:val="00887B6D"/>
    <w:rsid w:val="00887EDA"/>
    <w:rsid w:val="00890239"/>
    <w:rsid w:val="00890A41"/>
    <w:rsid w:val="0089101E"/>
    <w:rsid w:val="0089119B"/>
    <w:rsid w:val="0089129F"/>
    <w:rsid w:val="008916DE"/>
    <w:rsid w:val="00891AF2"/>
    <w:rsid w:val="00891D9E"/>
    <w:rsid w:val="00892037"/>
    <w:rsid w:val="00892A42"/>
    <w:rsid w:val="00893091"/>
    <w:rsid w:val="008935D5"/>
    <w:rsid w:val="00893761"/>
    <w:rsid w:val="00893845"/>
    <w:rsid w:val="00893AA1"/>
    <w:rsid w:val="00894670"/>
    <w:rsid w:val="0089474B"/>
    <w:rsid w:val="008948CB"/>
    <w:rsid w:val="0089520E"/>
    <w:rsid w:val="0089555D"/>
    <w:rsid w:val="00895CF3"/>
    <w:rsid w:val="00896D31"/>
    <w:rsid w:val="00896D5C"/>
    <w:rsid w:val="0089703D"/>
    <w:rsid w:val="0089710B"/>
    <w:rsid w:val="0089724A"/>
    <w:rsid w:val="00897377"/>
    <w:rsid w:val="00897687"/>
    <w:rsid w:val="008A0186"/>
    <w:rsid w:val="008A0718"/>
    <w:rsid w:val="008A08C2"/>
    <w:rsid w:val="008A0905"/>
    <w:rsid w:val="008A0C3B"/>
    <w:rsid w:val="008A0FBE"/>
    <w:rsid w:val="008A1001"/>
    <w:rsid w:val="008A1171"/>
    <w:rsid w:val="008A1618"/>
    <w:rsid w:val="008A1A2F"/>
    <w:rsid w:val="008A1B99"/>
    <w:rsid w:val="008A1E3E"/>
    <w:rsid w:val="008A1EA4"/>
    <w:rsid w:val="008A23C7"/>
    <w:rsid w:val="008A2E03"/>
    <w:rsid w:val="008A2E52"/>
    <w:rsid w:val="008A30F4"/>
    <w:rsid w:val="008A32AF"/>
    <w:rsid w:val="008A38EC"/>
    <w:rsid w:val="008A39F8"/>
    <w:rsid w:val="008A3FD3"/>
    <w:rsid w:val="008A4ED6"/>
    <w:rsid w:val="008A50F4"/>
    <w:rsid w:val="008A51E9"/>
    <w:rsid w:val="008A58E8"/>
    <w:rsid w:val="008A5BDD"/>
    <w:rsid w:val="008A6329"/>
    <w:rsid w:val="008A6644"/>
    <w:rsid w:val="008A69AB"/>
    <w:rsid w:val="008A6E87"/>
    <w:rsid w:val="008A7772"/>
    <w:rsid w:val="008A7AFC"/>
    <w:rsid w:val="008B0323"/>
    <w:rsid w:val="008B0F4F"/>
    <w:rsid w:val="008B1468"/>
    <w:rsid w:val="008B1DC9"/>
    <w:rsid w:val="008B2047"/>
    <w:rsid w:val="008B2435"/>
    <w:rsid w:val="008B293C"/>
    <w:rsid w:val="008B2D17"/>
    <w:rsid w:val="008B2D7A"/>
    <w:rsid w:val="008B34FD"/>
    <w:rsid w:val="008B3C48"/>
    <w:rsid w:val="008B3D23"/>
    <w:rsid w:val="008B3E07"/>
    <w:rsid w:val="008B435F"/>
    <w:rsid w:val="008B4936"/>
    <w:rsid w:val="008B4A0B"/>
    <w:rsid w:val="008B5821"/>
    <w:rsid w:val="008B5B7E"/>
    <w:rsid w:val="008B6220"/>
    <w:rsid w:val="008B71E9"/>
    <w:rsid w:val="008B71EB"/>
    <w:rsid w:val="008B7804"/>
    <w:rsid w:val="008B7ABF"/>
    <w:rsid w:val="008C01FA"/>
    <w:rsid w:val="008C0632"/>
    <w:rsid w:val="008C0C5F"/>
    <w:rsid w:val="008C1799"/>
    <w:rsid w:val="008C2F29"/>
    <w:rsid w:val="008C3098"/>
    <w:rsid w:val="008C33D0"/>
    <w:rsid w:val="008C388D"/>
    <w:rsid w:val="008C3F53"/>
    <w:rsid w:val="008C3FEE"/>
    <w:rsid w:val="008C4619"/>
    <w:rsid w:val="008C4C53"/>
    <w:rsid w:val="008C512B"/>
    <w:rsid w:val="008C548A"/>
    <w:rsid w:val="008C6B00"/>
    <w:rsid w:val="008C6C35"/>
    <w:rsid w:val="008C75D2"/>
    <w:rsid w:val="008D0C6D"/>
    <w:rsid w:val="008D1472"/>
    <w:rsid w:val="008D180F"/>
    <w:rsid w:val="008D262D"/>
    <w:rsid w:val="008D2B32"/>
    <w:rsid w:val="008D2DAC"/>
    <w:rsid w:val="008D344A"/>
    <w:rsid w:val="008D37F2"/>
    <w:rsid w:val="008D3E00"/>
    <w:rsid w:val="008D4090"/>
    <w:rsid w:val="008D440A"/>
    <w:rsid w:val="008D44A3"/>
    <w:rsid w:val="008D461A"/>
    <w:rsid w:val="008D4A12"/>
    <w:rsid w:val="008D4ECE"/>
    <w:rsid w:val="008D4FAF"/>
    <w:rsid w:val="008D5080"/>
    <w:rsid w:val="008D5092"/>
    <w:rsid w:val="008D52BE"/>
    <w:rsid w:val="008D5637"/>
    <w:rsid w:val="008D5B52"/>
    <w:rsid w:val="008D5E29"/>
    <w:rsid w:val="008D62A5"/>
    <w:rsid w:val="008D6C62"/>
    <w:rsid w:val="008D7144"/>
    <w:rsid w:val="008D7574"/>
    <w:rsid w:val="008D75D2"/>
    <w:rsid w:val="008D7C83"/>
    <w:rsid w:val="008E0175"/>
    <w:rsid w:val="008E0494"/>
    <w:rsid w:val="008E062D"/>
    <w:rsid w:val="008E1447"/>
    <w:rsid w:val="008E1703"/>
    <w:rsid w:val="008E2404"/>
    <w:rsid w:val="008E3101"/>
    <w:rsid w:val="008E31DB"/>
    <w:rsid w:val="008E384F"/>
    <w:rsid w:val="008E3E4B"/>
    <w:rsid w:val="008E40CC"/>
    <w:rsid w:val="008E49B0"/>
    <w:rsid w:val="008E4C24"/>
    <w:rsid w:val="008E4C3D"/>
    <w:rsid w:val="008E4D42"/>
    <w:rsid w:val="008E5181"/>
    <w:rsid w:val="008E58D2"/>
    <w:rsid w:val="008E5AE5"/>
    <w:rsid w:val="008E5B0E"/>
    <w:rsid w:val="008E5C85"/>
    <w:rsid w:val="008E5F35"/>
    <w:rsid w:val="008E61A2"/>
    <w:rsid w:val="008E6259"/>
    <w:rsid w:val="008E6585"/>
    <w:rsid w:val="008E6DD7"/>
    <w:rsid w:val="008E6F31"/>
    <w:rsid w:val="008E7171"/>
    <w:rsid w:val="008E781E"/>
    <w:rsid w:val="008E7BBD"/>
    <w:rsid w:val="008E7DC0"/>
    <w:rsid w:val="008E7EE5"/>
    <w:rsid w:val="008F062F"/>
    <w:rsid w:val="008F089B"/>
    <w:rsid w:val="008F0A74"/>
    <w:rsid w:val="008F0B54"/>
    <w:rsid w:val="008F0D05"/>
    <w:rsid w:val="008F0D91"/>
    <w:rsid w:val="008F173D"/>
    <w:rsid w:val="008F1A4C"/>
    <w:rsid w:val="008F21B8"/>
    <w:rsid w:val="008F226A"/>
    <w:rsid w:val="008F2AE5"/>
    <w:rsid w:val="008F2D22"/>
    <w:rsid w:val="008F300E"/>
    <w:rsid w:val="008F3306"/>
    <w:rsid w:val="008F3981"/>
    <w:rsid w:val="008F39D6"/>
    <w:rsid w:val="008F3EAC"/>
    <w:rsid w:val="008F42C3"/>
    <w:rsid w:val="008F48E1"/>
    <w:rsid w:val="008F4C34"/>
    <w:rsid w:val="008F4FBF"/>
    <w:rsid w:val="008F52F9"/>
    <w:rsid w:val="008F5414"/>
    <w:rsid w:val="008F54E4"/>
    <w:rsid w:val="008F6275"/>
    <w:rsid w:val="008F636D"/>
    <w:rsid w:val="008F663E"/>
    <w:rsid w:val="008F6AB9"/>
    <w:rsid w:val="008F7850"/>
    <w:rsid w:val="00900191"/>
    <w:rsid w:val="009004B8"/>
    <w:rsid w:val="00900A02"/>
    <w:rsid w:val="00900A35"/>
    <w:rsid w:val="00900E8F"/>
    <w:rsid w:val="00901050"/>
    <w:rsid w:val="0090115A"/>
    <w:rsid w:val="0090146D"/>
    <w:rsid w:val="0090173D"/>
    <w:rsid w:val="00901E9C"/>
    <w:rsid w:val="009020BF"/>
    <w:rsid w:val="009020C8"/>
    <w:rsid w:val="00902161"/>
    <w:rsid w:val="009028C1"/>
    <w:rsid w:val="00902DA0"/>
    <w:rsid w:val="00902DDE"/>
    <w:rsid w:val="0090390B"/>
    <w:rsid w:val="00903C8A"/>
    <w:rsid w:val="0090458F"/>
    <w:rsid w:val="009048B6"/>
    <w:rsid w:val="00904923"/>
    <w:rsid w:val="00904C12"/>
    <w:rsid w:val="009052B0"/>
    <w:rsid w:val="009056C2"/>
    <w:rsid w:val="00905B25"/>
    <w:rsid w:val="00905EF1"/>
    <w:rsid w:val="00906565"/>
    <w:rsid w:val="009065C7"/>
    <w:rsid w:val="009067F2"/>
    <w:rsid w:val="00906E1C"/>
    <w:rsid w:val="00907015"/>
    <w:rsid w:val="00907081"/>
    <w:rsid w:val="00907397"/>
    <w:rsid w:val="009073DE"/>
    <w:rsid w:val="009076F6"/>
    <w:rsid w:val="00907A81"/>
    <w:rsid w:val="00907D1E"/>
    <w:rsid w:val="00907F8D"/>
    <w:rsid w:val="0091016E"/>
    <w:rsid w:val="00910510"/>
    <w:rsid w:val="0091094F"/>
    <w:rsid w:val="00910D86"/>
    <w:rsid w:val="0091123F"/>
    <w:rsid w:val="009120D0"/>
    <w:rsid w:val="00912845"/>
    <w:rsid w:val="00912D97"/>
    <w:rsid w:val="00912E55"/>
    <w:rsid w:val="00913D9F"/>
    <w:rsid w:val="00914398"/>
    <w:rsid w:val="00914BCE"/>
    <w:rsid w:val="009155A6"/>
    <w:rsid w:val="00915B37"/>
    <w:rsid w:val="00915B9C"/>
    <w:rsid w:val="0091697F"/>
    <w:rsid w:val="00916D2F"/>
    <w:rsid w:val="00917024"/>
    <w:rsid w:val="0091751D"/>
    <w:rsid w:val="009175DD"/>
    <w:rsid w:val="0091773A"/>
    <w:rsid w:val="00920608"/>
    <w:rsid w:val="00921103"/>
    <w:rsid w:val="00921142"/>
    <w:rsid w:val="009213B4"/>
    <w:rsid w:val="009217CD"/>
    <w:rsid w:val="009219C4"/>
    <w:rsid w:val="0092229D"/>
    <w:rsid w:val="009226F9"/>
    <w:rsid w:val="00922F7E"/>
    <w:rsid w:val="009232D5"/>
    <w:rsid w:val="0092346A"/>
    <w:rsid w:val="0092478B"/>
    <w:rsid w:val="009258BE"/>
    <w:rsid w:val="00925F48"/>
    <w:rsid w:val="009266CC"/>
    <w:rsid w:val="0092681D"/>
    <w:rsid w:val="00926947"/>
    <w:rsid w:val="00926989"/>
    <w:rsid w:val="00930DED"/>
    <w:rsid w:val="0093122F"/>
    <w:rsid w:val="009312D6"/>
    <w:rsid w:val="00931942"/>
    <w:rsid w:val="00931BF6"/>
    <w:rsid w:val="00931FA2"/>
    <w:rsid w:val="0093227B"/>
    <w:rsid w:val="00932670"/>
    <w:rsid w:val="00932B9C"/>
    <w:rsid w:val="00932EC8"/>
    <w:rsid w:val="00932F20"/>
    <w:rsid w:val="00933C9A"/>
    <w:rsid w:val="00933E38"/>
    <w:rsid w:val="00934C2F"/>
    <w:rsid w:val="00934FB1"/>
    <w:rsid w:val="009354C2"/>
    <w:rsid w:val="009355E5"/>
    <w:rsid w:val="009379BA"/>
    <w:rsid w:val="009405AA"/>
    <w:rsid w:val="00940EBB"/>
    <w:rsid w:val="009430F6"/>
    <w:rsid w:val="00943252"/>
    <w:rsid w:val="009441F0"/>
    <w:rsid w:val="009448C2"/>
    <w:rsid w:val="00944A4E"/>
    <w:rsid w:val="00944DF2"/>
    <w:rsid w:val="0094543D"/>
    <w:rsid w:val="009457BC"/>
    <w:rsid w:val="0094580D"/>
    <w:rsid w:val="00945C74"/>
    <w:rsid w:val="00945FBF"/>
    <w:rsid w:val="00946602"/>
    <w:rsid w:val="00946F49"/>
    <w:rsid w:val="00947306"/>
    <w:rsid w:val="009500AB"/>
    <w:rsid w:val="009506D0"/>
    <w:rsid w:val="009506E3"/>
    <w:rsid w:val="009517EA"/>
    <w:rsid w:val="00951ACE"/>
    <w:rsid w:val="00951C32"/>
    <w:rsid w:val="00951D1E"/>
    <w:rsid w:val="00952048"/>
    <w:rsid w:val="009524FD"/>
    <w:rsid w:val="00952870"/>
    <w:rsid w:val="009531EB"/>
    <w:rsid w:val="00953257"/>
    <w:rsid w:val="00953398"/>
    <w:rsid w:val="00953611"/>
    <w:rsid w:val="009539AD"/>
    <w:rsid w:val="00954F3F"/>
    <w:rsid w:val="00955275"/>
    <w:rsid w:val="00955463"/>
    <w:rsid w:val="00955726"/>
    <w:rsid w:val="009559FE"/>
    <w:rsid w:val="00956010"/>
    <w:rsid w:val="0095619F"/>
    <w:rsid w:val="009561B7"/>
    <w:rsid w:val="0095680E"/>
    <w:rsid w:val="0095684D"/>
    <w:rsid w:val="00956944"/>
    <w:rsid w:val="00956B4E"/>
    <w:rsid w:val="00956C88"/>
    <w:rsid w:val="009570D2"/>
    <w:rsid w:val="009571EC"/>
    <w:rsid w:val="00957651"/>
    <w:rsid w:val="00957D1E"/>
    <w:rsid w:val="00960932"/>
    <w:rsid w:val="009619EA"/>
    <w:rsid w:val="00961F84"/>
    <w:rsid w:val="00962308"/>
    <w:rsid w:val="0096283E"/>
    <w:rsid w:val="00962B9B"/>
    <w:rsid w:val="00962ECB"/>
    <w:rsid w:val="00963A84"/>
    <w:rsid w:val="0096465A"/>
    <w:rsid w:val="00965EFC"/>
    <w:rsid w:val="009662E5"/>
    <w:rsid w:val="009664F9"/>
    <w:rsid w:val="00966CC2"/>
    <w:rsid w:val="00966EDA"/>
    <w:rsid w:val="00967141"/>
    <w:rsid w:val="009673EF"/>
    <w:rsid w:val="00967ADC"/>
    <w:rsid w:val="00967C17"/>
    <w:rsid w:val="00967E55"/>
    <w:rsid w:val="009708C4"/>
    <w:rsid w:val="009709C9"/>
    <w:rsid w:val="00970B62"/>
    <w:rsid w:val="00970D1D"/>
    <w:rsid w:val="0097119B"/>
    <w:rsid w:val="00971D39"/>
    <w:rsid w:val="009723F7"/>
    <w:rsid w:val="0097240C"/>
    <w:rsid w:val="00972423"/>
    <w:rsid w:val="00972681"/>
    <w:rsid w:val="0097286F"/>
    <w:rsid w:val="009729EB"/>
    <w:rsid w:val="00972CC4"/>
    <w:rsid w:val="00973136"/>
    <w:rsid w:val="00973855"/>
    <w:rsid w:val="00973897"/>
    <w:rsid w:val="009739F6"/>
    <w:rsid w:val="00973B46"/>
    <w:rsid w:val="00973CAA"/>
    <w:rsid w:val="00973DEF"/>
    <w:rsid w:val="00973F19"/>
    <w:rsid w:val="009740D6"/>
    <w:rsid w:val="009748D3"/>
    <w:rsid w:val="00974A2F"/>
    <w:rsid w:val="0097598A"/>
    <w:rsid w:val="0097661D"/>
    <w:rsid w:val="00976E16"/>
    <w:rsid w:val="00976F8B"/>
    <w:rsid w:val="009773A1"/>
    <w:rsid w:val="009775D9"/>
    <w:rsid w:val="0097763E"/>
    <w:rsid w:val="00977BCC"/>
    <w:rsid w:val="00977CEA"/>
    <w:rsid w:val="00980037"/>
    <w:rsid w:val="00980551"/>
    <w:rsid w:val="0098079F"/>
    <w:rsid w:val="009807AA"/>
    <w:rsid w:val="00980F8B"/>
    <w:rsid w:val="00981796"/>
    <w:rsid w:val="00981CAB"/>
    <w:rsid w:val="0098230A"/>
    <w:rsid w:val="0098281F"/>
    <w:rsid w:val="00982820"/>
    <w:rsid w:val="00982972"/>
    <w:rsid w:val="00982A7F"/>
    <w:rsid w:val="00982C9B"/>
    <w:rsid w:val="00982E8B"/>
    <w:rsid w:val="00983B70"/>
    <w:rsid w:val="009842EC"/>
    <w:rsid w:val="009843D5"/>
    <w:rsid w:val="009850CB"/>
    <w:rsid w:val="009856F6"/>
    <w:rsid w:val="0098574A"/>
    <w:rsid w:val="009857FA"/>
    <w:rsid w:val="00985ABE"/>
    <w:rsid w:val="00985C40"/>
    <w:rsid w:val="00985F63"/>
    <w:rsid w:val="00986139"/>
    <w:rsid w:val="009861DC"/>
    <w:rsid w:val="0098634C"/>
    <w:rsid w:val="0098672E"/>
    <w:rsid w:val="00986749"/>
    <w:rsid w:val="00986D4F"/>
    <w:rsid w:val="0098735E"/>
    <w:rsid w:val="009879E4"/>
    <w:rsid w:val="00987A72"/>
    <w:rsid w:val="00987AE2"/>
    <w:rsid w:val="00990076"/>
    <w:rsid w:val="0099039E"/>
    <w:rsid w:val="00990697"/>
    <w:rsid w:val="00990791"/>
    <w:rsid w:val="0099104B"/>
    <w:rsid w:val="00991D12"/>
    <w:rsid w:val="00992C76"/>
    <w:rsid w:val="009930CC"/>
    <w:rsid w:val="0099380E"/>
    <w:rsid w:val="00993FDE"/>
    <w:rsid w:val="0099413D"/>
    <w:rsid w:val="00994713"/>
    <w:rsid w:val="00995163"/>
    <w:rsid w:val="00995348"/>
    <w:rsid w:val="0099558C"/>
    <w:rsid w:val="00995A74"/>
    <w:rsid w:val="00995E9D"/>
    <w:rsid w:val="00996789"/>
    <w:rsid w:val="00997308"/>
    <w:rsid w:val="00997464"/>
    <w:rsid w:val="009974B8"/>
    <w:rsid w:val="0099790F"/>
    <w:rsid w:val="009A01D3"/>
    <w:rsid w:val="009A0689"/>
    <w:rsid w:val="009A071A"/>
    <w:rsid w:val="009A071D"/>
    <w:rsid w:val="009A0928"/>
    <w:rsid w:val="009A09EB"/>
    <w:rsid w:val="009A0A52"/>
    <w:rsid w:val="009A114F"/>
    <w:rsid w:val="009A18D1"/>
    <w:rsid w:val="009A1905"/>
    <w:rsid w:val="009A1B90"/>
    <w:rsid w:val="009A1F2F"/>
    <w:rsid w:val="009A229E"/>
    <w:rsid w:val="009A22A3"/>
    <w:rsid w:val="009A2403"/>
    <w:rsid w:val="009A2B1E"/>
    <w:rsid w:val="009A3611"/>
    <w:rsid w:val="009A413A"/>
    <w:rsid w:val="009A4267"/>
    <w:rsid w:val="009A434A"/>
    <w:rsid w:val="009A4359"/>
    <w:rsid w:val="009A4516"/>
    <w:rsid w:val="009A47CC"/>
    <w:rsid w:val="009A4A65"/>
    <w:rsid w:val="009A4BCB"/>
    <w:rsid w:val="009A4E45"/>
    <w:rsid w:val="009A523E"/>
    <w:rsid w:val="009A54F0"/>
    <w:rsid w:val="009A5E45"/>
    <w:rsid w:val="009A6A89"/>
    <w:rsid w:val="009A6C8A"/>
    <w:rsid w:val="009A778E"/>
    <w:rsid w:val="009A7BE2"/>
    <w:rsid w:val="009A7FD7"/>
    <w:rsid w:val="009B001A"/>
    <w:rsid w:val="009B08D9"/>
    <w:rsid w:val="009B0FED"/>
    <w:rsid w:val="009B1F20"/>
    <w:rsid w:val="009B2AAA"/>
    <w:rsid w:val="009B2F7B"/>
    <w:rsid w:val="009B4041"/>
    <w:rsid w:val="009B4370"/>
    <w:rsid w:val="009B4570"/>
    <w:rsid w:val="009B45C1"/>
    <w:rsid w:val="009B46CF"/>
    <w:rsid w:val="009B5344"/>
    <w:rsid w:val="009B5821"/>
    <w:rsid w:val="009B5ADD"/>
    <w:rsid w:val="009B5D67"/>
    <w:rsid w:val="009B5E4A"/>
    <w:rsid w:val="009B603C"/>
    <w:rsid w:val="009B6113"/>
    <w:rsid w:val="009B6126"/>
    <w:rsid w:val="009B666D"/>
    <w:rsid w:val="009B6AFA"/>
    <w:rsid w:val="009B729A"/>
    <w:rsid w:val="009B7441"/>
    <w:rsid w:val="009B7BE0"/>
    <w:rsid w:val="009C006A"/>
    <w:rsid w:val="009C00C0"/>
    <w:rsid w:val="009C03C7"/>
    <w:rsid w:val="009C0497"/>
    <w:rsid w:val="009C04EF"/>
    <w:rsid w:val="009C0756"/>
    <w:rsid w:val="009C0D63"/>
    <w:rsid w:val="009C11E7"/>
    <w:rsid w:val="009C213C"/>
    <w:rsid w:val="009C2366"/>
    <w:rsid w:val="009C2632"/>
    <w:rsid w:val="009C26FE"/>
    <w:rsid w:val="009C2848"/>
    <w:rsid w:val="009C3145"/>
    <w:rsid w:val="009C31BF"/>
    <w:rsid w:val="009C3D3E"/>
    <w:rsid w:val="009C42FD"/>
    <w:rsid w:val="009C4400"/>
    <w:rsid w:val="009C4F76"/>
    <w:rsid w:val="009C5261"/>
    <w:rsid w:val="009C52D2"/>
    <w:rsid w:val="009C55E2"/>
    <w:rsid w:val="009C584A"/>
    <w:rsid w:val="009C5AD3"/>
    <w:rsid w:val="009C776B"/>
    <w:rsid w:val="009C7CF5"/>
    <w:rsid w:val="009C7DD1"/>
    <w:rsid w:val="009D0315"/>
    <w:rsid w:val="009D03A5"/>
    <w:rsid w:val="009D0B64"/>
    <w:rsid w:val="009D0EAE"/>
    <w:rsid w:val="009D107C"/>
    <w:rsid w:val="009D11D1"/>
    <w:rsid w:val="009D18B2"/>
    <w:rsid w:val="009D1A7F"/>
    <w:rsid w:val="009D2AFF"/>
    <w:rsid w:val="009D2D17"/>
    <w:rsid w:val="009D30E8"/>
    <w:rsid w:val="009D3581"/>
    <w:rsid w:val="009D368B"/>
    <w:rsid w:val="009D3706"/>
    <w:rsid w:val="009D3727"/>
    <w:rsid w:val="009D4C77"/>
    <w:rsid w:val="009D4EB3"/>
    <w:rsid w:val="009D54CB"/>
    <w:rsid w:val="009D5AD2"/>
    <w:rsid w:val="009D71EB"/>
    <w:rsid w:val="009D769B"/>
    <w:rsid w:val="009D77A3"/>
    <w:rsid w:val="009D7F3E"/>
    <w:rsid w:val="009E07D8"/>
    <w:rsid w:val="009E0C80"/>
    <w:rsid w:val="009E0F64"/>
    <w:rsid w:val="009E1230"/>
    <w:rsid w:val="009E15C3"/>
    <w:rsid w:val="009E16D4"/>
    <w:rsid w:val="009E17FB"/>
    <w:rsid w:val="009E2021"/>
    <w:rsid w:val="009E2045"/>
    <w:rsid w:val="009E2589"/>
    <w:rsid w:val="009E2875"/>
    <w:rsid w:val="009E2A5D"/>
    <w:rsid w:val="009E3051"/>
    <w:rsid w:val="009E34E8"/>
    <w:rsid w:val="009E3673"/>
    <w:rsid w:val="009E3AAF"/>
    <w:rsid w:val="009E3AC5"/>
    <w:rsid w:val="009E3F23"/>
    <w:rsid w:val="009E3F6A"/>
    <w:rsid w:val="009E4057"/>
    <w:rsid w:val="009E4AF0"/>
    <w:rsid w:val="009E4B26"/>
    <w:rsid w:val="009E50E4"/>
    <w:rsid w:val="009E5413"/>
    <w:rsid w:val="009E603D"/>
    <w:rsid w:val="009E6163"/>
    <w:rsid w:val="009E6193"/>
    <w:rsid w:val="009E6945"/>
    <w:rsid w:val="009E7115"/>
    <w:rsid w:val="009E7552"/>
    <w:rsid w:val="009E75BE"/>
    <w:rsid w:val="009E7829"/>
    <w:rsid w:val="009E7D39"/>
    <w:rsid w:val="009F16FB"/>
    <w:rsid w:val="009F1748"/>
    <w:rsid w:val="009F1921"/>
    <w:rsid w:val="009F207B"/>
    <w:rsid w:val="009F2756"/>
    <w:rsid w:val="009F28B7"/>
    <w:rsid w:val="009F29BA"/>
    <w:rsid w:val="009F2E46"/>
    <w:rsid w:val="009F30BB"/>
    <w:rsid w:val="009F48C7"/>
    <w:rsid w:val="009F4C82"/>
    <w:rsid w:val="009F4CF6"/>
    <w:rsid w:val="009F5490"/>
    <w:rsid w:val="009F56D4"/>
    <w:rsid w:val="009F5A2C"/>
    <w:rsid w:val="009F5D64"/>
    <w:rsid w:val="009F6153"/>
    <w:rsid w:val="009F7710"/>
    <w:rsid w:val="009F792E"/>
    <w:rsid w:val="009F7FB1"/>
    <w:rsid w:val="00A0006A"/>
    <w:rsid w:val="00A00077"/>
    <w:rsid w:val="00A008C3"/>
    <w:rsid w:val="00A012FD"/>
    <w:rsid w:val="00A01AEF"/>
    <w:rsid w:val="00A020B8"/>
    <w:rsid w:val="00A0233C"/>
    <w:rsid w:val="00A033B3"/>
    <w:rsid w:val="00A034CA"/>
    <w:rsid w:val="00A036BD"/>
    <w:rsid w:val="00A03A1E"/>
    <w:rsid w:val="00A03EC7"/>
    <w:rsid w:val="00A0409E"/>
    <w:rsid w:val="00A042B6"/>
    <w:rsid w:val="00A0449C"/>
    <w:rsid w:val="00A04A21"/>
    <w:rsid w:val="00A052E2"/>
    <w:rsid w:val="00A053FF"/>
    <w:rsid w:val="00A05519"/>
    <w:rsid w:val="00A05560"/>
    <w:rsid w:val="00A05D35"/>
    <w:rsid w:val="00A06770"/>
    <w:rsid w:val="00A06A8D"/>
    <w:rsid w:val="00A07180"/>
    <w:rsid w:val="00A07636"/>
    <w:rsid w:val="00A07D8E"/>
    <w:rsid w:val="00A104C4"/>
    <w:rsid w:val="00A10947"/>
    <w:rsid w:val="00A11070"/>
    <w:rsid w:val="00A11095"/>
    <w:rsid w:val="00A11171"/>
    <w:rsid w:val="00A1181B"/>
    <w:rsid w:val="00A11A04"/>
    <w:rsid w:val="00A11B5A"/>
    <w:rsid w:val="00A12F8E"/>
    <w:rsid w:val="00A133D6"/>
    <w:rsid w:val="00A1351A"/>
    <w:rsid w:val="00A13A87"/>
    <w:rsid w:val="00A14036"/>
    <w:rsid w:val="00A14599"/>
    <w:rsid w:val="00A14ADC"/>
    <w:rsid w:val="00A152EE"/>
    <w:rsid w:val="00A16007"/>
    <w:rsid w:val="00A168C2"/>
    <w:rsid w:val="00A169AF"/>
    <w:rsid w:val="00A171DE"/>
    <w:rsid w:val="00A17D21"/>
    <w:rsid w:val="00A17E6F"/>
    <w:rsid w:val="00A20148"/>
    <w:rsid w:val="00A2132A"/>
    <w:rsid w:val="00A21333"/>
    <w:rsid w:val="00A2140E"/>
    <w:rsid w:val="00A21C19"/>
    <w:rsid w:val="00A2257F"/>
    <w:rsid w:val="00A22621"/>
    <w:rsid w:val="00A22A3F"/>
    <w:rsid w:val="00A23038"/>
    <w:rsid w:val="00A233F6"/>
    <w:rsid w:val="00A23489"/>
    <w:rsid w:val="00A23F1E"/>
    <w:rsid w:val="00A246A0"/>
    <w:rsid w:val="00A24E3C"/>
    <w:rsid w:val="00A25253"/>
    <w:rsid w:val="00A25CC2"/>
    <w:rsid w:val="00A26C19"/>
    <w:rsid w:val="00A27B8B"/>
    <w:rsid w:val="00A27CE9"/>
    <w:rsid w:val="00A30AD0"/>
    <w:rsid w:val="00A30D05"/>
    <w:rsid w:val="00A30F30"/>
    <w:rsid w:val="00A31D87"/>
    <w:rsid w:val="00A321ED"/>
    <w:rsid w:val="00A32398"/>
    <w:rsid w:val="00A323CE"/>
    <w:rsid w:val="00A324EE"/>
    <w:rsid w:val="00A32FF5"/>
    <w:rsid w:val="00A3362B"/>
    <w:rsid w:val="00A33784"/>
    <w:rsid w:val="00A33E07"/>
    <w:rsid w:val="00A33E1B"/>
    <w:rsid w:val="00A341B3"/>
    <w:rsid w:val="00A343A6"/>
    <w:rsid w:val="00A3472C"/>
    <w:rsid w:val="00A34C7B"/>
    <w:rsid w:val="00A34C92"/>
    <w:rsid w:val="00A34DF3"/>
    <w:rsid w:val="00A35147"/>
    <w:rsid w:val="00A35A77"/>
    <w:rsid w:val="00A35E9B"/>
    <w:rsid w:val="00A3663A"/>
    <w:rsid w:val="00A36833"/>
    <w:rsid w:val="00A36B6E"/>
    <w:rsid w:val="00A376FB"/>
    <w:rsid w:val="00A37D1A"/>
    <w:rsid w:val="00A40068"/>
    <w:rsid w:val="00A405A8"/>
    <w:rsid w:val="00A40843"/>
    <w:rsid w:val="00A40887"/>
    <w:rsid w:val="00A40FA9"/>
    <w:rsid w:val="00A40FCF"/>
    <w:rsid w:val="00A415FE"/>
    <w:rsid w:val="00A417DD"/>
    <w:rsid w:val="00A41814"/>
    <w:rsid w:val="00A41A01"/>
    <w:rsid w:val="00A41A97"/>
    <w:rsid w:val="00A42749"/>
    <w:rsid w:val="00A42ABE"/>
    <w:rsid w:val="00A439BC"/>
    <w:rsid w:val="00A43C68"/>
    <w:rsid w:val="00A4400A"/>
    <w:rsid w:val="00A440E4"/>
    <w:rsid w:val="00A451D2"/>
    <w:rsid w:val="00A45E01"/>
    <w:rsid w:val="00A4608D"/>
    <w:rsid w:val="00A46D82"/>
    <w:rsid w:val="00A46FF8"/>
    <w:rsid w:val="00A4715D"/>
    <w:rsid w:val="00A47191"/>
    <w:rsid w:val="00A47F51"/>
    <w:rsid w:val="00A50049"/>
    <w:rsid w:val="00A5022D"/>
    <w:rsid w:val="00A5105A"/>
    <w:rsid w:val="00A5122C"/>
    <w:rsid w:val="00A512A4"/>
    <w:rsid w:val="00A513DE"/>
    <w:rsid w:val="00A5184E"/>
    <w:rsid w:val="00A5199C"/>
    <w:rsid w:val="00A519E7"/>
    <w:rsid w:val="00A51CA0"/>
    <w:rsid w:val="00A51F58"/>
    <w:rsid w:val="00A51FC9"/>
    <w:rsid w:val="00A522A3"/>
    <w:rsid w:val="00A52365"/>
    <w:rsid w:val="00A52595"/>
    <w:rsid w:val="00A52AFF"/>
    <w:rsid w:val="00A53472"/>
    <w:rsid w:val="00A5360D"/>
    <w:rsid w:val="00A5361D"/>
    <w:rsid w:val="00A541B4"/>
    <w:rsid w:val="00A54620"/>
    <w:rsid w:val="00A547E5"/>
    <w:rsid w:val="00A5530F"/>
    <w:rsid w:val="00A55983"/>
    <w:rsid w:val="00A562E0"/>
    <w:rsid w:val="00A5688E"/>
    <w:rsid w:val="00A56B37"/>
    <w:rsid w:val="00A56C89"/>
    <w:rsid w:val="00A56EC3"/>
    <w:rsid w:val="00A56F2C"/>
    <w:rsid w:val="00A5708A"/>
    <w:rsid w:val="00A572D3"/>
    <w:rsid w:val="00A5736A"/>
    <w:rsid w:val="00A5798C"/>
    <w:rsid w:val="00A57DB4"/>
    <w:rsid w:val="00A602FA"/>
    <w:rsid w:val="00A624EA"/>
    <w:rsid w:val="00A62775"/>
    <w:rsid w:val="00A6348A"/>
    <w:rsid w:val="00A634F9"/>
    <w:rsid w:val="00A637CA"/>
    <w:rsid w:val="00A63DFC"/>
    <w:rsid w:val="00A64A86"/>
    <w:rsid w:val="00A64D17"/>
    <w:rsid w:val="00A650AC"/>
    <w:rsid w:val="00A65347"/>
    <w:rsid w:val="00A654DF"/>
    <w:rsid w:val="00A65B7E"/>
    <w:rsid w:val="00A65CD6"/>
    <w:rsid w:val="00A65F43"/>
    <w:rsid w:val="00A65FC4"/>
    <w:rsid w:val="00A662F3"/>
    <w:rsid w:val="00A66A92"/>
    <w:rsid w:val="00A66CA9"/>
    <w:rsid w:val="00A6726B"/>
    <w:rsid w:val="00A67554"/>
    <w:rsid w:val="00A67A2A"/>
    <w:rsid w:val="00A67D5A"/>
    <w:rsid w:val="00A701BC"/>
    <w:rsid w:val="00A709C2"/>
    <w:rsid w:val="00A70CC2"/>
    <w:rsid w:val="00A70CC3"/>
    <w:rsid w:val="00A712A3"/>
    <w:rsid w:val="00A7141A"/>
    <w:rsid w:val="00A71676"/>
    <w:rsid w:val="00A71809"/>
    <w:rsid w:val="00A71A61"/>
    <w:rsid w:val="00A72304"/>
    <w:rsid w:val="00A72643"/>
    <w:rsid w:val="00A72D5E"/>
    <w:rsid w:val="00A72D62"/>
    <w:rsid w:val="00A7342B"/>
    <w:rsid w:val="00A736FF"/>
    <w:rsid w:val="00A73761"/>
    <w:rsid w:val="00A73870"/>
    <w:rsid w:val="00A73EFC"/>
    <w:rsid w:val="00A74297"/>
    <w:rsid w:val="00A74564"/>
    <w:rsid w:val="00A74674"/>
    <w:rsid w:val="00A747F7"/>
    <w:rsid w:val="00A75830"/>
    <w:rsid w:val="00A75938"/>
    <w:rsid w:val="00A77332"/>
    <w:rsid w:val="00A7749E"/>
    <w:rsid w:val="00A77A8C"/>
    <w:rsid w:val="00A77DC6"/>
    <w:rsid w:val="00A77E4E"/>
    <w:rsid w:val="00A77ECB"/>
    <w:rsid w:val="00A77F72"/>
    <w:rsid w:val="00A8004C"/>
    <w:rsid w:val="00A80751"/>
    <w:rsid w:val="00A807CD"/>
    <w:rsid w:val="00A81800"/>
    <w:rsid w:val="00A81937"/>
    <w:rsid w:val="00A82448"/>
    <w:rsid w:val="00A826FD"/>
    <w:rsid w:val="00A827E0"/>
    <w:rsid w:val="00A82904"/>
    <w:rsid w:val="00A82A33"/>
    <w:rsid w:val="00A834C6"/>
    <w:rsid w:val="00A837C2"/>
    <w:rsid w:val="00A837E2"/>
    <w:rsid w:val="00A83E0F"/>
    <w:rsid w:val="00A83E18"/>
    <w:rsid w:val="00A84024"/>
    <w:rsid w:val="00A8423C"/>
    <w:rsid w:val="00A84314"/>
    <w:rsid w:val="00A84738"/>
    <w:rsid w:val="00A8489D"/>
    <w:rsid w:val="00A850E5"/>
    <w:rsid w:val="00A851E7"/>
    <w:rsid w:val="00A8587A"/>
    <w:rsid w:val="00A858E6"/>
    <w:rsid w:val="00A85C9A"/>
    <w:rsid w:val="00A85D36"/>
    <w:rsid w:val="00A86568"/>
    <w:rsid w:val="00A869DF"/>
    <w:rsid w:val="00A86C89"/>
    <w:rsid w:val="00A9061D"/>
    <w:rsid w:val="00A90E54"/>
    <w:rsid w:val="00A911C8"/>
    <w:rsid w:val="00A91B57"/>
    <w:rsid w:val="00A91E0F"/>
    <w:rsid w:val="00A939E3"/>
    <w:rsid w:val="00A93A81"/>
    <w:rsid w:val="00A93AFC"/>
    <w:rsid w:val="00A94253"/>
    <w:rsid w:val="00A9442C"/>
    <w:rsid w:val="00A95303"/>
    <w:rsid w:val="00A959CD"/>
    <w:rsid w:val="00A96274"/>
    <w:rsid w:val="00A9672C"/>
    <w:rsid w:val="00A96A2E"/>
    <w:rsid w:val="00A97C45"/>
    <w:rsid w:val="00A97EB6"/>
    <w:rsid w:val="00A97F55"/>
    <w:rsid w:val="00A97F75"/>
    <w:rsid w:val="00AA0728"/>
    <w:rsid w:val="00AA078F"/>
    <w:rsid w:val="00AA0E74"/>
    <w:rsid w:val="00AA142D"/>
    <w:rsid w:val="00AA14AA"/>
    <w:rsid w:val="00AA2243"/>
    <w:rsid w:val="00AA2ABD"/>
    <w:rsid w:val="00AA2ADE"/>
    <w:rsid w:val="00AA3232"/>
    <w:rsid w:val="00AA35A5"/>
    <w:rsid w:val="00AA3704"/>
    <w:rsid w:val="00AA446D"/>
    <w:rsid w:val="00AA54E2"/>
    <w:rsid w:val="00AA58C6"/>
    <w:rsid w:val="00AA6105"/>
    <w:rsid w:val="00AA61A1"/>
    <w:rsid w:val="00AA63DC"/>
    <w:rsid w:val="00AA65D2"/>
    <w:rsid w:val="00AA69C9"/>
    <w:rsid w:val="00AA6B12"/>
    <w:rsid w:val="00AA6D11"/>
    <w:rsid w:val="00AA6DFC"/>
    <w:rsid w:val="00AA7205"/>
    <w:rsid w:val="00AA7762"/>
    <w:rsid w:val="00AA7928"/>
    <w:rsid w:val="00AA79B1"/>
    <w:rsid w:val="00AA7E48"/>
    <w:rsid w:val="00AB0852"/>
    <w:rsid w:val="00AB08BF"/>
    <w:rsid w:val="00AB09A7"/>
    <w:rsid w:val="00AB0A3F"/>
    <w:rsid w:val="00AB0CB7"/>
    <w:rsid w:val="00AB0DB6"/>
    <w:rsid w:val="00AB11A8"/>
    <w:rsid w:val="00AB127D"/>
    <w:rsid w:val="00AB1AED"/>
    <w:rsid w:val="00AB2CEC"/>
    <w:rsid w:val="00AB2EF3"/>
    <w:rsid w:val="00AB333F"/>
    <w:rsid w:val="00AB355D"/>
    <w:rsid w:val="00AB3CD3"/>
    <w:rsid w:val="00AB3ED7"/>
    <w:rsid w:val="00AB4B03"/>
    <w:rsid w:val="00AB4E9C"/>
    <w:rsid w:val="00AB4F9B"/>
    <w:rsid w:val="00AB5CAB"/>
    <w:rsid w:val="00AB6EC8"/>
    <w:rsid w:val="00AB733E"/>
    <w:rsid w:val="00AB7617"/>
    <w:rsid w:val="00AB76AE"/>
    <w:rsid w:val="00AB7FB3"/>
    <w:rsid w:val="00AC00DA"/>
    <w:rsid w:val="00AC01FE"/>
    <w:rsid w:val="00AC0B3E"/>
    <w:rsid w:val="00AC1A7F"/>
    <w:rsid w:val="00AC1A8B"/>
    <w:rsid w:val="00AC1EF8"/>
    <w:rsid w:val="00AC20C9"/>
    <w:rsid w:val="00AC27BF"/>
    <w:rsid w:val="00AC3899"/>
    <w:rsid w:val="00AC3AD7"/>
    <w:rsid w:val="00AC4266"/>
    <w:rsid w:val="00AC4297"/>
    <w:rsid w:val="00AC5AEC"/>
    <w:rsid w:val="00AC5E9A"/>
    <w:rsid w:val="00AC6309"/>
    <w:rsid w:val="00AC6B5D"/>
    <w:rsid w:val="00AC6D63"/>
    <w:rsid w:val="00AC7428"/>
    <w:rsid w:val="00AC7756"/>
    <w:rsid w:val="00AC78BB"/>
    <w:rsid w:val="00AC7A3B"/>
    <w:rsid w:val="00AC7EE5"/>
    <w:rsid w:val="00AD06CA"/>
    <w:rsid w:val="00AD0823"/>
    <w:rsid w:val="00AD0A11"/>
    <w:rsid w:val="00AD0CD3"/>
    <w:rsid w:val="00AD0F1C"/>
    <w:rsid w:val="00AD0F75"/>
    <w:rsid w:val="00AD1150"/>
    <w:rsid w:val="00AD1486"/>
    <w:rsid w:val="00AD15EE"/>
    <w:rsid w:val="00AD16AD"/>
    <w:rsid w:val="00AD16DA"/>
    <w:rsid w:val="00AD1D29"/>
    <w:rsid w:val="00AD1E22"/>
    <w:rsid w:val="00AD26EE"/>
    <w:rsid w:val="00AD2F23"/>
    <w:rsid w:val="00AD418A"/>
    <w:rsid w:val="00AD4995"/>
    <w:rsid w:val="00AD4B3C"/>
    <w:rsid w:val="00AD502A"/>
    <w:rsid w:val="00AD527F"/>
    <w:rsid w:val="00AD5818"/>
    <w:rsid w:val="00AD60EC"/>
    <w:rsid w:val="00AD72C4"/>
    <w:rsid w:val="00AE00AA"/>
    <w:rsid w:val="00AE0794"/>
    <w:rsid w:val="00AE0C7D"/>
    <w:rsid w:val="00AE122B"/>
    <w:rsid w:val="00AE1386"/>
    <w:rsid w:val="00AE18DC"/>
    <w:rsid w:val="00AE1D54"/>
    <w:rsid w:val="00AE1D6B"/>
    <w:rsid w:val="00AE1DD7"/>
    <w:rsid w:val="00AE21C6"/>
    <w:rsid w:val="00AE290C"/>
    <w:rsid w:val="00AE2A50"/>
    <w:rsid w:val="00AE2B06"/>
    <w:rsid w:val="00AE2D8C"/>
    <w:rsid w:val="00AE2EEB"/>
    <w:rsid w:val="00AE2F8A"/>
    <w:rsid w:val="00AE3AF0"/>
    <w:rsid w:val="00AE438F"/>
    <w:rsid w:val="00AE5050"/>
    <w:rsid w:val="00AE57D1"/>
    <w:rsid w:val="00AE59DC"/>
    <w:rsid w:val="00AE5A68"/>
    <w:rsid w:val="00AE5CB6"/>
    <w:rsid w:val="00AE5D8E"/>
    <w:rsid w:val="00AE60E5"/>
    <w:rsid w:val="00AE618F"/>
    <w:rsid w:val="00AE6258"/>
    <w:rsid w:val="00AE67B2"/>
    <w:rsid w:val="00AE76F7"/>
    <w:rsid w:val="00AF05E4"/>
    <w:rsid w:val="00AF076C"/>
    <w:rsid w:val="00AF0E36"/>
    <w:rsid w:val="00AF102B"/>
    <w:rsid w:val="00AF10B4"/>
    <w:rsid w:val="00AF15AF"/>
    <w:rsid w:val="00AF1930"/>
    <w:rsid w:val="00AF19B7"/>
    <w:rsid w:val="00AF1CBD"/>
    <w:rsid w:val="00AF23AE"/>
    <w:rsid w:val="00AF31FD"/>
    <w:rsid w:val="00AF3C62"/>
    <w:rsid w:val="00AF46FE"/>
    <w:rsid w:val="00AF4F69"/>
    <w:rsid w:val="00AF5041"/>
    <w:rsid w:val="00AF5655"/>
    <w:rsid w:val="00AF5ABE"/>
    <w:rsid w:val="00AF5C13"/>
    <w:rsid w:val="00AF5EAD"/>
    <w:rsid w:val="00AF6286"/>
    <w:rsid w:val="00AF6D76"/>
    <w:rsid w:val="00AF70D3"/>
    <w:rsid w:val="00AF751D"/>
    <w:rsid w:val="00AF7A8E"/>
    <w:rsid w:val="00B00536"/>
    <w:rsid w:val="00B009DD"/>
    <w:rsid w:val="00B00C91"/>
    <w:rsid w:val="00B00C93"/>
    <w:rsid w:val="00B00E54"/>
    <w:rsid w:val="00B0146B"/>
    <w:rsid w:val="00B0170C"/>
    <w:rsid w:val="00B017B2"/>
    <w:rsid w:val="00B01A4D"/>
    <w:rsid w:val="00B01A92"/>
    <w:rsid w:val="00B01CB9"/>
    <w:rsid w:val="00B02353"/>
    <w:rsid w:val="00B024F1"/>
    <w:rsid w:val="00B02652"/>
    <w:rsid w:val="00B02C62"/>
    <w:rsid w:val="00B036F6"/>
    <w:rsid w:val="00B039C8"/>
    <w:rsid w:val="00B03DA2"/>
    <w:rsid w:val="00B0437F"/>
    <w:rsid w:val="00B043DE"/>
    <w:rsid w:val="00B0534B"/>
    <w:rsid w:val="00B055A1"/>
    <w:rsid w:val="00B055B0"/>
    <w:rsid w:val="00B0567A"/>
    <w:rsid w:val="00B056D2"/>
    <w:rsid w:val="00B05B73"/>
    <w:rsid w:val="00B05D67"/>
    <w:rsid w:val="00B05E1F"/>
    <w:rsid w:val="00B061E3"/>
    <w:rsid w:val="00B06FCB"/>
    <w:rsid w:val="00B071F1"/>
    <w:rsid w:val="00B073E0"/>
    <w:rsid w:val="00B07A83"/>
    <w:rsid w:val="00B07C4B"/>
    <w:rsid w:val="00B10188"/>
    <w:rsid w:val="00B10BF8"/>
    <w:rsid w:val="00B10DC7"/>
    <w:rsid w:val="00B115C3"/>
    <w:rsid w:val="00B1183B"/>
    <w:rsid w:val="00B11C37"/>
    <w:rsid w:val="00B11D65"/>
    <w:rsid w:val="00B12AA6"/>
    <w:rsid w:val="00B13273"/>
    <w:rsid w:val="00B1357A"/>
    <w:rsid w:val="00B13D65"/>
    <w:rsid w:val="00B166BC"/>
    <w:rsid w:val="00B16B79"/>
    <w:rsid w:val="00B172CD"/>
    <w:rsid w:val="00B174A7"/>
    <w:rsid w:val="00B20019"/>
    <w:rsid w:val="00B207A7"/>
    <w:rsid w:val="00B20A72"/>
    <w:rsid w:val="00B20B50"/>
    <w:rsid w:val="00B20F00"/>
    <w:rsid w:val="00B21D65"/>
    <w:rsid w:val="00B22236"/>
    <w:rsid w:val="00B226E1"/>
    <w:rsid w:val="00B226F2"/>
    <w:rsid w:val="00B229B0"/>
    <w:rsid w:val="00B22EF0"/>
    <w:rsid w:val="00B235BB"/>
    <w:rsid w:val="00B23993"/>
    <w:rsid w:val="00B23EF6"/>
    <w:rsid w:val="00B23FE4"/>
    <w:rsid w:val="00B24336"/>
    <w:rsid w:val="00B24DED"/>
    <w:rsid w:val="00B25156"/>
    <w:rsid w:val="00B256B5"/>
    <w:rsid w:val="00B25C48"/>
    <w:rsid w:val="00B2659F"/>
    <w:rsid w:val="00B265F7"/>
    <w:rsid w:val="00B26B75"/>
    <w:rsid w:val="00B30240"/>
    <w:rsid w:val="00B30DB4"/>
    <w:rsid w:val="00B31459"/>
    <w:rsid w:val="00B31972"/>
    <w:rsid w:val="00B32001"/>
    <w:rsid w:val="00B32585"/>
    <w:rsid w:val="00B32F85"/>
    <w:rsid w:val="00B32FA1"/>
    <w:rsid w:val="00B32FEA"/>
    <w:rsid w:val="00B33155"/>
    <w:rsid w:val="00B333CF"/>
    <w:rsid w:val="00B35487"/>
    <w:rsid w:val="00B35B7B"/>
    <w:rsid w:val="00B35C2A"/>
    <w:rsid w:val="00B371F5"/>
    <w:rsid w:val="00B3725A"/>
    <w:rsid w:val="00B375FF"/>
    <w:rsid w:val="00B376D6"/>
    <w:rsid w:val="00B377EE"/>
    <w:rsid w:val="00B378FA"/>
    <w:rsid w:val="00B37B57"/>
    <w:rsid w:val="00B37B70"/>
    <w:rsid w:val="00B37FB5"/>
    <w:rsid w:val="00B400CB"/>
    <w:rsid w:val="00B40110"/>
    <w:rsid w:val="00B40612"/>
    <w:rsid w:val="00B40A60"/>
    <w:rsid w:val="00B40EA7"/>
    <w:rsid w:val="00B4125D"/>
    <w:rsid w:val="00B41585"/>
    <w:rsid w:val="00B41741"/>
    <w:rsid w:val="00B41B82"/>
    <w:rsid w:val="00B41C3F"/>
    <w:rsid w:val="00B41C57"/>
    <w:rsid w:val="00B41CFB"/>
    <w:rsid w:val="00B41D93"/>
    <w:rsid w:val="00B41DF1"/>
    <w:rsid w:val="00B41DFE"/>
    <w:rsid w:val="00B4216C"/>
    <w:rsid w:val="00B42285"/>
    <w:rsid w:val="00B42A14"/>
    <w:rsid w:val="00B43004"/>
    <w:rsid w:val="00B431B4"/>
    <w:rsid w:val="00B43235"/>
    <w:rsid w:val="00B433FD"/>
    <w:rsid w:val="00B437E5"/>
    <w:rsid w:val="00B4389F"/>
    <w:rsid w:val="00B43ACD"/>
    <w:rsid w:val="00B43B5D"/>
    <w:rsid w:val="00B4454D"/>
    <w:rsid w:val="00B44BAC"/>
    <w:rsid w:val="00B44FE3"/>
    <w:rsid w:val="00B4503C"/>
    <w:rsid w:val="00B45453"/>
    <w:rsid w:val="00B45DFE"/>
    <w:rsid w:val="00B460D7"/>
    <w:rsid w:val="00B46221"/>
    <w:rsid w:val="00B4644E"/>
    <w:rsid w:val="00B46B70"/>
    <w:rsid w:val="00B46C2D"/>
    <w:rsid w:val="00B46E7C"/>
    <w:rsid w:val="00B470A5"/>
    <w:rsid w:val="00B4728F"/>
    <w:rsid w:val="00B47806"/>
    <w:rsid w:val="00B47AFA"/>
    <w:rsid w:val="00B47E18"/>
    <w:rsid w:val="00B5016E"/>
    <w:rsid w:val="00B501BF"/>
    <w:rsid w:val="00B5081B"/>
    <w:rsid w:val="00B516AA"/>
    <w:rsid w:val="00B51C93"/>
    <w:rsid w:val="00B524C2"/>
    <w:rsid w:val="00B52592"/>
    <w:rsid w:val="00B52A34"/>
    <w:rsid w:val="00B52B50"/>
    <w:rsid w:val="00B52D9F"/>
    <w:rsid w:val="00B52FDE"/>
    <w:rsid w:val="00B530B2"/>
    <w:rsid w:val="00B5317A"/>
    <w:rsid w:val="00B53D5F"/>
    <w:rsid w:val="00B53DAB"/>
    <w:rsid w:val="00B54072"/>
    <w:rsid w:val="00B5458C"/>
    <w:rsid w:val="00B545CE"/>
    <w:rsid w:val="00B54B95"/>
    <w:rsid w:val="00B5516B"/>
    <w:rsid w:val="00B55571"/>
    <w:rsid w:val="00B56EF0"/>
    <w:rsid w:val="00B56F98"/>
    <w:rsid w:val="00B56FC9"/>
    <w:rsid w:val="00B575B5"/>
    <w:rsid w:val="00B57C05"/>
    <w:rsid w:val="00B57CF0"/>
    <w:rsid w:val="00B60331"/>
    <w:rsid w:val="00B603C2"/>
    <w:rsid w:val="00B60484"/>
    <w:rsid w:val="00B606E4"/>
    <w:rsid w:val="00B60A93"/>
    <w:rsid w:val="00B618F9"/>
    <w:rsid w:val="00B61A16"/>
    <w:rsid w:val="00B61AA2"/>
    <w:rsid w:val="00B61D0D"/>
    <w:rsid w:val="00B61E32"/>
    <w:rsid w:val="00B621DD"/>
    <w:rsid w:val="00B6231F"/>
    <w:rsid w:val="00B62629"/>
    <w:rsid w:val="00B6302A"/>
    <w:rsid w:val="00B63180"/>
    <w:rsid w:val="00B63810"/>
    <w:rsid w:val="00B63E6A"/>
    <w:rsid w:val="00B64600"/>
    <w:rsid w:val="00B64CAC"/>
    <w:rsid w:val="00B64DB2"/>
    <w:rsid w:val="00B64F7B"/>
    <w:rsid w:val="00B65063"/>
    <w:rsid w:val="00B6511D"/>
    <w:rsid w:val="00B65397"/>
    <w:rsid w:val="00B656D9"/>
    <w:rsid w:val="00B6580F"/>
    <w:rsid w:val="00B662FC"/>
    <w:rsid w:val="00B670C0"/>
    <w:rsid w:val="00B67DF8"/>
    <w:rsid w:val="00B70D87"/>
    <w:rsid w:val="00B70E83"/>
    <w:rsid w:val="00B722AD"/>
    <w:rsid w:val="00B734E4"/>
    <w:rsid w:val="00B7356E"/>
    <w:rsid w:val="00B73A59"/>
    <w:rsid w:val="00B741AE"/>
    <w:rsid w:val="00B74233"/>
    <w:rsid w:val="00B748AC"/>
    <w:rsid w:val="00B74C9D"/>
    <w:rsid w:val="00B751CC"/>
    <w:rsid w:val="00B75E0F"/>
    <w:rsid w:val="00B760F7"/>
    <w:rsid w:val="00B76817"/>
    <w:rsid w:val="00B76F92"/>
    <w:rsid w:val="00B7793F"/>
    <w:rsid w:val="00B77D3C"/>
    <w:rsid w:val="00B80144"/>
    <w:rsid w:val="00B8088E"/>
    <w:rsid w:val="00B8098A"/>
    <w:rsid w:val="00B80D33"/>
    <w:rsid w:val="00B81051"/>
    <w:rsid w:val="00B811A2"/>
    <w:rsid w:val="00B81AE0"/>
    <w:rsid w:val="00B81EC9"/>
    <w:rsid w:val="00B82208"/>
    <w:rsid w:val="00B82254"/>
    <w:rsid w:val="00B833C8"/>
    <w:rsid w:val="00B833FB"/>
    <w:rsid w:val="00B83604"/>
    <w:rsid w:val="00B83A68"/>
    <w:rsid w:val="00B83E60"/>
    <w:rsid w:val="00B83E83"/>
    <w:rsid w:val="00B84080"/>
    <w:rsid w:val="00B848FB"/>
    <w:rsid w:val="00B84A79"/>
    <w:rsid w:val="00B858EC"/>
    <w:rsid w:val="00B85D02"/>
    <w:rsid w:val="00B862B3"/>
    <w:rsid w:val="00B86615"/>
    <w:rsid w:val="00B86752"/>
    <w:rsid w:val="00B86E00"/>
    <w:rsid w:val="00B87757"/>
    <w:rsid w:val="00B901CD"/>
    <w:rsid w:val="00B906EB"/>
    <w:rsid w:val="00B90C02"/>
    <w:rsid w:val="00B90E23"/>
    <w:rsid w:val="00B91024"/>
    <w:rsid w:val="00B91476"/>
    <w:rsid w:val="00B914A1"/>
    <w:rsid w:val="00B91528"/>
    <w:rsid w:val="00B91718"/>
    <w:rsid w:val="00B91951"/>
    <w:rsid w:val="00B91985"/>
    <w:rsid w:val="00B91D60"/>
    <w:rsid w:val="00B926F1"/>
    <w:rsid w:val="00B928D2"/>
    <w:rsid w:val="00B9292D"/>
    <w:rsid w:val="00B92F8A"/>
    <w:rsid w:val="00B9317D"/>
    <w:rsid w:val="00B93545"/>
    <w:rsid w:val="00B9366C"/>
    <w:rsid w:val="00B94DEC"/>
    <w:rsid w:val="00B95A69"/>
    <w:rsid w:val="00B95F41"/>
    <w:rsid w:val="00B96358"/>
    <w:rsid w:val="00B96FEC"/>
    <w:rsid w:val="00B970FB"/>
    <w:rsid w:val="00B97199"/>
    <w:rsid w:val="00B97739"/>
    <w:rsid w:val="00B97874"/>
    <w:rsid w:val="00B9794C"/>
    <w:rsid w:val="00B97BC6"/>
    <w:rsid w:val="00B97D51"/>
    <w:rsid w:val="00BA07A5"/>
    <w:rsid w:val="00BA0A44"/>
    <w:rsid w:val="00BA0E4E"/>
    <w:rsid w:val="00BA12B7"/>
    <w:rsid w:val="00BA1358"/>
    <w:rsid w:val="00BA1539"/>
    <w:rsid w:val="00BA1775"/>
    <w:rsid w:val="00BA184E"/>
    <w:rsid w:val="00BA191A"/>
    <w:rsid w:val="00BA1E90"/>
    <w:rsid w:val="00BA3156"/>
    <w:rsid w:val="00BA3FC2"/>
    <w:rsid w:val="00BA4029"/>
    <w:rsid w:val="00BA4216"/>
    <w:rsid w:val="00BA4332"/>
    <w:rsid w:val="00BA446C"/>
    <w:rsid w:val="00BA4EA8"/>
    <w:rsid w:val="00BA508F"/>
    <w:rsid w:val="00BA51F2"/>
    <w:rsid w:val="00BA56DA"/>
    <w:rsid w:val="00BA5848"/>
    <w:rsid w:val="00BA5B83"/>
    <w:rsid w:val="00BA623E"/>
    <w:rsid w:val="00BA64BD"/>
    <w:rsid w:val="00BA6E71"/>
    <w:rsid w:val="00BA7108"/>
    <w:rsid w:val="00BA72AC"/>
    <w:rsid w:val="00BA7687"/>
    <w:rsid w:val="00BA7826"/>
    <w:rsid w:val="00BA7877"/>
    <w:rsid w:val="00BA7D8F"/>
    <w:rsid w:val="00BB15DC"/>
    <w:rsid w:val="00BB2AFB"/>
    <w:rsid w:val="00BB2B35"/>
    <w:rsid w:val="00BB2D6F"/>
    <w:rsid w:val="00BB305B"/>
    <w:rsid w:val="00BB36DF"/>
    <w:rsid w:val="00BB37E4"/>
    <w:rsid w:val="00BB40D9"/>
    <w:rsid w:val="00BB40E4"/>
    <w:rsid w:val="00BB5E86"/>
    <w:rsid w:val="00BB5E94"/>
    <w:rsid w:val="00BB5F6C"/>
    <w:rsid w:val="00BB6207"/>
    <w:rsid w:val="00BB62D2"/>
    <w:rsid w:val="00BB6A3D"/>
    <w:rsid w:val="00BB6B10"/>
    <w:rsid w:val="00BB6DDE"/>
    <w:rsid w:val="00BB76D9"/>
    <w:rsid w:val="00BB7AA6"/>
    <w:rsid w:val="00BC042C"/>
    <w:rsid w:val="00BC0683"/>
    <w:rsid w:val="00BC06DD"/>
    <w:rsid w:val="00BC25A6"/>
    <w:rsid w:val="00BC2E36"/>
    <w:rsid w:val="00BC2E6D"/>
    <w:rsid w:val="00BC2EA1"/>
    <w:rsid w:val="00BC32D8"/>
    <w:rsid w:val="00BC3B71"/>
    <w:rsid w:val="00BC3C58"/>
    <w:rsid w:val="00BC3E5B"/>
    <w:rsid w:val="00BC3E5D"/>
    <w:rsid w:val="00BC421C"/>
    <w:rsid w:val="00BC4616"/>
    <w:rsid w:val="00BC46D3"/>
    <w:rsid w:val="00BC4FA8"/>
    <w:rsid w:val="00BC5A01"/>
    <w:rsid w:val="00BC5B0A"/>
    <w:rsid w:val="00BC5C6D"/>
    <w:rsid w:val="00BC5D3F"/>
    <w:rsid w:val="00BC5FF8"/>
    <w:rsid w:val="00BC65AC"/>
    <w:rsid w:val="00BC660B"/>
    <w:rsid w:val="00BC66E7"/>
    <w:rsid w:val="00BC7BFB"/>
    <w:rsid w:val="00BC7F45"/>
    <w:rsid w:val="00BD0B0B"/>
    <w:rsid w:val="00BD0B1A"/>
    <w:rsid w:val="00BD0CEC"/>
    <w:rsid w:val="00BD16E1"/>
    <w:rsid w:val="00BD1D86"/>
    <w:rsid w:val="00BD1FFA"/>
    <w:rsid w:val="00BD2097"/>
    <w:rsid w:val="00BD281B"/>
    <w:rsid w:val="00BD28C8"/>
    <w:rsid w:val="00BD2B91"/>
    <w:rsid w:val="00BD2C08"/>
    <w:rsid w:val="00BD2E2F"/>
    <w:rsid w:val="00BD2FD8"/>
    <w:rsid w:val="00BD3966"/>
    <w:rsid w:val="00BD3DC4"/>
    <w:rsid w:val="00BD3F7D"/>
    <w:rsid w:val="00BD4407"/>
    <w:rsid w:val="00BD44E6"/>
    <w:rsid w:val="00BD4CD6"/>
    <w:rsid w:val="00BD5185"/>
    <w:rsid w:val="00BD524B"/>
    <w:rsid w:val="00BD550C"/>
    <w:rsid w:val="00BD575F"/>
    <w:rsid w:val="00BD5881"/>
    <w:rsid w:val="00BD5A33"/>
    <w:rsid w:val="00BD5C96"/>
    <w:rsid w:val="00BD635D"/>
    <w:rsid w:val="00BD6455"/>
    <w:rsid w:val="00BD6654"/>
    <w:rsid w:val="00BD6A1E"/>
    <w:rsid w:val="00BD70BC"/>
    <w:rsid w:val="00BD71B3"/>
    <w:rsid w:val="00BD72B8"/>
    <w:rsid w:val="00BD7739"/>
    <w:rsid w:val="00BE073C"/>
    <w:rsid w:val="00BE1929"/>
    <w:rsid w:val="00BE19BB"/>
    <w:rsid w:val="00BE1C3D"/>
    <w:rsid w:val="00BE1DCD"/>
    <w:rsid w:val="00BE2AEB"/>
    <w:rsid w:val="00BE3072"/>
    <w:rsid w:val="00BE4419"/>
    <w:rsid w:val="00BE548C"/>
    <w:rsid w:val="00BE595A"/>
    <w:rsid w:val="00BE5ACD"/>
    <w:rsid w:val="00BE5F33"/>
    <w:rsid w:val="00BE6190"/>
    <w:rsid w:val="00BE668E"/>
    <w:rsid w:val="00BE67BE"/>
    <w:rsid w:val="00BE6B56"/>
    <w:rsid w:val="00BE6F76"/>
    <w:rsid w:val="00BE73F8"/>
    <w:rsid w:val="00BE741F"/>
    <w:rsid w:val="00BE7588"/>
    <w:rsid w:val="00BE764B"/>
    <w:rsid w:val="00BE77E3"/>
    <w:rsid w:val="00BE794A"/>
    <w:rsid w:val="00BE7D87"/>
    <w:rsid w:val="00BE7E73"/>
    <w:rsid w:val="00BF028B"/>
    <w:rsid w:val="00BF0776"/>
    <w:rsid w:val="00BF0AD1"/>
    <w:rsid w:val="00BF0DF3"/>
    <w:rsid w:val="00BF0F56"/>
    <w:rsid w:val="00BF0FC3"/>
    <w:rsid w:val="00BF1021"/>
    <w:rsid w:val="00BF1398"/>
    <w:rsid w:val="00BF1696"/>
    <w:rsid w:val="00BF1A00"/>
    <w:rsid w:val="00BF235D"/>
    <w:rsid w:val="00BF25A6"/>
    <w:rsid w:val="00BF43A0"/>
    <w:rsid w:val="00BF5550"/>
    <w:rsid w:val="00BF6235"/>
    <w:rsid w:val="00BF6AE8"/>
    <w:rsid w:val="00BF6ED9"/>
    <w:rsid w:val="00BF74BB"/>
    <w:rsid w:val="00BF763E"/>
    <w:rsid w:val="00C008B3"/>
    <w:rsid w:val="00C00A35"/>
    <w:rsid w:val="00C00DC7"/>
    <w:rsid w:val="00C0142B"/>
    <w:rsid w:val="00C01856"/>
    <w:rsid w:val="00C01E1E"/>
    <w:rsid w:val="00C01F9C"/>
    <w:rsid w:val="00C01FE7"/>
    <w:rsid w:val="00C023B9"/>
    <w:rsid w:val="00C035B3"/>
    <w:rsid w:val="00C03DC2"/>
    <w:rsid w:val="00C0437F"/>
    <w:rsid w:val="00C049CF"/>
    <w:rsid w:val="00C04CEB"/>
    <w:rsid w:val="00C050D4"/>
    <w:rsid w:val="00C063B3"/>
    <w:rsid w:val="00C0677F"/>
    <w:rsid w:val="00C06AFE"/>
    <w:rsid w:val="00C07639"/>
    <w:rsid w:val="00C078CF"/>
    <w:rsid w:val="00C07A72"/>
    <w:rsid w:val="00C07B60"/>
    <w:rsid w:val="00C07E83"/>
    <w:rsid w:val="00C10373"/>
    <w:rsid w:val="00C10659"/>
    <w:rsid w:val="00C106C0"/>
    <w:rsid w:val="00C1071C"/>
    <w:rsid w:val="00C10959"/>
    <w:rsid w:val="00C11203"/>
    <w:rsid w:val="00C11C08"/>
    <w:rsid w:val="00C1259B"/>
    <w:rsid w:val="00C12D0E"/>
    <w:rsid w:val="00C1334F"/>
    <w:rsid w:val="00C135B4"/>
    <w:rsid w:val="00C13A1A"/>
    <w:rsid w:val="00C13C71"/>
    <w:rsid w:val="00C13D20"/>
    <w:rsid w:val="00C13DE4"/>
    <w:rsid w:val="00C13E62"/>
    <w:rsid w:val="00C142BD"/>
    <w:rsid w:val="00C14E6E"/>
    <w:rsid w:val="00C15344"/>
    <w:rsid w:val="00C15AF0"/>
    <w:rsid w:val="00C15B1C"/>
    <w:rsid w:val="00C15B5F"/>
    <w:rsid w:val="00C15E4E"/>
    <w:rsid w:val="00C15F2E"/>
    <w:rsid w:val="00C1605E"/>
    <w:rsid w:val="00C160F9"/>
    <w:rsid w:val="00C16183"/>
    <w:rsid w:val="00C16455"/>
    <w:rsid w:val="00C16615"/>
    <w:rsid w:val="00C16B92"/>
    <w:rsid w:val="00C1723B"/>
    <w:rsid w:val="00C1765B"/>
    <w:rsid w:val="00C17A48"/>
    <w:rsid w:val="00C203C6"/>
    <w:rsid w:val="00C203D5"/>
    <w:rsid w:val="00C20AE6"/>
    <w:rsid w:val="00C211E5"/>
    <w:rsid w:val="00C21995"/>
    <w:rsid w:val="00C22329"/>
    <w:rsid w:val="00C22ACB"/>
    <w:rsid w:val="00C22CB7"/>
    <w:rsid w:val="00C2360F"/>
    <w:rsid w:val="00C238DA"/>
    <w:rsid w:val="00C23BD6"/>
    <w:rsid w:val="00C23DC8"/>
    <w:rsid w:val="00C23E22"/>
    <w:rsid w:val="00C23E52"/>
    <w:rsid w:val="00C23E5E"/>
    <w:rsid w:val="00C2411A"/>
    <w:rsid w:val="00C24729"/>
    <w:rsid w:val="00C253C7"/>
    <w:rsid w:val="00C254AF"/>
    <w:rsid w:val="00C258CE"/>
    <w:rsid w:val="00C25978"/>
    <w:rsid w:val="00C25CB9"/>
    <w:rsid w:val="00C25E0D"/>
    <w:rsid w:val="00C264BA"/>
    <w:rsid w:val="00C2785E"/>
    <w:rsid w:val="00C300C3"/>
    <w:rsid w:val="00C3024B"/>
    <w:rsid w:val="00C3028C"/>
    <w:rsid w:val="00C30788"/>
    <w:rsid w:val="00C308B2"/>
    <w:rsid w:val="00C309B9"/>
    <w:rsid w:val="00C30EBB"/>
    <w:rsid w:val="00C31057"/>
    <w:rsid w:val="00C31C0A"/>
    <w:rsid w:val="00C31CB0"/>
    <w:rsid w:val="00C32374"/>
    <w:rsid w:val="00C3283C"/>
    <w:rsid w:val="00C3323B"/>
    <w:rsid w:val="00C3326F"/>
    <w:rsid w:val="00C333D0"/>
    <w:rsid w:val="00C335EE"/>
    <w:rsid w:val="00C34F40"/>
    <w:rsid w:val="00C350CA"/>
    <w:rsid w:val="00C35261"/>
    <w:rsid w:val="00C359A4"/>
    <w:rsid w:val="00C359C4"/>
    <w:rsid w:val="00C35E05"/>
    <w:rsid w:val="00C36C98"/>
    <w:rsid w:val="00C37273"/>
    <w:rsid w:val="00C3758D"/>
    <w:rsid w:val="00C40508"/>
    <w:rsid w:val="00C40923"/>
    <w:rsid w:val="00C41D02"/>
    <w:rsid w:val="00C41D72"/>
    <w:rsid w:val="00C41EA5"/>
    <w:rsid w:val="00C42587"/>
    <w:rsid w:val="00C4295D"/>
    <w:rsid w:val="00C42A08"/>
    <w:rsid w:val="00C42A3D"/>
    <w:rsid w:val="00C42D31"/>
    <w:rsid w:val="00C431ED"/>
    <w:rsid w:val="00C4377C"/>
    <w:rsid w:val="00C43BF5"/>
    <w:rsid w:val="00C43EA2"/>
    <w:rsid w:val="00C4428A"/>
    <w:rsid w:val="00C444EC"/>
    <w:rsid w:val="00C44D1D"/>
    <w:rsid w:val="00C4511B"/>
    <w:rsid w:val="00C457B4"/>
    <w:rsid w:val="00C4598F"/>
    <w:rsid w:val="00C45B24"/>
    <w:rsid w:val="00C45B64"/>
    <w:rsid w:val="00C45D29"/>
    <w:rsid w:val="00C45DC5"/>
    <w:rsid w:val="00C461FD"/>
    <w:rsid w:val="00C46538"/>
    <w:rsid w:val="00C469A6"/>
    <w:rsid w:val="00C47099"/>
    <w:rsid w:val="00C47809"/>
    <w:rsid w:val="00C478F3"/>
    <w:rsid w:val="00C47E1B"/>
    <w:rsid w:val="00C50356"/>
    <w:rsid w:val="00C51E06"/>
    <w:rsid w:val="00C5221D"/>
    <w:rsid w:val="00C522F9"/>
    <w:rsid w:val="00C52FFC"/>
    <w:rsid w:val="00C53744"/>
    <w:rsid w:val="00C54744"/>
    <w:rsid w:val="00C54843"/>
    <w:rsid w:val="00C54B4F"/>
    <w:rsid w:val="00C54DB6"/>
    <w:rsid w:val="00C5576F"/>
    <w:rsid w:val="00C55DDA"/>
    <w:rsid w:val="00C56116"/>
    <w:rsid w:val="00C5634C"/>
    <w:rsid w:val="00C576A2"/>
    <w:rsid w:val="00C57902"/>
    <w:rsid w:val="00C57DAA"/>
    <w:rsid w:val="00C60287"/>
    <w:rsid w:val="00C606AE"/>
    <w:rsid w:val="00C60781"/>
    <w:rsid w:val="00C6097D"/>
    <w:rsid w:val="00C60CB5"/>
    <w:rsid w:val="00C60F17"/>
    <w:rsid w:val="00C61641"/>
    <w:rsid w:val="00C618FB"/>
    <w:rsid w:val="00C61BAF"/>
    <w:rsid w:val="00C620F0"/>
    <w:rsid w:val="00C62EF2"/>
    <w:rsid w:val="00C6310A"/>
    <w:rsid w:val="00C635C9"/>
    <w:rsid w:val="00C63A63"/>
    <w:rsid w:val="00C64296"/>
    <w:rsid w:val="00C64CA0"/>
    <w:rsid w:val="00C65880"/>
    <w:rsid w:val="00C65E4E"/>
    <w:rsid w:val="00C6653A"/>
    <w:rsid w:val="00C67F56"/>
    <w:rsid w:val="00C70E4A"/>
    <w:rsid w:val="00C714ED"/>
    <w:rsid w:val="00C71A39"/>
    <w:rsid w:val="00C71C78"/>
    <w:rsid w:val="00C71D5A"/>
    <w:rsid w:val="00C72B80"/>
    <w:rsid w:val="00C72DD1"/>
    <w:rsid w:val="00C73010"/>
    <w:rsid w:val="00C7324E"/>
    <w:rsid w:val="00C73DA1"/>
    <w:rsid w:val="00C73E9C"/>
    <w:rsid w:val="00C7615D"/>
    <w:rsid w:val="00C762E2"/>
    <w:rsid w:val="00C769E2"/>
    <w:rsid w:val="00C76C53"/>
    <w:rsid w:val="00C76E0D"/>
    <w:rsid w:val="00C77EF9"/>
    <w:rsid w:val="00C8092A"/>
    <w:rsid w:val="00C80DA1"/>
    <w:rsid w:val="00C80E1E"/>
    <w:rsid w:val="00C80FC0"/>
    <w:rsid w:val="00C80FDC"/>
    <w:rsid w:val="00C8168E"/>
    <w:rsid w:val="00C820A8"/>
    <w:rsid w:val="00C82700"/>
    <w:rsid w:val="00C8290F"/>
    <w:rsid w:val="00C82C52"/>
    <w:rsid w:val="00C82D46"/>
    <w:rsid w:val="00C82E47"/>
    <w:rsid w:val="00C83B85"/>
    <w:rsid w:val="00C83CBE"/>
    <w:rsid w:val="00C84ACF"/>
    <w:rsid w:val="00C84B12"/>
    <w:rsid w:val="00C84BB6"/>
    <w:rsid w:val="00C84BEF"/>
    <w:rsid w:val="00C853CA"/>
    <w:rsid w:val="00C85CDC"/>
    <w:rsid w:val="00C860A2"/>
    <w:rsid w:val="00C867A6"/>
    <w:rsid w:val="00C86922"/>
    <w:rsid w:val="00C86925"/>
    <w:rsid w:val="00C87EFE"/>
    <w:rsid w:val="00C87FB1"/>
    <w:rsid w:val="00C9014B"/>
    <w:rsid w:val="00C91ACB"/>
    <w:rsid w:val="00C91BE2"/>
    <w:rsid w:val="00C9218C"/>
    <w:rsid w:val="00C92671"/>
    <w:rsid w:val="00C92777"/>
    <w:rsid w:val="00C92F2C"/>
    <w:rsid w:val="00C934B0"/>
    <w:rsid w:val="00C935CF"/>
    <w:rsid w:val="00C9384C"/>
    <w:rsid w:val="00C938F4"/>
    <w:rsid w:val="00C93D45"/>
    <w:rsid w:val="00C93F11"/>
    <w:rsid w:val="00C94483"/>
    <w:rsid w:val="00C94821"/>
    <w:rsid w:val="00C9499B"/>
    <w:rsid w:val="00C94E0F"/>
    <w:rsid w:val="00C94E71"/>
    <w:rsid w:val="00C9570D"/>
    <w:rsid w:val="00C957F4"/>
    <w:rsid w:val="00C9585B"/>
    <w:rsid w:val="00C95EF8"/>
    <w:rsid w:val="00C96E24"/>
    <w:rsid w:val="00C97140"/>
    <w:rsid w:val="00C97545"/>
    <w:rsid w:val="00C97C1A"/>
    <w:rsid w:val="00CA002D"/>
    <w:rsid w:val="00CA075A"/>
    <w:rsid w:val="00CA09EC"/>
    <w:rsid w:val="00CA1469"/>
    <w:rsid w:val="00CA18C0"/>
    <w:rsid w:val="00CA2097"/>
    <w:rsid w:val="00CA2121"/>
    <w:rsid w:val="00CA2B95"/>
    <w:rsid w:val="00CA2D92"/>
    <w:rsid w:val="00CA31B2"/>
    <w:rsid w:val="00CA32C0"/>
    <w:rsid w:val="00CA3848"/>
    <w:rsid w:val="00CA3D3A"/>
    <w:rsid w:val="00CA3E8E"/>
    <w:rsid w:val="00CA3F92"/>
    <w:rsid w:val="00CA4135"/>
    <w:rsid w:val="00CA42EB"/>
    <w:rsid w:val="00CA4F0E"/>
    <w:rsid w:val="00CA4F49"/>
    <w:rsid w:val="00CA525A"/>
    <w:rsid w:val="00CA53BD"/>
    <w:rsid w:val="00CA55DD"/>
    <w:rsid w:val="00CA6573"/>
    <w:rsid w:val="00CA70D9"/>
    <w:rsid w:val="00CA75EE"/>
    <w:rsid w:val="00CA76D2"/>
    <w:rsid w:val="00CA781A"/>
    <w:rsid w:val="00CB0315"/>
    <w:rsid w:val="00CB160F"/>
    <w:rsid w:val="00CB1D0B"/>
    <w:rsid w:val="00CB25D4"/>
    <w:rsid w:val="00CB2A82"/>
    <w:rsid w:val="00CB2ADA"/>
    <w:rsid w:val="00CB2C45"/>
    <w:rsid w:val="00CB2C49"/>
    <w:rsid w:val="00CB30AF"/>
    <w:rsid w:val="00CB39F6"/>
    <w:rsid w:val="00CB43DA"/>
    <w:rsid w:val="00CB53C4"/>
    <w:rsid w:val="00CB5441"/>
    <w:rsid w:val="00CB5732"/>
    <w:rsid w:val="00CB590E"/>
    <w:rsid w:val="00CB59D2"/>
    <w:rsid w:val="00CB5F1A"/>
    <w:rsid w:val="00CB65A1"/>
    <w:rsid w:val="00CB6DD8"/>
    <w:rsid w:val="00CB7091"/>
    <w:rsid w:val="00CB7AAA"/>
    <w:rsid w:val="00CB7D1B"/>
    <w:rsid w:val="00CB7D9C"/>
    <w:rsid w:val="00CC0DE3"/>
    <w:rsid w:val="00CC10B8"/>
    <w:rsid w:val="00CC1B07"/>
    <w:rsid w:val="00CC1F22"/>
    <w:rsid w:val="00CC26A2"/>
    <w:rsid w:val="00CC30A9"/>
    <w:rsid w:val="00CC31D4"/>
    <w:rsid w:val="00CC340A"/>
    <w:rsid w:val="00CC3755"/>
    <w:rsid w:val="00CC3C87"/>
    <w:rsid w:val="00CC4915"/>
    <w:rsid w:val="00CC4B30"/>
    <w:rsid w:val="00CC4C0B"/>
    <w:rsid w:val="00CC55FE"/>
    <w:rsid w:val="00CC571F"/>
    <w:rsid w:val="00CC573D"/>
    <w:rsid w:val="00CC58EB"/>
    <w:rsid w:val="00CC5D52"/>
    <w:rsid w:val="00CC6223"/>
    <w:rsid w:val="00CC6291"/>
    <w:rsid w:val="00CC6422"/>
    <w:rsid w:val="00CC6501"/>
    <w:rsid w:val="00CC6762"/>
    <w:rsid w:val="00CC6FF3"/>
    <w:rsid w:val="00CC7053"/>
    <w:rsid w:val="00CC7516"/>
    <w:rsid w:val="00CC7521"/>
    <w:rsid w:val="00CC78E8"/>
    <w:rsid w:val="00CC7CDA"/>
    <w:rsid w:val="00CD04DB"/>
    <w:rsid w:val="00CD06C4"/>
    <w:rsid w:val="00CD1833"/>
    <w:rsid w:val="00CD1B20"/>
    <w:rsid w:val="00CD20E3"/>
    <w:rsid w:val="00CD2E74"/>
    <w:rsid w:val="00CD3043"/>
    <w:rsid w:val="00CD3C90"/>
    <w:rsid w:val="00CD4DD3"/>
    <w:rsid w:val="00CD51BC"/>
    <w:rsid w:val="00CD58AE"/>
    <w:rsid w:val="00CD675A"/>
    <w:rsid w:val="00CD712A"/>
    <w:rsid w:val="00CD79B4"/>
    <w:rsid w:val="00CD7F4E"/>
    <w:rsid w:val="00CE010B"/>
    <w:rsid w:val="00CE0326"/>
    <w:rsid w:val="00CE0B85"/>
    <w:rsid w:val="00CE0FF0"/>
    <w:rsid w:val="00CE1518"/>
    <w:rsid w:val="00CE1850"/>
    <w:rsid w:val="00CE1F2D"/>
    <w:rsid w:val="00CE268A"/>
    <w:rsid w:val="00CE2FDE"/>
    <w:rsid w:val="00CE3822"/>
    <w:rsid w:val="00CE3D45"/>
    <w:rsid w:val="00CE41ED"/>
    <w:rsid w:val="00CE4E42"/>
    <w:rsid w:val="00CE4EB2"/>
    <w:rsid w:val="00CE5E06"/>
    <w:rsid w:val="00CE5F42"/>
    <w:rsid w:val="00CE60FE"/>
    <w:rsid w:val="00CE693A"/>
    <w:rsid w:val="00CE6EE4"/>
    <w:rsid w:val="00CE6F50"/>
    <w:rsid w:val="00CE73DB"/>
    <w:rsid w:val="00CE73FC"/>
    <w:rsid w:val="00CE7A54"/>
    <w:rsid w:val="00CE7AA3"/>
    <w:rsid w:val="00CF009E"/>
    <w:rsid w:val="00CF0587"/>
    <w:rsid w:val="00CF0AA4"/>
    <w:rsid w:val="00CF0EBF"/>
    <w:rsid w:val="00CF1239"/>
    <w:rsid w:val="00CF1255"/>
    <w:rsid w:val="00CF12F2"/>
    <w:rsid w:val="00CF1311"/>
    <w:rsid w:val="00CF13A1"/>
    <w:rsid w:val="00CF14E6"/>
    <w:rsid w:val="00CF1CE7"/>
    <w:rsid w:val="00CF1E47"/>
    <w:rsid w:val="00CF2A4F"/>
    <w:rsid w:val="00CF2D32"/>
    <w:rsid w:val="00CF3C93"/>
    <w:rsid w:val="00CF41AF"/>
    <w:rsid w:val="00CF49CF"/>
    <w:rsid w:val="00CF4D64"/>
    <w:rsid w:val="00CF5488"/>
    <w:rsid w:val="00CF57A9"/>
    <w:rsid w:val="00CF669D"/>
    <w:rsid w:val="00CF6B9B"/>
    <w:rsid w:val="00CF717F"/>
    <w:rsid w:val="00CF7238"/>
    <w:rsid w:val="00CF7A2F"/>
    <w:rsid w:val="00D014B7"/>
    <w:rsid w:val="00D019AF"/>
    <w:rsid w:val="00D02875"/>
    <w:rsid w:val="00D02E1C"/>
    <w:rsid w:val="00D03A82"/>
    <w:rsid w:val="00D03ACE"/>
    <w:rsid w:val="00D03BE2"/>
    <w:rsid w:val="00D03EF1"/>
    <w:rsid w:val="00D0453C"/>
    <w:rsid w:val="00D04E5B"/>
    <w:rsid w:val="00D04EC1"/>
    <w:rsid w:val="00D06119"/>
    <w:rsid w:val="00D07F5C"/>
    <w:rsid w:val="00D07FCA"/>
    <w:rsid w:val="00D10442"/>
    <w:rsid w:val="00D10B21"/>
    <w:rsid w:val="00D11320"/>
    <w:rsid w:val="00D12B7A"/>
    <w:rsid w:val="00D137F2"/>
    <w:rsid w:val="00D13A08"/>
    <w:rsid w:val="00D13FA9"/>
    <w:rsid w:val="00D14A5F"/>
    <w:rsid w:val="00D14B1C"/>
    <w:rsid w:val="00D14CA9"/>
    <w:rsid w:val="00D14D85"/>
    <w:rsid w:val="00D14E0D"/>
    <w:rsid w:val="00D14ECA"/>
    <w:rsid w:val="00D1539E"/>
    <w:rsid w:val="00D155B2"/>
    <w:rsid w:val="00D168AA"/>
    <w:rsid w:val="00D16ACE"/>
    <w:rsid w:val="00D16ED1"/>
    <w:rsid w:val="00D17446"/>
    <w:rsid w:val="00D17D03"/>
    <w:rsid w:val="00D21410"/>
    <w:rsid w:val="00D2155B"/>
    <w:rsid w:val="00D2189B"/>
    <w:rsid w:val="00D21EEC"/>
    <w:rsid w:val="00D21F07"/>
    <w:rsid w:val="00D223C6"/>
    <w:rsid w:val="00D22427"/>
    <w:rsid w:val="00D22BAC"/>
    <w:rsid w:val="00D22C83"/>
    <w:rsid w:val="00D235E4"/>
    <w:rsid w:val="00D236F0"/>
    <w:rsid w:val="00D2409C"/>
    <w:rsid w:val="00D24354"/>
    <w:rsid w:val="00D24549"/>
    <w:rsid w:val="00D2489D"/>
    <w:rsid w:val="00D24AFC"/>
    <w:rsid w:val="00D258FE"/>
    <w:rsid w:val="00D26057"/>
    <w:rsid w:val="00D263EA"/>
    <w:rsid w:val="00D26D69"/>
    <w:rsid w:val="00D2745A"/>
    <w:rsid w:val="00D2747F"/>
    <w:rsid w:val="00D2761F"/>
    <w:rsid w:val="00D277A4"/>
    <w:rsid w:val="00D2795C"/>
    <w:rsid w:val="00D27F20"/>
    <w:rsid w:val="00D27FE4"/>
    <w:rsid w:val="00D3005F"/>
    <w:rsid w:val="00D301FA"/>
    <w:rsid w:val="00D3034D"/>
    <w:rsid w:val="00D3062E"/>
    <w:rsid w:val="00D309A8"/>
    <w:rsid w:val="00D30B1A"/>
    <w:rsid w:val="00D31AEB"/>
    <w:rsid w:val="00D323BF"/>
    <w:rsid w:val="00D32A5A"/>
    <w:rsid w:val="00D32CB0"/>
    <w:rsid w:val="00D33152"/>
    <w:rsid w:val="00D33461"/>
    <w:rsid w:val="00D33828"/>
    <w:rsid w:val="00D349E5"/>
    <w:rsid w:val="00D34D8D"/>
    <w:rsid w:val="00D34F23"/>
    <w:rsid w:val="00D35039"/>
    <w:rsid w:val="00D36493"/>
    <w:rsid w:val="00D367B0"/>
    <w:rsid w:val="00D370A2"/>
    <w:rsid w:val="00D40221"/>
    <w:rsid w:val="00D41B6B"/>
    <w:rsid w:val="00D41D3B"/>
    <w:rsid w:val="00D41F24"/>
    <w:rsid w:val="00D42CAC"/>
    <w:rsid w:val="00D42EC5"/>
    <w:rsid w:val="00D42F80"/>
    <w:rsid w:val="00D43F16"/>
    <w:rsid w:val="00D44626"/>
    <w:rsid w:val="00D44E72"/>
    <w:rsid w:val="00D44EAA"/>
    <w:rsid w:val="00D453DF"/>
    <w:rsid w:val="00D454E2"/>
    <w:rsid w:val="00D457E6"/>
    <w:rsid w:val="00D45C2C"/>
    <w:rsid w:val="00D45EFF"/>
    <w:rsid w:val="00D45F31"/>
    <w:rsid w:val="00D462B1"/>
    <w:rsid w:val="00D462D3"/>
    <w:rsid w:val="00D46612"/>
    <w:rsid w:val="00D46B9F"/>
    <w:rsid w:val="00D46CBB"/>
    <w:rsid w:val="00D47574"/>
    <w:rsid w:val="00D52005"/>
    <w:rsid w:val="00D521FD"/>
    <w:rsid w:val="00D52564"/>
    <w:rsid w:val="00D52A44"/>
    <w:rsid w:val="00D5326F"/>
    <w:rsid w:val="00D532CC"/>
    <w:rsid w:val="00D53421"/>
    <w:rsid w:val="00D53D2A"/>
    <w:rsid w:val="00D53ED7"/>
    <w:rsid w:val="00D541BD"/>
    <w:rsid w:val="00D5489F"/>
    <w:rsid w:val="00D54A48"/>
    <w:rsid w:val="00D54BF2"/>
    <w:rsid w:val="00D55058"/>
    <w:rsid w:val="00D554B6"/>
    <w:rsid w:val="00D5570A"/>
    <w:rsid w:val="00D557DB"/>
    <w:rsid w:val="00D55926"/>
    <w:rsid w:val="00D55A8B"/>
    <w:rsid w:val="00D55B4F"/>
    <w:rsid w:val="00D55C81"/>
    <w:rsid w:val="00D56050"/>
    <w:rsid w:val="00D56065"/>
    <w:rsid w:val="00D56480"/>
    <w:rsid w:val="00D56A26"/>
    <w:rsid w:val="00D56C2E"/>
    <w:rsid w:val="00D5720D"/>
    <w:rsid w:val="00D577CA"/>
    <w:rsid w:val="00D577EB"/>
    <w:rsid w:val="00D57CDF"/>
    <w:rsid w:val="00D602E3"/>
    <w:rsid w:val="00D6049A"/>
    <w:rsid w:val="00D60A7F"/>
    <w:rsid w:val="00D61150"/>
    <w:rsid w:val="00D61351"/>
    <w:rsid w:val="00D6167D"/>
    <w:rsid w:val="00D61758"/>
    <w:rsid w:val="00D61917"/>
    <w:rsid w:val="00D61CD4"/>
    <w:rsid w:val="00D61D7A"/>
    <w:rsid w:val="00D61E10"/>
    <w:rsid w:val="00D61EB7"/>
    <w:rsid w:val="00D6223A"/>
    <w:rsid w:val="00D6260F"/>
    <w:rsid w:val="00D62921"/>
    <w:rsid w:val="00D62BEE"/>
    <w:rsid w:val="00D62FFE"/>
    <w:rsid w:val="00D63192"/>
    <w:rsid w:val="00D63CF8"/>
    <w:rsid w:val="00D63EA5"/>
    <w:rsid w:val="00D647D1"/>
    <w:rsid w:val="00D651DC"/>
    <w:rsid w:val="00D65381"/>
    <w:rsid w:val="00D653BE"/>
    <w:rsid w:val="00D65868"/>
    <w:rsid w:val="00D65DF0"/>
    <w:rsid w:val="00D65FC8"/>
    <w:rsid w:val="00D661E2"/>
    <w:rsid w:val="00D662A6"/>
    <w:rsid w:val="00D664D2"/>
    <w:rsid w:val="00D672A8"/>
    <w:rsid w:val="00D6783D"/>
    <w:rsid w:val="00D705B4"/>
    <w:rsid w:val="00D706B1"/>
    <w:rsid w:val="00D716C8"/>
    <w:rsid w:val="00D71B55"/>
    <w:rsid w:val="00D71E92"/>
    <w:rsid w:val="00D7207C"/>
    <w:rsid w:val="00D72A98"/>
    <w:rsid w:val="00D72DA3"/>
    <w:rsid w:val="00D73260"/>
    <w:rsid w:val="00D735F7"/>
    <w:rsid w:val="00D73655"/>
    <w:rsid w:val="00D73A0C"/>
    <w:rsid w:val="00D745F2"/>
    <w:rsid w:val="00D74789"/>
    <w:rsid w:val="00D74DD7"/>
    <w:rsid w:val="00D751DA"/>
    <w:rsid w:val="00D75277"/>
    <w:rsid w:val="00D75384"/>
    <w:rsid w:val="00D753F3"/>
    <w:rsid w:val="00D75733"/>
    <w:rsid w:val="00D75818"/>
    <w:rsid w:val="00D76150"/>
    <w:rsid w:val="00D763FB"/>
    <w:rsid w:val="00D77804"/>
    <w:rsid w:val="00D77C94"/>
    <w:rsid w:val="00D80457"/>
    <w:rsid w:val="00D80634"/>
    <w:rsid w:val="00D80636"/>
    <w:rsid w:val="00D808B3"/>
    <w:rsid w:val="00D80D71"/>
    <w:rsid w:val="00D82006"/>
    <w:rsid w:val="00D8221A"/>
    <w:rsid w:val="00D823D5"/>
    <w:rsid w:val="00D82888"/>
    <w:rsid w:val="00D82AC9"/>
    <w:rsid w:val="00D82C53"/>
    <w:rsid w:val="00D82CD3"/>
    <w:rsid w:val="00D83069"/>
    <w:rsid w:val="00D837DF"/>
    <w:rsid w:val="00D83DF9"/>
    <w:rsid w:val="00D83E68"/>
    <w:rsid w:val="00D83FA7"/>
    <w:rsid w:val="00D8410A"/>
    <w:rsid w:val="00D84FFA"/>
    <w:rsid w:val="00D85102"/>
    <w:rsid w:val="00D853BF"/>
    <w:rsid w:val="00D85580"/>
    <w:rsid w:val="00D8580D"/>
    <w:rsid w:val="00D85C3E"/>
    <w:rsid w:val="00D8631A"/>
    <w:rsid w:val="00D867FE"/>
    <w:rsid w:val="00D86830"/>
    <w:rsid w:val="00D869BD"/>
    <w:rsid w:val="00D871DF"/>
    <w:rsid w:val="00D8734D"/>
    <w:rsid w:val="00D8735F"/>
    <w:rsid w:val="00D87451"/>
    <w:rsid w:val="00D91036"/>
    <w:rsid w:val="00D91DF7"/>
    <w:rsid w:val="00D92E91"/>
    <w:rsid w:val="00D9301F"/>
    <w:rsid w:val="00D93198"/>
    <w:rsid w:val="00D93846"/>
    <w:rsid w:val="00D939CF"/>
    <w:rsid w:val="00D9434F"/>
    <w:rsid w:val="00D959DC"/>
    <w:rsid w:val="00D95B97"/>
    <w:rsid w:val="00D95DAB"/>
    <w:rsid w:val="00D96071"/>
    <w:rsid w:val="00D9633E"/>
    <w:rsid w:val="00DA02B7"/>
    <w:rsid w:val="00DA0310"/>
    <w:rsid w:val="00DA0488"/>
    <w:rsid w:val="00DA063A"/>
    <w:rsid w:val="00DA0ECF"/>
    <w:rsid w:val="00DA18CE"/>
    <w:rsid w:val="00DA1BC3"/>
    <w:rsid w:val="00DA1D1B"/>
    <w:rsid w:val="00DA1FC8"/>
    <w:rsid w:val="00DA3113"/>
    <w:rsid w:val="00DA315D"/>
    <w:rsid w:val="00DA334F"/>
    <w:rsid w:val="00DA3A08"/>
    <w:rsid w:val="00DA52D7"/>
    <w:rsid w:val="00DA566C"/>
    <w:rsid w:val="00DA5F31"/>
    <w:rsid w:val="00DA638A"/>
    <w:rsid w:val="00DA63E9"/>
    <w:rsid w:val="00DA681D"/>
    <w:rsid w:val="00DA6EC4"/>
    <w:rsid w:val="00DA6EF0"/>
    <w:rsid w:val="00DA7057"/>
    <w:rsid w:val="00DA7646"/>
    <w:rsid w:val="00DB07E2"/>
    <w:rsid w:val="00DB09DB"/>
    <w:rsid w:val="00DB09FE"/>
    <w:rsid w:val="00DB0F91"/>
    <w:rsid w:val="00DB1C6F"/>
    <w:rsid w:val="00DB20FA"/>
    <w:rsid w:val="00DB218E"/>
    <w:rsid w:val="00DB2584"/>
    <w:rsid w:val="00DB2798"/>
    <w:rsid w:val="00DB308C"/>
    <w:rsid w:val="00DB3280"/>
    <w:rsid w:val="00DB3723"/>
    <w:rsid w:val="00DB38BD"/>
    <w:rsid w:val="00DB3B09"/>
    <w:rsid w:val="00DB3D00"/>
    <w:rsid w:val="00DB4496"/>
    <w:rsid w:val="00DB4723"/>
    <w:rsid w:val="00DB4732"/>
    <w:rsid w:val="00DB4888"/>
    <w:rsid w:val="00DB5484"/>
    <w:rsid w:val="00DB55D5"/>
    <w:rsid w:val="00DB56A3"/>
    <w:rsid w:val="00DB574E"/>
    <w:rsid w:val="00DB5FC1"/>
    <w:rsid w:val="00DB65FD"/>
    <w:rsid w:val="00DB6974"/>
    <w:rsid w:val="00DB6F94"/>
    <w:rsid w:val="00DB7616"/>
    <w:rsid w:val="00DB76EA"/>
    <w:rsid w:val="00DB7A80"/>
    <w:rsid w:val="00DC06E5"/>
    <w:rsid w:val="00DC07EE"/>
    <w:rsid w:val="00DC0CBB"/>
    <w:rsid w:val="00DC118B"/>
    <w:rsid w:val="00DC1287"/>
    <w:rsid w:val="00DC13E1"/>
    <w:rsid w:val="00DC17A0"/>
    <w:rsid w:val="00DC1A6E"/>
    <w:rsid w:val="00DC1C6F"/>
    <w:rsid w:val="00DC1FB9"/>
    <w:rsid w:val="00DC37B4"/>
    <w:rsid w:val="00DC3A12"/>
    <w:rsid w:val="00DC3FF9"/>
    <w:rsid w:val="00DC412A"/>
    <w:rsid w:val="00DC4678"/>
    <w:rsid w:val="00DC4896"/>
    <w:rsid w:val="00DC4B19"/>
    <w:rsid w:val="00DC4C47"/>
    <w:rsid w:val="00DC5CB2"/>
    <w:rsid w:val="00DC662D"/>
    <w:rsid w:val="00DC7450"/>
    <w:rsid w:val="00DC7652"/>
    <w:rsid w:val="00DC795F"/>
    <w:rsid w:val="00DC7B90"/>
    <w:rsid w:val="00DC7DF7"/>
    <w:rsid w:val="00DD018A"/>
    <w:rsid w:val="00DD01B2"/>
    <w:rsid w:val="00DD08A2"/>
    <w:rsid w:val="00DD0968"/>
    <w:rsid w:val="00DD0DE5"/>
    <w:rsid w:val="00DD0F24"/>
    <w:rsid w:val="00DD165A"/>
    <w:rsid w:val="00DD24B6"/>
    <w:rsid w:val="00DD2A1B"/>
    <w:rsid w:val="00DD3517"/>
    <w:rsid w:val="00DD3C96"/>
    <w:rsid w:val="00DD4B67"/>
    <w:rsid w:val="00DD4EFC"/>
    <w:rsid w:val="00DD4F3C"/>
    <w:rsid w:val="00DD65C0"/>
    <w:rsid w:val="00DD6D20"/>
    <w:rsid w:val="00DD6D4A"/>
    <w:rsid w:val="00DD75F0"/>
    <w:rsid w:val="00DD7FE4"/>
    <w:rsid w:val="00DE0855"/>
    <w:rsid w:val="00DE0EF7"/>
    <w:rsid w:val="00DE22A1"/>
    <w:rsid w:val="00DE2DFB"/>
    <w:rsid w:val="00DE3616"/>
    <w:rsid w:val="00DE3915"/>
    <w:rsid w:val="00DE3C08"/>
    <w:rsid w:val="00DE425C"/>
    <w:rsid w:val="00DE44AA"/>
    <w:rsid w:val="00DE4A18"/>
    <w:rsid w:val="00DE4F58"/>
    <w:rsid w:val="00DE5168"/>
    <w:rsid w:val="00DE5330"/>
    <w:rsid w:val="00DE59BE"/>
    <w:rsid w:val="00DE5BDE"/>
    <w:rsid w:val="00DE5E8B"/>
    <w:rsid w:val="00DE60CD"/>
    <w:rsid w:val="00DE620F"/>
    <w:rsid w:val="00DE63AD"/>
    <w:rsid w:val="00DE64F2"/>
    <w:rsid w:val="00DE6704"/>
    <w:rsid w:val="00DE6724"/>
    <w:rsid w:val="00DE6E33"/>
    <w:rsid w:val="00DE7549"/>
    <w:rsid w:val="00DE7C08"/>
    <w:rsid w:val="00DE7E7A"/>
    <w:rsid w:val="00DF0300"/>
    <w:rsid w:val="00DF03BA"/>
    <w:rsid w:val="00DF0768"/>
    <w:rsid w:val="00DF09AE"/>
    <w:rsid w:val="00DF0B73"/>
    <w:rsid w:val="00DF0D11"/>
    <w:rsid w:val="00DF1DCE"/>
    <w:rsid w:val="00DF20D4"/>
    <w:rsid w:val="00DF2238"/>
    <w:rsid w:val="00DF2C73"/>
    <w:rsid w:val="00DF2F4D"/>
    <w:rsid w:val="00DF30B2"/>
    <w:rsid w:val="00DF3E0C"/>
    <w:rsid w:val="00DF3E9E"/>
    <w:rsid w:val="00DF40D2"/>
    <w:rsid w:val="00DF40FF"/>
    <w:rsid w:val="00DF515A"/>
    <w:rsid w:val="00DF60C4"/>
    <w:rsid w:val="00DF69F7"/>
    <w:rsid w:val="00DF6D27"/>
    <w:rsid w:val="00DF722F"/>
    <w:rsid w:val="00DF7D7E"/>
    <w:rsid w:val="00DF7DCD"/>
    <w:rsid w:val="00E00763"/>
    <w:rsid w:val="00E007B9"/>
    <w:rsid w:val="00E009F9"/>
    <w:rsid w:val="00E00BBC"/>
    <w:rsid w:val="00E010C3"/>
    <w:rsid w:val="00E01200"/>
    <w:rsid w:val="00E01664"/>
    <w:rsid w:val="00E017E6"/>
    <w:rsid w:val="00E01957"/>
    <w:rsid w:val="00E022C1"/>
    <w:rsid w:val="00E02F40"/>
    <w:rsid w:val="00E038B4"/>
    <w:rsid w:val="00E0409B"/>
    <w:rsid w:val="00E04154"/>
    <w:rsid w:val="00E042B7"/>
    <w:rsid w:val="00E04361"/>
    <w:rsid w:val="00E0443E"/>
    <w:rsid w:val="00E044FD"/>
    <w:rsid w:val="00E04A61"/>
    <w:rsid w:val="00E04CB2"/>
    <w:rsid w:val="00E05342"/>
    <w:rsid w:val="00E0560E"/>
    <w:rsid w:val="00E0571E"/>
    <w:rsid w:val="00E057EA"/>
    <w:rsid w:val="00E057F4"/>
    <w:rsid w:val="00E05F00"/>
    <w:rsid w:val="00E06619"/>
    <w:rsid w:val="00E06963"/>
    <w:rsid w:val="00E06DD7"/>
    <w:rsid w:val="00E06F64"/>
    <w:rsid w:val="00E06FDD"/>
    <w:rsid w:val="00E07197"/>
    <w:rsid w:val="00E07887"/>
    <w:rsid w:val="00E07966"/>
    <w:rsid w:val="00E07F5A"/>
    <w:rsid w:val="00E10DC3"/>
    <w:rsid w:val="00E10E63"/>
    <w:rsid w:val="00E10F7A"/>
    <w:rsid w:val="00E116B9"/>
    <w:rsid w:val="00E117F1"/>
    <w:rsid w:val="00E11B77"/>
    <w:rsid w:val="00E11E07"/>
    <w:rsid w:val="00E12001"/>
    <w:rsid w:val="00E12467"/>
    <w:rsid w:val="00E12794"/>
    <w:rsid w:val="00E127BC"/>
    <w:rsid w:val="00E12943"/>
    <w:rsid w:val="00E12E6B"/>
    <w:rsid w:val="00E141E9"/>
    <w:rsid w:val="00E14200"/>
    <w:rsid w:val="00E14226"/>
    <w:rsid w:val="00E146FD"/>
    <w:rsid w:val="00E14915"/>
    <w:rsid w:val="00E14A33"/>
    <w:rsid w:val="00E153E3"/>
    <w:rsid w:val="00E15593"/>
    <w:rsid w:val="00E155B0"/>
    <w:rsid w:val="00E1585E"/>
    <w:rsid w:val="00E163B8"/>
    <w:rsid w:val="00E168EA"/>
    <w:rsid w:val="00E16945"/>
    <w:rsid w:val="00E1704C"/>
    <w:rsid w:val="00E17A1E"/>
    <w:rsid w:val="00E20E5D"/>
    <w:rsid w:val="00E22531"/>
    <w:rsid w:val="00E22581"/>
    <w:rsid w:val="00E22587"/>
    <w:rsid w:val="00E22915"/>
    <w:rsid w:val="00E22E56"/>
    <w:rsid w:val="00E2360D"/>
    <w:rsid w:val="00E23867"/>
    <w:rsid w:val="00E23BB9"/>
    <w:rsid w:val="00E23DBA"/>
    <w:rsid w:val="00E240BC"/>
    <w:rsid w:val="00E24AFB"/>
    <w:rsid w:val="00E25615"/>
    <w:rsid w:val="00E25653"/>
    <w:rsid w:val="00E258A6"/>
    <w:rsid w:val="00E25A53"/>
    <w:rsid w:val="00E2616A"/>
    <w:rsid w:val="00E26249"/>
    <w:rsid w:val="00E266AD"/>
    <w:rsid w:val="00E26BDD"/>
    <w:rsid w:val="00E2786F"/>
    <w:rsid w:val="00E307D7"/>
    <w:rsid w:val="00E309EE"/>
    <w:rsid w:val="00E30A02"/>
    <w:rsid w:val="00E30C81"/>
    <w:rsid w:val="00E30CA5"/>
    <w:rsid w:val="00E310F4"/>
    <w:rsid w:val="00E31A14"/>
    <w:rsid w:val="00E31A41"/>
    <w:rsid w:val="00E31BBF"/>
    <w:rsid w:val="00E329C1"/>
    <w:rsid w:val="00E32D6B"/>
    <w:rsid w:val="00E33309"/>
    <w:rsid w:val="00E334B1"/>
    <w:rsid w:val="00E336F1"/>
    <w:rsid w:val="00E338E9"/>
    <w:rsid w:val="00E34344"/>
    <w:rsid w:val="00E34926"/>
    <w:rsid w:val="00E349E8"/>
    <w:rsid w:val="00E34A79"/>
    <w:rsid w:val="00E34EFF"/>
    <w:rsid w:val="00E355D5"/>
    <w:rsid w:val="00E3575C"/>
    <w:rsid w:val="00E35AB0"/>
    <w:rsid w:val="00E35AC8"/>
    <w:rsid w:val="00E35C5A"/>
    <w:rsid w:val="00E35DA8"/>
    <w:rsid w:val="00E35EDF"/>
    <w:rsid w:val="00E35FF9"/>
    <w:rsid w:val="00E36318"/>
    <w:rsid w:val="00E363A3"/>
    <w:rsid w:val="00E36C4C"/>
    <w:rsid w:val="00E37245"/>
    <w:rsid w:val="00E372E3"/>
    <w:rsid w:val="00E373A9"/>
    <w:rsid w:val="00E3748D"/>
    <w:rsid w:val="00E37C5F"/>
    <w:rsid w:val="00E37CFD"/>
    <w:rsid w:val="00E402EF"/>
    <w:rsid w:val="00E4034F"/>
    <w:rsid w:val="00E404C7"/>
    <w:rsid w:val="00E4061E"/>
    <w:rsid w:val="00E4103A"/>
    <w:rsid w:val="00E41583"/>
    <w:rsid w:val="00E42831"/>
    <w:rsid w:val="00E4294E"/>
    <w:rsid w:val="00E43051"/>
    <w:rsid w:val="00E43839"/>
    <w:rsid w:val="00E43F33"/>
    <w:rsid w:val="00E43F65"/>
    <w:rsid w:val="00E444AE"/>
    <w:rsid w:val="00E44CED"/>
    <w:rsid w:val="00E44E64"/>
    <w:rsid w:val="00E458CF"/>
    <w:rsid w:val="00E45B8E"/>
    <w:rsid w:val="00E4655E"/>
    <w:rsid w:val="00E4687C"/>
    <w:rsid w:val="00E47727"/>
    <w:rsid w:val="00E47C58"/>
    <w:rsid w:val="00E503B0"/>
    <w:rsid w:val="00E50429"/>
    <w:rsid w:val="00E50D24"/>
    <w:rsid w:val="00E50DE9"/>
    <w:rsid w:val="00E50F81"/>
    <w:rsid w:val="00E51426"/>
    <w:rsid w:val="00E51A84"/>
    <w:rsid w:val="00E536B2"/>
    <w:rsid w:val="00E53C20"/>
    <w:rsid w:val="00E543D0"/>
    <w:rsid w:val="00E54D04"/>
    <w:rsid w:val="00E54DEB"/>
    <w:rsid w:val="00E55E91"/>
    <w:rsid w:val="00E56917"/>
    <w:rsid w:val="00E56939"/>
    <w:rsid w:val="00E57206"/>
    <w:rsid w:val="00E57266"/>
    <w:rsid w:val="00E57970"/>
    <w:rsid w:val="00E60402"/>
    <w:rsid w:val="00E60A41"/>
    <w:rsid w:val="00E60D7C"/>
    <w:rsid w:val="00E61175"/>
    <w:rsid w:val="00E61555"/>
    <w:rsid w:val="00E621D5"/>
    <w:rsid w:val="00E62844"/>
    <w:rsid w:val="00E628B4"/>
    <w:rsid w:val="00E629DD"/>
    <w:rsid w:val="00E62B13"/>
    <w:rsid w:val="00E62C51"/>
    <w:rsid w:val="00E62FED"/>
    <w:rsid w:val="00E6363B"/>
    <w:rsid w:val="00E63B23"/>
    <w:rsid w:val="00E63B25"/>
    <w:rsid w:val="00E640F7"/>
    <w:rsid w:val="00E64262"/>
    <w:rsid w:val="00E64492"/>
    <w:rsid w:val="00E648F1"/>
    <w:rsid w:val="00E6491A"/>
    <w:rsid w:val="00E65305"/>
    <w:rsid w:val="00E65DE7"/>
    <w:rsid w:val="00E7066E"/>
    <w:rsid w:val="00E70E15"/>
    <w:rsid w:val="00E7104D"/>
    <w:rsid w:val="00E728B8"/>
    <w:rsid w:val="00E72F2A"/>
    <w:rsid w:val="00E73206"/>
    <w:rsid w:val="00E7331E"/>
    <w:rsid w:val="00E733B1"/>
    <w:rsid w:val="00E734A3"/>
    <w:rsid w:val="00E736D1"/>
    <w:rsid w:val="00E73759"/>
    <w:rsid w:val="00E73994"/>
    <w:rsid w:val="00E73C3A"/>
    <w:rsid w:val="00E741C5"/>
    <w:rsid w:val="00E74DF9"/>
    <w:rsid w:val="00E7514F"/>
    <w:rsid w:val="00E75773"/>
    <w:rsid w:val="00E75913"/>
    <w:rsid w:val="00E75E02"/>
    <w:rsid w:val="00E7652F"/>
    <w:rsid w:val="00E769F1"/>
    <w:rsid w:val="00E773CB"/>
    <w:rsid w:val="00E7741C"/>
    <w:rsid w:val="00E80439"/>
    <w:rsid w:val="00E80482"/>
    <w:rsid w:val="00E80912"/>
    <w:rsid w:val="00E80FAA"/>
    <w:rsid w:val="00E8121B"/>
    <w:rsid w:val="00E8145C"/>
    <w:rsid w:val="00E81579"/>
    <w:rsid w:val="00E82ABE"/>
    <w:rsid w:val="00E8320B"/>
    <w:rsid w:val="00E83481"/>
    <w:rsid w:val="00E848FE"/>
    <w:rsid w:val="00E84EB2"/>
    <w:rsid w:val="00E8500B"/>
    <w:rsid w:val="00E85536"/>
    <w:rsid w:val="00E8589A"/>
    <w:rsid w:val="00E85FAF"/>
    <w:rsid w:val="00E8600D"/>
    <w:rsid w:val="00E861BF"/>
    <w:rsid w:val="00E86501"/>
    <w:rsid w:val="00E871F1"/>
    <w:rsid w:val="00E877E3"/>
    <w:rsid w:val="00E905F1"/>
    <w:rsid w:val="00E90BA3"/>
    <w:rsid w:val="00E90FDA"/>
    <w:rsid w:val="00E914F5"/>
    <w:rsid w:val="00E91975"/>
    <w:rsid w:val="00E91A1D"/>
    <w:rsid w:val="00E91DB1"/>
    <w:rsid w:val="00E92993"/>
    <w:rsid w:val="00E92FA0"/>
    <w:rsid w:val="00E9364B"/>
    <w:rsid w:val="00E93EE5"/>
    <w:rsid w:val="00E94AA8"/>
    <w:rsid w:val="00E94CCF"/>
    <w:rsid w:val="00E95B44"/>
    <w:rsid w:val="00E95F6E"/>
    <w:rsid w:val="00E96110"/>
    <w:rsid w:val="00E972A7"/>
    <w:rsid w:val="00E97470"/>
    <w:rsid w:val="00E978B5"/>
    <w:rsid w:val="00E97F7F"/>
    <w:rsid w:val="00EA04EF"/>
    <w:rsid w:val="00EA063E"/>
    <w:rsid w:val="00EA0715"/>
    <w:rsid w:val="00EA0923"/>
    <w:rsid w:val="00EA0D62"/>
    <w:rsid w:val="00EA112B"/>
    <w:rsid w:val="00EA1478"/>
    <w:rsid w:val="00EA152B"/>
    <w:rsid w:val="00EA2B93"/>
    <w:rsid w:val="00EA36FB"/>
    <w:rsid w:val="00EA37D1"/>
    <w:rsid w:val="00EA3A9D"/>
    <w:rsid w:val="00EA4210"/>
    <w:rsid w:val="00EA425B"/>
    <w:rsid w:val="00EA575C"/>
    <w:rsid w:val="00EA59B0"/>
    <w:rsid w:val="00EA6BC8"/>
    <w:rsid w:val="00EA6FEC"/>
    <w:rsid w:val="00EA729E"/>
    <w:rsid w:val="00EA7869"/>
    <w:rsid w:val="00EA7B12"/>
    <w:rsid w:val="00EB0EA4"/>
    <w:rsid w:val="00EB174E"/>
    <w:rsid w:val="00EB1928"/>
    <w:rsid w:val="00EB1B14"/>
    <w:rsid w:val="00EB1D62"/>
    <w:rsid w:val="00EB2109"/>
    <w:rsid w:val="00EB2ABA"/>
    <w:rsid w:val="00EB31D1"/>
    <w:rsid w:val="00EB40D6"/>
    <w:rsid w:val="00EB40DA"/>
    <w:rsid w:val="00EB497B"/>
    <w:rsid w:val="00EB4B80"/>
    <w:rsid w:val="00EB4BB7"/>
    <w:rsid w:val="00EB523A"/>
    <w:rsid w:val="00EB5257"/>
    <w:rsid w:val="00EB53F8"/>
    <w:rsid w:val="00EB5613"/>
    <w:rsid w:val="00EB62F4"/>
    <w:rsid w:val="00EB6320"/>
    <w:rsid w:val="00EB6B0C"/>
    <w:rsid w:val="00EB6B66"/>
    <w:rsid w:val="00EB7138"/>
    <w:rsid w:val="00EB751A"/>
    <w:rsid w:val="00EB7C33"/>
    <w:rsid w:val="00EB7F1D"/>
    <w:rsid w:val="00EC038E"/>
    <w:rsid w:val="00EC06AB"/>
    <w:rsid w:val="00EC0EEB"/>
    <w:rsid w:val="00EC16BC"/>
    <w:rsid w:val="00EC197E"/>
    <w:rsid w:val="00EC1CC3"/>
    <w:rsid w:val="00EC273E"/>
    <w:rsid w:val="00EC284B"/>
    <w:rsid w:val="00EC2EFA"/>
    <w:rsid w:val="00EC2FB1"/>
    <w:rsid w:val="00EC3235"/>
    <w:rsid w:val="00EC3C0B"/>
    <w:rsid w:val="00EC3F14"/>
    <w:rsid w:val="00EC4534"/>
    <w:rsid w:val="00EC4E42"/>
    <w:rsid w:val="00EC4EBE"/>
    <w:rsid w:val="00EC505B"/>
    <w:rsid w:val="00EC5068"/>
    <w:rsid w:val="00EC5297"/>
    <w:rsid w:val="00EC52B1"/>
    <w:rsid w:val="00EC5451"/>
    <w:rsid w:val="00EC5479"/>
    <w:rsid w:val="00EC57DA"/>
    <w:rsid w:val="00EC59BD"/>
    <w:rsid w:val="00EC5D23"/>
    <w:rsid w:val="00EC79FC"/>
    <w:rsid w:val="00EC7E0B"/>
    <w:rsid w:val="00EC7F6B"/>
    <w:rsid w:val="00ED09C1"/>
    <w:rsid w:val="00ED0B24"/>
    <w:rsid w:val="00ED0C4F"/>
    <w:rsid w:val="00ED0DCC"/>
    <w:rsid w:val="00ED0F12"/>
    <w:rsid w:val="00ED134E"/>
    <w:rsid w:val="00ED1359"/>
    <w:rsid w:val="00ED156B"/>
    <w:rsid w:val="00ED18F6"/>
    <w:rsid w:val="00ED1922"/>
    <w:rsid w:val="00ED1B67"/>
    <w:rsid w:val="00ED1D24"/>
    <w:rsid w:val="00ED1EB1"/>
    <w:rsid w:val="00ED24EE"/>
    <w:rsid w:val="00ED264F"/>
    <w:rsid w:val="00ED27EE"/>
    <w:rsid w:val="00ED3864"/>
    <w:rsid w:val="00ED38CD"/>
    <w:rsid w:val="00ED406D"/>
    <w:rsid w:val="00ED512A"/>
    <w:rsid w:val="00ED669C"/>
    <w:rsid w:val="00ED674C"/>
    <w:rsid w:val="00ED713F"/>
    <w:rsid w:val="00ED7492"/>
    <w:rsid w:val="00ED7A6C"/>
    <w:rsid w:val="00EE096E"/>
    <w:rsid w:val="00EE2097"/>
    <w:rsid w:val="00EE28B0"/>
    <w:rsid w:val="00EE3125"/>
    <w:rsid w:val="00EE4863"/>
    <w:rsid w:val="00EE4EE3"/>
    <w:rsid w:val="00EE554A"/>
    <w:rsid w:val="00EE5E4D"/>
    <w:rsid w:val="00EE61D6"/>
    <w:rsid w:val="00EE6E27"/>
    <w:rsid w:val="00EE7EDA"/>
    <w:rsid w:val="00EF0740"/>
    <w:rsid w:val="00EF0CC9"/>
    <w:rsid w:val="00EF0EA3"/>
    <w:rsid w:val="00EF14BC"/>
    <w:rsid w:val="00EF1683"/>
    <w:rsid w:val="00EF1C02"/>
    <w:rsid w:val="00EF1C2C"/>
    <w:rsid w:val="00EF21A4"/>
    <w:rsid w:val="00EF25F2"/>
    <w:rsid w:val="00EF2923"/>
    <w:rsid w:val="00EF2AAB"/>
    <w:rsid w:val="00EF2DC0"/>
    <w:rsid w:val="00EF3424"/>
    <w:rsid w:val="00EF34F7"/>
    <w:rsid w:val="00EF357D"/>
    <w:rsid w:val="00EF49B7"/>
    <w:rsid w:val="00EF4FE1"/>
    <w:rsid w:val="00EF559B"/>
    <w:rsid w:val="00EF5A77"/>
    <w:rsid w:val="00EF62DE"/>
    <w:rsid w:val="00EF63BE"/>
    <w:rsid w:val="00EF681F"/>
    <w:rsid w:val="00EF6AEB"/>
    <w:rsid w:val="00EF7351"/>
    <w:rsid w:val="00EF7476"/>
    <w:rsid w:val="00EF76D9"/>
    <w:rsid w:val="00EF7986"/>
    <w:rsid w:val="00F005FA"/>
    <w:rsid w:val="00F00647"/>
    <w:rsid w:val="00F0185C"/>
    <w:rsid w:val="00F01B48"/>
    <w:rsid w:val="00F023A5"/>
    <w:rsid w:val="00F024ED"/>
    <w:rsid w:val="00F02F58"/>
    <w:rsid w:val="00F03208"/>
    <w:rsid w:val="00F03B1A"/>
    <w:rsid w:val="00F03CA9"/>
    <w:rsid w:val="00F03DAB"/>
    <w:rsid w:val="00F046C3"/>
    <w:rsid w:val="00F04D70"/>
    <w:rsid w:val="00F04E08"/>
    <w:rsid w:val="00F050A8"/>
    <w:rsid w:val="00F05508"/>
    <w:rsid w:val="00F05704"/>
    <w:rsid w:val="00F0571F"/>
    <w:rsid w:val="00F05B5C"/>
    <w:rsid w:val="00F05BD7"/>
    <w:rsid w:val="00F06009"/>
    <w:rsid w:val="00F069E3"/>
    <w:rsid w:val="00F07301"/>
    <w:rsid w:val="00F105CE"/>
    <w:rsid w:val="00F10662"/>
    <w:rsid w:val="00F106D8"/>
    <w:rsid w:val="00F10C19"/>
    <w:rsid w:val="00F10E3D"/>
    <w:rsid w:val="00F112DD"/>
    <w:rsid w:val="00F116B7"/>
    <w:rsid w:val="00F11864"/>
    <w:rsid w:val="00F12199"/>
    <w:rsid w:val="00F122CE"/>
    <w:rsid w:val="00F12E81"/>
    <w:rsid w:val="00F12F00"/>
    <w:rsid w:val="00F1310C"/>
    <w:rsid w:val="00F13A1D"/>
    <w:rsid w:val="00F13D25"/>
    <w:rsid w:val="00F147ED"/>
    <w:rsid w:val="00F1562B"/>
    <w:rsid w:val="00F156B8"/>
    <w:rsid w:val="00F157A3"/>
    <w:rsid w:val="00F15EFB"/>
    <w:rsid w:val="00F16470"/>
    <w:rsid w:val="00F16A2D"/>
    <w:rsid w:val="00F178CC"/>
    <w:rsid w:val="00F179FB"/>
    <w:rsid w:val="00F2046B"/>
    <w:rsid w:val="00F20D5B"/>
    <w:rsid w:val="00F20E6E"/>
    <w:rsid w:val="00F22572"/>
    <w:rsid w:val="00F23220"/>
    <w:rsid w:val="00F234F0"/>
    <w:rsid w:val="00F2400E"/>
    <w:rsid w:val="00F25218"/>
    <w:rsid w:val="00F25263"/>
    <w:rsid w:val="00F255A0"/>
    <w:rsid w:val="00F25ACF"/>
    <w:rsid w:val="00F26370"/>
    <w:rsid w:val="00F274E8"/>
    <w:rsid w:val="00F275E5"/>
    <w:rsid w:val="00F2768B"/>
    <w:rsid w:val="00F2789D"/>
    <w:rsid w:val="00F30242"/>
    <w:rsid w:val="00F30D6C"/>
    <w:rsid w:val="00F3123A"/>
    <w:rsid w:val="00F314BB"/>
    <w:rsid w:val="00F31676"/>
    <w:rsid w:val="00F31CC1"/>
    <w:rsid w:val="00F31FAD"/>
    <w:rsid w:val="00F320E4"/>
    <w:rsid w:val="00F32284"/>
    <w:rsid w:val="00F325EB"/>
    <w:rsid w:val="00F32EAF"/>
    <w:rsid w:val="00F334CA"/>
    <w:rsid w:val="00F33555"/>
    <w:rsid w:val="00F3385F"/>
    <w:rsid w:val="00F33984"/>
    <w:rsid w:val="00F33CB5"/>
    <w:rsid w:val="00F3420B"/>
    <w:rsid w:val="00F35157"/>
    <w:rsid w:val="00F351B9"/>
    <w:rsid w:val="00F35F12"/>
    <w:rsid w:val="00F36095"/>
    <w:rsid w:val="00F3624C"/>
    <w:rsid w:val="00F37AD9"/>
    <w:rsid w:val="00F37D45"/>
    <w:rsid w:val="00F37E3A"/>
    <w:rsid w:val="00F37FDE"/>
    <w:rsid w:val="00F405AB"/>
    <w:rsid w:val="00F4189F"/>
    <w:rsid w:val="00F41B20"/>
    <w:rsid w:val="00F42261"/>
    <w:rsid w:val="00F42865"/>
    <w:rsid w:val="00F42A4A"/>
    <w:rsid w:val="00F44245"/>
    <w:rsid w:val="00F44680"/>
    <w:rsid w:val="00F4507B"/>
    <w:rsid w:val="00F4519F"/>
    <w:rsid w:val="00F4539A"/>
    <w:rsid w:val="00F465B1"/>
    <w:rsid w:val="00F46A55"/>
    <w:rsid w:val="00F46CFA"/>
    <w:rsid w:val="00F47BEA"/>
    <w:rsid w:val="00F501E6"/>
    <w:rsid w:val="00F50615"/>
    <w:rsid w:val="00F506BB"/>
    <w:rsid w:val="00F5074D"/>
    <w:rsid w:val="00F5094E"/>
    <w:rsid w:val="00F509E2"/>
    <w:rsid w:val="00F50D08"/>
    <w:rsid w:val="00F50FC9"/>
    <w:rsid w:val="00F513CB"/>
    <w:rsid w:val="00F5148D"/>
    <w:rsid w:val="00F51931"/>
    <w:rsid w:val="00F51B05"/>
    <w:rsid w:val="00F51DE7"/>
    <w:rsid w:val="00F51F6F"/>
    <w:rsid w:val="00F51FD9"/>
    <w:rsid w:val="00F523E5"/>
    <w:rsid w:val="00F52D67"/>
    <w:rsid w:val="00F5341A"/>
    <w:rsid w:val="00F537D9"/>
    <w:rsid w:val="00F53860"/>
    <w:rsid w:val="00F543FB"/>
    <w:rsid w:val="00F54621"/>
    <w:rsid w:val="00F54A44"/>
    <w:rsid w:val="00F54B68"/>
    <w:rsid w:val="00F54EC9"/>
    <w:rsid w:val="00F54F92"/>
    <w:rsid w:val="00F552EF"/>
    <w:rsid w:val="00F5543C"/>
    <w:rsid w:val="00F55CE8"/>
    <w:rsid w:val="00F561D9"/>
    <w:rsid w:val="00F565A8"/>
    <w:rsid w:val="00F56A7F"/>
    <w:rsid w:val="00F5726C"/>
    <w:rsid w:val="00F57A88"/>
    <w:rsid w:val="00F603B9"/>
    <w:rsid w:val="00F604E5"/>
    <w:rsid w:val="00F605AF"/>
    <w:rsid w:val="00F6085B"/>
    <w:rsid w:val="00F60CF6"/>
    <w:rsid w:val="00F613C0"/>
    <w:rsid w:val="00F61B43"/>
    <w:rsid w:val="00F61DFC"/>
    <w:rsid w:val="00F623F7"/>
    <w:rsid w:val="00F628E0"/>
    <w:rsid w:val="00F62B02"/>
    <w:rsid w:val="00F63C57"/>
    <w:rsid w:val="00F63C98"/>
    <w:rsid w:val="00F6466C"/>
    <w:rsid w:val="00F64809"/>
    <w:rsid w:val="00F6528C"/>
    <w:rsid w:val="00F65650"/>
    <w:rsid w:val="00F6571D"/>
    <w:rsid w:val="00F65DC4"/>
    <w:rsid w:val="00F66022"/>
    <w:rsid w:val="00F661E4"/>
    <w:rsid w:val="00F66645"/>
    <w:rsid w:val="00F66724"/>
    <w:rsid w:val="00F66E16"/>
    <w:rsid w:val="00F66EB0"/>
    <w:rsid w:val="00F67150"/>
    <w:rsid w:val="00F67B10"/>
    <w:rsid w:val="00F70360"/>
    <w:rsid w:val="00F7053F"/>
    <w:rsid w:val="00F7061E"/>
    <w:rsid w:val="00F706D3"/>
    <w:rsid w:val="00F71D11"/>
    <w:rsid w:val="00F72040"/>
    <w:rsid w:val="00F73889"/>
    <w:rsid w:val="00F73A11"/>
    <w:rsid w:val="00F73B7A"/>
    <w:rsid w:val="00F73FEA"/>
    <w:rsid w:val="00F745CB"/>
    <w:rsid w:val="00F746F0"/>
    <w:rsid w:val="00F748C9"/>
    <w:rsid w:val="00F74AB5"/>
    <w:rsid w:val="00F7526A"/>
    <w:rsid w:val="00F7552E"/>
    <w:rsid w:val="00F75F90"/>
    <w:rsid w:val="00F761D6"/>
    <w:rsid w:val="00F76674"/>
    <w:rsid w:val="00F76BA4"/>
    <w:rsid w:val="00F76FE8"/>
    <w:rsid w:val="00F7727A"/>
    <w:rsid w:val="00F77A38"/>
    <w:rsid w:val="00F77C37"/>
    <w:rsid w:val="00F77EA5"/>
    <w:rsid w:val="00F77EEF"/>
    <w:rsid w:val="00F8080B"/>
    <w:rsid w:val="00F809C6"/>
    <w:rsid w:val="00F80C52"/>
    <w:rsid w:val="00F81E91"/>
    <w:rsid w:val="00F81F68"/>
    <w:rsid w:val="00F830FD"/>
    <w:rsid w:val="00F8345B"/>
    <w:rsid w:val="00F83ADC"/>
    <w:rsid w:val="00F83CD3"/>
    <w:rsid w:val="00F84E38"/>
    <w:rsid w:val="00F85060"/>
    <w:rsid w:val="00F85604"/>
    <w:rsid w:val="00F856BE"/>
    <w:rsid w:val="00F85D77"/>
    <w:rsid w:val="00F85E27"/>
    <w:rsid w:val="00F86E67"/>
    <w:rsid w:val="00F871E9"/>
    <w:rsid w:val="00F87273"/>
    <w:rsid w:val="00F90E59"/>
    <w:rsid w:val="00F9149F"/>
    <w:rsid w:val="00F91767"/>
    <w:rsid w:val="00F91F72"/>
    <w:rsid w:val="00F920A4"/>
    <w:rsid w:val="00F92304"/>
    <w:rsid w:val="00F9298B"/>
    <w:rsid w:val="00F948DF"/>
    <w:rsid w:val="00F94A82"/>
    <w:rsid w:val="00F95310"/>
    <w:rsid w:val="00F95995"/>
    <w:rsid w:val="00F95FC6"/>
    <w:rsid w:val="00F9643D"/>
    <w:rsid w:val="00F96635"/>
    <w:rsid w:val="00F96853"/>
    <w:rsid w:val="00F96BFB"/>
    <w:rsid w:val="00F96D8F"/>
    <w:rsid w:val="00F9708B"/>
    <w:rsid w:val="00FA0016"/>
    <w:rsid w:val="00FA032E"/>
    <w:rsid w:val="00FA07B6"/>
    <w:rsid w:val="00FA134A"/>
    <w:rsid w:val="00FA1C91"/>
    <w:rsid w:val="00FA2978"/>
    <w:rsid w:val="00FA2A14"/>
    <w:rsid w:val="00FA2E03"/>
    <w:rsid w:val="00FA2F85"/>
    <w:rsid w:val="00FA364E"/>
    <w:rsid w:val="00FA40FC"/>
    <w:rsid w:val="00FA41C6"/>
    <w:rsid w:val="00FA4342"/>
    <w:rsid w:val="00FA526F"/>
    <w:rsid w:val="00FA55BA"/>
    <w:rsid w:val="00FA59D7"/>
    <w:rsid w:val="00FA69B1"/>
    <w:rsid w:val="00FA70AF"/>
    <w:rsid w:val="00FA72DD"/>
    <w:rsid w:val="00FA7666"/>
    <w:rsid w:val="00FA7688"/>
    <w:rsid w:val="00FA773C"/>
    <w:rsid w:val="00FA7D10"/>
    <w:rsid w:val="00FA7E24"/>
    <w:rsid w:val="00FA7F78"/>
    <w:rsid w:val="00FB06FE"/>
    <w:rsid w:val="00FB11B9"/>
    <w:rsid w:val="00FB1379"/>
    <w:rsid w:val="00FB1563"/>
    <w:rsid w:val="00FB1E5C"/>
    <w:rsid w:val="00FB1F60"/>
    <w:rsid w:val="00FB2331"/>
    <w:rsid w:val="00FB2359"/>
    <w:rsid w:val="00FB23FF"/>
    <w:rsid w:val="00FB2880"/>
    <w:rsid w:val="00FB2A74"/>
    <w:rsid w:val="00FB2C4F"/>
    <w:rsid w:val="00FB2CAC"/>
    <w:rsid w:val="00FB3308"/>
    <w:rsid w:val="00FB3DB1"/>
    <w:rsid w:val="00FB3F6B"/>
    <w:rsid w:val="00FB415A"/>
    <w:rsid w:val="00FB42BC"/>
    <w:rsid w:val="00FB4498"/>
    <w:rsid w:val="00FB4515"/>
    <w:rsid w:val="00FB4804"/>
    <w:rsid w:val="00FB4D48"/>
    <w:rsid w:val="00FB5364"/>
    <w:rsid w:val="00FB5856"/>
    <w:rsid w:val="00FB58FF"/>
    <w:rsid w:val="00FB60D1"/>
    <w:rsid w:val="00FB6BE7"/>
    <w:rsid w:val="00FB7096"/>
    <w:rsid w:val="00FB71E6"/>
    <w:rsid w:val="00FB72FB"/>
    <w:rsid w:val="00FB742C"/>
    <w:rsid w:val="00FB7927"/>
    <w:rsid w:val="00FC0415"/>
    <w:rsid w:val="00FC051D"/>
    <w:rsid w:val="00FC086E"/>
    <w:rsid w:val="00FC0D93"/>
    <w:rsid w:val="00FC12F0"/>
    <w:rsid w:val="00FC1B03"/>
    <w:rsid w:val="00FC24E6"/>
    <w:rsid w:val="00FC2E81"/>
    <w:rsid w:val="00FC2E90"/>
    <w:rsid w:val="00FC37DB"/>
    <w:rsid w:val="00FC38B4"/>
    <w:rsid w:val="00FC3C18"/>
    <w:rsid w:val="00FC4780"/>
    <w:rsid w:val="00FC4901"/>
    <w:rsid w:val="00FC4EC0"/>
    <w:rsid w:val="00FC5167"/>
    <w:rsid w:val="00FC5900"/>
    <w:rsid w:val="00FC643F"/>
    <w:rsid w:val="00FC6D5C"/>
    <w:rsid w:val="00FC7F41"/>
    <w:rsid w:val="00FD0A67"/>
    <w:rsid w:val="00FD107A"/>
    <w:rsid w:val="00FD13E0"/>
    <w:rsid w:val="00FD1543"/>
    <w:rsid w:val="00FD168F"/>
    <w:rsid w:val="00FD1E93"/>
    <w:rsid w:val="00FD24D3"/>
    <w:rsid w:val="00FD29E6"/>
    <w:rsid w:val="00FD307D"/>
    <w:rsid w:val="00FD4847"/>
    <w:rsid w:val="00FD4932"/>
    <w:rsid w:val="00FD51A5"/>
    <w:rsid w:val="00FD5511"/>
    <w:rsid w:val="00FD5D93"/>
    <w:rsid w:val="00FD6416"/>
    <w:rsid w:val="00FD6769"/>
    <w:rsid w:val="00FD6B56"/>
    <w:rsid w:val="00FD6EBD"/>
    <w:rsid w:val="00FD73D2"/>
    <w:rsid w:val="00FD7D07"/>
    <w:rsid w:val="00FD7E71"/>
    <w:rsid w:val="00FD7FE6"/>
    <w:rsid w:val="00FE07A9"/>
    <w:rsid w:val="00FE0E00"/>
    <w:rsid w:val="00FE1312"/>
    <w:rsid w:val="00FE14A1"/>
    <w:rsid w:val="00FE2073"/>
    <w:rsid w:val="00FE2082"/>
    <w:rsid w:val="00FE22DE"/>
    <w:rsid w:val="00FE259B"/>
    <w:rsid w:val="00FE29FA"/>
    <w:rsid w:val="00FE2D8B"/>
    <w:rsid w:val="00FE3706"/>
    <w:rsid w:val="00FE3C2F"/>
    <w:rsid w:val="00FE5997"/>
    <w:rsid w:val="00FE5B8F"/>
    <w:rsid w:val="00FE5C07"/>
    <w:rsid w:val="00FE6DE4"/>
    <w:rsid w:val="00FE7071"/>
    <w:rsid w:val="00FE78E6"/>
    <w:rsid w:val="00FE78F5"/>
    <w:rsid w:val="00FF037F"/>
    <w:rsid w:val="00FF0B48"/>
    <w:rsid w:val="00FF0D32"/>
    <w:rsid w:val="00FF0DDA"/>
    <w:rsid w:val="00FF1011"/>
    <w:rsid w:val="00FF1809"/>
    <w:rsid w:val="00FF206F"/>
    <w:rsid w:val="00FF208E"/>
    <w:rsid w:val="00FF28A8"/>
    <w:rsid w:val="00FF2FFB"/>
    <w:rsid w:val="00FF31C0"/>
    <w:rsid w:val="00FF479C"/>
    <w:rsid w:val="00FF4D9A"/>
    <w:rsid w:val="00FF508D"/>
    <w:rsid w:val="00FF596E"/>
    <w:rsid w:val="00FF59FB"/>
    <w:rsid w:val="00FF640A"/>
    <w:rsid w:val="00FF65B7"/>
    <w:rsid w:val="00FF692F"/>
    <w:rsid w:val="00FF6A10"/>
    <w:rsid w:val="00FF6F11"/>
    <w:rsid w:val="00FF7E56"/>
    <w:rsid w:val="0154359C"/>
    <w:rsid w:val="022E433D"/>
    <w:rsid w:val="02E37CB9"/>
    <w:rsid w:val="081103FF"/>
    <w:rsid w:val="08A4472D"/>
    <w:rsid w:val="08F15245"/>
    <w:rsid w:val="0C871F62"/>
    <w:rsid w:val="0EC63C35"/>
    <w:rsid w:val="10614C90"/>
    <w:rsid w:val="133C0996"/>
    <w:rsid w:val="1359623E"/>
    <w:rsid w:val="13A24189"/>
    <w:rsid w:val="13DE3E72"/>
    <w:rsid w:val="147D3751"/>
    <w:rsid w:val="163B002B"/>
    <w:rsid w:val="16F6759F"/>
    <w:rsid w:val="17020770"/>
    <w:rsid w:val="17E10289"/>
    <w:rsid w:val="18CE30EF"/>
    <w:rsid w:val="19637C89"/>
    <w:rsid w:val="1C845DE9"/>
    <w:rsid w:val="1DCF4F2B"/>
    <w:rsid w:val="1E297A6B"/>
    <w:rsid w:val="1EE24C12"/>
    <w:rsid w:val="1FC22AFA"/>
    <w:rsid w:val="21865C0F"/>
    <w:rsid w:val="21D427DA"/>
    <w:rsid w:val="22883514"/>
    <w:rsid w:val="24652402"/>
    <w:rsid w:val="2622589E"/>
    <w:rsid w:val="2AB03A8A"/>
    <w:rsid w:val="2B551C7C"/>
    <w:rsid w:val="2B8C1B5E"/>
    <w:rsid w:val="2C336E29"/>
    <w:rsid w:val="2CFB0C7A"/>
    <w:rsid w:val="2E4D41EE"/>
    <w:rsid w:val="2E6B7C59"/>
    <w:rsid w:val="2FA018C6"/>
    <w:rsid w:val="31A66334"/>
    <w:rsid w:val="331570A1"/>
    <w:rsid w:val="342803F3"/>
    <w:rsid w:val="36306D3E"/>
    <w:rsid w:val="38577E8E"/>
    <w:rsid w:val="390A6AA5"/>
    <w:rsid w:val="39B6253C"/>
    <w:rsid w:val="3A513F5B"/>
    <w:rsid w:val="3AE20B25"/>
    <w:rsid w:val="3B1342BC"/>
    <w:rsid w:val="3B3216C6"/>
    <w:rsid w:val="3B440002"/>
    <w:rsid w:val="3C6356E8"/>
    <w:rsid w:val="3EB907A9"/>
    <w:rsid w:val="3F1206D1"/>
    <w:rsid w:val="3F937058"/>
    <w:rsid w:val="410933B7"/>
    <w:rsid w:val="428400D7"/>
    <w:rsid w:val="42A322CE"/>
    <w:rsid w:val="43464277"/>
    <w:rsid w:val="452A5FF8"/>
    <w:rsid w:val="46167232"/>
    <w:rsid w:val="46573FC4"/>
    <w:rsid w:val="474F3876"/>
    <w:rsid w:val="4805682A"/>
    <w:rsid w:val="480B7EE0"/>
    <w:rsid w:val="4AD87845"/>
    <w:rsid w:val="4B0C7FE5"/>
    <w:rsid w:val="4D77398D"/>
    <w:rsid w:val="4DB72011"/>
    <w:rsid w:val="4EDF7925"/>
    <w:rsid w:val="51D73D18"/>
    <w:rsid w:val="5256011F"/>
    <w:rsid w:val="5267320F"/>
    <w:rsid w:val="5399776E"/>
    <w:rsid w:val="53CB08FB"/>
    <w:rsid w:val="54E1126F"/>
    <w:rsid w:val="550913D4"/>
    <w:rsid w:val="55BB124F"/>
    <w:rsid w:val="56996EF3"/>
    <w:rsid w:val="56ED5D87"/>
    <w:rsid w:val="57355AE1"/>
    <w:rsid w:val="580840DE"/>
    <w:rsid w:val="58391C0B"/>
    <w:rsid w:val="585D323A"/>
    <w:rsid w:val="588D62C7"/>
    <w:rsid w:val="58F550ED"/>
    <w:rsid w:val="59C67CA1"/>
    <w:rsid w:val="5AD02341"/>
    <w:rsid w:val="62340259"/>
    <w:rsid w:val="62D339BF"/>
    <w:rsid w:val="63AC3E86"/>
    <w:rsid w:val="64581735"/>
    <w:rsid w:val="65380484"/>
    <w:rsid w:val="665113B8"/>
    <w:rsid w:val="673204B4"/>
    <w:rsid w:val="69FB4E77"/>
    <w:rsid w:val="6C3B0877"/>
    <w:rsid w:val="6CEA23B7"/>
    <w:rsid w:val="6D974077"/>
    <w:rsid w:val="6E1B74EA"/>
    <w:rsid w:val="6FDD4DB0"/>
    <w:rsid w:val="702E3669"/>
    <w:rsid w:val="71B73B28"/>
    <w:rsid w:val="72735CE9"/>
    <w:rsid w:val="74BA0338"/>
    <w:rsid w:val="74FD7DAA"/>
    <w:rsid w:val="75534EB1"/>
    <w:rsid w:val="7790207C"/>
    <w:rsid w:val="7B795D31"/>
    <w:rsid w:val="7BD10287"/>
    <w:rsid w:val="7CFF0812"/>
    <w:rsid w:val="7D6B0F35"/>
    <w:rsid w:val="7D8E7F71"/>
    <w:rsid w:val="7D8F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10">
    <w:name w:val="heading 8"/>
    <w:basedOn w:val="1"/>
    <w:next w:val="1"/>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12">
    <w:name w:val="List 3"/>
    <w:basedOn w:val="1"/>
    <w:qFormat/>
    <w:uiPriority w:val="0"/>
    <w:pPr>
      <w:ind w:left="100" w:leftChars="400" w:hanging="200" w:hangingChars="200"/>
    </w:pPr>
  </w:style>
  <w:style w:type="paragraph" w:styleId="13">
    <w:name w:val="Normal Indent"/>
    <w:basedOn w:val="1"/>
    <w:qFormat/>
    <w:uiPriority w:val="99"/>
    <w:pPr>
      <w:widowControl/>
      <w:ind w:firstLine="420"/>
      <w:jc w:val="left"/>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47"/>
    <w:semiHidden/>
    <w:qFormat/>
    <w:uiPriority w:val="0"/>
    <w:pPr>
      <w:jc w:val="left"/>
    </w:pPr>
  </w:style>
  <w:style w:type="paragraph" w:styleId="17">
    <w:name w:val="Body Text 3"/>
    <w:basedOn w:val="1"/>
    <w:qFormat/>
    <w:uiPriority w:val="0"/>
    <w:pPr>
      <w:spacing w:after="120"/>
    </w:pPr>
    <w:rPr>
      <w:sz w:val="16"/>
      <w:szCs w:val="16"/>
    </w:rPr>
  </w:style>
  <w:style w:type="paragraph" w:styleId="18">
    <w:name w:val="Body Text"/>
    <w:basedOn w:val="1"/>
    <w:link w:val="49"/>
    <w:qFormat/>
    <w:uiPriority w:val="0"/>
    <w:pPr>
      <w:spacing w:after="120"/>
    </w:pPr>
  </w:style>
  <w:style w:type="paragraph" w:styleId="19">
    <w:name w:val="Body Text Indent"/>
    <w:basedOn w:val="1"/>
    <w:next w:val="20"/>
    <w:link w:val="50"/>
    <w:qFormat/>
    <w:uiPriority w:val="0"/>
    <w:pPr>
      <w:spacing w:line="500" w:lineRule="exact"/>
      <w:ind w:left="1588" w:leftChars="832" w:firstLine="433" w:firstLineChars="196"/>
    </w:pPr>
    <w:rPr>
      <w:sz w:val="24"/>
    </w:rPr>
  </w:style>
  <w:style w:type="paragraph" w:styleId="20">
    <w:name w:val="envelope return"/>
    <w:basedOn w:val="1"/>
    <w:qFormat/>
    <w:uiPriority w:val="0"/>
    <w:pPr>
      <w:snapToGrid w:val="0"/>
    </w:pPr>
    <w:rPr>
      <w:rFonts w:ascii="Arial" w:hAnsi="Arial"/>
    </w:rPr>
  </w:style>
  <w:style w:type="paragraph" w:styleId="21">
    <w:name w:val="List 2"/>
    <w:basedOn w:val="1"/>
    <w:qFormat/>
    <w:uiPriority w:val="0"/>
    <w:pPr>
      <w:ind w:left="100" w:leftChars="200" w:hanging="200" w:hangingChars="200"/>
    </w:pPr>
  </w:style>
  <w:style w:type="paragraph" w:styleId="2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23">
    <w:name w:val="Plain Text"/>
    <w:basedOn w:val="1"/>
    <w:link w:val="52"/>
    <w:qFormat/>
    <w:uiPriority w:val="0"/>
    <w:rPr>
      <w:rFonts w:ascii="宋体" w:hAnsi="Courier New"/>
      <w:szCs w:val="21"/>
    </w:rPr>
  </w:style>
  <w:style w:type="paragraph" w:styleId="24">
    <w:name w:val="Date"/>
    <w:basedOn w:val="1"/>
    <w:next w:val="1"/>
    <w:link w:val="48"/>
    <w:qFormat/>
    <w:uiPriority w:val="0"/>
    <w:pPr>
      <w:ind w:left="100" w:leftChars="2500"/>
    </w:pPr>
  </w:style>
  <w:style w:type="paragraph" w:styleId="25">
    <w:name w:val="Body Text Indent 2"/>
    <w:basedOn w:val="1"/>
    <w:qFormat/>
    <w:uiPriority w:val="0"/>
    <w:pPr>
      <w:spacing w:after="120" w:line="480" w:lineRule="auto"/>
      <w:ind w:left="420" w:leftChars="200"/>
    </w:pPr>
  </w:style>
  <w:style w:type="paragraph" w:styleId="26">
    <w:name w:val="Balloon Text"/>
    <w:basedOn w:val="1"/>
    <w:semiHidden/>
    <w:qFormat/>
    <w:uiPriority w:val="0"/>
    <w:rPr>
      <w:sz w:val="18"/>
      <w:szCs w:val="18"/>
    </w:rPr>
  </w:style>
  <w:style w:type="paragraph" w:styleId="27">
    <w:name w:val="footer"/>
    <w:basedOn w:val="1"/>
    <w:link w:val="54"/>
    <w:qFormat/>
    <w:uiPriority w:val="99"/>
    <w:pPr>
      <w:tabs>
        <w:tab w:val="center" w:pos="4153"/>
        <w:tab w:val="right" w:pos="8306"/>
      </w:tabs>
      <w:snapToGrid w:val="0"/>
      <w:jc w:val="left"/>
    </w:pPr>
    <w:rPr>
      <w:sz w:val="18"/>
      <w:szCs w:val="18"/>
    </w:rPr>
  </w:style>
  <w:style w:type="paragraph" w:styleId="28">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Cs w:val="20"/>
    </w:rPr>
  </w:style>
  <w:style w:type="paragraph" w:styleId="31">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2">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33">
    <w:name w:val="Normal (Web)"/>
    <w:basedOn w:val="1"/>
    <w:qFormat/>
    <w:uiPriority w:val="0"/>
    <w:rPr>
      <w:sz w:val="24"/>
    </w:rPr>
  </w:style>
  <w:style w:type="paragraph" w:styleId="34">
    <w:name w:val="Title"/>
    <w:basedOn w:val="1"/>
    <w:next w:val="1"/>
    <w:link w:val="76"/>
    <w:qFormat/>
    <w:uiPriority w:val="10"/>
    <w:pPr>
      <w:spacing w:before="240" w:after="60"/>
      <w:jc w:val="left"/>
      <w:outlineLvl w:val="0"/>
    </w:pPr>
    <w:rPr>
      <w:rFonts w:asciiTheme="majorHAnsi" w:hAnsiTheme="majorHAnsi" w:cstheme="majorBidi"/>
      <w:b/>
      <w:bCs/>
      <w:sz w:val="24"/>
      <w:szCs w:val="32"/>
    </w:rPr>
  </w:style>
  <w:style w:type="paragraph" w:styleId="35">
    <w:name w:val="annotation subject"/>
    <w:basedOn w:val="16"/>
    <w:next w:val="16"/>
    <w:semiHidden/>
    <w:qFormat/>
    <w:uiPriority w:val="0"/>
    <w:rPr>
      <w:b/>
      <w:bCs/>
    </w:rPr>
  </w:style>
  <w:style w:type="paragraph" w:styleId="36">
    <w:name w:val="Body Text First Indent 2"/>
    <w:basedOn w:val="19"/>
    <w:qFormat/>
    <w:uiPriority w:val="0"/>
    <w:pPr>
      <w:spacing w:line="360" w:lineRule="auto"/>
      <w:ind w:firstLine="200" w:firstLineChars="200"/>
    </w:pPr>
    <w:rPr>
      <w:rFonts w:ascii="宋体"/>
      <w:szCs w:val="20"/>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semiHidden/>
    <w:qFormat/>
    <w:uiPriority w:val="0"/>
    <w:rPr>
      <w:sz w:val="21"/>
      <w:szCs w:val="21"/>
    </w:rPr>
  </w:style>
  <w:style w:type="character" w:styleId="45">
    <w:name w:val="HTML Sample"/>
    <w:basedOn w:val="39"/>
    <w:qFormat/>
    <w:uiPriority w:val="0"/>
    <w:rPr>
      <w:rFonts w:ascii="Courier New" w:hAnsi="Courier New"/>
    </w:rPr>
  </w:style>
  <w:style w:type="character" w:customStyle="1" w:styleId="46">
    <w:name w:val="font21"/>
    <w:basedOn w:val="39"/>
    <w:qFormat/>
    <w:uiPriority w:val="0"/>
    <w:rPr>
      <w:rFonts w:hint="eastAsia" w:ascii="宋体" w:hAnsi="宋体" w:eastAsia="宋体" w:cs="宋体"/>
      <w:color w:val="000000"/>
      <w:sz w:val="21"/>
      <w:szCs w:val="21"/>
      <w:u w:val="none"/>
    </w:rPr>
  </w:style>
  <w:style w:type="character" w:customStyle="1" w:styleId="47">
    <w:name w:val="批注文字 字符"/>
    <w:link w:val="16"/>
    <w:qFormat/>
    <w:uiPriority w:val="0"/>
    <w:rPr>
      <w:rFonts w:eastAsia="宋体"/>
      <w:kern w:val="2"/>
      <w:sz w:val="21"/>
      <w:szCs w:val="24"/>
      <w:lang w:val="en-US" w:eastAsia="zh-CN" w:bidi="ar-SA"/>
    </w:rPr>
  </w:style>
  <w:style w:type="character" w:customStyle="1" w:styleId="48">
    <w:name w:val="日期 字符"/>
    <w:link w:val="24"/>
    <w:qFormat/>
    <w:uiPriority w:val="0"/>
    <w:rPr>
      <w:kern w:val="2"/>
      <w:sz w:val="21"/>
      <w:szCs w:val="24"/>
    </w:rPr>
  </w:style>
  <w:style w:type="character" w:customStyle="1" w:styleId="49">
    <w:name w:val="正文文本 字符"/>
    <w:link w:val="18"/>
    <w:qFormat/>
    <w:uiPriority w:val="0"/>
    <w:rPr>
      <w:rFonts w:eastAsia="宋体"/>
      <w:kern w:val="2"/>
      <w:sz w:val="21"/>
      <w:szCs w:val="24"/>
      <w:lang w:val="en-US" w:eastAsia="zh-CN" w:bidi="ar-SA"/>
    </w:rPr>
  </w:style>
  <w:style w:type="character" w:customStyle="1" w:styleId="50">
    <w:name w:val="正文文本缩进 字符"/>
    <w:link w:val="19"/>
    <w:qFormat/>
    <w:uiPriority w:val="0"/>
    <w:rPr>
      <w:rFonts w:eastAsia="宋体"/>
      <w:kern w:val="2"/>
      <w:sz w:val="24"/>
      <w:szCs w:val="24"/>
      <w:lang w:val="en-US" w:eastAsia="zh-CN" w:bidi="ar-SA"/>
    </w:rPr>
  </w:style>
  <w:style w:type="character" w:customStyle="1" w:styleId="51">
    <w:name w:val="Char Char6"/>
    <w:qFormat/>
    <w:uiPriority w:val="0"/>
    <w:rPr>
      <w:rFonts w:eastAsia="宋体"/>
      <w:kern w:val="2"/>
      <w:sz w:val="21"/>
      <w:szCs w:val="24"/>
      <w:lang w:val="en-US" w:eastAsia="zh-CN" w:bidi="ar-SA"/>
    </w:rPr>
  </w:style>
  <w:style w:type="character" w:customStyle="1" w:styleId="52">
    <w:name w:val="纯文本 字符"/>
    <w:link w:val="23"/>
    <w:qFormat/>
    <w:uiPriority w:val="0"/>
    <w:rPr>
      <w:rFonts w:ascii="宋体" w:hAnsi="Courier New" w:eastAsia="宋体"/>
      <w:kern w:val="2"/>
      <w:sz w:val="21"/>
      <w:szCs w:val="21"/>
      <w:lang w:val="en-US" w:eastAsia="zh-CN" w:bidi="ar-SA"/>
    </w:rPr>
  </w:style>
  <w:style w:type="character" w:customStyle="1" w:styleId="53">
    <w:name w:val="Char Char3"/>
    <w:qFormat/>
    <w:uiPriority w:val="0"/>
    <w:rPr>
      <w:rFonts w:eastAsia="宋体"/>
      <w:kern w:val="2"/>
      <w:sz w:val="21"/>
      <w:szCs w:val="24"/>
      <w:lang w:val="en-US" w:eastAsia="zh-CN" w:bidi="ar-SA"/>
    </w:rPr>
  </w:style>
  <w:style w:type="character" w:customStyle="1" w:styleId="54">
    <w:name w:val="页脚 字符"/>
    <w:link w:val="27"/>
    <w:qFormat/>
    <w:uiPriority w:val="99"/>
    <w:rPr>
      <w:kern w:val="2"/>
      <w:sz w:val="18"/>
      <w:szCs w:val="18"/>
    </w:rPr>
  </w:style>
  <w:style w:type="character" w:customStyle="1" w:styleId="55">
    <w:name w:val="标题 3 Char_0"/>
    <w:link w:val="56"/>
    <w:qFormat/>
    <w:uiPriority w:val="0"/>
    <w:rPr>
      <w:rFonts w:ascii="宋体" w:hAnsi="宋体"/>
      <w:b/>
      <w:kern w:val="2"/>
      <w:sz w:val="28"/>
      <w:szCs w:val="28"/>
      <w:lang w:val="en-US" w:eastAsia="zh-CN"/>
    </w:rPr>
  </w:style>
  <w:style w:type="paragraph" w:customStyle="1" w:styleId="56">
    <w:name w:val="标题 3_0"/>
    <w:basedOn w:val="57"/>
    <w:next w:val="57"/>
    <w:link w:val="55"/>
    <w:qFormat/>
    <w:uiPriority w:val="0"/>
    <w:pPr>
      <w:autoSpaceDE w:val="0"/>
      <w:autoSpaceDN w:val="0"/>
      <w:adjustRightInd w:val="0"/>
      <w:spacing w:line="500" w:lineRule="exact"/>
      <w:jc w:val="center"/>
      <w:outlineLvl w:val="2"/>
    </w:pPr>
    <w:rPr>
      <w:rFonts w:ascii="宋体" w:hAnsi="宋体"/>
      <w:b/>
      <w:szCs w:val="28"/>
    </w:rPr>
  </w:style>
  <w:style w:type="paragraph" w:customStyle="1" w:styleId="57">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58">
    <w:name w:val="font01"/>
    <w:basedOn w:val="39"/>
    <w:qFormat/>
    <w:uiPriority w:val="0"/>
    <w:rPr>
      <w:rFonts w:hint="default" w:ascii="Times New Roman" w:hAnsi="Times New Roman" w:cs="Times New Roman"/>
      <w:color w:val="000000"/>
      <w:sz w:val="21"/>
      <w:szCs w:val="21"/>
      <w:u w:val="none"/>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0">
    <w:name w:val="默认段落字体 Para Char Char Char Char Char Char Char Char Char Char Char Char Char Char Char Char"/>
    <w:basedOn w:val="1"/>
    <w:qFormat/>
    <w:uiPriority w:val="0"/>
    <w:rPr>
      <w:rFonts w:ascii="Tahoma" w:hAnsi="Tahoma"/>
      <w:sz w:val="24"/>
      <w:szCs w:val="20"/>
    </w:rPr>
  </w:style>
  <w:style w:type="paragraph" w:styleId="61">
    <w:name w:val="List Paragraph"/>
    <w:basedOn w:val="1"/>
    <w:qFormat/>
    <w:uiPriority w:val="34"/>
    <w:pPr>
      <w:ind w:firstLine="420" w:firstLineChars="200"/>
    </w:pPr>
    <w:rPr>
      <w:rFonts w:ascii="Calibri" w:hAnsi="Calibri"/>
      <w:szCs w:val="22"/>
    </w:rPr>
  </w:style>
  <w:style w:type="paragraph" w:customStyle="1" w:styleId="62">
    <w:name w:val="Char Char Char"/>
    <w:basedOn w:val="1"/>
    <w:qFormat/>
    <w:uiPriority w:val="0"/>
    <w:pPr>
      <w:widowControl/>
      <w:spacing w:after="160" w:line="240" w:lineRule="exact"/>
      <w:jc w:val="left"/>
    </w:pPr>
  </w:style>
  <w:style w:type="paragraph" w:customStyle="1" w:styleId="63">
    <w:name w:val="Char Char Char1 Char8"/>
    <w:basedOn w:val="1"/>
    <w:semiHidden/>
    <w:qFormat/>
    <w:uiPriority w:val="0"/>
    <w:pPr>
      <w:spacing w:line="360" w:lineRule="auto"/>
      <w:ind w:firstLine="200" w:firstLineChars="200"/>
    </w:pPr>
    <w:rPr>
      <w:rFonts w:ascii="宋体" w:hAnsi="宋体" w:cs="宋体"/>
      <w:sz w:val="24"/>
    </w:rPr>
  </w:style>
  <w:style w:type="paragraph" w:customStyle="1" w:styleId="64">
    <w:name w:val="Char Char Char Char Char Char"/>
    <w:basedOn w:val="15"/>
    <w:qFormat/>
    <w:uiPriority w:val="0"/>
    <w:rPr>
      <w:rFonts w:ascii="Tahoma" w:hAnsi="Tahoma"/>
      <w:sz w:val="24"/>
    </w:rPr>
  </w:style>
  <w:style w:type="paragraph" w:customStyle="1" w:styleId="65">
    <w:name w:val="样式 标题 4 + 段前: 5 磅 段后: 5 磅 行距: 单倍行距"/>
    <w:basedOn w:val="6"/>
    <w:qFormat/>
    <w:uiPriority w:val="0"/>
    <w:pPr>
      <w:spacing w:before="100" w:after="100" w:line="240" w:lineRule="auto"/>
    </w:pPr>
    <w:rPr>
      <w:rFonts w:cs="宋体"/>
      <w:szCs w:val="20"/>
    </w:rPr>
  </w:style>
  <w:style w:type="paragraph" w:customStyle="1" w:styleId="66">
    <w:name w:val="Char"/>
    <w:basedOn w:val="1"/>
    <w:qFormat/>
    <w:uiPriority w:val="0"/>
    <w:pPr>
      <w:tabs>
        <w:tab w:val="left" w:pos="360"/>
      </w:tabs>
      <w:spacing w:line="360" w:lineRule="auto"/>
      <w:ind w:firstLine="480" w:firstLineChars="200"/>
    </w:pPr>
    <w:rPr>
      <w:rFonts w:ascii="楷体_GB2312" w:eastAsia="楷体_GB2312"/>
      <w:sz w:val="24"/>
    </w:rPr>
  </w:style>
  <w:style w:type="paragraph" w:customStyle="1" w:styleId="67">
    <w:name w:val="样式 标题 2 + 宋体 五号 非加粗 黑色"/>
    <w:basedOn w:val="4"/>
    <w:qFormat/>
    <w:uiPriority w:val="0"/>
    <w:rPr>
      <w:rFonts w:ascii="宋体" w:hAnsi="宋体" w:eastAsia="宋体"/>
      <w:b w:val="0"/>
      <w:bCs w:val="0"/>
      <w:color w:val="000000"/>
      <w:sz w:val="21"/>
    </w:rPr>
  </w:style>
  <w:style w:type="paragraph" w:customStyle="1" w:styleId="68">
    <w:name w:val="附件正文"/>
    <w:basedOn w:val="1"/>
    <w:qFormat/>
    <w:uiPriority w:val="0"/>
    <w:pPr>
      <w:snapToGrid w:val="0"/>
      <w:spacing w:line="500" w:lineRule="exact"/>
      <w:ind w:firstLine="540" w:firstLineChars="225"/>
    </w:pPr>
    <w:rPr>
      <w:kern w:val="0"/>
      <w:sz w:val="24"/>
    </w:rPr>
  </w:style>
  <w:style w:type="paragraph" w:customStyle="1" w:styleId="69">
    <w:name w:val="Char1"/>
    <w:basedOn w:val="1"/>
    <w:qFormat/>
    <w:uiPriority w:val="0"/>
    <w:pPr>
      <w:tabs>
        <w:tab w:val="left" w:pos="432"/>
      </w:tabs>
      <w:spacing w:beforeLines="50" w:afterLines="50"/>
      <w:ind w:left="432" w:hanging="432"/>
    </w:pPr>
  </w:style>
  <w:style w:type="paragraph" w:customStyle="1" w:styleId="70">
    <w:name w:val="TOC 标题1"/>
    <w:basedOn w:val="3"/>
    <w:next w:val="1"/>
    <w:qFormat/>
    <w:uiPriority w:val="3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customStyle="1" w:styleId="71">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72">
    <w:name w:val="Char Char2"/>
    <w:basedOn w:val="1"/>
    <w:qFormat/>
    <w:uiPriority w:val="0"/>
    <w:pPr>
      <w:widowControl/>
      <w:spacing w:after="160" w:line="240" w:lineRule="exact"/>
      <w:jc w:val="left"/>
    </w:pPr>
    <w:rPr>
      <w:rFonts w:ascii="Verdana" w:hAnsi="Verdana"/>
      <w:kern w:val="0"/>
      <w:sz w:val="20"/>
      <w:szCs w:val="20"/>
      <w:lang w:eastAsia="en-US"/>
    </w:rPr>
  </w:style>
  <w:style w:type="character" w:customStyle="1" w:styleId="73">
    <w:name w:val="页眉 字符"/>
    <w:link w:val="28"/>
    <w:qFormat/>
    <w:uiPriority w:val="99"/>
    <w:rPr>
      <w:kern w:val="2"/>
      <w:sz w:val="18"/>
      <w:szCs w:val="18"/>
    </w:rPr>
  </w:style>
  <w:style w:type="paragraph" w:customStyle="1" w:styleId="74">
    <w:name w:val="_Style 2"/>
    <w:basedOn w:val="3"/>
    <w:next w:val="1"/>
    <w:qFormat/>
    <w:uiPriority w:val="39"/>
    <w:pPr>
      <w:autoSpaceDE w:val="0"/>
      <w:autoSpaceDN w:val="0"/>
      <w:adjustRightInd/>
      <w:spacing w:before="480" w:after="0" w:line="276" w:lineRule="auto"/>
      <w:ind w:firstLine="0"/>
      <w:textAlignment w:val="auto"/>
      <w:outlineLvl w:val="9"/>
    </w:pPr>
    <w:rPr>
      <w:rFonts w:ascii="仿宋" w:hAnsi="仿宋" w:eastAsia="仿宋" w:cs="Noto Sans Mono CJK JP Regular"/>
      <w:b w:val="0"/>
      <w:bCs w:val="0"/>
      <w:color w:val="000000"/>
      <w:kern w:val="0"/>
      <w:sz w:val="32"/>
      <w:szCs w:val="32"/>
      <w:lang w:bidi="zh-CN"/>
    </w:rPr>
  </w:style>
  <w:style w:type="character" w:customStyle="1" w:styleId="75">
    <w:name w:val="fontstyle01"/>
    <w:qFormat/>
    <w:uiPriority w:val="0"/>
    <w:rPr>
      <w:rFonts w:hint="eastAsia" w:ascii="宋体" w:hAnsi="宋体" w:eastAsia="宋体"/>
      <w:color w:val="000000"/>
      <w:sz w:val="24"/>
      <w:szCs w:val="24"/>
    </w:rPr>
  </w:style>
  <w:style w:type="character" w:customStyle="1" w:styleId="76">
    <w:name w:val="标题 字符"/>
    <w:basedOn w:val="39"/>
    <w:link w:val="34"/>
    <w:qFormat/>
    <w:uiPriority w:val="10"/>
    <w:rPr>
      <w:rFonts w:asciiTheme="majorHAnsi" w:hAnsiTheme="majorHAnsi" w:cstheme="majorBidi"/>
      <w:b/>
      <w:bCs/>
      <w:kern w:val="2"/>
      <w:sz w:val="24"/>
      <w:szCs w:val="32"/>
    </w:rPr>
  </w:style>
  <w:style w:type="character" w:customStyle="1" w:styleId="77">
    <w:name w:val="标题 字符1"/>
    <w:basedOn w:val="39"/>
    <w:qFormat/>
    <w:uiPriority w:val="0"/>
    <w:rPr>
      <w:rFonts w:asciiTheme="majorHAnsi" w:hAnsiTheme="majorHAnsi" w:eastAsiaTheme="majorEastAsia" w:cstheme="majorBidi"/>
      <w:b/>
      <w:bCs/>
      <w:kern w:val="2"/>
      <w:sz w:val="32"/>
      <w:szCs w:val="32"/>
    </w:rPr>
  </w:style>
  <w:style w:type="paragraph" w:customStyle="1" w:styleId="78">
    <w:name w:val="1"/>
    <w:next w:val="79"/>
    <w:qFormat/>
    <w:uiPriority w:val="0"/>
    <w:rPr>
      <w:rFonts w:ascii="宋体" w:hAnsi="宋体" w:eastAsia="宋体" w:cs="宋体"/>
      <w:b/>
      <w:bCs/>
      <w:color w:val="000000" w:themeColor="text1"/>
      <w:kern w:val="2"/>
      <w:sz w:val="21"/>
      <w:szCs w:val="24"/>
      <w:lang w:val="en-US" w:eastAsia="zh-CN" w:bidi="ar-SA"/>
      <w14:textFill>
        <w14:solidFill>
          <w14:schemeClr w14:val="tx1"/>
        </w14:solidFill>
      </w14:textFill>
    </w:rPr>
  </w:style>
  <w:style w:type="paragraph" w:customStyle="1" w:styleId="79">
    <w:name w:val="a 正文"/>
    <w:basedOn w:val="1"/>
    <w:qFormat/>
    <w:uiPriority w:val="0"/>
    <w:pPr>
      <w:widowControl/>
      <w:tabs>
        <w:tab w:val="left" w:pos="6237"/>
        <w:tab w:val="left" w:pos="6804"/>
      </w:tabs>
      <w:adjustRightInd w:val="0"/>
      <w:spacing w:line="360" w:lineRule="atLeast"/>
    </w:pPr>
    <w:rPr>
      <w:kern w:val="0"/>
      <w:sz w:val="24"/>
      <w:szCs w:val="20"/>
    </w:rPr>
  </w:style>
  <w:style w:type="character" w:customStyle="1" w:styleId="80">
    <w:name w:val="font71"/>
    <w:basedOn w:val="39"/>
    <w:qFormat/>
    <w:uiPriority w:val="0"/>
    <w:rPr>
      <w:rFonts w:hint="eastAsia" w:ascii="宋体" w:hAnsi="宋体" w:eastAsia="宋体" w:cs="宋体"/>
      <w:color w:val="666699"/>
      <w:sz w:val="18"/>
      <w:szCs w:val="18"/>
      <w:u w:val="none"/>
    </w:rPr>
  </w:style>
  <w:style w:type="character" w:customStyle="1" w:styleId="81">
    <w:name w:val="font61"/>
    <w:basedOn w:val="39"/>
    <w:qFormat/>
    <w:uiPriority w:val="0"/>
    <w:rPr>
      <w:rFonts w:hint="eastAsia" w:ascii="宋体" w:hAnsi="宋体" w:eastAsia="宋体" w:cs="宋体"/>
      <w:color w:val="FF0000"/>
      <w:sz w:val="18"/>
      <w:szCs w:val="18"/>
      <w:u w:val="none"/>
    </w:rPr>
  </w:style>
  <w:style w:type="character" w:customStyle="1" w:styleId="82">
    <w:name w:val="font81"/>
    <w:basedOn w:val="39"/>
    <w:qFormat/>
    <w:uiPriority w:val="0"/>
    <w:rPr>
      <w:rFonts w:ascii="Arial" w:hAnsi="Arial" w:cs="Arial"/>
      <w:color w:val="FF0000"/>
      <w:sz w:val="18"/>
      <w:szCs w:val="18"/>
      <w:u w:val="none"/>
    </w:rPr>
  </w:style>
  <w:style w:type="character" w:customStyle="1" w:styleId="83">
    <w:name w:val="font91"/>
    <w:basedOn w:val="39"/>
    <w:qFormat/>
    <w:uiPriority w:val="0"/>
    <w:rPr>
      <w:rFonts w:ascii="楷体" w:hAnsi="楷体" w:eastAsia="楷体" w:cs="楷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88593-8E2E-4F8F-A198-E4E2B6A5AF7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8947</Words>
  <Characters>51001</Characters>
  <Lines>425</Lines>
  <Paragraphs>119</Paragraphs>
  <TotalTime>0</TotalTime>
  <ScaleCrop>false</ScaleCrop>
  <LinksUpToDate>false</LinksUpToDate>
  <CharactersWithSpaces>59829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2020-02-25T16:07:00Z</dcterms:created>
  <dc:creator>王峰</dc:creator>
  <cp:lastModifiedBy>Mundo</cp:lastModifiedBy>
  <cp:lastPrinted>2017-11-16T08:01:00Z</cp:lastPrinted>
  <dcterms:modified xsi:type="dcterms:W3CDTF">2020-09-16T05:38:44Z</dcterms:modified>
  <dc:title>滨州市政府采购</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