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084" w:leftChars="257" w:hanging="540"/>
        <w:jc w:val="center"/>
        <w:rPr>
          <w:rFonts w:ascii="楷体" w:hAnsi="楷体" w:eastAsia="楷体" w:cs="楷体"/>
          <w:b/>
          <w:sz w:val="30"/>
          <w:szCs w:val="30"/>
        </w:rPr>
      </w:pPr>
    </w:p>
    <w:p>
      <w:pPr>
        <w:spacing w:line="240" w:lineRule="atLeast"/>
        <w:ind w:left="1084" w:leftChars="257" w:hanging="540"/>
        <w:jc w:val="center"/>
        <w:rPr>
          <w:rFonts w:ascii="楷体" w:hAnsi="楷体" w:eastAsia="楷体" w:cs="楷体"/>
          <w:b/>
          <w:sz w:val="52"/>
          <w:szCs w:val="52"/>
        </w:rPr>
      </w:pPr>
    </w:p>
    <w:p>
      <w:pPr>
        <w:spacing w:line="240" w:lineRule="atLeast"/>
        <w:jc w:val="center"/>
        <w:rPr>
          <w:rFonts w:hint="eastAsia" w:ascii="楷体" w:hAnsi="楷体" w:eastAsia="楷体" w:cs="楷体"/>
          <w:b/>
          <w:bCs/>
          <w:kern w:val="0"/>
          <w:sz w:val="44"/>
          <w:szCs w:val="44"/>
          <w:lang w:eastAsia="zh-CN"/>
        </w:rPr>
      </w:pPr>
      <w:r>
        <w:rPr>
          <w:rFonts w:hint="eastAsia" w:ascii="楷体" w:hAnsi="楷体" w:eastAsia="楷体" w:cs="楷体"/>
          <w:b/>
          <w:bCs/>
          <w:kern w:val="0"/>
          <w:sz w:val="44"/>
          <w:szCs w:val="44"/>
          <w:lang w:eastAsia="zh-CN"/>
        </w:rPr>
        <w:t>喀什地区第二人民医院桌面服务支撑及数据中心软、硬件维保服务项目</w:t>
      </w:r>
    </w:p>
    <w:p>
      <w:pPr>
        <w:spacing w:line="240" w:lineRule="atLeast"/>
        <w:jc w:val="center"/>
        <w:rPr>
          <w:rFonts w:ascii="楷体" w:hAnsi="楷体" w:eastAsia="楷体" w:cs="楷体"/>
          <w:b/>
          <w:bCs/>
          <w:kern w:val="0"/>
          <w:sz w:val="44"/>
          <w:szCs w:val="44"/>
        </w:rPr>
      </w:pPr>
      <w:r>
        <w:rPr>
          <w:rFonts w:hint="eastAsia" w:ascii="楷体" w:hAnsi="楷体" w:eastAsia="楷体" w:cs="楷体"/>
          <w:b/>
          <w:bCs/>
          <w:kern w:val="0"/>
          <w:sz w:val="44"/>
          <w:szCs w:val="44"/>
        </w:rPr>
        <w:t>政府采购公开招标文件</w:t>
      </w:r>
    </w:p>
    <w:p>
      <w:pPr>
        <w:spacing w:line="240" w:lineRule="atLeast"/>
        <w:ind w:left="1084" w:leftChars="257" w:hanging="540"/>
        <w:jc w:val="center"/>
        <w:rPr>
          <w:rFonts w:ascii="楷体" w:hAnsi="楷体" w:eastAsia="楷体" w:cs="楷体"/>
          <w:kern w:val="0"/>
          <w:sz w:val="36"/>
          <w:szCs w:val="36"/>
        </w:rPr>
      </w:pPr>
      <w:r>
        <w:rPr>
          <w:rFonts w:hint="eastAsia" w:ascii="楷体" w:hAnsi="楷体" w:eastAsia="楷体" w:cs="楷体"/>
          <w:kern w:val="0"/>
          <w:sz w:val="36"/>
          <w:szCs w:val="36"/>
        </w:rPr>
        <w:t>（项目编号：XJJNCG2020-GK-027号）</w:t>
      </w:r>
    </w:p>
    <w:p>
      <w:pPr>
        <w:spacing w:line="240" w:lineRule="atLeast"/>
        <w:ind w:left="1084" w:leftChars="257" w:hanging="540"/>
        <w:jc w:val="center"/>
        <w:rPr>
          <w:rFonts w:ascii="楷体" w:hAnsi="楷体" w:eastAsia="楷体" w:cs="楷体"/>
          <w:b/>
          <w:sz w:val="32"/>
          <w:szCs w:val="32"/>
        </w:rPr>
      </w:pPr>
    </w:p>
    <w:p>
      <w:pPr>
        <w:spacing w:line="240" w:lineRule="atLeast"/>
        <w:ind w:left="1084" w:leftChars="257" w:hanging="540"/>
        <w:rPr>
          <w:rFonts w:ascii="楷体" w:hAnsi="楷体" w:eastAsia="楷体" w:cs="楷体"/>
          <w:b/>
          <w:sz w:val="28"/>
        </w:rPr>
      </w:pPr>
    </w:p>
    <w:p>
      <w:pPr>
        <w:spacing w:line="240" w:lineRule="atLeast"/>
        <w:ind w:left="1084" w:leftChars="257" w:hanging="540"/>
        <w:jc w:val="center"/>
        <w:rPr>
          <w:rFonts w:ascii="楷体" w:hAnsi="楷体" w:eastAsia="楷体" w:cs="楷体"/>
          <w:b/>
          <w:sz w:val="48"/>
          <w:szCs w:val="48"/>
        </w:rPr>
      </w:pPr>
      <w:r>
        <w:rPr>
          <w:rFonts w:hint="eastAsia" w:ascii="楷体" w:hAnsi="楷体" w:eastAsia="楷体" w:cs="楷体"/>
          <w:b/>
          <w:sz w:val="48"/>
          <w:szCs w:val="48"/>
        </w:rPr>
        <w:t>第一册</w:t>
      </w:r>
    </w:p>
    <w:p>
      <w:pPr>
        <w:spacing w:line="240" w:lineRule="atLeast"/>
        <w:ind w:left="1084" w:leftChars="257" w:hanging="540"/>
        <w:jc w:val="center"/>
        <w:rPr>
          <w:rFonts w:ascii="楷体" w:hAnsi="楷体" w:eastAsia="楷体" w:cs="楷体"/>
          <w:b/>
          <w:sz w:val="52"/>
        </w:rPr>
      </w:pPr>
    </w:p>
    <w:p>
      <w:pPr>
        <w:spacing w:line="240" w:lineRule="atLeast"/>
        <w:ind w:left="1084" w:leftChars="257" w:hanging="540"/>
        <w:jc w:val="center"/>
        <w:rPr>
          <w:rFonts w:ascii="楷体" w:hAnsi="楷体" w:eastAsia="楷体" w:cs="楷体"/>
          <w:b/>
          <w:sz w:val="52"/>
        </w:rPr>
      </w:pPr>
    </w:p>
    <w:p>
      <w:pPr>
        <w:spacing w:line="240" w:lineRule="atLeast"/>
        <w:ind w:left="1084" w:leftChars="257" w:hanging="540"/>
        <w:jc w:val="center"/>
        <w:rPr>
          <w:rFonts w:ascii="楷体" w:hAnsi="楷体" w:eastAsia="楷体" w:cs="楷体"/>
          <w:b/>
          <w:sz w:val="52"/>
        </w:rPr>
      </w:pPr>
    </w:p>
    <w:p>
      <w:pPr>
        <w:spacing w:line="360" w:lineRule="auto"/>
        <w:jc w:val="left"/>
        <w:rPr>
          <w:rFonts w:ascii="楷体" w:hAnsi="楷体" w:eastAsia="楷体" w:cs="楷体"/>
          <w:b/>
          <w:bCs/>
          <w:sz w:val="30"/>
          <w:szCs w:val="30"/>
          <w:u w:val="single"/>
        </w:rPr>
      </w:pPr>
      <w:r>
        <w:rPr>
          <w:rFonts w:hint="eastAsia" w:ascii="楷体" w:hAnsi="楷体" w:eastAsia="楷体" w:cs="楷体"/>
          <w:b/>
          <w:bCs/>
          <w:sz w:val="30"/>
          <w:szCs w:val="30"/>
        </w:rPr>
        <w:t>招 标 人：</w:t>
      </w:r>
      <w:r>
        <w:rPr>
          <w:rFonts w:hint="eastAsia" w:ascii="楷体" w:hAnsi="楷体" w:eastAsia="楷体" w:cs="楷体"/>
          <w:b/>
          <w:bCs/>
          <w:sz w:val="30"/>
          <w:szCs w:val="30"/>
          <w:u w:val="single"/>
        </w:rPr>
        <w:t>喀什地区第二人民医院</w:t>
      </w:r>
    </w:p>
    <w:p>
      <w:pPr>
        <w:spacing w:line="360" w:lineRule="auto"/>
        <w:jc w:val="left"/>
        <w:rPr>
          <w:rFonts w:ascii="楷体" w:hAnsi="楷体" w:eastAsia="楷体" w:cs="楷体"/>
          <w:b/>
          <w:bCs/>
          <w:sz w:val="30"/>
          <w:szCs w:val="30"/>
          <w:u w:val="single"/>
        </w:rPr>
      </w:pPr>
      <w:r>
        <w:rPr>
          <w:rFonts w:hint="eastAsia" w:ascii="楷体" w:hAnsi="楷体" w:eastAsia="楷体" w:cs="楷体"/>
          <w:b/>
          <w:bCs/>
          <w:sz w:val="30"/>
          <w:szCs w:val="30"/>
        </w:rPr>
        <w:t>采 购 代 理机构：</w:t>
      </w:r>
      <w:r>
        <w:rPr>
          <w:rFonts w:hint="eastAsia" w:ascii="楷体" w:hAnsi="楷体" w:eastAsia="楷体" w:cs="楷体"/>
          <w:b/>
          <w:bCs/>
          <w:sz w:val="30"/>
          <w:szCs w:val="30"/>
          <w:u w:val="single"/>
        </w:rPr>
        <w:t>新疆久诺工程项目管理有限公司</w:t>
      </w:r>
    </w:p>
    <w:p>
      <w:pPr>
        <w:spacing w:line="500" w:lineRule="exact"/>
        <w:rPr>
          <w:rFonts w:ascii="楷体" w:hAnsi="楷体" w:eastAsia="楷体" w:cs="楷体"/>
          <w:bCs/>
          <w:spacing w:val="18"/>
          <w:sz w:val="30"/>
          <w:szCs w:val="30"/>
        </w:rPr>
      </w:pPr>
      <w:r>
        <w:rPr>
          <w:rFonts w:hint="eastAsia" w:ascii="楷体" w:hAnsi="楷体" w:eastAsia="楷体" w:cs="楷体"/>
          <w:b/>
          <w:bCs/>
          <w:sz w:val="30"/>
          <w:szCs w:val="30"/>
        </w:rPr>
        <w:t>采购代理机构地址：</w:t>
      </w:r>
      <w:r>
        <w:rPr>
          <w:rFonts w:hint="eastAsia" w:ascii="楷体" w:hAnsi="楷体" w:eastAsia="楷体" w:cs="楷体"/>
          <w:b/>
          <w:bCs/>
          <w:sz w:val="30"/>
          <w:szCs w:val="30"/>
          <w:u w:val="single"/>
        </w:rPr>
        <w:t>新疆喀什市东城区行政审批局西侧喀什设计咨询总部大厦1101A</w:t>
      </w:r>
    </w:p>
    <w:p>
      <w:pPr>
        <w:spacing w:line="360" w:lineRule="auto"/>
        <w:jc w:val="left"/>
        <w:rPr>
          <w:rFonts w:ascii="楷体" w:hAnsi="楷体" w:eastAsia="楷体" w:cs="楷体"/>
          <w:b/>
          <w:bCs/>
          <w:sz w:val="30"/>
          <w:szCs w:val="30"/>
          <w:u w:val="single"/>
        </w:rPr>
      </w:pPr>
      <w:r>
        <w:rPr>
          <w:rFonts w:hint="eastAsia" w:ascii="楷体" w:hAnsi="楷体" w:eastAsia="楷体" w:cs="楷体"/>
          <w:b/>
          <w:bCs/>
          <w:sz w:val="30"/>
          <w:szCs w:val="30"/>
        </w:rPr>
        <w:t>联 系 人：</w:t>
      </w:r>
      <w:r>
        <w:rPr>
          <w:rFonts w:hint="eastAsia" w:ascii="楷体" w:hAnsi="楷体" w:eastAsia="楷体" w:cs="楷体"/>
          <w:b/>
          <w:bCs/>
          <w:sz w:val="30"/>
          <w:szCs w:val="30"/>
          <w:u w:val="single"/>
        </w:rPr>
        <w:t>王瑾</w:t>
      </w:r>
    </w:p>
    <w:p>
      <w:pPr>
        <w:spacing w:line="360" w:lineRule="auto"/>
        <w:jc w:val="left"/>
        <w:rPr>
          <w:rFonts w:ascii="楷体" w:hAnsi="楷体" w:eastAsia="楷体" w:cs="楷体"/>
          <w:b/>
          <w:bCs/>
          <w:sz w:val="30"/>
          <w:szCs w:val="30"/>
          <w:u w:val="single"/>
        </w:rPr>
      </w:pPr>
      <w:r>
        <w:rPr>
          <w:rFonts w:hint="eastAsia" w:ascii="楷体" w:hAnsi="楷体" w:eastAsia="楷体" w:cs="楷体"/>
          <w:b/>
          <w:bCs/>
          <w:sz w:val="30"/>
          <w:szCs w:val="30"/>
        </w:rPr>
        <w:t>联 系 电 话：</w:t>
      </w:r>
      <w:r>
        <w:rPr>
          <w:rFonts w:hint="eastAsia" w:ascii="楷体" w:hAnsi="楷体" w:eastAsia="楷体" w:cs="楷体"/>
          <w:b/>
          <w:bCs/>
          <w:sz w:val="30"/>
          <w:szCs w:val="30"/>
          <w:u w:val="single"/>
        </w:rPr>
        <w:t>18009987771</w:t>
      </w:r>
    </w:p>
    <w:p>
      <w:pPr>
        <w:spacing w:line="360" w:lineRule="auto"/>
        <w:jc w:val="left"/>
        <w:rPr>
          <w:rFonts w:ascii="楷体" w:hAnsi="楷体" w:eastAsia="楷体" w:cs="楷体"/>
          <w:b/>
          <w:bCs/>
          <w:sz w:val="30"/>
          <w:szCs w:val="30"/>
        </w:rPr>
      </w:pPr>
    </w:p>
    <w:p>
      <w:pPr>
        <w:spacing w:line="600" w:lineRule="exact"/>
        <w:jc w:val="center"/>
        <w:rPr>
          <w:rFonts w:ascii="楷体" w:hAnsi="楷体" w:eastAsia="楷体" w:cs="楷体"/>
          <w:b/>
          <w:sz w:val="32"/>
        </w:rPr>
      </w:pPr>
      <w:r>
        <w:rPr>
          <w:rFonts w:hint="eastAsia" w:ascii="楷体" w:hAnsi="楷体" w:eastAsia="楷体" w:cs="楷体"/>
          <w:b/>
          <w:bCs/>
          <w:sz w:val="30"/>
          <w:szCs w:val="30"/>
        </w:rPr>
        <w:t>发  出 日 期：</w:t>
      </w:r>
      <w:r>
        <w:rPr>
          <w:rFonts w:hint="eastAsia" w:ascii="楷体" w:hAnsi="楷体" w:eastAsia="楷体" w:cs="楷体"/>
          <w:b/>
          <w:bCs/>
          <w:sz w:val="30"/>
          <w:szCs w:val="30"/>
          <w:u w:val="single"/>
        </w:rPr>
        <w:t>2020年7月</w:t>
      </w:r>
      <w:r>
        <w:rPr>
          <w:rFonts w:hint="eastAsia" w:ascii="楷体" w:hAnsi="楷体" w:eastAsia="楷体" w:cs="楷体"/>
          <w:b/>
          <w:sz w:val="52"/>
        </w:rPr>
        <w:br w:type="page"/>
      </w:r>
      <w:r>
        <w:rPr>
          <w:rFonts w:hint="eastAsia" w:ascii="楷体" w:hAnsi="楷体" w:eastAsia="楷体" w:cs="楷体"/>
          <w:b/>
          <w:sz w:val="32"/>
        </w:rPr>
        <w:t>目  录</w:t>
      </w:r>
    </w:p>
    <w:p>
      <w:pPr>
        <w:pStyle w:val="18"/>
        <w:tabs>
          <w:tab w:val="right" w:leader="dot" w:pos="8312"/>
        </w:tabs>
        <w:spacing w:line="260" w:lineRule="exact"/>
        <w:rPr>
          <w:rFonts w:ascii="楷体" w:hAnsi="楷体" w:eastAsia="楷体" w:cs="楷体"/>
        </w:rPr>
      </w:pPr>
      <w:r>
        <w:rPr>
          <w:rFonts w:hint="eastAsia" w:ascii="楷体" w:hAnsi="楷体" w:eastAsia="楷体" w:cs="楷体"/>
          <w:kern w:val="0"/>
          <w:szCs w:val="21"/>
        </w:rPr>
        <w:fldChar w:fldCharType="begin"/>
      </w:r>
      <w:r>
        <w:rPr>
          <w:rFonts w:hint="eastAsia" w:ascii="楷体" w:hAnsi="楷体" w:eastAsia="楷体" w:cs="楷体"/>
          <w:kern w:val="0"/>
          <w:szCs w:val="21"/>
        </w:rPr>
        <w:instrText xml:space="preserve"> TOC \o "1-3" \h \z \u </w:instrText>
      </w:r>
      <w:r>
        <w:rPr>
          <w:rFonts w:hint="eastAsia" w:ascii="楷体" w:hAnsi="楷体" w:eastAsia="楷体" w:cs="楷体"/>
          <w:kern w:val="0"/>
          <w:szCs w:val="21"/>
        </w:rPr>
        <w:fldChar w:fldCharType="separate"/>
      </w:r>
      <w:r>
        <w:fldChar w:fldCharType="begin"/>
      </w:r>
      <w:r>
        <w:instrText xml:space="preserve"> HYPERLINK \l "_Toc16109" </w:instrText>
      </w:r>
      <w:r>
        <w:fldChar w:fldCharType="separate"/>
      </w:r>
      <w:r>
        <w:rPr>
          <w:rFonts w:hint="eastAsia" w:ascii="楷体" w:hAnsi="楷体" w:eastAsia="楷体" w:cs="楷体"/>
        </w:rPr>
        <w:t>第1章   投标人须知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_Toc16109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rPr>
        <w:fldChar w:fldCharType="end"/>
      </w:r>
    </w:p>
    <w:p>
      <w:pPr>
        <w:pStyle w:val="22"/>
        <w:tabs>
          <w:tab w:val="right" w:leader="dot" w:pos="8312"/>
        </w:tabs>
        <w:spacing w:line="260" w:lineRule="exact"/>
        <w:ind w:left="426"/>
        <w:rPr>
          <w:rFonts w:ascii="楷体" w:hAnsi="楷体" w:eastAsia="楷体" w:cs="楷体"/>
          <w:kern w:val="0"/>
          <w:szCs w:val="21"/>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"_Toc18799" </w:instrText>
      </w:r>
      <w:r>
        <w:fldChar w:fldCharType="separate"/>
      </w:r>
      <w:r>
        <w:rPr>
          <w:rFonts w:hint="eastAsia" w:ascii="楷体" w:hAnsi="楷体" w:eastAsia="楷体" w:cs="楷体"/>
        </w:rPr>
        <w:t>一   总 则</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_Toc18799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rPr>
        <w:fldChar w:fldCharType="end"/>
      </w:r>
    </w:p>
    <w:p>
      <w:pPr>
        <w:pStyle w:val="12"/>
        <w:tabs>
          <w:tab w:val="right" w:leader="dot" w:pos="8312"/>
          <w:tab w:val="clear" w:pos="1260"/>
          <w:tab w:val="clear" w:pos="8630"/>
        </w:tabs>
        <w:spacing w:line="260" w:lineRule="exact"/>
        <w:ind w:left="851"/>
        <w:rPr>
          <w:rFonts w:ascii="楷体" w:hAnsi="楷体" w:eastAsia="楷体" w:cs="楷体"/>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"_Toc3763" </w:instrText>
      </w:r>
      <w:r>
        <w:fldChar w:fldCharType="separate"/>
      </w:r>
      <w:r>
        <w:rPr>
          <w:rFonts w:hint="eastAsia" w:ascii="楷体" w:hAnsi="楷体" w:eastAsia="楷体" w:cs="楷体"/>
        </w:rPr>
        <w:t>二   招标文件</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_Toc3763 </w:instrText>
      </w:r>
      <w:r>
        <w:rPr>
          <w:rFonts w:hint="eastAsia" w:ascii="楷体" w:hAnsi="楷体" w:eastAsia="楷体" w:cs="楷体"/>
        </w:rPr>
        <w:fldChar w:fldCharType="separate"/>
      </w:r>
      <w:r>
        <w:rPr>
          <w:rFonts w:hint="eastAsia" w:ascii="楷体" w:hAnsi="楷体" w:eastAsia="楷体" w:cs="楷体"/>
        </w:rPr>
        <w:t>5</w:t>
      </w:r>
      <w:r>
        <w:rPr>
          <w:rFonts w:hint="eastAsia" w:ascii="楷体" w:hAnsi="楷体" w:eastAsia="楷体" w:cs="楷体"/>
        </w:rPr>
        <w:fldChar w:fldCharType="end"/>
      </w:r>
      <w:r>
        <w:rPr>
          <w:rFonts w:hint="eastAsia" w:ascii="楷体" w:hAnsi="楷体" w:eastAsia="楷体" w:cs="楷体"/>
        </w:rPr>
        <w:fldChar w:fldCharType="end"/>
      </w:r>
    </w:p>
    <w:p>
      <w:pPr>
        <w:pStyle w:val="12"/>
        <w:tabs>
          <w:tab w:val="right" w:leader="dot" w:pos="8312"/>
          <w:tab w:val="clear" w:pos="1260"/>
          <w:tab w:val="clear" w:pos="8630"/>
        </w:tabs>
        <w:spacing w:line="260" w:lineRule="exact"/>
        <w:ind w:left="851"/>
        <w:rPr>
          <w:rFonts w:ascii="楷体" w:hAnsi="楷体" w:eastAsia="楷体" w:cs="楷体"/>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"_Toc393" </w:instrText>
      </w:r>
      <w:r>
        <w:fldChar w:fldCharType="separate"/>
      </w:r>
      <w:r>
        <w:rPr>
          <w:rFonts w:hint="eastAsia" w:ascii="楷体" w:hAnsi="楷体" w:eastAsia="楷体" w:cs="楷体"/>
        </w:rPr>
        <w:t>三   投标文件的编制</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_Toc393 </w:instrText>
      </w:r>
      <w:r>
        <w:rPr>
          <w:rFonts w:hint="eastAsia" w:ascii="楷体" w:hAnsi="楷体" w:eastAsia="楷体" w:cs="楷体"/>
        </w:rPr>
        <w:fldChar w:fldCharType="separate"/>
      </w:r>
      <w:r>
        <w:rPr>
          <w:rFonts w:hint="eastAsia" w:ascii="楷体" w:hAnsi="楷体" w:eastAsia="楷体" w:cs="楷体"/>
        </w:rPr>
        <w:t>6</w:t>
      </w:r>
      <w:r>
        <w:rPr>
          <w:rFonts w:hint="eastAsia" w:ascii="楷体" w:hAnsi="楷体" w:eastAsia="楷体" w:cs="楷体"/>
        </w:rPr>
        <w:fldChar w:fldCharType="end"/>
      </w:r>
      <w:r>
        <w:rPr>
          <w:rFonts w:hint="eastAsia" w:ascii="楷体" w:hAnsi="楷体" w:eastAsia="楷体" w:cs="楷体"/>
        </w:rPr>
        <w:fldChar w:fldCharType="end"/>
      </w:r>
    </w:p>
    <w:p>
      <w:pPr>
        <w:pStyle w:val="12"/>
        <w:tabs>
          <w:tab w:val="right" w:leader="dot" w:pos="8312"/>
          <w:tab w:val="clear" w:pos="1260"/>
          <w:tab w:val="clear" w:pos="8630"/>
        </w:tabs>
        <w:spacing w:line="260" w:lineRule="exact"/>
        <w:ind w:left="851"/>
        <w:rPr>
          <w:rFonts w:ascii="楷体" w:hAnsi="楷体" w:eastAsia="楷体" w:cs="楷体"/>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"_Toc14279" </w:instrText>
      </w:r>
      <w:r>
        <w:fldChar w:fldCharType="separate"/>
      </w:r>
      <w:r>
        <w:rPr>
          <w:rFonts w:hint="eastAsia" w:ascii="楷体" w:hAnsi="楷体" w:eastAsia="楷体" w:cs="楷体"/>
        </w:rPr>
        <w:t>四   投标文件的递交</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_Toc14279 </w:instrText>
      </w:r>
      <w:r>
        <w:rPr>
          <w:rFonts w:hint="eastAsia" w:ascii="楷体" w:hAnsi="楷体" w:eastAsia="楷体" w:cs="楷体"/>
        </w:rPr>
        <w:fldChar w:fldCharType="separate"/>
      </w:r>
      <w:r>
        <w:rPr>
          <w:rFonts w:hint="eastAsia" w:ascii="楷体" w:hAnsi="楷体" w:eastAsia="楷体" w:cs="楷体"/>
        </w:rPr>
        <w:t>9</w:t>
      </w:r>
      <w:r>
        <w:rPr>
          <w:rFonts w:hint="eastAsia" w:ascii="楷体" w:hAnsi="楷体" w:eastAsia="楷体" w:cs="楷体"/>
        </w:rPr>
        <w:fldChar w:fldCharType="end"/>
      </w:r>
      <w:r>
        <w:rPr>
          <w:rFonts w:hint="eastAsia" w:ascii="楷体" w:hAnsi="楷体" w:eastAsia="楷体" w:cs="楷体"/>
        </w:rPr>
        <w:fldChar w:fldCharType="end"/>
      </w:r>
    </w:p>
    <w:p>
      <w:pPr>
        <w:pStyle w:val="12"/>
        <w:tabs>
          <w:tab w:val="right" w:leader="dot" w:pos="8312"/>
          <w:tab w:val="clear" w:pos="1260"/>
          <w:tab w:val="clear" w:pos="8630"/>
        </w:tabs>
        <w:spacing w:line="260" w:lineRule="exact"/>
        <w:ind w:left="851"/>
        <w:rPr>
          <w:rFonts w:ascii="楷体" w:hAnsi="楷体" w:eastAsia="楷体" w:cs="楷体"/>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"_Toc20136" </w:instrText>
      </w:r>
      <w:r>
        <w:fldChar w:fldCharType="separate"/>
      </w:r>
      <w:r>
        <w:rPr>
          <w:rFonts w:hint="eastAsia" w:ascii="楷体" w:hAnsi="楷体" w:eastAsia="楷体" w:cs="楷体"/>
        </w:rPr>
        <w:t>五   开标及评标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_Toc20136 </w:instrText>
      </w:r>
      <w:r>
        <w:rPr>
          <w:rFonts w:hint="eastAsia" w:ascii="楷体" w:hAnsi="楷体" w:eastAsia="楷体" w:cs="楷体"/>
        </w:rPr>
        <w:fldChar w:fldCharType="separate"/>
      </w:r>
      <w:r>
        <w:rPr>
          <w:rFonts w:hint="eastAsia" w:ascii="楷体" w:hAnsi="楷体" w:eastAsia="楷体" w:cs="楷体"/>
        </w:rPr>
        <w:t>9</w:t>
      </w:r>
      <w:r>
        <w:rPr>
          <w:rFonts w:hint="eastAsia" w:ascii="楷体" w:hAnsi="楷体" w:eastAsia="楷体" w:cs="楷体"/>
        </w:rPr>
        <w:fldChar w:fldCharType="end"/>
      </w:r>
      <w:r>
        <w:rPr>
          <w:rFonts w:hint="eastAsia" w:ascii="楷体" w:hAnsi="楷体" w:eastAsia="楷体" w:cs="楷体"/>
        </w:rPr>
        <w:fldChar w:fldCharType="end"/>
      </w:r>
    </w:p>
    <w:p>
      <w:pPr>
        <w:pStyle w:val="12"/>
        <w:tabs>
          <w:tab w:val="right" w:leader="dot" w:pos="8312"/>
          <w:tab w:val="clear" w:pos="1260"/>
          <w:tab w:val="clear" w:pos="8630"/>
        </w:tabs>
        <w:spacing w:line="260" w:lineRule="exact"/>
        <w:ind w:left="851"/>
        <w:rPr>
          <w:rFonts w:ascii="楷体" w:hAnsi="楷体" w:eastAsia="楷体" w:cs="楷体"/>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"_Toc14912" </w:instrText>
      </w:r>
      <w:r>
        <w:fldChar w:fldCharType="separate"/>
      </w:r>
      <w:r>
        <w:rPr>
          <w:rFonts w:hint="eastAsia" w:ascii="楷体" w:hAnsi="楷体" w:eastAsia="楷体" w:cs="楷体"/>
        </w:rPr>
        <w:t>六   确定中标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_Toc14912 </w:instrText>
      </w:r>
      <w:r>
        <w:rPr>
          <w:rFonts w:hint="eastAsia" w:ascii="楷体" w:hAnsi="楷体" w:eastAsia="楷体" w:cs="楷体"/>
        </w:rPr>
        <w:fldChar w:fldCharType="separate"/>
      </w:r>
      <w:r>
        <w:rPr>
          <w:rFonts w:hint="eastAsia" w:ascii="楷体" w:hAnsi="楷体" w:eastAsia="楷体" w:cs="楷体"/>
        </w:rPr>
        <w:t>13</w:t>
      </w:r>
      <w:r>
        <w:rPr>
          <w:rFonts w:hint="eastAsia" w:ascii="楷体" w:hAnsi="楷体" w:eastAsia="楷体" w:cs="楷体"/>
        </w:rPr>
        <w:fldChar w:fldCharType="end"/>
      </w:r>
      <w:r>
        <w:rPr>
          <w:rFonts w:hint="eastAsia" w:ascii="楷体" w:hAnsi="楷体" w:eastAsia="楷体" w:cs="楷体"/>
        </w:rPr>
        <w:fldChar w:fldCharType="end"/>
      </w:r>
    </w:p>
    <w:p>
      <w:pPr>
        <w:pStyle w:val="22"/>
        <w:tabs>
          <w:tab w:val="right" w:leader="dot" w:pos="8312"/>
        </w:tabs>
        <w:spacing w:line="260" w:lineRule="exact"/>
        <w:ind w:left="426"/>
        <w:rPr>
          <w:rFonts w:ascii="楷体" w:hAnsi="楷体" w:eastAsia="楷体" w:cs="楷体"/>
        </w:rPr>
      </w:pPr>
    </w:p>
    <w:p>
      <w:pPr>
        <w:pStyle w:val="18"/>
        <w:tabs>
          <w:tab w:val="right" w:leader="dot" w:pos="8312"/>
        </w:tabs>
        <w:spacing w:line="260" w:lineRule="exact"/>
        <w:rPr>
          <w:rFonts w:ascii="楷体" w:hAnsi="楷体" w:eastAsia="楷体" w:cs="楷体"/>
        </w:rPr>
      </w:pPr>
      <w:r>
        <w:fldChar w:fldCharType="begin"/>
      </w:r>
      <w:r>
        <w:instrText xml:space="preserve"> HYPERLINK \l "_Toc22134" </w:instrText>
      </w:r>
      <w:r>
        <w:fldChar w:fldCharType="separate"/>
      </w:r>
      <w:r>
        <w:rPr>
          <w:rFonts w:hint="eastAsia" w:ascii="楷体" w:hAnsi="楷体" w:eastAsia="楷体" w:cs="楷体"/>
        </w:rPr>
        <w:t>第2章 投标文件格式</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_Toc22134 </w:instrText>
      </w:r>
      <w:r>
        <w:rPr>
          <w:rFonts w:hint="eastAsia" w:ascii="楷体" w:hAnsi="楷体" w:eastAsia="楷体" w:cs="楷体"/>
        </w:rPr>
        <w:fldChar w:fldCharType="separate"/>
      </w:r>
      <w:r>
        <w:rPr>
          <w:rFonts w:hint="eastAsia" w:ascii="楷体" w:hAnsi="楷体" w:eastAsia="楷体" w:cs="楷体"/>
        </w:rPr>
        <w:t>22</w:t>
      </w:r>
      <w:r>
        <w:rPr>
          <w:rFonts w:hint="eastAsia" w:ascii="楷体" w:hAnsi="楷体" w:eastAsia="楷体" w:cs="楷体"/>
        </w:rPr>
        <w:fldChar w:fldCharType="end"/>
      </w:r>
      <w:r>
        <w:rPr>
          <w:rFonts w:hint="eastAsia" w:ascii="楷体" w:hAnsi="楷体" w:eastAsia="楷体" w:cs="楷体"/>
        </w:rPr>
        <w:fldChar w:fldCharType="end"/>
      </w:r>
    </w:p>
    <w:p>
      <w:pPr>
        <w:pStyle w:val="22"/>
        <w:tabs>
          <w:tab w:val="right" w:leader="dot" w:pos="8312"/>
        </w:tabs>
        <w:spacing w:line="260" w:lineRule="exact"/>
        <w:ind w:left="426"/>
        <w:rPr>
          <w:rFonts w:ascii="楷体" w:hAnsi="楷体" w:eastAsia="楷体" w:cs="楷体"/>
          <w:kern w:val="0"/>
          <w:szCs w:val="21"/>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"_Toc9137" </w:instrText>
      </w:r>
      <w:r>
        <w:fldChar w:fldCharType="separate"/>
      </w:r>
      <w:r>
        <w:rPr>
          <w:rFonts w:hint="eastAsia" w:ascii="楷体" w:hAnsi="楷体" w:eastAsia="楷体" w:cs="楷体"/>
        </w:rPr>
        <w:t>第一部分 开标一览表及资格证明文件</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_Toc9137 </w:instrText>
      </w:r>
      <w:r>
        <w:rPr>
          <w:rFonts w:hint="eastAsia" w:ascii="楷体" w:hAnsi="楷体" w:eastAsia="楷体" w:cs="楷体"/>
        </w:rPr>
        <w:fldChar w:fldCharType="separate"/>
      </w:r>
      <w:r>
        <w:rPr>
          <w:rFonts w:hint="eastAsia" w:ascii="楷体" w:hAnsi="楷体" w:eastAsia="楷体" w:cs="楷体"/>
        </w:rPr>
        <w:t>22</w:t>
      </w:r>
      <w:r>
        <w:rPr>
          <w:rFonts w:hint="eastAsia" w:ascii="楷体" w:hAnsi="楷体" w:eastAsia="楷体" w:cs="楷体"/>
        </w:rPr>
        <w:fldChar w:fldCharType="end"/>
      </w:r>
      <w:r>
        <w:rPr>
          <w:rFonts w:hint="eastAsia" w:ascii="楷体" w:hAnsi="楷体" w:eastAsia="楷体" w:cs="楷体"/>
        </w:rPr>
        <w:fldChar w:fldCharType="end"/>
      </w:r>
    </w:p>
    <w:p>
      <w:pPr>
        <w:pStyle w:val="22"/>
        <w:tabs>
          <w:tab w:val="right" w:leader="dot" w:pos="8312"/>
        </w:tabs>
        <w:spacing w:line="260" w:lineRule="exact"/>
        <w:ind w:left="426"/>
        <w:rPr>
          <w:rFonts w:ascii="楷体" w:hAnsi="楷体" w:eastAsia="楷体" w:cs="楷体"/>
        </w:rPr>
      </w:pPr>
    </w:p>
    <w:p>
      <w:pPr>
        <w:pStyle w:val="22"/>
        <w:tabs>
          <w:tab w:val="right" w:leader="dot" w:pos="8312"/>
        </w:tabs>
        <w:spacing w:line="260" w:lineRule="exact"/>
        <w:ind w:left="426"/>
        <w:rPr>
          <w:rFonts w:ascii="楷体" w:hAnsi="楷体" w:eastAsia="楷体" w:cs="楷体"/>
        </w:rPr>
      </w:pPr>
      <w:r>
        <w:fldChar w:fldCharType="begin"/>
      </w:r>
      <w:r>
        <w:instrText xml:space="preserve"> HYPERLINK \l "_Toc9543" </w:instrText>
      </w:r>
      <w:r>
        <w:fldChar w:fldCharType="separate"/>
      </w:r>
      <w:r>
        <w:rPr>
          <w:rFonts w:hint="eastAsia" w:ascii="楷体" w:hAnsi="楷体" w:eastAsia="楷体" w:cs="楷体"/>
        </w:rPr>
        <w:t>第二部分  商务及技术文件</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_Toc9543 </w:instrText>
      </w:r>
      <w:r>
        <w:rPr>
          <w:rFonts w:hint="eastAsia" w:ascii="楷体" w:hAnsi="楷体" w:eastAsia="楷体" w:cs="楷体"/>
        </w:rPr>
        <w:fldChar w:fldCharType="separate"/>
      </w:r>
      <w:r>
        <w:rPr>
          <w:rFonts w:hint="eastAsia" w:ascii="楷体" w:hAnsi="楷体" w:eastAsia="楷体" w:cs="楷体"/>
        </w:rPr>
        <w:t>34</w:t>
      </w:r>
      <w:r>
        <w:rPr>
          <w:rFonts w:hint="eastAsia" w:ascii="楷体" w:hAnsi="楷体" w:eastAsia="楷体" w:cs="楷体"/>
        </w:rPr>
        <w:fldChar w:fldCharType="end"/>
      </w:r>
      <w:r>
        <w:rPr>
          <w:rFonts w:hint="eastAsia" w:ascii="楷体" w:hAnsi="楷体" w:eastAsia="楷体" w:cs="楷体"/>
        </w:rPr>
        <w:fldChar w:fldCharType="end"/>
      </w:r>
    </w:p>
    <w:p>
      <w:pPr>
        <w:pStyle w:val="22"/>
        <w:tabs>
          <w:tab w:val="right" w:leader="dot" w:pos="8312"/>
        </w:tabs>
        <w:spacing w:line="260" w:lineRule="exact"/>
        <w:ind w:left="426"/>
        <w:rPr>
          <w:rFonts w:ascii="楷体" w:hAnsi="楷体" w:eastAsia="楷体" w:cs="楷体"/>
        </w:rPr>
      </w:pPr>
    </w:p>
    <w:p>
      <w:pPr>
        <w:pStyle w:val="18"/>
        <w:tabs>
          <w:tab w:val="right" w:leader="dot" w:pos="8312"/>
        </w:tabs>
        <w:spacing w:line="260" w:lineRule="exact"/>
        <w:rPr>
          <w:rFonts w:ascii="楷体" w:hAnsi="楷体" w:eastAsia="楷体" w:cs="楷体"/>
        </w:rPr>
      </w:pPr>
      <w:r>
        <w:fldChar w:fldCharType="begin"/>
      </w:r>
      <w:r>
        <w:instrText xml:space="preserve"> HYPERLINK \l "_Toc1375" </w:instrText>
      </w:r>
      <w:r>
        <w:fldChar w:fldCharType="separate"/>
      </w:r>
      <w:r>
        <w:rPr>
          <w:rFonts w:hint="eastAsia" w:ascii="楷体" w:hAnsi="楷体" w:eastAsia="楷体" w:cs="楷体"/>
        </w:rPr>
        <w:t>第3章 投标邀请</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_Toc1375 </w:instrText>
      </w:r>
      <w:r>
        <w:rPr>
          <w:rFonts w:hint="eastAsia" w:ascii="楷体" w:hAnsi="楷体" w:eastAsia="楷体" w:cs="楷体"/>
        </w:rPr>
        <w:fldChar w:fldCharType="separate"/>
      </w:r>
      <w:r>
        <w:rPr>
          <w:rFonts w:hint="eastAsia" w:ascii="楷体" w:hAnsi="楷体" w:eastAsia="楷体" w:cs="楷体"/>
        </w:rPr>
        <w:t>47</w:t>
      </w:r>
      <w:r>
        <w:rPr>
          <w:rFonts w:hint="eastAsia" w:ascii="楷体" w:hAnsi="楷体" w:eastAsia="楷体" w:cs="楷体"/>
        </w:rPr>
        <w:fldChar w:fldCharType="end"/>
      </w:r>
      <w:r>
        <w:rPr>
          <w:rFonts w:hint="eastAsia" w:ascii="楷体" w:hAnsi="楷体" w:eastAsia="楷体" w:cs="楷体"/>
        </w:rPr>
        <w:fldChar w:fldCharType="end"/>
      </w:r>
    </w:p>
    <w:p>
      <w:pPr>
        <w:pStyle w:val="18"/>
        <w:tabs>
          <w:tab w:val="right" w:leader="dot" w:pos="8312"/>
        </w:tabs>
        <w:spacing w:line="260" w:lineRule="exact"/>
        <w:rPr>
          <w:rFonts w:ascii="楷体" w:hAnsi="楷体" w:eastAsia="楷体" w:cs="楷体"/>
          <w:kern w:val="0"/>
          <w:szCs w:val="21"/>
        </w:rPr>
      </w:pPr>
    </w:p>
    <w:p>
      <w:pPr>
        <w:pStyle w:val="18"/>
        <w:tabs>
          <w:tab w:val="right" w:leader="dot" w:pos="8312"/>
        </w:tabs>
        <w:spacing w:line="260" w:lineRule="exact"/>
        <w:rPr>
          <w:rFonts w:ascii="楷体" w:hAnsi="楷体" w:eastAsia="楷体" w:cs="楷体"/>
        </w:rPr>
      </w:pPr>
      <w:r>
        <w:fldChar w:fldCharType="begin"/>
      </w:r>
      <w:r>
        <w:instrText xml:space="preserve"> HYPERLINK \l "_Toc19179" </w:instrText>
      </w:r>
      <w:r>
        <w:fldChar w:fldCharType="separate"/>
      </w:r>
      <w:r>
        <w:rPr>
          <w:rFonts w:hint="eastAsia" w:ascii="楷体" w:hAnsi="楷体" w:eastAsia="楷体" w:cs="楷体"/>
          <w:szCs w:val="32"/>
        </w:rPr>
        <w:t xml:space="preserve">第4章 </w:t>
      </w:r>
      <w:r>
        <w:rPr>
          <w:rFonts w:hint="eastAsia" w:ascii="楷体" w:hAnsi="楷体" w:eastAsia="楷体" w:cs="楷体"/>
        </w:rPr>
        <w:t>投标人须知资料表</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_Toc19179 </w:instrText>
      </w:r>
      <w:r>
        <w:rPr>
          <w:rFonts w:hint="eastAsia" w:ascii="楷体" w:hAnsi="楷体" w:eastAsia="楷体" w:cs="楷体"/>
        </w:rPr>
        <w:fldChar w:fldCharType="separate"/>
      </w:r>
      <w:r>
        <w:rPr>
          <w:rFonts w:hint="eastAsia" w:ascii="楷体" w:hAnsi="楷体" w:eastAsia="楷体" w:cs="楷体"/>
        </w:rPr>
        <w:t>50</w:t>
      </w:r>
      <w:r>
        <w:rPr>
          <w:rFonts w:hint="eastAsia" w:ascii="楷体" w:hAnsi="楷体" w:eastAsia="楷体" w:cs="楷体"/>
        </w:rPr>
        <w:fldChar w:fldCharType="end"/>
      </w:r>
      <w:r>
        <w:rPr>
          <w:rFonts w:hint="eastAsia" w:ascii="楷体" w:hAnsi="楷体" w:eastAsia="楷体" w:cs="楷体"/>
        </w:rPr>
        <w:fldChar w:fldCharType="end"/>
      </w:r>
    </w:p>
    <w:p>
      <w:pPr>
        <w:pStyle w:val="18"/>
        <w:tabs>
          <w:tab w:val="right" w:leader="dot" w:pos="8312"/>
        </w:tabs>
        <w:spacing w:line="260" w:lineRule="exact"/>
        <w:rPr>
          <w:rFonts w:ascii="楷体" w:hAnsi="楷体" w:eastAsia="楷体" w:cs="楷体"/>
          <w:kern w:val="0"/>
          <w:szCs w:val="21"/>
        </w:rPr>
      </w:pPr>
    </w:p>
    <w:p>
      <w:pPr>
        <w:pStyle w:val="18"/>
        <w:tabs>
          <w:tab w:val="right" w:leader="dot" w:pos="8312"/>
        </w:tabs>
        <w:spacing w:line="260" w:lineRule="exact"/>
        <w:rPr>
          <w:rFonts w:ascii="楷体" w:hAnsi="楷体" w:eastAsia="楷体" w:cs="楷体"/>
        </w:rPr>
      </w:pPr>
      <w:r>
        <w:fldChar w:fldCharType="begin"/>
      </w:r>
      <w:r>
        <w:instrText xml:space="preserve"> HYPERLINK \l "_Toc10522" </w:instrText>
      </w:r>
      <w:r>
        <w:fldChar w:fldCharType="separate"/>
      </w:r>
      <w:r>
        <w:rPr>
          <w:rFonts w:hint="eastAsia" w:ascii="楷体" w:hAnsi="楷体" w:eastAsia="楷体" w:cs="楷体"/>
        </w:rPr>
        <w:t>第5章 货物需求一览表及技术规格</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_Toc10522 </w:instrText>
      </w:r>
      <w:r>
        <w:rPr>
          <w:rFonts w:hint="eastAsia" w:ascii="楷体" w:hAnsi="楷体" w:eastAsia="楷体" w:cs="楷体"/>
        </w:rPr>
        <w:fldChar w:fldCharType="separate"/>
      </w:r>
      <w:r>
        <w:rPr>
          <w:rFonts w:hint="eastAsia" w:ascii="楷体" w:hAnsi="楷体" w:eastAsia="楷体" w:cs="楷体"/>
        </w:rPr>
        <w:t>55</w:t>
      </w:r>
      <w:r>
        <w:rPr>
          <w:rFonts w:hint="eastAsia" w:ascii="楷体" w:hAnsi="楷体" w:eastAsia="楷体" w:cs="楷体"/>
        </w:rPr>
        <w:fldChar w:fldCharType="end"/>
      </w:r>
      <w:r>
        <w:rPr>
          <w:rFonts w:hint="eastAsia" w:ascii="楷体" w:hAnsi="楷体" w:eastAsia="楷体" w:cs="楷体"/>
        </w:rPr>
        <w:fldChar w:fldCharType="end"/>
      </w:r>
    </w:p>
    <w:p>
      <w:pPr>
        <w:pStyle w:val="18"/>
        <w:tabs>
          <w:tab w:val="right" w:leader="dot" w:pos="8312"/>
        </w:tabs>
        <w:spacing w:line="260" w:lineRule="exact"/>
        <w:rPr>
          <w:rFonts w:ascii="楷体" w:hAnsi="楷体" w:eastAsia="楷体" w:cs="楷体"/>
          <w:kern w:val="0"/>
          <w:szCs w:val="21"/>
        </w:rPr>
      </w:pPr>
    </w:p>
    <w:p>
      <w:pPr>
        <w:pStyle w:val="18"/>
        <w:tabs>
          <w:tab w:val="right" w:leader="dot" w:pos="8312"/>
        </w:tabs>
        <w:spacing w:line="260" w:lineRule="exact"/>
        <w:rPr>
          <w:rFonts w:ascii="楷体" w:hAnsi="楷体" w:eastAsia="楷体" w:cs="楷体"/>
        </w:rPr>
      </w:pPr>
      <w:r>
        <w:fldChar w:fldCharType="begin"/>
      </w:r>
      <w:r>
        <w:instrText xml:space="preserve"> HYPERLINK \l "_Toc32100" </w:instrText>
      </w:r>
      <w:r>
        <w:fldChar w:fldCharType="separate"/>
      </w:r>
      <w:r>
        <w:rPr>
          <w:rFonts w:hint="eastAsia" w:ascii="楷体" w:hAnsi="楷体" w:eastAsia="楷体" w:cs="楷体"/>
        </w:rPr>
        <w:t>第6章 评标方法和标准</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_Toc32100 </w:instrText>
      </w:r>
      <w:r>
        <w:rPr>
          <w:rFonts w:hint="eastAsia" w:ascii="楷体" w:hAnsi="楷体" w:eastAsia="楷体" w:cs="楷体"/>
        </w:rPr>
        <w:fldChar w:fldCharType="separate"/>
      </w:r>
      <w:r>
        <w:rPr>
          <w:rFonts w:hint="eastAsia" w:ascii="楷体" w:hAnsi="楷体" w:eastAsia="楷体" w:cs="楷体"/>
        </w:rPr>
        <w:t>56</w:t>
      </w:r>
      <w:r>
        <w:rPr>
          <w:rFonts w:hint="eastAsia" w:ascii="楷体" w:hAnsi="楷体" w:eastAsia="楷体" w:cs="楷体"/>
        </w:rPr>
        <w:fldChar w:fldCharType="end"/>
      </w:r>
      <w:r>
        <w:rPr>
          <w:rFonts w:hint="eastAsia" w:ascii="楷体" w:hAnsi="楷体" w:eastAsia="楷体" w:cs="楷体"/>
        </w:rPr>
        <w:fldChar w:fldCharType="end"/>
      </w:r>
    </w:p>
    <w:p>
      <w:pPr>
        <w:pStyle w:val="18"/>
        <w:tabs>
          <w:tab w:val="right" w:leader="dot" w:pos="8312"/>
        </w:tabs>
        <w:spacing w:line="260" w:lineRule="exact"/>
        <w:rPr>
          <w:rFonts w:ascii="楷体" w:hAnsi="楷体" w:eastAsia="楷体" w:cs="楷体"/>
          <w:kern w:val="0"/>
          <w:szCs w:val="21"/>
        </w:rPr>
      </w:pPr>
    </w:p>
    <w:p>
      <w:pPr>
        <w:pStyle w:val="18"/>
        <w:tabs>
          <w:tab w:val="right" w:leader="dot" w:pos="8312"/>
        </w:tabs>
        <w:spacing w:line="260" w:lineRule="exact"/>
        <w:rPr>
          <w:rFonts w:ascii="楷体" w:hAnsi="楷体" w:eastAsia="楷体" w:cs="楷体"/>
        </w:rPr>
      </w:pPr>
      <w:r>
        <w:fldChar w:fldCharType="begin"/>
      </w:r>
      <w:r>
        <w:instrText xml:space="preserve"> HYPERLINK \l "_Toc94" </w:instrText>
      </w:r>
      <w:r>
        <w:fldChar w:fldCharType="separate"/>
      </w:r>
      <w:r>
        <w:rPr>
          <w:rFonts w:hint="eastAsia" w:ascii="楷体" w:hAnsi="楷体" w:eastAsia="楷体" w:cs="楷体"/>
        </w:rPr>
        <w:t>第7章 政府采购合同</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_Toc94 </w:instrText>
      </w:r>
      <w:r>
        <w:rPr>
          <w:rFonts w:hint="eastAsia" w:ascii="楷体" w:hAnsi="楷体" w:eastAsia="楷体" w:cs="楷体"/>
        </w:rPr>
        <w:fldChar w:fldCharType="separate"/>
      </w:r>
      <w:r>
        <w:rPr>
          <w:rFonts w:hint="eastAsia" w:ascii="楷体" w:hAnsi="楷体" w:eastAsia="楷体" w:cs="楷体"/>
        </w:rPr>
        <w:t>63</w:t>
      </w:r>
      <w:r>
        <w:rPr>
          <w:rFonts w:hint="eastAsia" w:ascii="楷体" w:hAnsi="楷体" w:eastAsia="楷体" w:cs="楷体"/>
        </w:rPr>
        <w:fldChar w:fldCharType="end"/>
      </w:r>
      <w:r>
        <w:rPr>
          <w:rFonts w:hint="eastAsia" w:ascii="楷体" w:hAnsi="楷体" w:eastAsia="楷体" w:cs="楷体"/>
        </w:rPr>
        <w:fldChar w:fldCharType="end"/>
      </w:r>
    </w:p>
    <w:p>
      <w:pPr>
        <w:pStyle w:val="18"/>
        <w:tabs>
          <w:tab w:val="right" w:leader="dot" w:pos="8312"/>
        </w:tabs>
        <w:spacing w:line="260" w:lineRule="exact"/>
        <w:rPr>
          <w:rFonts w:ascii="楷体" w:hAnsi="楷体" w:eastAsia="楷体" w:cs="楷体"/>
        </w:rPr>
      </w:pPr>
    </w:p>
    <w:p>
      <w:pPr>
        <w:pStyle w:val="18"/>
        <w:tabs>
          <w:tab w:val="right" w:leader="dot" w:pos="8312"/>
        </w:tabs>
        <w:spacing w:line="260" w:lineRule="exact"/>
        <w:rPr>
          <w:rFonts w:ascii="楷体" w:hAnsi="楷体" w:eastAsia="楷体" w:cs="楷体"/>
          <w:kern w:val="0"/>
          <w:szCs w:val="21"/>
        </w:rPr>
      </w:pPr>
    </w:p>
    <w:p>
      <w:pPr>
        <w:rPr>
          <w:rFonts w:ascii="楷体" w:hAnsi="楷体" w:eastAsia="楷体" w:cs="楷体"/>
          <w:kern w:val="0"/>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6"/>
        <w:rPr>
          <w:rFonts w:ascii="楷体" w:hAnsi="楷体" w:eastAsia="楷体" w:cs="楷体"/>
          <w:szCs w:val="21"/>
        </w:rPr>
      </w:pPr>
    </w:p>
    <w:p>
      <w:pPr>
        <w:pStyle w:val="4"/>
        <w:numPr>
          <w:ilvl w:val="0"/>
          <w:numId w:val="3"/>
        </w:numPr>
        <w:tabs>
          <w:tab w:val="left" w:pos="0"/>
          <w:tab w:val="clear" w:pos="3134"/>
        </w:tabs>
        <w:spacing w:before="0" w:after="0" w:line="240" w:lineRule="atLeast"/>
        <w:ind w:hanging="3134"/>
        <w:rPr>
          <w:rFonts w:ascii="楷体" w:hAnsi="楷体" w:eastAsia="楷体" w:cs="楷体"/>
        </w:rPr>
      </w:pPr>
      <w:r>
        <w:rPr>
          <w:rFonts w:hint="eastAsia" w:ascii="楷体" w:hAnsi="楷体" w:eastAsia="楷体" w:cs="楷体"/>
          <w:kern w:val="0"/>
          <w:szCs w:val="21"/>
        </w:rPr>
        <w:fldChar w:fldCharType="end"/>
      </w:r>
      <w:bookmarkStart w:id="0" w:name="_Toc16109"/>
      <w:bookmarkStart w:id="1" w:name="_Toc216582804"/>
      <w:bookmarkStart w:id="2" w:name="_Toc515647756"/>
      <w:bookmarkStart w:id="3" w:name="_Toc17230"/>
      <w:bookmarkStart w:id="4" w:name="_Toc22782"/>
      <w:r>
        <w:rPr>
          <w:rFonts w:hint="eastAsia" w:ascii="楷体" w:hAnsi="楷体" w:eastAsia="楷体" w:cs="楷体"/>
        </w:rPr>
        <w:t>投标人须知</w:t>
      </w:r>
      <w:bookmarkEnd w:id="0"/>
      <w:bookmarkEnd w:id="1"/>
      <w:bookmarkEnd w:id="2"/>
      <w:bookmarkEnd w:id="3"/>
      <w:bookmarkEnd w:id="4"/>
    </w:p>
    <w:p>
      <w:pPr>
        <w:pStyle w:val="5"/>
        <w:spacing w:before="0" w:line="240" w:lineRule="atLeast"/>
        <w:ind w:left="1084" w:leftChars="257" w:hanging="540"/>
        <w:rPr>
          <w:rFonts w:ascii="楷体" w:hAnsi="楷体" w:eastAsia="楷体" w:cs="楷体"/>
          <w:sz w:val="28"/>
        </w:rPr>
      </w:pPr>
      <w:bookmarkStart w:id="5" w:name="_Toc515647757"/>
      <w:bookmarkStart w:id="6" w:name="_Toc520356143"/>
      <w:bookmarkStart w:id="7" w:name="_Toc216582805"/>
      <w:bookmarkStart w:id="8" w:name="_Toc21215"/>
      <w:bookmarkStart w:id="9" w:name="_Toc21015"/>
      <w:bookmarkStart w:id="10" w:name="_Toc18799"/>
      <w:r>
        <w:rPr>
          <w:rFonts w:hint="eastAsia" w:ascii="楷体" w:hAnsi="楷体" w:eastAsia="楷体" w:cs="楷体"/>
          <w:sz w:val="28"/>
        </w:rPr>
        <w:t xml:space="preserve">一   </w:t>
      </w:r>
      <w:bookmarkEnd w:id="5"/>
      <w:bookmarkEnd w:id="6"/>
      <w:bookmarkEnd w:id="7"/>
      <w:r>
        <w:rPr>
          <w:rFonts w:hint="eastAsia" w:ascii="楷体" w:hAnsi="楷体" w:eastAsia="楷体" w:cs="楷体"/>
          <w:sz w:val="28"/>
        </w:rPr>
        <w:t>总 则</w:t>
      </w:r>
      <w:bookmarkEnd w:id="8"/>
      <w:bookmarkEnd w:id="9"/>
      <w:bookmarkEnd w:id="10"/>
    </w:p>
    <w:p>
      <w:pPr>
        <w:pStyle w:val="7"/>
        <w:spacing w:before="0" w:after="0" w:line="240" w:lineRule="atLeast"/>
        <w:rPr>
          <w:rFonts w:ascii="楷体" w:hAnsi="楷体" w:eastAsia="楷体" w:cs="楷体"/>
          <w:u w:val="none"/>
        </w:rPr>
      </w:pPr>
      <w:bookmarkStart w:id="11" w:name="_Toc520356144"/>
      <w:bookmarkStart w:id="12" w:name="_Toc515647758"/>
      <w:bookmarkStart w:id="13" w:name="_Toc32623"/>
      <w:bookmarkStart w:id="14" w:name="_Toc22684"/>
      <w:bookmarkStart w:id="15" w:name="_Toc32189"/>
      <w:r>
        <w:rPr>
          <w:rFonts w:hint="eastAsia" w:ascii="楷体" w:hAnsi="楷体" w:eastAsia="楷体" w:cs="楷体"/>
          <w:u w:val="none"/>
        </w:rPr>
        <w:t>1.采购人、采购代理机构及</w:t>
      </w:r>
      <w:bookmarkEnd w:id="11"/>
      <w:r>
        <w:rPr>
          <w:rFonts w:hint="eastAsia" w:ascii="楷体" w:hAnsi="楷体" w:eastAsia="楷体" w:cs="楷体"/>
          <w:u w:val="none"/>
        </w:rPr>
        <w:t>投标人</w:t>
      </w:r>
      <w:bookmarkEnd w:id="12"/>
      <w:bookmarkEnd w:id="13"/>
      <w:bookmarkEnd w:id="14"/>
      <w:bookmarkEnd w:id="15"/>
    </w:p>
    <w:p>
      <w:pPr>
        <w:numPr>
          <w:ilvl w:val="1"/>
          <w:numId w:val="4"/>
        </w:numPr>
        <w:tabs>
          <w:tab w:val="left" w:pos="0"/>
          <w:tab w:val="clear" w:pos="900"/>
        </w:tabs>
        <w:spacing w:line="240" w:lineRule="atLeast"/>
        <w:ind w:hanging="898"/>
        <w:rPr>
          <w:rFonts w:ascii="楷体" w:hAnsi="楷体" w:eastAsia="楷体" w:cs="楷体"/>
          <w:sz w:val="24"/>
        </w:rPr>
      </w:pPr>
      <w:r>
        <w:rPr>
          <w:rFonts w:hint="eastAsia" w:ascii="楷体" w:hAnsi="楷体" w:eastAsia="楷体" w:cs="楷体"/>
          <w:sz w:val="24"/>
        </w:rPr>
        <w:t xml:space="preserve">    采购人：是指依法开展政府采购活动的国家机关、事业单位、团体组织。</w:t>
      </w:r>
    </w:p>
    <w:p>
      <w:pPr>
        <w:tabs>
          <w:tab w:val="left" w:pos="0"/>
        </w:tabs>
        <w:spacing w:line="240" w:lineRule="atLeast"/>
        <w:ind w:left="900"/>
        <w:rPr>
          <w:rFonts w:ascii="楷体" w:hAnsi="楷体" w:eastAsia="楷体" w:cs="楷体"/>
          <w:sz w:val="24"/>
        </w:rPr>
      </w:pPr>
      <w:r>
        <w:rPr>
          <w:rFonts w:hint="eastAsia" w:ascii="楷体" w:hAnsi="楷体" w:eastAsia="楷体" w:cs="楷体"/>
          <w:sz w:val="24"/>
        </w:rPr>
        <w:t>本项目的采购人见</w:t>
      </w:r>
      <w:r>
        <w:rPr>
          <w:rFonts w:hint="eastAsia" w:ascii="楷体" w:hAnsi="楷体" w:eastAsia="楷体" w:cs="楷体"/>
          <w:sz w:val="24"/>
          <w:u w:val="single"/>
        </w:rPr>
        <w:t>投标人须知资料表</w:t>
      </w:r>
      <w:r>
        <w:rPr>
          <w:rFonts w:hint="eastAsia" w:ascii="楷体" w:hAnsi="楷体" w:eastAsia="楷体" w:cs="楷体"/>
          <w:sz w:val="24"/>
        </w:rPr>
        <w:t>。</w:t>
      </w:r>
    </w:p>
    <w:p>
      <w:pPr>
        <w:numPr>
          <w:ilvl w:val="1"/>
          <w:numId w:val="4"/>
        </w:numPr>
        <w:tabs>
          <w:tab w:val="left" w:pos="0"/>
          <w:tab w:val="clear" w:pos="900"/>
        </w:tabs>
        <w:spacing w:line="240" w:lineRule="atLeast"/>
        <w:ind w:hanging="898"/>
        <w:rPr>
          <w:rFonts w:ascii="楷体" w:hAnsi="楷体" w:eastAsia="楷体" w:cs="楷体"/>
          <w:sz w:val="24"/>
        </w:rPr>
      </w:pPr>
      <w:r>
        <w:rPr>
          <w:rFonts w:hint="eastAsia" w:ascii="楷体" w:hAnsi="楷体" w:eastAsia="楷体" w:cs="楷体"/>
          <w:sz w:val="24"/>
        </w:rPr>
        <w:t xml:space="preserve">    采购代理机构：是指在集中采购机构或从事采购代理业务的社会中介机构。本项目的采购代理机构见</w:t>
      </w:r>
      <w:r>
        <w:rPr>
          <w:rFonts w:hint="eastAsia" w:ascii="楷体" w:hAnsi="楷体" w:eastAsia="楷体" w:cs="楷体"/>
          <w:sz w:val="24"/>
          <w:u w:val="single"/>
        </w:rPr>
        <w:t>投标人须知资料表</w:t>
      </w:r>
      <w:r>
        <w:rPr>
          <w:rFonts w:hint="eastAsia" w:ascii="楷体" w:hAnsi="楷体" w:eastAsia="楷体" w:cs="楷体"/>
          <w:sz w:val="24"/>
        </w:rPr>
        <w:t>。</w:t>
      </w:r>
    </w:p>
    <w:p>
      <w:pPr>
        <w:numPr>
          <w:ilvl w:val="1"/>
          <w:numId w:val="4"/>
        </w:numPr>
        <w:spacing w:line="240" w:lineRule="atLeast"/>
        <w:ind w:left="910" w:hanging="907" w:hangingChars="375"/>
        <w:rPr>
          <w:rFonts w:ascii="楷体" w:hAnsi="楷体" w:eastAsia="楷体" w:cs="楷体"/>
          <w:sz w:val="24"/>
        </w:rPr>
      </w:pPr>
      <w:r>
        <w:rPr>
          <w:rFonts w:hint="eastAsia" w:ascii="楷体" w:hAnsi="楷体" w:eastAsia="楷体" w:cs="楷体"/>
          <w:sz w:val="24"/>
        </w:rPr>
        <w:t>投标人：是指向采购人提供货物、工程或者服务的法人、非法人组织或者自然人。本项目的投标人及其投标货物须满足以下条件：</w:t>
      </w:r>
    </w:p>
    <w:p>
      <w:pPr>
        <w:spacing w:line="240" w:lineRule="atLeast"/>
        <w:ind w:left="859" w:hanging="856" w:hangingChars="354"/>
        <w:rPr>
          <w:rFonts w:ascii="楷体" w:hAnsi="楷体" w:eastAsia="楷体" w:cs="楷体"/>
          <w:sz w:val="24"/>
        </w:rPr>
      </w:pPr>
      <w:r>
        <w:rPr>
          <w:rFonts w:hint="eastAsia" w:ascii="楷体" w:hAnsi="楷体" w:eastAsia="楷体" w:cs="楷体"/>
          <w:sz w:val="24"/>
        </w:rPr>
        <w:t>1.3.1</w:t>
      </w:r>
      <w:r>
        <w:rPr>
          <w:rFonts w:hint="eastAsia" w:ascii="楷体" w:hAnsi="楷体" w:eastAsia="楷体" w:cs="楷体"/>
          <w:sz w:val="24"/>
        </w:rPr>
        <w:tab/>
      </w:r>
      <w:r>
        <w:rPr>
          <w:rFonts w:hint="eastAsia" w:ascii="楷体" w:hAnsi="楷体" w:eastAsia="楷体" w:cs="楷体"/>
          <w:sz w:val="24"/>
        </w:rPr>
        <w:t>在中华人民共和国境内注册，能够独立承担民事责任，有生产或供应能力的本国供应商。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1.3.2  具备《中华人民共和国政府采购法》第二十二条关于供应商条件的规定，遵守本项目采购人本级和上级财政部门政府采购的有关规定。</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1.3.3   以采购代理机构认可的方式获得了本项目的招标文件。</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1.3.4   符合</w:t>
      </w:r>
      <w:r>
        <w:rPr>
          <w:rFonts w:hint="eastAsia" w:ascii="楷体" w:hAnsi="楷体" w:eastAsia="楷体" w:cs="楷体"/>
          <w:sz w:val="24"/>
          <w:u w:val="single"/>
        </w:rPr>
        <w:t>投标人须知资料表</w:t>
      </w:r>
      <w:r>
        <w:rPr>
          <w:rFonts w:hint="eastAsia" w:ascii="楷体" w:hAnsi="楷体" w:eastAsia="楷体" w:cs="楷体"/>
          <w:sz w:val="24"/>
        </w:rPr>
        <w:t>中规定的其他要求。</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1.3.5   若</w:t>
      </w:r>
      <w:r>
        <w:rPr>
          <w:rFonts w:hint="eastAsia" w:ascii="楷体" w:hAnsi="楷体" w:eastAsia="楷体" w:cs="楷体"/>
          <w:sz w:val="24"/>
          <w:u w:val="single"/>
        </w:rPr>
        <w:t>投标人须知资料表</w:t>
      </w:r>
      <w:r>
        <w:rPr>
          <w:rFonts w:hint="eastAsia" w:ascii="楷体" w:hAnsi="楷体" w:eastAsia="楷体" w:cs="楷体"/>
          <w:sz w:val="24"/>
        </w:rPr>
        <w:t>中写明允许采购进口产品，投标人应保证所投产品可履行合法报通关手续进入中国关境内。</w:t>
      </w:r>
    </w:p>
    <w:p>
      <w:pPr>
        <w:spacing w:line="240" w:lineRule="atLeast"/>
        <w:ind w:left="907" w:leftChars="428"/>
        <w:rPr>
          <w:rFonts w:ascii="楷体" w:hAnsi="楷体" w:eastAsia="楷体" w:cs="楷体"/>
          <w:sz w:val="24"/>
        </w:rPr>
      </w:pPr>
      <w:r>
        <w:rPr>
          <w:rFonts w:hint="eastAsia" w:ascii="楷体" w:hAnsi="楷体" w:eastAsia="楷体" w:cs="楷体"/>
          <w:sz w:val="24"/>
        </w:rPr>
        <w:t>若</w:t>
      </w:r>
      <w:r>
        <w:rPr>
          <w:rFonts w:hint="eastAsia" w:ascii="楷体" w:hAnsi="楷体" w:eastAsia="楷体" w:cs="楷体"/>
          <w:sz w:val="24"/>
          <w:u w:val="single"/>
        </w:rPr>
        <w:t>投标人须知资料表</w:t>
      </w:r>
      <w:r>
        <w:rPr>
          <w:rFonts w:hint="eastAsia" w:ascii="楷体" w:hAnsi="楷体" w:eastAsia="楷体" w:cs="楷体"/>
          <w:sz w:val="24"/>
        </w:rPr>
        <w:t>中未写明允许采购进口产品，如投标人所投产品为进口产品，其投标将被认定为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850" w:hanging="847" w:hangingChars="350"/>
        <w:rPr>
          <w:rFonts w:ascii="楷体" w:hAnsi="楷体" w:eastAsia="楷体" w:cs="楷体"/>
          <w:sz w:val="24"/>
        </w:rPr>
      </w:pPr>
      <w:r>
        <w:rPr>
          <w:rFonts w:hint="eastAsia" w:ascii="楷体" w:hAnsi="楷体" w:eastAsia="楷体" w:cs="楷体"/>
          <w:sz w:val="24"/>
        </w:rPr>
        <w:t>1.3.6  若</w:t>
      </w:r>
      <w:r>
        <w:rPr>
          <w:rFonts w:hint="eastAsia" w:ascii="楷体" w:hAnsi="楷体" w:eastAsia="楷体" w:cs="楷体"/>
          <w:sz w:val="24"/>
          <w:u w:val="single"/>
        </w:rPr>
        <w:t>投标人须知资料表</w:t>
      </w:r>
      <w:r>
        <w:rPr>
          <w:rFonts w:hint="eastAsia" w:ascii="楷体" w:hAnsi="楷体" w:eastAsia="楷体" w:cs="楷体"/>
          <w:sz w:val="24"/>
        </w:rPr>
        <w:t>中写明专门面向中小企业采购的，如投标人为非中小企业且所投产品为非中小企业产品，其投标将被认定为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     如</w:t>
      </w:r>
      <w:r>
        <w:rPr>
          <w:rFonts w:hint="eastAsia" w:ascii="楷体" w:hAnsi="楷体" w:eastAsia="楷体" w:cs="楷体"/>
          <w:sz w:val="24"/>
          <w:u w:val="single"/>
        </w:rPr>
        <w:t>投标人须知资料表</w:t>
      </w:r>
      <w:r>
        <w:rPr>
          <w:rFonts w:hint="eastAsia" w:ascii="楷体" w:hAnsi="楷体" w:eastAsia="楷体" w:cs="楷体"/>
          <w:sz w:val="24"/>
        </w:rPr>
        <w:t>中允许联合体投标，对联合体规定如下：</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1.4.1   两个以上供应商可以组成一个投标联合体，以一个投标人的身份投标。</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1.4.2   联合体各方均应符合《中华人民共和国政府采购法》第二十二条规定的条件。</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1.4.3   采购人根据采购项目对投标人的特殊要求，联合体中至少应当有一方符合相关规定。</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1.4.4   联合体各方应签订共同投标协议，明确约定联合体各方承担的工作和相应的责任，并将共同投标协议连同作为投标文件第一部分的内容提交。</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1.4.6  联合体中有同类资质的供应商按照联合体分工承担相同工作的，按照较低的资质等级确定联合体的资质等级。</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1.4.7  以联合体形式参加政府采购活动的，联合体各方不得再单独参加或者与其他供应商另外组成联合体参加本项目投标，否则相关投标将被认定为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1.4.8   对联合体投标的其他资格要求见</w:t>
      </w:r>
      <w:r>
        <w:rPr>
          <w:rFonts w:hint="eastAsia" w:ascii="楷体" w:hAnsi="楷体" w:eastAsia="楷体" w:cs="楷体"/>
          <w:sz w:val="24"/>
          <w:u w:val="single"/>
        </w:rPr>
        <w:t>投标人须知资料表</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1.5    单位负责人为同一人或者存在直接控股、管理关系的不同供应商，其相关投标将被认定为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1.6    为本项目提供过整体设计、规范编制或者项目管理、监理、检测等服务的供应商，不得再参加本项目上述服务以外的其他采购活动。否则其投标将被认定为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1.7</w:t>
      </w:r>
      <w:r>
        <w:rPr>
          <w:rFonts w:hint="eastAsia" w:ascii="楷体" w:hAnsi="楷体" w:eastAsia="楷体" w:cs="楷体"/>
          <w:sz w:val="24"/>
        </w:rPr>
        <w:tab/>
      </w:r>
      <w:r>
        <w:rPr>
          <w:rFonts w:hint="eastAsia" w:ascii="楷体" w:hAnsi="楷体" w:eastAsia="楷体" w:cs="楷体"/>
          <w:sz w:val="24"/>
        </w:rPr>
        <w:t>投标人在投标过程中不得向采购人提供、给予任何有价值的物品，影响其正常决策行为。一经发现，其将被认定为</w:t>
      </w:r>
      <w:r>
        <w:rPr>
          <w:rFonts w:hint="eastAsia" w:ascii="楷体" w:hAnsi="楷体" w:eastAsia="楷体" w:cs="楷体"/>
          <w:b/>
          <w:bCs/>
          <w:sz w:val="24"/>
        </w:rPr>
        <w:t>投标无效</w:t>
      </w:r>
      <w:r>
        <w:rPr>
          <w:rFonts w:hint="eastAsia" w:ascii="楷体" w:hAnsi="楷体" w:eastAsia="楷体" w:cs="楷体"/>
          <w:sz w:val="24"/>
        </w:rPr>
        <w:t>。</w:t>
      </w:r>
    </w:p>
    <w:p>
      <w:pPr>
        <w:pStyle w:val="7"/>
        <w:spacing w:before="0" w:after="0" w:line="240" w:lineRule="atLeast"/>
        <w:rPr>
          <w:rFonts w:ascii="楷体" w:hAnsi="楷体" w:eastAsia="楷体" w:cs="楷体"/>
          <w:u w:val="none"/>
        </w:rPr>
      </w:pPr>
      <w:bookmarkStart w:id="16" w:name="_Toc515647759"/>
      <w:bookmarkStart w:id="17" w:name="_Toc26410"/>
      <w:bookmarkStart w:id="18" w:name="_Toc5286"/>
      <w:bookmarkStart w:id="19" w:name="_Toc12139"/>
      <w:r>
        <w:rPr>
          <w:rFonts w:hint="eastAsia" w:ascii="楷体" w:hAnsi="楷体" w:eastAsia="楷体" w:cs="楷体"/>
          <w:u w:val="none"/>
        </w:rPr>
        <w:t>2.资金来源</w:t>
      </w:r>
      <w:bookmarkEnd w:id="16"/>
      <w:bookmarkEnd w:id="17"/>
      <w:bookmarkEnd w:id="18"/>
      <w:bookmarkEnd w:id="19"/>
    </w:p>
    <w:p>
      <w:pPr>
        <w:spacing w:line="240" w:lineRule="atLeast"/>
        <w:ind w:left="910" w:hanging="907" w:hangingChars="375"/>
        <w:rPr>
          <w:rFonts w:ascii="楷体" w:hAnsi="楷体" w:eastAsia="楷体" w:cs="楷体"/>
          <w:sz w:val="24"/>
        </w:rPr>
      </w:pPr>
      <w:r>
        <w:rPr>
          <w:rFonts w:hint="eastAsia" w:ascii="楷体" w:hAnsi="楷体" w:eastAsia="楷体" w:cs="楷体"/>
          <w:sz w:val="24"/>
        </w:rPr>
        <w:t>2.1</w:t>
      </w:r>
      <w:r>
        <w:rPr>
          <w:rFonts w:hint="eastAsia" w:ascii="楷体" w:hAnsi="楷体" w:eastAsia="楷体" w:cs="楷体"/>
          <w:sz w:val="24"/>
        </w:rPr>
        <w:tab/>
      </w:r>
      <w:r>
        <w:rPr>
          <w:rFonts w:hint="eastAsia" w:ascii="楷体" w:hAnsi="楷体" w:eastAsia="楷体" w:cs="楷体"/>
          <w:sz w:val="24"/>
        </w:rPr>
        <w:t>本项目的采购人已获得足以支付本次招标后所签订的合同项下的资金（包括财政性资金和本项目采购中无法与财政性资金分割的非财政性资金）。</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2.2    项目预算金额和分项或分包最高限价</w:t>
      </w:r>
      <w:r>
        <w:rPr>
          <w:rFonts w:hint="eastAsia" w:ascii="楷体" w:hAnsi="楷体" w:eastAsia="楷体" w:cs="楷体"/>
          <w:sz w:val="24"/>
          <w:u w:val="single"/>
        </w:rPr>
        <w:t>见投标人须知资料表</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2.3    投标人报价超过招标文件规定的预算金额或者分项、分包最高限价的，其投标将被认定为</w:t>
      </w:r>
      <w:r>
        <w:rPr>
          <w:rFonts w:hint="eastAsia" w:ascii="楷体" w:hAnsi="楷体" w:eastAsia="楷体" w:cs="楷体"/>
          <w:b/>
          <w:bCs/>
          <w:sz w:val="24"/>
        </w:rPr>
        <w:t>投标无效</w:t>
      </w:r>
      <w:r>
        <w:rPr>
          <w:rFonts w:hint="eastAsia" w:ascii="楷体" w:hAnsi="楷体" w:eastAsia="楷体" w:cs="楷体"/>
          <w:sz w:val="24"/>
        </w:rPr>
        <w:t>。</w:t>
      </w:r>
    </w:p>
    <w:p>
      <w:pPr>
        <w:pStyle w:val="7"/>
        <w:spacing w:before="0" w:after="0" w:line="240" w:lineRule="atLeast"/>
        <w:rPr>
          <w:rFonts w:ascii="楷体" w:hAnsi="楷体" w:eastAsia="楷体" w:cs="楷体"/>
          <w:u w:val="none"/>
        </w:rPr>
      </w:pPr>
      <w:bookmarkStart w:id="20" w:name="_Toc515647760"/>
      <w:bookmarkStart w:id="21" w:name="_Toc15936"/>
      <w:bookmarkStart w:id="22" w:name="_Toc520356145"/>
      <w:bookmarkStart w:id="23" w:name="_Toc28342"/>
      <w:bookmarkStart w:id="24" w:name="_Toc20526"/>
      <w:r>
        <w:rPr>
          <w:rFonts w:hint="eastAsia" w:ascii="楷体" w:hAnsi="楷体" w:eastAsia="楷体" w:cs="楷体"/>
          <w:u w:val="none"/>
        </w:rPr>
        <w:t>3.投标费用</w:t>
      </w:r>
      <w:bookmarkEnd w:id="20"/>
      <w:bookmarkEnd w:id="21"/>
      <w:bookmarkEnd w:id="22"/>
      <w:bookmarkEnd w:id="23"/>
      <w:bookmarkEnd w:id="24"/>
    </w:p>
    <w:p>
      <w:pPr>
        <w:spacing w:line="240" w:lineRule="atLeast"/>
        <w:ind w:left="910" w:hanging="907" w:hangingChars="375"/>
        <w:rPr>
          <w:rFonts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不论投标的结果如何，投标人应承担所有与准备和参加投标有关的费用。</w:t>
      </w:r>
    </w:p>
    <w:p>
      <w:pPr>
        <w:pStyle w:val="7"/>
        <w:spacing w:before="0" w:after="0" w:line="240" w:lineRule="atLeast"/>
        <w:rPr>
          <w:rFonts w:ascii="楷体" w:hAnsi="楷体" w:eastAsia="楷体" w:cs="楷体"/>
          <w:u w:val="none"/>
        </w:rPr>
      </w:pPr>
      <w:bookmarkStart w:id="25" w:name="_Toc515647761"/>
      <w:bookmarkStart w:id="26" w:name="_Toc4463"/>
      <w:bookmarkStart w:id="27" w:name="_Toc6116"/>
      <w:bookmarkStart w:id="28" w:name="_Toc18461"/>
      <w:r>
        <w:rPr>
          <w:rFonts w:hint="eastAsia" w:ascii="楷体" w:hAnsi="楷体" w:eastAsia="楷体" w:cs="楷体"/>
          <w:u w:val="none"/>
        </w:rPr>
        <w:t>4.适用法律</w:t>
      </w:r>
      <w:bookmarkEnd w:id="25"/>
      <w:bookmarkEnd w:id="26"/>
      <w:bookmarkEnd w:id="27"/>
      <w:bookmarkEnd w:id="28"/>
    </w:p>
    <w:p>
      <w:pPr>
        <w:spacing w:line="240" w:lineRule="atLeast"/>
        <w:ind w:left="910" w:hanging="907" w:hangingChars="375"/>
        <w:rPr>
          <w:rFonts w:ascii="楷体" w:hAnsi="楷体" w:eastAsia="楷体" w:cs="楷体"/>
          <w:sz w:val="24"/>
        </w:rPr>
      </w:pPr>
      <w:r>
        <w:rPr>
          <w:rFonts w:hint="eastAsia" w:ascii="楷体" w:hAnsi="楷体" w:eastAsia="楷体" w:cs="楷体"/>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ascii="楷体" w:hAnsi="楷体" w:eastAsia="楷体" w:cs="楷体"/>
          <w:sz w:val="24"/>
        </w:rPr>
      </w:pPr>
    </w:p>
    <w:p>
      <w:pPr>
        <w:pStyle w:val="5"/>
        <w:spacing w:before="0" w:line="240" w:lineRule="atLeast"/>
        <w:ind w:left="1084" w:leftChars="257" w:hanging="540"/>
        <w:rPr>
          <w:rFonts w:ascii="楷体" w:hAnsi="楷体" w:eastAsia="楷体" w:cs="楷体"/>
          <w:sz w:val="28"/>
        </w:rPr>
      </w:pPr>
      <w:bookmarkStart w:id="29" w:name="_Toc21566"/>
      <w:bookmarkStart w:id="30" w:name="_Toc4365"/>
      <w:bookmarkStart w:id="31" w:name="_Toc3763"/>
      <w:bookmarkStart w:id="32" w:name="_Toc515647762"/>
      <w:bookmarkStart w:id="33" w:name="_Toc216582806"/>
      <w:bookmarkStart w:id="34" w:name="_Toc520356146"/>
      <w:r>
        <w:rPr>
          <w:rFonts w:hint="eastAsia" w:ascii="楷体" w:hAnsi="楷体" w:eastAsia="楷体" w:cs="楷体"/>
          <w:sz w:val="28"/>
        </w:rPr>
        <w:t>二   招标文件</w:t>
      </w:r>
      <w:bookmarkEnd w:id="29"/>
      <w:bookmarkEnd w:id="30"/>
      <w:bookmarkEnd w:id="31"/>
      <w:bookmarkEnd w:id="32"/>
      <w:bookmarkEnd w:id="33"/>
      <w:bookmarkEnd w:id="34"/>
    </w:p>
    <w:p>
      <w:pPr>
        <w:pStyle w:val="6"/>
        <w:rPr>
          <w:rFonts w:ascii="楷体" w:hAnsi="楷体" w:eastAsia="楷体" w:cs="楷体"/>
        </w:rPr>
      </w:pPr>
    </w:p>
    <w:p>
      <w:pPr>
        <w:pStyle w:val="7"/>
        <w:spacing w:before="0" w:after="0" w:line="240" w:lineRule="atLeast"/>
        <w:rPr>
          <w:rFonts w:ascii="楷体" w:hAnsi="楷体" w:eastAsia="楷体" w:cs="楷体"/>
          <w:u w:val="none"/>
        </w:rPr>
      </w:pPr>
      <w:bookmarkStart w:id="35" w:name="_Toc520356147"/>
      <w:bookmarkStart w:id="36" w:name="_Toc6589"/>
      <w:bookmarkStart w:id="37" w:name="_Toc14084"/>
      <w:bookmarkStart w:id="38" w:name="_Toc515647763"/>
      <w:bookmarkStart w:id="39" w:name="_Toc25743"/>
      <w:r>
        <w:rPr>
          <w:rFonts w:hint="eastAsia" w:ascii="楷体" w:hAnsi="楷体" w:eastAsia="楷体" w:cs="楷体"/>
          <w:u w:val="none"/>
        </w:rPr>
        <w:t>5.招标文件构成</w:t>
      </w:r>
      <w:bookmarkEnd w:id="35"/>
      <w:bookmarkEnd w:id="36"/>
      <w:bookmarkEnd w:id="37"/>
      <w:bookmarkEnd w:id="38"/>
      <w:bookmarkEnd w:id="39"/>
    </w:p>
    <w:p>
      <w:pPr>
        <w:spacing w:line="240" w:lineRule="atLeast"/>
        <w:ind w:left="910" w:hanging="907" w:hangingChars="375"/>
        <w:rPr>
          <w:rFonts w:ascii="楷体" w:hAnsi="楷体" w:eastAsia="楷体" w:cs="楷体"/>
          <w:sz w:val="24"/>
        </w:rPr>
      </w:pPr>
      <w:r>
        <w:rPr>
          <w:rFonts w:hint="eastAsia" w:ascii="楷体" w:hAnsi="楷体" w:eastAsia="楷体" w:cs="楷体"/>
          <w:sz w:val="24"/>
        </w:rPr>
        <w:t>5.1</w:t>
      </w:r>
      <w:r>
        <w:rPr>
          <w:rFonts w:hint="eastAsia" w:ascii="楷体" w:hAnsi="楷体" w:eastAsia="楷体" w:cs="楷体"/>
          <w:sz w:val="24"/>
        </w:rPr>
        <w:tab/>
      </w:r>
      <w:r>
        <w:rPr>
          <w:rFonts w:hint="eastAsia" w:ascii="楷体" w:hAnsi="楷体" w:eastAsia="楷体" w:cs="楷体"/>
          <w:sz w:val="24"/>
        </w:rPr>
        <w:t>招标文件分为三册共7章，内容如下：</w:t>
      </w:r>
    </w:p>
    <w:p>
      <w:pPr>
        <w:spacing w:line="240" w:lineRule="atLeast"/>
        <w:ind w:left="1088" w:leftChars="428" w:hanging="181" w:hangingChars="75"/>
        <w:rPr>
          <w:rFonts w:ascii="楷体" w:hAnsi="楷体" w:eastAsia="楷体" w:cs="楷体"/>
          <w:sz w:val="24"/>
        </w:rPr>
      </w:pPr>
      <w:r>
        <w:rPr>
          <w:rFonts w:hint="eastAsia" w:ascii="楷体" w:hAnsi="楷体" w:eastAsia="楷体" w:cs="楷体"/>
          <w:sz w:val="24"/>
        </w:rPr>
        <w:t>第一册</w:t>
      </w:r>
    </w:p>
    <w:p>
      <w:pPr>
        <w:numPr>
          <w:ilvl w:val="0"/>
          <w:numId w:val="5"/>
        </w:numPr>
        <w:tabs>
          <w:tab w:val="left" w:pos="0"/>
        </w:tabs>
        <w:spacing w:line="240" w:lineRule="atLeast"/>
        <w:ind w:hanging="829"/>
        <w:rPr>
          <w:rFonts w:ascii="楷体" w:hAnsi="楷体" w:eastAsia="楷体" w:cs="楷体"/>
          <w:sz w:val="24"/>
        </w:rPr>
      </w:pPr>
      <w:r>
        <w:rPr>
          <w:rFonts w:hint="eastAsia" w:ascii="楷体" w:hAnsi="楷体" w:eastAsia="楷体" w:cs="楷体"/>
          <w:sz w:val="24"/>
        </w:rPr>
        <w:t xml:space="preserve"> 投标人须知</w:t>
      </w:r>
    </w:p>
    <w:p>
      <w:pPr>
        <w:numPr>
          <w:ilvl w:val="0"/>
          <w:numId w:val="5"/>
        </w:numPr>
        <w:spacing w:line="240" w:lineRule="atLeast"/>
        <w:ind w:left="1089" w:leftChars="429" w:hanging="180"/>
        <w:rPr>
          <w:rFonts w:ascii="楷体" w:hAnsi="楷体" w:eastAsia="楷体" w:cs="楷体"/>
          <w:sz w:val="24"/>
        </w:rPr>
      </w:pPr>
      <w:r>
        <w:rPr>
          <w:rFonts w:hint="eastAsia" w:ascii="楷体" w:hAnsi="楷体" w:eastAsia="楷体" w:cs="楷体"/>
          <w:sz w:val="24"/>
        </w:rPr>
        <w:t xml:space="preserve"> 投标文件格式</w:t>
      </w:r>
    </w:p>
    <w:p>
      <w:pPr>
        <w:spacing w:line="240" w:lineRule="atLeast"/>
        <w:ind w:left="1089" w:leftChars="429" w:hanging="180"/>
        <w:rPr>
          <w:rFonts w:ascii="楷体" w:hAnsi="楷体" w:eastAsia="楷体" w:cs="楷体"/>
          <w:sz w:val="24"/>
        </w:rPr>
      </w:pPr>
      <w:r>
        <w:rPr>
          <w:rFonts w:hint="eastAsia" w:ascii="楷体" w:hAnsi="楷体" w:eastAsia="楷体" w:cs="楷体"/>
          <w:sz w:val="24"/>
        </w:rPr>
        <w:t>第二册</w:t>
      </w:r>
    </w:p>
    <w:p>
      <w:pPr>
        <w:numPr>
          <w:ilvl w:val="0"/>
          <w:numId w:val="5"/>
        </w:numPr>
        <w:spacing w:line="240" w:lineRule="atLeast"/>
        <w:ind w:left="1089" w:leftChars="429" w:hanging="180"/>
        <w:rPr>
          <w:rFonts w:ascii="楷体" w:hAnsi="楷体" w:eastAsia="楷体" w:cs="楷体"/>
          <w:sz w:val="24"/>
        </w:rPr>
      </w:pPr>
      <w:r>
        <w:rPr>
          <w:rFonts w:hint="eastAsia" w:ascii="楷体" w:hAnsi="楷体" w:eastAsia="楷体" w:cs="楷体"/>
          <w:sz w:val="24"/>
        </w:rPr>
        <w:t xml:space="preserve"> 投标邀请</w:t>
      </w:r>
    </w:p>
    <w:p>
      <w:pPr>
        <w:numPr>
          <w:ilvl w:val="0"/>
          <w:numId w:val="5"/>
        </w:numPr>
        <w:spacing w:line="240" w:lineRule="atLeast"/>
        <w:ind w:left="1089" w:leftChars="429" w:hanging="180"/>
        <w:rPr>
          <w:rFonts w:ascii="楷体" w:hAnsi="楷体" w:eastAsia="楷体" w:cs="楷体"/>
          <w:sz w:val="24"/>
        </w:rPr>
      </w:pPr>
      <w:r>
        <w:rPr>
          <w:rFonts w:hint="eastAsia" w:ascii="楷体" w:hAnsi="楷体" w:eastAsia="楷体" w:cs="楷体"/>
          <w:sz w:val="24"/>
        </w:rPr>
        <w:t xml:space="preserve"> 投标人须知资料表</w:t>
      </w:r>
    </w:p>
    <w:p>
      <w:pPr>
        <w:numPr>
          <w:ilvl w:val="0"/>
          <w:numId w:val="5"/>
        </w:numPr>
        <w:spacing w:line="240" w:lineRule="atLeast"/>
        <w:ind w:left="1089" w:leftChars="429" w:hanging="180"/>
        <w:rPr>
          <w:rFonts w:ascii="楷体" w:hAnsi="楷体" w:eastAsia="楷体" w:cs="楷体"/>
          <w:sz w:val="24"/>
        </w:rPr>
      </w:pPr>
      <w:r>
        <w:rPr>
          <w:rFonts w:hint="eastAsia" w:ascii="楷体" w:hAnsi="楷体" w:eastAsia="楷体" w:cs="楷体"/>
          <w:sz w:val="24"/>
        </w:rPr>
        <w:t xml:space="preserve"> 货物需求一览表及技术规格</w:t>
      </w:r>
    </w:p>
    <w:p>
      <w:pPr>
        <w:numPr>
          <w:ilvl w:val="0"/>
          <w:numId w:val="5"/>
        </w:numPr>
        <w:spacing w:line="240" w:lineRule="atLeast"/>
        <w:ind w:left="1089" w:leftChars="429" w:hanging="180"/>
        <w:rPr>
          <w:rFonts w:ascii="楷体" w:hAnsi="楷体" w:eastAsia="楷体" w:cs="楷体"/>
          <w:sz w:val="24"/>
        </w:rPr>
      </w:pPr>
      <w:r>
        <w:rPr>
          <w:rFonts w:hint="eastAsia" w:ascii="楷体" w:hAnsi="楷体" w:eastAsia="楷体" w:cs="楷体"/>
          <w:sz w:val="24"/>
        </w:rPr>
        <w:t xml:space="preserve"> 评标方法和标准</w:t>
      </w:r>
    </w:p>
    <w:p>
      <w:pPr>
        <w:spacing w:line="240" w:lineRule="atLeast"/>
        <w:ind w:left="901"/>
        <w:rPr>
          <w:rFonts w:ascii="楷体" w:hAnsi="楷体" w:eastAsia="楷体" w:cs="楷体"/>
          <w:sz w:val="24"/>
        </w:rPr>
      </w:pPr>
      <w:r>
        <w:rPr>
          <w:rFonts w:hint="eastAsia" w:ascii="楷体" w:hAnsi="楷体" w:eastAsia="楷体" w:cs="楷体"/>
          <w:sz w:val="24"/>
        </w:rPr>
        <w:t>第三册</w:t>
      </w:r>
    </w:p>
    <w:p>
      <w:pPr>
        <w:numPr>
          <w:ilvl w:val="0"/>
          <w:numId w:val="5"/>
        </w:numPr>
        <w:spacing w:line="240" w:lineRule="atLeast"/>
        <w:ind w:left="725" w:leftChars="342" w:firstLine="242" w:firstLineChars="100"/>
        <w:rPr>
          <w:rFonts w:ascii="楷体" w:hAnsi="楷体" w:eastAsia="楷体" w:cs="楷体"/>
          <w:sz w:val="24"/>
        </w:rPr>
      </w:pPr>
      <w:r>
        <w:rPr>
          <w:rFonts w:hint="eastAsia" w:ascii="楷体" w:hAnsi="楷体" w:eastAsia="楷体" w:cs="楷体"/>
          <w:sz w:val="24"/>
        </w:rPr>
        <w:t>政府采购合同格式</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5.2</w:t>
      </w:r>
      <w:r>
        <w:rPr>
          <w:rFonts w:hint="eastAsia" w:ascii="楷体" w:hAnsi="楷体" w:eastAsia="楷体" w:cs="楷体"/>
          <w:sz w:val="24"/>
        </w:rPr>
        <w:tab/>
      </w:r>
      <w:r>
        <w:rPr>
          <w:rFonts w:hint="eastAsia" w:ascii="楷体" w:hAnsi="楷体" w:eastAsia="楷体" w:cs="楷体"/>
          <w:sz w:val="24"/>
        </w:rPr>
        <w:t>如本文件的前后内容不一致，以最后描述为准。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楷体" w:hAnsi="楷体" w:eastAsia="楷体" w:cs="楷体"/>
          <w:b/>
          <w:bCs/>
          <w:sz w:val="24"/>
        </w:rPr>
        <w:t>投标无效</w:t>
      </w:r>
      <w:r>
        <w:rPr>
          <w:rFonts w:hint="eastAsia" w:ascii="楷体" w:hAnsi="楷体" w:eastAsia="楷体" w:cs="楷体"/>
          <w:sz w:val="24"/>
        </w:rPr>
        <w:t>。</w:t>
      </w:r>
    </w:p>
    <w:p>
      <w:pPr>
        <w:pStyle w:val="7"/>
        <w:spacing w:before="0" w:after="0" w:line="240" w:lineRule="atLeast"/>
        <w:rPr>
          <w:rFonts w:ascii="楷体" w:hAnsi="楷体" w:eastAsia="楷体" w:cs="楷体"/>
          <w:u w:val="none"/>
        </w:rPr>
      </w:pPr>
      <w:bookmarkStart w:id="40" w:name="_Toc515904805"/>
      <w:bookmarkStart w:id="41" w:name="_Toc520356148"/>
      <w:bookmarkStart w:id="42" w:name="_Toc26044"/>
      <w:bookmarkStart w:id="43" w:name="_Toc5805"/>
      <w:bookmarkStart w:id="44" w:name="_Toc9232"/>
      <w:r>
        <w:rPr>
          <w:rFonts w:hint="eastAsia" w:ascii="楷体" w:hAnsi="楷体" w:eastAsia="楷体" w:cs="楷体"/>
          <w:u w:val="none"/>
        </w:rPr>
        <w:t>6.招标文件的澄清</w:t>
      </w:r>
      <w:bookmarkEnd w:id="40"/>
      <w:bookmarkEnd w:id="41"/>
      <w:r>
        <w:rPr>
          <w:rFonts w:hint="eastAsia" w:ascii="楷体" w:hAnsi="楷体" w:eastAsia="楷体" w:cs="楷体"/>
          <w:u w:val="none"/>
        </w:rPr>
        <w:t>与修改</w:t>
      </w:r>
      <w:bookmarkEnd w:id="42"/>
      <w:bookmarkEnd w:id="43"/>
      <w:bookmarkEnd w:id="44"/>
    </w:p>
    <w:p>
      <w:pPr>
        <w:pStyle w:val="6"/>
        <w:ind w:left="850" w:hanging="847" w:hangingChars="350"/>
        <w:rPr>
          <w:rFonts w:ascii="楷体" w:hAnsi="楷体" w:eastAsia="楷体" w:cs="楷体"/>
          <w:szCs w:val="24"/>
        </w:rPr>
      </w:pPr>
      <w:r>
        <w:rPr>
          <w:rFonts w:hint="eastAsia" w:ascii="楷体" w:hAnsi="楷体" w:eastAsia="楷体" w:cs="楷体"/>
          <w:szCs w:val="24"/>
        </w:rPr>
        <w:t>6.1    为了保证对招标文件的澄清和修改满足法律的时限要求，任何要求对招标文件进行澄清的投标人，均应在投标截止期十五日前，以书面形式将澄清要求通知采购人或采购代理机构。</w:t>
      </w:r>
    </w:p>
    <w:p>
      <w:pPr>
        <w:pStyle w:val="6"/>
        <w:ind w:left="850" w:hanging="847" w:hangingChars="350"/>
        <w:rPr>
          <w:rFonts w:ascii="楷体" w:hAnsi="楷体" w:eastAsia="楷体" w:cs="楷体"/>
          <w:szCs w:val="24"/>
        </w:rPr>
      </w:pPr>
      <w:bookmarkStart w:id="45" w:name="_Toc515904806"/>
      <w:bookmarkStart w:id="46" w:name="_Ref467378678"/>
      <w:bookmarkStart w:id="47" w:name="_Toc520356149"/>
      <w:r>
        <w:rPr>
          <w:rFonts w:hint="eastAsia" w:ascii="楷体" w:hAnsi="楷体" w:eastAsia="楷体" w:cs="楷体"/>
          <w:szCs w:val="24"/>
        </w:rPr>
        <w:t>6.2</w:t>
      </w:r>
      <w:r>
        <w:rPr>
          <w:rFonts w:hint="eastAsia" w:ascii="楷体" w:hAnsi="楷体" w:eastAsia="楷体" w:cs="楷体"/>
          <w:szCs w:val="24"/>
        </w:rPr>
        <w:tab/>
      </w:r>
      <w:r>
        <w:rPr>
          <w:rFonts w:hint="eastAsia" w:ascii="楷体" w:hAnsi="楷体" w:eastAsia="楷体" w:cs="楷体"/>
          <w:szCs w:val="24"/>
        </w:rPr>
        <w:t>采购人可主动地或在解答投标人提出的澄清问题时对招标文件进行澄清或修改。采购代理机构将以发布澄清（更正）公告的方式，澄清或修改招标文件，澄清或修改内容作为招标文件的组成部分。</w:t>
      </w:r>
    </w:p>
    <w:p>
      <w:pPr>
        <w:pStyle w:val="6"/>
        <w:ind w:left="850" w:hanging="847" w:hangingChars="350"/>
        <w:rPr>
          <w:rFonts w:ascii="楷体" w:hAnsi="楷体" w:eastAsia="楷体" w:cs="楷体"/>
          <w:szCs w:val="24"/>
        </w:rPr>
      </w:pPr>
      <w:r>
        <w:rPr>
          <w:rFonts w:hint="eastAsia" w:ascii="楷体" w:hAnsi="楷体" w:eastAsia="楷体" w:cs="楷体"/>
          <w:szCs w:val="24"/>
        </w:rPr>
        <w:t>6.3</w:t>
      </w:r>
      <w:r>
        <w:rPr>
          <w:rFonts w:hint="eastAsia" w:ascii="楷体" w:hAnsi="楷体" w:eastAsia="楷体" w:cs="楷体"/>
          <w:szCs w:val="24"/>
        </w:rPr>
        <w:tab/>
      </w:r>
      <w:r>
        <w:rPr>
          <w:rFonts w:hint="eastAsia" w:ascii="楷体" w:hAnsi="楷体" w:eastAsia="楷体" w:cs="楷体"/>
          <w:szCs w:val="24"/>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7"/>
        <w:tabs>
          <w:tab w:val="left" w:pos="900"/>
        </w:tabs>
        <w:spacing w:before="0" w:after="0" w:line="240" w:lineRule="atLeast"/>
        <w:rPr>
          <w:rFonts w:ascii="楷体" w:hAnsi="楷体" w:eastAsia="楷体" w:cs="楷体"/>
          <w:u w:val="none"/>
        </w:rPr>
      </w:pPr>
      <w:bookmarkStart w:id="48" w:name="_Toc25635"/>
      <w:bookmarkStart w:id="49" w:name="_Toc14569"/>
      <w:bookmarkStart w:id="50" w:name="_Toc22119"/>
      <w:r>
        <w:rPr>
          <w:rFonts w:hint="eastAsia" w:ascii="楷体" w:hAnsi="楷体" w:eastAsia="楷体" w:cs="楷体"/>
          <w:u w:val="none"/>
        </w:rPr>
        <w:t>7</w:t>
      </w:r>
      <w:bookmarkEnd w:id="45"/>
      <w:bookmarkEnd w:id="46"/>
      <w:bookmarkEnd w:id="47"/>
      <w:r>
        <w:rPr>
          <w:rFonts w:hint="eastAsia" w:ascii="楷体" w:hAnsi="楷体" w:eastAsia="楷体" w:cs="楷体"/>
          <w:u w:val="none"/>
        </w:rPr>
        <w:t>.投标截止时间的顺延</w:t>
      </w:r>
      <w:bookmarkEnd w:id="48"/>
      <w:bookmarkEnd w:id="49"/>
      <w:bookmarkEnd w:id="50"/>
    </w:p>
    <w:p>
      <w:pPr>
        <w:spacing w:line="240" w:lineRule="atLeast"/>
        <w:ind w:left="910" w:hanging="907" w:hangingChars="375"/>
        <w:rPr>
          <w:rFonts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为使投标人准备投标时有足够的时间对招标文件的澄清或者修改部分进行研究，采购人将依法决定是否顺延投标截止时间。</w:t>
      </w:r>
    </w:p>
    <w:p>
      <w:pPr>
        <w:spacing w:line="240" w:lineRule="atLeast"/>
        <w:ind w:left="910" w:hanging="907" w:hangingChars="375"/>
        <w:rPr>
          <w:rFonts w:ascii="楷体" w:hAnsi="楷体" w:eastAsia="楷体" w:cs="楷体"/>
          <w:sz w:val="24"/>
        </w:rPr>
      </w:pPr>
    </w:p>
    <w:p>
      <w:pPr>
        <w:pStyle w:val="5"/>
        <w:tabs>
          <w:tab w:val="left" w:pos="900"/>
        </w:tabs>
        <w:spacing w:before="0" w:line="240" w:lineRule="atLeast"/>
        <w:ind w:left="1084" w:leftChars="257" w:hanging="540"/>
        <w:rPr>
          <w:rFonts w:ascii="楷体" w:hAnsi="楷体" w:eastAsia="楷体" w:cs="楷体"/>
          <w:sz w:val="28"/>
        </w:rPr>
      </w:pPr>
      <w:bookmarkStart w:id="51" w:name="_Toc516367020"/>
      <w:bookmarkStart w:id="52" w:name="_Toc216582807"/>
      <w:bookmarkStart w:id="53" w:name="_Toc7636"/>
      <w:bookmarkStart w:id="54" w:name="_Toc30808"/>
      <w:bookmarkStart w:id="55" w:name="_Toc520356150"/>
      <w:bookmarkStart w:id="56" w:name="_Toc393"/>
      <w:bookmarkStart w:id="57" w:name="_Toc515647766"/>
      <w:r>
        <w:rPr>
          <w:rFonts w:hint="eastAsia" w:ascii="楷体" w:hAnsi="楷体" w:eastAsia="楷体" w:cs="楷体"/>
          <w:sz w:val="28"/>
        </w:rPr>
        <w:t>三   投标文件</w:t>
      </w:r>
      <w:bookmarkEnd w:id="51"/>
      <w:r>
        <w:rPr>
          <w:rFonts w:hint="eastAsia" w:ascii="楷体" w:hAnsi="楷体" w:eastAsia="楷体" w:cs="楷体"/>
          <w:sz w:val="28"/>
        </w:rPr>
        <w:t>的编制</w:t>
      </w:r>
      <w:bookmarkEnd w:id="52"/>
      <w:bookmarkEnd w:id="53"/>
      <w:bookmarkEnd w:id="54"/>
      <w:bookmarkEnd w:id="55"/>
      <w:bookmarkEnd w:id="56"/>
      <w:bookmarkEnd w:id="57"/>
    </w:p>
    <w:p>
      <w:pPr>
        <w:pStyle w:val="6"/>
        <w:rPr>
          <w:rFonts w:ascii="楷体" w:hAnsi="楷体" w:eastAsia="楷体" w:cs="楷体"/>
        </w:rPr>
      </w:pPr>
    </w:p>
    <w:p>
      <w:pPr>
        <w:pStyle w:val="7"/>
        <w:tabs>
          <w:tab w:val="left" w:pos="900"/>
        </w:tabs>
        <w:spacing w:before="0" w:after="0" w:line="240" w:lineRule="atLeast"/>
        <w:rPr>
          <w:rFonts w:ascii="楷体" w:hAnsi="楷体" w:eastAsia="楷体" w:cs="楷体"/>
          <w:u w:val="none"/>
        </w:rPr>
      </w:pPr>
      <w:bookmarkStart w:id="58" w:name="_Toc515647767"/>
      <w:bookmarkStart w:id="59" w:name="_Toc3553"/>
      <w:bookmarkStart w:id="60" w:name="_Toc22371"/>
      <w:bookmarkStart w:id="61" w:name="_Toc520356151"/>
      <w:bookmarkStart w:id="62" w:name="_Toc7786"/>
      <w:bookmarkStart w:id="63" w:name="_Toc516367021"/>
      <w:r>
        <w:rPr>
          <w:rFonts w:hint="eastAsia" w:ascii="楷体" w:hAnsi="楷体" w:eastAsia="楷体" w:cs="楷体"/>
          <w:u w:val="none"/>
        </w:rPr>
        <w:t>8.</w:t>
      </w:r>
      <w:r>
        <w:rPr>
          <w:rFonts w:hint="eastAsia" w:ascii="楷体" w:hAnsi="楷体" w:eastAsia="楷体" w:cs="楷体"/>
          <w:u w:val="none"/>
        </w:rPr>
        <w:tab/>
      </w:r>
      <w:r>
        <w:rPr>
          <w:rFonts w:hint="eastAsia" w:ascii="楷体" w:hAnsi="楷体" w:eastAsia="楷体" w:cs="楷体"/>
          <w:u w:val="none"/>
        </w:rPr>
        <w:t>投标范围及投标文件中标准和计量单位的使用</w:t>
      </w:r>
      <w:bookmarkEnd w:id="58"/>
      <w:bookmarkEnd w:id="59"/>
      <w:bookmarkEnd w:id="60"/>
      <w:bookmarkEnd w:id="61"/>
      <w:bookmarkEnd w:id="62"/>
      <w:bookmarkEnd w:id="63"/>
    </w:p>
    <w:p>
      <w:pPr>
        <w:spacing w:line="240" w:lineRule="atLeast"/>
        <w:ind w:left="910" w:hanging="907" w:hangingChars="375"/>
        <w:rPr>
          <w:rFonts w:ascii="楷体" w:hAnsi="楷体" w:eastAsia="楷体" w:cs="楷体"/>
          <w:sz w:val="24"/>
        </w:rPr>
      </w:pPr>
      <w:r>
        <w:rPr>
          <w:rFonts w:hint="eastAsia" w:ascii="楷体" w:hAnsi="楷体" w:eastAsia="楷体" w:cs="楷体"/>
          <w:sz w:val="24"/>
        </w:rPr>
        <w:t>8.1</w:t>
      </w:r>
      <w:r>
        <w:rPr>
          <w:rFonts w:hint="eastAsia" w:ascii="楷体" w:hAnsi="楷体" w:eastAsia="楷体" w:cs="楷体"/>
          <w:sz w:val="24"/>
        </w:rPr>
        <w:tab/>
      </w:r>
      <w:r>
        <w:rPr>
          <w:rFonts w:hint="eastAsia" w:ascii="楷体" w:hAnsi="楷体" w:eastAsia="楷体" w:cs="楷体"/>
          <w:sz w:val="24"/>
        </w:rPr>
        <w:t>项目有分包的，投标人可对招标文件其中某一个或几个分包货物进行投标，除非在</w:t>
      </w:r>
      <w:r>
        <w:rPr>
          <w:rFonts w:hint="eastAsia" w:ascii="楷体" w:hAnsi="楷体" w:eastAsia="楷体" w:cs="楷体"/>
          <w:sz w:val="24"/>
          <w:u w:val="single"/>
        </w:rPr>
        <w:t>投标人须知资料表</w:t>
      </w:r>
      <w:r>
        <w:rPr>
          <w:rFonts w:hint="eastAsia" w:ascii="楷体" w:hAnsi="楷体" w:eastAsia="楷体" w:cs="楷体"/>
          <w:sz w:val="24"/>
        </w:rPr>
        <w:t>中另有规定。</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8.2     投标人应当对所投分包招标文件中“服务需求”所列的所有内容进行投标，如仅响应某一包中的部分内容，其该包投标将被认定为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8.3     无论招标文件第5章货物需求一览表及技术规格中是否要求，投标人所投货物均应符合国家强制性标准。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8.4     除招标文件中有特殊要求外，投标文件中所使用的计量单位，应采用中华人民共和国法定计量单位。</w:t>
      </w:r>
    </w:p>
    <w:p>
      <w:pPr>
        <w:pStyle w:val="7"/>
        <w:tabs>
          <w:tab w:val="left" w:pos="900"/>
        </w:tabs>
        <w:spacing w:before="0" w:after="0" w:line="240" w:lineRule="atLeast"/>
        <w:rPr>
          <w:rFonts w:ascii="楷体" w:hAnsi="楷体" w:eastAsia="楷体" w:cs="楷体"/>
          <w:u w:val="none"/>
        </w:rPr>
      </w:pPr>
      <w:bookmarkStart w:id="64" w:name="_Ref467306195"/>
      <w:bookmarkStart w:id="65" w:name="_Ref467306676"/>
      <w:bookmarkStart w:id="66" w:name="_Toc516367022"/>
      <w:bookmarkStart w:id="67" w:name="_Toc28307"/>
      <w:bookmarkStart w:id="68" w:name="_Toc520356152"/>
      <w:bookmarkStart w:id="69" w:name="_Toc10364"/>
      <w:bookmarkStart w:id="70" w:name="_Toc19844"/>
      <w:bookmarkStart w:id="71" w:name="_Toc515647768"/>
      <w:r>
        <w:rPr>
          <w:rFonts w:hint="eastAsia" w:ascii="楷体" w:hAnsi="楷体" w:eastAsia="楷体" w:cs="楷体"/>
          <w:u w:val="none"/>
        </w:rPr>
        <w:t>9.投标文件</w:t>
      </w:r>
      <w:bookmarkEnd w:id="64"/>
      <w:bookmarkEnd w:id="65"/>
      <w:bookmarkEnd w:id="66"/>
      <w:r>
        <w:rPr>
          <w:rFonts w:hint="eastAsia" w:ascii="楷体" w:hAnsi="楷体" w:eastAsia="楷体" w:cs="楷体"/>
          <w:u w:val="none"/>
        </w:rPr>
        <w:t>构成</w:t>
      </w:r>
      <w:bookmarkEnd w:id="67"/>
      <w:bookmarkEnd w:id="68"/>
      <w:bookmarkEnd w:id="69"/>
      <w:bookmarkEnd w:id="70"/>
      <w:bookmarkEnd w:id="71"/>
    </w:p>
    <w:p>
      <w:pPr>
        <w:tabs>
          <w:tab w:val="left" w:pos="900"/>
          <w:tab w:val="left" w:pos="5580"/>
        </w:tabs>
        <w:spacing w:line="240" w:lineRule="atLeast"/>
        <w:ind w:left="971" w:hanging="968" w:hangingChars="400"/>
        <w:jc w:val="left"/>
        <w:rPr>
          <w:rFonts w:ascii="楷体" w:hAnsi="楷体" w:eastAsia="楷体" w:cs="楷体"/>
          <w:b/>
          <w:bCs/>
          <w:sz w:val="24"/>
          <w:u w:val="single"/>
        </w:rPr>
      </w:pPr>
      <w:bookmarkStart w:id="72" w:name="_Ref467052588"/>
      <w:r>
        <w:rPr>
          <w:rFonts w:hint="eastAsia" w:ascii="楷体" w:hAnsi="楷体" w:eastAsia="楷体" w:cs="楷体"/>
          <w:sz w:val="24"/>
        </w:rPr>
        <w:t xml:space="preserve">9.1    </w:t>
      </w:r>
      <w:r>
        <w:rPr>
          <w:rFonts w:hint="eastAsia" w:ascii="楷体" w:hAnsi="楷体" w:eastAsia="楷体" w:cs="楷体"/>
          <w:b/>
          <w:bCs/>
          <w:sz w:val="24"/>
          <w:u w:val="single"/>
        </w:rPr>
        <w:t>投标人应完整地按招标文件提供的投标文件格式及要求遍写投标文件，投标文件应包括“开标一览表及资格证明文件”和“商务及技术文件”两部分。两部分合订成册。</w:t>
      </w:r>
    </w:p>
    <w:p>
      <w:pPr>
        <w:tabs>
          <w:tab w:val="left" w:pos="900"/>
          <w:tab w:val="left" w:pos="5580"/>
        </w:tabs>
        <w:spacing w:line="240" w:lineRule="atLeast"/>
        <w:ind w:left="971" w:hanging="968" w:hangingChars="400"/>
        <w:jc w:val="left"/>
        <w:rPr>
          <w:rFonts w:ascii="楷体" w:hAnsi="楷体" w:eastAsia="楷体" w:cs="楷体"/>
          <w:sz w:val="24"/>
        </w:rPr>
      </w:pPr>
      <w:r>
        <w:rPr>
          <w:rFonts w:hint="eastAsia" w:ascii="楷体" w:hAnsi="楷体" w:eastAsia="楷体" w:cs="楷体"/>
          <w:sz w:val="24"/>
        </w:rPr>
        <w:t>9.2    上述文件应按照招标文件规定的格式填写、签署和盖章。</w:t>
      </w:r>
    </w:p>
    <w:bookmarkEnd w:id="72"/>
    <w:p>
      <w:pPr>
        <w:pStyle w:val="7"/>
        <w:tabs>
          <w:tab w:val="left" w:pos="900"/>
        </w:tabs>
        <w:spacing w:before="0" w:after="0" w:line="240" w:lineRule="atLeast"/>
        <w:rPr>
          <w:rFonts w:ascii="楷体" w:hAnsi="楷体" w:eastAsia="楷体" w:cs="楷体"/>
          <w:u w:val="none"/>
        </w:rPr>
      </w:pPr>
      <w:bookmarkStart w:id="73" w:name="_Toc19399"/>
      <w:bookmarkStart w:id="74" w:name="_Toc515647769"/>
      <w:bookmarkStart w:id="75" w:name="_Toc4601"/>
      <w:bookmarkStart w:id="76" w:name="_Toc520356153"/>
      <w:bookmarkStart w:id="77" w:name="_Toc516367023"/>
      <w:bookmarkStart w:id="78" w:name="_Toc10379"/>
      <w:r>
        <w:rPr>
          <w:rFonts w:hint="eastAsia" w:ascii="楷体" w:hAnsi="楷体" w:eastAsia="楷体" w:cs="楷体"/>
          <w:u w:val="none"/>
        </w:rPr>
        <w:t>10.</w:t>
      </w:r>
      <w:r>
        <w:rPr>
          <w:rFonts w:hint="eastAsia" w:ascii="楷体" w:hAnsi="楷体" w:eastAsia="楷体" w:cs="楷体"/>
          <w:u w:val="none"/>
        </w:rPr>
        <w:tab/>
      </w:r>
      <w:r>
        <w:rPr>
          <w:rFonts w:hint="eastAsia" w:ascii="楷体" w:hAnsi="楷体" w:eastAsia="楷体" w:cs="楷体"/>
          <w:u w:val="none"/>
        </w:rPr>
        <w:t>证明投标标的的合格性和符合招标文件规定的技术文件</w:t>
      </w:r>
      <w:bookmarkEnd w:id="73"/>
      <w:bookmarkEnd w:id="74"/>
      <w:bookmarkEnd w:id="75"/>
      <w:bookmarkEnd w:id="76"/>
      <w:bookmarkEnd w:id="77"/>
      <w:bookmarkEnd w:id="78"/>
    </w:p>
    <w:p>
      <w:pPr>
        <w:spacing w:line="240" w:lineRule="atLeast"/>
        <w:ind w:left="910" w:hanging="907" w:hangingChars="375"/>
        <w:rPr>
          <w:rFonts w:ascii="楷体" w:hAnsi="楷体" w:eastAsia="楷体" w:cs="楷体"/>
          <w:sz w:val="24"/>
        </w:rPr>
      </w:pPr>
      <w:r>
        <w:rPr>
          <w:rFonts w:hint="eastAsia" w:ascii="楷体" w:hAnsi="楷体" w:eastAsia="楷体" w:cs="楷体"/>
          <w:sz w:val="24"/>
        </w:rPr>
        <w:t>10.1</w:t>
      </w:r>
      <w:r>
        <w:rPr>
          <w:rFonts w:hint="eastAsia" w:ascii="楷体" w:hAnsi="楷体" w:eastAsia="楷体" w:cs="楷体"/>
          <w:sz w:val="24"/>
        </w:rPr>
        <w:tab/>
      </w:r>
      <w:r>
        <w:rPr>
          <w:rFonts w:hint="eastAsia" w:ascii="楷体" w:hAnsi="楷体" w:eastAsia="楷体" w:cs="楷体"/>
          <w:sz w:val="24"/>
        </w:rPr>
        <w:t>投标人应提交证明文件，证明其投标内容符合招标文件规定。该证明文件是投标文件的一部分。</w:t>
      </w:r>
    </w:p>
    <w:p>
      <w:pPr>
        <w:spacing w:line="240" w:lineRule="atLeast"/>
        <w:ind w:left="910" w:hanging="907" w:hangingChars="375"/>
        <w:rPr>
          <w:rFonts w:ascii="楷体" w:hAnsi="楷体" w:eastAsia="楷体" w:cs="楷体"/>
          <w:sz w:val="24"/>
        </w:rPr>
      </w:pPr>
      <w:bookmarkStart w:id="79" w:name="_Ref467306244"/>
      <w:r>
        <w:rPr>
          <w:rFonts w:hint="eastAsia" w:ascii="楷体" w:hAnsi="楷体" w:eastAsia="楷体" w:cs="楷体"/>
          <w:sz w:val="24"/>
        </w:rPr>
        <w:t>10.2</w:t>
      </w:r>
      <w:r>
        <w:rPr>
          <w:rFonts w:hint="eastAsia" w:ascii="楷体" w:hAnsi="楷体" w:eastAsia="楷体" w:cs="楷体"/>
          <w:sz w:val="24"/>
        </w:rPr>
        <w:tab/>
      </w:r>
      <w:r>
        <w:rPr>
          <w:rFonts w:hint="eastAsia" w:ascii="楷体" w:hAnsi="楷体" w:eastAsia="楷体" w:cs="楷体"/>
          <w:sz w:val="24"/>
        </w:rPr>
        <w:t>上款所述的证明文件，可以是文字资料、图纸和数据，</w:t>
      </w:r>
      <w:bookmarkEnd w:id="79"/>
      <w:r>
        <w:rPr>
          <w:rFonts w:hint="eastAsia" w:ascii="楷体" w:hAnsi="楷体" w:eastAsia="楷体" w:cs="楷体"/>
          <w:sz w:val="24"/>
        </w:rPr>
        <w:t>它包括：</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10.2.1</w:t>
      </w:r>
      <w:r>
        <w:rPr>
          <w:rFonts w:hint="eastAsia" w:ascii="楷体" w:hAnsi="楷体" w:eastAsia="楷体" w:cs="楷体"/>
          <w:sz w:val="24"/>
        </w:rPr>
        <w:tab/>
      </w:r>
      <w:r>
        <w:rPr>
          <w:rFonts w:hint="eastAsia" w:ascii="楷体" w:hAnsi="楷体" w:eastAsia="楷体" w:cs="楷体"/>
          <w:sz w:val="24"/>
        </w:rPr>
        <w:t>货物主要技术指标和性能的详细说明；</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10.2.2</w:t>
      </w:r>
      <w:r>
        <w:rPr>
          <w:rFonts w:hint="eastAsia" w:ascii="楷体" w:hAnsi="楷体" w:eastAsia="楷体" w:cs="楷体"/>
          <w:sz w:val="24"/>
        </w:rPr>
        <w:tab/>
      </w:r>
      <w:r>
        <w:rPr>
          <w:rFonts w:hint="eastAsia" w:ascii="楷体" w:hAnsi="楷体" w:eastAsia="楷体" w:cs="楷体"/>
          <w:sz w:val="24"/>
        </w:rPr>
        <w:t>货物从买方开始使用至招标文件规定的保质期内正常、连续地使用所必须的备件和专用工具清单，包括备件和专用工具的货源及现行价格；</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10.2.3</w:t>
      </w:r>
      <w:r>
        <w:rPr>
          <w:rFonts w:hint="eastAsia" w:ascii="楷体" w:hAnsi="楷体" w:eastAsia="楷体" w:cs="楷体"/>
          <w:sz w:val="24"/>
        </w:rPr>
        <w:tab/>
      </w:r>
      <w:r>
        <w:rPr>
          <w:rFonts w:hint="eastAsia" w:ascii="楷体" w:hAnsi="楷体" w:eastAsia="楷体" w:cs="楷体"/>
          <w:sz w:val="24"/>
        </w:rPr>
        <w:t>对照招标文件技术规格，逐条说明所提供货物及伴随的工程和服务已对招标文件的技术规格做出了实质性的响应，或申明与技术规格条文的偏差和例外。</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10.3</w:t>
      </w:r>
      <w:r>
        <w:rPr>
          <w:rFonts w:hint="eastAsia" w:ascii="楷体" w:hAnsi="楷体" w:eastAsia="楷体" w:cs="楷体"/>
          <w:sz w:val="24"/>
        </w:rPr>
        <w:tab/>
      </w:r>
      <w:r>
        <w:rPr>
          <w:rFonts w:hint="eastAsia" w:ascii="楷体" w:hAnsi="楷体" w:eastAsia="楷体" w:cs="楷体"/>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spacing w:line="240" w:lineRule="atLeast"/>
        <w:ind w:left="910" w:hanging="907" w:hangingChars="375"/>
        <w:rPr>
          <w:rFonts w:ascii="楷体" w:hAnsi="楷体" w:eastAsia="楷体" w:cs="楷体"/>
          <w:sz w:val="24"/>
        </w:rPr>
      </w:pPr>
    </w:p>
    <w:p>
      <w:pPr>
        <w:pStyle w:val="7"/>
        <w:spacing w:before="0" w:after="0" w:line="240" w:lineRule="atLeast"/>
        <w:rPr>
          <w:rFonts w:ascii="楷体" w:hAnsi="楷体" w:eastAsia="楷体" w:cs="楷体"/>
          <w:u w:val="none"/>
        </w:rPr>
      </w:pPr>
      <w:bookmarkStart w:id="80" w:name="_Toc520356155"/>
      <w:bookmarkStart w:id="81" w:name="_Toc6140"/>
      <w:bookmarkStart w:id="82" w:name="_Toc2248"/>
      <w:bookmarkStart w:id="83" w:name="_Toc23231"/>
      <w:bookmarkStart w:id="84" w:name="_Toc515647770"/>
      <w:r>
        <w:rPr>
          <w:rFonts w:hint="eastAsia" w:ascii="楷体" w:hAnsi="楷体" w:eastAsia="楷体" w:cs="楷体"/>
          <w:u w:val="none"/>
        </w:rPr>
        <w:t>11.投标报价</w:t>
      </w:r>
      <w:bookmarkEnd w:id="80"/>
      <w:bookmarkEnd w:id="81"/>
      <w:bookmarkEnd w:id="82"/>
      <w:bookmarkEnd w:id="83"/>
      <w:bookmarkEnd w:id="84"/>
    </w:p>
    <w:p>
      <w:pPr>
        <w:spacing w:line="240" w:lineRule="atLeast"/>
        <w:ind w:left="910" w:hanging="907" w:hangingChars="375"/>
        <w:rPr>
          <w:rFonts w:ascii="楷体" w:hAnsi="楷体" w:eastAsia="楷体" w:cs="楷体"/>
          <w:sz w:val="24"/>
        </w:rPr>
      </w:pPr>
      <w:r>
        <w:rPr>
          <w:rFonts w:hint="eastAsia" w:ascii="楷体" w:hAnsi="楷体" w:eastAsia="楷体" w:cs="楷体"/>
          <w:sz w:val="24"/>
        </w:rPr>
        <w:t>11.1</w:t>
      </w:r>
      <w:r>
        <w:rPr>
          <w:rFonts w:hint="eastAsia" w:ascii="楷体" w:hAnsi="楷体" w:eastAsia="楷体" w:cs="楷体"/>
          <w:sz w:val="24"/>
        </w:rPr>
        <w:tab/>
      </w:r>
      <w:r>
        <w:rPr>
          <w:rFonts w:hint="eastAsia" w:ascii="楷体" w:hAnsi="楷体" w:eastAsia="楷体" w:cs="楷体"/>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11.2</w:t>
      </w:r>
      <w:r>
        <w:rPr>
          <w:rFonts w:hint="eastAsia" w:ascii="楷体" w:hAnsi="楷体" w:eastAsia="楷体" w:cs="楷体"/>
          <w:sz w:val="24"/>
        </w:rPr>
        <w:tab/>
      </w:r>
      <w:r>
        <w:rPr>
          <w:rFonts w:hint="eastAsia" w:ascii="楷体" w:hAnsi="楷体" w:eastAsia="楷体" w:cs="楷体"/>
          <w:sz w:val="24"/>
        </w:rPr>
        <w:t>投标人应在投标分项报价表上标明投标货物及相关服务的单价（如适用）和总价，并由法定代表人或其授权代表签署。</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11.3</w:t>
      </w:r>
      <w:r>
        <w:rPr>
          <w:rFonts w:hint="eastAsia" w:ascii="楷体" w:hAnsi="楷体" w:eastAsia="楷体" w:cs="楷体"/>
          <w:sz w:val="24"/>
        </w:rPr>
        <w:tab/>
      </w:r>
      <w:r>
        <w:rPr>
          <w:rFonts w:hint="eastAsia" w:ascii="楷体" w:hAnsi="楷体" w:eastAsia="楷体" w:cs="楷体"/>
          <w:sz w:val="24"/>
        </w:rPr>
        <w:t>投标分项报价表上的价格应按下列方式填写：</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11.3.2  货物运至最终目的地的运输费和保险费用。</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11.4</w:t>
      </w:r>
      <w:r>
        <w:rPr>
          <w:rFonts w:hint="eastAsia" w:ascii="楷体" w:hAnsi="楷体" w:eastAsia="楷体" w:cs="楷体"/>
          <w:sz w:val="24"/>
        </w:rPr>
        <w:tab/>
      </w:r>
      <w:r>
        <w:rPr>
          <w:rFonts w:hint="eastAsia" w:ascii="楷体" w:hAnsi="楷体" w:eastAsia="楷体" w:cs="楷体"/>
          <w:sz w:val="24"/>
        </w:rPr>
        <w:t>投标人所报的各分项投标单价在合同履行过程中是固定不变的，不得以任何理由予以变更。任何包含价格调整要求的投标，其投标将被认定为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11.5</w:t>
      </w:r>
      <w:r>
        <w:rPr>
          <w:rFonts w:hint="eastAsia" w:ascii="楷体" w:hAnsi="楷体" w:eastAsia="楷体" w:cs="楷体"/>
          <w:sz w:val="24"/>
        </w:rPr>
        <w:tab/>
      </w:r>
      <w:r>
        <w:rPr>
          <w:rFonts w:hint="eastAsia" w:ascii="楷体" w:hAnsi="楷体" w:eastAsia="楷体" w:cs="楷体"/>
          <w:sz w:val="24"/>
        </w:rPr>
        <w:t>每种货物只能有一个投标报价。采购人不接受具有附加条件的报价。</w:t>
      </w:r>
    </w:p>
    <w:p>
      <w:pPr>
        <w:pStyle w:val="7"/>
        <w:spacing w:before="0" w:after="0" w:line="240" w:lineRule="atLeast"/>
        <w:rPr>
          <w:rFonts w:ascii="楷体" w:hAnsi="楷体" w:eastAsia="楷体" w:cs="楷体"/>
          <w:u w:val="none"/>
        </w:rPr>
      </w:pPr>
      <w:bookmarkStart w:id="85" w:name="_Toc520356156"/>
      <w:bookmarkStart w:id="86" w:name="_Toc25488"/>
      <w:bookmarkStart w:id="87" w:name="_Ref467306513"/>
      <w:bookmarkStart w:id="88" w:name="_Toc515647771"/>
      <w:bookmarkStart w:id="89" w:name="_Toc17788"/>
      <w:bookmarkStart w:id="90" w:name="_Toc11514"/>
      <w:r>
        <w:rPr>
          <w:rFonts w:hint="eastAsia" w:ascii="楷体" w:hAnsi="楷体" w:eastAsia="楷体" w:cs="楷体"/>
          <w:u w:val="none"/>
        </w:rPr>
        <w:t>12.投标保证金</w:t>
      </w:r>
      <w:bookmarkEnd w:id="85"/>
      <w:bookmarkEnd w:id="86"/>
      <w:bookmarkEnd w:id="87"/>
      <w:bookmarkEnd w:id="88"/>
      <w:bookmarkEnd w:id="89"/>
      <w:bookmarkEnd w:id="90"/>
    </w:p>
    <w:p>
      <w:pPr>
        <w:spacing w:line="240" w:lineRule="atLeast"/>
        <w:ind w:left="910" w:hanging="907" w:hangingChars="375"/>
        <w:rPr>
          <w:rFonts w:ascii="楷体" w:hAnsi="楷体" w:eastAsia="楷体" w:cs="楷体"/>
          <w:sz w:val="24"/>
        </w:rPr>
      </w:pPr>
      <w:bookmarkStart w:id="91" w:name="_Ref467306302"/>
      <w:r>
        <w:rPr>
          <w:rFonts w:hint="eastAsia" w:ascii="楷体" w:hAnsi="楷体" w:eastAsia="楷体" w:cs="楷体"/>
          <w:sz w:val="24"/>
        </w:rPr>
        <w:t>12.1</w:t>
      </w:r>
      <w:r>
        <w:rPr>
          <w:rFonts w:hint="eastAsia" w:ascii="楷体" w:hAnsi="楷体" w:eastAsia="楷体" w:cs="楷体"/>
          <w:sz w:val="24"/>
        </w:rPr>
        <w:tab/>
      </w:r>
      <w:r>
        <w:rPr>
          <w:rFonts w:hint="eastAsia" w:ascii="楷体" w:hAnsi="楷体" w:eastAsia="楷体" w:cs="楷体"/>
          <w:sz w:val="24"/>
        </w:rPr>
        <w:t>投标人应提交</w:t>
      </w:r>
      <w:r>
        <w:rPr>
          <w:rFonts w:hint="eastAsia" w:ascii="楷体" w:hAnsi="楷体" w:eastAsia="楷体" w:cs="楷体"/>
          <w:sz w:val="24"/>
          <w:u w:val="single"/>
        </w:rPr>
        <w:t>投标人须知资料表</w:t>
      </w:r>
      <w:r>
        <w:rPr>
          <w:rFonts w:hint="eastAsia" w:ascii="楷体" w:hAnsi="楷体" w:eastAsia="楷体" w:cs="楷体"/>
          <w:sz w:val="24"/>
        </w:rPr>
        <w:t>中规定的投标保证金</w:t>
      </w:r>
      <w:bookmarkEnd w:id="91"/>
      <w:r>
        <w:rPr>
          <w:rFonts w:hint="eastAsia" w:ascii="楷体" w:hAnsi="楷体" w:eastAsia="楷体" w:cs="楷体"/>
          <w:sz w:val="24"/>
        </w:rPr>
        <w:t>，并作为其投标的一部分。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12.2</w:t>
      </w:r>
      <w:r>
        <w:rPr>
          <w:rFonts w:hint="eastAsia" w:ascii="楷体" w:hAnsi="楷体" w:eastAsia="楷体" w:cs="楷体"/>
          <w:sz w:val="24"/>
        </w:rPr>
        <w:tab/>
      </w:r>
      <w:r>
        <w:rPr>
          <w:rFonts w:hint="eastAsia" w:ascii="楷体" w:hAnsi="楷体" w:eastAsia="楷体" w:cs="楷体"/>
          <w:sz w:val="24"/>
        </w:rPr>
        <w:t>投标人存在下列情形的，投标保证金不予退还：</w:t>
      </w:r>
    </w:p>
    <w:p>
      <w:pPr>
        <w:pStyle w:val="13"/>
        <w:tabs>
          <w:tab w:val="left" w:pos="2240"/>
        </w:tabs>
        <w:spacing w:line="240" w:lineRule="atLeast"/>
        <w:ind w:left="1088" w:leftChars="371" w:hanging="302" w:hangingChars="125"/>
        <w:rPr>
          <w:rFonts w:ascii="楷体" w:hAnsi="楷体" w:eastAsia="楷体" w:cs="楷体"/>
          <w:sz w:val="24"/>
        </w:rPr>
      </w:pPr>
      <w:r>
        <w:rPr>
          <w:rFonts w:hint="eastAsia" w:ascii="楷体" w:hAnsi="楷体" w:eastAsia="楷体" w:cs="楷体"/>
          <w:sz w:val="24"/>
        </w:rPr>
        <w:t>（1）在投标有效期内，撤销投标的；</w:t>
      </w:r>
    </w:p>
    <w:p>
      <w:pPr>
        <w:pStyle w:val="13"/>
        <w:tabs>
          <w:tab w:val="left" w:pos="2240"/>
        </w:tabs>
        <w:spacing w:line="240" w:lineRule="atLeast"/>
        <w:ind w:left="1088" w:leftChars="371" w:hanging="302" w:hangingChars="125"/>
        <w:rPr>
          <w:rFonts w:ascii="楷体" w:hAnsi="楷体" w:eastAsia="楷体" w:cs="楷体"/>
          <w:sz w:val="24"/>
        </w:rPr>
      </w:pPr>
      <w:r>
        <w:rPr>
          <w:rFonts w:hint="eastAsia" w:ascii="楷体" w:hAnsi="楷体" w:eastAsia="楷体" w:cs="楷体"/>
          <w:sz w:val="24"/>
        </w:rPr>
        <w:t>（2）中标后不按本须知第30条的规定与采购人签订合同的；</w:t>
      </w:r>
    </w:p>
    <w:p>
      <w:pPr>
        <w:pStyle w:val="13"/>
        <w:tabs>
          <w:tab w:val="left" w:pos="2240"/>
        </w:tabs>
        <w:spacing w:line="240" w:lineRule="atLeast"/>
        <w:ind w:left="1088" w:leftChars="371" w:hanging="302" w:hangingChars="125"/>
        <w:rPr>
          <w:rFonts w:ascii="楷体" w:hAnsi="楷体" w:eastAsia="楷体" w:cs="楷体"/>
          <w:sz w:val="24"/>
        </w:rPr>
      </w:pPr>
      <w:r>
        <w:rPr>
          <w:rFonts w:hint="eastAsia" w:ascii="楷体" w:hAnsi="楷体" w:eastAsia="楷体" w:cs="楷体"/>
          <w:sz w:val="24"/>
        </w:rPr>
        <w:t>（3）中标后不按本须知第31条的规定提交履约保证金的；</w:t>
      </w:r>
    </w:p>
    <w:p>
      <w:pPr>
        <w:pStyle w:val="13"/>
        <w:tabs>
          <w:tab w:val="left" w:pos="2240"/>
        </w:tabs>
        <w:spacing w:line="240" w:lineRule="atLeast"/>
        <w:ind w:left="1088" w:leftChars="371" w:hanging="302" w:hangingChars="125"/>
        <w:rPr>
          <w:rFonts w:ascii="楷体" w:hAnsi="楷体" w:eastAsia="楷体" w:cs="楷体"/>
          <w:sz w:val="24"/>
        </w:rPr>
      </w:pPr>
      <w:r>
        <w:rPr>
          <w:rFonts w:hint="eastAsia" w:ascii="楷体" w:hAnsi="楷体" w:eastAsia="楷体" w:cs="楷体"/>
          <w:sz w:val="24"/>
        </w:rPr>
        <w:t>（4）中标后不按本须知第32条的规定缴纳中标服务费的；</w:t>
      </w:r>
    </w:p>
    <w:p>
      <w:pPr>
        <w:pStyle w:val="13"/>
        <w:tabs>
          <w:tab w:val="left" w:pos="2240"/>
        </w:tabs>
        <w:spacing w:line="240" w:lineRule="atLeast"/>
        <w:ind w:left="1088" w:leftChars="371" w:hanging="302" w:hangingChars="125"/>
        <w:rPr>
          <w:rFonts w:ascii="楷体" w:hAnsi="楷体" w:eastAsia="楷体" w:cs="楷体"/>
          <w:sz w:val="24"/>
        </w:rPr>
      </w:pPr>
      <w:r>
        <w:rPr>
          <w:rFonts w:hint="eastAsia" w:ascii="楷体" w:hAnsi="楷体" w:eastAsia="楷体" w:cs="楷体"/>
          <w:sz w:val="24"/>
        </w:rPr>
        <w:t>（5）存在其他违法违规行为的。</w:t>
      </w:r>
    </w:p>
    <w:p>
      <w:pPr>
        <w:spacing w:line="240" w:lineRule="atLeast"/>
        <w:ind w:left="910" w:hanging="907" w:hangingChars="375"/>
        <w:rPr>
          <w:rFonts w:ascii="楷体" w:hAnsi="楷体" w:eastAsia="楷体" w:cs="楷体"/>
          <w:sz w:val="24"/>
        </w:rPr>
      </w:pPr>
      <w:bookmarkStart w:id="92" w:name="_Ref467306336"/>
      <w:r>
        <w:rPr>
          <w:rFonts w:hint="eastAsia" w:ascii="楷体" w:hAnsi="楷体" w:eastAsia="楷体" w:cs="楷体"/>
          <w:sz w:val="24"/>
        </w:rPr>
        <w:t>12.3</w:t>
      </w:r>
      <w:r>
        <w:rPr>
          <w:rFonts w:hint="eastAsia" w:ascii="楷体" w:hAnsi="楷体" w:eastAsia="楷体" w:cs="楷体"/>
          <w:sz w:val="24"/>
        </w:rPr>
        <w:tab/>
      </w:r>
      <w:bookmarkEnd w:id="92"/>
      <w:r>
        <w:rPr>
          <w:rFonts w:hint="eastAsia" w:ascii="楷体" w:hAnsi="楷体" w:eastAsia="楷体" w:cs="楷体"/>
          <w:sz w:val="24"/>
        </w:rPr>
        <w:t>政府采购信用担保试点范围内的项目，接受符合财政部门规定的政府采购投标担保函原件。</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12.4</w:t>
      </w:r>
      <w:r>
        <w:rPr>
          <w:rFonts w:hint="eastAsia" w:ascii="楷体" w:hAnsi="楷体" w:eastAsia="楷体" w:cs="楷体"/>
          <w:sz w:val="24"/>
        </w:rPr>
        <w:tab/>
      </w:r>
      <w:r>
        <w:rPr>
          <w:rFonts w:hint="eastAsia" w:ascii="楷体" w:hAnsi="楷体" w:eastAsia="楷体" w:cs="楷体"/>
          <w:sz w:val="24"/>
        </w:rPr>
        <w:t>投标人未按本须知第12.1和12.3条规定提交投标保证金的，其投标将被认定为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rPr>
          <w:rFonts w:ascii="楷体" w:hAnsi="楷体" w:eastAsia="楷体" w:cs="楷体"/>
          <w:sz w:val="24"/>
        </w:rPr>
      </w:pPr>
      <w:r>
        <w:rPr>
          <w:rFonts w:hint="eastAsia" w:ascii="楷体" w:hAnsi="楷体" w:eastAsia="楷体" w:cs="楷体"/>
          <w:sz w:val="24"/>
        </w:rPr>
        <w:t>12.4.1  采用电汇形式的，一般可以实时入账。</w:t>
      </w:r>
    </w:p>
    <w:p>
      <w:pPr>
        <w:spacing w:line="240" w:lineRule="atLeast"/>
        <w:ind w:left="971" w:hanging="968" w:hangingChars="400"/>
        <w:jc w:val="left"/>
        <w:rPr>
          <w:rFonts w:ascii="楷体" w:hAnsi="楷体" w:eastAsia="楷体" w:cs="楷体"/>
          <w:sz w:val="24"/>
        </w:rPr>
      </w:pPr>
      <w:r>
        <w:rPr>
          <w:rFonts w:hint="eastAsia" w:ascii="楷体" w:hAnsi="楷体" w:eastAsia="楷体" w:cs="楷体"/>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12.5   联合体投标的，可以由联合体中的一方或者共同提交投标保证金。以一方名义提交投标保证金的，对联合体各方均具有约束力。</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12.6</w:t>
      </w:r>
      <w:r>
        <w:rPr>
          <w:rFonts w:hint="eastAsia" w:ascii="楷体" w:hAnsi="楷体" w:eastAsia="楷体" w:cs="楷体"/>
          <w:sz w:val="24"/>
        </w:rPr>
        <w:tab/>
      </w:r>
      <w:r>
        <w:rPr>
          <w:rFonts w:hint="eastAsia" w:ascii="楷体" w:hAnsi="楷体" w:eastAsia="楷体" w:cs="楷体"/>
          <w:sz w:val="24"/>
        </w:rPr>
        <w:t>投标保证金的退还</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12.6.1  中标人应在与采购人签订合同之日起5个工作日内，及时联系保证金收受机构办理投标保证金无息退还手续。</w:t>
      </w:r>
    </w:p>
    <w:p>
      <w:pPr>
        <w:spacing w:line="240" w:lineRule="atLeast"/>
        <w:ind w:left="971" w:hanging="968" w:hangingChars="400"/>
        <w:rPr>
          <w:rFonts w:ascii="楷体" w:hAnsi="楷体" w:eastAsia="楷体" w:cs="楷体"/>
          <w:sz w:val="24"/>
        </w:rPr>
      </w:pPr>
      <w:r>
        <w:rPr>
          <w:rFonts w:hint="eastAsia" w:ascii="楷体" w:hAnsi="楷体" w:eastAsia="楷体" w:cs="楷体"/>
          <w:sz w:val="24"/>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ascii="楷体" w:hAnsi="楷体" w:eastAsia="楷体" w:cs="楷体"/>
          <w:sz w:val="24"/>
        </w:rPr>
      </w:pPr>
      <w:r>
        <w:rPr>
          <w:rFonts w:hint="eastAsia" w:ascii="楷体" w:hAnsi="楷体" w:eastAsia="楷体" w:cs="楷体"/>
          <w:sz w:val="24"/>
        </w:rPr>
        <w:t>12.6.3  政府采购投标担保函不予退回。</w:t>
      </w:r>
    </w:p>
    <w:p>
      <w:pPr>
        <w:spacing w:line="240" w:lineRule="atLeast"/>
        <w:ind w:left="971" w:hanging="968" w:hangingChars="400"/>
        <w:rPr>
          <w:rFonts w:ascii="楷体" w:hAnsi="楷体" w:eastAsia="楷体" w:cs="楷体"/>
          <w:sz w:val="24"/>
        </w:rPr>
      </w:pPr>
      <w:r>
        <w:rPr>
          <w:rFonts w:hint="eastAsia" w:ascii="楷体" w:hAnsi="楷体" w:eastAsia="楷体" w:cs="楷体"/>
          <w:sz w:val="24"/>
        </w:rPr>
        <w:t>12.7    因投标人自身原因导致无法及时退还的，采购人或采购代理机构将不承担相应责任。</w:t>
      </w:r>
    </w:p>
    <w:p>
      <w:pPr>
        <w:pStyle w:val="7"/>
        <w:spacing w:before="0" w:after="0" w:line="240" w:lineRule="atLeast"/>
        <w:rPr>
          <w:rFonts w:ascii="楷体" w:hAnsi="楷体" w:eastAsia="楷体" w:cs="楷体"/>
          <w:u w:val="none"/>
        </w:rPr>
      </w:pPr>
      <w:bookmarkStart w:id="93" w:name="_Toc23590"/>
      <w:bookmarkStart w:id="94" w:name="_Toc520356157"/>
      <w:bookmarkStart w:id="95" w:name="_Toc8366"/>
      <w:bookmarkStart w:id="96" w:name="_Toc515647772"/>
      <w:bookmarkStart w:id="97" w:name="_Toc32569"/>
      <w:r>
        <w:rPr>
          <w:rFonts w:hint="eastAsia" w:ascii="楷体" w:hAnsi="楷体" w:eastAsia="楷体" w:cs="楷体"/>
          <w:u w:val="none"/>
        </w:rPr>
        <w:t>13.投标有效期</w:t>
      </w:r>
      <w:bookmarkEnd w:id="93"/>
      <w:bookmarkEnd w:id="94"/>
      <w:bookmarkEnd w:id="95"/>
      <w:bookmarkEnd w:id="96"/>
      <w:bookmarkEnd w:id="97"/>
    </w:p>
    <w:p>
      <w:pPr>
        <w:spacing w:line="240" w:lineRule="atLeast"/>
        <w:ind w:left="910" w:hanging="907" w:hangingChars="375"/>
        <w:rPr>
          <w:rFonts w:ascii="楷体" w:hAnsi="楷体" w:eastAsia="楷体" w:cs="楷体"/>
          <w:sz w:val="24"/>
        </w:rPr>
      </w:pPr>
      <w:r>
        <w:rPr>
          <w:rFonts w:hint="eastAsia" w:ascii="楷体" w:hAnsi="楷体" w:eastAsia="楷体" w:cs="楷体"/>
          <w:sz w:val="24"/>
        </w:rPr>
        <w:t>13.1</w:t>
      </w:r>
      <w:r>
        <w:rPr>
          <w:rFonts w:hint="eastAsia" w:ascii="楷体" w:hAnsi="楷体" w:eastAsia="楷体" w:cs="楷体"/>
          <w:sz w:val="24"/>
        </w:rPr>
        <w:tab/>
      </w:r>
      <w:r>
        <w:rPr>
          <w:rFonts w:hint="eastAsia" w:ascii="楷体" w:hAnsi="楷体" w:eastAsia="楷体" w:cs="楷体"/>
          <w:sz w:val="24"/>
        </w:rPr>
        <w:t>投标应在</w:t>
      </w:r>
      <w:r>
        <w:rPr>
          <w:rFonts w:hint="eastAsia" w:ascii="楷体" w:hAnsi="楷体" w:eastAsia="楷体" w:cs="楷体"/>
          <w:sz w:val="24"/>
          <w:u w:val="single"/>
        </w:rPr>
        <w:t>投标人须知资料表</w:t>
      </w:r>
      <w:r>
        <w:rPr>
          <w:rFonts w:hint="eastAsia" w:ascii="楷体" w:hAnsi="楷体" w:eastAsia="楷体" w:cs="楷体"/>
          <w:sz w:val="24"/>
        </w:rPr>
        <w:t>中规定时间内保持有效。投标有效期不满足要求的投标，其投标将被认定为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13.2</w:t>
      </w:r>
      <w:r>
        <w:rPr>
          <w:rFonts w:hint="eastAsia" w:ascii="楷体" w:hAnsi="楷体" w:eastAsia="楷体" w:cs="楷体"/>
          <w:sz w:val="24"/>
        </w:rPr>
        <w:tab/>
      </w:r>
      <w:r>
        <w:rPr>
          <w:rFonts w:hint="eastAsia" w:ascii="楷体" w:hAnsi="楷体" w:eastAsia="楷体" w:cs="楷体"/>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7"/>
        <w:spacing w:before="0" w:after="0" w:line="240" w:lineRule="atLeast"/>
        <w:rPr>
          <w:rFonts w:ascii="楷体" w:hAnsi="楷体" w:eastAsia="楷体" w:cs="楷体"/>
          <w:u w:val="none"/>
        </w:rPr>
      </w:pPr>
      <w:bookmarkStart w:id="98" w:name="_Toc520356158"/>
      <w:bookmarkStart w:id="99" w:name="_Toc515647773"/>
      <w:bookmarkStart w:id="100" w:name="_Toc14448"/>
      <w:bookmarkStart w:id="101" w:name="_Toc493"/>
      <w:bookmarkStart w:id="102" w:name="_Toc17074"/>
      <w:r>
        <w:rPr>
          <w:rFonts w:hint="eastAsia" w:ascii="楷体" w:hAnsi="楷体" w:eastAsia="楷体" w:cs="楷体"/>
          <w:u w:val="none"/>
        </w:rPr>
        <w:t>14.投标文件的签署</w:t>
      </w:r>
      <w:bookmarkEnd w:id="98"/>
      <w:r>
        <w:rPr>
          <w:rFonts w:hint="eastAsia" w:ascii="楷体" w:hAnsi="楷体" w:eastAsia="楷体" w:cs="楷体"/>
          <w:u w:val="none"/>
        </w:rPr>
        <w:t>及规定</w:t>
      </w:r>
      <w:bookmarkEnd w:id="99"/>
      <w:bookmarkEnd w:id="100"/>
      <w:bookmarkEnd w:id="101"/>
      <w:bookmarkEnd w:id="102"/>
    </w:p>
    <w:p>
      <w:pPr>
        <w:spacing w:line="240" w:lineRule="atLeast"/>
        <w:ind w:left="910" w:hanging="907" w:hangingChars="375"/>
        <w:rPr>
          <w:rFonts w:ascii="楷体" w:hAnsi="楷体" w:eastAsia="楷体" w:cs="楷体"/>
          <w:sz w:val="24"/>
        </w:rPr>
      </w:pPr>
      <w:r>
        <w:rPr>
          <w:rFonts w:hint="eastAsia" w:ascii="楷体" w:hAnsi="楷体" w:eastAsia="楷体" w:cs="楷体"/>
          <w:sz w:val="24"/>
        </w:rPr>
        <w:t>14.1</w:t>
      </w:r>
      <w:r>
        <w:rPr>
          <w:rFonts w:hint="eastAsia" w:ascii="楷体" w:hAnsi="楷体" w:eastAsia="楷体" w:cs="楷体"/>
          <w:sz w:val="24"/>
        </w:rPr>
        <w:tab/>
      </w:r>
      <w:r>
        <w:rPr>
          <w:rFonts w:hint="eastAsia" w:ascii="楷体" w:hAnsi="楷体" w:eastAsia="楷体" w:cs="楷体"/>
          <w:sz w:val="24"/>
        </w:rPr>
        <w:t>投标人应按</w:t>
      </w:r>
      <w:r>
        <w:rPr>
          <w:rFonts w:hint="eastAsia" w:ascii="楷体" w:hAnsi="楷体" w:eastAsia="楷体" w:cs="楷体"/>
          <w:sz w:val="24"/>
          <w:u w:val="single"/>
        </w:rPr>
        <w:t>投标人须知资料表</w:t>
      </w:r>
      <w:r>
        <w:rPr>
          <w:rFonts w:hint="eastAsia" w:ascii="楷体" w:hAnsi="楷体" w:eastAsia="楷体" w:cs="楷体"/>
          <w:sz w:val="24"/>
        </w:rPr>
        <w:t>中的规定，准备和递交投标文件资格证明文件、商务和技术文件正本、副本和电子文档，每份资格证明文件、商务和技术文件封皮须清楚地标明“正本”或“副本”。若正本和副本不符，以正本为准。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14.2</w:t>
      </w:r>
      <w:r>
        <w:rPr>
          <w:rFonts w:hint="eastAsia" w:ascii="楷体" w:hAnsi="楷体" w:eastAsia="楷体" w:cs="楷体"/>
          <w:sz w:val="24"/>
        </w:rPr>
        <w:tab/>
      </w:r>
      <w:r>
        <w:rPr>
          <w:rFonts w:hint="eastAsia" w:ascii="楷体" w:hAnsi="楷体" w:eastAsia="楷体" w:cs="楷体"/>
          <w:sz w:val="24"/>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投标文件正副本每页均需加盖公章。</w:t>
      </w:r>
    </w:p>
    <w:p>
      <w:pPr>
        <w:spacing w:line="440" w:lineRule="exact"/>
        <w:rPr>
          <w:rFonts w:ascii="楷体" w:hAnsi="楷体" w:eastAsia="楷体" w:cs="楷体"/>
          <w:b/>
          <w:bCs/>
          <w:sz w:val="24"/>
        </w:rPr>
      </w:pPr>
      <w:r>
        <w:rPr>
          <w:rFonts w:hint="eastAsia" w:ascii="楷体" w:hAnsi="楷体" w:eastAsia="楷体" w:cs="楷体"/>
          <w:sz w:val="24"/>
        </w:rPr>
        <w:t>14.3    所有投标文件采用不可拆装的胶订方式装订，否则其投标将被认定为</w:t>
      </w:r>
      <w:r>
        <w:rPr>
          <w:rFonts w:hint="eastAsia" w:ascii="楷体" w:hAnsi="楷体" w:eastAsia="楷体" w:cs="楷体"/>
          <w:b/>
          <w:bCs/>
          <w:sz w:val="24"/>
        </w:rPr>
        <w:t>投标无效</w:t>
      </w:r>
      <w:r>
        <w:rPr>
          <w:rFonts w:hint="eastAsia" w:ascii="楷体" w:hAnsi="楷体" w:eastAsia="楷体" w:cs="楷体"/>
          <w:sz w:val="24"/>
        </w:rPr>
        <w:t>。，</w:t>
      </w:r>
      <w:r>
        <w:rPr>
          <w:rFonts w:hint="eastAsia" w:ascii="楷体" w:hAnsi="楷体" w:eastAsia="楷体" w:cs="楷体"/>
          <w:b/>
          <w:bCs/>
          <w:sz w:val="24"/>
        </w:rPr>
        <w:t>编辑连续页码、每册装订应牢固、不易拆散和换页，不得采用活页装订。投标文件中大于A3的彩图应需要另外裱装。所有响应招标文件要求合格投标人的投标文件包括随文件同时递交的图纸、U盘等附件均不予退回。否则其投标将被认定为投标无效。投标文件必须采用双面打印，否者投标文件无效。</w:t>
      </w:r>
    </w:p>
    <w:p>
      <w:pPr>
        <w:pStyle w:val="20"/>
        <w:spacing w:line="440" w:lineRule="exact"/>
        <w:ind w:firstLine="726" w:firstLineChars="300"/>
        <w:rPr>
          <w:rFonts w:ascii="楷体" w:hAnsi="楷体" w:eastAsia="楷体" w:cs="楷体"/>
          <w:b/>
          <w:bCs/>
        </w:rPr>
      </w:pPr>
      <w:r>
        <w:rPr>
          <w:rFonts w:hint="eastAsia" w:ascii="楷体" w:hAnsi="楷体" w:eastAsia="楷体" w:cs="楷体"/>
          <w:b/>
          <w:bCs/>
          <w:sz w:val="24"/>
        </w:rPr>
        <w:t>第一部分与第二部分必须合并装订，否则投标文件将不予接受。</w:t>
      </w:r>
    </w:p>
    <w:p>
      <w:pPr>
        <w:spacing w:line="440" w:lineRule="exact"/>
        <w:rPr>
          <w:rFonts w:ascii="楷体" w:hAnsi="楷体" w:eastAsia="楷体" w:cs="楷体"/>
          <w:b/>
          <w:bCs/>
          <w:sz w:val="24"/>
        </w:rPr>
      </w:pPr>
      <w:r>
        <w:rPr>
          <w:rFonts w:hint="eastAsia" w:ascii="楷体" w:hAnsi="楷体" w:eastAsia="楷体" w:cs="楷体"/>
          <w:b/>
          <w:bCs/>
          <w:sz w:val="24"/>
        </w:rPr>
        <w:t>除上述条款外：</w:t>
      </w:r>
    </w:p>
    <w:p>
      <w:pPr>
        <w:numPr>
          <w:ilvl w:val="0"/>
          <w:numId w:val="6"/>
        </w:numPr>
        <w:spacing w:line="440" w:lineRule="exact"/>
        <w:ind w:firstLine="726" w:firstLineChars="300"/>
        <w:rPr>
          <w:rFonts w:ascii="楷体" w:hAnsi="楷体" w:eastAsia="楷体" w:cs="楷体"/>
          <w:b/>
          <w:bCs/>
          <w:sz w:val="24"/>
        </w:rPr>
      </w:pPr>
      <w:r>
        <w:rPr>
          <w:rFonts w:hint="eastAsia" w:ascii="楷体" w:hAnsi="楷体" w:eastAsia="楷体" w:cs="楷体"/>
          <w:b/>
          <w:bCs/>
          <w:sz w:val="24"/>
        </w:rPr>
        <w:t>密封递交投标文件电子文档一份（电子文档内容必须与纸质投标文件内容一致）（单独封装一份于单独封套中），如不单独封装，内容不一致等情况，投标文件将不予接受；</w:t>
      </w:r>
    </w:p>
    <w:p>
      <w:pPr>
        <w:numPr>
          <w:ilvl w:val="0"/>
          <w:numId w:val="6"/>
        </w:numPr>
        <w:spacing w:line="440" w:lineRule="exact"/>
        <w:ind w:firstLine="726" w:firstLineChars="300"/>
        <w:rPr>
          <w:rFonts w:ascii="楷体" w:hAnsi="楷体" w:eastAsia="楷体" w:cs="楷体"/>
          <w:b/>
          <w:bCs/>
          <w:sz w:val="24"/>
        </w:rPr>
      </w:pPr>
      <w:r>
        <w:rPr>
          <w:rFonts w:hint="eastAsia" w:ascii="楷体" w:hAnsi="楷体" w:eastAsia="楷体" w:cs="楷体"/>
          <w:b/>
          <w:bCs/>
          <w:sz w:val="24"/>
        </w:rPr>
        <w:t>密封递交开标一览表一份（单独封装一份于单独封套中），如不单独封装，投标文件将不予接受；</w:t>
      </w:r>
    </w:p>
    <w:p>
      <w:pPr>
        <w:numPr>
          <w:ilvl w:val="0"/>
          <w:numId w:val="6"/>
        </w:numPr>
        <w:spacing w:line="440" w:lineRule="exact"/>
        <w:ind w:firstLine="726" w:firstLineChars="300"/>
        <w:rPr>
          <w:rFonts w:ascii="楷体" w:hAnsi="楷体" w:eastAsia="楷体" w:cs="楷体"/>
          <w:b/>
          <w:bCs/>
          <w:sz w:val="24"/>
        </w:rPr>
      </w:pPr>
      <w:r>
        <w:rPr>
          <w:rFonts w:hint="eastAsia" w:ascii="楷体" w:hAnsi="楷体" w:eastAsia="楷体" w:cs="楷体"/>
          <w:b/>
          <w:bCs/>
          <w:sz w:val="24"/>
        </w:rPr>
        <w:t>投标文件正副本可装入一个封套中加贴封条，并在封套的封口处骑缝签字（此处签字为法定代表人签字，其授权委托人签字或代签均无效）并盖鲜章，否则投标文件将不予接受。</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14.4</w:t>
      </w:r>
      <w:r>
        <w:rPr>
          <w:rFonts w:hint="eastAsia" w:ascii="楷体" w:hAnsi="楷体" w:eastAsia="楷体" w:cs="楷体"/>
          <w:sz w:val="24"/>
        </w:rPr>
        <w:tab/>
      </w:r>
      <w:r>
        <w:rPr>
          <w:rFonts w:hint="eastAsia" w:ascii="楷体" w:hAnsi="楷体" w:eastAsia="楷体" w:cs="楷体"/>
          <w:sz w:val="24"/>
        </w:rPr>
        <w:t>投标文件因字迹潦草、表达不清或装订不当所引起的后果由投标人负责。</w:t>
      </w:r>
    </w:p>
    <w:p>
      <w:pPr>
        <w:spacing w:line="240" w:lineRule="atLeast"/>
        <w:ind w:left="910" w:hanging="907" w:hangingChars="375"/>
        <w:rPr>
          <w:rFonts w:ascii="楷体" w:hAnsi="楷体" w:eastAsia="楷体" w:cs="楷体"/>
          <w:sz w:val="24"/>
        </w:rPr>
      </w:pPr>
    </w:p>
    <w:p>
      <w:pPr>
        <w:pStyle w:val="5"/>
        <w:spacing w:before="0" w:line="240" w:lineRule="atLeast"/>
        <w:ind w:left="1084" w:leftChars="257" w:hanging="540"/>
        <w:rPr>
          <w:rFonts w:ascii="楷体" w:hAnsi="楷体" w:eastAsia="楷体" w:cs="楷体"/>
          <w:sz w:val="24"/>
        </w:rPr>
      </w:pPr>
      <w:bookmarkStart w:id="103" w:name="_Toc520356159"/>
      <w:bookmarkStart w:id="104" w:name="_Toc16865"/>
      <w:bookmarkStart w:id="105" w:name="_Toc216582808"/>
      <w:bookmarkStart w:id="106" w:name="_Toc515647774"/>
      <w:bookmarkStart w:id="107" w:name="_Toc14279"/>
      <w:bookmarkStart w:id="108" w:name="_Toc11179"/>
      <w:r>
        <w:rPr>
          <w:rFonts w:hint="eastAsia" w:ascii="楷体" w:hAnsi="楷体" w:eastAsia="楷体" w:cs="楷体"/>
          <w:sz w:val="24"/>
        </w:rPr>
        <w:t>四   投标文件的递交</w:t>
      </w:r>
      <w:bookmarkEnd w:id="103"/>
      <w:bookmarkEnd w:id="104"/>
      <w:bookmarkEnd w:id="105"/>
      <w:bookmarkEnd w:id="106"/>
      <w:bookmarkEnd w:id="107"/>
      <w:bookmarkEnd w:id="108"/>
    </w:p>
    <w:p>
      <w:pPr>
        <w:pStyle w:val="6"/>
        <w:rPr>
          <w:rFonts w:ascii="楷体" w:hAnsi="楷体" w:eastAsia="楷体" w:cs="楷体"/>
        </w:rPr>
      </w:pPr>
    </w:p>
    <w:p>
      <w:pPr>
        <w:pStyle w:val="7"/>
        <w:spacing w:before="0" w:after="0" w:line="240" w:lineRule="atLeast"/>
        <w:rPr>
          <w:rFonts w:ascii="楷体" w:hAnsi="楷体" w:eastAsia="楷体" w:cs="楷体"/>
          <w:u w:val="none"/>
        </w:rPr>
      </w:pPr>
      <w:bookmarkStart w:id="109" w:name="_Toc515647775"/>
      <w:bookmarkStart w:id="110" w:name="_Toc32337"/>
      <w:bookmarkStart w:id="111" w:name="_Toc2592"/>
      <w:bookmarkStart w:id="112" w:name="_Toc520356160"/>
      <w:bookmarkStart w:id="113" w:name="_Toc21645"/>
      <w:r>
        <w:rPr>
          <w:rFonts w:hint="eastAsia" w:ascii="楷体" w:hAnsi="楷体" w:eastAsia="楷体" w:cs="楷体"/>
          <w:u w:val="none"/>
        </w:rPr>
        <w:t>15.投标文件的密封和标记</w:t>
      </w:r>
      <w:bookmarkEnd w:id="109"/>
      <w:bookmarkEnd w:id="110"/>
      <w:bookmarkEnd w:id="111"/>
      <w:bookmarkEnd w:id="112"/>
      <w:bookmarkEnd w:id="113"/>
    </w:p>
    <w:p>
      <w:pPr>
        <w:spacing w:line="240" w:lineRule="atLeast"/>
        <w:ind w:left="910" w:hanging="907" w:hangingChars="375"/>
        <w:rPr>
          <w:rFonts w:ascii="楷体" w:hAnsi="楷体" w:eastAsia="楷体" w:cs="楷体"/>
          <w:sz w:val="24"/>
        </w:rPr>
      </w:pPr>
      <w:r>
        <w:rPr>
          <w:rFonts w:hint="eastAsia" w:ascii="楷体" w:hAnsi="楷体" w:eastAsia="楷体" w:cs="楷体"/>
          <w:sz w:val="24"/>
        </w:rPr>
        <w:t>15.1   为方便开标及进行资格审查，投标人应将投标文件第一部分和第二部分的内容合订成册密封提交。</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15.2   所有包装封皮和信封上均应：</w:t>
      </w:r>
    </w:p>
    <w:p>
      <w:pPr>
        <w:spacing w:line="240" w:lineRule="atLeast"/>
        <w:ind w:left="905" w:leftChars="399" w:hanging="60" w:hangingChars="25"/>
        <w:rPr>
          <w:rFonts w:ascii="楷体" w:hAnsi="楷体" w:eastAsia="楷体" w:cs="楷体"/>
          <w:sz w:val="24"/>
        </w:rPr>
      </w:pPr>
      <w:r>
        <w:rPr>
          <w:rFonts w:hint="eastAsia" w:ascii="楷体" w:hAnsi="楷体" w:eastAsia="楷体" w:cs="楷体"/>
          <w:sz w:val="24"/>
        </w:rPr>
        <w:t>（1）注明招标公告或投标邀请书中指明的项目名称、招标编号、投标人名称和“在（开标时间）之前不得启封”的字样。</w:t>
      </w:r>
    </w:p>
    <w:p>
      <w:pPr>
        <w:spacing w:line="240" w:lineRule="atLeast"/>
        <w:ind w:left="905" w:leftChars="399" w:hanging="60" w:hangingChars="25"/>
        <w:rPr>
          <w:rFonts w:ascii="楷体" w:hAnsi="楷体" w:eastAsia="楷体" w:cs="楷体"/>
          <w:sz w:val="24"/>
        </w:rPr>
      </w:pPr>
      <w:r>
        <w:rPr>
          <w:rFonts w:hint="eastAsia" w:ascii="楷体" w:hAnsi="楷体" w:eastAsia="楷体" w:cs="楷体"/>
          <w:sz w:val="24"/>
        </w:rPr>
        <w:t>（2）在封口处加盖投标人单位章，或由法定代表人（或其委托代理人）签字。</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15.3    如果投标人未按上述要求密封的，将被拒绝接收。</w:t>
      </w:r>
    </w:p>
    <w:p>
      <w:pPr>
        <w:spacing w:line="240" w:lineRule="atLeast"/>
        <w:ind w:left="910" w:hanging="907" w:hangingChars="375"/>
        <w:rPr>
          <w:rFonts w:ascii="楷体" w:hAnsi="楷体" w:eastAsia="楷体" w:cs="楷体"/>
          <w:sz w:val="24"/>
          <w:u w:val="single"/>
        </w:rPr>
      </w:pPr>
      <w:r>
        <w:rPr>
          <w:rFonts w:hint="eastAsia" w:ascii="楷体" w:hAnsi="楷体" w:eastAsia="楷体" w:cs="楷体"/>
          <w:sz w:val="24"/>
        </w:rPr>
        <w:t xml:space="preserve">15.4   </w:t>
      </w:r>
      <w:r>
        <w:rPr>
          <w:rFonts w:hint="eastAsia" w:ascii="楷体" w:hAnsi="楷体" w:eastAsia="楷体" w:cs="楷体"/>
          <w:sz w:val="24"/>
          <w:u w:val="single"/>
        </w:rPr>
        <w:t>资格证明文件密封装订在其他投标文件中，其投标将被认定为</w:t>
      </w:r>
      <w:r>
        <w:rPr>
          <w:rFonts w:hint="eastAsia" w:ascii="楷体" w:hAnsi="楷体" w:eastAsia="楷体" w:cs="楷体"/>
          <w:bCs/>
          <w:sz w:val="24"/>
          <w:u w:val="single"/>
        </w:rPr>
        <w:t>投标无效</w:t>
      </w:r>
      <w:r>
        <w:rPr>
          <w:rFonts w:hint="eastAsia" w:ascii="楷体" w:hAnsi="楷体" w:eastAsia="楷体" w:cs="楷体"/>
          <w:sz w:val="24"/>
          <w:u w:val="single"/>
        </w:rPr>
        <w:t>。</w:t>
      </w:r>
    </w:p>
    <w:p>
      <w:pPr>
        <w:pStyle w:val="7"/>
        <w:spacing w:before="0" w:after="0" w:line="240" w:lineRule="atLeast"/>
        <w:rPr>
          <w:rFonts w:ascii="楷体" w:hAnsi="楷体" w:eastAsia="楷体" w:cs="楷体"/>
          <w:u w:val="none"/>
        </w:rPr>
      </w:pPr>
      <w:bookmarkStart w:id="114" w:name="_Toc30058"/>
      <w:bookmarkStart w:id="115" w:name="_Toc520356161"/>
      <w:bookmarkStart w:id="116" w:name="_Toc515647776"/>
      <w:bookmarkStart w:id="117" w:name="_Toc9840"/>
      <w:bookmarkStart w:id="118" w:name="_Toc12751"/>
      <w:r>
        <w:rPr>
          <w:rFonts w:hint="eastAsia" w:ascii="楷体" w:hAnsi="楷体" w:eastAsia="楷体" w:cs="楷体"/>
          <w:u w:val="none"/>
        </w:rPr>
        <w:t>16.投标截止</w:t>
      </w:r>
      <w:bookmarkEnd w:id="114"/>
      <w:bookmarkEnd w:id="115"/>
      <w:bookmarkEnd w:id="116"/>
      <w:bookmarkEnd w:id="117"/>
      <w:bookmarkEnd w:id="118"/>
    </w:p>
    <w:p>
      <w:pPr>
        <w:spacing w:line="240" w:lineRule="atLeast"/>
        <w:ind w:left="910" w:hanging="907" w:hangingChars="375"/>
        <w:rPr>
          <w:rFonts w:ascii="楷体" w:hAnsi="楷体" w:eastAsia="楷体" w:cs="楷体"/>
          <w:sz w:val="24"/>
        </w:rPr>
      </w:pPr>
      <w:r>
        <w:rPr>
          <w:rFonts w:hint="eastAsia" w:ascii="楷体" w:hAnsi="楷体" w:eastAsia="楷体" w:cs="楷体"/>
          <w:sz w:val="24"/>
        </w:rPr>
        <w:t>16.1</w:t>
      </w:r>
      <w:r>
        <w:rPr>
          <w:rFonts w:hint="eastAsia" w:ascii="楷体" w:hAnsi="楷体" w:eastAsia="楷体" w:cs="楷体"/>
          <w:sz w:val="24"/>
        </w:rPr>
        <w:tab/>
      </w:r>
      <w:r>
        <w:rPr>
          <w:rFonts w:hint="eastAsia" w:ascii="楷体" w:hAnsi="楷体" w:eastAsia="楷体" w:cs="楷体"/>
          <w:sz w:val="24"/>
        </w:rPr>
        <w:t>投标人应在</w:t>
      </w:r>
      <w:r>
        <w:rPr>
          <w:rFonts w:hint="eastAsia" w:ascii="楷体" w:hAnsi="楷体" w:eastAsia="楷体" w:cs="楷体"/>
          <w:sz w:val="24"/>
          <w:u w:val="single"/>
        </w:rPr>
        <w:t>投标人须知资料表中</w:t>
      </w:r>
      <w:r>
        <w:rPr>
          <w:rFonts w:hint="eastAsia" w:ascii="楷体" w:hAnsi="楷体" w:eastAsia="楷体" w:cs="楷体"/>
          <w:sz w:val="24"/>
        </w:rPr>
        <w:t>规定的截止时间前，将投标文件递交到招标公告中规定的地点。</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16.2</w:t>
      </w:r>
      <w:r>
        <w:rPr>
          <w:rFonts w:hint="eastAsia" w:ascii="楷体" w:hAnsi="楷体" w:eastAsia="楷体" w:cs="楷体"/>
          <w:sz w:val="24"/>
        </w:rPr>
        <w:tab/>
      </w:r>
      <w:r>
        <w:rPr>
          <w:rFonts w:hint="eastAsia" w:ascii="楷体" w:hAnsi="楷体" w:eastAsia="楷体" w:cs="楷体"/>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16.3</w:t>
      </w:r>
      <w:r>
        <w:rPr>
          <w:rFonts w:hint="eastAsia" w:ascii="楷体" w:hAnsi="楷体" w:eastAsia="楷体" w:cs="楷体"/>
          <w:sz w:val="24"/>
        </w:rPr>
        <w:tab/>
      </w:r>
      <w:r>
        <w:rPr>
          <w:rFonts w:hint="eastAsia" w:ascii="楷体" w:hAnsi="楷体" w:eastAsia="楷体" w:cs="楷体"/>
          <w:sz w:val="24"/>
        </w:rPr>
        <w:t>采购人和采购代理机构将拒绝接收在投标截止时间后送达的投标文件。</w:t>
      </w:r>
    </w:p>
    <w:p>
      <w:pPr>
        <w:pStyle w:val="7"/>
        <w:spacing w:before="0" w:after="0" w:line="240" w:lineRule="atLeast"/>
        <w:rPr>
          <w:rFonts w:ascii="楷体" w:hAnsi="楷体" w:eastAsia="楷体" w:cs="楷体"/>
          <w:u w:val="none"/>
        </w:rPr>
      </w:pPr>
      <w:bookmarkStart w:id="119" w:name="_Toc18537"/>
      <w:bookmarkStart w:id="120" w:name="_Toc24275"/>
      <w:bookmarkStart w:id="121" w:name="_Toc21052"/>
      <w:bookmarkStart w:id="122" w:name="_Toc515647777"/>
      <w:bookmarkStart w:id="123" w:name="_Toc520356162"/>
      <w:r>
        <w:rPr>
          <w:rFonts w:hint="eastAsia" w:ascii="楷体" w:hAnsi="楷体" w:eastAsia="楷体" w:cs="楷体"/>
          <w:u w:val="none"/>
        </w:rPr>
        <w:t>17.投标文件的接收、修改与撤回</w:t>
      </w:r>
      <w:bookmarkEnd w:id="119"/>
      <w:bookmarkEnd w:id="120"/>
      <w:bookmarkEnd w:id="121"/>
      <w:bookmarkEnd w:id="122"/>
      <w:bookmarkEnd w:id="123"/>
    </w:p>
    <w:p>
      <w:pPr>
        <w:spacing w:line="240" w:lineRule="atLeast"/>
        <w:ind w:left="910" w:hanging="907" w:hangingChars="375"/>
        <w:rPr>
          <w:rFonts w:ascii="楷体" w:hAnsi="楷体" w:eastAsia="楷体" w:cs="楷体"/>
        </w:rPr>
      </w:pPr>
      <w:r>
        <w:rPr>
          <w:rFonts w:hint="eastAsia" w:ascii="楷体" w:hAnsi="楷体" w:eastAsia="楷体" w:cs="楷体"/>
          <w:sz w:val="24"/>
        </w:rPr>
        <w:t>17.1</w:t>
      </w:r>
      <w:r>
        <w:rPr>
          <w:rFonts w:hint="eastAsia" w:ascii="楷体" w:hAnsi="楷体" w:eastAsia="楷体" w:cs="楷体"/>
          <w:sz w:val="24"/>
        </w:rPr>
        <w:tab/>
      </w:r>
      <w:r>
        <w:rPr>
          <w:rFonts w:hint="eastAsia" w:ascii="楷体" w:hAnsi="楷体" w:eastAsia="楷体" w:cs="楷体"/>
          <w:sz w:val="24"/>
        </w:rPr>
        <w:t>在投标截止时间后送达的投标文件的，采购人和采购代理机构将拒绝接收。</w:t>
      </w:r>
    </w:p>
    <w:p>
      <w:pPr>
        <w:spacing w:line="240" w:lineRule="atLeast"/>
        <w:ind w:left="910" w:hanging="907" w:hangingChars="375"/>
        <w:rPr>
          <w:rFonts w:ascii="楷体" w:hAnsi="楷体" w:eastAsia="楷体" w:cs="楷体"/>
          <w:sz w:val="18"/>
          <w:szCs w:val="18"/>
        </w:rPr>
      </w:pPr>
      <w:r>
        <w:rPr>
          <w:rFonts w:hint="eastAsia" w:ascii="楷体" w:hAnsi="楷体" w:eastAsia="楷体" w:cs="楷体"/>
          <w:sz w:val="24"/>
        </w:rPr>
        <w:t>17.2</w:t>
      </w:r>
      <w:r>
        <w:rPr>
          <w:rFonts w:hint="eastAsia" w:ascii="楷体" w:hAnsi="楷体" w:eastAsia="楷体" w:cs="楷体"/>
          <w:sz w:val="24"/>
        </w:rPr>
        <w:tab/>
      </w:r>
      <w:r>
        <w:rPr>
          <w:rFonts w:hint="eastAsia" w:ascii="楷体" w:hAnsi="楷体" w:eastAsia="楷体" w:cs="楷体"/>
          <w:sz w:val="24"/>
        </w:rPr>
        <w:t>采购人或者采购代理机构收到投标文件后，应当如实记载投标文件的送达时间和密封情况，并向投标人出具以下签收回执。</w:t>
      </w:r>
    </w:p>
    <w:p>
      <w:pPr>
        <w:spacing w:line="240" w:lineRule="atLeast"/>
        <w:ind w:left="850" w:hanging="847" w:hangingChars="350"/>
        <w:rPr>
          <w:rFonts w:ascii="楷体" w:hAnsi="楷体" w:eastAsia="楷体" w:cs="楷体"/>
          <w:sz w:val="24"/>
        </w:rPr>
      </w:pPr>
      <w:r>
        <w:rPr>
          <w:rFonts w:hint="eastAsia" w:ascii="楷体" w:hAnsi="楷体" w:eastAsia="楷体" w:cs="楷体"/>
          <w:sz w:val="24"/>
        </w:rPr>
        <w:t>17.3</w:t>
      </w:r>
      <w:r>
        <w:rPr>
          <w:rFonts w:hint="eastAsia" w:ascii="楷体" w:hAnsi="楷体" w:eastAsia="楷体" w:cs="楷体"/>
          <w:sz w:val="24"/>
        </w:rPr>
        <w:tab/>
      </w:r>
      <w:r>
        <w:rPr>
          <w:rFonts w:hint="eastAsia" w:ascii="楷体" w:hAnsi="楷体" w:eastAsia="楷体" w:cs="楷体"/>
          <w:sz w:val="24"/>
        </w:rPr>
        <w:t>递交投标文件以后，如果投标人要进行修改或撤回投标，须提出书面申请并在投标截止时间前送达开标地点，投标人对投标文件的修改或撤回通知应按本须知规定编制、密封、标记。</w:t>
      </w:r>
    </w:p>
    <w:p>
      <w:pPr>
        <w:spacing w:line="240" w:lineRule="atLeast"/>
        <w:ind w:left="742" w:leftChars="350" w:firstLine="121" w:firstLineChars="50"/>
        <w:rPr>
          <w:rFonts w:ascii="楷体" w:hAnsi="楷体" w:eastAsia="楷体" w:cs="楷体"/>
          <w:sz w:val="24"/>
        </w:rPr>
      </w:pPr>
      <w:r>
        <w:rPr>
          <w:rFonts w:hint="eastAsia" w:ascii="楷体" w:hAnsi="楷体" w:eastAsia="楷体" w:cs="楷体"/>
          <w:sz w:val="24"/>
        </w:rPr>
        <w:t>采购人和采购代理机构将予以接收，并视为投标文件的组成部分。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17.4</w:t>
      </w:r>
      <w:r>
        <w:rPr>
          <w:rFonts w:hint="eastAsia" w:ascii="楷体" w:hAnsi="楷体" w:eastAsia="楷体" w:cs="楷体"/>
          <w:sz w:val="24"/>
        </w:rPr>
        <w:tab/>
      </w:r>
      <w:r>
        <w:rPr>
          <w:rFonts w:hint="eastAsia" w:ascii="楷体" w:hAnsi="楷体" w:eastAsia="楷体" w:cs="楷体"/>
          <w:sz w:val="24"/>
        </w:rPr>
        <w:t>在投标截止期之后，采购人和采购代理机构不接受投标人主动对其投标文件做任何修改。</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17.5</w:t>
      </w:r>
      <w:r>
        <w:rPr>
          <w:rFonts w:hint="eastAsia" w:ascii="楷体" w:hAnsi="楷体" w:eastAsia="楷体" w:cs="楷体"/>
          <w:sz w:val="24"/>
        </w:rPr>
        <w:tab/>
      </w:r>
      <w:r>
        <w:rPr>
          <w:rFonts w:hint="eastAsia" w:ascii="楷体" w:hAnsi="楷体" w:eastAsia="楷体" w:cs="楷体"/>
          <w:sz w:val="24"/>
        </w:rPr>
        <w:t>采购人和采购代理机构对所接收投标文件概不退回。</w:t>
      </w:r>
    </w:p>
    <w:p>
      <w:pPr>
        <w:pStyle w:val="5"/>
        <w:spacing w:before="0" w:line="240" w:lineRule="atLeast"/>
        <w:ind w:left="1084" w:leftChars="257" w:hanging="540"/>
        <w:rPr>
          <w:rFonts w:ascii="楷体" w:hAnsi="楷体" w:eastAsia="楷体" w:cs="楷体"/>
          <w:sz w:val="24"/>
        </w:rPr>
      </w:pPr>
      <w:bookmarkStart w:id="124" w:name="_Toc12436"/>
      <w:bookmarkStart w:id="125" w:name="_Toc216582809"/>
      <w:bookmarkStart w:id="126" w:name="_Toc28398"/>
      <w:bookmarkStart w:id="127" w:name="_Toc520356163"/>
      <w:bookmarkStart w:id="128" w:name="_Toc20136"/>
      <w:bookmarkStart w:id="129" w:name="_Toc515647778"/>
      <w:r>
        <w:rPr>
          <w:rFonts w:hint="eastAsia" w:ascii="楷体" w:hAnsi="楷体" w:eastAsia="楷体" w:cs="楷体"/>
          <w:sz w:val="24"/>
        </w:rPr>
        <w:t>五   开标及评标</w:t>
      </w:r>
      <w:bookmarkEnd w:id="124"/>
      <w:bookmarkEnd w:id="125"/>
      <w:bookmarkEnd w:id="126"/>
      <w:bookmarkEnd w:id="127"/>
      <w:bookmarkEnd w:id="128"/>
      <w:bookmarkEnd w:id="129"/>
    </w:p>
    <w:p>
      <w:pPr>
        <w:pStyle w:val="7"/>
        <w:numPr>
          <w:ilvl w:val="0"/>
          <w:numId w:val="7"/>
        </w:numPr>
        <w:spacing w:line="240" w:lineRule="atLeast"/>
        <w:rPr>
          <w:rFonts w:ascii="楷体" w:hAnsi="楷体" w:eastAsia="楷体" w:cs="楷体"/>
        </w:rPr>
      </w:pPr>
      <w:bookmarkStart w:id="130" w:name="_Toc7186"/>
      <w:bookmarkStart w:id="131" w:name="_Toc5099"/>
      <w:bookmarkStart w:id="132" w:name="_Toc515647779"/>
      <w:bookmarkStart w:id="133" w:name="_Toc520356164"/>
      <w:bookmarkStart w:id="134" w:name="_Toc25345"/>
      <w:r>
        <w:rPr>
          <w:rFonts w:hint="eastAsia" w:ascii="楷体" w:hAnsi="楷体" w:eastAsia="楷体" w:cs="楷体"/>
          <w:u w:val="none"/>
        </w:rPr>
        <w:t>开标</w:t>
      </w:r>
      <w:bookmarkEnd w:id="130"/>
      <w:bookmarkEnd w:id="131"/>
      <w:bookmarkEnd w:id="132"/>
      <w:bookmarkEnd w:id="133"/>
      <w:bookmarkEnd w:id="134"/>
    </w:p>
    <w:p>
      <w:pPr>
        <w:numPr>
          <w:ilvl w:val="1"/>
          <w:numId w:val="7"/>
        </w:numPr>
        <w:spacing w:line="240" w:lineRule="atLeast"/>
        <w:ind w:left="910" w:hanging="907" w:hangingChars="375"/>
        <w:rPr>
          <w:rFonts w:ascii="楷体" w:hAnsi="楷体" w:eastAsia="楷体" w:cs="楷体"/>
          <w:sz w:val="24"/>
        </w:rPr>
      </w:pPr>
      <w:r>
        <w:rPr>
          <w:rFonts w:hint="eastAsia" w:ascii="楷体" w:hAnsi="楷体" w:eastAsia="楷体" w:cs="楷体"/>
          <w:sz w:val="24"/>
        </w:rPr>
        <w:t>采购人和采购代理机构将按</w:t>
      </w:r>
      <w:r>
        <w:rPr>
          <w:rFonts w:hint="eastAsia" w:ascii="楷体" w:hAnsi="楷体" w:eastAsia="楷体" w:cs="楷体"/>
          <w:sz w:val="24"/>
          <w:u w:val="single"/>
        </w:rPr>
        <w:t>投标人须知资料表</w:t>
      </w:r>
      <w:r>
        <w:rPr>
          <w:rFonts w:hint="eastAsia" w:ascii="楷体" w:hAnsi="楷体" w:eastAsia="楷体" w:cs="楷体"/>
          <w:sz w:val="24"/>
        </w:rPr>
        <w:t>中规定的开标时间和地点组织公开开标并邀请所有投标人代表参加。</w:t>
      </w:r>
    </w:p>
    <w:p>
      <w:pPr>
        <w:spacing w:line="240" w:lineRule="atLeast"/>
        <w:ind w:left="742" w:leftChars="350" w:firstLine="121" w:firstLineChars="50"/>
        <w:rPr>
          <w:rFonts w:ascii="楷体" w:hAnsi="楷体" w:eastAsia="楷体" w:cs="楷体"/>
          <w:sz w:val="24"/>
        </w:rPr>
      </w:pPr>
      <w:r>
        <w:rPr>
          <w:rFonts w:hint="eastAsia" w:ascii="楷体" w:hAnsi="楷体" w:eastAsia="楷体" w:cs="楷体"/>
          <w:sz w:val="24"/>
        </w:rPr>
        <w:t>投标人不足3家的，不得开标。</w:t>
      </w:r>
    </w:p>
    <w:p>
      <w:pPr>
        <w:spacing w:line="240" w:lineRule="atLeast"/>
        <w:rPr>
          <w:rFonts w:ascii="楷体" w:hAnsi="楷体" w:eastAsia="楷体" w:cs="楷体"/>
          <w:sz w:val="24"/>
        </w:rPr>
      </w:pPr>
      <w:r>
        <w:rPr>
          <w:rFonts w:hint="eastAsia" w:ascii="楷体" w:hAnsi="楷体" w:eastAsia="楷体" w:cs="楷体"/>
          <w:sz w:val="24"/>
        </w:rPr>
        <w:t>18.2   开标时，由投标人或其推选的代表检查自己或所代表的投标文件的密封情况，经记录后，由采购人或采购代理机构当众拆封投标文件第一部分，宣读投标人名称、投标价格及招标文件规定的内容。对于投标人在投标截止期前递交的投标声明，在开标时当众宣读，评标时有效。</w:t>
      </w:r>
    </w:p>
    <w:p>
      <w:pPr>
        <w:spacing w:line="240" w:lineRule="atLeast"/>
        <w:ind w:left="1088" w:leftChars="428" w:hanging="181" w:hangingChars="75"/>
        <w:rPr>
          <w:rFonts w:ascii="楷体" w:hAnsi="楷体" w:eastAsia="楷体" w:cs="楷体"/>
          <w:sz w:val="24"/>
        </w:rPr>
      </w:pPr>
      <w:r>
        <w:rPr>
          <w:rFonts w:hint="eastAsia" w:ascii="楷体" w:hAnsi="楷体" w:eastAsia="楷体" w:cs="楷体"/>
          <w:sz w:val="24"/>
        </w:rPr>
        <w:t>未宣读投标价格、价格折扣等实质内容，评标时不予承认。</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18.3    采购人或采购代理机构将对开标过程进行记录</w:t>
      </w:r>
      <w:bookmarkStart w:id="135" w:name="_Toc520356165"/>
      <w:r>
        <w:rPr>
          <w:rFonts w:hint="eastAsia" w:ascii="楷体" w:hAnsi="楷体" w:eastAsia="楷体" w:cs="楷体"/>
          <w:sz w:val="24"/>
        </w:rPr>
        <w:t>，由参加开标的各投标人代表和相关工作人员签字确认，并存档备查。</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18.4    投标人代表对开标过程和开标记录有疑义，以及认为采购人、采购代理机构相关工作人员有需要回避的情形的，应当场提出询问或者回避申请。</w:t>
      </w:r>
    </w:p>
    <w:p>
      <w:pPr>
        <w:pStyle w:val="7"/>
        <w:spacing w:before="0" w:after="0" w:line="240" w:lineRule="atLeast"/>
        <w:rPr>
          <w:rFonts w:ascii="楷体" w:hAnsi="楷体" w:eastAsia="楷体" w:cs="楷体"/>
          <w:u w:val="none"/>
        </w:rPr>
      </w:pPr>
      <w:bookmarkStart w:id="136" w:name="_Toc515647780"/>
      <w:bookmarkStart w:id="137" w:name="_Toc21372"/>
      <w:bookmarkStart w:id="138" w:name="_Toc19296"/>
      <w:bookmarkStart w:id="139" w:name="_Toc31485"/>
      <w:r>
        <w:rPr>
          <w:rFonts w:hint="eastAsia" w:ascii="楷体" w:hAnsi="楷体" w:eastAsia="楷体" w:cs="楷体"/>
          <w:u w:val="none"/>
        </w:rPr>
        <w:t>19.</w:t>
      </w:r>
      <w:bookmarkEnd w:id="135"/>
      <w:r>
        <w:rPr>
          <w:rFonts w:hint="eastAsia" w:ascii="楷体" w:hAnsi="楷体" w:eastAsia="楷体" w:cs="楷体"/>
          <w:u w:val="none"/>
        </w:rPr>
        <w:t>资格审查及组建评标委员会</w:t>
      </w:r>
      <w:bookmarkEnd w:id="136"/>
      <w:bookmarkEnd w:id="137"/>
      <w:bookmarkEnd w:id="138"/>
      <w:bookmarkEnd w:id="139"/>
    </w:p>
    <w:p>
      <w:pPr>
        <w:spacing w:line="240" w:lineRule="atLeast"/>
        <w:ind w:left="971" w:hanging="968" w:hangingChars="400"/>
        <w:rPr>
          <w:rFonts w:ascii="楷体" w:hAnsi="楷体" w:eastAsia="楷体" w:cs="楷体"/>
          <w:sz w:val="24"/>
        </w:rPr>
      </w:pPr>
      <w:r>
        <w:rPr>
          <w:rFonts w:hint="eastAsia" w:ascii="楷体" w:hAnsi="楷体" w:eastAsia="楷体" w:cs="楷体"/>
          <w:sz w:val="24"/>
        </w:rPr>
        <w:t>19.1    采购人或采购代理机构依据法律法规和招标文件中规定的内容，对投标人及其货物的资格进行审查，未通过资格审查的投标人不进入评标；</w:t>
      </w:r>
    </w:p>
    <w:p>
      <w:pPr>
        <w:spacing w:line="240" w:lineRule="atLeast"/>
        <w:ind w:left="975" w:hanging="968" w:hangingChars="400"/>
        <w:rPr>
          <w:rFonts w:ascii="楷体" w:hAnsi="楷体" w:eastAsia="楷体" w:cs="楷体"/>
          <w:b/>
          <w:bCs/>
          <w:i/>
          <w:iCs/>
          <w:color w:val="000000" w:themeColor="text1"/>
          <w:sz w:val="24"/>
          <w:u w:val="single"/>
        </w:rPr>
      </w:pPr>
      <w:r>
        <w:rPr>
          <w:rFonts w:hint="eastAsia" w:ascii="楷体" w:hAnsi="楷体" w:eastAsia="楷体" w:cs="楷体"/>
          <w:b/>
          <w:bCs/>
          <w:i/>
          <w:iCs/>
          <w:color w:val="000000" w:themeColor="text1"/>
          <w:sz w:val="24"/>
          <w:u w:val="single"/>
        </w:rPr>
        <w:t>本项目现场开标必须提供证件原件（未携带原件的投标将被拒绝，不</w:t>
      </w:r>
    </w:p>
    <w:p>
      <w:pPr>
        <w:spacing w:line="240" w:lineRule="atLeast"/>
        <w:ind w:left="975" w:hanging="968" w:hangingChars="400"/>
        <w:rPr>
          <w:rFonts w:ascii="楷体" w:hAnsi="楷体" w:eastAsia="楷体" w:cs="楷体"/>
          <w:b/>
          <w:bCs/>
          <w:i/>
          <w:iCs/>
          <w:color w:val="000000" w:themeColor="text1"/>
          <w:sz w:val="24"/>
          <w:u w:val="single"/>
        </w:rPr>
      </w:pPr>
      <w:r>
        <w:rPr>
          <w:rFonts w:hint="eastAsia" w:ascii="楷体" w:hAnsi="楷体" w:eastAsia="楷体" w:cs="楷体"/>
          <w:b/>
          <w:bCs/>
          <w:i/>
          <w:iCs/>
          <w:color w:val="000000" w:themeColor="text1"/>
          <w:sz w:val="24"/>
          <w:u w:val="single"/>
        </w:rPr>
        <w:t>接受二次提交）</w:t>
      </w:r>
    </w:p>
    <w:p>
      <w:pPr>
        <w:spacing w:line="240" w:lineRule="atLeast"/>
        <w:ind w:firstLine="968" w:firstLineChars="400"/>
        <w:rPr>
          <w:rFonts w:ascii="楷体" w:hAnsi="楷体" w:eastAsia="楷体" w:cs="楷体"/>
          <w:sz w:val="24"/>
        </w:rPr>
      </w:pPr>
      <w:r>
        <w:rPr>
          <w:rFonts w:hint="eastAsia" w:ascii="楷体" w:hAnsi="楷体" w:eastAsia="楷体" w:cs="楷体"/>
          <w:sz w:val="24"/>
        </w:rPr>
        <w:t>通过资格审查的投标人少于不足三家的，不得评标。</w:t>
      </w:r>
    </w:p>
    <w:p>
      <w:pPr>
        <w:spacing w:line="240" w:lineRule="atLeast"/>
        <w:ind w:left="857" w:leftChars="2" w:hanging="853"/>
        <w:rPr>
          <w:rFonts w:ascii="楷体" w:hAnsi="楷体" w:eastAsia="楷体" w:cs="楷体"/>
          <w:sz w:val="24"/>
        </w:rPr>
      </w:pPr>
      <w:r>
        <w:rPr>
          <w:rFonts w:hint="eastAsia" w:ascii="楷体" w:hAnsi="楷体" w:eastAsia="楷体" w:cs="楷体"/>
          <w:sz w:val="24"/>
        </w:rPr>
        <w:t>19.2   采购人或采购代理机构将在开标前1个工作日至投标截止后1小时的期间内查询投标人的信用记录。投标人存在不良信用记录的，其投标将被认定为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857" w:leftChars="2" w:hanging="853"/>
        <w:rPr>
          <w:rFonts w:ascii="楷体" w:hAnsi="楷体" w:eastAsia="楷体" w:cs="楷体"/>
          <w:sz w:val="24"/>
        </w:rPr>
      </w:pPr>
      <w:r>
        <w:rPr>
          <w:rFonts w:hint="eastAsia" w:ascii="楷体" w:hAnsi="楷体" w:eastAsia="楷体" w:cs="楷体"/>
          <w:sz w:val="24"/>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240" w:lineRule="atLeast"/>
        <w:ind w:left="857" w:leftChars="401" w:hanging="7" w:hangingChars="3"/>
        <w:rPr>
          <w:rFonts w:ascii="楷体" w:hAnsi="楷体" w:eastAsia="楷体" w:cs="楷体"/>
          <w:sz w:val="24"/>
        </w:rPr>
      </w:pPr>
      <w:r>
        <w:rPr>
          <w:rFonts w:hint="eastAsia" w:ascii="楷体" w:hAnsi="楷体" w:eastAsia="楷体" w:cs="楷体"/>
          <w:sz w:val="24"/>
        </w:rPr>
        <w:t>以联合体形式参加投标的，联合体任何成员存在以上不良信用记录的，联合体投标将被认定为</w:t>
      </w:r>
      <w:r>
        <w:rPr>
          <w:rFonts w:hint="eastAsia" w:ascii="楷体" w:hAnsi="楷体" w:eastAsia="楷体" w:cs="楷体"/>
          <w:b/>
          <w:bCs/>
          <w:sz w:val="24"/>
        </w:rPr>
        <w:t>投标无效</w:t>
      </w:r>
      <w:r>
        <w:rPr>
          <w:rFonts w:hint="eastAsia" w:ascii="楷体" w:hAnsi="楷体" w:eastAsia="楷体" w:cs="楷体"/>
          <w:sz w:val="24"/>
        </w:rPr>
        <w:t>。</w:t>
      </w:r>
    </w:p>
    <w:p>
      <w:pPr>
        <w:pStyle w:val="6"/>
        <w:ind w:left="859" w:hanging="856" w:hangingChars="354"/>
        <w:jc w:val="both"/>
        <w:rPr>
          <w:rFonts w:ascii="楷体" w:hAnsi="楷体" w:eastAsia="楷体" w:cs="楷体"/>
        </w:rPr>
      </w:pPr>
      <w:r>
        <w:rPr>
          <w:rFonts w:hint="eastAsia" w:ascii="楷体" w:hAnsi="楷体" w:eastAsia="楷体" w:cs="楷体"/>
        </w:rPr>
        <w:t>19.2.2 查询及记录方式：采购人或采购代理机构经办人将查询网页打印、签字并存档备查。投标人不良信用记录以采购人或采购代理机构查询结果为准。</w:t>
      </w:r>
    </w:p>
    <w:p>
      <w:pPr>
        <w:pStyle w:val="6"/>
        <w:ind w:left="858" w:leftChars="405" w:firstLine="0"/>
        <w:jc w:val="both"/>
        <w:rPr>
          <w:rFonts w:ascii="楷体" w:hAnsi="楷体" w:eastAsia="楷体" w:cs="楷体"/>
        </w:rPr>
      </w:pPr>
      <w:r>
        <w:rPr>
          <w:rFonts w:hint="eastAsia" w:ascii="楷体" w:hAnsi="楷体" w:eastAsia="楷体" w:cs="楷体"/>
        </w:rPr>
        <w:t>在本招标文件规定的查询时间之后，网站信息发生的任何变更均不再作为评标依据。</w:t>
      </w:r>
    </w:p>
    <w:p>
      <w:pPr>
        <w:pStyle w:val="6"/>
        <w:ind w:left="858" w:leftChars="405" w:firstLine="0"/>
        <w:jc w:val="both"/>
        <w:rPr>
          <w:rFonts w:ascii="楷体" w:hAnsi="楷体" w:eastAsia="楷体" w:cs="楷体"/>
        </w:rPr>
      </w:pPr>
      <w:r>
        <w:rPr>
          <w:rFonts w:hint="eastAsia" w:ascii="楷体" w:hAnsi="楷体" w:eastAsia="楷体" w:cs="楷体"/>
        </w:rPr>
        <w:t>投标人自行提供的与网站信息不一致的其他证明材料亦不作为资格审查依据。</w:t>
      </w:r>
    </w:p>
    <w:p>
      <w:pPr>
        <w:spacing w:line="240" w:lineRule="atLeast"/>
        <w:ind w:left="859" w:hanging="856" w:hangingChars="354"/>
        <w:rPr>
          <w:rFonts w:ascii="楷体" w:hAnsi="楷体" w:eastAsia="楷体" w:cs="楷体"/>
          <w:b/>
          <w:bCs/>
          <w:i/>
          <w:iCs/>
          <w:sz w:val="24"/>
          <w:u w:val="single"/>
        </w:rPr>
      </w:pPr>
      <w:r>
        <w:rPr>
          <w:rFonts w:hint="eastAsia" w:ascii="楷体" w:hAnsi="楷体" w:eastAsia="楷体" w:cs="楷体"/>
          <w:sz w:val="24"/>
        </w:rPr>
        <w:t>19.3   按照《中华人民共和国政府采购法》、《中华人民共和国政府采购法实施条例》及本项目本级和上级财政部门的有关规定依法组建的评标委员会，负责评标工作。</w:t>
      </w:r>
      <w:bookmarkStart w:id="140" w:name="_Toc520356166"/>
      <w:r>
        <w:rPr>
          <w:rFonts w:hint="eastAsia" w:ascii="楷体" w:hAnsi="楷体" w:eastAsia="楷体" w:cs="楷体"/>
          <w:b/>
          <w:bCs/>
          <w:i/>
          <w:iCs/>
          <w:sz w:val="24"/>
          <w:u w:val="single"/>
        </w:rPr>
        <w:t>本项目评标委员会成员5名。</w:t>
      </w:r>
    </w:p>
    <w:p>
      <w:pPr>
        <w:pStyle w:val="7"/>
        <w:spacing w:before="0" w:after="0" w:line="240" w:lineRule="atLeast"/>
        <w:rPr>
          <w:rFonts w:ascii="楷体" w:hAnsi="楷体" w:eastAsia="楷体" w:cs="楷体"/>
          <w:b w:val="0"/>
          <w:bCs/>
          <w:bdr w:val="single" w:color="auto" w:sz="4" w:space="0"/>
        </w:rPr>
      </w:pPr>
      <w:bookmarkStart w:id="141" w:name="_Toc19949"/>
      <w:bookmarkStart w:id="142" w:name="_Toc11750"/>
      <w:bookmarkStart w:id="143" w:name="_Toc515647781"/>
      <w:bookmarkStart w:id="144" w:name="_Toc28479"/>
      <w:r>
        <w:rPr>
          <w:rFonts w:hint="eastAsia" w:ascii="楷体" w:hAnsi="楷体" w:eastAsia="楷体" w:cs="楷体"/>
          <w:u w:val="none"/>
        </w:rPr>
        <w:t>20.投标文件</w:t>
      </w:r>
      <w:bookmarkEnd w:id="140"/>
      <w:r>
        <w:rPr>
          <w:rFonts w:hint="eastAsia" w:ascii="楷体" w:hAnsi="楷体" w:eastAsia="楷体" w:cs="楷体"/>
          <w:u w:val="none"/>
        </w:rPr>
        <w:t>符合性审查与澄清</w:t>
      </w:r>
      <w:bookmarkEnd w:id="141"/>
      <w:bookmarkEnd w:id="142"/>
      <w:bookmarkEnd w:id="143"/>
      <w:bookmarkEnd w:id="144"/>
    </w:p>
    <w:p>
      <w:pPr>
        <w:spacing w:line="240" w:lineRule="atLeast"/>
        <w:ind w:left="910" w:hanging="907" w:hangingChars="375"/>
        <w:rPr>
          <w:rFonts w:ascii="楷体" w:hAnsi="楷体" w:eastAsia="楷体" w:cs="楷体"/>
          <w:sz w:val="24"/>
        </w:rPr>
      </w:pPr>
      <w:r>
        <w:rPr>
          <w:rFonts w:hint="eastAsia" w:ascii="楷体" w:hAnsi="楷体" w:eastAsia="楷体" w:cs="楷体"/>
          <w:sz w:val="24"/>
        </w:rPr>
        <w:t>20.1   符合性审查是指依据招标文件的规定，从投标文件的有效性和完整性对招标文件的响应程度进行审查，以确定是否对招标文件的实质性要求做出响应。</w:t>
      </w:r>
      <w:bookmarkStart w:id="145" w:name="_Hlt522424701"/>
      <w:bookmarkEnd w:id="145"/>
      <w:bookmarkStart w:id="146" w:name="_Toc520356167"/>
    </w:p>
    <w:p>
      <w:pPr>
        <w:spacing w:line="240" w:lineRule="atLeast"/>
        <w:ind w:left="910" w:hanging="907" w:hangingChars="375"/>
        <w:rPr>
          <w:rFonts w:ascii="楷体" w:hAnsi="楷体" w:eastAsia="楷体" w:cs="楷体"/>
          <w:sz w:val="24"/>
        </w:rPr>
      </w:pPr>
      <w:r>
        <w:rPr>
          <w:rFonts w:hint="eastAsia" w:ascii="楷体" w:hAnsi="楷体" w:eastAsia="楷体" w:cs="楷体"/>
          <w:sz w:val="24"/>
        </w:rPr>
        <w:t>20.2</w:t>
      </w:r>
      <w:r>
        <w:rPr>
          <w:rFonts w:hint="eastAsia" w:ascii="楷体" w:hAnsi="楷体" w:eastAsia="楷体" w:cs="楷体"/>
          <w:sz w:val="24"/>
        </w:rPr>
        <w:tab/>
      </w:r>
      <w:r>
        <w:rPr>
          <w:rFonts w:hint="eastAsia" w:ascii="楷体" w:hAnsi="楷体" w:eastAsia="楷体" w:cs="楷体"/>
          <w:sz w:val="24"/>
        </w:rPr>
        <w:t>投标文件的澄清</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20.2.2  投标人的的澄清、说明或补正将作为投标文件的一部分。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20.3  投标文件报价出现前后不一致的，按照下列规定修正：</w:t>
      </w:r>
    </w:p>
    <w:p>
      <w:pPr>
        <w:spacing w:line="240" w:lineRule="atLeast"/>
        <w:ind w:left="1032" w:hanging="1028" w:hangingChars="425"/>
        <w:rPr>
          <w:rFonts w:ascii="楷体" w:hAnsi="楷体" w:eastAsia="楷体" w:cs="楷体"/>
          <w:sz w:val="24"/>
        </w:rPr>
      </w:pPr>
      <w:r>
        <w:rPr>
          <w:rFonts w:hint="eastAsia" w:ascii="楷体" w:hAnsi="楷体" w:eastAsia="楷体" w:cs="楷体"/>
          <w:sz w:val="24"/>
        </w:rPr>
        <w:t>　　   （一）投标文件中开标一览表（报价表）内容与投标文件中相应内容不一致的，以开标一览表（报价表）为准；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　　   （二）大写金额和小写金额不一致的，以大写金额为准；</w:t>
      </w:r>
    </w:p>
    <w:p>
      <w:pPr>
        <w:spacing w:line="240" w:lineRule="atLeast"/>
        <w:ind w:left="1032" w:hanging="1028" w:hangingChars="425"/>
        <w:rPr>
          <w:rFonts w:ascii="楷体" w:hAnsi="楷体" w:eastAsia="楷体" w:cs="楷体"/>
          <w:sz w:val="24"/>
        </w:rPr>
      </w:pPr>
      <w:r>
        <w:rPr>
          <w:rFonts w:hint="eastAsia" w:ascii="楷体" w:hAnsi="楷体" w:eastAsia="楷体" w:cs="楷体"/>
          <w:sz w:val="24"/>
        </w:rPr>
        <w:t>　   　（三）单价金额小数点或者百分比有明显错位的，以开标一览表的总价为准，并修改单价；</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　   　（四）总价金额与按单价汇总金额不一致的，以单价金额计算结果为准。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　　    同时出现两种以上不一致的，按照前款规定的顺序修正。修正后的报价按照第20.2条的规定经投标人确认后产生约束力，投标人不确认的，其投标将被认定为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742" w:leftChars="350" w:firstLine="121" w:firstLineChars="50"/>
        <w:rPr>
          <w:rFonts w:ascii="楷体" w:hAnsi="楷体" w:eastAsia="楷体" w:cs="楷体"/>
          <w:sz w:val="24"/>
        </w:rPr>
      </w:pPr>
      <w:r>
        <w:rPr>
          <w:rFonts w:hint="eastAsia" w:ascii="楷体" w:hAnsi="楷体" w:eastAsia="楷体" w:cs="楷体"/>
          <w:sz w:val="24"/>
        </w:rPr>
        <w:t>对不同文字文本投标文件的解释发生异议的，以中文文本为准。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20.4   如一个分包内只有一种产品，不同投标人所投产品为同一品牌的，按如下方式处理：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楷体" w:hAnsi="楷体" w:eastAsia="楷体" w:cs="楷体"/>
          <w:b/>
          <w:bCs/>
          <w:sz w:val="24"/>
        </w:rPr>
        <w:t>投标无效</w:t>
      </w:r>
      <w:r>
        <w:rPr>
          <w:rFonts w:hint="eastAsia" w:ascii="楷体" w:hAnsi="楷体" w:eastAsia="楷体" w:cs="楷体"/>
          <w:sz w:val="24"/>
        </w:rPr>
        <w:t>。</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20.5   如一个分包内包含多种产品的，采购人或采购代理机构将在</w:t>
      </w:r>
      <w:r>
        <w:rPr>
          <w:rFonts w:hint="eastAsia" w:ascii="楷体" w:hAnsi="楷体" w:eastAsia="楷体" w:cs="楷体"/>
          <w:sz w:val="24"/>
          <w:u w:val="single"/>
        </w:rPr>
        <w:t>投标人须知资料表</w:t>
      </w:r>
      <w:r>
        <w:rPr>
          <w:rFonts w:hint="eastAsia" w:ascii="楷体" w:hAnsi="楷体" w:eastAsia="楷体" w:cs="楷体"/>
          <w:sz w:val="24"/>
        </w:rPr>
        <w:t>中载明核心产品，多家投标人提供的核心产品品牌相同的，按第20.4条规定处理。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 xml:space="preserve">        如采购人所采购产品为政府强制采购的节能产品，投标人所投产品的品牌及型号必须为清单中有效期内产品并提供证明文件，否则其投标将被认定为</w:t>
      </w:r>
      <w:r>
        <w:rPr>
          <w:rFonts w:hint="eastAsia" w:ascii="楷体" w:hAnsi="楷体" w:eastAsia="楷体" w:cs="楷体"/>
          <w:b/>
          <w:bCs/>
          <w:sz w:val="24"/>
        </w:rPr>
        <w:t>投标无效</w:t>
      </w:r>
      <w:r>
        <w:rPr>
          <w:rFonts w:hint="eastAsia" w:ascii="楷体" w:hAnsi="楷体" w:eastAsia="楷体" w:cs="楷体"/>
          <w:sz w:val="24"/>
        </w:rPr>
        <w:t>。</w:t>
      </w:r>
    </w:p>
    <w:p>
      <w:pPr>
        <w:pStyle w:val="7"/>
        <w:spacing w:before="0" w:after="0" w:line="240" w:lineRule="atLeast"/>
        <w:rPr>
          <w:rFonts w:ascii="楷体" w:hAnsi="楷体" w:eastAsia="楷体" w:cs="楷体"/>
          <w:u w:val="none"/>
        </w:rPr>
      </w:pPr>
      <w:bookmarkStart w:id="147" w:name="_Toc9469"/>
      <w:bookmarkStart w:id="148" w:name="_Toc30402"/>
      <w:bookmarkStart w:id="149" w:name="_Toc6364"/>
      <w:bookmarkStart w:id="150" w:name="_Toc515647782"/>
      <w:r>
        <w:rPr>
          <w:rFonts w:hint="eastAsia" w:ascii="楷体" w:hAnsi="楷体" w:eastAsia="楷体" w:cs="楷体"/>
          <w:u w:val="none"/>
        </w:rPr>
        <w:t>21.投标偏离</w:t>
      </w:r>
      <w:bookmarkEnd w:id="147"/>
      <w:bookmarkEnd w:id="148"/>
      <w:bookmarkEnd w:id="149"/>
      <w:bookmarkEnd w:id="150"/>
    </w:p>
    <w:p>
      <w:pPr>
        <w:spacing w:line="240" w:lineRule="atLeast"/>
        <w:ind w:left="854" w:leftChars="99" w:hanging="645" w:hangingChars="267"/>
        <w:rPr>
          <w:rFonts w:ascii="楷体" w:hAnsi="楷体" w:eastAsia="楷体" w:cs="楷体"/>
          <w:sz w:val="24"/>
        </w:rPr>
      </w:pPr>
      <w:r>
        <w:rPr>
          <w:rFonts w:hint="eastAsia" w:ascii="楷体" w:hAnsi="楷体" w:eastAsia="楷体" w:cs="楷体"/>
          <w:sz w:val="24"/>
        </w:rPr>
        <w:t xml:space="preserve">     评标委员会可以接受投标文件中不构成实质性偏离的不正规或不一致。</w:t>
      </w:r>
    </w:p>
    <w:p>
      <w:pPr>
        <w:pStyle w:val="7"/>
        <w:spacing w:before="0" w:after="0" w:line="240" w:lineRule="atLeast"/>
        <w:rPr>
          <w:rFonts w:ascii="楷体" w:hAnsi="楷体" w:eastAsia="楷体" w:cs="楷体"/>
          <w:u w:val="none"/>
        </w:rPr>
      </w:pPr>
      <w:bookmarkStart w:id="151" w:name="_Toc515647783"/>
      <w:bookmarkStart w:id="152" w:name="_Toc27034"/>
      <w:bookmarkStart w:id="153" w:name="_Toc6092"/>
      <w:bookmarkStart w:id="154" w:name="_Toc4950"/>
      <w:r>
        <w:rPr>
          <w:rFonts w:hint="eastAsia" w:ascii="楷体" w:hAnsi="楷体" w:eastAsia="楷体" w:cs="楷体"/>
          <w:u w:val="none"/>
        </w:rPr>
        <w:t>22.投标</w:t>
      </w:r>
      <w:bookmarkEnd w:id="151"/>
      <w:r>
        <w:rPr>
          <w:rFonts w:hint="eastAsia" w:ascii="楷体" w:hAnsi="楷体" w:eastAsia="楷体" w:cs="楷体"/>
          <w:u w:val="none"/>
        </w:rPr>
        <w:t>无效</w:t>
      </w:r>
      <w:bookmarkEnd w:id="152"/>
      <w:bookmarkEnd w:id="153"/>
      <w:bookmarkEnd w:id="154"/>
    </w:p>
    <w:p>
      <w:pPr>
        <w:spacing w:line="240" w:lineRule="atLeast"/>
        <w:ind w:left="859" w:leftChars="-23" w:hanging="907" w:hangingChars="375"/>
        <w:rPr>
          <w:rFonts w:ascii="楷体" w:hAnsi="楷体" w:eastAsia="楷体" w:cs="楷体"/>
          <w:sz w:val="24"/>
        </w:rPr>
      </w:pPr>
      <w:r>
        <w:rPr>
          <w:rFonts w:hint="eastAsia" w:ascii="楷体" w:hAnsi="楷体" w:eastAsia="楷体" w:cs="楷体"/>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楷体" w:hAnsi="楷体" w:eastAsia="楷体" w:cs="楷体"/>
          <w:b/>
          <w:bCs/>
          <w:sz w:val="24"/>
        </w:rPr>
        <w:t>投标无效</w:t>
      </w:r>
      <w:r>
        <w:rPr>
          <w:rFonts w:hint="eastAsia" w:ascii="楷体" w:hAnsi="楷体" w:eastAsia="楷体" w:cs="楷体"/>
          <w:sz w:val="24"/>
        </w:rPr>
        <w:t>。投标人不得通过修正或撤销不符合要求的偏离，从而使其投标成为实质上响应的投标。</w:t>
      </w:r>
    </w:p>
    <w:p>
      <w:pPr>
        <w:spacing w:line="240" w:lineRule="atLeast"/>
        <w:ind w:left="799" w:leftChars="377"/>
        <w:rPr>
          <w:rFonts w:ascii="楷体" w:hAnsi="楷体" w:eastAsia="楷体" w:cs="楷体"/>
          <w:sz w:val="24"/>
        </w:rPr>
      </w:pPr>
      <w:r>
        <w:rPr>
          <w:rFonts w:hint="eastAsia" w:ascii="楷体" w:hAnsi="楷体" w:eastAsia="楷体" w:cs="楷体"/>
          <w:sz w:val="24"/>
        </w:rPr>
        <w:t>评标委员会决定投标的响应性只根据招标文件要求、投标文件内容及财政主管部门指定相关信息发布媒体。</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22.2</w:t>
      </w:r>
      <w:r>
        <w:rPr>
          <w:rFonts w:hint="eastAsia" w:ascii="楷体" w:hAnsi="楷体" w:eastAsia="楷体" w:cs="楷体"/>
          <w:sz w:val="24"/>
        </w:rPr>
        <w:tab/>
      </w:r>
      <w:r>
        <w:rPr>
          <w:rFonts w:hint="eastAsia" w:ascii="楷体" w:hAnsi="楷体" w:eastAsia="楷体" w:cs="楷体"/>
          <w:sz w:val="24"/>
        </w:rPr>
        <w:t>如发现下列情况之一的，其投标将被认定为</w:t>
      </w:r>
      <w:r>
        <w:rPr>
          <w:rFonts w:hint="eastAsia" w:ascii="楷体" w:hAnsi="楷体" w:eastAsia="楷体" w:cs="楷体"/>
          <w:b/>
          <w:bCs/>
          <w:sz w:val="24"/>
        </w:rPr>
        <w:t>投标无效</w:t>
      </w:r>
      <w:r>
        <w:rPr>
          <w:rFonts w:hint="eastAsia" w:ascii="楷体" w:hAnsi="楷体" w:eastAsia="楷体" w:cs="楷体"/>
          <w:sz w:val="24"/>
        </w:rPr>
        <w:t>：（</w:t>
      </w:r>
      <w:r>
        <w:rPr>
          <w:rFonts w:hint="eastAsia" w:ascii="楷体" w:hAnsi="楷体" w:eastAsia="楷体" w:cs="楷体"/>
          <w:b/>
          <w:sz w:val="24"/>
        </w:rPr>
        <w:t>以下情形应当在招标文件中规定，并以醒目的方式标明</w:t>
      </w:r>
      <w:r>
        <w:rPr>
          <w:rFonts w:hint="eastAsia" w:ascii="楷体" w:hAnsi="楷体" w:eastAsia="楷体" w:cs="楷体"/>
          <w:sz w:val="24"/>
        </w:rPr>
        <w:t>）</w:t>
      </w:r>
    </w:p>
    <w:p>
      <w:pPr>
        <w:numPr>
          <w:ilvl w:val="0"/>
          <w:numId w:val="8"/>
        </w:numPr>
        <w:spacing w:line="240" w:lineRule="atLeast"/>
        <w:ind w:left="1089" w:leftChars="429" w:hanging="180"/>
        <w:rPr>
          <w:rFonts w:ascii="楷体" w:hAnsi="楷体" w:eastAsia="楷体" w:cs="楷体"/>
          <w:sz w:val="24"/>
        </w:rPr>
      </w:pPr>
      <w:r>
        <w:rPr>
          <w:rFonts w:hint="eastAsia" w:ascii="楷体" w:hAnsi="楷体" w:eastAsia="楷体" w:cs="楷体"/>
          <w:sz w:val="24"/>
        </w:rPr>
        <w:t>未按招标文件规定的形式和金额提交投标保证金的；</w:t>
      </w:r>
    </w:p>
    <w:p>
      <w:pPr>
        <w:numPr>
          <w:ilvl w:val="0"/>
          <w:numId w:val="8"/>
        </w:numPr>
        <w:spacing w:line="240" w:lineRule="atLeast"/>
        <w:ind w:left="1089" w:leftChars="429" w:hanging="180"/>
        <w:rPr>
          <w:rFonts w:ascii="楷体" w:hAnsi="楷体" w:eastAsia="楷体" w:cs="楷体"/>
          <w:sz w:val="24"/>
        </w:rPr>
      </w:pPr>
      <w:r>
        <w:rPr>
          <w:rFonts w:hint="eastAsia" w:ascii="楷体" w:hAnsi="楷体" w:eastAsia="楷体" w:cs="楷体"/>
          <w:sz w:val="24"/>
        </w:rPr>
        <w:t>未按照招标文件规定要求签署、盖章的；</w:t>
      </w:r>
    </w:p>
    <w:p>
      <w:pPr>
        <w:numPr>
          <w:ilvl w:val="0"/>
          <w:numId w:val="8"/>
        </w:numPr>
        <w:spacing w:line="240" w:lineRule="atLeast"/>
        <w:ind w:left="1089" w:leftChars="429" w:hanging="180"/>
        <w:rPr>
          <w:rFonts w:ascii="楷体" w:hAnsi="楷体" w:eastAsia="楷体" w:cs="楷体"/>
          <w:sz w:val="24"/>
        </w:rPr>
      </w:pPr>
      <w:r>
        <w:rPr>
          <w:rFonts w:hint="eastAsia" w:ascii="楷体" w:hAnsi="楷体" w:eastAsia="楷体" w:cs="楷体"/>
          <w:sz w:val="24"/>
        </w:rPr>
        <w:t>未满足招标文件中技术条款的实质性要求；</w:t>
      </w:r>
    </w:p>
    <w:p>
      <w:pPr>
        <w:numPr>
          <w:ilvl w:val="0"/>
          <w:numId w:val="8"/>
        </w:numPr>
        <w:spacing w:line="240" w:lineRule="atLeast"/>
        <w:ind w:left="1089" w:leftChars="429" w:hanging="180"/>
        <w:rPr>
          <w:rFonts w:ascii="楷体" w:hAnsi="楷体" w:eastAsia="楷体" w:cs="楷体"/>
          <w:sz w:val="24"/>
        </w:rPr>
      </w:pPr>
      <w:r>
        <w:rPr>
          <w:rFonts w:hint="eastAsia" w:ascii="楷体" w:hAnsi="楷体" w:eastAsia="楷体" w:cs="楷体"/>
          <w:sz w:val="24"/>
        </w:rPr>
        <w:t>与其他投标人串通投标，或者与招标人串通投标；</w:t>
      </w:r>
    </w:p>
    <w:p>
      <w:pPr>
        <w:numPr>
          <w:ilvl w:val="0"/>
          <w:numId w:val="8"/>
        </w:numPr>
        <w:spacing w:line="240" w:lineRule="atLeast"/>
        <w:ind w:left="1089" w:leftChars="429" w:hanging="180"/>
        <w:rPr>
          <w:rFonts w:ascii="楷体" w:hAnsi="楷体" w:eastAsia="楷体" w:cs="楷体"/>
          <w:sz w:val="24"/>
        </w:rPr>
      </w:pPr>
      <w:r>
        <w:rPr>
          <w:rFonts w:hint="eastAsia" w:ascii="楷体" w:hAnsi="楷体" w:eastAsia="楷体" w:cs="楷体"/>
          <w:sz w:val="24"/>
        </w:rPr>
        <w:t>属于招标文件规定的其他</w:t>
      </w:r>
      <w:r>
        <w:rPr>
          <w:rFonts w:hint="eastAsia" w:ascii="楷体" w:hAnsi="楷体" w:eastAsia="楷体" w:cs="楷体"/>
          <w:b/>
          <w:bCs/>
          <w:sz w:val="24"/>
        </w:rPr>
        <w:t>投标无效</w:t>
      </w:r>
      <w:r>
        <w:rPr>
          <w:rFonts w:hint="eastAsia" w:ascii="楷体" w:hAnsi="楷体" w:eastAsia="楷体" w:cs="楷体"/>
          <w:sz w:val="24"/>
        </w:rPr>
        <w:t>情形；</w:t>
      </w:r>
    </w:p>
    <w:p>
      <w:pPr>
        <w:numPr>
          <w:ilvl w:val="0"/>
          <w:numId w:val="8"/>
        </w:numPr>
        <w:spacing w:line="240" w:lineRule="atLeast"/>
        <w:ind w:left="1089" w:leftChars="429" w:hanging="180"/>
        <w:rPr>
          <w:rFonts w:ascii="楷体" w:hAnsi="楷体" w:eastAsia="楷体" w:cs="楷体"/>
          <w:sz w:val="24"/>
        </w:rPr>
      </w:pPr>
      <w:r>
        <w:rPr>
          <w:rFonts w:hint="eastAsia" w:ascii="楷体" w:hAnsi="楷体" w:eastAsia="楷体" w:cs="楷体"/>
          <w:sz w:val="24"/>
        </w:rPr>
        <w:t>评标委员会认为投标人的报价明显低于其他通过符合性检查投标人的报价，有可能影响履约的，且投标人未按照规定证明其报价合理性的；</w:t>
      </w:r>
    </w:p>
    <w:p>
      <w:pPr>
        <w:numPr>
          <w:ilvl w:val="0"/>
          <w:numId w:val="8"/>
        </w:numPr>
        <w:spacing w:line="240" w:lineRule="atLeast"/>
        <w:ind w:left="1089" w:leftChars="429" w:hanging="180"/>
        <w:rPr>
          <w:rFonts w:ascii="楷体" w:hAnsi="楷体" w:eastAsia="楷体" w:cs="楷体"/>
          <w:sz w:val="24"/>
        </w:rPr>
      </w:pPr>
      <w:r>
        <w:rPr>
          <w:rFonts w:hint="eastAsia" w:ascii="楷体" w:hAnsi="楷体" w:eastAsia="楷体" w:cs="楷体"/>
          <w:sz w:val="24"/>
        </w:rPr>
        <w:t>投标文件含有采购人不能接受的附加条件的；</w:t>
      </w:r>
    </w:p>
    <w:p>
      <w:pPr>
        <w:numPr>
          <w:ilvl w:val="0"/>
          <w:numId w:val="8"/>
        </w:numPr>
        <w:tabs>
          <w:tab w:val="left" w:pos="0"/>
        </w:tabs>
        <w:spacing w:line="240" w:lineRule="atLeast"/>
        <w:ind w:left="1089" w:leftChars="429" w:hanging="180"/>
        <w:rPr>
          <w:rFonts w:ascii="楷体" w:hAnsi="楷体" w:eastAsia="楷体" w:cs="楷体"/>
          <w:sz w:val="24"/>
        </w:rPr>
      </w:pPr>
      <w:r>
        <w:rPr>
          <w:rFonts w:hint="eastAsia" w:ascii="楷体" w:hAnsi="楷体" w:eastAsia="楷体" w:cs="楷体"/>
          <w:sz w:val="24"/>
        </w:rPr>
        <w:t>不符合法规和招标文件中规定的其他实质性要求的。</w:t>
      </w:r>
    </w:p>
    <w:p>
      <w:pPr>
        <w:pStyle w:val="7"/>
        <w:spacing w:before="0" w:after="0" w:line="240" w:lineRule="atLeast"/>
        <w:rPr>
          <w:rFonts w:ascii="楷体" w:hAnsi="楷体" w:eastAsia="楷体" w:cs="楷体"/>
          <w:b w:val="0"/>
          <w:bCs/>
          <w:u w:val="none"/>
        </w:rPr>
      </w:pPr>
      <w:bookmarkStart w:id="155" w:name="_Toc22941"/>
      <w:bookmarkStart w:id="156" w:name="_Toc13652"/>
      <w:bookmarkStart w:id="157" w:name="_Toc515647784"/>
      <w:r>
        <w:rPr>
          <w:rFonts w:hint="eastAsia" w:ascii="楷体" w:hAnsi="楷体" w:eastAsia="楷体" w:cs="楷体"/>
          <w:b w:val="0"/>
          <w:bCs/>
          <w:u w:val="none"/>
        </w:rPr>
        <w:t>23.</w:t>
      </w:r>
      <w:bookmarkEnd w:id="146"/>
      <w:r>
        <w:rPr>
          <w:rFonts w:hint="eastAsia" w:ascii="楷体" w:hAnsi="楷体" w:eastAsia="楷体" w:cs="楷体"/>
          <w:b w:val="0"/>
          <w:bCs/>
          <w:u w:val="none"/>
        </w:rPr>
        <w:t>比较与评价</w:t>
      </w:r>
      <w:bookmarkEnd w:id="155"/>
      <w:bookmarkEnd w:id="156"/>
      <w:bookmarkEnd w:id="157"/>
    </w:p>
    <w:p>
      <w:pPr>
        <w:spacing w:line="240" w:lineRule="atLeast"/>
        <w:ind w:left="910" w:hanging="907" w:hangingChars="375"/>
        <w:rPr>
          <w:rFonts w:ascii="楷体" w:hAnsi="楷体" w:eastAsia="楷体" w:cs="楷体"/>
          <w:sz w:val="24"/>
        </w:rPr>
      </w:pPr>
      <w:r>
        <w:rPr>
          <w:rFonts w:hint="eastAsia" w:ascii="楷体" w:hAnsi="楷体" w:eastAsia="楷体" w:cs="楷体"/>
          <w:sz w:val="24"/>
        </w:rPr>
        <w:t>23.1</w:t>
      </w:r>
      <w:r>
        <w:rPr>
          <w:rFonts w:hint="eastAsia" w:ascii="楷体" w:hAnsi="楷体" w:eastAsia="楷体" w:cs="楷体"/>
          <w:sz w:val="24"/>
        </w:rPr>
        <w:tab/>
      </w:r>
      <w:r>
        <w:rPr>
          <w:rFonts w:hint="eastAsia" w:ascii="楷体" w:hAnsi="楷体" w:eastAsia="楷体" w:cs="楷体"/>
          <w:sz w:val="24"/>
        </w:rPr>
        <w:t>经符合性审查合格的投标文件，评标委员会将根据招标文件确定的评标方法和标准，对其技术部分和商务部分作进一步的比较和评价。</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 xml:space="preserve">23.2  </w:t>
      </w:r>
      <w:r>
        <w:rPr>
          <w:rFonts w:hint="eastAsia" w:ascii="楷体" w:hAnsi="楷体" w:eastAsia="楷体" w:cs="楷体"/>
          <w:sz w:val="24"/>
        </w:rPr>
        <w:tab/>
      </w:r>
      <w:r>
        <w:rPr>
          <w:rFonts w:hint="eastAsia" w:ascii="楷体" w:hAnsi="楷体" w:eastAsia="楷体" w:cs="楷体"/>
          <w:sz w:val="24"/>
        </w:rPr>
        <w:t>评标严格按照招标文件的要求和条件进行。根据实际情况，在</w:t>
      </w:r>
      <w:r>
        <w:rPr>
          <w:rFonts w:hint="eastAsia" w:ascii="楷体" w:hAnsi="楷体" w:eastAsia="楷体" w:cs="楷体"/>
          <w:sz w:val="24"/>
          <w:u w:val="single"/>
        </w:rPr>
        <w:t>投标人须知资料表</w:t>
      </w:r>
      <w:r>
        <w:rPr>
          <w:rFonts w:hint="eastAsia" w:ascii="楷体" w:hAnsi="楷体" w:eastAsia="楷体" w:cs="楷体"/>
          <w:sz w:val="24"/>
        </w:rPr>
        <w:t>中规定采用下列一种评标方法，详细评标标准见招标文件第六章：</w:t>
      </w:r>
    </w:p>
    <w:p>
      <w:pPr>
        <w:pStyle w:val="13"/>
        <w:spacing w:line="240" w:lineRule="atLeast"/>
        <w:ind w:left="906" w:leftChars="342" w:hanging="181"/>
        <w:rPr>
          <w:rFonts w:ascii="楷体" w:hAnsi="楷体" w:eastAsia="楷体" w:cs="楷体"/>
          <w:sz w:val="24"/>
          <w:szCs w:val="24"/>
        </w:rPr>
      </w:pPr>
      <w:r>
        <w:rPr>
          <w:rFonts w:hint="eastAsia" w:ascii="楷体" w:hAnsi="楷体" w:eastAsia="楷体" w:cs="楷体"/>
          <w:sz w:val="24"/>
          <w:szCs w:val="24"/>
        </w:rPr>
        <w:t>（1） 最低评标价法，是指投标文件满足招标文件全部实质性要求，且投标报价最低的投标人为中标候选人的评标方法。</w:t>
      </w:r>
    </w:p>
    <w:p>
      <w:pPr>
        <w:pStyle w:val="13"/>
        <w:spacing w:line="240" w:lineRule="atLeast"/>
        <w:ind w:left="905" w:leftChars="342" w:hanging="180"/>
        <w:rPr>
          <w:rFonts w:ascii="楷体" w:hAnsi="楷体" w:eastAsia="楷体" w:cs="楷体"/>
          <w:sz w:val="24"/>
          <w:szCs w:val="24"/>
        </w:rPr>
      </w:pPr>
      <w:r>
        <w:rPr>
          <w:rFonts w:hint="eastAsia" w:ascii="楷体" w:hAnsi="楷体" w:eastAsia="楷体" w:cs="楷体"/>
          <w:sz w:val="24"/>
          <w:szCs w:val="24"/>
        </w:rPr>
        <w:t>（2） 综合评分法，是指投标文件满足招标文件全部实质性要求，且按照评审因素的量化指标评审得分最高的投标人为中标候选人的评标方法。</w:t>
      </w:r>
    </w:p>
    <w:p>
      <w:pPr>
        <w:pStyle w:val="13"/>
        <w:spacing w:line="240" w:lineRule="atLeast"/>
        <w:ind w:left="905" w:leftChars="342" w:hanging="180"/>
        <w:rPr>
          <w:rFonts w:ascii="楷体" w:hAnsi="楷体" w:eastAsia="楷体" w:cs="楷体"/>
          <w:b/>
          <w:bCs/>
          <w:i/>
          <w:iCs/>
          <w:color w:val="000000" w:themeColor="text1"/>
          <w:sz w:val="24"/>
          <w:szCs w:val="24"/>
          <w:u w:val="single"/>
        </w:rPr>
      </w:pPr>
      <w:r>
        <w:rPr>
          <w:rFonts w:hint="eastAsia" w:ascii="楷体" w:hAnsi="楷体" w:eastAsia="楷体" w:cs="楷体"/>
          <w:b/>
          <w:bCs/>
          <w:i/>
          <w:iCs/>
          <w:color w:val="000000" w:themeColor="text1"/>
          <w:sz w:val="24"/>
          <w:szCs w:val="24"/>
          <w:u w:val="single"/>
        </w:rPr>
        <w:t>本项目采用招标方式：公开招标，评分方法：综合评分法</w:t>
      </w:r>
    </w:p>
    <w:p>
      <w:pPr>
        <w:pStyle w:val="7"/>
        <w:spacing w:before="0" w:after="0" w:line="240" w:lineRule="atLeast"/>
        <w:rPr>
          <w:rFonts w:ascii="楷体" w:hAnsi="楷体" w:eastAsia="楷体" w:cs="楷体"/>
          <w:u w:val="none"/>
        </w:rPr>
      </w:pPr>
      <w:bookmarkStart w:id="158" w:name="_Toc520356168"/>
      <w:bookmarkStart w:id="159" w:name="_Toc4670"/>
      <w:bookmarkStart w:id="160" w:name="_Toc515647785"/>
      <w:bookmarkStart w:id="161" w:name="_Toc20227"/>
      <w:bookmarkStart w:id="162" w:name="_Toc9378"/>
      <w:r>
        <w:rPr>
          <w:rFonts w:hint="eastAsia" w:ascii="楷体" w:hAnsi="楷体" w:eastAsia="楷体" w:cs="楷体"/>
          <w:u w:val="none"/>
        </w:rPr>
        <w:t>24</w:t>
      </w:r>
      <w:bookmarkEnd w:id="158"/>
      <w:r>
        <w:rPr>
          <w:rFonts w:hint="eastAsia" w:ascii="楷体" w:hAnsi="楷体" w:eastAsia="楷体" w:cs="楷体"/>
          <w:u w:val="none"/>
        </w:rPr>
        <w:t>.废标</w:t>
      </w:r>
      <w:bookmarkEnd w:id="159"/>
      <w:bookmarkEnd w:id="160"/>
      <w:bookmarkEnd w:id="161"/>
      <w:bookmarkEnd w:id="162"/>
    </w:p>
    <w:p>
      <w:pPr>
        <w:spacing w:line="240" w:lineRule="atLeast"/>
        <w:ind w:left="905" w:leftChars="399" w:hanging="60" w:hangingChars="25"/>
        <w:rPr>
          <w:rFonts w:ascii="楷体" w:hAnsi="楷体" w:eastAsia="楷体" w:cs="楷体"/>
          <w:sz w:val="24"/>
        </w:rPr>
      </w:pPr>
      <w:r>
        <w:rPr>
          <w:rFonts w:hint="eastAsia" w:ascii="楷体" w:hAnsi="楷体" w:eastAsia="楷体" w:cs="楷体"/>
          <w:sz w:val="24"/>
        </w:rPr>
        <w:t xml:space="preserve">出现下列情形之一，将导致项目废标： </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（1）符合专业条件的供应商或者对招标文件做实质性响应的供应商不足三家；</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（2）出现影响采购公正的违法、违规行为的；</w:t>
      </w:r>
    </w:p>
    <w:p>
      <w:pPr>
        <w:spacing w:line="240" w:lineRule="atLeast"/>
        <w:ind w:firstLine="847" w:firstLineChars="350"/>
        <w:rPr>
          <w:rFonts w:ascii="楷体" w:hAnsi="楷体" w:eastAsia="楷体" w:cs="楷体"/>
          <w:sz w:val="24"/>
        </w:rPr>
      </w:pPr>
      <w:r>
        <w:rPr>
          <w:rFonts w:hint="eastAsia" w:ascii="楷体" w:hAnsi="楷体" w:eastAsia="楷体" w:cs="楷体"/>
          <w:sz w:val="24"/>
        </w:rPr>
        <w:t>（3）投标人的报价均超过了采购预算，采购人不能支付的；</w:t>
      </w:r>
    </w:p>
    <w:p>
      <w:pPr>
        <w:spacing w:line="240" w:lineRule="atLeast"/>
        <w:ind w:firstLine="847" w:firstLineChars="350"/>
        <w:rPr>
          <w:rFonts w:ascii="楷体" w:hAnsi="楷体" w:eastAsia="楷体" w:cs="楷体"/>
          <w:sz w:val="24"/>
        </w:rPr>
      </w:pPr>
      <w:r>
        <w:rPr>
          <w:rFonts w:hint="eastAsia" w:ascii="楷体" w:hAnsi="楷体" w:eastAsia="楷体" w:cs="楷体"/>
          <w:sz w:val="24"/>
        </w:rPr>
        <w:t xml:space="preserve">（4）因重大变故，采购任务取消的。   </w:t>
      </w:r>
    </w:p>
    <w:p>
      <w:pPr>
        <w:pStyle w:val="7"/>
        <w:spacing w:before="0" w:after="0" w:line="240" w:lineRule="atLeast"/>
        <w:rPr>
          <w:rFonts w:ascii="楷体" w:hAnsi="楷体" w:eastAsia="楷体" w:cs="楷体"/>
          <w:u w:val="none"/>
        </w:rPr>
      </w:pPr>
      <w:bookmarkStart w:id="163" w:name="_Toc24972"/>
      <w:bookmarkStart w:id="164" w:name="_Toc31289"/>
      <w:bookmarkStart w:id="165" w:name="_Toc515647786"/>
      <w:bookmarkStart w:id="166" w:name="_Toc6265"/>
      <w:bookmarkStart w:id="167" w:name="_Toc520356169"/>
      <w:r>
        <w:rPr>
          <w:rFonts w:hint="eastAsia" w:ascii="楷体" w:hAnsi="楷体" w:eastAsia="楷体" w:cs="楷体"/>
          <w:u w:val="none"/>
        </w:rPr>
        <w:t>25.保密原则</w:t>
      </w:r>
      <w:bookmarkEnd w:id="163"/>
      <w:bookmarkEnd w:id="164"/>
      <w:bookmarkEnd w:id="165"/>
      <w:bookmarkEnd w:id="166"/>
    </w:p>
    <w:p>
      <w:pPr>
        <w:spacing w:line="240" w:lineRule="atLeast"/>
        <w:ind w:left="910" w:hanging="907" w:hangingChars="375"/>
        <w:rPr>
          <w:rFonts w:ascii="楷体" w:hAnsi="楷体" w:eastAsia="楷体" w:cs="楷体"/>
          <w:sz w:val="24"/>
        </w:rPr>
      </w:pPr>
      <w:r>
        <w:rPr>
          <w:rFonts w:hint="eastAsia" w:ascii="楷体" w:hAnsi="楷体" w:eastAsia="楷体" w:cs="楷体"/>
          <w:sz w:val="24"/>
        </w:rPr>
        <w:t>25.1</w:t>
      </w:r>
      <w:r>
        <w:rPr>
          <w:rFonts w:hint="eastAsia" w:ascii="楷体" w:hAnsi="楷体" w:eastAsia="楷体" w:cs="楷体"/>
          <w:sz w:val="24"/>
        </w:rPr>
        <w:tab/>
      </w:r>
      <w:r>
        <w:rPr>
          <w:rFonts w:hint="eastAsia" w:ascii="楷体" w:hAnsi="楷体" w:eastAsia="楷体" w:cs="楷体"/>
          <w:sz w:val="24"/>
        </w:rPr>
        <w:t>评标将在严格保密的情况下进行。</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25.2</w:t>
      </w:r>
      <w:r>
        <w:rPr>
          <w:rFonts w:hint="eastAsia" w:ascii="楷体" w:hAnsi="楷体" w:eastAsia="楷体" w:cs="楷体"/>
          <w:sz w:val="24"/>
        </w:rPr>
        <w:tab/>
      </w:r>
      <w:r>
        <w:rPr>
          <w:rFonts w:hint="eastAsia" w:ascii="楷体" w:hAnsi="楷体" w:eastAsia="楷体" w:cs="楷体"/>
          <w:sz w:val="24"/>
        </w:rPr>
        <w:t>政府采购评审专家应当遵守评审工作纪律，不得泄露评审文件、评审情况和评审中获悉的商业秘密。</w:t>
      </w:r>
    </w:p>
    <w:p>
      <w:pPr>
        <w:spacing w:line="240" w:lineRule="atLeast"/>
        <w:ind w:left="1084" w:leftChars="257" w:hanging="540"/>
        <w:rPr>
          <w:rFonts w:ascii="楷体" w:hAnsi="楷体" w:eastAsia="楷体" w:cs="楷体"/>
          <w:sz w:val="24"/>
        </w:rPr>
      </w:pPr>
    </w:p>
    <w:p>
      <w:pPr>
        <w:pStyle w:val="5"/>
        <w:spacing w:before="0" w:line="240" w:lineRule="atLeast"/>
        <w:ind w:left="1084" w:leftChars="257" w:hanging="540"/>
        <w:rPr>
          <w:rFonts w:ascii="楷体" w:hAnsi="楷体" w:eastAsia="楷体" w:cs="楷体"/>
          <w:sz w:val="24"/>
        </w:rPr>
      </w:pPr>
      <w:bookmarkStart w:id="168" w:name="_Toc12143"/>
      <w:bookmarkStart w:id="169" w:name="_Toc14912"/>
      <w:bookmarkStart w:id="170" w:name="_Toc515647787"/>
      <w:bookmarkStart w:id="171" w:name="_Toc23904"/>
      <w:bookmarkStart w:id="172" w:name="_Toc216582810"/>
      <w:r>
        <w:rPr>
          <w:rFonts w:hint="eastAsia" w:ascii="楷体" w:hAnsi="楷体" w:eastAsia="楷体" w:cs="楷体"/>
          <w:sz w:val="24"/>
        </w:rPr>
        <w:t xml:space="preserve">六   </w:t>
      </w:r>
      <w:bookmarkEnd w:id="167"/>
      <w:r>
        <w:rPr>
          <w:rFonts w:hint="eastAsia" w:ascii="楷体" w:hAnsi="楷体" w:eastAsia="楷体" w:cs="楷体"/>
          <w:sz w:val="24"/>
        </w:rPr>
        <w:t>确定中标</w:t>
      </w:r>
      <w:bookmarkEnd w:id="168"/>
      <w:bookmarkEnd w:id="169"/>
      <w:bookmarkEnd w:id="170"/>
      <w:bookmarkEnd w:id="171"/>
      <w:bookmarkEnd w:id="172"/>
    </w:p>
    <w:p>
      <w:pPr>
        <w:pStyle w:val="6"/>
        <w:rPr>
          <w:rFonts w:ascii="楷体" w:hAnsi="楷体" w:eastAsia="楷体" w:cs="楷体"/>
        </w:rPr>
      </w:pPr>
    </w:p>
    <w:p>
      <w:pPr>
        <w:pStyle w:val="7"/>
        <w:spacing w:before="0" w:after="0" w:line="240" w:lineRule="atLeast"/>
        <w:rPr>
          <w:rFonts w:ascii="楷体" w:hAnsi="楷体" w:eastAsia="楷体" w:cs="楷体"/>
          <w:u w:val="none"/>
        </w:rPr>
      </w:pPr>
      <w:bookmarkStart w:id="173" w:name="_Toc23762"/>
      <w:bookmarkStart w:id="174" w:name="_Toc515647788"/>
      <w:bookmarkStart w:id="175" w:name="_Ref467307010"/>
      <w:bookmarkStart w:id="176" w:name="_Toc23617"/>
      <w:bookmarkStart w:id="177" w:name="_Toc520356170"/>
      <w:bookmarkStart w:id="178" w:name="_Toc22713"/>
      <w:r>
        <w:rPr>
          <w:rFonts w:hint="eastAsia" w:ascii="楷体" w:hAnsi="楷体" w:eastAsia="楷体" w:cs="楷体"/>
          <w:u w:val="none"/>
        </w:rPr>
        <w:t>26.中标候选人的确定原则及标准</w:t>
      </w:r>
      <w:bookmarkEnd w:id="173"/>
      <w:bookmarkEnd w:id="174"/>
      <w:bookmarkEnd w:id="175"/>
      <w:bookmarkEnd w:id="176"/>
      <w:bookmarkEnd w:id="177"/>
      <w:bookmarkEnd w:id="178"/>
    </w:p>
    <w:p>
      <w:pPr>
        <w:spacing w:line="240" w:lineRule="atLeast"/>
        <w:ind w:left="910" w:hanging="907" w:hangingChars="375"/>
        <w:rPr>
          <w:rFonts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除第28条规定外，对实质上响应招标文件的投标人按下列方法进行排序，确定投标候选人：</w:t>
      </w:r>
    </w:p>
    <w:p>
      <w:pPr>
        <w:spacing w:line="240" w:lineRule="atLeast"/>
        <w:ind w:left="901"/>
        <w:rPr>
          <w:rFonts w:ascii="楷体" w:hAnsi="楷体" w:eastAsia="楷体" w:cs="楷体"/>
          <w:sz w:val="24"/>
        </w:rPr>
      </w:pPr>
      <w:bookmarkStart w:id="179" w:name="_Toc520356171"/>
      <w:bookmarkStart w:id="180" w:name="_Toc515647789"/>
      <w:r>
        <w:rPr>
          <w:rFonts w:hint="eastAsia" w:ascii="楷体" w:hAnsi="楷体" w:eastAsia="楷体" w:cs="楷体"/>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40" w:lineRule="atLeast"/>
        <w:ind w:left="901"/>
        <w:rPr>
          <w:rFonts w:ascii="楷体" w:hAnsi="楷体" w:eastAsia="楷体" w:cs="楷体"/>
          <w:sz w:val="24"/>
        </w:rPr>
      </w:pPr>
      <w:r>
        <w:rPr>
          <w:rFonts w:hint="eastAsia" w:ascii="楷体" w:hAnsi="楷体" w:eastAsia="楷体" w:cs="楷体"/>
          <w:sz w:val="24"/>
        </w:rPr>
        <w:t>（2）采用综合评分法的，评标结果按评审后得分由高到低顺序排列。得分相同的，按修正和扣除后的投标报价由低到高顺序排列。得分与投标报价均相同的处理方式详见招标文件第6章。</w:t>
      </w:r>
    </w:p>
    <w:p>
      <w:pPr>
        <w:pStyle w:val="7"/>
        <w:tabs>
          <w:tab w:val="left" w:pos="900"/>
        </w:tabs>
        <w:spacing w:before="0" w:after="0" w:line="240" w:lineRule="atLeast"/>
        <w:rPr>
          <w:rFonts w:ascii="楷体" w:hAnsi="楷体" w:eastAsia="楷体" w:cs="楷体"/>
          <w:u w:val="none"/>
        </w:rPr>
      </w:pPr>
      <w:bookmarkStart w:id="181" w:name="_Toc9653"/>
      <w:bookmarkStart w:id="182" w:name="_Toc20056"/>
      <w:bookmarkStart w:id="183" w:name="_Toc23951"/>
      <w:r>
        <w:rPr>
          <w:rFonts w:hint="eastAsia" w:ascii="楷体" w:hAnsi="楷体" w:eastAsia="楷体" w:cs="楷体"/>
          <w:u w:val="none"/>
        </w:rPr>
        <w:t>27</w:t>
      </w:r>
      <w:bookmarkEnd w:id="179"/>
      <w:r>
        <w:rPr>
          <w:rFonts w:hint="eastAsia" w:ascii="楷体" w:hAnsi="楷体" w:eastAsia="楷体" w:cs="楷体"/>
          <w:u w:val="none"/>
        </w:rPr>
        <w:t>.确定中标候选人和中标人</w:t>
      </w:r>
      <w:bookmarkEnd w:id="180"/>
      <w:bookmarkEnd w:id="181"/>
      <w:bookmarkEnd w:id="182"/>
      <w:bookmarkEnd w:id="183"/>
    </w:p>
    <w:p>
      <w:pPr>
        <w:spacing w:line="240" w:lineRule="atLeast"/>
        <w:ind w:left="910" w:hanging="907" w:hangingChars="375"/>
        <w:rPr>
          <w:rFonts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评标委员会将根据评标标准，按</w:t>
      </w:r>
      <w:r>
        <w:rPr>
          <w:rFonts w:hint="eastAsia" w:ascii="楷体" w:hAnsi="楷体" w:eastAsia="楷体" w:cs="楷体"/>
          <w:sz w:val="24"/>
          <w:u w:val="single"/>
        </w:rPr>
        <w:t>投标人须知资料表中</w:t>
      </w:r>
      <w:r>
        <w:rPr>
          <w:rFonts w:hint="eastAsia" w:ascii="楷体" w:hAnsi="楷体" w:eastAsia="楷体" w:cs="楷体"/>
          <w:sz w:val="24"/>
        </w:rPr>
        <w:t>规定数量推荐中标候选人；或根据采购人的委托，直接确定中标人。</w:t>
      </w:r>
    </w:p>
    <w:p>
      <w:pPr>
        <w:pStyle w:val="7"/>
        <w:tabs>
          <w:tab w:val="left" w:pos="900"/>
        </w:tabs>
        <w:spacing w:before="0" w:after="0" w:line="240" w:lineRule="atLeast"/>
        <w:rPr>
          <w:rFonts w:ascii="楷体" w:hAnsi="楷体" w:eastAsia="楷体" w:cs="楷体"/>
          <w:u w:val="none"/>
        </w:rPr>
      </w:pPr>
      <w:bookmarkStart w:id="184" w:name="_Ref467306874"/>
      <w:bookmarkStart w:id="185" w:name="_Toc520356173"/>
      <w:bookmarkStart w:id="186" w:name="_Toc9480"/>
      <w:bookmarkStart w:id="187" w:name="_Toc28562"/>
      <w:bookmarkStart w:id="188" w:name="_Toc515647790"/>
      <w:bookmarkStart w:id="189" w:name="_Toc8389"/>
      <w:r>
        <w:rPr>
          <w:rFonts w:hint="eastAsia" w:ascii="楷体" w:hAnsi="楷体" w:eastAsia="楷体" w:cs="楷体"/>
          <w:u w:val="none"/>
        </w:rPr>
        <w:t>28.</w:t>
      </w:r>
      <w:bookmarkEnd w:id="184"/>
      <w:bookmarkEnd w:id="185"/>
      <w:r>
        <w:rPr>
          <w:rFonts w:hint="eastAsia" w:ascii="楷体" w:hAnsi="楷体" w:eastAsia="楷体" w:cs="楷体"/>
          <w:u w:val="none"/>
        </w:rPr>
        <w:t>采购任务取消</w:t>
      </w:r>
      <w:bookmarkEnd w:id="186"/>
      <w:bookmarkEnd w:id="187"/>
      <w:bookmarkEnd w:id="188"/>
      <w:bookmarkEnd w:id="189"/>
    </w:p>
    <w:p>
      <w:pPr>
        <w:spacing w:line="240" w:lineRule="atLeast"/>
        <w:ind w:left="910" w:hanging="907" w:hangingChars="375"/>
        <w:rPr>
          <w:rFonts w:ascii="楷体" w:hAnsi="楷体" w:eastAsia="楷体" w:cs="楷体"/>
          <w:sz w:val="24"/>
        </w:rPr>
      </w:pPr>
      <w:r>
        <w:rPr>
          <w:rFonts w:hint="eastAsia" w:ascii="楷体" w:hAnsi="楷体" w:eastAsia="楷体" w:cs="楷体"/>
          <w:sz w:val="24"/>
        </w:rPr>
        <w:tab/>
      </w:r>
      <w:r>
        <w:rPr>
          <w:rFonts w:hint="eastAsia" w:ascii="楷体" w:hAnsi="楷体" w:eastAsia="楷体" w:cs="楷体"/>
          <w:sz w:val="24"/>
        </w:rPr>
        <w:t>因重大变故采购任务取消时，采购人有权拒绝任何投标人中标，且对受影响的投标人不承担任何责任。</w:t>
      </w:r>
      <w:bookmarkStart w:id="190" w:name="_Toc520356174"/>
    </w:p>
    <w:p>
      <w:pPr>
        <w:pStyle w:val="7"/>
        <w:spacing w:before="0" w:after="0" w:line="240" w:lineRule="atLeast"/>
        <w:rPr>
          <w:rFonts w:ascii="楷体" w:hAnsi="楷体" w:eastAsia="楷体" w:cs="楷体"/>
          <w:u w:val="none"/>
        </w:rPr>
      </w:pPr>
      <w:bookmarkStart w:id="191" w:name="_Toc515647791"/>
      <w:bookmarkStart w:id="192" w:name="_Toc30170"/>
      <w:bookmarkStart w:id="193" w:name="_Toc31099"/>
      <w:bookmarkStart w:id="194" w:name="_Toc14907"/>
      <w:r>
        <w:rPr>
          <w:rFonts w:hint="eastAsia" w:ascii="楷体" w:hAnsi="楷体" w:eastAsia="楷体" w:cs="楷体"/>
          <w:u w:val="none"/>
        </w:rPr>
        <w:t>29.中标通知书</w:t>
      </w:r>
      <w:bookmarkEnd w:id="190"/>
      <w:r>
        <w:rPr>
          <w:rFonts w:hint="eastAsia" w:ascii="楷体" w:hAnsi="楷体" w:eastAsia="楷体" w:cs="楷体"/>
          <w:u w:val="none"/>
        </w:rPr>
        <w:t>和招标结果通知书</w:t>
      </w:r>
      <w:bookmarkEnd w:id="191"/>
      <w:bookmarkEnd w:id="192"/>
      <w:bookmarkEnd w:id="193"/>
      <w:bookmarkEnd w:id="194"/>
    </w:p>
    <w:p>
      <w:pPr>
        <w:spacing w:line="240" w:lineRule="atLeast"/>
        <w:ind w:left="910" w:hanging="907" w:hangingChars="375"/>
        <w:rPr>
          <w:rFonts w:ascii="楷体" w:hAnsi="楷体" w:eastAsia="楷体" w:cs="楷体"/>
          <w:sz w:val="24"/>
        </w:rPr>
      </w:pPr>
      <w:r>
        <w:rPr>
          <w:rFonts w:hint="eastAsia" w:ascii="楷体" w:hAnsi="楷体" w:eastAsia="楷体" w:cs="楷体"/>
          <w:sz w:val="24"/>
        </w:rPr>
        <w:t>29.1</w:t>
      </w:r>
      <w:r>
        <w:rPr>
          <w:rFonts w:hint="eastAsia" w:ascii="楷体" w:hAnsi="楷体" w:eastAsia="楷体" w:cs="楷体"/>
          <w:sz w:val="24"/>
        </w:rPr>
        <w:tab/>
      </w:r>
      <w:r>
        <w:rPr>
          <w:rFonts w:hint="eastAsia" w:ascii="楷体" w:hAnsi="楷体" w:eastAsia="楷体" w:cs="楷体"/>
          <w:sz w:val="24"/>
        </w:rPr>
        <w:t>在投标有效期内，中标人确定后，采购人或者采购代理机构发布中标公告，同时以书面形式向中标人发出中标通知书。</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29.2</w:t>
      </w:r>
      <w:r>
        <w:rPr>
          <w:rFonts w:hint="eastAsia" w:ascii="楷体" w:hAnsi="楷体" w:eastAsia="楷体" w:cs="楷体"/>
          <w:sz w:val="24"/>
        </w:rPr>
        <w:tab/>
      </w:r>
      <w:r>
        <w:rPr>
          <w:rFonts w:hint="eastAsia" w:ascii="楷体" w:hAnsi="楷体" w:eastAsia="楷体" w:cs="楷体"/>
          <w:sz w:val="24"/>
        </w:rPr>
        <w:t>中标通知书是合同的组成部分。</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29.3    招标结果通知书和中标通知书同时发出。招标结果通知书中将告知未通过资格审查的投标人未通过的原因；采用综合评分法评审的，还将告知未中标人本人的评审得分和排序。</w:t>
      </w:r>
    </w:p>
    <w:p>
      <w:pPr>
        <w:pStyle w:val="7"/>
        <w:spacing w:before="0" w:after="0" w:line="240" w:lineRule="atLeast"/>
        <w:rPr>
          <w:rFonts w:ascii="楷体" w:hAnsi="楷体" w:eastAsia="楷体" w:cs="楷体"/>
          <w:u w:val="none"/>
        </w:rPr>
      </w:pPr>
      <w:bookmarkStart w:id="195" w:name="_Toc7779"/>
      <w:bookmarkStart w:id="196" w:name="_Toc790"/>
      <w:bookmarkStart w:id="197" w:name="_Ref467306377"/>
      <w:bookmarkStart w:id="198" w:name="_Toc515647792"/>
      <w:bookmarkStart w:id="199" w:name="_Toc12045"/>
      <w:bookmarkStart w:id="200" w:name="_Ref467307204"/>
      <w:bookmarkStart w:id="201" w:name="_Ref467306978"/>
      <w:bookmarkStart w:id="202" w:name="_Toc520356175"/>
      <w:bookmarkStart w:id="203" w:name="_Ref467307062"/>
      <w:r>
        <w:rPr>
          <w:rFonts w:hint="eastAsia" w:ascii="楷体" w:hAnsi="楷体" w:eastAsia="楷体" w:cs="楷体"/>
          <w:u w:val="none"/>
        </w:rPr>
        <w:t>30.签订合同</w:t>
      </w:r>
      <w:bookmarkEnd w:id="195"/>
      <w:bookmarkEnd w:id="196"/>
      <w:bookmarkEnd w:id="197"/>
      <w:bookmarkEnd w:id="198"/>
      <w:bookmarkEnd w:id="199"/>
      <w:bookmarkEnd w:id="200"/>
      <w:bookmarkEnd w:id="201"/>
      <w:bookmarkEnd w:id="202"/>
      <w:bookmarkEnd w:id="203"/>
    </w:p>
    <w:p>
      <w:pPr>
        <w:spacing w:line="240" w:lineRule="atLeast"/>
        <w:ind w:left="910" w:hanging="907" w:hangingChars="375"/>
        <w:rPr>
          <w:rFonts w:ascii="楷体" w:hAnsi="楷体" w:eastAsia="楷体" w:cs="楷体"/>
          <w:sz w:val="24"/>
        </w:rPr>
      </w:pPr>
      <w:r>
        <w:rPr>
          <w:rFonts w:hint="eastAsia" w:ascii="楷体" w:hAnsi="楷体" w:eastAsia="楷体" w:cs="楷体"/>
          <w:sz w:val="24"/>
        </w:rPr>
        <w:t>30.1</w:t>
      </w:r>
      <w:r>
        <w:rPr>
          <w:rFonts w:hint="eastAsia" w:ascii="楷体" w:hAnsi="楷体" w:eastAsia="楷体" w:cs="楷体"/>
          <w:sz w:val="24"/>
        </w:rPr>
        <w:tab/>
      </w:r>
      <w:r>
        <w:rPr>
          <w:rFonts w:hint="eastAsia" w:ascii="楷体" w:hAnsi="楷体" w:eastAsia="楷体" w:cs="楷体"/>
          <w:sz w:val="24"/>
        </w:rPr>
        <w:t>中标人应当自发出中标通知书之日起3日内，与采购人签订合同。</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30.2</w:t>
      </w:r>
      <w:r>
        <w:rPr>
          <w:rFonts w:hint="eastAsia" w:ascii="楷体" w:hAnsi="楷体" w:eastAsia="楷体" w:cs="楷体"/>
          <w:sz w:val="24"/>
        </w:rPr>
        <w:tab/>
      </w:r>
      <w:bookmarkStart w:id="204" w:name="_Ref467307090"/>
      <w:bookmarkStart w:id="205" w:name="_Ref467306425"/>
      <w:bookmarkStart w:id="206" w:name="_Toc520356176"/>
      <w:r>
        <w:rPr>
          <w:rFonts w:hint="eastAsia" w:ascii="楷体" w:hAnsi="楷体" w:eastAsia="楷体" w:cs="楷体"/>
          <w:sz w:val="24"/>
        </w:rPr>
        <w:t>招标文件、中标人的投标文件及其澄清文件等，均为签订合同的依据。</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30.3   中标人拒绝与采购人签订合同的，采购人可以按照评审报告推荐的中标候选人名单排序，确定下一中标候选人为中标人，也可以重新开展政府采购活动。</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30.4   当出现法规规定的</w:t>
      </w:r>
      <w:r>
        <w:rPr>
          <w:rFonts w:hint="eastAsia" w:ascii="楷体" w:hAnsi="楷体" w:eastAsia="楷体" w:cs="楷体"/>
          <w:b/>
          <w:sz w:val="24"/>
        </w:rPr>
        <w:t>中标无效或中标结果无效</w:t>
      </w:r>
      <w:r>
        <w:rPr>
          <w:rFonts w:hint="eastAsia" w:ascii="楷体" w:hAnsi="楷体" w:eastAsia="楷体" w:cs="楷体"/>
          <w:sz w:val="24"/>
        </w:rPr>
        <w:t>情形时，采购人可与排名下一位的中标候选人另行签订合同，或依法重新开展采购活动。</w:t>
      </w:r>
    </w:p>
    <w:p>
      <w:pPr>
        <w:pStyle w:val="7"/>
        <w:spacing w:before="0" w:after="0" w:line="240" w:lineRule="atLeast"/>
        <w:rPr>
          <w:rFonts w:ascii="楷体" w:hAnsi="楷体" w:eastAsia="楷体" w:cs="楷体"/>
          <w:u w:val="none"/>
        </w:rPr>
      </w:pPr>
      <w:bookmarkStart w:id="207" w:name="_Toc515647793"/>
      <w:bookmarkStart w:id="208" w:name="_Toc22555"/>
      <w:bookmarkStart w:id="209" w:name="_Toc29388"/>
      <w:bookmarkStart w:id="210" w:name="_Toc14080"/>
      <w:r>
        <w:rPr>
          <w:rFonts w:hint="eastAsia" w:ascii="楷体" w:hAnsi="楷体" w:eastAsia="楷体" w:cs="楷体"/>
          <w:u w:val="none"/>
        </w:rPr>
        <w:t>31.履约保证金</w:t>
      </w:r>
      <w:bookmarkEnd w:id="204"/>
      <w:bookmarkEnd w:id="205"/>
      <w:bookmarkEnd w:id="206"/>
      <w:bookmarkEnd w:id="207"/>
      <w:bookmarkEnd w:id="208"/>
      <w:bookmarkEnd w:id="209"/>
      <w:bookmarkEnd w:id="210"/>
    </w:p>
    <w:p>
      <w:pPr>
        <w:spacing w:line="240" w:lineRule="atLeast"/>
        <w:ind w:left="910" w:hanging="907" w:hangingChars="375"/>
        <w:rPr>
          <w:rFonts w:ascii="楷体" w:hAnsi="楷体" w:eastAsia="楷体" w:cs="楷体"/>
          <w:sz w:val="24"/>
        </w:rPr>
      </w:pPr>
      <w:r>
        <w:rPr>
          <w:rFonts w:hint="eastAsia" w:ascii="楷体" w:hAnsi="楷体" w:eastAsia="楷体" w:cs="楷体"/>
          <w:sz w:val="24"/>
        </w:rPr>
        <w:t>31.1</w:t>
      </w:r>
      <w:r>
        <w:rPr>
          <w:rFonts w:hint="eastAsia" w:ascii="楷体" w:hAnsi="楷体" w:eastAsia="楷体" w:cs="楷体"/>
          <w:sz w:val="24"/>
        </w:rPr>
        <w:tab/>
      </w:r>
      <w:r>
        <w:rPr>
          <w:rFonts w:hint="eastAsia" w:ascii="楷体" w:hAnsi="楷体" w:eastAsia="楷体" w:cs="楷体"/>
          <w:sz w:val="24"/>
        </w:rPr>
        <w:t>中标人应按照</w:t>
      </w:r>
      <w:r>
        <w:rPr>
          <w:rFonts w:hint="eastAsia" w:ascii="楷体" w:hAnsi="楷体" w:eastAsia="楷体" w:cs="楷体"/>
          <w:sz w:val="24"/>
          <w:u w:val="single"/>
        </w:rPr>
        <w:t>投标人须知资料表</w:t>
      </w:r>
      <w:r>
        <w:rPr>
          <w:rFonts w:hint="eastAsia" w:ascii="楷体" w:hAnsi="楷体" w:eastAsia="楷体" w:cs="楷体"/>
          <w:sz w:val="24"/>
        </w:rPr>
        <w:t>规定向采购人缴纳履约保证金（如采用保函形式，格式见本章附件1）。</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31.2</w:t>
      </w:r>
      <w:r>
        <w:rPr>
          <w:rFonts w:hint="eastAsia" w:ascii="楷体" w:hAnsi="楷体" w:eastAsia="楷体" w:cs="楷体"/>
          <w:sz w:val="24"/>
        </w:rPr>
        <w:tab/>
      </w:r>
      <w:r>
        <w:rPr>
          <w:rFonts w:hint="eastAsia" w:ascii="楷体" w:hAnsi="楷体" w:eastAsia="楷体" w:cs="楷体"/>
          <w:sz w:val="24"/>
        </w:rPr>
        <w:t>政府采购利用担保试点范围内的项目，除31.1规定的情形外，中标人也可以按照财政部门的规定，向采购人提供合格的履约担保函（格式见本章附件2）。</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31.3   如果中标人没有按照上述履约保证金的规定执行，将视为放弃中标资格，中标人的投标保证金将不予退还。在此情况下，采购人可确定下一候选人为中标人，也可以重新开展采购活动。</w:t>
      </w:r>
    </w:p>
    <w:p>
      <w:pPr>
        <w:pStyle w:val="7"/>
        <w:spacing w:before="0" w:after="0" w:line="240" w:lineRule="atLeast"/>
        <w:rPr>
          <w:rFonts w:ascii="楷体" w:hAnsi="楷体" w:eastAsia="楷体" w:cs="楷体"/>
          <w:u w:val="none"/>
        </w:rPr>
      </w:pPr>
      <w:bookmarkStart w:id="211" w:name="_Toc17056"/>
      <w:bookmarkStart w:id="212" w:name="_Toc29408"/>
      <w:bookmarkStart w:id="213" w:name="_Toc3090"/>
      <w:bookmarkStart w:id="214" w:name="_Toc515647794"/>
      <w:r>
        <w:rPr>
          <w:rFonts w:hint="eastAsia" w:ascii="楷体" w:hAnsi="楷体" w:eastAsia="楷体" w:cs="楷体"/>
          <w:u w:val="none"/>
        </w:rPr>
        <w:t>32.中标服务费</w:t>
      </w:r>
      <w:bookmarkEnd w:id="211"/>
      <w:bookmarkEnd w:id="212"/>
      <w:bookmarkEnd w:id="213"/>
      <w:bookmarkEnd w:id="214"/>
    </w:p>
    <w:p>
      <w:pPr>
        <w:spacing w:line="240" w:lineRule="atLeast"/>
        <w:ind w:left="847" w:leftChars="200" w:hanging="423" w:hangingChars="175"/>
        <w:rPr>
          <w:rFonts w:ascii="楷体" w:hAnsi="楷体" w:eastAsia="楷体" w:cs="楷体"/>
          <w:sz w:val="24"/>
        </w:rPr>
      </w:pPr>
      <w:r>
        <w:rPr>
          <w:rFonts w:hint="eastAsia" w:ascii="楷体" w:hAnsi="楷体" w:eastAsia="楷体" w:cs="楷体"/>
          <w:sz w:val="24"/>
        </w:rPr>
        <w:t xml:space="preserve">   中标人须按照</w:t>
      </w:r>
      <w:r>
        <w:rPr>
          <w:rFonts w:hint="eastAsia" w:ascii="楷体" w:hAnsi="楷体" w:eastAsia="楷体" w:cs="楷体"/>
          <w:sz w:val="24"/>
          <w:u w:val="single"/>
        </w:rPr>
        <w:t>投标须知资料表</w:t>
      </w:r>
      <w:r>
        <w:rPr>
          <w:rFonts w:hint="eastAsia" w:ascii="楷体" w:hAnsi="楷体" w:eastAsia="楷体" w:cs="楷体"/>
          <w:sz w:val="24"/>
        </w:rPr>
        <w:t>规定，向采购代理机构支付中标服务费。</w:t>
      </w:r>
    </w:p>
    <w:p>
      <w:pPr>
        <w:pStyle w:val="7"/>
        <w:spacing w:before="0" w:after="0" w:line="240" w:lineRule="atLeast"/>
        <w:rPr>
          <w:rFonts w:ascii="楷体" w:hAnsi="楷体" w:eastAsia="楷体" w:cs="楷体"/>
          <w:u w:val="none"/>
        </w:rPr>
      </w:pPr>
      <w:bookmarkStart w:id="215" w:name="_Toc7049"/>
      <w:bookmarkStart w:id="216" w:name="_Toc515647795"/>
      <w:bookmarkStart w:id="217" w:name="_Toc15581"/>
      <w:bookmarkStart w:id="218" w:name="_Toc6923"/>
      <w:r>
        <w:rPr>
          <w:rFonts w:hint="eastAsia" w:ascii="楷体" w:hAnsi="楷体" w:eastAsia="楷体" w:cs="楷体"/>
          <w:u w:val="none"/>
        </w:rPr>
        <w:t>33.政府采购信用担保</w:t>
      </w:r>
      <w:bookmarkEnd w:id="215"/>
      <w:bookmarkEnd w:id="216"/>
      <w:bookmarkEnd w:id="217"/>
      <w:bookmarkEnd w:id="218"/>
    </w:p>
    <w:p>
      <w:pPr>
        <w:spacing w:line="240" w:lineRule="atLeast"/>
        <w:ind w:left="910" w:hanging="907" w:hangingChars="375"/>
        <w:rPr>
          <w:rFonts w:ascii="楷体" w:hAnsi="楷体" w:eastAsia="楷体" w:cs="楷体"/>
          <w:sz w:val="24"/>
        </w:rPr>
      </w:pPr>
      <w:r>
        <w:rPr>
          <w:rFonts w:hint="eastAsia" w:ascii="楷体" w:hAnsi="楷体" w:eastAsia="楷体" w:cs="楷体"/>
          <w:sz w:val="24"/>
        </w:rPr>
        <w:t>33.1   本项目是否属于信用担保试点范围见</w:t>
      </w:r>
      <w:r>
        <w:rPr>
          <w:rFonts w:hint="eastAsia" w:ascii="楷体" w:hAnsi="楷体" w:eastAsia="楷体" w:cs="楷体"/>
          <w:sz w:val="24"/>
          <w:u w:val="single"/>
        </w:rPr>
        <w:t>投标人须知资料表</w:t>
      </w:r>
      <w:r>
        <w:rPr>
          <w:rFonts w:hint="eastAsia" w:ascii="楷体" w:hAnsi="楷体" w:eastAsia="楷体" w:cs="楷体"/>
          <w:sz w:val="24"/>
        </w:rPr>
        <w:t>。</w:t>
      </w:r>
    </w:p>
    <w:p>
      <w:pPr>
        <w:spacing w:line="240" w:lineRule="atLeast"/>
        <w:ind w:left="859" w:hanging="856" w:hangingChars="354"/>
        <w:rPr>
          <w:rFonts w:ascii="楷体" w:hAnsi="楷体" w:eastAsia="楷体" w:cs="楷体"/>
          <w:sz w:val="24"/>
        </w:rPr>
      </w:pPr>
      <w:r>
        <w:rPr>
          <w:rFonts w:hint="eastAsia" w:ascii="楷体" w:hAnsi="楷体" w:eastAsia="楷体" w:cs="楷体"/>
          <w:sz w:val="24"/>
        </w:rPr>
        <w:t>33.2   如属于政府采购信用担保试点范围内，中小型企业投标人可以自由按照财政部门的规定，采用投标担保、履约担保和融资担保。</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33.2.1 投标人递交的投标担保函和履约担保函应符合本招标文件的规定。</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33.2.2 中标人可以采取融资担保的形式为政府采购项目履约进行融资。</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33.2.3 合格的政府采购专业信用担保机构名单见</w:t>
      </w:r>
      <w:r>
        <w:rPr>
          <w:rFonts w:hint="eastAsia" w:ascii="楷体" w:hAnsi="楷体" w:eastAsia="楷体" w:cs="楷体"/>
          <w:sz w:val="24"/>
          <w:u w:val="single"/>
        </w:rPr>
        <w:t>投标人须知资料表</w:t>
      </w:r>
      <w:r>
        <w:rPr>
          <w:rFonts w:hint="eastAsia" w:ascii="楷体" w:hAnsi="楷体" w:eastAsia="楷体" w:cs="楷体"/>
          <w:sz w:val="24"/>
        </w:rPr>
        <w:t>。</w:t>
      </w:r>
    </w:p>
    <w:p>
      <w:pPr>
        <w:pStyle w:val="7"/>
        <w:spacing w:before="0" w:after="0" w:line="240" w:lineRule="atLeast"/>
        <w:rPr>
          <w:rFonts w:ascii="楷体" w:hAnsi="楷体" w:eastAsia="楷体" w:cs="楷体"/>
          <w:u w:val="none"/>
        </w:rPr>
      </w:pPr>
      <w:bookmarkStart w:id="219" w:name="_Toc2133"/>
      <w:bookmarkStart w:id="220" w:name="_Toc8231"/>
      <w:bookmarkStart w:id="221" w:name="_Toc515647796"/>
      <w:bookmarkStart w:id="222" w:name="_Toc23999"/>
      <w:r>
        <w:rPr>
          <w:rFonts w:hint="eastAsia" w:ascii="楷体" w:hAnsi="楷体" w:eastAsia="楷体" w:cs="楷体"/>
          <w:u w:val="none"/>
        </w:rPr>
        <w:t>34.廉洁自律规定</w:t>
      </w:r>
      <w:bookmarkEnd w:id="219"/>
      <w:bookmarkEnd w:id="220"/>
      <w:bookmarkEnd w:id="221"/>
      <w:bookmarkEnd w:id="222"/>
    </w:p>
    <w:p>
      <w:pPr>
        <w:spacing w:line="240" w:lineRule="atLeast"/>
        <w:ind w:left="910" w:hanging="907" w:hangingChars="375"/>
        <w:rPr>
          <w:rFonts w:ascii="楷体" w:hAnsi="楷体" w:eastAsia="楷体" w:cs="楷体"/>
          <w:sz w:val="24"/>
        </w:rPr>
      </w:pPr>
      <w:r>
        <w:rPr>
          <w:rFonts w:hint="eastAsia" w:ascii="楷体" w:hAnsi="楷体" w:eastAsia="楷体" w:cs="楷体"/>
          <w:sz w:val="24"/>
        </w:rPr>
        <w:t>34.1   采购代理机构工作人员不得以不正当手段获取政府采购代理业务，不得与采购人、供应商恶意串通操纵政府采购活动。</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10" w:hanging="907" w:hangingChars="375"/>
        <w:rPr>
          <w:rFonts w:ascii="楷体" w:hAnsi="楷体" w:eastAsia="楷体" w:cs="楷体"/>
          <w:sz w:val="24"/>
        </w:rPr>
      </w:pPr>
      <w:r>
        <w:rPr>
          <w:rFonts w:hint="eastAsia" w:ascii="楷体" w:hAnsi="楷体" w:eastAsia="楷体" w:cs="楷体"/>
          <w:sz w:val="24"/>
        </w:rPr>
        <w:t>34.3   为强化采购代理机构内部监督机制，供应商可按</w:t>
      </w:r>
      <w:r>
        <w:rPr>
          <w:rFonts w:hint="eastAsia" w:ascii="楷体" w:hAnsi="楷体" w:eastAsia="楷体" w:cs="楷体"/>
          <w:sz w:val="24"/>
          <w:u w:val="single"/>
        </w:rPr>
        <w:t>投标人须知资料表中的</w:t>
      </w:r>
      <w:r>
        <w:rPr>
          <w:rFonts w:hint="eastAsia" w:ascii="楷体" w:hAnsi="楷体" w:eastAsia="楷体" w:cs="楷体"/>
          <w:sz w:val="24"/>
        </w:rPr>
        <w:t>监督电话和邮箱，反映采购代理机构的廉洁自律等问题。</w:t>
      </w:r>
    </w:p>
    <w:p>
      <w:pPr>
        <w:pStyle w:val="7"/>
        <w:spacing w:before="0" w:after="0" w:line="240" w:lineRule="atLeast"/>
        <w:rPr>
          <w:rFonts w:ascii="楷体" w:hAnsi="楷体" w:eastAsia="楷体" w:cs="楷体"/>
          <w:u w:val="none"/>
        </w:rPr>
      </w:pPr>
      <w:bookmarkStart w:id="223" w:name="_Toc4789"/>
      <w:bookmarkStart w:id="224" w:name="_Toc11586"/>
      <w:bookmarkStart w:id="225" w:name="_Toc25480"/>
      <w:bookmarkStart w:id="226" w:name="_Toc515647797"/>
      <w:r>
        <w:rPr>
          <w:rFonts w:hint="eastAsia" w:ascii="楷体" w:hAnsi="楷体" w:eastAsia="楷体" w:cs="楷体"/>
          <w:u w:val="none"/>
        </w:rPr>
        <w:t>35.人员回避</w:t>
      </w:r>
      <w:bookmarkEnd w:id="223"/>
      <w:bookmarkEnd w:id="224"/>
      <w:bookmarkEnd w:id="225"/>
      <w:bookmarkEnd w:id="226"/>
    </w:p>
    <w:p>
      <w:pPr>
        <w:spacing w:line="240" w:lineRule="atLeast"/>
        <w:ind w:left="910" w:hanging="907" w:hangingChars="375"/>
        <w:rPr>
          <w:rFonts w:ascii="楷体" w:hAnsi="楷体" w:eastAsia="楷体" w:cs="楷体"/>
          <w:sz w:val="24"/>
        </w:rPr>
      </w:pPr>
      <w:r>
        <w:rPr>
          <w:rFonts w:hint="eastAsia" w:ascii="楷体" w:hAnsi="楷体" w:eastAsia="楷体" w:cs="楷体"/>
          <w:sz w:val="24"/>
        </w:rPr>
        <w:t xml:space="preserve">       投标人认为采购人员及其相关人员有法律法规所列与其他供应商有利害关系的，可以向采购人或采购代理机构书面提出回避申请，并说明理由。</w:t>
      </w:r>
    </w:p>
    <w:p>
      <w:pPr>
        <w:pStyle w:val="7"/>
        <w:spacing w:before="0" w:after="0" w:line="240" w:lineRule="atLeast"/>
        <w:rPr>
          <w:rFonts w:ascii="楷体" w:hAnsi="楷体" w:eastAsia="楷体" w:cs="楷体"/>
          <w:u w:val="none"/>
        </w:rPr>
      </w:pPr>
      <w:bookmarkStart w:id="227" w:name="_Toc1148"/>
      <w:bookmarkStart w:id="228" w:name="_Toc515647798"/>
      <w:bookmarkStart w:id="229" w:name="_Toc28283"/>
      <w:bookmarkStart w:id="230" w:name="_Toc11115"/>
      <w:r>
        <w:rPr>
          <w:rFonts w:hint="eastAsia" w:ascii="楷体" w:hAnsi="楷体" w:eastAsia="楷体" w:cs="楷体"/>
          <w:u w:val="none"/>
        </w:rPr>
        <w:t>36.质疑与接收</w:t>
      </w:r>
      <w:bookmarkEnd w:id="227"/>
      <w:bookmarkEnd w:id="228"/>
      <w:bookmarkEnd w:id="229"/>
      <w:bookmarkEnd w:id="230"/>
    </w:p>
    <w:p>
      <w:pPr>
        <w:spacing w:line="240" w:lineRule="atLeast"/>
        <w:ind w:left="857" w:leftChars="68" w:hanging="713" w:hangingChars="295"/>
        <w:rPr>
          <w:rFonts w:ascii="楷体" w:hAnsi="楷体" w:eastAsia="楷体" w:cs="楷体"/>
          <w:sz w:val="24"/>
        </w:rPr>
      </w:pPr>
      <w:r>
        <w:rPr>
          <w:rFonts w:hint="eastAsia" w:ascii="楷体" w:hAnsi="楷体" w:eastAsia="楷体" w:cs="楷体"/>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7" w:leftChars="68" w:hanging="713" w:hangingChars="295"/>
        <w:rPr>
          <w:rFonts w:ascii="楷体" w:hAnsi="楷体" w:eastAsia="楷体" w:cs="楷体"/>
          <w:sz w:val="24"/>
        </w:rPr>
      </w:pPr>
      <w:r>
        <w:rPr>
          <w:rFonts w:hint="eastAsia" w:ascii="楷体" w:hAnsi="楷体" w:eastAsia="楷体" w:cs="楷体"/>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9" w:leftChars="405" w:hanging="1"/>
        <w:rPr>
          <w:rFonts w:ascii="楷体" w:hAnsi="楷体" w:eastAsia="楷体" w:cs="楷体"/>
          <w:sz w:val="24"/>
        </w:rPr>
      </w:pPr>
      <w:r>
        <w:rPr>
          <w:rFonts w:hint="eastAsia" w:ascii="楷体" w:hAnsi="楷体" w:eastAsia="楷体" w:cs="楷体"/>
          <w:sz w:val="24"/>
        </w:rPr>
        <w:t>超出法定质疑期的、重复提出的、分次提出的或内容、形式不符合《政府采购质疑和投诉办法》的，质疑供应商将依法承担不利后果。</w:t>
      </w:r>
    </w:p>
    <w:p>
      <w:pPr>
        <w:spacing w:line="240" w:lineRule="atLeast"/>
        <w:ind w:left="857" w:leftChars="68" w:hanging="713" w:hangingChars="295"/>
        <w:rPr>
          <w:rFonts w:ascii="楷体" w:hAnsi="楷体" w:eastAsia="楷体" w:cs="楷体"/>
          <w:sz w:val="24"/>
          <w:u w:val="single"/>
        </w:rPr>
      </w:pPr>
      <w:r>
        <w:rPr>
          <w:rFonts w:hint="eastAsia" w:ascii="楷体" w:hAnsi="楷体" w:eastAsia="楷体" w:cs="楷体"/>
          <w:sz w:val="24"/>
        </w:rPr>
        <w:t>36.3  采购代理机构质疑函接收部门、联系电话和通讯地址, 见</w:t>
      </w:r>
      <w:r>
        <w:rPr>
          <w:rFonts w:hint="eastAsia" w:ascii="楷体" w:hAnsi="楷体" w:eastAsia="楷体" w:cs="楷体"/>
          <w:sz w:val="24"/>
          <w:u w:val="single"/>
        </w:rPr>
        <w:t>投标人须知资料表。</w:t>
      </w:r>
    </w:p>
    <w:p>
      <w:pPr>
        <w:spacing w:line="240" w:lineRule="atLeast"/>
        <w:ind w:left="859" w:leftChars="405" w:hanging="1"/>
        <w:rPr>
          <w:rFonts w:ascii="楷体" w:hAnsi="楷体" w:eastAsia="楷体" w:cs="楷体"/>
          <w:sz w:val="24"/>
        </w:rPr>
      </w:pPr>
      <w:r>
        <w:rPr>
          <w:rFonts w:hint="eastAsia" w:ascii="楷体" w:hAnsi="楷体" w:eastAsia="楷体" w:cs="楷体"/>
          <w:sz w:val="24"/>
        </w:rPr>
        <w:t>36.4、质疑的提出：一次提出全部质疑</w:t>
      </w:r>
    </w:p>
    <w:p>
      <w:pPr>
        <w:spacing w:line="240" w:lineRule="atLeast"/>
        <w:ind w:left="859" w:leftChars="405" w:hanging="1"/>
        <w:rPr>
          <w:rFonts w:ascii="楷体" w:hAnsi="楷体" w:eastAsia="楷体" w:cs="楷体"/>
          <w:sz w:val="24"/>
        </w:rPr>
      </w:pPr>
      <w:r>
        <w:rPr>
          <w:rFonts w:hint="eastAsia" w:ascii="楷体" w:hAnsi="楷体" w:eastAsia="楷体" w:cs="楷体"/>
          <w:sz w:val="24"/>
        </w:rPr>
        <w:t>36.5 本采购文件中所称质疑及答复，是指参加本次采购活动的供应商对政府采购活动中的采购文件、采购过程和成交结果向采购方提出质疑，采购方答复质疑的行为。</w:t>
      </w:r>
    </w:p>
    <w:p>
      <w:pPr>
        <w:spacing w:line="240" w:lineRule="atLeast"/>
        <w:ind w:left="859" w:leftChars="405" w:hanging="1"/>
        <w:rPr>
          <w:rFonts w:ascii="楷体" w:hAnsi="楷体" w:eastAsia="楷体" w:cs="楷体"/>
          <w:sz w:val="24"/>
        </w:rPr>
      </w:pPr>
      <w:r>
        <w:rPr>
          <w:rFonts w:hint="eastAsia" w:ascii="楷体" w:hAnsi="楷体" w:eastAsia="楷体" w:cs="楷体"/>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240" w:lineRule="atLeast"/>
        <w:ind w:left="859" w:leftChars="405" w:hanging="1"/>
        <w:rPr>
          <w:rFonts w:ascii="楷体" w:hAnsi="楷体" w:eastAsia="楷体" w:cs="楷体"/>
          <w:sz w:val="24"/>
        </w:rPr>
      </w:pPr>
      <w:r>
        <w:rPr>
          <w:rFonts w:hint="eastAsia" w:ascii="楷体" w:hAnsi="楷体" w:eastAsia="楷体" w:cs="楷体"/>
          <w:sz w:val="24"/>
        </w:rPr>
        <w:t>（一）对可以质疑的采购文件提出质疑的，为收到采购文件之日或者采购文件公告期限届满之日；</w:t>
      </w:r>
    </w:p>
    <w:p>
      <w:pPr>
        <w:spacing w:line="240" w:lineRule="atLeast"/>
        <w:ind w:left="859" w:leftChars="405" w:hanging="1"/>
        <w:rPr>
          <w:rFonts w:ascii="楷体" w:hAnsi="楷体" w:eastAsia="楷体" w:cs="楷体"/>
          <w:sz w:val="24"/>
        </w:rPr>
      </w:pPr>
      <w:r>
        <w:rPr>
          <w:rFonts w:hint="eastAsia" w:ascii="楷体" w:hAnsi="楷体" w:eastAsia="楷体" w:cs="楷体"/>
          <w:sz w:val="24"/>
        </w:rPr>
        <w:t>（二）对采购过程提出质疑的，为各采购程序环节结束之日；</w:t>
      </w:r>
    </w:p>
    <w:p>
      <w:pPr>
        <w:spacing w:line="240" w:lineRule="atLeast"/>
        <w:ind w:left="859" w:leftChars="405" w:hanging="1"/>
        <w:rPr>
          <w:rFonts w:ascii="楷体" w:hAnsi="楷体" w:eastAsia="楷体" w:cs="楷体"/>
          <w:sz w:val="24"/>
        </w:rPr>
      </w:pPr>
      <w:r>
        <w:rPr>
          <w:rFonts w:hint="eastAsia" w:ascii="楷体" w:hAnsi="楷体" w:eastAsia="楷体" w:cs="楷体"/>
          <w:sz w:val="24"/>
        </w:rPr>
        <w:t>（三）对成交结果提出质疑的，为成交结果公告期限届满之日。</w:t>
      </w:r>
    </w:p>
    <w:p>
      <w:pPr>
        <w:spacing w:line="240" w:lineRule="atLeast"/>
        <w:ind w:left="859" w:leftChars="405" w:hanging="1"/>
        <w:rPr>
          <w:rFonts w:ascii="楷体" w:hAnsi="楷体" w:eastAsia="楷体" w:cs="楷体"/>
          <w:sz w:val="24"/>
        </w:rPr>
      </w:pPr>
      <w:r>
        <w:rPr>
          <w:rFonts w:hint="eastAsia" w:ascii="楷体" w:hAnsi="楷体" w:eastAsia="楷体" w:cs="楷体"/>
          <w:sz w:val="24"/>
        </w:rPr>
        <w:t>36.7对可以质疑的采购文件提出质疑的，质疑人为参与本项目的报价方或潜在报价方。可质疑的文件为采购公告以及采购文件（包括属于其组成部分的澄清、修改、补充文件和评审标准、合同文本等）。</w:t>
      </w:r>
    </w:p>
    <w:p>
      <w:pPr>
        <w:spacing w:line="240" w:lineRule="atLeast"/>
        <w:ind w:left="859" w:leftChars="405" w:hanging="1"/>
        <w:rPr>
          <w:rFonts w:ascii="楷体" w:hAnsi="楷体" w:eastAsia="楷体" w:cs="楷体"/>
          <w:sz w:val="24"/>
        </w:rPr>
      </w:pPr>
      <w:r>
        <w:rPr>
          <w:rFonts w:hint="eastAsia" w:ascii="楷体" w:hAnsi="楷体" w:eastAsia="楷体" w:cs="楷体"/>
          <w:sz w:val="24"/>
        </w:rPr>
        <w:t>36.8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240" w:lineRule="atLeast"/>
        <w:ind w:left="859" w:leftChars="405" w:hanging="1"/>
        <w:rPr>
          <w:rFonts w:ascii="楷体" w:hAnsi="楷体" w:eastAsia="楷体" w:cs="楷体"/>
          <w:sz w:val="24"/>
        </w:rPr>
      </w:pPr>
      <w:r>
        <w:rPr>
          <w:rFonts w:hint="eastAsia" w:ascii="楷体" w:hAnsi="楷体" w:eastAsia="楷体" w:cs="楷体"/>
          <w:sz w:val="24"/>
        </w:rPr>
        <w:t>36.9 提出质疑应当符合下列条件：</w:t>
      </w:r>
    </w:p>
    <w:p>
      <w:pPr>
        <w:spacing w:line="240" w:lineRule="atLeast"/>
        <w:ind w:left="859" w:leftChars="405" w:hanging="1"/>
        <w:rPr>
          <w:rFonts w:ascii="楷体" w:hAnsi="楷体" w:eastAsia="楷体" w:cs="楷体"/>
          <w:sz w:val="24"/>
        </w:rPr>
      </w:pPr>
      <w:r>
        <w:rPr>
          <w:rFonts w:hint="eastAsia" w:ascii="楷体" w:hAnsi="楷体" w:eastAsia="楷体" w:cs="楷体"/>
          <w:sz w:val="24"/>
        </w:rPr>
        <w:t>（一）质疑主体应当符合有关规定；</w:t>
      </w:r>
    </w:p>
    <w:p>
      <w:pPr>
        <w:spacing w:line="240" w:lineRule="atLeast"/>
        <w:ind w:left="859" w:leftChars="405" w:hanging="1"/>
        <w:rPr>
          <w:rFonts w:ascii="楷体" w:hAnsi="楷体" w:eastAsia="楷体" w:cs="楷体"/>
          <w:sz w:val="24"/>
        </w:rPr>
      </w:pPr>
      <w:r>
        <w:rPr>
          <w:rFonts w:hint="eastAsia" w:ascii="楷体" w:hAnsi="楷体" w:eastAsia="楷体" w:cs="楷体"/>
          <w:sz w:val="24"/>
        </w:rPr>
        <w:t>（二）在质疑法定期限内提出；</w:t>
      </w:r>
    </w:p>
    <w:p>
      <w:pPr>
        <w:spacing w:line="240" w:lineRule="atLeast"/>
        <w:ind w:left="859" w:leftChars="405" w:hanging="1"/>
        <w:rPr>
          <w:rFonts w:ascii="楷体" w:hAnsi="楷体" w:eastAsia="楷体" w:cs="楷体"/>
          <w:sz w:val="24"/>
        </w:rPr>
      </w:pPr>
      <w:r>
        <w:rPr>
          <w:rFonts w:hint="eastAsia" w:ascii="楷体" w:hAnsi="楷体" w:eastAsia="楷体" w:cs="楷体"/>
          <w:sz w:val="24"/>
        </w:rPr>
        <w:t>（三）属于可以提出质疑的政府采购事项受理范围和本项目采购人的管辖权范围；</w:t>
      </w:r>
    </w:p>
    <w:p>
      <w:pPr>
        <w:spacing w:line="240" w:lineRule="atLeast"/>
        <w:ind w:left="859" w:leftChars="405" w:hanging="1"/>
        <w:rPr>
          <w:rFonts w:ascii="楷体" w:hAnsi="楷体" w:eastAsia="楷体" w:cs="楷体"/>
          <w:sz w:val="24"/>
        </w:rPr>
      </w:pPr>
      <w:r>
        <w:rPr>
          <w:rFonts w:hint="eastAsia" w:ascii="楷体" w:hAnsi="楷体" w:eastAsia="楷体" w:cs="楷体"/>
          <w:sz w:val="24"/>
        </w:rPr>
        <w:t>（四）政府采购法律、法规、规章规定的其他条件。</w:t>
      </w:r>
    </w:p>
    <w:p>
      <w:pPr>
        <w:spacing w:line="240" w:lineRule="atLeast"/>
        <w:ind w:left="859" w:leftChars="405" w:hanging="1"/>
        <w:rPr>
          <w:rFonts w:ascii="楷体" w:hAnsi="楷体" w:eastAsia="楷体" w:cs="楷体"/>
          <w:sz w:val="24"/>
        </w:rPr>
      </w:pPr>
      <w:r>
        <w:rPr>
          <w:rFonts w:hint="eastAsia" w:ascii="楷体" w:hAnsi="楷体" w:eastAsia="楷体" w:cs="楷体"/>
          <w:sz w:val="24"/>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240" w:lineRule="atLeast"/>
        <w:ind w:left="859" w:leftChars="405" w:hanging="1"/>
        <w:rPr>
          <w:rFonts w:ascii="楷体" w:hAnsi="楷体" w:eastAsia="楷体" w:cs="楷体"/>
          <w:sz w:val="24"/>
        </w:rPr>
      </w:pPr>
      <w:r>
        <w:rPr>
          <w:rFonts w:hint="eastAsia" w:ascii="楷体" w:hAnsi="楷体" w:eastAsia="楷体" w:cs="楷体"/>
          <w:sz w:val="24"/>
        </w:rPr>
        <w:t>40.1 质疑人所提供的证明材料应当具有真实性、合法性以及与质疑事项的关联性和证明力，否则不能作为认定该质疑事项成立的依据。</w:t>
      </w:r>
    </w:p>
    <w:p>
      <w:pPr>
        <w:spacing w:line="240" w:lineRule="atLeast"/>
        <w:ind w:left="859" w:leftChars="405" w:hanging="1"/>
        <w:rPr>
          <w:rFonts w:ascii="楷体" w:hAnsi="楷体" w:eastAsia="楷体" w:cs="楷体"/>
          <w:sz w:val="24"/>
        </w:rPr>
      </w:pPr>
      <w:r>
        <w:rPr>
          <w:rFonts w:hint="eastAsia" w:ascii="楷体" w:hAnsi="楷体" w:eastAsia="楷体" w:cs="楷体"/>
          <w:sz w:val="24"/>
        </w:rPr>
        <w:t>40.2 质疑人提出质疑时应当提交质疑函。质疑函包括下列内容：</w:t>
      </w:r>
    </w:p>
    <w:p>
      <w:pPr>
        <w:spacing w:line="240" w:lineRule="atLeast"/>
        <w:ind w:left="859" w:leftChars="405" w:hanging="1"/>
        <w:rPr>
          <w:rFonts w:ascii="楷体" w:hAnsi="楷体" w:eastAsia="楷体" w:cs="楷体"/>
          <w:sz w:val="24"/>
        </w:rPr>
      </w:pPr>
      <w:r>
        <w:rPr>
          <w:rFonts w:hint="eastAsia" w:ascii="楷体" w:hAnsi="楷体" w:eastAsia="楷体" w:cs="楷体"/>
          <w:sz w:val="24"/>
        </w:rPr>
        <w:t>（一）提出质疑的质疑人的名称、地址、邮编、联系人及联系电话等；</w:t>
      </w:r>
    </w:p>
    <w:p>
      <w:pPr>
        <w:spacing w:line="240" w:lineRule="atLeast"/>
        <w:ind w:left="859" w:leftChars="405" w:hanging="1"/>
        <w:rPr>
          <w:rFonts w:ascii="楷体" w:hAnsi="楷体" w:eastAsia="楷体" w:cs="楷体"/>
          <w:sz w:val="24"/>
        </w:rPr>
      </w:pPr>
      <w:r>
        <w:rPr>
          <w:rFonts w:hint="eastAsia" w:ascii="楷体" w:hAnsi="楷体" w:eastAsia="楷体" w:cs="楷体"/>
          <w:sz w:val="24"/>
        </w:rPr>
        <w:t>（二）质疑项目的名称、编号；</w:t>
      </w:r>
    </w:p>
    <w:p>
      <w:pPr>
        <w:spacing w:line="240" w:lineRule="atLeast"/>
        <w:ind w:left="859" w:leftChars="405" w:hanging="1"/>
        <w:rPr>
          <w:rFonts w:ascii="楷体" w:hAnsi="楷体" w:eastAsia="楷体" w:cs="楷体"/>
          <w:sz w:val="24"/>
        </w:rPr>
      </w:pPr>
      <w:r>
        <w:rPr>
          <w:rFonts w:hint="eastAsia" w:ascii="楷体" w:hAnsi="楷体" w:eastAsia="楷体" w:cs="楷体"/>
          <w:sz w:val="24"/>
        </w:rPr>
        <w:t>（三）质疑事项；</w:t>
      </w:r>
    </w:p>
    <w:p>
      <w:pPr>
        <w:spacing w:line="240" w:lineRule="atLeast"/>
        <w:ind w:left="859" w:leftChars="405" w:hanging="1"/>
        <w:rPr>
          <w:rFonts w:ascii="楷体" w:hAnsi="楷体" w:eastAsia="楷体" w:cs="楷体"/>
          <w:sz w:val="24"/>
        </w:rPr>
      </w:pPr>
      <w:r>
        <w:rPr>
          <w:rFonts w:hint="eastAsia" w:ascii="楷体" w:hAnsi="楷体" w:eastAsia="楷体" w:cs="楷体"/>
          <w:sz w:val="24"/>
        </w:rPr>
        <w:t>（四）事实依据和证明材料；</w:t>
      </w:r>
    </w:p>
    <w:p>
      <w:pPr>
        <w:spacing w:line="240" w:lineRule="atLeast"/>
        <w:ind w:left="859" w:leftChars="405" w:hanging="1"/>
        <w:rPr>
          <w:rFonts w:ascii="楷体" w:hAnsi="楷体" w:eastAsia="楷体" w:cs="楷体"/>
          <w:sz w:val="24"/>
        </w:rPr>
      </w:pPr>
      <w:r>
        <w:rPr>
          <w:rFonts w:hint="eastAsia" w:ascii="楷体" w:hAnsi="楷体" w:eastAsia="楷体" w:cs="楷体"/>
          <w:sz w:val="24"/>
        </w:rPr>
        <w:t>（五）法律依据；</w:t>
      </w:r>
    </w:p>
    <w:p>
      <w:pPr>
        <w:spacing w:line="240" w:lineRule="atLeast"/>
        <w:ind w:left="859" w:leftChars="405" w:hanging="1"/>
        <w:rPr>
          <w:rFonts w:ascii="楷体" w:hAnsi="楷体" w:eastAsia="楷体" w:cs="楷体"/>
          <w:sz w:val="24"/>
        </w:rPr>
      </w:pPr>
      <w:r>
        <w:rPr>
          <w:rFonts w:hint="eastAsia" w:ascii="楷体" w:hAnsi="楷体" w:eastAsia="楷体" w:cs="楷体"/>
          <w:sz w:val="24"/>
        </w:rPr>
        <w:t>（六）提出质疑的日期。</w:t>
      </w:r>
    </w:p>
    <w:p>
      <w:pPr>
        <w:spacing w:line="240" w:lineRule="atLeast"/>
        <w:ind w:left="859" w:leftChars="405" w:hanging="1"/>
        <w:rPr>
          <w:rFonts w:ascii="楷体" w:hAnsi="楷体" w:eastAsia="楷体" w:cs="楷体"/>
          <w:sz w:val="24"/>
        </w:rPr>
      </w:pPr>
      <w:r>
        <w:rPr>
          <w:rFonts w:hint="eastAsia" w:ascii="楷体" w:hAnsi="楷体" w:eastAsia="楷体" w:cs="楷体"/>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240" w:lineRule="atLeast"/>
        <w:ind w:left="859" w:leftChars="405" w:hanging="1"/>
        <w:rPr>
          <w:rFonts w:ascii="楷体" w:hAnsi="楷体" w:eastAsia="楷体" w:cs="楷体"/>
          <w:sz w:val="24"/>
        </w:rPr>
      </w:pPr>
      <w:r>
        <w:rPr>
          <w:rFonts w:hint="eastAsia" w:ascii="楷体" w:hAnsi="楷体" w:eastAsia="楷体" w:cs="楷体"/>
          <w:sz w:val="24"/>
        </w:rPr>
        <w:t>40.3 质疑人可以委托代理人进行质疑。代理人应当提交授权委托书。授权委托书应当载明委托代理的具体权限、期限和相关事项。</w:t>
      </w:r>
    </w:p>
    <w:p>
      <w:pPr>
        <w:spacing w:line="240" w:lineRule="atLeast"/>
        <w:ind w:left="859" w:leftChars="405" w:hanging="1"/>
        <w:rPr>
          <w:rFonts w:ascii="楷体" w:hAnsi="楷体" w:eastAsia="楷体" w:cs="楷体"/>
          <w:sz w:val="24"/>
        </w:rPr>
      </w:pPr>
      <w:r>
        <w:rPr>
          <w:rFonts w:hint="eastAsia" w:ascii="楷体" w:hAnsi="楷体" w:eastAsia="楷体" w:cs="楷体"/>
          <w:sz w:val="24"/>
        </w:rPr>
        <w:t>40.4、质疑的审查和受理</w:t>
      </w:r>
    </w:p>
    <w:p>
      <w:pPr>
        <w:spacing w:line="240" w:lineRule="atLeast"/>
        <w:ind w:left="859" w:leftChars="405" w:hanging="1"/>
        <w:rPr>
          <w:rFonts w:ascii="楷体" w:hAnsi="楷体" w:eastAsia="楷体" w:cs="楷体"/>
          <w:sz w:val="24"/>
        </w:rPr>
      </w:pPr>
      <w:r>
        <w:rPr>
          <w:rFonts w:hint="eastAsia" w:ascii="楷体" w:hAnsi="楷体" w:eastAsia="楷体" w:cs="楷体"/>
          <w:sz w:val="24"/>
        </w:rPr>
        <w:t>1  采购方在收到质疑函后应当及时审查是否符合质疑受理条件，对符合质疑受理条件的，及时予以受理。</w:t>
      </w:r>
    </w:p>
    <w:p>
      <w:pPr>
        <w:spacing w:line="240" w:lineRule="atLeast"/>
        <w:ind w:left="859" w:leftChars="405" w:hanging="1"/>
        <w:rPr>
          <w:rFonts w:ascii="楷体" w:hAnsi="楷体" w:eastAsia="楷体" w:cs="楷体"/>
          <w:sz w:val="24"/>
        </w:rPr>
      </w:pPr>
      <w:r>
        <w:rPr>
          <w:rFonts w:hint="eastAsia" w:ascii="楷体" w:hAnsi="楷体" w:eastAsia="楷体" w:cs="楷体"/>
          <w:sz w:val="24"/>
        </w:rPr>
        <w:t>40.5  对不符合质疑受理条件的，分别按照下列不同情形予以处理：</w:t>
      </w:r>
    </w:p>
    <w:p>
      <w:pPr>
        <w:spacing w:line="240" w:lineRule="atLeast"/>
        <w:ind w:left="859" w:leftChars="405" w:hanging="1"/>
        <w:rPr>
          <w:rFonts w:ascii="楷体" w:hAnsi="楷体" w:eastAsia="楷体" w:cs="楷体"/>
          <w:sz w:val="24"/>
        </w:rPr>
      </w:pPr>
      <w:r>
        <w:rPr>
          <w:rFonts w:hint="eastAsia" w:ascii="楷体" w:hAnsi="楷体" w:eastAsia="楷体" w:cs="楷体"/>
          <w:sz w:val="24"/>
        </w:rPr>
        <w:t>（一）质疑函内容不符合规定的，告知质疑人进行修改并重新提出质疑。修改后质疑事项仍不具体、不明确或者最终递交质疑函的时间超过质疑法定期限的，不予受理；</w:t>
      </w:r>
    </w:p>
    <w:p>
      <w:pPr>
        <w:spacing w:line="240" w:lineRule="atLeast"/>
        <w:ind w:left="859" w:leftChars="405" w:hanging="1"/>
        <w:rPr>
          <w:rFonts w:ascii="楷体" w:hAnsi="楷体" w:eastAsia="楷体" w:cs="楷体"/>
          <w:sz w:val="24"/>
        </w:rPr>
      </w:pPr>
      <w:r>
        <w:rPr>
          <w:rFonts w:hint="eastAsia" w:ascii="楷体" w:hAnsi="楷体" w:eastAsia="楷体" w:cs="楷体"/>
          <w:sz w:val="24"/>
        </w:rPr>
        <w:t>（二）质疑主体不符合有关规定的，告知质疑人不予受理；</w:t>
      </w:r>
    </w:p>
    <w:p>
      <w:pPr>
        <w:spacing w:line="240" w:lineRule="atLeast"/>
        <w:ind w:left="859" w:leftChars="405" w:hanging="1"/>
        <w:rPr>
          <w:rFonts w:ascii="楷体" w:hAnsi="楷体" w:eastAsia="楷体" w:cs="楷体"/>
          <w:sz w:val="24"/>
        </w:rPr>
      </w:pPr>
      <w:r>
        <w:rPr>
          <w:rFonts w:hint="eastAsia" w:ascii="楷体" w:hAnsi="楷体" w:eastAsia="楷体" w:cs="楷体"/>
          <w:sz w:val="24"/>
        </w:rPr>
        <w:t>（三）超过质疑法定期限提出质疑的，告知质疑人不予受理；</w:t>
      </w:r>
    </w:p>
    <w:p>
      <w:pPr>
        <w:spacing w:line="240" w:lineRule="atLeast"/>
        <w:ind w:left="859" w:leftChars="405" w:hanging="1"/>
        <w:rPr>
          <w:rFonts w:ascii="楷体" w:hAnsi="楷体" w:eastAsia="楷体" w:cs="楷体"/>
          <w:sz w:val="24"/>
        </w:rPr>
      </w:pPr>
      <w:r>
        <w:rPr>
          <w:rFonts w:hint="eastAsia" w:ascii="楷体" w:hAnsi="楷体" w:eastAsia="楷体" w:cs="楷体"/>
          <w:sz w:val="24"/>
        </w:rPr>
        <w:t>（四）对不属于可以提出质疑的政府采购事项提出质疑的，告知质疑人不予受理；</w:t>
      </w:r>
    </w:p>
    <w:p>
      <w:pPr>
        <w:spacing w:line="240" w:lineRule="atLeast"/>
        <w:ind w:left="859" w:leftChars="405" w:hanging="1"/>
        <w:rPr>
          <w:rFonts w:ascii="楷体" w:hAnsi="楷体" w:eastAsia="楷体" w:cs="楷体"/>
          <w:sz w:val="24"/>
        </w:rPr>
      </w:pPr>
      <w:r>
        <w:rPr>
          <w:rFonts w:hint="eastAsia" w:ascii="楷体" w:hAnsi="楷体" w:eastAsia="楷体" w:cs="楷体"/>
          <w:sz w:val="24"/>
        </w:rPr>
        <w:t>（五）质疑不属于本项目采购方管辖的，告知质疑人向有管辖权的采购人提出质疑；</w:t>
      </w:r>
    </w:p>
    <w:p>
      <w:pPr>
        <w:spacing w:line="240" w:lineRule="atLeast"/>
        <w:ind w:left="859" w:leftChars="405" w:hanging="1"/>
        <w:rPr>
          <w:rFonts w:ascii="楷体" w:hAnsi="楷体" w:eastAsia="楷体" w:cs="楷体"/>
          <w:sz w:val="24"/>
        </w:rPr>
      </w:pPr>
      <w:r>
        <w:rPr>
          <w:rFonts w:hint="eastAsia" w:ascii="楷体" w:hAnsi="楷体" w:eastAsia="楷体" w:cs="楷体"/>
          <w:sz w:val="24"/>
        </w:rPr>
        <w:t>（六）质疑不符合其他条件的，告知质疑人不予受理。</w:t>
      </w:r>
    </w:p>
    <w:p>
      <w:pPr>
        <w:spacing w:line="240" w:lineRule="atLeast"/>
        <w:ind w:left="859" w:leftChars="405" w:hanging="1"/>
        <w:rPr>
          <w:rFonts w:ascii="楷体" w:hAnsi="楷体" w:eastAsia="楷体" w:cs="楷体"/>
          <w:sz w:val="24"/>
        </w:rPr>
      </w:pPr>
      <w:r>
        <w:rPr>
          <w:rFonts w:hint="eastAsia" w:ascii="楷体" w:hAnsi="楷体" w:eastAsia="楷体" w:cs="楷体"/>
          <w:sz w:val="24"/>
        </w:rPr>
        <w:t>40.6、质疑的处理和答复</w:t>
      </w:r>
    </w:p>
    <w:p>
      <w:pPr>
        <w:spacing w:line="240" w:lineRule="atLeast"/>
        <w:ind w:left="859" w:leftChars="405" w:hanging="1"/>
        <w:rPr>
          <w:rFonts w:ascii="楷体" w:hAnsi="楷体" w:eastAsia="楷体" w:cs="楷体"/>
          <w:sz w:val="24"/>
        </w:rPr>
      </w:pPr>
      <w:r>
        <w:rPr>
          <w:rFonts w:hint="eastAsia" w:ascii="楷体" w:hAnsi="楷体" w:eastAsia="楷体" w:cs="楷体"/>
          <w:sz w:val="24"/>
        </w:rPr>
        <w:t>40.7 采购方受理质疑后，将及时把质疑函发送给被质疑人，并要求其在一定限期人提交书面答复，同时提供有关证据、依据和相关材料。</w:t>
      </w:r>
    </w:p>
    <w:p>
      <w:pPr>
        <w:spacing w:line="240" w:lineRule="atLeast"/>
        <w:ind w:left="859" w:leftChars="405" w:hanging="1"/>
        <w:rPr>
          <w:rFonts w:ascii="楷体" w:hAnsi="楷体" w:eastAsia="楷体" w:cs="楷体"/>
          <w:sz w:val="24"/>
        </w:rPr>
      </w:pPr>
      <w:r>
        <w:rPr>
          <w:rFonts w:hint="eastAsia" w:ascii="楷体" w:hAnsi="楷体" w:eastAsia="楷体" w:cs="楷体"/>
          <w:sz w:val="24"/>
        </w:rPr>
        <w:t>40.8  对于质疑事项中涉及的问题较多、情况比较复杂的，为了全面查清事实、取得充分的证据，采购方认为有必要时，可以进行调查取证或者组织质证。</w:t>
      </w:r>
    </w:p>
    <w:p>
      <w:pPr>
        <w:spacing w:line="240" w:lineRule="atLeast"/>
        <w:ind w:left="859" w:leftChars="405" w:hanging="1"/>
        <w:rPr>
          <w:rFonts w:ascii="楷体" w:hAnsi="楷体" w:eastAsia="楷体" w:cs="楷体"/>
          <w:sz w:val="24"/>
        </w:rPr>
      </w:pPr>
      <w:r>
        <w:rPr>
          <w:rFonts w:hint="eastAsia" w:ascii="楷体" w:hAnsi="楷体" w:eastAsia="楷体" w:cs="楷体"/>
          <w:sz w:val="24"/>
        </w:rPr>
        <w:t>40.9  对评审过程、成交结果提出质疑的，采购方可以组织原评审委员会协助答复质疑。</w:t>
      </w:r>
    </w:p>
    <w:p>
      <w:pPr>
        <w:spacing w:line="240" w:lineRule="atLeast"/>
        <w:ind w:left="859" w:leftChars="405" w:hanging="1"/>
        <w:rPr>
          <w:rFonts w:ascii="楷体" w:hAnsi="楷体" w:eastAsia="楷体" w:cs="楷体"/>
          <w:sz w:val="24"/>
        </w:rPr>
      </w:pPr>
      <w:r>
        <w:rPr>
          <w:rFonts w:hint="eastAsia" w:ascii="楷体" w:hAnsi="楷体" w:eastAsia="楷体" w:cs="楷体"/>
          <w:sz w:val="24"/>
        </w:rPr>
        <w:t>41.  质疑处理过程中，质疑人书面申请撤回质疑的，将终止质疑处理程序。</w:t>
      </w:r>
    </w:p>
    <w:p>
      <w:pPr>
        <w:spacing w:line="240" w:lineRule="atLeast"/>
        <w:ind w:left="859" w:leftChars="405" w:hanging="1"/>
        <w:rPr>
          <w:rFonts w:ascii="楷体" w:hAnsi="楷体" w:eastAsia="楷体" w:cs="楷体"/>
          <w:sz w:val="24"/>
        </w:rPr>
      </w:pPr>
      <w:r>
        <w:rPr>
          <w:rFonts w:hint="eastAsia" w:ascii="楷体" w:hAnsi="楷体" w:eastAsia="楷体" w:cs="楷体"/>
          <w:sz w:val="24"/>
        </w:rPr>
        <w:t>41.1质疑人拒绝配合采购方依法对质疑进行调查处理的，采购方将按质疑人自动撤回质疑处理；被质疑人拒绝配合采购方依法对质疑进行调查处理的，采购方将视同其认可质疑事项。</w:t>
      </w:r>
    </w:p>
    <w:p>
      <w:pPr>
        <w:spacing w:line="240" w:lineRule="atLeast"/>
        <w:ind w:left="859" w:leftChars="405" w:hanging="1"/>
        <w:rPr>
          <w:rFonts w:ascii="楷体" w:hAnsi="楷体" w:eastAsia="楷体" w:cs="楷体"/>
          <w:sz w:val="24"/>
        </w:rPr>
      </w:pPr>
      <w:r>
        <w:rPr>
          <w:rFonts w:hint="eastAsia" w:ascii="楷体" w:hAnsi="楷体" w:eastAsia="楷体" w:cs="楷体"/>
          <w:sz w:val="24"/>
        </w:rPr>
        <w:t>41.2采购方将在正式受理质疑后7个工作日内作出答复，但处理质疑需要进行调查取证、组织专家评审、质疑人及被质疑人提交或补正材料等所需时间，不计算在质疑处理期限内。</w:t>
      </w:r>
    </w:p>
    <w:p>
      <w:pPr>
        <w:spacing w:line="240" w:lineRule="atLeast"/>
        <w:ind w:left="859" w:leftChars="405" w:hanging="1"/>
        <w:rPr>
          <w:rFonts w:ascii="楷体" w:hAnsi="楷体" w:eastAsia="楷体" w:cs="楷体"/>
          <w:sz w:val="24"/>
        </w:rPr>
      </w:pPr>
      <w:r>
        <w:rPr>
          <w:rFonts w:hint="eastAsia" w:ascii="楷体" w:hAnsi="楷体" w:eastAsia="楷体" w:cs="楷体"/>
          <w:sz w:val="24"/>
        </w:rPr>
        <w:t>41.3 采购方经调查、论证、核实，认定质疑不能成立的，继续开展采购活动；认定质疑成立的，按照以下情况处理：</w:t>
      </w:r>
    </w:p>
    <w:p>
      <w:pPr>
        <w:spacing w:line="240" w:lineRule="atLeast"/>
        <w:ind w:left="859" w:leftChars="405" w:hanging="1"/>
        <w:rPr>
          <w:rFonts w:ascii="楷体" w:hAnsi="楷体" w:eastAsia="楷体" w:cs="楷体"/>
          <w:sz w:val="24"/>
        </w:rPr>
      </w:pPr>
      <w:r>
        <w:rPr>
          <w:rFonts w:hint="eastAsia" w:ascii="楷体" w:hAnsi="楷体" w:eastAsia="楷体" w:cs="楷体"/>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spacing w:line="240" w:lineRule="atLeast"/>
        <w:ind w:left="859" w:leftChars="405" w:hanging="1"/>
        <w:rPr>
          <w:rFonts w:ascii="楷体" w:hAnsi="楷体" w:eastAsia="楷体" w:cs="楷体"/>
          <w:sz w:val="24"/>
        </w:rPr>
      </w:pPr>
      <w:r>
        <w:rPr>
          <w:rFonts w:hint="eastAsia" w:ascii="楷体" w:hAnsi="楷体" w:eastAsia="楷体" w:cs="楷体"/>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spacing w:line="240" w:lineRule="atLeast"/>
        <w:ind w:left="859" w:leftChars="405" w:hanging="1"/>
        <w:rPr>
          <w:rFonts w:ascii="楷体" w:hAnsi="楷体" w:eastAsia="楷体" w:cs="楷体"/>
          <w:sz w:val="24"/>
        </w:rPr>
      </w:pPr>
      <w:r>
        <w:rPr>
          <w:rFonts w:hint="eastAsia" w:ascii="楷体" w:hAnsi="楷体" w:eastAsia="楷体" w:cs="楷体"/>
          <w:sz w:val="24"/>
        </w:rPr>
        <w:t>41.4 采购方将书面答复质疑，质疑答复包括下列内容：</w:t>
      </w:r>
    </w:p>
    <w:p>
      <w:pPr>
        <w:spacing w:line="240" w:lineRule="atLeast"/>
        <w:ind w:left="859" w:leftChars="405" w:hanging="1"/>
        <w:rPr>
          <w:rFonts w:ascii="楷体" w:hAnsi="楷体" w:eastAsia="楷体" w:cs="楷体"/>
          <w:sz w:val="24"/>
        </w:rPr>
      </w:pPr>
      <w:r>
        <w:rPr>
          <w:rFonts w:hint="eastAsia" w:ascii="楷体" w:hAnsi="楷体" w:eastAsia="楷体" w:cs="楷体"/>
          <w:sz w:val="24"/>
        </w:rPr>
        <w:t>（一）质疑人名称；</w:t>
      </w:r>
    </w:p>
    <w:p>
      <w:pPr>
        <w:spacing w:line="240" w:lineRule="atLeast"/>
        <w:ind w:left="859" w:leftChars="405" w:hanging="1"/>
        <w:rPr>
          <w:rFonts w:ascii="楷体" w:hAnsi="楷体" w:eastAsia="楷体" w:cs="楷体"/>
          <w:sz w:val="24"/>
        </w:rPr>
      </w:pPr>
      <w:r>
        <w:rPr>
          <w:rFonts w:hint="eastAsia" w:ascii="楷体" w:hAnsi="楷体" w:eastAsia="楷体" w:cs="楷体"/>
          <w:sz w:val="24"/>
        </w:rPr>
        <w:t>（二）收到质疑函的日期、质疑项目名称及编号;</w:t>
      </w:r>
    </w:p>
    <w:p>
      <w:pPr>
        <w:spacing w:line="240" w:lineRule="atLeast"/>
        <w:ind w:left="859" w:leftChars="405" w:hanging="1"/>
        <w:rPr>
          <w:rFonts w:ascii="楷体" w:hAnsi="楷体" w:eastAsia="楷体" w:cs="楷体"/>
          <w:sz w:val="24"/>
        </w:rPr>
      </w:pPr>
      <w:r>
        <w:rPr>
          <w:rFonts w:hint="eastAsia" w:ascii="楷体" w:hAnsi="楷体" w:eastAsia="楷体" w:cs="楷体"/>
          <w:sz w:val="24"/>
        </w:rPr>
        <w:t>(三)质疑事项、质疑答复的具体内容、事实依据和法律依据；</w:t>
      </w:r>
    </w:p>
    <w:p>
      <w:pPr>
        <w:spacing w:line="240" w:lineRule="atLeast"/>
        <w:ind w:left="859" w:leftChars="405" w:hanging="1"/>
        <w:rPr>
          <w:rFonts w:ascii="楷体" w:hAnsi="楷体" w:eastAsia="楷体" w:cs="楷体"/>
          <w:sz w:val="24"/>
        </w:rPr>
      </w:pPr>
      <w:r>
        <w:rPr>
          <w:rFonts w:hint="eastAsia" w:ascii="楷体" w:hAnsi="楷体" w:eastAsia="楷体" w:cs="楷体"/>
          <w:sz w:val="24"/>
        </w:rPr>
        <w:t>（四）告知质疑人依法投诉的权利；</w:t>
      </w:r>
    </w:p>
    <w:p>
      <w:pPr>
        <w:spacing w:line="240" w:lineRule="atLeast"/>
        <w:ind w:left="859" w:leftChars="405" w:hanging="1"/>
        <w:rPr>
          <w:rFonts w:ascii="楷体" w:hAnsi="楷体" w:eastAsia="楷体" w:cs="楷体"/>
          <w:sz w:val="24"/>
        </w:rPr>
      </w:pPr>
      <w:r>
        <w:rPr>
          <w:rFonts w:hint="eastAsia" w:ascii="楷体" w:hAnsi="楷体" w:eastAsia="楷体" w:cs="楷体"/>
          <w:sz w:val="24"/>
        </w:rPr>
        <w:t>（五）质疑答复日期。</w:t>
      </w:r>
    </w:p>
    <w:p>
      <w:pPr>
        <w:spacing w:line="240" w:lineRule="atLeast"/>
        <w:ind w:left="859" w:leftChars="405" w:hanging="1"/>
        <w:rPr>
          <w:rFonts w:ascii="楷体" w:hAnsi="楷体" w:eastAsia="楷体" w:cs="楷体"/>
          <w:sz w:val="24"/>
        </w:rPr>
      </w:pPr>
      <w:r>
        <w:rPr>
          <w:rFonts w:hint="eastAsia" w:ascii="楷体" w:hAnsi="楷体" w:eastAsia="楷体" w:cs="楷体"/>
          <w:sz w:val="24"/>
        </w:rPr>
        <w:t>41.5 质疑人有下列行为之一的，属于虚假、恶意质疑，将由采购方建议财政部门将其列入不良行为记录名单，禁止其1至3年内参加政府采购活动：</w:t>
      </w:r>
    </w:p>
    <w:p>
      <w:pPr>
        <w:spacing w:line="240" w:lineRule="atLeast"/>
        <w:ind w:left="859" w:leftChars="405" w:hanging="1"/>
        <w:rPr>
          <w:rFonts w:ascii="楷体" w:hAnsi="楷体" w:eastAsia="楷体" w:cs="楷体"/>
          <w:sz w:val="24"/>
        </w:rPr>
      </w:pPr>
      <w:r>
        <w:rPr>
          <w:rFonts w:hint="eastAsia" w:ascii="楷体" w:hAnsi="楷体" w:eastAsia="楷体" w:cs="楷体"/>
          <w:sz w:val="24"/>
        </w:rPr>
        <w:t>（一）捏造事实；</w:t>
      </w:r>
    </w:p>
    <w:p>
      <w:pPr>
        <w:spacing w:line="240" w:lineRule="atLeast"/>
        <w:ind w:left="859" w:leftChars="405" w:hanging="1"/>
        <w:rPr>
          <w:rFonts w:ascii="楷体" w:hAnsi="楷体" w:eastAsia="楷体" w:cs="楷体"/>
          <w:sz w:val="24"/>
        </w:rPr>
      </w:pPr>
      <w:r>
        <w:rPr>
          <w:rFonts w:hint="eastAsia" w:ascii="楷体" w:hAnsi="楷体" w:eastAsia="楷体" w:cs="楷体"/>
          <w:sz w:val="24"/>
        </w:rPr>
        <w:t>（二）提供虚假材料；</w:t>
      </w:r>
    </w:p>
    <w:p>
      <w:pPr>
        <w:spacing w:line="240" w:lineRule="atLeast"/>
        <w:ind w:left="859" w:leftChars="405" w:hanging="1"/>
        <w:rPr>
          <w:rFonts w:ascii="楷体" w:hAnsi="楷体" w:eastAsia="楷体" w:cs="楷体"/>
          <w:sz w:val="24"/>
        </w:rPr>
      </w:pPr>
      <w:r>
        <w:rPr>
          <w:rFonts w:hint="eastAsia" w:ascii="楷体" w:hAnsi="楷体" w:eastAsia="楷体" w:cs="楷体"/>
          <w:sz w:val="24"/>
        </w:rPr>
        <w:t>（三）以非法手段取得证明材料或者无法提供证据的合法来源；</w:t>
      </w:r>
    </w:p>
    <w:p>
      <w:pPr>
        <w:spacing w:line="240" w:lineRule="atLeast"/>
        <w:ind w:left="859" w:leftChars="405" w:hanging="1"/>
        <w:rPr>
          <w:rFonts w:ascii="楷体" w:hAnsi="楷体" w:eastAsia="楷体" w:cs="楷体"/>
          <w:sz w:val="24"/>
        </w:rPr>
      </w:pPr>
      <w:r>
        <w:rPr>
          <w:rFonts w:hint="eastAsia" w:ascii="楷体" w:hAnsi="楷体" w:eastAsia="楷体" w:cs="楷体"/>
          <w:sz w:val="24"/>
        </w:rPr>
        <w:t>（四）法律法规规定的其他违法情形。</w:t>
      </w:r>
    </w:p>
    <w:p>
      <w:pPr>
        <w:jc w:val="center"/>
        <w:rPr>
          <w:rFonts w:ascii="楷体" w:hAnsi="楷体" w:eastAsia="楷体" w:cs="楷体"/>
          <w:b/>
          <w:bCs/>
          <w:sz w:val="28"/>
          <w:szCs w:val="28"/>
        </w:rPr>
      </w:pPr>
      <w:r>
        <w:rPr>
          <w:rFonts w:hint="eastAsia" w:ascii="楷体" w:hAnsi="楷体" w:eastAsia="楷体" w:cs="楷体"/>
        </w:rPr>
        <w:br w:type="page"/>
      </w:r>
      <w:r>
        <w:rPr>
          <w:rFonts w:hint="eastAsia" w:ascii="楷体" w:hAnsi="楷体" w:eastAsia="楷体" w:cs="楷体"/>
          <w:b/>
          <w:bCs/>
          <w:sz w:val="28"/>
          <w:szCs w:val="28"/>
        </w:rPr>
        <w:t>质疑函范本</w:t>
      </w:r>
    </w:p>
    <w:p>
      <w:pPr>
        <w:adjustRightInd w:val="0"/>
        <w:snapToGrid w:val="0"/>
        <w:spacing w:beforeLines="100" w:line="360" w:lineRule="auto"/>
        <w:rPr>
          <w:rFonts w:ascii="楷体" w:hAnsi="楷体" w:eastAsia="楷体" w:cs="楷体"/>
          <w:bCs/>
          <w:szCs w:val="21"/>
        </w:rPr>
      </w:pPr>
      <w:r>
        <w:rPr>
          <w:rFonts w:hint="eastAsia" w:ascii="楷体" w:hAnsi="楷体" w:eastAsia="楷体" w:cs="楷体"/>
          <w:bCs/>
          <w:szCs w:val="21"/>
        </w:rPr>
        <w:t>一、质疑供应商基本信息</w:t>
      </w: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质疑供应商：</w:t>
      </w:r>
    </w:p>
    <w:p>
      <w:pPr>
        <w:adjustRightInd w:val="0"/>
        <w:snapToGrid w:val="0"/>
        <w:spacing w:line="360" w:lineRule="auto"/>
        <w:rPr>
          <w:rFonts w:ascii="楷体" w:hAnsi="楷体" w:eastAsia="楷体" w:cs="楷体"/>
          <w:szCs w:val="21"/>
        </w:rPr>
      </w:pPr>
      <w:r>
        <w:rPr>
          <w:rFonts w:hint="eastAsia" w:ascii="楷体" w:hAnsi="楷体" w:eastAsia="楷体" w:cs="楷体"/>
          <w:szCs w:val="21"/>
        </w:rPr>
        <w:t>地址：邮编：</w:t>
      </w:r>
    </w:p>
    <w:p>
      <w:pPr>
        <w:adjustRightInd w:val="0"/>
        <w:snapToGrid w:val="0"/>
        <w:spacing w:line="360" w:lineRule="auto"/>
        <w:rPr>
          <w:rFonts w:ascii="楷体" w:hAnsi="楷体" w:eastAsia="楷体" w:cs="楷体"/>
          <w:szCs w:val="21"/>
        </w:rPr>
      </w:pPr>
      <w:r>
        <w:rPr>
          <w:rFonts w:hint="eastAsia" w:ascii="楷体" w:hAnsi="楷体" w:eastAsia="楷体" w:cs="楷体"/>
          <w:szCs w:val="21"/>
        </w:rPr>
        <w:t>联系人：联系电话：</w:t>
      </w: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授权代表：</w:t>
      </w:r>
    </w:p>
    <w:p>
      <w:pPr>
        <w:adjustRightInd w:val="0"/>
        <w:snapToGrid w:val="0"/>
        <w:spacing w:line="360" w:lineRule="auto"/>
        <w:rPr>
          <w:rFonts w:ascii="楷体" w:hAnsi="楷体" w:eastAsia="楷体" w:cs="楷体"/>
          <w:szCs w:val="21"/>
        </w:rPr>
      </w:pPr>
      <w:r>
        <w:rPr>
          <w:rFonts w:hint="eastAsia" w:ascii="楷体" w:hAnsi="楷体" w:eastAsia="楷体" w:cs="楷体"/>
          <w:szCs w:val="21"/>
        </w:rPr>
        <w:t>联系电话：</w:t>
      </w:r>
    </w:p>
    <w:p>
      <w:pPr>
        <w:adjustRightInd w:val="0"/>
        <w:snapToGrid w:val="0"/>
        <w:spacing w:line="360" w:lineRule="auto"/>
        <w:rPr>
          <w:rFonts w:ascii="楷体" w:hAnsi="楷体" w:eastAsia="楷体" w:cs="楷体"/>
          <w:szCs w:val="21"/>
        </w:rPr>
      </w:pPr>
      <w:r>
        <w:rPr>
          <w:rFonts w:hint="eastAsia" w:ascii="楷体" w:hAnsi="楷体" w:eastAsia="楷体" w:cs="楷体"/>
          <w:szCs w:val="21"/>
        </w:rPr>
        <w:t>地址： 邮编：</w:t>
      </w:r>
    </w:p>
    <w:p>
      <w:pPr>
        <w:adjustRightInd w:val="0"/>
        <w:snapToGrid w:val="0"/>
        <w:spacing w:line="360" w:lineRule="auto"/>
        <w:rPr>
          <w:rFonts w:ascii="楷体" w:hAnsi="楷体" w:eastAsia="楷体" w:cs="楷体"/>
          <w:bCs/>
          <w:szCs w:val="21"/>
        </w:rPr>
      </w:pPr>
      <w:r>
        <w:rPr>
          <w:rFonts w:hint="eastAsia" w:ascii="楷体" w:hAnsi="楷体" w:eastAsia="楷体" w:cs="楷体"/>
          <w:bCs/>
          <w:szCs w:val="21"/>
        </w:rPr>
        <w:t>二、质疑项目基本情况</w:t>
      </w:r>
    </w:p>
    <w:p>
      <w:pPr>
        <w:adjustRightInd w:val="0"/>
        <w:snapToGrid w:val="0"/>
        <w:spacing w:line="360" w:lineRule="auto"/>
        <w:rPr>
          <w:rFonts w:ascii="楷体" w:hAnsi="楷体" w:eastAsia="楷体" w:cs="楷体"/>
          <w:szCs w:val="21"/>
        </w:rPr>
      </w:pPr>
      <w:r>
        <w:rPr>
          <w:rFonts w:hint="eastAsia" w:ascii="楷体" w:hAnsi="楷体" w:eastAsia="楷体" w:cs="楷体"/>
          <w:szCs w:val="21"/>
        </w:rPr>
        <w:t>质疑项目的名称：</w:t>
      </w:r>
    </w:p>
    <w:p>
      <w:pPr>
        <w:adjustRightInd w:val="0"/>
        <w:snapToGrid w:val="0"/>
        <w:spacing w:line="360" w:lineRule="auto"/>
        <w:rPr>
          <w:rFonts w:ascii="楷体" w:hAnsi="楷体" w:eastAsia="楷体" w:cs="楷体"/>
          <w:szCs w:val="21"/>
        </w:rPr>
      </w:pPr>
      <w:r>
        <w:rPr>
          <w:rFonts w:hint="eastAsia" w:ascii="楷体" w:hAnsi="楷体" w:eastAsia="楷体" w:cs="楷体"/>
          <w:szCs w:val="21"/>
        </w:rPr>
        <w:t>质疑项目的编号：包号：</w:t>
      </w: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采购人名称：</w:t>
      </w:r>
    </w:p>
    <w:p>
      <w:pPr>
        <w:adjustRightInd w:val="0"/>
        <w:snapToGrid w:val="0"/>
        <w:spacing w:line="360" w:lineRule="auto"/>
        <w:rPr>
          <w:rFonts w:ascii="楷体" w:hAnsi="楷体" w:eastAsia="楷体" w:cs="楷体"/>
          <w:szCs w:val="21"/>
        </w:rPr>
      </w:pPr>
      <w:r>
        <w:rPr>
          <w:rFonts w:hint="eastAsia" w:ascii="楷体" w:hAnsi="楷体" w:eastAsia="楷体" w:cs="楷体"/>
          <w:szCs w:val="21"/>
        </w:rPr>
        <w:t>采购文件获取日期：</w:t>
      </w:r>
    </w:p>
    <w:p>
      <w:pPr>
        <w:adjustRightInd w:val="0"/>
        <w:snapToGrid w:val="0"/>
        <w:spacing w:line="360" w:lineRule="auto"/>
        <w:rPr>
          <w:rFonts w:ascii="楷体" w:hAnsi="楷体" w:eastAsia="楷体" w:cs="楷体"/>
          <w:bCs/>
          <w:szCs w:val="21"/>
        </w:rPr>
      </w:pPr>
      <w:r>
        <w:rPr>
          <w:rFonts w:hint="eastAsia" w:ascii="楷体" w:hAnsi="楷体" w:eastAsia="楷体" w:cs="楷体"/>
          <w:bCs/>
          <w:szCs w:val="21"/>
        </w:rPr>
        <w:t>三、质疑事项具体内容</w:t>
      </w: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质疑事项1：</w:t>
      </w: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事实依据：</w:t>
      </w: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法律依据：</w:t>
      </w:r>
    </w:p>
    <w:p>
      <w:pPr>
        <w:adjustRightInd w:val="0"/>
        <w:snapToGrid w:val="0"/>
        <w:spacing w:line="360" w:lineRule="auto"/>
        <w:rPr>
          <w:rFonts w:ascii="楷体" w:hAnsi="楷体" w:eastAsia="楷体" w:cs="楷体"/>
          <w:szCs w:val="21"/>
          <w:u w:val="dotted"/>
        </w:rPr>
      </w:pP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质疑事项2</w:t>
      </w:r>
    </w:p>
    <w:p>
      <w:pPr>
        <w:adjustRightInd w:val="0"/>
        <w:snapToGrid w:val="0"/>
        <w:spacing w:line="360" w:lineRule="auto"/>
        <w:rPr>
          <w:rFonts w:ascii="楷体" w:hAnsi="楷体" w:eastAsia="楷体" w:cs="楷体"/>
          <w:szCs w:val="21"/>
        </w:rPr>
      </w:pPr>
      <w:r>
        <w:rPr>
          <w:rFonts w:hint="eastAsia" w:ascii="楷体" w:hAnsi="楷体" w:eastAsia="楷体" w:cs="楷体"/>
          <w:szCs w:val="21"/>
        </w:rPr>
        <w:t>……</w:t>
      </w:r>
    </w:p>
    <w:p>
      <w:pPr>
        <w:adjustRightInd w:val="0"/>
        <w:snapToGrid w:val="0"/>
        <w:spacing w:line="360" w:lineRule="auto"/>
        <w:rPr>
          <w:rFonts w:ascii="楷体" w:hAnsi="楷体" w:eastAsia="楷体" w:cs="楷体"/>
          <w:bCs/>
          <w:szCs w:val="21"/>
        </w:rPr>
      </w:pPr>
      <w:r>
        <w:rPr>
          <w:rFonts w:hint="eastAsia" w:ascii="楷体" w:hAnsi="楷体" w:eastAsia="楷体" w:cs="楷体"/>
          <w:bCs/>
          <w:szCs w:val="21"/>
        </w:rPr>
        <w:t>四、与质疑事项相关的质疑请求</w:t>
      </w:r>
    </w:p>
    <w:p>
      <w:pPr>
        <w:adjustRightInd w:val="0"/>
        <w:snapToGrid w:val="0"/>
        <w:spacing w:line="360" w:lineRule="auto"/>
        <w:rPr>
          <w:rFonts w:ascii="楷体" w:hAnsi="楷体" w:eastAsia="楷体" w:cs="楷体"/>
          <w:szCs w:val="21"/>
          <w:u w:val="dotted"/>
        </w:rPr>
      </w:pPr>
      <w:r>
        <w:rPr>
          <w:rFonts w:hint="eastAsia" w:ascii="楷体" w:hAnsi="楷体" w:eastAsia="楷体" w:cs="楷体"/>
          <w:szCs w:val="21"/>
        </w:rPr>
        <w:t>请求：</w:t>
      </w:r>
    </w:p>
    <w:p>
      <w:pPr>
        <w:rPr>
          <w:rFonts w:ascii="楷体" w:hAnsi="楷体" w:eastAsia="楷体" w:cs="楷体"/>
          <w:szCs w:val="21"/>
        </w:rPr>
      </w:pPr>
      <w:r>
        <w:rPr>
          <w:rFonts w:hint="eastAsia" w:ascii="楷体" w:hAnsi="楷体" w:eastAsia="楷体" w:cs="楷体"/>
          <w:szCs w:val="21"/>
        </w:rPr>
        <w:t xml:space="preserve">签字(签章)：                   公章：                      </w:t>
      </w:r>
    </w:p>
    <w:p>
      <w:pPr>
        <w:rPr>
          <w:rFonts w:ascii="楷体" w:hAnsi="楷体" w:eastAsia="楷体" w:cs="楷体"/>
          <w:szCs w:val="21"/>
        </w:rPr>
      </w:pPr>
      <w:r>
        <w:rPr>
          <w:rFonts w:hint="eastAsia" w:ascii="楷体" w:hAnsi="楷体" w:eastAsia="楷体" w:cs="楷体"/>
          <w:szCs w:val="21"/>
        </w:rPr>
        <w:t xml:space="preserve">日期：    </w:t>
      </w:r>
    </w:p>
    <w:p>
      <w:pPr>
        <w:rPr>
          <w:rFonts w:ascii="楷体" w:hAnsi="楷体" w:eastAsia="楷体" w:cs="楷体"/>
          <w:b/>
          <w:szCs w:val="21"/>
        </w:rPr>
      </w:pPr>
    </w:p>
    <w:p>
      <w:pPr>
        <w:rPr>
          <w:rFonts w:ascii="楷体" w:hAnsi="楷体" w:eastAsia="楷体" w:cs="楷体"/>
          <w:b/>
          <w:szCs w:val="21"/>
        </w:rPr>
      </w:pPr>
      <w:r>
        <w:rPr>
          <w:rFonts w:hint="eastAsia" w:ascii="楷体" w:hAnsi="楷体" w:eastAsia="楷体" w:cs="楷体"/>
          <w:b/>
          <w:szCs w:val="21"/>
        </w:rPr>
        <w:t>质疑函制作说明：</w:t>
      </w:r>
    </w:p>
    <w:p>
      <w:pPr>
        <w:widowControl/>
        <w:ind w:firstLine="424" w:firstLineChars="200"/>
        <w:jc w:val="left"/>
        <w:rPr>
          <w:rFonts w:ascii="楷体" w:hAnsi="楷体" w:eastAsia="楷体" w:cs="楷体"/>
          <w:szCs w:val="21"/>
        </w:rPr>
      </w:pPr>
      <w:r>
        <w:rPr>
          <w:rFonts w:hint="eastAsia" w:ascii="楷体" w:hAnsi="楷体" w:eastAsia="楷体" w:cs="楷体"/>
          <w:szCs w:val="21"/>
        </w:rPr>
        <w:t>1.供应商提出质疑时，应提交质疑函和必要的证明材料。</w:t>
      </w:r>
    </w:p>
    <w:p>
      <w:pPr>
        <w:widowControl/>
        <w:ind w:firstLine="424" w:firstLineChars="200"/>
        <w:jc w:val="left"/>
        <w:rPr>
          <w:rFonts w:ascii="楷体" w:hAnsi="楷体" w:eastAsia="楷体" w:cs="楷体"/>
          <w:szCs w:val="21"/>
        </w:rPr>
      </w:pPr>
      <w:r>
        <w:rPr>
          <w:rFonts w:hint="eastAsia" w:ascii="楷体" w:hAnsi="楷体" w:eastAsia="楷体" w:cs="楷体"/>
          <w:szCs w:val="21"/>
        </w:rPr>
        <w:t>2.质疑供应商若委托代理人进行质疑的，质疑函应按要求列明“授权代表”的有关内容，并在附件中提交由质疑</w:t>
      </w:r>
      <w:r>
        <w:rPr>
          <w:rFonts w:hint="eastAsia" w:ascii="楷体" w:hAnsi="楷体" w:eastAsia="楷体" w:cs="楷体"/>
          <w:kern w:val="0"/>
          <w:szCs w:val="21"/>
        </w:rPr>
        <w:t>供应商签署的授权委托书。授权委托书应载明代理人的姓名或者名称、代理事项、具体权限、期限和相关事项。</w:t>
      </w:r>
    </w:p>
    <w:p>
      <w:pPr>
        <w:widowControl/>
        <w:ind w:firstLine="424" w:firstLineChars="200"/>
        <w:jc w:val="left"/>
        <w:rPr>
          <w:rFonts w:ascii="楷体" w:hAnsi="楷体" w:eastAsia="楷体" w:cs="楷体"/>
          <w:szCs w:val="21"/>
        </w:rPr>
      </w:pPr>
      <w:r>
        <w:rPr>
          <w:rFonts w:hint="eastAsia" w:ascii="楷体" w:hAnsi="楷体" w:eastAsia="楷体" w:cs="楷体"/>
          <w:szCs w:val="21"/>
        </w:rPr>
        <w:t>3.质疑供应商若对项目的某一分包进行质疑，质疑函中应列明具体分包号。</w:t>
      </w:r>
    </w:p>
    <w:p>
      <w:pPr>
        <w:widowControl/>
        <w:ind w:firstLine="424" w:firstLineChars="200"/>
        <w:jc w:val="left"/>
        <w:rPr>
          <w:rFonts w:ascii="楷体" w:hAnsi="楷体" w:eastAsia="楷体" w:cs="楷体"/>
          <w:szCs w:val="21"/>
        </w:rPr>
      </w:pPr>
      <w:r>
        <w:rPr>
          <w:rFonts w:hint="eastAsia" w:ascii="楷体" w:hAnsi="楷体" w:eastAsia="楷体" w:cs="楷体"/>
          <w:szCs w:val="21"/>
        </w:rPr>
        <w:t>4.质疑函的质疑事项应具体、明确，并有必要的事实依据和法律依据。</w:t>
      </w:r>
    </w:p>
    <w:p>
      <w:pPr>
        <w:widowControl/>
        <w:ind w:firstLine="424" w:firstLineChars="200"/>
        <w:jc w:val="left"/>
        <w:rPr>
          <w:rFonts w:ascii="楷体" w:hAnsi="楷体" w:eastAsia="楷体" w:cs="楷体"/>
          <w:szCs w:val="21"/>
        </w:rPr>
      </w:pPr>
      <w:r>
        <w:rPr>
          <w:rFonts w:hint="eastAsia" w:ascii="楷体" w:hAnsi="楷体" w:eastAsia="楷体" w:cs="楷体"/>
          <w:szCs w:val="21"/>
        </w:rPr>
        <w:t>5.质疑函的质疑请求应与质疑事项相关。</w:t>
      </w:r>
    </w:p>
    <w:p>
      <w:pPr>
        <w:spacing w:line="240" w:lineRule="atLeast"/>
        <w:ind w:left="798" w:hanging="794" w:hangingChars="375"/>
        <w:rPr>
          <w:rFonts w:ascii="楷体" w:hAnsi="楷体" w:eastAsia="楷体" w:cs="楷体"/>
          <w:sz w:val="24"/>
        </w:rPr>
      </w:pPr>
      <w:r>
        <w:rPr>
          <w:rFonts w:hint="eastAsia" w:ascii="楷体" w:hAnsi="楷体" w:eastAsia="楷体" w:cs="楷体"/>
          <w:szCs w:val="21"/>
        </w:rPr>
        <w:t>6.质疑供应商为自然人的，质疑函应由本人签字；质疑供应商为法人或者其他组织的，质疑函应由法定代表人、主要负责人，或者其授权代表签字或者盖章，并加盖公章。</w:t>
      </w:r>
    </w:p>
    <w:p>
      <w:pPr>
        <w:pStyle w:val="5"/>
        <w:spacing w:before="0" w:line="240" w:lineRule="atLeast"/>
        <w:ind w:left="1084" w:leftChars="257" w:hanging="540"/>
        <w:rPr>
          <w:rFonts w:ascii="楷体" w:hAnsi="楷体" w:eastAsia="楷体" w:cs="楷体"/>
          <w:szCs w:val="24"/>
        </w:rPr>
      </w:pPr>
      <w:r>
        <w:rPr>
          <w:rFonts w:hint="eastAsia" w:ascii="楷体" w:hAnsi="楷体" w:eastAsia="楷体" w:cs="楷体"/>
        </w:rPr>
        <w:br w:type="page"/>
      </w:r>
      <w:bookmarkStart w:id="231" w:name="_Toc26311"/>
      <w:bookmarkStart w:id="232" w:name="_Toc16186"/>
      <w:bookmarkStart w:id="233" w:name="_Toc21748"/>
      <w:bookmarkStart w:id="234" w:name="_Toc515647799"/>
      <w:r>
        <w:rPr>
          <w:rFonts w:hint="eastAsia" w:ascii="楷体" w:hAnsi="楷体" w:eastAsia="楷体" w:cs="楷体"/>
          <w:szCs w:val="24"/>
        </w:rPr>
        <w:t>附件1：履约保证金保函（格式）</w:t>
      </w:r>
      <w:bookmarkEnd w:id="231"/>
      <w:bookmarkEnd w:id="232"/>
      <w:bookmarkEnd w:id="233"/>
      <w:bookmarkEnd w:id="234"/>
    </w:p>
    <w:p>
      <w:pPr>
        <w:pStyle w:val="13"/>
        <w:spacing w:line="240" w:lineRule="atLeast"/>
        <w:ind w:left="1084" w:leftChars="257" w:hanging="540"/>
        <w:rPr>
          <w:rFonts w:ascii="楷体" w:hAnsi="楷体" w:eastAsia="楷体" w:cs="楷体"/>
          <w:b/>
          <w:sz w:val="24"/>
        </w:rPr>
      </w:pPr>
      <w:r>
        <w:rPr>
          <w:rFonts w:hint="eastAsia" w:ascii="楷体" w:hAnsi="楷体" w:eastAsia="楷体" w:cs="楷体"/>
          <w:b/>
          <w:sz w:val="24"/>
        </w:rPr>
        <w:t xml:space="preserve">                         （中标后开具）</w:t>
      </w:r>
    </w:p>
    <w:p>
      <w:pPr>
        <w:pStyle w:val="13"/>
        <w:spacing w:line="240" w:lineRule="atLeast"/>
        <w:ind w:left="1084" w:leftChars="257" w:hanging="540"/>
        <w:rPr>
          <w:rFonts w:ascii="楷体" w:hAnsi="楷体" w:eastAsia="楷体" w:cs="楷体"/>
          <w:b/>
          <w:sz w:val="24"/>
        </w:rPr>
      </w:pPr>
    </w:p>
    <w:p>
      <w:pPr>
        <w:pStyle w:val="13"/>
        <w:spacing w:line="240" w:lineRule="atLeast"/>
        <w:rPr>
          <w:rFonts w:ascii="楷体" w:hAnsi="楷体" w:eastAsia="楷体" w:cs="楷体"/>
          <w:sz w:val="24"/>
        </w:rPr>
      </w:pPr>
      <w:r>
        <w:rPr>
          <w:rFonts w:hint="eastAsia" w:ascii="楷体" w:hAnsi="楷体" w:eastAsia="楷体" w:cs="楷体"/>
          <w:sz w:val="24"/>
        </w:rPr>
        <w:t>致: (</w:t>
      </w:r>
      <w:r>
        <w:rPr>
          <w:rFonts w:hint="eastAsia" w:ascii="楷体" w:hAnsi="楷体" w:eastAsia="楷体" w:cs="楷体"/>
          <w:i/>
          <w:sz w:val="24"/>
          <w:u w:val="single"/>
        </w:rPr>
        <w:t>买方名称</w:t>
      </w:r>
      <w:r>
        <w:rPr>
          <w:rFonts w:hint="eastAsia" w:ascii="楷体" w:hAnsi="楷体" w:eastAsia="楷体" w:cs="楷体"/>
          <w:sz w:val="24"/>
        </w:rPr>
        <w:t>)</w:t>
      </w:r>
    </w:p>
    <w:p>
      <w:pPr>
        <w:pStyle w:val="13"/>
        <w:spacing w:line="240" w:lineRule="atLeast"/>
        <w:ind w:left="1084" w:leftChars="257" w:hanging="540"/>
        <w:jc w:val="center"/>
        <w:rPr>
          <w:rFonts w:ascii="楷体" w:hAnsi="楷体" w:eastAsia="楷体" w:cs="楷体"/>
          <w:sz w:val="24"/>
        </w:rPr>
      </w:pPr>
      <w:r>
        <w:rPr>
          <w:rFonts w:hint="eastAsia" w:ascii="楷体" w:hAnsi="楷体" w:eastAsia="楷体" w:cs="楷体"/>
          <w:sz w:val="24"/>
        </w:rPr>
        <w:t>号合同履约保函</w:t>
      </w:r>
    </w:p>
    <w:p>
      <w:pPr>
        <w:pStyle w:val="13"/>
        <w:spacing w:line="240" w:lineRule="atLeast"/>
        <w:ind w:left="1084" w:leftChars="257" w:hanging="540"/>
        <w:jc w:val="center"/>
        <w:rPr>
          <w:rFonts w:ascii="楷体" w:hAnsi="楷体" w:eastAsia="楷体" w:cs="楷体"/>
          <w:sz w:val="24"/>
        </w:rPr>
      </w:pPr>
    </w:p>
    <w:p>
      <w:pPr>
        <w:pStyle w:val="13"/>
        <w:spacing w:line="240" w:lineRule="atLeast"/>
        <w:ind w:firstLine="605" w:firstLineChars="250"/>
        <w:rPr>
          <w:rFonts w:ascii="楷体" w:hAnsi="楷体" w:eastAsia="楷体" w:cs="楷体"/>
          <w:sz w:val="24"/>
        </w:rPr>
      </w:pPr>
      <w:r>
        <w:rPr>
          <w:rFonts w:hint="eastAsia" w:ascii="楷体" w:hAnsi="楷体" w:eastAsia="楷体" w:cs="楷体"/>
          <w:sz w:val="24"/>
        </w:rPr>
        <w:t>本保函作为贵方与(</w:t>
      </w:r>
      <w:r>
        <w:rPr>
          <w:rFonts w:hint="eastAsia" w:ascii="楷体" w:hAnsi="楷体" w:eastAsia="楷体" w:cs="楷体"/>
          <w:i/>
          <w:sz w:val="24"/>
          <w:u w:val="single"/>
        </w:rPr>
        <w:t>卖方名称</w:t>
      </w:r>
      <w:r>
        <w:rPr>
          <w:rFonts w:hint="eastAsia" w:ascii="楷体" w:hAnsi="楷体" w:eastAsia="楷体" w:cs="楷体"/>
          <w:sz w:val="24"/>
        </w:rPr>
        <w:t>)(以下简称卖方)于年月日就项目(以下简称项目)项下提供(</w:t>
      </w:r>
      <w:r>
        <w:rPr>
          <w:rFonts w:hint="eastAsia" w:ascii="楷体" w:hAnsi="楷体" w:eastAsia="楷体" w:cs="楷体"/>
          <w:i/>
          <w:sz w:val="24"/>
          <w:u w:val="single"/>
        </w:rPr>
        <w:t>货物名称</w:t>
      </w:r>
      <w:r>
        <w:rPr>
          <w:rFonts w:hint="eastAsia" w:ascii="楷体" w:hAnsi="楷体" w:eastAsia="楷体" w:cs="楷体"/>
          <w:sz w:val="24"/>
        </w:rPr>
        <w:t>)(以下简称货物)签订的(</w:t>
      </w:r>
      <w:r>
        <w:rPr>
          <w:rFonts w:hint="eastAsia" w:ascii="楷体" w:hAnsi="楷体" w:eastAsia="楷体" w:cs="楷体"/>
          <w:i/>
          <w:sz w:val="24"/>
          <w:u w:val="single"/>
        </w:rPr>
        <w:t>合同号</w:t>
      </w:r>
      <w:r>
        <w:rPr>
          <w:rFonts w:hint="eastAsia" w:ascii="楷体" w:hAnsi="楷体" w:eastAsia="楷体" w:cs="楷体"/>
          <w:sz w:val="24"/>
        </w:rPr>
        <w:t>)号合同的履约保函。</w:t>
      </w:r>
    </w:p>
    <w:p>
      <w:pPr>
        <w:pStyle w:val="13"/>
        <w:spacing w:line="240" w:lineRule="atLeast"/>
        <w:ind w:firstLine="544" w:firstLineChars="225"/>
        <w:rPr>
          <w:rFonts w:ascii="楷体" w:hAnsi="楷体" w:eastAsia="楷体" w:cs="楷体"/>
          <w:sz w:val="24"/>
        </w:rPr>
      </w:pPr>
      <w:r>
        <w:rPr>
          <w:rFonts w:hint="eastAsia" w:ascii="楷体" w:hAnsi="楷体" w:eastAsia="楷体" w:cs="楷体"/>
          <w:sz w:val="24"/>
        </w:rPr>
        <w:t>(</w:t>
      </w:r>
      <w:r>
        <w:rPr>
          <w:rFonts w:hint="eastAsia" w:ascii="楷体" w:hAnsi="楷体" w:eastAsia="楷体" w:cs="楷体"/>
          <w:i/>
          <w:sz w:val="24"/>
          <w:u w:val="single"/>
        </w:rPr>
        <w:t>出具保函的银行名称</w:t>
      </w:r>
      <w:r>
        <w:rPr>
          <w:rFonts w:hint="eastAsia" w:ascii="楷体" w:hAnsi="楷体" w:eastAsia="楷体" w:cs="楷体"/>
          <w:sz w:val="24"/>
        </w:rPr>
        <w:t>)(以下简称银行)无条件地、不可撤销地具结保证本行、其继承人和受让人无追索地向贵方以(</w:t>
      </w:r>
      <w:r>
        <w:rPr>
          <w:rFonts w:hint="eastAsia" w:ascii="楷体" w:hAnsi="楷体" w:eastAsia="楷体" w:cs="楷体"/>
          <w:i/>
          <w:sz w:val="24"/>
          <w:u w:val="single"/>
        </w:rPr>
        <w:t>货币名称</w:t>
      </w:r>
      <w:r>
        <w:rPr>
          <w:rFonts w:hint="eastAsia" w:ascii="楷体" w:hAnsi="楷体" w:eastAsia="楷体" w:cs="楷体"/>
          <w:sz w:val="24"/>
        </w:rPr>
        <w:t>)支付总额不超过(</w:t>
      </w:r>
      <w:r>
        <w:rPr>
          <w:rFonts w:hint="eastAsia" w:ascii="楷体" w:hAnsi="楷体" w:eastAsia="楷体" w:cs="楷体"/>
          <w:i/>
          <w:sz w:val="24"/>
          <w:u w:val="single"/>
        </w:rPr>
        <w:t>货币数量</w:t>
      </w:r>
      <w:r>
        <w:rPr>
          <w:rFonts w:hint="eastAsia" w:ascii="楷体" w:hAnsi="楷体" w:eastAsia="楷体" w:cs="楷体"/>
          <w:sz w:val="24"/>
        </w:rPr>
        <w:t>),即相当于合同价格的%,并以此约定如下:</w:t>
      </w:r>
    </w:p>
    <w:p>
      <w:pPr>
        <w:pStyle w:val="13"/>
        <w:spacing w:line="240" w:lineRule="atLeast"/>
        <w:ind w:left="544" w:leftChars="257"/>
        <w:rPr>
          <w:rFonts w:ascii="楷体" w:hAnsi="楷体" w:eastAsia="楷体" w:cs="楷体"/>
          <w:sz w:val="24"/>
        </w:rPr>
      </w:pPr>
      <w:r>
        <w:rPr>
          <w:rFonts w:hint="eastAsia" w:ascii="楷体" w:hAnsi="楷体" w:eastAsia="楷体" w:cs="楷体"/>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3"/>
        <w:spacing w:line="240" w:lineRule="atLeast"/>
        <w:ind w:left="540"/>
        <w:rPr>
          <w:rFonts w:ascii="楷体" w:hAnsi="楷体" w:eastAsia="楷体" w:cs="楷体"/>
          <w:sz w:val="24"/>
        </w:rPr>
      </w:pPr>
      <w:r>
        <w:rPr>
          <w:rFonts w:hint="eastAsia" w:ascii="楷体" w:hAnsi="楷体" w:eastAsia="楷体" w:cs="楷体"/>
          <w:sz w:val="24"/>
        </w:rPr>
        <w:t>2.本保函项下的任何支付应为免税和净值。对于现有或将来的税收、关税、收费、费用扣减或预提税款，不论这些款项是何种性质和由谁征收，都不应从本保函项下的支付中扣除。</w:t>
      </w:r>
    </w:p>
    <w:p>
      <w:pPr>
        <w:pStyle w:val="13"/>
        <w:spacing w:line="240" w:lineRule="atLeast"/>
        <w:ind w:left="540"/>
        <w:rPr>
          <w:rFonts w:ascii="楷体" w:hAnsi="楷体" w:eastAsia="楷体" w:cs="楷体"/>
          <w:sz w:val="24"/>
        </w:rPr>
      </w:pPr>
      <w:r>
        <w:rPr>
          <w:rFonts w:hint="eastAsia" w:ascii="楷体" w:hAnsi="楷体" w:eastAsia="楷体" w:cs="楷体"/>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3"/>
        <w:spacing w:line="240" w:lineRule="atLeast"/>
        <w:ind w:left="1084" w:leftChars="257" w:hanging="540"/>
        <w:rPr>
          <w:rFonts w:ascii="楷体" w:hAnsi="楷体" w:eastAsia="楷体" w:cs="楷体"/>
          <w:sz w:val="24"/>
        </w:rPr>
      </w:pPr>
      <w:r>
        <w:rPr>
          <w:rFonts w:hint="eastAsia" w:ascii="楷体" w:hAnsi="楷体" w:eastAsia="楷体" w:cs="楷体"/>
          <w:sz w:val="24"/>
        </w:rPr>
        <w:t>4.本保函在本合同规定的保证期期满前完全有效。</w:t>
      </w:r>
    </w:p>
    <w:p>
      <w:pPr>
        <w:pStyle w:val="13"/>
        <w:spacing w:line="240" w:lineRule="atLeast"/>
        <w:ind w:left="1084" w:leftChars="257" w:hanging="540"/>
        <w:rPr>
          <w:rFonts w:ascii="楷体" w:hAnsi="楷体" w:eastAsia="楷体" w:cs="楷体"/>
          <w:sz w:val="24"/>
        </w:rPr>
      </w:pPr>
    </w:p>
    <w:p>
      <w:pPr>
        <w:pStyle w:val="13"/>
        <w:spacing w:line="240" w:lineRule="atLeast"/>
        <w:ind w:left="1084" w:leftChars="257" w:hanging="540"/>
        <w:rPr>
          <w:rFonts w:ascii="楷体" w:hAnsi="楷体" w:eastAsia="楷体" w:cs="楷体"/>
          <w:sz w:val="24"/>
        </w:rPr>
      </w:pPr>
      <w:r>
        <w:rPr>
          <w:rFonts w:hint="eastAsia" w:ascii="楷体" w:hAnsi="楷体" w:eastAsia="楷体" w:cs="楷体"/>
          <w:sz w:val="24"/>
        </w:rPr>
        <w:t>谨启</w:t>
      </w:r>
    </w:p>
    <w:p>
      <w:pPr>
        <w:pStyle w:val="13"/>
        <w:spacing w:line="240" w:lineRule="atLeast"/>
        <w:ind w:left="1084" w:leftChars="257" w:hanging="540"/>
        <w:rPr>
          <w:rFonts w:ascii="楷体" w:hAnsi="楷体" w:eastAsia="楷体" w:cs="楷体"/>
          <w:sz w:val="24"/>
        </w:rPr>
      </w:pPr>
      <w:r>
        <w:rPr>
          <w:rFonts w:hint="eastAsia" w:ascii="楷体" w:hAnsi="楷体" w:eastAsia="楷体" w:cs="楷体"/>
          <w:sz w:val="24"/>
        </w:rPr>
        <w:t>出具保函银行名称：</w:t>
      </w:r>
    </w:p>
    <w:p>
      <w:pPr>
        <w:pStyle w:val="13"/>
        <w:spacing w:line="240" w:lineRule="atLeast"/>
        <w:ind w:left="1084" w:leftChars="257" w:hanging="540"/>
        <w:rPr>
          <w:rFonts w:ascii="楷体" w:hAnsi="楷体" w:eastAsia="楷体" w:cs="楷体"/>
          <w:sz w:val="24"/>
          <w:u w:val="single"/>
        </w:rPr>
      </w:pPr>
      <w:r>
        <w:rPr>
          <w:rFonts w:hint="eastAsia" w:ascii="楷体" w:hAnsi="楷体" w:eastAsia="楷体" w:cs="楷体"/>
          <w:sz w:val="24"/>
        </w:rPr>
        <w:t>签字人姓名和职务：</w:t>
      </w:r>
    </w:p>
    <w:p>
      <w:pPr>
        <w:pStyle w:val="13"/>
        <w:spacing w:line="240" w:lineRule="atLeast"/>
        <w:ind w:left="1084" w:leftChars="257" w:hanging="540"/>
        <w:rPr>
          <w:rFonts w:ascii="楷体" w:hAnsi="楷体" w:eastAsia="楷体" w:cs="楷体"/>
          <w:sz w:val="24"/>
        </w:rPr>
      </w:pPr>
      <w:r>
        <w:rPr>
          <w:rFonts w:hint="eastAsia" w:ascii="楷体" w:hAnsi="楷体" w:eastAsia="楷体" w:cs="楷体"/>
          <w:sz w:val="24"/>
        </w:rPr>
        <w:t>签字人签名：</w:t>
      </w:r>
    </w:p>
    <w:p>
      <w:pPr>
        <w:pStyle w:val="13"/>
        <w:spacing w:line="240" w:lineRule="atLeast"/>
        <w:ind w:left="1084" w:leftChars="257" w:hanging="540"/>
        <w:rPr>
          <w:rFonts w:ascii="楷体" w:hAnsi="楷体" w:eastAsia="楷体" w:cs="楷体"/>
          <w:sz w:val="24"/>
          <w:u w:val="single"/>
        </w:rPr>
      </w:pPr>
      <w:r>
        <w:rPr>
          <w:rFonts w:hint="eastAsia" w:ascii="楷体" w:hAnsi="楷体" w:eastAsia="楷体" w:cs="楷体"/>
          <w:sz w:val="24"/>
        </w:rPr>
        <w:t>公章：</w:t>
      </w:r>
    </w:p>
    <w:p>
      <w:pPr>
        <w:pStyle w:val="5"/>
        <w:spacing w:before="0" w:line="240" w:lineRule="atLeast"/>
        <w:ind w:left="1084" w:leftChars="257" w:hanging="540"/>
        <w:rPr>
          <w:rFonts w:ascii="楷体" w:hAnsi="楷体" w:eastAsia="楷体" w:cs="楷体"/>
          <w:szCs w:val="24"/>
        </w:rPr>
      </w:pPr>
      <w:r>
        <w:rPr>
          <w:rFonts w:hint="eastAsia" w:ascii="楷体" w:hAnsi="楷体" w:eastAsia="楷体" w:cs="楷体"/>
        </w:rPr>
        <w:br w:type="page"/>
      </w:r>
      <w:bookmarkStart w:id="235" w:name="_Toc10951"/>
      <w:bookmarkStart w:id="236" w:name="_Toc6548"/>
      <w:bookmarkStart w:id="237" w:name="_Toc515647800"/>
      <w:bookmarkStart w:id="238" w:name="_Toc10553"/>
      <w:r>
        <w:rPr>
          <w:rFonts w:hint="eastAsia" w:ascii="楷体" w:hAnsi="楷体" w:eastAsia="楷体" w:cs="楷体"/>
          <w:szCs w:val="24"/>
        </w:rPr>
        <w:t>附件2：履约担保函格式</w:t>
      </w:r>
      <w:bookmarkEnd w:id="235"/>
      <w:bookmarkEnd w:id="236"/>
      <w:bookmarkEnd w:id="237"/>
      <w:bookmarkEnd w:id="238"/>
    </w:p>
    <w:p>
      <w:pPr>
        <w:pStyle w:val="5"/>
        <w:spacing w:before="0" w:line="240" w:lineRule="atLeast"/>
        <w:ind w:left="1084" w:leftChars="257" w:hanging="540"/>
        <w:rPr>
          <w:rFonts w:ascii="楷体" w:hAnsi="楷体" w:eastAsia="楷体" w:cs="楷体"/>
          <w:b w:val="0"/>
        </w:rPr>
      </w:pPr>
      <w:bookmarkStart w:id="239" w:name="_Toc515647801"/>
      <w:bookmarkStart w:id="240" w:name="_Toc13962"/>
      <w:bookmarkStart w:id="241" w:name="_Toc13648"/>
      <w:bookmarkStart w:id="242" w:name="_Toc162"/>
      <w:r>
        <w:rPr>
          <w:rFonts w:hint="eastAsia" w:ascii="楷体" w:hAnsi="楷体" w:eastAsia="楷体" w:cs="楷体"/>
          <w:szCs w:val="24"/>
        </w:rPr>
        <w:t>（采用政府采购信用担保形式时使用）</w:t>
      </w:r>
      <w:bookmarkEnd w:id="239"/>
      <w:bookmarkEnd w:id="240"/>
      <w:bookmarkEnd w:id="241"/>
      <w:bookmarkEnd w:id="242"/>
    </w:p>
    <w:p>
      <w:pPr>
        <w:spacing w:line="240" w:lineRule="atLeast"/>
        <w:ind w:left="1084" w:leftChars="257" w:hanging="540"/>
        <w:rPr>
          <w:rFonts w:ascii="楷体" w:hAnsi="楷体" w:eastAsia="楷体" w:cs="楷体"/>
          <w:b/>
          <w:kern w:val="0"/>
          <w:sz w:val="24"/>
          <w:szCs w:val="20"/>
        </w:rPr>
      </w:pPr>
    </w:p>
    <w:p>
      <w:pPr>
        <w:jc w:val="center"/>
        <w:rPr>
          <w:rFonts w:ascii="楷体" w:hAnsi="楷体" w:eastAsia="楷体" w:cs="楷体"/>
          <w:sz w:val="24"/>
        </w:rPr>
      </w:pPr>
      <w:r>
        <w:rPr>
          <w:rFonts w:hint="eastAsia" w:ascii="楷体" w:hAnsi="楷体" w:eastAsia="楷体" w:cs="楷体"/>
          <w:sz w:val="24"/>
        </w:rPr>
        <w:t>政府采购履约担保函（项目用）</w:t>
      </w:r>
    </w:p>
    <w:p>
      <w:pPr>
        <w:rPr>
          <w:rFonts w:ascii="楷体" w:hAnsi="楷体" w:eastAsia="楷体" w:cs="楷体"/>
          <w:sz w:val="24"/>
        </w:rPr>
      </w:pPr>
      <w:r>
        <w:rPr>
          <w:rFonts w:hint="eastAsia" w:ascii="楷体" w:hAnsi="楷体" w:eastAsia="楷体" w:cs="楷体"/>
          <w:sz w:val="24"/>
        </w:rPr>
        <w:t xml:space="preserve">                                                   编号：</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（采购人）：</w:t>
      </w:r>
    </w:p>
    <w:p>
      <w:pPr>
        <w:rPr>
          <w:rFonts w:ascii="楷体" w:hAnsi="楷体" w:eastAsia="楷体" w:cs="楷体"/>
          <w:sz w:val="24"/>
        </w:rPr>
      </w:pPr>
    </w:p>
    <w:p>
      <w:pPr>
        <w:ind w:firstLine="484" w:firstLineChars="200"/>
        <w:rPr>
          <w:rFonts w:ascii="楷体" w:hAnsi="楷体" w:eastAsia="楷体" w:cs="楷体"/>
          <w:sz w:val="24"/>
        </w:rPr>
      </w:pPr>
      <w:r>
        <w:rPr>
          <w:rFonts w:hint="eastAsia" w:ascii="楷体" w:hAnsi="楷体" w:eastAsia="楷体" w:cs="楷体"/>
          <w:sz w:val="24"/>
        </w:rPr>
        <w:t>鉴于你方与（以下简称供应商）于年月日签定编号为   的《政府采购合同》（以下简称主合同），且依据该合同的约定，供应商应在年</w:t>
      </w:r>
    </w:p>
    <w:p>
      <w:pPr>
        <w:rPr>
          <w:rFonts w:ascii="楷体" w:hAnsi="楷体" w:eastAsia="楷体" w:cs="楷体"/>
          <w:sz w:val="24"/>
        </w:rPr>
      </w:pPr>
      <w:r>
        <w:rPr>
          <w:rFonts w:hint="eastAsia" w:ascii="楷体" w:hAnsi="楷体" w:eastAsia="楷体" w:cs="楷体"/>
          <w:sz w:val="24"/>
        </w:rPr>
        <w:t>月日前向你方交纳履约保证金，且可以履约担保函的形式交纳履约保证金。应供应商的申请，我方以保证的方式向你方提供如下履约保证金担保：</w:t>
      </w:r>
    </w:p>
    <w:p>
      <w:pPr>
        <w:ind w:firstLine="484" w:firstLineChars="200"/>
        <w:rPr>
          <w:rFonts w:ascii="楷体" w:hAnsi="楷体" w:eastAsia="楷体" w:cs="楷体"/>
          <w:sz w:val="24"/>
        </w:rPr>
      </w:pPr>
      <w:r>
        <w:rPr>
          <w:rFonts w:hint="eastAsia" w:ascii="楷体" w:hAnsi="楷体" w:eastAsia="楷体" w:cs="楷体"/>
          <w:sz w:val="24"/>
        </w:rPr>
        <w:t>一、保证责任的情形及保证金额</w:t>
      </w:r>
    </w:p>
    <w:p>
      <w:pPr>
        <w:ind w:firstLine="484" w:firstLineChars="200"/>
        <w:rPr>
          <w:rFonts w:ascii="楷体" w:hAnsi="楷体" w:eastAsia="楷体" w:cs="楷体"/>
          <w:sz w:val="24"/>
        </w:rPr>
      </w:pPr>
      <w:r>
        <w:rPr>
          <w:rFonts w:hint="eastAsia" w:ascii="楷体" w:hAnsi="楷体" w:eastAsia="楷体" w:cs="楷体"/>
          <w:sz w:val="24"/>
        </w:rPr>
        <w:t>（一）在供应商出现下列情形之一时，我方承担保证责任：</w:t>
      </w:r>
    </w:p>
    <w:p>
      <w:pPr>
        <w:ind w:firstLine="484" w:firstLineChars="200"/>
        <w:rPr>
          <w:rFonts w:ascii="楷体" w:hAnsi="楷体" w:eastAsia="楷体" w:cs="楷体"/>
          <w:sz w:val="24"/>
        </w:rPr>
      </w:pPr>
      <w:r>
        <w:rPr>
          <w:rFonts w:hint="eastAsia" w:ascii="楷体" w:hAnsi="楷体" w:eastAsia="楷体" w:cs="楷体"/>
          <w:sz w:val="24"/>
        </w:rPr>
        <w:t>1．将中标项目转让给他人，或者在投标文件中未说明，且未经采购招标机构人同意，将中标项目分包给他人的；</w:t>
      </w:r>
    </w:p>
    <w:p>
      <w:pPr>
        <w:rPr>
          <w:rFonts w:ascii="楷体" w:hAnsi="楷体" w:eastAsia="楷体" w:cs="楷体"/>
          <w:sz w:val="24"/>
        </w:rPr>
      </w:pPr>
      <w:r>
        <w:rPr>
          <w:rFonts w:hint="eastAsia" w:ascii="楷体" w:hAnsi="楷体" w:eastAsia="楷体" w:cs="楷体"/>
          <w:sz w:val="24"/>
        </w:rPr>
        <w:t xml:space="preserve">　　2．主合同约定的应当缴纳履约保证金的情形: </w:t>
      </w:r>
    </w:p>
    <w:p>
      <w:pPr>
        <w:ind w:firstLine="484" w:firstLineChars="200"/>
        <w:rPr>
          <w:rFonts w:ascii="楷体" w:hAnsi="楷体" w:eastAsia="楷体" w:cs="楷体"/>
          <w:sz w:val="24"/>
        </w:rPr>
      </w:pPr>
      <w:r>
        <w:rPr>
          <w:rFonts w:hint="eastAsia" w:ascii="楷体" w:hAnsi="楷体" w:eastAsia="楷体" w:cs="楷体"/>
          <w:sz w:val="24"/>
        </w:rPr>
        <w:t>（1）未按主合同约定的质量、数量和期限供应货物/提供服务/完成工程的；</w:t>
      </w:r>
    </w:p>
    <w:p>
      <w:pPr>
        <w:ind w:firstLine="484" w:firstLineChars="200"/>
        <w:rPr>
          <w:rFonts w:ascii="楷体" w:hAnsi="楷体" w:eastAsia="楷体" w:cs="楷体"/>
          <w:sz w:val="24"/>
        </w:rPr>
      </w:pPr>
      <w:r>
        <w:rPr>
          <w:rFonts w:hint="eastAsia" w:ascii="楷体" w:hAnsi="楷体" w:eastAsia="楷体" w:cs="楷体"/>
          <w:sz w:val="24"/>
        </w:rPr>
        <w:t>（2）。</w:t>
      </w:r>
    </w:p>
    <w:p>
      <w:pPr>
        <w:ind w:firstLine="484" w:firstLineChars="200"/>
        <w:rPr>
          <w:rFonts w:ascii="楷体" w:hAnsi="楷体" w:eastAsia="楷体" w:cs="楷体"/>
          <w:sz w:val="24"/>
        </w:rPr>
      </w:pPr>
      <w:r>
        <w:rPr>
          <w:rFonts w:hint="eastAsia" w:ascii="楷体" w:hAnsi="楷体" w:eastAsia="楷体" w:cs="楷体"/>
          <w:sz w:val="24"/>
        </w:rPr>
        <w:t>（二）我方的保证范围是主合同约定的合同价款总额的%数额为元（大写），币种为。（即主合同履约保证金金额）</w:t>
      </w:r>
    </w:p>
    <w:p>
      <w:pPr>
        <w:ind w:firstLine="484" w:firstLineChars="200"/>
        <w:rPr>
          <w:rFonts w:ascii="楷体" w:hAnsi="楷体" w:eastAsia="楷体" w:cs="楷体"/>
          <w:sz w:val="24"/>
        </w:rPr>
      </w:pPr>
      <w:r>
        <w:rPr>
          <w:rFonts w:hint="eastAsia" w:ascii="楷体" w:hAnsi="楷体" w:eastAsia="楷体" w:cs="楷体"/>
          <w:sz w:val="24"/>
        </w:rPr>
        <w:t>二、保证的方式及保证期间</w:t>
      </w:r>
    </w:p>
    <w:p>
      <w:pPr>
        <w:ind w:firstLine="484" w:firstLineChars="200"/>
        <w:rPr>
          <w:rFonts w:ascii="楷体" w:hAnsi="楷体" w:eastAsia="楷体" w:cs="楷体"/>
          <w:sz w:val="24"/>
        </w:rPr>
      </w:pPr>
      <w:r>
        <w:rPr>
          <w:rFonts w:hint="eastAsia" w:ascii="楷体" w:hAnsi="楷体" w:eastAsia="楷体" w:cs="楷体"/>
          <w:sz w:val="24"/>
        </w:rPr>
        <w:t>我方保证的方式为：连带责任保证。</w:t>
      </w:r>
    </w:p>
    <w:p>
      <w:pPr>
        <w:ind w:firstLine="484" w:firstLineChars="200"/>
        <w:rPr>
          <w:rFonts w:ascii="楷体" w:hAnsi="楷体" w:eastAsia="楷体" w:cs="楷体"/>
          <w:sz w:val="24"/>
        </w:rPr>
      </w:pPr>
      <w:r>
        <w:rPr>
          <w:rFonts w:hint="eastAsia" w:ascii="楷体" w:hAnsi="楷体" w:eastAsia="楷体" w:cs="楷体"/>
          <w:sz w:val="24"/>
        </w:rPr>
        <w:t>我方保证的期间为：自本合同生效之日起至供应商按照主合同约定的供货/完工期限届满后日内。</w:t>
      </w:r>
    </w:p>
    <w:p>
      <w:pPr>
        <w:ind w:firstLine="484" w:firstLineChars="200"/>
        <w:rPr>
          <w:rFonts w:ascii="楷体" w:hAnsi="楷体" w:eastAsia="楷体" w:cs="楷体"/>
          <w:sz w:val="24"/>
        </w:rPr>
      </w:pPr>
      <w:r>
        <w:rPr>
          <w:rFonts w:hint="eastAsia" w:ascii="楷体" w:hAnsi="楷体" w:eastAsia="楷体" w:cs="楷体"/>
          <w:sz w:val="24"/>
        </w:rPr>
        <w:t>如果供应商未按主合同约定向贵方供应货物/提供服务/完成工程的，由我方在保证金额内向你方支付上述款项。</w:t>
      </w:r>
    </w:p>
    <w:p>
      <w:pPr>
        <w:ind w:firstLine="484" w:firstLineChars="200"/>
        <w:rPr>
          <w:rFonts w:ascii="楷体" w:hAnsi="楷体" w:eastAsia="楷体" w:cs="楷体"/>
          <w:sz w:val="24"/>
        </w:rPr>
      </w:pPr>
      <w:r>
        <w:rPr>
          <w:rFonts w:hint="eastAsia" w:ascii="楷体" w:hAnsi="楷体" w:eastAsia="楷体" w:cs="楷体"/>
          <w:sz w:val="24"/>
        </w:rPr>
        <w:t>三、承担保证责任的程序</w:t>
      </w:r>
    </w:p>
    <w:p>
      <w:pPr>
        <w:ind w:firstLine="484" w:firstLineChars="200"/>
        <w:rPr>
          <w:rFonts w:ascii="楷体" w:hAnsi="楷体" w:eastAsia="楷体" w:cs="楷体"/>
          <w:sz w:val="24"/>
        </w:rPr>
      </w:pPr>
      <w:r>
        <w:rPr>
          <w:rFonts w:hint="eastAsia" w:ascii="楷体" w:hAnsi="楷体" w:eastAsia="楷体" w:cs="楷体"/>
          <w:sz w:val="24"/>
        </w:rPr>
        <w:t>1．你方要求我方承担保证责任的，应在本保函保证期间内向我方发出书面索赔通知。索赔通知应写明要求索赔的金额，支付款项应到达的帐号。并附有证明供应商违约事实的证明材料。</w:t>
      </w:r>
    </w:p>
    <w:p>
      <w:pPr>
        <w:ind w:firstLine="484" w:firstLineChars="200"/>
        <w:rPr>
          <w:rFonts w:ascii="楷体" w:hAnsi="楷体" w:eastAsia="楷体" w:cs="楷体"/>
          <w:sz w:val="24"/>
        </w:rPr>
      </w:pPr>
      <w:r>
        <w:rPr>
          <w:rFonts w:hint="eastAsia" w:ascii="楷体" w:hAnsi="楷体" w:eastAsia="楷体" w:cs="楷体"/>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ind w:firstLine="484" w:firstLineChars="200"/>
        <w:rPr>
          <w:rFonts w:ascii="楷体" w:hAnsi="楷体" w:eastAsia="楷体" w:cs="楷体"/>
          <w:sz w:val="24"/>
        </w:rPr>
      </w:pPr>
      <w:r>
        <w:rPr>
          <w:rFonts w:hint="eastAsia" w:ascii="楷体" w:hAnsi="楷体" w:eastAsia="楷体" w:cs="楷体"/>
          <w:sz w:val="24"/>
        </w:rPr>
        <w:t>2． 我方收到你方的书面索赔通知及相应证明材料，在工作日内进行核定后按照本保函的承诺承担保证责任。</w:t>
      </w:r>
    </w:p>
    <w:p>
      <w:pPr>
        <w:ind w:firstLine="484" w:firstLineChars="200"/>
        <w:rPr>
          <w:rFonts w:ascii="楷体" w:hAnsi="楷体" w:eastAsia="楷体" w:cs="楷体"/>
          <w:sz w:val="24"/>
        </w:rPr>
      </w:pPr>
      <w:r>
        <w:rPr>
          <w:rFonts w:hint="eastAsia" w:ascii="楷体" w:hAnsi="楷体" w:eastAsia="楷体" w:cs="楷体"/>
          <w:sz w:val="24"/>
        </w:rPr>
        <w:t>四、保证责任的终止</w:t>
      </w:r>
    </w:p>
    <w:p>
      <w:pPr>
        <w:ind w:firstLine="484" w:firstLineChars="200"/>
        <w:rPr>
          <w:rFonts w:ascii="楷体" w:hAnsi="楷体" w:eastAsia="楷体" w:cs="楷体"/>
          <w:sz w:val="24"/>
        </w:rPr>
      </w:pPr>
      <w:r>
        <w:rPr>
          <w:rFonts w:hint="eastAsia" w:ascii="楷体" w:hAnsi="楷体" w:eastAsia="楷体" w:cs="楷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4" w:firstLineChars="200"/>
        <w:rPr>
          <w:rFonts w:ascii="楷体" w:hAnsi="楷体" w:eastAsia="楷体" w:cs="楷体"/>
          <w:sz w:val="24"/>
        </w:rPr>
      </w:pPr>
      <w:r>
        <w:rPr>
          <w:rFonts w:hint="eastAsia" w:ascii="楷体" w:hAnsi="楷体" w:eastAsia="楷体" w:cs="楷体"/>
          <w:sz w:val="24"/>
        </w:rPr>
        <w:t>2．我方按照本保函向你方履行了保证责任后，自我方向你方支付款项（支付款项从我方账户划出）之日起，保证责任即终止。</w:t>
      </w:r>
    </w:p>
    <w:p>
      <w:pPr>
        <w:ind w:firstLine="484" w:firstLineChars="200"/>
        <w:rPr>
          <w:rFonts w:ascii="楷体" w:hAnsi="楷体" w:eastAsia="楷体" w:cs="楷体"/>
          <w:sz w:val="24"/>
        </w:rPr>
      </w:pPr>
      <w:r>
        <w:rPr>
          <w:rFonts w:hint="eastAsia" w:ascii="楷体" w:hAnsi="楷体" w:eastAsia="楷体" w:cs="楷体"/>
          <w:sz w:val="24"/>
        </w:rPr>
        <w:t>3．按照法律法规的规定或出现应终止我方保证责任的其它情形的，我方在本保函项下的保证责任亦终止。</w:t>
      </w:r>
    </w:p>
    <w:p>
      <w:pPr>
        <w:ind w:firstLine="484" w:firstLineChars="200"/>
        <w:rPr>
          <w:rFonts w:ascii="楷体" w:hAnsi="楷体" w:eastAsia="楷体" w:cs="楷体"/>
          <w:sz w:val="24"/>
        </w:rPr>
      </w:pPr>
      <w:r>
        <w:rPr>
          <w:rFonts w:hint="eastAsia" w:ascii="楷体" w:hAnsi="楷体" w:eastAsia="楷体" w:cs="楷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4" w:firstLineChars="200"/>
        <w:rPr>
          <w:rFonts w:ascii="楷体" w:hAnsi="楷体" w:eastAsia="楷体" w:cs="楷体"/>
          <w:sz w:val="24"/>
        </w:rPr>
      </w:pPr>
      <w:r>
        <w:rPr>
          <w:rFonts w:hint="eastAsia" w:ascii="楷体" w:hAnsi="楷体" w:eastAsia="楷体" w:cs="楷体"/>
          <w:sz w:val="24"/>
        </w:rPr>
        <w:t>五、免责条款</w:t>
      </w:r>
    </w:p>
    <w:p>
      <w:pPr>
        <w:ind w:firstLine="484" w:firstLineChars="200"/>
        <w:rPr>
          <w:rFonts w:ascii="楷体" w:hAnsi="楷体" w:eastAsia="楷体" w:cs="楷体"/>
          <w:sz w:val="24"/>
        </w:rPr>
      </w:pPr>
      <w:r>
        <w:rPr>
          <w:rFonts w:hint="eastAsia" w:ascii="楷体" w:hAnsi="楷体" w:eastAsia="楷体" w:cs="楷体"/>
          <w:sz w:val="24"/>
        </w:rPr>
        <w:t>1．因你方违反主合同约定致使供应商不能履行义务的，我方不承担保证责任。</w:t>
      </w:r>
    </w:p>
    <w:p>
      <w:pPr>
        <w:ind w:firstLine="484" w:firstLineChars="200"/>
        <w:rPr>
          <w:rFonts w:ascii="楷体" w:hAnsi="楷体" w:eastAsia="楷体" w:cs="楷体"/>
          <w:sz w:val="24"/>
        </w:rPr>
      </w:pPr>
      <w:r>
        <w:rPr>
          <w:rFonts w:hint="eastAsia" w:ascii="楷体" w:hAnsi="楷体" w:eastAsia="楷体" w:cs="楷体"/>
          <w:sz w:val="24"/>
        </w:rPr>
        <w:t>2．依照法律法规的规定或你方与供应商的另行约定，全部或者部分免除供应商应缴纳的保证金义务的，我方亦免除相应的保证责任。</w:t>
      </w:r>
    </w:p>
    <w:p>
      <w:pPr>
        <w:ind w:firstLine="484" w:firstLineChars="200"/>
        <w:rPr>
          <w:rFonts w:ascii="楷体" w:hAnsi="楷体" w:eastAsia="楷体" w:cs="楷体"/>
          <w:sz w:val="24"/>
        </w:rPr>
      </w:pPr>
      <w:r>
        <w:rPr>
          <w:rFonts w:hint="eastAsia" w:ascii="楷体" w:hAnsi="楷体" w:eastAsia="楷体" w:cs="楷体"/>
          <w:sz w:val="24"/>
        </w:rPr>
        <w:t>3．因不可抗力造成供应商不能履行供货义务的，我方不承担保证责任。</w:t>
      </w:r>
    </w:p>
    <w:p>
      <w:pPr>
        <w:ind w:firstLine="484" w:firstLineChars="200"/>
        <w:rPr>
          <w:rFonts w:ascii="楷体" w:hAnsi="楷体" w:eastAsia="楷体" w:cs="楷体"/>
          <w:sz w:val="24"/>
        </w:rPr>
      </w:pPr>
      <w:r>
        <w:rPr>
          <w:rFonts w:hint="eastAsia" w:ascii="楷体" w:hAnsi="楷体" w:eastAsia="楷体" w:cs="楷体"/>
          <w:sz w:val="24"/>
        </w:rPr>
        <w:t>六、争议的解决</w:t>
      </w:r>
    </w:p>
    <w:p>
      <w:pPr>
        <w:ind w:firstLine="484" w:firstLineChars="200"/>
        <w:rPr>
          <w:rFonts w:ascii="楷体" w:hAnsi="楷体" w:eastAsia="楷体" w:cs="楷体"/>
          <w:sz w:val="24"/>
        </w:rPr>
      </w:pPr>
      <w:r>
        <w:rPr>
          <w:rFonts w:hint="eastAsia" w:ascii="楷体" w:hAnsi="楷体" w:eastAsia="楷体" w:cs="楷体"/>
          <w:sz w:val="24"/>
        </w:rPr>
        <w:t>因本保函发生的纠纷，由你我双方协商解决，协商不成的，通过诉讼程序解决，诉讼管辖地法院为法院。</w:t>
      </w:r>
    </w:p>
    <w:p>
      <w:pPr>
        <w:ind w:firstLine="484" w:firstLineChars="200"/>
        <w:rPr>
          <w:rFonts w:ascii="楷体" w:hAnsi="楷体" w:eastAsia="楷体" w:cs="楷体"/>
          <w:sz w:val="24"/>
        </w:rPr>
      </w:pPr>
      <w:r>
        <w:rPr>
          <w:rFonts w:hint="eastAsia" w:ascii="楷体" w:hAnsi="楷体" w:eastAsia="楷体" w:cs="楷体"/>
          <w:sz w:val="24"/>
        </w:rPr>
        <w:t>七、保函的生效</w:t>
      </w:r>
    </w:p>
    <w:p>
      <w:pPr>
        <w:ind w:firstLine="484" w:firstLineChars="200"/>
        <w:rPr>
          <w:rFonts w:ascii="楷体" w:hAnsi="楷体" w:eastAsia="楷体" w:cs="楷体"/>
          <w:sz w:val="24"/>
        </w:rPr>
      </w:pPr>
      <w:r>
        <w:rPr>
          <w:rFonts w:hint="eastAsia" w:ascii="楷体" w:hAnsi="楷体" w:eastAsia="楷体" w:cs="楷体"/>
          <w:sz w:val="24"/>
        </w:rPr>
        <w:t>本保函自我方加盖公章之日起生效。</w:t>
      </w:r>
    </w:p>
    <w:p>
      <w:pPr>
        <w:rPr>
          <w:rFonts w:ascii="楷体" w:hAnsi="楷体" w:eastAsia="楷体" w:cs="楷体"/>
          <w:sz w:val="24"/>
        </w:rPr>
      </w:pPr>
    </w:p>
    <w:p>
      <w:pPr>
        <w:rPr>
          <w:rFonts w:ascii="楷体" w:hAnsi="楷体" w:eastAsia="楷体" w:cs="楷体"/>
          <w:sz w:val="24"/>
        </w:rPr>
      </w:pPr>
    </w:p>
    <w:p>
      <w:pPr>
        <w:ind w:firstLine="5445" w:firstLineChars="2250"/>
        <w:rPr>
          <w:rFonts w:ascii="楷体" w:hAnsi="楷体" w:eastAsia="楷体" w:cs="楷体"/>
          <w:sz w:val="24"/>
        </w:rPr>
      </w:pPr>
      <w:r>
        <w:rPr>
          <w:rFonts w:hint="eastAsia" w:ascii="楷体" w:hAnsi="楷体" w:eastAsia="楷体" w:cs="楷体"/>
          <w:sz w:val="24"/>
        </w:rPr>
        <w:t>保证人：（公章）</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 xml:space="preserve">                                                   年     月      日</w:t>
      </w:r>
    </w:p>
    <w:p>
      <w:pPr>
        <w:pStyle w:val="6"/>
        <w:spacing w:line="240" w:lineRule="atLeast"/>
        <w:ind w:firstLine="0"/>
        <w:rPr>
          <w:rFonts w:ascii="楷体" w:hAnsi="楷体" w:eastAsia="楷体" w:cs="楷体"/>
          <w:kern w:val="2"/>
          <w:szCs w:val="24"/>
        </w:rPr>
      </w:pPr>
      <w:r>
        <w:rPr>
          <w:rFonts w:hint="eastAsia" w:ascii="楷体" w:hAnsi="楷体" w:eastAsia="楷体" w:cs="楷体"/>
          <w:b/>
        </w:rPr>
        <w:br w:type="page"/>
      </w:r>
    </w:p>
    <w:p>
      <w:pPr>
        <w:pStyle w:val="4"/>
        <w:numPr>
          <w:ilvl w:val="0"/>
          <w:numId w:val="3"/>
        </w:numPr>
        <w:spacing w:before="0" w:after="0" w:line="240" w:lineRule="atLeast"/>
        <w:rPr>
          <w:rFonts w:ascii="楷体" w:hAnsi="楷体" w:eastAsia="楷体" w:cs="楷体"/>
        </w:rPr>
      </w:pPr>
      <w:bookmarkStart w:id="243" w:name="_Toc702"/>
      <w:bookmarkStart w:id="244" w:name="_Toc22134"/>
      <w:bookmarkStart w:id="245" w:name="_Toc728"/>
      <w:bookmarkStart w:id="246" w:name="_Toc216582812"/>
      <w:bookmarkStart w:id="247" w:name="_Toc515647802"/>
      <w:r>
        <w:rPr>
          <w:rFonts w:hint="eastAsia" w:ascii="楷体" w:hAnsi="楷体" w:eastAsia="楷体" w:cs="楷体"/>
        </w:rPr>
        <w:t>投标文件格式</w:t>
      </w:r>
      <w:bookmarkEnd w:id="243"/>
      <w:bookmarkEnd w:id="244"/>
      <w:bookmarkEnd w:id="245"/>
      <w:bookmarkEnd w:id="246"/>
      <w:bookmarkEnd w:id="247"/>
    </w:p>
    <w:p>
      <w:pPr>
        <w:spacing w:line="240" w:lineRule="atLeast"/>
        <w:ind w:left="742" w:leftChars="350" w:firstLine="121" w:firstLineChars="50"/>
        <w:rPr>
          <w:rFonts w:ascii="楷体" w:hAnsi="楷体" w:eastAsia="楷体" w:cs="楷体"/>
          <w:sz w:val="24"/>
        </w:rPr>
      </w:pPr>
    </w:p>
    <w:p>
      <w:pPr>
        <w:pStyle w:val="5"/>
        <w:spacing w:before="0" w:line="240" w:lineRule="auto"/>
        <w:ind w:left="1084" w:leftChars="257" w:hanging="540"/>
        <w:rPr>
          <w:rFonts w:ascii="楷体" w:hAnsi="楷体" w:eastAsia="楷体" w:cs="楷体"/>
          <w:sz w:val="24"/>
        </w:rPr>
      </w:pPr>
      <w:bookmarkStart w:id="248" w:name="_Toc15142"/>
      <w:bookmarkStart w:id="249" w:name="_Toc518923107"/>
      <w:r>
        <w:rPr>
          <w:rFonts w:hint="eastAsia" w:ascii="楷体" w:hAnsi="楷体" w:eastAsia="楷体" w:cs="楷体"/>
          <w:sz w:val="24"/>
        </w:rPr>
        <w:t>第一部分 开标一览表及资格证明文件</w:t>
      </w:r>
      <w:bookmarkEnd w:id="248"/>
      <w:bookmarkEnd w:id="249"/>
    </w:p>
    <w:p>
      <w:pPr>
        <w:ind w:left="716" w:hanging="713" w:hangingChars="295"/>
        <w:jc w:val="center"/>
        <w:rPr>
          <w:rFonts w:ascii="楷体" w:hAnsi="楷体" w:eastAsia="楷体" w:cs="楷体"/>
          <w:sz w:val="24"/>
        </w:rPr>
      </w:pPr>
    </w:p>
    <w:p>
      <w:pPr>
        <w:tabs>
          <w:tab w:val="left" w:pos="5580"/>
        </w:tabs>
        <w:ind w:firstLine="427" w:firstLineChars="177"/>
        <w:rPr>
          <w:rFonts w:ascii="楷体" w:hAnsi="楷体" w:eastAsia="楷体" w:cs="楷体"/>
          <w:sz w:val="24"/>
        </w:rPr>
      </w:pPr>
      <w:r>
        <w:rPr>
          <w:rFonts w:hint="eastAsia" w:ascii="楷体" w:hAnsi="楷体" w:eastAsia="楷体" w:cs="楷体"/>
          <w:sz w:val="24"/>
        </w:rPr>
        <w:t xml:space="preserve"> 1 、开标一览表（见投标文件格式一）;</w:t>
      </w:r>
    </w:p>
    <w:p>
      <w:pPr>
        <w:tabs>
          <w:tab w:val="left" w:pos="5580"/>
        </w:tabs>
        <w:ind w:left="1" w:firstLine="568" w:firstLineChars="235"/>
        <w:rPr>
          <w:rFonts w:ascii="楷体" w:hAnsi="楷体" w:eastAsia="楷体" w:cs="楷体"/>
          <w:sz w:val="24"/>
        </w:rPr>
      </w:pPr>
      <w:r>
        <w:rPr>
          <w:rFonts w:hint="eastAsia" w:ascii="楷体" w:hAnsi="楷体" w:eastAsia="楷体" w:cs="楷体"/>
          <w:sz w:val="24"/>
        </w:rPr>
        <w:t>2、法人或者非法人组织的营业执照等证明文件复印件（须加盖本单位章）或自然人的身份证明复印件;</w:t>
      </w:r>
    </w:p>
    <w:p>
      <w:pPr>
        <w:tabs>
          <w:tab w:val="left" w:pos="5580"/>
        </w:tabs>
        <w:ind w:left="1" w:firstLine="568" w:firstLineChars="235"/>
        <w:rPr>
          <w:rFonts w:ascii="楷体" w:hAnsi="楷体" w:eastAsia="楷体" w:cs="楷体"/>
          <w:sz w:val="24"/>
        </w:rPr>
      </w:pPr>
      <w:r>
        <w:rPr>
          <w:rFonts w:hint="eastAsia" w:ascii="楷体" w:hAnsi="楷体" w:eastAsia="楷体" w:cs="楷体"/>
          <w:sz w:val="24"/>
        </w:rPr>
        <w:t>3、法定代表人授权委托书（见投标文件格式二，自然人投标的无需提供）;</w:t>
      </w:r>
    </w:p>
    <w:p>
      <w:pPr>
        <w:tabs>
          <w:tab w:val="left" w:pos="5580"/>
        </w:tabs>
        <w:ind w:left="1" w:firstLine="568" w:firstLineChars="235"/>
        <w:rPr>
          <w:rFonts w:ascii="楷体" w:hAnsi="楷体" w:eastAsia="楷体" w:cs="楷体"/>
          <w:sz w:val="24"/>
        </w:rPr>
      </w:pPr>
      <w:r>
        <w:rPr>
          <w:rFonts w:hint="eastAsia" w:ascii="楷体" w:hAnsi="楷体" w:eastAsia="楷体" w:cs="楷体"/>
          <w:sz w:val="24"/>
        </w:rPr>
        <w:t>4、具有良好的商业信誉和健全的财务会计制度的证明文件；</w:t>
      </w:r>
    </w:p>
    <w:p>
      <w:pPr>
        <w:tabs>
          <w:tab w:val="left" w:pos="5580"/>
        </w:tabs>
        <w:ind w:left="1" w:firstLine="568" w:firstLineChars="235"/>
        <w:rPr>
          <w:rFonts w:ascii="楷体" w:hAnsi="楷体" w:eastAsia="楷体" w:cs="楷体"/>
          <w:sz w:val="24"/>
        </w:rPr>
      </w:pPr>
      <w:r>
        <w:rPr>
          <w:rFonts w:hint="eastAsia" w:ascii="楷体" w:hAnsi="楷体" w:eastAsia="楷体" w:cs="楷体"/>
          <w:sz w:val="24"/>
        </w:rPr>
        <w:t>5、社会保障资金的缴纳记录;</w:t>
      </w:r>
    </w:p>
    <w:p>
      <w:pPr>
        <w:tabs>
          <w:tab w:val="left" w:pos="5580"/>
        </w:tabs>
        <w:ind w:left="1" w:firstLine="568" w:firstLineChars="235"/>
        <w:rPr>
          <w:rFonts w:ascii="楷体" w:hAnsi="楷体" w:eastAsia="楷体" w:cs="楷体"/>
          <w:sz w:val="24"/>
        </w:rPr>
      </w:pPr>
      <w:r>
        <w:rPr>
          <w:rFonts w:hint="eastAsia" w:ascii="楷体" w:hAnsi="楷体" w:eastAsia="楷体" w:cs="楷体"/>
          <w:sz w:val="24"/>
        </w:rPr>
        <w:t>6、参加政府采购活动前3年内在经营活动中没有重大违法记录的书面声明;</w:t>
      </w:r>
    </w:p>
    <w:p>
      <w:pPr>
        <w:tabs>
          <w:tab w:val="left" w:pos="5580"/>
        </w:tabs>
        <w:ind w:left="1" w:firstLine="568" w:firstLineChars="235"/>
        <w:rPr>
          <w:rFonts w:ascii="楷体" w:hAnsi="楷体" w:eastAsia="楷体" w:cs="楷体"/>
          <w:sz w:val="24"/>
        </w:rPr>
      </w:pPr>
      <w:r>
        <w:rPr>
          <w:rFonts w:hint="eastAsia" w:ascii="楷体" w:hAnsi="楷体" w:eastAsia="楷体" w:cs="楷体"/>
          <w:sz w:val="24"/>
        </w:rPr>
        <w:t>7、投标人须知资料表要求的其他资格证明文件;</w:t>
      </w:r>
    </w:p>
    <w:p>
      <w:pPr>
        <w:tabs>
          <w:tab w:val="left" w:pos="5580"/>
        </w:tabs>
        <w:ind w:left="1" w:firstLine="568" w:firstLineChars="235"/>
        <w:rPr>
          <w:rFonts w:ascii="楷体" w:hAnsi="楷体" w:eastAsia="楷体" w:cs="楷体"/>
          <w:sz w:val="24"/>
        </w:rPr>
      </w:pPr>
    </w:p>
    <w:p>
      <w:pPr>
        <w:tabs>
          <w:tab w:val="left" w:pos="5580"/>
        </w:tabs>
        <w:ind w:left="1" w:firstLine="568" w:firstLineChars="235"/>
        <w:rPr>
          <w:rFonts w:ascii="微软雅黑" w:hAnsi="微软雅黑" w:eastAsia="微软雅黑" w:cs="微软雅黑"/>
          <w:sz w:val="24"/>
        </w:rPr>
      </w:pPr>
    </w:p>
    <w:p>
      <w:pPr>
        <w:tabs>
          <w:tab w:val="left" w:pos="5580"/>
        </w:tabs>
        <w:ind w:left="1" w:firstLine="568" w:firstLineChars="235"/>
        <w:rPr>
          <w:rFonts w:ascii="微软雅黑" w:hAnsi="微软雅黑" w:eastAsia="微软雅黑" w:cs="微软雅黑"/>
          <w:sz w:val="24"/>
        </w:rPr>
      </w:pPr>
    </w:p>
    <w:p>
      <w:pPr>
        <w:tabs>
          <w:tab w:val="left" w:pos="5580"/>
        </w:tabs>
        <w:ind w:left="1" w:firstLine="568" w:firstLineChars="235"/>
        <w:rPr>
          <w:rFonts w:ascii="微软雅黑" w:hAnsi="微软雅黑" w:eastAsia="微软雅黑" w:cs="微软雅黑"/>
          <w:sz w:val="24"/>
        </w:rPr>
      </w:pPr>
    </w:p>
    <w:p>
      <w:pPr>
        <w:tabs>
          <w:tab w:val="left" w:pos="5580"/>
        </w:tabs>
        <w:ind w:left="1" w:firstLine="568" w:firstLineChars="235"/>
        <w:rPr>
          <w:rFonts w:ascii="微软雅黑" w:hAnsi="微软雅黑" w:eastAsia="微软雅黑" w:cs="微软雅黑"/>
          <w:sz w:val="24"/>
        </w:rPr>
      </w:pPr>
    </w:p>
    <w:p>
      <w:pPr>
        <w:tabs>
          <w:tab w:val="left" w:pos="5580"/>
        </w:tabs>
        <w:ind w:left="1" w:firstLine="568" w:firstLineChars="235"/>
        <w:rPr>
          <w:rFonts w:ascii="微软雅黑" w:hAnsi="微软雅黑" w:eastAsia="微软雅黑" w:cs="微软雅黑"/>
          <w:sz w:val="24"/>
        </w:rPr>
      </w:pPr>
    </w:p>
    <w:p>
      <w:pPr>
        <w:tabs>
          <w:tab w:val="left" w:pos="5580"/>
        </w:tabs>
        <w:ind w:left="1" w:firstLine="568" w:firstLineChars="235"/>
        <w:rPr>
          <w:rFonts w:ascii="微软雅黑" w:hAnsi="微软雅黑" w:eastAsia="微软雅黑" w:cs="微软雅黑"/>
          <w:sz w:val="24"/>
        </w:rPr>
      </w:pPr>
    </w:p>
    <w:p>
      <w:pPr>
        <w:tabs>
          <w:tab w:val="left" w:pos="5580"/>
        </w:tabs>
        <w:rPr>
          <w:rFonts w:ascii="微软雅黑" w:hAnsi="微软雅黑" w:eastAsia="微软雅黑" w:cs="微软雅黑"/>
          <w:sz w:val="24"/>
        </w:rPr>
      </w:pPr>
    </w:p>
    <w:p>
      <w:pPr>
        <w:pStyle w:val="20"/>
        <w:rPr>
          <w:rFonts w:ascii="微软雅黑" w:hAnsi="微软雅黑" w:eastAsia="微软雅黑" w:cs="微软雅黑"/>
          <w:sz w:val="24"/>
        </w:rPr>
      </w:pPr>
      <w:r>
        <w:rPr>
          <w:rFonts w:hint="eastAsia" w:ascii="微软雅黑" w:hAnsi="微软雅黑" w:eastAsia="微软雅黑" w:cs="微软雅黑"/>
          <w:sz w:val="24"/>
        </w:rPr>
        <w:br w:type="page"/>
      </w:r>
    </w:p>
    <w:p>
      <w:pPr>
        <w:pStyle w:val="20"/>
        <w:rPr>
          <w:rFonts w:ascii="微软雅黑" w:hAnsi="微软雅黑" w:eastAsia="微软雅黑" w:cs="微软雅黑"/>
          <w:sz w:val="24"/>
        </w:rPr>
      </w:pPr>
    </w:p>
    <w:p>
      <w:pPr>
        <w:pStyle w:val="5"/>
        <w:spacing w:before="0" w:line="240" w:lineRule="auto"/>
        <w:ind w:left="1084" w:leftChars="257" w:hanging="540"/>
        <w:rPr>
          <w:rFonts w:ascii="楷体" w:hAnsi="楷体" w:eastAsia="楷体" w:cs="楷体"/>
          <w:sz w:val="24"/>
        </w:rPr>
      </w:pPr>
      <w:bookmarkStart w:id="250" w:name="_Toc29377"/>
      <w:bookmarkStart w:id="251" w:name="_Toc518923108"/>
      <w:r>
        <w:rPr>
          <w:rFonts w:hint="eastAsia" w:ascii="楷体" w:hAnsi="楷体" w:eastAsia="楷体" w:cs="楷体"/>
          <w:sz w:val="24"/>
        </w:rPr>
        <w:t>1  开标一览表（投标文件格式一）</w:t>
      </w:r>
      <w:bookmarkEnd w:id="250"/>
      <w:bookmarkEnd w:id="251"/>
    </w:p>
    <w:p>
      <w:pPr>
        <w:pStyle w:val="13"/>
        <w:tabs>
          <w:tab w:val="left" w:pos="5580"/>
        </w:tabs>
        <w:rPr>
          <w:rFonts w:ascii="楷体" w:hAnsi="楷体" w:eastAsia="楷体" w:cs="楷体"/>
          <w:sz w:val="24"/>
          <w:szCs w:val="24"/>
        </w:rPr>
      </w:pPr>
    </w:p>
    <w:p>
      <w:pPr>
        <w:pStyle w:val="6"/>
        <w:tabs>
          <w:tab w:val="left" w:pos="5580"/>
        </w:tabs>
        <w:ind w:left="1084" w:leftChars="257" w:hanging="540"/>
        <w:jc w:val="center"/>
        <w:rPr>
          <w:rFonts w:ascii="楷体" w:hAnsi="楷体" w:eastAsia="楷体" w:cs="楷体"/>
          <w:b/>
        </w:rPr>
      </w:pPr>
      <w:bookmarkStart w:id="252" w:name="_Hlt520356241"/>
      <w:bookmarkEnd w:id="252"/>
      <w:bookmarkStart w:id="253" w:name="_Toc494296984"/>
      <w:bookmarkStart w:id="254" w:name="_Ref467988698"/>
      <w:bookmarkStart w:id="255" w:name="_Toc480942349"/>
      <w:bookmarkStart w:id="256" w:name="_Toc520356217"/>
      <w:bookmarkStart w:id="257" w:name="_Toc216582813"/>
      <w:r>
        <w:rPr>
          <w:rFonts w:hint="eastAsia" w:ascii="楷体" w:hAnsi="楷体" w:eastAsia="楷体" w:cs="楷体"/>
          <w:b/>
        </w:rPr>
        <w:t>开标一览表</w:t>
      </w:r>
      <w:bookmarkEnd w:id="253"/>
    </w:p>
    <w:p>
      <w:pPr>
        <w:pStyle w:val="6"/>
        <w:tabs>
          <w:tab w:val="left" w:pos="5580"/>
        </w:tabs>
        <w:ind w:left="1084" w:leftChars="257" w:hanging="540"/>
        <w:rPr>
          <w:rFonts w:ascii="楷体" w:hAnsi="楷体" w:eastAsia="楷体" w:cs="楷体"/>
        </w:rPr>
      </w:pPr>
    </w:p>
    <w:p>
      <w:pPr>
        <w:tabs>
          <w:tab w:val="left" w:pos="1800"/>
          <w:tab w:val="left" w:pos="5580"/>
        </w:tabs>
        <w:ind w:left="1084" w:leftChars="257" w:right="-875" w:rightChars="-413" w:hanging="540"/>
        <w:rPr>
          <w:rFonts w:ascii="楷体" w:hAnsi="楷体" w:eastAsia="楷体" w:cs="楷体"/>
          <w:sz w:val="24"/>
        </w:rPr>
      </w:pPr>
      <w:r>
        <w:rPr>
          <w:rFonts w:hint="eastAsia" w:ascii="楷体" w:hAnsi="楷体" w:eastAsia="楷体" w:cs="楷体"/>
          <w:sz w:val="24"/>
        </w:rPr>
        <w:t xml:space="preserve">项目名称：　                  招标编号：                 分包号：         </w:t>
      </w:r>
    </w:p>
    <w:tbl>
      <w:tblPr>
        <w:tblStyle w:val="25"/>
        <w:tblpPr w:leftFromText="180" w:rightFromText="180" w:vertAnchor="text" w:horzAnchor="page" w:tblpX="1611" w:tblpY="624"/>
        <w:tblOverlap w:val="never"/>
        <w:tblW w:w="0" w:type="auto"/>
        <w:tblInd w:w="-5" w:type="dxa"/>
        <w:tblLayout w:type="fixed"/>
        <w:tblCellMar>
          <w:top w:w="0" w:type="dxa"/>
          <w:left w:w="0" w:type="dxa"/>
          <w:bottom w:w="0" w:type="dxa"/>
          <w:right w:w="0" w:type="dxa"/>
        </w:tblCellMar>
      </w:tblPr>
      <w:tblGrid>
        <w:gridCol w:w="1912"/>
        <w:gridCol w:w="2431"/>
        <w:gridCol w:w="1946"/>
        <w:gridCol w:w="1368"/>
        <w:gridCol w:w="1520"/>
      </w:tblGrid>
      <w:tr>
        <w:tblPrEx>
          <w:tblCellMar>
            <w:top w:w="0" w:type="dxa"/>
            <w:left w:w="0" w:type="dxa"/>
            <w:bottom w:w="0" w:type="dxa"/>
            <w:right w:w="0" w:type="dxa"/>
          </w:tblCellMar>
        </w:tblPrEx>
        <w:trPr>
          <w:trHeight w:val="662" w:hRule="atLeast"/>
        </w:trPr>
        <w:tc>
          <w:tcPr>
            <w:tcW w:w="1912" w:type="dxa"/>
            <w:tcBorders>
              <w:top w:val="single" w:color="auto" w:sz="4" w:space="0"/>
              <w:left w:val="single" w:color="auto" w:sz="4" w:space="0"/>
              <w:bottom w:val="single" w:color="auto" w:sz="8" w:space="0"/>
              <w:right w:val="single" w:color="auto" w:sz="4" w:space="0"/>
            </w:tcBorders>
            <w:noWrap/>
            <w:vAlign w:val="center"/>
          </w:tcPr>
          <w:p>
            <w:pPr>
              <w:tabs>
                <w:tab w:val="left" w:pos="5580"/>
              </w:tabs>
              <w:ind w:right="-199"/>
              <w:jc w:val="center"/>
              <w:rPr>
                <w:rFonts w:ascii="楷体" w:hAnsi="楷体" w:eastAsia="楷体" w:cs="楷体"/>
                <w:sz w:val="24"/>
              </w:rPr>
            </w:pPr>
            <w:r>
              <w:rPr>
                <w:rFonts w:hint="eastAsia" w:ascii="楷体" w:hAnsi="楷体" w:eastAsia="楷体" w:cs="楷体"/>
                <w:sz w:val="24"/>
              </w:rPr>
              <w:t>服务名称</w:t>
            </w:r>
          </w:p>
        </w:tc>
        <w:tc>
          <w:tcPr>
            <w:tcW w:w="2431" w:type="dxa"/>
            <w:tcBorders>
              <w:top w:val="single" w:color="auto" w:sz="8" w:space="0"/>
              <w:left w:val="nil"/>
              <w:bottom w:val="single" w:color="auto" w:sz="8" w:space="0"/>
              <w:right w:val="single" w:color="auto" w:sz="4" w:space="0"/>
            </w:tcBorders>
            <w:noWrap/>
            <w:vAlign w:val="center"/>
          </w:tcPr>
          <w:p>
            <w:pPr>
              <w:tabs>
                <w:tab w:val="left" w:pos="5580"/>
              </w:tabs>
              <w:jc w:val="center"/>
              <w:rPr>
                <w:rFonts w:ascii="楷体" w:hAnsi="楷体" w:eastAsia="楷体" w:cs="楷体"/>
                <w:sz w:val="24"/>
              </w:rPr>
            </w:pPr>
            <w:r>
              <w:rPr>
                <w:rFonts w:hint="eastAsia" w:ascii="楷体" w:hAnsi="楷体" w:eastAsia="楷体" w:cs="楷体"/>
                <w:sz w:val="24"/>
              </w:rPr>
              <w:t>投标总价</w:t>
            </w:r>
          </w:p>
          <w:p>
            <w:pPr>
              <w:tabs>
                <w:tab w:val="left" w:pos="5580"/>
              </w:tabs>
              <w:jc w:val="center"/>
              <w:rPr>
                <w:rFonts w:ascii="楷体" w:hAnsi="楷体" w:eastAsia="楷体" w:cs="楷体"/>
                <w:sz w:val="24"/>
              </w:rPr>
            </w:pPr>
            <w:r>
              <w:rPr>
                <w:rFonts w:hint="eastAsia" w:ascii="楷体" w:hAnsi="楷体" w:eastAsia="楷体" w:cs="楷体"/>
                <w:sz w:val="24"/>
              </w:rPr>
              <w:t>（元）</w:t>
            </w:r>
          </w:p>
        </w:tc>
        <w:tc>
          <w:tcPr>
            <w:tcW w:w="1946" w:type="dxa"/>
            <w:tcBorders>
              <w:top w:val="single" w:color="auto" w:sz="8" w:space="0"/>
              <w:left w:val="nil"/>
              <w:bottom w:val="single" w:color="auto" w:sz="8" w:space="0"/>
              <w:right w:val="single" w:color="auto" w:sz="4" w:space="0"/>
            </w:tcBorders>
            <w:noWrap/>
            <w:vAlign w:val="center"/>
          </w:tcPr>
          <w:p>
            <w:pPr>
              <w:tabs>
                <w:tab w:val="left" w:pos="5580"/>
              </w:tabs>
              <w:jc w:val="center"/>
              <w:rPr>
                <w:rFonts w:ascii="楷体" w:hAnsi="楷体" w:eastAsia="楷体" w:cs="楷体"/>
                <w:sz w:val="24"/>
              </w:rPr>
            </w:pPr>
            <w:r>
              <w:rPr>
                <w:rFonts w:hint="eastAsia" w:ascii="楷体" w:hAnsi="楷体" w:eastAsia="楷体" w:cs="楷体"/>
                <w:sz w:val="24"/>
              </w:rPr>
              <w:t>履约期限</w:t>
            </w:r>
          </w:p>
        </w:tc>
        <w:tc>
          <w:tcPr>
            <w:tcW w:w="1368" w:type="dxa"/>
            <w:tcBorders>
              <w:top w:val="single" w:color="auto" w:sz="8" w:space="0"/>
              <w:left w:val="nil"/>
              <w:bottom w:val="single" w:color="auto" w:sz="8" w:space="0"/>
              <w:right w:val="single" w:color="auto" w:sz="4" w:space="0"/>
            </w:tcBorders>
            <w:noWrap/>
            <w:vAlign w:val="center"/>
          </w:tcPr>
          <w:p>
            <w:pPr>
              <w:tabs>
                <w:tab w:val="left" w:pos="5580"/>
              </w:tabs>
              <w:jc w:val="center"/>
              <w:rPr>
                <w:rFonts w:ascii="楷体" w:hAnsi="楷体" w:eastAsia="楷体" w:cs="楷体"/>
                <w:sz w:val="24"/>
              </w:rPr>
            </w:pPr>
            <w:r>
              <w:rPr>
                <w:rFonts w:hint="eastAsia" w:ascii="楷体" w:hAnsi="楷体" w:eastAsia="楷体" w:cs="楷体"/>
                <w:sz w:val="24"/>
              </w:rPr>
              <w:t>履约地点</w:t>
            </w:r>
          </w:p>
        </w:tc>
        <w:tc>
          <w:tcPr>
            <w:tcW w:w="1520" w:type="dxa"/>
            <w:tcBorders>
              <w:top w:val="single" w:color="auto" w:sz="8" w:space="0"/>
              <w:left w:val="single" w:color="auto" w:sz="4" w:space="0"/>
              <w:bottom w:val="single" w:color="auto" w:sz="8" w:space="0"/>
              <w:right w:val="single" w:color="auto" w:sz="8" w:space="0"/>
            </w:tcBorders>
            <w:noWrap/>
            <w:vAlign w:val="center"/>
          </w:tcPr>
          <w:p>
            <w:pPr>
              <w:tabs>
                <w:tab w:val="left" w:pos="5580"/>
              </w:tabs>
              <w:jc w:val="center"/>
              <w:rPr>
                <w:rFonts w:ascii="楷体" w:hAnsi="楷体" w:eastAsia="楷体" w:cs="楷体"/>
                <w:sz w:val="24"/>
              </w:rPr>
            </w:pPr>
            <w:r>
              <w:rPr>
                <w:rFonts w:hint="eastAsia" w:ascii="楷体" w:hAnsi="楷体" w:eastAsia="楷体" w:cs="楷体"/>
                <w:sz w:val="24"/>
              </w:rPr>
              <w:t>备注</w:t>
            </w:r>
          </w:p>
        </w:tc>
      </w:tr>
      <w:tr>
        <w:tblPrEx>
          <w:tblCellMar>
            <w:top w:w="0" w:type="dxa"/>
            <w:left w:w="0" w:type="dxa"/>
            <w:bottom w:w="0" w:type="dxa"/>
            <w:right w:w="0" w:type="dxa"/>
          </w:tblCellMar>
        </w:tblPrEx>
        <w:trPr>
          <w:cantSplit/>
          <w:trHeight w:val="1640" w:hRule="atLeast"/>
        </w:trPr>
        <w:tc>
          <w:tcPr>
            <w:tcW w:w="1912" w:type="dxa"/>
            <w:tcBorders>
              <w:top w:val="single" w:color="auto" w:sz="8" w:space="0"/>
              <w:left w:val="single" w:color="auto" w:sz="4" w:space="0"/>
              <w:bottom w:val="single" w:color="auto" w:sz="4" w:space="0"/>
              <w:right w:val="single" w:color="auto" w:sz="4" w:space="0"/>
            </w:tcBorders>
            <w:noWrap/>
            <w:vAlign w:val="center"/>
          </w:tcPr>
          <w:p>
            <w:pPr>
              <w:tabs>
                <w:tab w:val="left" w:pos="5580"/>
              </w:tabs>
              <w:ind w:left="1084" w:leftChars="257" w:hanging="540"/>
              <w:jc w:val="center"/>
              <w:rPr>
                <w:rFonts w:ascii="楷体" w:hAnsi="楷体" w:eastAsia="楷体" w:cs="楷体"/>
                <w:sz w:val="24"/>
              </w:rPr>
            </w:pPr>
          </w:p>
        </w:tc>
        <w:tc>
          <w:tcPr>
            <w:tcW w:w="2431" w:type="dxa"/>
            <w:tcBorders>
              <w:top w:val="single" w:color="auto" w:sz="8" w:space="0"/>
              <w:left w:val="nil"/>
              <w:bottom w:val="single" w:color="auto" w:sz="4" w:space="0"/>
              <w:right w:val="single" w:color="auto" w:sz="4" w:space="0"/>
            </w:tcBorders>
            <w:noWrap/>
            <w:vAlign w:val="center"/>
          </w:tcPr>
          <w:p>
            <w:pPr>
              <w:tabs>
                <w:tab w:val="left" w:pos="5580"/>
              </w:tabs>
              <w:jc w:val="left"/>
              <w:rPr>
                <w:rFonts w:ascii="楷体" w:hAnsi="楷体" w:eastAsia="楷体" w:cs="楷体"/>
                <w:sz w:val="24"/>
              </w:rPr>
            </w:pPr>
            <w:r>
              <w:rPr>
                <w:rFonts w:hint="eastAsia" w:ascii="楷体" w:hAnsi="楷体" w:eastAsia="楷体" w:cs="楷体"/>
                <w:sz w:val="24"/>
              </w:rPr>
              <w:t>大写：</w:t>
            </w:r>
          </w:p>
          <w:p>
            <w:pPr>
              <w:tabs>
                <w:tab w:val="left" w:pos="5580"/>
              </w:tabs>
              <w:rPr>
                <w:rFonts w:ascii="楷体" w:hAnsi="楷体" w:eastAsia="楷体" w:cs="楷体"/>
                <w:sz w:val="24"/>
              </w:rPr>
            </w:pPr>
            <w:r>
              <w:rPr>
                <w:rFonts w:hint="eastAsia" w:ascii="楷体" w:hAnsi="楷体" w:eastAsia="楷体" w:cs="楷体"/>
                <w:sz w:val="24"/>
              </w:rPr>
              <w:t>小写：</w:t>
            </w:r>
          </w:p>
        </w:tc>
        <w:tc>
          <w:tcPr>
            <w:tcW w:w="1946" w:type="dxa"/>
            <w:tcBorders>
              <w:top w:val="single" w:color="auto" w:sz="8" w:space="0"/>
              <w:left w:val="nil"/>
              <w:bottom w:val="single" w:color="auto" w:sz="4" w:space="0"/>
              <w:right w:val="single" w:color="auto" w:sz="4" w:space="0"/>
            </w:tcBorders>
            <w:noWrap/>
            <w:vAlign w:val="center"/>
          </w:tcPr>
          <w:p>
            <w:pPr>
              <w:tabs>
                <w:tab w:val="left" w:pos="5580"/>
              </w:tabs>
              <w:ind w:left="1084" w:leftChars="257" w:hanging="540"/>
              <w:jc w:val="center"/>
              <w:rPr>
                <w:rFonts w:ascii="楷体" w:hAnsi="楷体" w:eastAsia="楷体" w:cs="楷体"/>
                <w:sz w:val="24"/>
              </w:rPr>
            </w:pPr>
          </w:p>
        </w:tc>
        <w:tc>
          <w:tcPr>
            <w:tcW w:w="1368" w:type="dxa"/>
            <w:tcBorders>
              <w:top w:val="single" w:color="auto" w:sz="8" w:space="0"/>
              <w:left w:val="nil"/>
              <w:bottom w:val="single" w:color="auto" w:sz="4" w:space="0"/>
              <w:right w:val="single" w:color="auto" w:sz="4" w:space="0"/>
            </w:tcBorders>
            <w:noWrap/>
            <w:vAlign w:val="center"/>
          </w:tcPr>
          <w:p>
            <w:pPr>
              <w:tabs>
                <w:tab w:val="left" w:pos="5580"/>
              </w:tabs>
              <w:ind w:left="1084" w:leftChars="257" w:hanging="540"/>
              <w:jc w:val="center"/>
              <w:rPr>
                <w:rFonts w:ascii="楷体" w:hAnsi="楷体" w:eastAsia="楷体" w:cs="楷体"/>
                <w:sz w:val="24"/>
              </w:rPr>
            </w:pPr>
          </w:p>
        </w:tc>
        <w:tc>
          <w:tcPr>
            <w:tcW w:w="1520" w:type="dxa"/>
            <w:tcBorders>
              <w:top w:val="single" w:color="auto" w:sz="8" w:space="0"/>
              <w:left w:val="single" w:color="auto" w:sz="4" w:space="0"/>
              <w:bottom w:val="single" w:color="auto" w:sz="4" w:space="0"/>
              <w:right w:val="single" w:color="auto" w:sz="8" w:space="0"/>
            </w:tcBorders>
            <w:noWrap/>
            <w:vAlign w:val="center"/>
          </w:tcPr>
          <w:p>
            <w:pPr>
              <w:tabs>
                <w:tab w:val="left" w:pos="5580"/>
              </w:tabs>
              <w:ind w:left="1084" w:leftChars="257" w:hanging="540"/>
              <w:jc w:val="center"/>
              <w:rPr>
                <w:rFonts w:ascii="楷体" w:hAnsi="楷体" w:eastAsia="楷体" w:cs="楷体"/>
                <w:sz w:val="24"/>
              </w:rPr>
            </w:pPr>
          </w:p>
        </w:tc>
      </w:tr>
    </w:tbl>
    <w:p>
      <w:pPr>
        <w:tabs>
          <w:tab w:val="left" w:pos="1800"/>
          <w:tab w:val="left" w:pos="5580"/>
        </w:tabs>
        <w:ind w:left="1084" w:leftChars="257" w:right="-875" w:rightChars="-413" w:hanging="540"/>
        <w:rPr>
          <w:rFonts w:ascii="楷体" w:hAnsi="楷体" w:eastAsia="楷体" w:cs="楷体"/>
          <w:sz w:val="24"/>
        </w:rPr>
      </w:pPr>
      <w:r>
        <w:rPr>
          <w:rFonts w:hint="eastAsia" w:ascii="楷体" w:hAnsi="楷体" w:eastAsia="楷体" w:cs="楷体"/>
          <w:sz w:val="24"/>
        </w:rPr>
        <w:t>报价单位：人民币</w:t>
      </w:r>
      <w:r>
        <w:rPr>
          <w:rFonts w:hint="eastAsia" w:ascii="楷体" w:hAnsi="楷体" w:eastAsia="楷体" w:cs="楷体"/>
          <w:b/>
          <w:sz w:val="24"/>
        </w:rPr>
        <w:t>元</w:t>
      </w:r>
    </w:p>
    <w:p>
      <w:pPr>
        <w:pStyle w:val="13"/>
        <w:tabs>
          <w:tab w:val="left" w:pos="5580"/>
        </w:tabs>
        <w:ind w:left="1084" w:leftChars="257" w:hanging="540"/>
        <w:rPr>
          <w:rFonts w:ascii="楷体" w:hAnsi="楷体" w:eastAsia="楷体" w:cs="楷体"/>
          <w:sz w:val="24"/>
        </w:rPr>
      </w:pPr>
    </w:p>
    <w:p>
      <w:pPr>
        <w:pStyle w:val="13"/>
        <w:tabs>
          <w:tab w:val="left" w:pos="5580"/>
        </w:tabs>
        <w:ind w:left="1084" w:leftChars="257" w:hanging="540"/>
        <w:rPr>
          <w:rFonts w:ascii="楷体" w:hAnsi="楷体" w:eastAsia="楷体" w:cs="楷体"/>
          <w:sz w:val="24"/>
          <w:u w:val="single"/>
        </w:rPr>
      </w:pPr>
    </w:p>
    <w:p>
      <w:pPr>
        <w:pStyle w:val="13"/>
        <w:tabs>
          <w:tab w:val="left" w:pos="5580"/>
        </w:tabs>
        <w:ind w:left="1084" w:leftChars="257" w:hanging="540"/>
        <w:rPr>
          <w:rFonts w:ascii="楷体" w:hAnsi="楷体" w:eastAsia="楷体" w:cs="楷体"/>
          <w:sz w:val="24"/>
          <w:u w:val="single"/>
        </w:rPr>
      </w:pP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投标人名称（单位章）：</w:t>
      </w:r>
    </w:p>
    <w:p>
      <w:pPr>
        <w:pStyle w:val="13"/>
        <w:tabs>
          <w:tab w:val="left" w:pos="5580"/>
        </w:tabs>
        <w:ind w:left="1084" w:leftChars="257" w:hanging="540"/>
        <w:rPr>
          <w:rFonts w:ascii="楷体" w:hAnsi="楷体" w:eastAsia="楷体" w:cs="楷体"/>
          <w:sz w:val="24"/>
          <w:u w:val="single"/>
        </w:rPr>
      </w:pPr>
      <w:r>
        <w:rPr>
          <w:rFonts w:hint="eastAsia" w:ascii="楷体" w:hAnsi="楷体" w:eastAsia="楷体" w:cs="楷体"/>
          <w:sz w:val="24"/>
        </w:rPr>
        <w:t>法定代表人或其委托代理人(签字):</w:t>
      </w:r>
      <w:r>
        <w:rPr>
          <w:rFonts w:hint="eastAsia" w:ascii="楷体" w:hAnsi="楷体" w:eastAsia="楷体" w:cs="楷体"/>
          <w:sz w:val="24"/>
          <w:u w:val="single"/>
        </w:rPr>
        <w:tab/>
      </w:r>
    </w:p>
    <w:p>
      <w:pPr>
        <w:pStyle w:val="13"/>
        <w:tabs>
          <w:tab w:val="left" w:pos="5580"/>
        </w:tabs>
        <w:ind w:left="1084" w:leftChars="257" w:hanging="540"/>
        <w:rPr>
          <w:rFonts w:ascii="楷体" w:hAnsi="楷体" w:eastAsia="楷体" w:cs="楷体"/>
          <w:sz w:val="24"/>
        </w:rPr>
      </w:pPr>
    </w:p>
    <w:p>
      <w:pPr>
        <w:pStyle w:val="13"/>
        <w:tabs>
          <w:tab w:val="left" w:pos="5580"/>
        </w:tabs>
        <w:ind w:left="1084" w:leftChars="257" w:hanging="540"/>
        <w:rPr>
          <w:rFonts w:ascii="楷体" w:hAnsi="楷体" w:eastAsia="楷体" w:cs="楷体"/>
          <w:sz w:val="24"/>
        </w:rPr>
      </w:pP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注:1、此表应按投标人须知的规定装订密封。</w:t>
      </w:r>
    </w:p>
    <w:p>
      <w:pPr>
        <w:pStyle w:val="13"/>
        <w:tabs>
          <w:tab w:val="left" w:pos="5580"/>
        </w:tabs>
        <w:ind w:left="1088" w:leftChars="428" w:hanging="181" w:hangingChars="75"/>
        <w:rPr>
          <w:rFonts w:ascii="楷体" w:hAnsi="楷体" w:eastAsia="楷体" w:cs="楷体"/>
          <w:sz w:val="24"/>
        </w:rPr>
      </w:pPr>
      <w:r>
        <w:rPr>
          <w:rFonts w:hint="eastAsia" w:ascii="楷体" w:hAnsi="楷体" w:eastAsia="楷体" w:cs="楷体"/>
          <w:sz w:val="24"/>
        </w:rPr>
        <w:t>2、此表中，每个分包的投标总价应和投标分项报价表的总价相一致。</w:t>
      </w:r>
    </w:p>
    <w:p>
      <w:pPr>
        <w:pStyle w:val="5"/>
        <w:spacing w:before="0" w:line="240" w:lineRule="auto"/>
        <w:ind w:left="1084" w:leftChars="257" w:hanging="540"/>
        <w:rPr>
          <w:rFonts w:ascii="楷体" w:hAnsi="楷体" w:eastAsia="楷体" w:cs="楷体"/>
          <w:b w:val="0"/>
          <w:sz w:val="24"/>
        </w:rPr>
      </w:pPr>
      <w:r>
        <w:rPr>
          <w:rFonts w:hint="eastAsia" w:ascii="楷体" w:hAnsi="楷体" w:eastAsia="楷体" w:cs="楷体"/>
          <w:sz w:val="24"/>
        </w:rPr>
        <w:br w:type="page"/>
      </w:r>
      <w:bookmarkStart w:id="258" w:name="_Toc18015"/>
      <w:bookmarkStart w:id="259" w:name="_Toc518923109"/>
      <w:r>
        <w:rPr>
          <w:rFonts w:hint="eastAsia" w:ascii="楷体" w:hAnsi="楷体" w:eastAsia="楷体" w:cs="楷体"/>
          <w:sz w:val="24"/>
        </w:rPr>
        <w:t>2  法人或者非法人组织的营业执照等证明文件或自然人的身份证明</w:t>
      </w:r>
      <w:bookmarkEnd w:id="258"/>
      <w:bookmarkEnd w:id="259"/>
    </w:p>
    <w:p>
      <w:pPr>
        <w:pStyle w:val="13"/>
        <w:tabs>
          <w:tab w:val="left" w:pos="5580"/>
        </w:tabs>
        <w:ind w:left="1084" w:leftChars="257" w:hanging="540"/>
        <w:rPr>
          <w:rFonts w:ascii="楷体" w:hAnsi="楷体" w:eastAsia="楷体" w:cs="楷体"/>
          <w:b/>
          <w:sz w:val="24"/>
        </w:rPr>
      </w:pP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说明：1.提供有效的营业执照等证明文件复印件，复印件上应加盖本单位章。</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 xml:space="preserve">      2.投标人为自然人的，应提供身份证明的复印件。</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 xml:space="preserve">      3.联合体投标应提供联合体各方满足以上要求的证明文件。</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 xml:space="preserve">      4.法人资格证明书（自拟，附法人身份证复印件）</w:t>
      </w:r>
    </w:p>
    <w:p>
      <w:pPr>
        <w:pStyle w:val="13"/>
        <w:tabs>
          <w:tab w:val="left" w:pos="5580"/>
        </w:tabs>
        <w:ind w:left="1084" w:leftChars="257" w:hanging="540"/>
        <w:jc w:val="center"/>
        <w:rPr>
          <w:rFonts w:ascii="楷体" w:hAnsi="楷体" w:eastAsia="楷体" w:cs="楷体"/>
          <w:b/>
          <w:kern w:val="0"/>
          <w:sz w:val="24"/>
        </w:rPr>
      </w:pPr>
      <w:bookmarkStart w:id="260" w:name="_Toc21926"/>
      <w:bookmarkStart w:id="261" w:name="_Toc518923110"/>
    </w:p>
    <w:p>
      <w:pPr>
        <w:pStyle w:val="13"/>
        <w:tabs>
          <w:tab w:val="left" w:pos="5580"/>
        </w:tabs>
        <w:ind w:left="1084" w:leftChars="257" w:hanging="540"/>
        <w:jc w:val="center"/>
        <w:rPr>
          <w:rFonts w:ascii="楷体" w:hAnsi="楷体" w:eastAsia="楷体" w:cs="楷体"/>
          <w:b/>
          <w:kern w:val="0"/>
          <w:sz w:val="24"/>
        </w:rPr>
      </w:pPr>
    </w:p>
    <w:p>
      <w:pPr>
        <w:pStyle w:val="13"/>
        <w:tabs>
          <w:tab w:val="left" w:pos="5580"/>
        </w:tabs>
        <w:ind w:left="1084" w:leftChars="257" w:hanging="540"/>
        <w:jc w:val="center"/>
        <w:rPr>
          <w:rFonts w:ascii="楷体" w:hAnsi="楷体" w:eastAsia="楷体" w:cs="楷体"/>
          <w:b/>
          <w:kern w:val="0"/>
          <w:sz w:val="24"/>
        </w:rPr>
      </w:pPr>
    </w:p>
    <w:p>
      <w:pPr>
        <w:pStyle w:val="13"/>
        <w:tabs>
          <w:tab w:val="left" w:pos="5580"/>
        </w:tabs>
        <w:ind w:left="1084" w:leftChars="257" w:hanging="540"/>
        <w:jc w:val="center"/>
        <w:rPr>
          <w:rFonts w:ascii="楷体" w:hAnsi="楷体" w:eastAsia="楷体" w:cs="楷体"/>
          <w:b/>
          <w:kern w:val="0"/>
          <w:sz w:val="24"/>
        </w:rPr>
      </w:pPr>
      <w:r>
        <w:rPr>
          <w:rFonts w:hint="eastAsia" w:ascii="楷体" w:hAnsi="楷体" w:eastAsia="楷体" w:cs="楷体"/>
          <w:b/>
          <w:kern w:val="0"/>
          <w:sz w:val="24"/>
        </w:rPr>
        <w:t>3  法定代表人授权书(投标文件格式二，自然人投标的无需提供)</w:t>
      </w:r>
      <w:bookmarkEnd w:id="260"/>
      <w:bookmarkEnd w:id="261"/>
    </w:p>
    <w:p>
      <w:pPr>
        <w:pStyle w:val="13"/>
        <w:ind w:left="1084" w:leftChars="257" w:hanging="540"/>
        <w:jc w:val="left"/>
        <w:rPr>
          <w:rFonts w:ascii="楷体" w:hAnsi="楷体" w:eastAsia="楷体" w:cs="楷体"/>
          <w:sz w:val="24"/>
        </w:rPr>
      </w:pPr>
      <w:r>
        <w:rPr>
          <w:rFonts w:hint="eastAsia" w:ascii="楷体" w:hAnsi="楷体" w:eastAsia="楷体" w:cs="楷体"/>
          <w:sz w:val="24"/>
        </w:rPr>
        <w:t>本授权书声明：注册于</w:t>
      </w:r>
      <w:r>
        <w:rPr>
          <w:rFonts w:hint="eastAsia" w:ascii="楷体" w:hAnsi="楷体" w:eastAsia="楷体" w:cs="楷体"/>
          <w:sz w:val="24"/>
          <w:u w:val="single"/>
        </w:rPr>
        <w:t>（国家或地区的名称）</w:t>
      </w:r>
      <w:r>
        <w:rPr>
          <w:rFonts w:hint="eastAsia" w:ascii="楷体" w:hAnsi="楷体" w:eastAsia="楷体" w:cs="楷体"/>
          <w:sz w:val="24"/>
        </w:rPr>
        <w:t>的（</w:t>
      </w:r>
      <w:r>
        <w:rPr>
          <w:rFonts w:hint="eastAsia" w:ascii="楷体" w:hAnsi="楷体" w:eastAsia="楷体" w:cs="楷体"/>
          <w:i/>
          <w:sz w:val="24"/>
          <w:u w:val="single"/>
        </w:rPr>
        <w:t>投标人</w:t>
      </w:r>
      <w:r>
        <w:rPr>
          <w:rFonts w:hint="eastAsia" w:ascii="楷体" w:hAnsi="楷体" w:eastAsia="楷体" w:cs="楷体"/>
          <w:sz w:val="24"/>
        </w:rPr>
        <w:t>）的在下面签字</w:t>
      </w:r>
    </w:p>
    <w:p>
      <w:pPr>
        <w:pStyle w:val="13"/>
        <w:jc w:val="left"/>
        <w:rPr>
          <w:rFonts w:ascii="楷体" w:hAnsi="楷体" w:eastAsia="楷体" w:cs="楷体"/>
          <w:sz w:val="24"/>
        </w:rPr>
      </w:pPr>
      <w:r>
        <w:rPr>
          <w:rFonts w:hint="eastAsia" w:ascii="楷体" w:hAnsi="楷体" w:eastAsia="楷体" w:cs="楷体"/>
          <w:sz w:val="24"/>
        </w:rPr>
        <w:t>的（</w:t>
      </w:r>
      <w:r>
        <w:rPr>
          <w:rFonts w:hint="eastAsia" w:ascii="楷体" w:hAnsi="楷体" w:eastAsia="楷体" w:cs="楷体"/>
          <w:i/>
          <w:sz w:val="24"/>
          <w:u w:val="single"/>
        </w:rPr>
        <w:t>法人代表姓名、职务</w:t>
      </w:r>
      <w:r>
        <w:rPr>
          <w:rFonts w:hint="eastAsia" w:ascii="楷体" w:hAnsi="楷体" w:eastAsia="楷体" w:cs="楷体"/>
          <w:sz w:val="24"/>
        </w:rPr>
        <w:t>）代表我单位授权（</w:t>
      </w:r>
      <w:r>
        <w:rPr>
          <w:rFonts w:hint="eastAsia" w:ascii="楷体" w:hAnsi="楷体" w:eastAsia="楷体" w:cs="楷体"/>
          <w:i/>
          <w:sz w:val="24"/>
          <w:u w:val="single"/>
        </w:rPr>
        <w:t>单位名称</w:t>
      </w:r>
      <w:r>
        <w:rPr>
          <w:rFonts w:hint="eastAsia" w:ascii="楷体" w:hAnsi="楷体" w:eastAsia="楷体" w:cs="楷体"/>
          <w:sz w:val="24"/>
        </w:rPr>
        <w:t>）的在下面签字的（</w:t>
      </w:r>
      <w:r>
        <w:rPr>
          <w:rFonts w:hint="eastAsia" w:ascii="楷体" w:hAnsi="楷体" w:eastAsia="楷体" w:cs="楷体"/>
          <w:i/>
          <w:sz w:val="24"/>
          <w:u w:val="single"/>
        </w:rPr>
        <w:t>被授权人的姓名、职务</w:t>
      </w:r>
      <w:r>
        <w:rPr>
          <w:rFonts w:hint="eastAsia" w:ascii="楷体" w:hAnsi="楷体" w:eastAsia="楷体" w:cs="楷体"/>
          <w:sz w:val="24"/>
        </w:rPr>
        <w:t>）为我单位的合法代理人，就（</w:t>
      </w:r>
      <w:r>
        <w:rPr>
          <w:rFonts w:hint="eastAsia" w:ascii="楷体" w:hAnsi="楷体" w:eastAsia="楷体" w:cs="楷体"/>
          <w:i/>
          <w:sz w:val="24"/>
          <w:u w:val="single"/>
        </w:rPr>
        <w:t>项目名称</w:t>
      </w:r>
      <w:r>
        <w:rPr>
          <w:rFonts w:hint="eastAsia" w:ascii="楷体" w:hAnsi="楷体" w:eastAsia="楷体" w:cs="楷体"/>
          <w:sz w:val="24"/>
        </w:rPr>
        <w:t>）的（</w:t>
      </w:r>
      <w:r>
        <w:rPr>
          <w:rFonts w:hint="eastAsia" w:ascii="楷体" w:hAnsi="楷体" w:eastAsia="楷体" w:cs="楷体"/>
          <w:i/>
          <w:sz w:val="24"/>
          <w:u w:val="single"/>
        </w:rPr>
        <w:t>合同名称</w:t>
      </w:r>
      <w:r>
        <w:rPr>
          <w:rFonts w:hint="eastAsia" w:ascii="楷体" w:hAnsi="楷体" w:eastAsia="楷体" w:cs="楷体"/>
          <w:sz w:val="24"/>
        </w:rPr>
        <w:t>）投标，以我单位名义处理一切与之有关的事务。</w:t>
      </w:r>
      <w:r>
        <w:rPr>
          <w:rFonts w:hint="eastAsia" w:ascii="楷体" w:hAnsi="楷体" w:eastAsia="楷体" w:cs="楷体"/>
          <w:sz w:val="24"/>
        </w:rPr>
        <w:cr/>
      </w:r>
      <w:r>
        <w:rPr>
          <w:rFonts w:hint="eastAsia" w:ascii="楷体" w:hAnsi="楷体" w:eastAsia="楷体" w:cs="楷体"/>
          <w:sz w:val="24"/>
        </w:rPr>
        <w:t>　　（附委托人及被委托人身份证复印件）</w:t>
      </w:r>
    </w:p>
    <w:p>
      <w:pPr>
        <w:pStyle w:val="13"/>
        <w:tabs>
          <w:tab w:val="left" w:pos="5580"/>
        </w:tabs>
        <w:ind w:left="486" w:leftChars="201" w:hanging="60" w:hangingChars="25"/>
        <w:rPr>
          <w:rFonts w:ascii="楷体" w:hAnsi="楷体" w:eastAsia="楷体" w:cs="楷体"/>
          <w:sz w:val="24"/>
        </w:rPr>
      </w:pPr>
      <w:r>
        <w:rPr>
          <w:rFonts w:hint="eastAsia" w:ascii="楷体" w:hAnsi="楷体" w:eastAsia="楷体" w:cs="楷体"/>
          <w:sz w:val="24"/>
        </w:rPr>
        <w:t>本授权书于年月日签字生效,特此声明。</w:t>
      </w:r>
    </w:p>
    <w:p>
      <w:pPr>
        <w:pStyle w:val="13"/>
        <w:tabs>
          <w:tab w:val="left" w:pos="5580"/>
        </w:tabs>
        <w:ind w:left="486" w:leftChars="201" w:hanging="60" w:hangingChars="25"/>
        <w:rPr>
          <w:rFonts w:ascii="楷体" w:hAnsi="楷体" w:eastAsia="楷体" w:cs="楷体"/>
          <w:sz w:val="24"/>
          <w:u w:val="single"/>
        </w:rPr>
      </w:pPr>
      <w:r>
        <w:rPr>
          <w:rFonts w:hint="eastAsia" w:ascii="楷体" w:hAnsi="楷体" w:eastAsia="楷体" w:cs="楷体"/>
          <w:sz w:val="24"/>
        </w:rPr>
        <w:t>投标人（盖单位章）：</w:t>
      </w:r>
    </w:p>
    <w:p>
      <w:pPr>
        <w:pStyle w:val="13"/>
        <w:tabs>
          <w:tab w:val="left" w:pos="5580"/>
        </w:tabs>
        <w:ind w:left="-544" w:leftChars="-257" w:firstLine="907" w:firstLineChars="375"/>
        <w:rPr>
          <w:rFonts w:ascii="楷体" w:hAnsi="楷体" w:eastAsia="楷体" w:cs="楷体"/>
          <w:sz w:val="24"/>
          <w:u w:val="single"/>
        </w:rPr>
      </w:pPr>
      <w:r>
        <w:rPr>
          <w:rFonts w:hint="eastAsia" w:ascii="楷体" w:hAnsi="楷体" w:eastAsia="楷体" w:cs="楷体"/>
          <w:sz w:val="24"/>
        </w:rPr>
        <w:t>法定代表人(签字或签章)：</w:t>
      </w:r>
    </w:p>
    <w:p>
      <w:pPr>
        <w:pStyle w:val="13"/>
        <w:tabs>
          <w:tab w:val="left" w:pos="5580"/>
        </w:tabs>
        <w:ind w:left="-544" w:leftChars="-257" w:firstLine="907" w:firstLineChars="375"/>
        <w:rPr>
          <w:rFonts w:ascii="楷体" w:hAnsi="楷体" w:eastAsia="楷体" w:cs="楷体"/>
          <w:sz w:val="24"/>
          <w:u w:val="single"/>
        </w:rPr>
      </w:pPr>
      <w:r>
        <w:rPr>
          <w:rFonts w:hint="eastAsia" w:ascii="楷体" w:hAnsi="楷体" w:eastAsia="楷体" w:cs="楷体"/>
          <w:sz w:val="24"/>
        </w:rPr>
        <w:t>身份证号码：</w:t>
      </w:r>
    </w:p>
    <w:p>
      <w:pPr>
        <w:pStyle w:val="13"/>
        <w:tabs>
          <w:tab w:val="left" w:pos="5580"/>
        </w:tabs>
        <w:ind w:firstLine="363" w:firstLineChars="150"/>
        <w:rPr>
          <w:rFonts w:ascii="楷体" w:hAnsi="楷体" w:eastAsia="楷体" w:cs="楷体"/>
          <w:sz w:val="24"/>
          <w:u w:val="single"/>
        </w:rPr>
      </w:pPr>
      <w:r>
        <w:rPr>
          <w:rFonts w:hint="eastAsia" w:ascii="楷体" w:hAnsi="楷体" w:eastAsia="楷体" w:cs="楷体"/>
          <w:sz w:val="24"/>
        </w:rPr>
        <w:t>委托代理人（签字）：</w:t>
      </w:r>
    </w:p>
    <w:p>
      <w:pPr>
        <w:pStyle w:val="13"/>
        <w:tabs>
          <w:tab w:val="left" w:pos="5580"/>
        </w:tabs>
        <w:ind w:firstLine="363" w:firstLineChars="150"/>
        <w:rPr>
          <w:rFonts w:ascii="楷体" w:hAnsi="楷体" w:eastAsia="楷体" w:cs="楷体"/>
          <w:sz w:val="24"/>
        </w:rPr>
      </w:pPr>
      <w:r>
        <w:rPr>
          <w:rFonts w:hint="eastAsia" w:ascii="楷体" w:hAnsi="楷体" w:eastAsia="楷体" w:cs="楷体"/>
          <w:sz w:val="24"/>
        </w:rPr>
        <w:t>身份证号码：</w:t>
      </w:r>
    </w:p>
    <w:p>
      <w:pPr>
        <w:pStyle w:val="13"/>
        <w:tabs>
          <w:tab w:val="left" w:pos="5580"/>
        </w:tabs>
        <w:ind w:firstLine="363" w:firstLineChars="150"/>
        <w:rPr>
          <w:rFonts w:ascii="楷体" w:hAnsi="楷体" w:eastAsia="楷体" w:cs="楷体"/>
          <w:sz w:val="24"/>
        </w:rPr>
      </w:pPr>
      <w:r>
        <w:rPr>
          <w:rFonts w:hint="eastAsia" w:ascii="楷体" w:hAnsi="楷体" w:eastAsia="楷体" w:cs="楷体"/>
          <w:sz w:val="24"/>
        </w:rPr>
        <w:t>详细通讯地址：</w:t>
      </w:r>
    </w:p>
    <w:p>
      <w:pPr>
        <w:pStyle w:val="13"/>
        <w:tabs>
          <w:tab w:val="left" w:pos="5580"/>
        </w:tabs>
        <w:ind w:firstLine="363" w:firstLineChars="150"/>
        <w:rPr>
          <w:rFonts w:ascii="楷体" w:hAnsi="楷体" w:eastAsia="楷体" w:cs="楷体"/>
          <w:sz w:val="24"/>
        </w:rPr>
      </w:pPr>
      <w:r>
        <w:rPr>
          <w:rFonts w:hint="eastAsia" w:ascii="楷体" w:hAnsi="楷体" w:eastAsia="楷体" w:cs="楷体"/>
          <w:sz w:val="24"/>
        </w:rPr>
        <w:t>邮 政 编 码 ：</w:t>
      </w:r>
    </w:p>
    <w:p>
      <w:pPr>
        <w:pStyle w:val="13"/>
        <w:tabs>
          <w:tab w:val="left" w:pos="5580"/>
        </w:tabs>
        <w:ind w:firstLine="363" w:firstLineChars="150"/>
        <w:rPr>
          <w:rFonts w:ascii="楷体" w:hAnsi="楷体" w:eastAsia="楷体" w:cs="楷体"/>
          <w:sz w:val="24"/>
        </w:rPr>
      </w:pPr>
      <w:r>
        <w:rPr>
          <w:rFonts w:hint="eastAsia" w:ascii="楷体" w:hAnsi="楷体" w:eastAsia="楷体" w:cs="楷体"/>
          <w:sz w:val="24"/>
        </w:rPr>
        <w:t>传　　　　真：</w:t>
      </w:r>
    </w:p>
    <w:p>
      <w:pPr>
        <w:pStyle w:val="13"/>
        <w:tabs>
          <w:tab w:val="left" w:pos="5580"/>
        </w:tabs>
        <w:ind w:firstLine="363" w:firstLineChars="150"/>
        <w:rPr>
          <w:rFonts w:ascii="楷体" w:hAnsi="楷体" w:eastAsia="楷体" w:cs="楷体"/>
          <w:sz w:val="24"/>
        </w:rPr>
      </w:pPr>
      <w:r>
        <w:rPr>
          <w:rFonts w:hint="eastAsia" w:ascii="楷体" w:hAnsi="楷体" w:eastAsia="楷体" w:cs="楷体"/>
          <w:sz w:val="24"/>
        </w:rPr>
        <w:t>电　　　　话：</w:t>
      </w:r>
    </w:p>
    <w:p>
      <w:pPr>
        <w:pStyle w:val="13"/>
        <w:tabs>
          <w:tab w:val="left" w:pos="5580"/>
        </w:tabs>
        <w:jc w:val="center"/>
        <w:outlineLvl w:val="1"/>
        <w:rPr>
          <w:rFonts w:ascii="楷体" w:hAnsi="楷体" w:eastAsia="楷体" w:cs="楷体"/>
          <w:b/>
          <w:kern w:val="0"/>
          <w:sz w:val="24"/>
        </w:rPr>
      </w:pPr>
      <w:r>
        <w:rPr>
          <w:rFonts w:hint="eastAsia" w:ascii="楷体" w:hAnsi="楷体" w:eastAsia="楷体" w:cs="楷体"/>
          <w:b/>
          <w:kern w:val="0"/>
          <w:sz w:val="24"/>
        </w:rPr>
        <w:br w:type="page"/>
      </w:r>
      <w:bookmarkStart w:id="262" w:name="_Toc23836"/>
      <w:r>
        <w:rPr>
          <w:rFonts w:hint="eastAsia" w:ascii="楷体" w:hAnsi="楷体" w:eastAsia="楷体" w:cs="楷体"/>
          <w:b/>
          <w:kern w:val="0"/>
          <w:sz w:val="24"/>
        </w:rPr>
        <w:t>4  具有良好的商业信誉和健全的财务会计制度的证明文件</w:t>
      </w:r>
      <w:bookmarkEnd w:id="262"/>
    </w:p>
    <w:p>
      <w:pPr>
        <w:tabs>
          <w:tab w:val="left" w:pos="5580"/>
        </w:tabs>
        <w:ind w:left="1084" w:leftChars="257" w:hanging="540"/>
        <w:jc w:val="center"/>
        <w:rPr>
          <w:rFonts w:ascii="楷体" w:hAnsi="楷体" w:eastAsia="楷体" w:cs="楷体"/>
          <w:b/>
          <w:sz w:val="24"/>
        </w:rPr>
      </w:pPr>
    </w:p>
    <w:p>
      <w:pPr>
        <w:tabs>
          <w:tab w:val="left" w:pos="5580"/>
        </w:tabs>
        <w:ind w:left="1084" w:leftChars="257" w:hanging="540"/>
        <w:rPr>
          <w:rFonts w:ascii="楷体" w:hAnsi="楷体" w:eastAsia="楷体" w:cs="楷体"/>
          <w:sz w:val="24"/>
        </w:rPr>
      </w:pPr>
      <w:r>
        <w:rPr>
          <w:rFonts w:hint="eastAsia" w:ascii="楷体" w:hAnsi="楷体" w:eastAsia="楷体" w:cs="楷体"/>
          <w:sz w:val="24"/>
        </w:rPr>
        <w:t>说明：</w:t>
      </w:r>
    </w:p>
    <w:p>
      <w:pPr>
        <w:tabs>
          <w:tab w:val="left" w:pos="5580"/>
        </w:tabs>
        <w:ind w:left="540"/>
        <w:rPr>
          <w:rFonts w:ascii="楷体" w:hAnsi="楷体" w:eastAsia="楷体" w:cs="楷体"/>
          <w:bCs/>
          <w:sz w:val="24"/>
        </w:rPr>
      </w:pPr>
      <w:r>
        <w:rPr>
          <w:rFonts w:hint="eastAsia" w:ascii="楷体" w:hAnsi="楷体" w:eastAsia="楷体" w:cs="楷体"/>
          <w:sz w:val="24"/>
        </w:rPr>
        <w:t>1、如提供本单位财务报告复印件，须加盖</w:t>
      </w:r>
      <w:r>
        <w:rPr>
          <w:rFonts w:hint="eastAsia" w:ascii="楷体" w:hAnsi="楷体" w:eastAsia="楷体" w:cs="楷体"/>
          <w:bCs/>
          <w:sz w:val="24"/>
        </w:rPr>
        <w:t>本单位章。</w:t>
      </w:r>
    </w:p>
    <w:p>
      <w:pPr>
        <w:tabs>
          <w:tab w:val="left" w:pos="5580"/>
        </w:tabs>
        <w:ind w:left="540"/>
        <w:rPr>
          <w:rFonts w:ascii="楷体" w:hAnsi="楷体" w:eastAsia="楷体" w:cs="楷体"/>
          <w:sz w:val="24"/>
        </w:rPr>
      </w:pPr>
      <w:r>
        <w:rPr>
          <w:rFonts w:hint="eastAsia" w:ascii="楷体" w:hAnsi="楷体" w:eastAsia="楷体" w:cs="楷体"/>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tabs>
          <w:tab w:val="left" w:pos="5580"/>
        </w:tabs>
        <w:ind w:left="1084" w:leftChars="257" w:hanging="540"/>
        <w:rPr>
          <w:rFonts w:ascii="楷体" w:hAnsi="楷体" w:eastAsia="楷体" w:cs="楷体"/>
          <w:sz w:val="24"/>
        </w:rPr>
      </w:pPr>
      <w:r>
        <w:rPr>
          <w:rFonts w:hint="eastAsia" w:ascii="楷体" w:hAnsi="楷体" w:eastAsia="楷体" w:cs="楷体"/>
          <w:sz w:val="24"/>
        </w:rPr>
        <w:t>3、如果是联合体投标，联合体各方均需提供上述证明。</w:t>
      </w:r>
    </w:p>
    <w:p>
      <w:pPr>
        <w:tabs>
          <w:tab w:val="left" w:pos="5580"/>
        </w:tabs>
        <w:ind w:firstLine="484" w:firstLineChars="200"/>
        <w:rPr>
          <w:rFonts w:ascii="楷体" w:hAnsi="楷体" w:eastAsia="楷体" w:cs="楷体"/>
          <w:sz w:val="24"/>
        </w:rPr>
      </w:pPr>
      <w:r>
        <w:rPr>
          <w:rFonts w:hint="eastAsia" w:ascii="楷体" w:hAnsi="楷体" w:eastAsia="楷体" w:cs="楷体"/>
          <w:sz w:val="24"/>
        </w:rPr>
        <w:t>4、如采用合格的投标担保函的，可提供投标担保函复印件替代。</w:t>
      </w:r>
    </w:p>
    <w:p>
      <w:pPr>
        <w:rPr>
          <w:rFonts w:ascii="楷体" w:hAnsi="楷体" w:eastAsia="楷体" w:cs="楷体"/>
        </w:rPr>
      </w:pPr>
    </w:p>
    <w:p>
      <w:pPr>
        <w:pStyle w:val="20"/>
        <w:rPr>
          <w:rFonts w:ascii="楷体" w:hAnsi="楷体" w:eastAsia="楷体" w:cs="楷体"/>
        </w:rPr>
      </w:pPr>
    </w:p>
    <w:p>
      <w:pPr>
        <w:pStyle w:val="5"/>
        <w:spacing w:before="0" w:line="240" w:lineRule="auto"/>
        <w:ind w:left="1084" w:leftChars="257" w:hanging="540"/>
        <w:rPr>
          <w:rFonts w:ascii="楷体" w:hAnsi="楷体" w:eastAsia="楷体" w:cs="楷体"/>
          <w:sz w:val="24"/>
        </w:rPr>
      </w:pPr>
      <w:bookmarkStart w:id="263" w:name="_Toc518923111"/>
      <w:bookmarkStart w:id="264" w:name="_Toc27589"/>
      <w:r>
        <w:rPr>
          <w:rFonts w:hint="eastAsia" w:ascii="楷体" w:hAnsi="楷体" w:eastAsia="楷体" w:cs="楷体"/>
          <w:sz w:val="24"/>
        </w:rPr>
        <w:t>5  社会保障资金的缴纳记录</w:t>
      </w:r>
      <w:bookmarkEnd w:id="263"/>
      <w:bookmarkEnd w:id="264"/>
    </w:p>
    <w:p>
      <w:pPr>
        <w:pStyle w:val="13"/>
        <w:tabs>
          <w:tab w:val="left" w:pos="5580"/>
        </w:tabs>
        <w:ind w:left="1084" w:leftChars="257" w:hanging="540"/>
        <w:jc w:val="center"/>
        <w:rPr>
          <w:rFonts w:ascii="楷体" w:hAnsi="楷体" w:eastAsia="楷体" w:cs="楷体"/>
          <w:b/>
          <w:sz w:val="24"/>
        </w:rPr>
      </w:pPr>
    </w:p>
    <w:p>
      <w:pPr>
        <w:pStyle w:val="13"/>
        <w:tabs>
          <w:tab w:val="left" w:pos="5580"/>
        </w:tabs>
        <w:ind w:left="540"/>
        <w:rPr>
          <w:rFonts w:ascii="楷体" w:hAnsi="楷体" w:eastAsia="楷体" w:cs="楷体"/>
          <w:b/>
          <w:sz w:val="24"/>
        </w:rPr>
      </w:pPr>
    </w:p>
    <w:p>
      <w:pPr>
        <w:pStyle w:val="13"/>
        <w:tabs>
          <w:tab w:val="left" w:pos="5580"/>
        </w:tabs>
        <w:ind w:left="540"/>
        <w:rPr>
          <w:rFonts w:ascii="楷体" w:hAnsi="楷体" w:eastAsia="楷体" w:cs="楷体"/>
          <w:sz w:val="24"/>
        </w:rPr>
      </w:pPr>
      <w:r>
        <w:rPr>
          <w:rFonts w:hint="eastAsia" w:ascii="楷体" w:hAnsi="楷体" w:eastAsia="楷体" w:cs="楷体"/>
          <w:sz w:val="24"/>
        </w:rPr>
        <w:t>说明：1.按照</w:t>
      </w:r>
      <w:r>
        <w:rPr>
          <w:rFonts w:hint="eastAsia" w:ascii="楷体" w:hAnsi="楷体" w:eastAsia="楷体" w:cs="楷体"/>
          <w:sz w:val="24"/>
          <w:u w:val="single"/>
        </w:rPr>
        <w:t>投标人须知资料表</w:t>
      </w:r>
      <w:r>
        <w:rPr>
          <w:rFonts w:hint="eastAsia" w:ascii="楷体" w:hAnsi="楷体" w:eastAsia="楷体" w:cs="楷体"/>
          <w:sz w:val="24"/>
        </w:rPr>
        <w:t>中的规定提供复印件。</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 xml:space="preserve">      2.复印件上应加盖本单位章。</w:t>
      </w:r>
    </w:p>
    <w:p>
      <w:pPr>
        <w:tabs>
          <w:tab w:val="left" w:pos="5580"/>
        </w:tabs>
        <w:ind w:left="1084" w:leftChars="257" w:hanging="540"/>
        <w:rPr>
          <w:rFonts w:ascii="楷体" w:hAnsi="楷体" w:eastAsia="楷体" w:cs="楷体"/>
          <w:sz w:val="24"/>
        </w:rPr>
      </w:pPr>
      <w:r>
        <w:rPr>
          <w:rFonts w:hint="eastAsia" w:ascii="楷体" w:hAnsi="楷体" w:eastAsia="楷体" w:cs="楷体"/>
          <w:sz w:val="24"/>
        </w:rPr>
        <w:t xml:space="preserve">      3.如果是联合体投标，联合体各方均需提供上述证明。</w:t>
      </w:r>
    </w:p>
    <w:p>
      <w:pPr>
        <w:pStyle w:val="7"/>
        <w:rPr>
          <w:rFonts w:ascii="楷体" w:hAnsi="楷体" w:eastAsia="楷体" w:cs="楷体"/>
        </w:rPr>
      </w:pPr>
    </w:p>
    <w:p>
      <w:pPr>
        <w:pStyle w:val="5"/>
        <w:spacing w:before="0" w:line="240" w:lineRule="auto"/>
        <w:ind w:left="1084" w:leftChars="257" w:hanging="540"/>
        <w:rPr>
          <w:rFonts w:ascii="楷体" w:hAnsi="楷体" w:eastAsia="楷体" w:cs="楷体"/>
          <w:sz w:val="24"/>
        </w:rPr>
      </w:pPr>
      <w:bookmarkStart w:id="265" w:name="_Toc518923112"/>
      <w:bookmarkStart w:id="266" w:name="_Toc16858"/>
      <w:r>
        <w:rPr>
          <w:rFonts w:hint="eastAsia" w:ascii="楷体" w:hAnsi="楷体" w:eastAsia="楷体" w:cs="楷体"/>
          <w:sz w:val="24"/>
        </w:rPr>
        <w:t>6  参加政府采购活动前3年内</w:t>
      </w:r>
      <w:bookmarkEnd w:id="265"/>
      <w:bookmarkStart w:id="267" w:name="_Toc518923113"/>
      <w:r>
        <w:rPr>
          <w:rFonts w:hint="eastAsia" w:ascii="楷体" w:hAnsi="楷体" w:eastAsia="楷体" w:cs="楷体"/>
          <w:sz w:val="24"/>
        </w:rPr>
        <w:t>在经营活动中没有重大违法记录的书面声明</w:t>
      </w:r>
      <w:bookmarkEnd w:id="266"/>
      <w:bookmarkEnd w:id="267"/>
    </w:p>
    <w:p>
      <w:pPr>
        <w:pStyle w:val="13"/>
        <w:tabs>
          <w:tab w:val="left" w:pos="5580"/>
        </w:tabs>
        <w:rPr>
          <w:rFonts w:ascii="楷体" w:hAnsi="楷体" w:eastAsia="楷体" w:cs="楷体"/>
          <w:sz w:val="24"/>
        </w:rPr>
      </w:pPr>
    </w:p>
    <w:p>
      <w:pPr>
        <w:pStyle w:val="13"/>
        <w:tabs>
          <w:tab w:val="left" w:pos="5580"/>
        </w:tabs>
        <w:ind w:left="1084" w:leftChars="257" w:hanging="540"/>
        <w:rPr>
          <w:rFonts w:ascii="楷体" w:hAnsi="楷体" w:eastAsia="楷体" w:cs="楷体"/>
          <w:sz w:val="24"/>
        </w:rPr>
      </w:pP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说明：1.投标人应按照相关法规规定如实作出说明。</w:t>
      </w:r>
    </w:p>
    <w:p>
      <w:pPr>
        <w:pStyle w:val="13"/>
        <w:tabs>
          <w:tab w:val="left" w:pos="5580"/>
        </w:tabs>
        <w:ind w:left="650" w:leftChars="307" w:firstLine="605" w:firstLineChars="250"/>
        <w:rPr>
          <w:rFonts w:ascii="楷体" w:hAnsi="楷体" w:eastAsia="楷体" w:cs="楷体"/>
          <w:sz w:val="24"/>
        </w:rPr>
      </w:pPr>
      <w:r>
        <w:rPr>
          <w:rFonts w:hint="eastAsia" w:ascii="楷体" w:hAnsi="楷体" w:eastAsia="楷体" w:cs="楷体"/>
          <w:sz w:val="24"/>
        </w:rPr>
        <w:t>2．按照招标文件的规定加盖本单位章（自然人投标的无需盖章，需要签字）。</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 xml:space="preserve">      3.如果是联合体投标，联合体各方均需提供上述证明。</w:t>
      </w:r>
    </w:p>
    <w:p>
      <w:pPr>
        <w:pStyle w:val="13"/>
        <w:tabs>
          <w:tab w:val="left" w:pos="5580"/>
        </w:tabs>
        <w:ind w:left="1084" w:leftChars="257" w:hanging="540"/>
        <w:rPr>
          <w:rFonts w:ascii="楷体" w:hAnsi="楷体" w:eastAsia="楷体" w:cs="楷体"/>
          <w:sz w:val="24"/>
        </w:rPr>
      </w:pPr>
    </w:p>
    <w:p>
      <w:pPr>
        <w:pStyle w:val="13"/>
        <w:tabs>
          <w:tab w:val="left" w:pos="5580"/>
        </w:tabs>
        <w:ind w:left="1084" w:leftChars="257" w:hanging="540"/>
        <w:rPr>
          <w:rFonts w:ascii="楷体" w:hAnsi="楷体" w:eastAsia="楷体" w:cs="楷体"/>
          <w:sz w:val="24"/>
        </w:rPr>
      </w:pPr>
    </w:p>
    <w:p>
      <w:pPr>
        <w:pStyle w:val="5"/>
        <w:spacing w:before="0" w:line="240" w:lineRule="auto"/>
        <w:ind w:left="1084" w:leftChars="257" w:hanging="540"/>
        <w:rPr>
          <w:rFonts w:ascii="楷体" w:hAnsi="楷体" w:eastAsia="楷体" w:cs="楷体"/>
          <w:sz w:val="24"/>
        </w:rPr>
      </w:pPr>
      <w:bookmarkStart w:id="268" w:name="_Toc518923114"/>
      <w:bookmarkStart w:id="269" w:name="_Toc9691"/>
      <w:r>
        <w:rPr>
          <w:rFonts w:hint="eastAsia" w:ascii="楷体" w:hAnsi="楷体" w:eastAsia="楷体" w:cs="楷体"/>
          <w:sz w:val="24"/>
        </w:rPr>
        <w:t>7  投标人须知资料表要求的其他资格证明文件</w:t>
      </w:r>
      <w:bookmarkEnd w:id="268"/>
      <w:bookmarkEnd w:id="269"/>
    </w:p>
    <w:p>
      <w:pPr>
        <w:ind w:left="1084" w:leftChars="257" w:hanging="540"/>
        <w:jc w:val="center"/>
        <w:rPr>
          <w:rFonts w:ascii="楷体" w:hAnsi="楷体" w:eastAsia="楷体" w:cs="楷体"/>
          <w:b/>
          <w:bCs/>
          <w:sz w:val="24"/>
        </w:rPr>
      </w:pPr>
    </w:p>
    <w:p>
      <w:pPr>
        <w:ind w:left="1084" w:leftChars="257" w:hanging="540"/>
        <w:jc w:val="center"/>
        <w:rPr>
          <w:rFonts w:ascii="楷体" w:hAnsi="楷体" w:eastAsia="楷体" w:cs="楷体"/>
          <w:b/>
          <w:bCs/>
          <w:sz w:val="24"/>
        </w:rPr>
      </w:pP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说明：1.应提供</w:t>
      </w:r>
      <w:r>
        <w:rPr>
          <w:rFonts w:hint="eastAsia" w:ascii="楷体" w:hAnsi="楷体" w:eastAsia="楷体" w:cs="楷体"/>
          <w:sz w:val="24"/>
          <w:u w:val="single"/>
        </w:rPr>
        <w:t>投标人须知资料表</w:t>
      </w:r>
      <w:r>
        <w:rPr>
          <w:rFonts w:hint="eastAsia" w:ascii="楷体" w:hAnsi="楷体" w:eastAsia="楷体" w:cs="楷体"/>
          <w:sz w:val="24"/>
        </w:rPr>
        <w:t>要求的其他资格证明文件。</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 xml:space="preserve">      2.复印件上应加盖本单位章（自然人投标的无需盖章，需要签字）。</w:t>
      </w:r>
    </w:p>
    <w:p>
      <w:pPr>
        <w:pStyle w:val="13"/>
        <w:tabs>
          <w:tab w:val="left" w:pos="5580"/>
        </w:tabs>
        <w:ind w:left="1267" w:leftChars="344" w:hanging="538"/>
        <w:rPr>
          <w:rFonts w:ascii="楷体" w:hAnsi="楷体" w:eastAsia="楷体" w:cs="楷体"/>
          <w:sz w:val="24"/>
        </w:rPr>
      </w:pPr>
      <w:r>
        <w:rPr>
          <w:rFonts w:hint="eastAsia" w:ascii="楷体" w:hAnsi="楷体" w:eastAsia="楷体" w:cs="楷体"/>
          <w:sz w:val="24"/>
        </w:rPr>
        <w:t xml:space="preserve">     3. 如果是联合体投标，联合体各方需提供的满足招标文件要求的其他资格证明文件。</w:t>
      </w:r>
    </w:p>
    <w:p>
      <w:pPr>
        <w:pStyle w:val="5"/>
        <w:spacing w:before="0" w:line="240" w:lineRule="auto"/>
        <w:ind w:left="1084" w:leftChars="257" w:hanging="540"/>
        <w:rPr>
          <w:rFonts w:ascii="楷体" w:hAnsi="楷体" w:eastAsia="楷体" w:cs="楷体"/>
          <w:sz w:val="24"/>
        </w:rPr>
      </w:pPr>
      <w:r>
        <w:rPr>
          <w:rFonts w:hint="eastAsia" w:ascii="楷体" w:hAnsi="楷体" w:eastAsia="楷体" w:cs="楷体"/>
          <w:sz w:val="24"/>
        </w:rPr>
        <w:br w:type="page"/>
      </w:r>
      <w:bookmarkStart w:id="270" w:name="_Toc518923115"/>
      <w:bookmarkStart w:id="271" w:name="_Toc16844"/>
    </w:p>
    <w:p>
      <w:pPr>
        <w:pStyle w:val="5"/>
        <w:spacing w:before="0" w:line="240" w:lineRule="auto"/>
        <w:ind w:left="1084" w:leftChars="257" w:hanging="540"/>
        <w:rPr>
          <w:rFonts w:ascii="楷体" w:hAnsi="楷体" w:eastAsia="楷体" w:cs="楷体"/>
          <w:sz w:val="24"/>
        </w:rPr>
      </w:pPr>
      <w:r>
        <w:rPr>
          <w:rFonts w:hint="eastAsia" w:ascii="楷体" w:hAnsi="楷体" w:eastAsia="楷体" w:cs="楷体"/>
          <w:sz w:val="24"/>
        </w:rPr>
        <w:t>第二部分  商务及技术文件</w:t>
      </w:r>
      <w:bookmarkEnd w:id="270"/>
      <w:bookmarkEnd w:id="271"/>
    </w:p>
    <w:p>
      <w:pPr>
        <w:pStyle w:val="13"/>
        <w:ind w:left="1084" w:leftChars="257" w:hanging="540"/>
        <w:rPr>
          <w:rFonts w:ascii="楷体" w:hAnsi="楷体" w:eastAsia="楷体" w:cs="楷体"/>
          <w:sz w:val="24"/>
        </w:rPr>
      </w:pPr>
    </w:p>
    <w:p>
      <w:pPr>
        <w:pStyle w:val="13"/>
        <w:ind w:left="1084" w:leftChars="257" w:hanging="540"/>
        <w:rPr>
          <w:rFonts w:ascii="楷体" w:hAnsi="楷体" w:eastAsia="楷体" w:cs="楷体"/>
          <w:sz w:val="24"/>
        </w:rPr>
      </w:pPr>
      <w:r>
        <w:rPr>
          <w:rFonts w:hint="eastAsia" w:ascii="楷体" w:hAnsi="楷体" w:eastAsia="楷体" w:cs="楷体"/>
          <w:sz w:val="24"/>
        </w:rPr>
        <w:t>1、投标书（投标文件格式三）</w:t>
      </w:r>
    </w:p>
    <w:p>
      <w:pPr>
        <w:pStyle w:val="13"/>
        <w:ind w:left="1084" w:leftChars="257" w:hanging="540"/>
        <w:rPr>
          <w:rFonts w:ascii="楷体" w:hAnsi="楷体" w:eastAsia="楷体" w:cs="楷体"/>
          <w:sz w:val="24"/>
        </w:rPr>
      </w:pPr>
      <w:r>
        <w:rPr>
          <w:rFonts w:hint="eastAsia" w:ascii="楷体" w:hAnsi="楷体" w:eastAsia="楷体" w:cs="楷体"/>
          <w:sz w:val="24"/>
        </w:rPr>
        <w:t>2、投标保证金缴纳凭证复印件或政府采购投标担保函（投标文件格式四）</w:t>
      </w:r>
    </w:p>
    <w:p>
      <w:pPr>
        <w:pStyle w:val="13"/>
        <w:ind w:left="1084" w:leftChars="257" w:hanging="540"/>
        <w:rPr>
          <w:rFonts w:ascii="楷体" w:hAnsi="楷体" w:eastAsia="楷体" w:cs="楷体"/>
          <w:sz w:val="24"/>
        </w:rPr>
      </w:pPr>
      <w:r>
        <w:rPr>
          <w:rFonts w:hint="eastAsia" w:ascii="楷体" w:hAnsi="楷体" w:eastAsia="楷体" w:cs="楷体"/>
          <w:sz w:val="24"/>
        </w:rPr>
        <w:t>3、投标分项报价表（投标文件格式五）</w:t>
      </w:r>
    </w:p>
    <w:p>
      <w:pPr>
        <w:pStyle w:val="13"/>
        <w:ind w:left="1084" w:leftChars="257" w:hanging="540"/>
        <w:rPr>
          <w:rFonts w:ascii="楷体" w:hAnsi="楷体" w:eastAsia="楷体" w:cs="楷体"/>
          <w:sz w:val="24"/>
        </w:rPr>
      </w:pPr>
      <w:r>
        <w:rPr>
          <w:rFonts w:hint="eastAsia" w:ascii="楷体" w:hAnsi="楷体" w:eastAsia="楷体" w:cs="楷体"/>
          <w:sz w:val="24"/>
        </w:rPr>
        <w:t>4、商务条款偏离表（投标文件格式六）</w:t>
      </w:r>
    </w:p>
    <w:p>
      <w:pPr>
        <w:pStyle w:val="13"/>
        <w:ind w:left="1084" w:leftChars="257" w:hanging="540"/>
        <w:rPr>
          <w:rFonts w:ascii="楷体" w:hAnsi="楷体" w:eastAsia="楷体" w:cs="楷体"/>
          <w:sz w:val="24"/>
        </w:rPr>
      </w:pPr>
      <w:r>
        <w:rPr>
          <w:rFonts w:hint="eastAsia" w:ascii="楷体" w:hAnsi="楷体" w:eastAsia="楷体" w:cs="楷体"/>
          <w:sz w:val="24"/>
        </w:rPr>
        <w:t>5、符合《政府采购促进中小企业发展暂行办法》、《关于政府采购支持监狱企业发展有关问题的通知》和《三部门联合发布关于促进残疾人就业政府采购政策的通知》价格扣减条件的投标人须提交）</w:t>
      </w:r>
    </w:p>
    <w:p>
      <w:pPr>
        <w:pStyle w:val="13"/>
        <w:ind w:left="1084" w:leftChars="257" w:hanging="540"/>
        <w:rPr>
          <w:rFonts w:ascii="楷体" w:hAnsi="楷体" w:eastAsia="楷体" w:cs="楷体"/>
          <w:sz w:val="24"/>
        </w:rPr>
      </w:pPr>
      <w:r>
        <w:rPr>
          <w:rFonts w:hint="eastAsia" w:ascii="楷体" w:hAnsi="楷体" w:eastAsia="楷体" w:cs="楷体"/>
          <w:sz w:val="24"/>
        </w:rPr>
        <w:t>5-1《投标人企业类型声明函》（投标文件格式七）</w:t>
      </w:r>
    </w:p>
    <w:p>
      <w:pPr>
        <w:pStyle w:val="13"/>
        <w:ind w:left="313" w:leftChars="148" w:firstLine="228"/>
        <w:rPr>
          <w:rFonts w:ascii="楷体" w:hAnsi="楷体" w:eastAsia="楷体" w:cs="楷体"/>
          <w:sz w:val="24"/>
        </w:rPr>
      </w:pPr>
      <w:r>
        <w:rPr>
          <w:rFonts w:hint="eastAsia" w:ascii="楷体" w:hAnsi="楷体" w:eastAsia="楷体" w:cs="楷体"/>
          <w:sz w:val="24"/>
        </w:rPr>
        <w:t>5-2《制造商投标人企业类型声明函》（投标文件格式八）</w:t>
      </w:r>
    </w:p>
    <w:p>
      <w:pPr>
        <w:pStyle w:val="13"/>
        <w:ind w:left="1084" w:leftChars="257" w:hanging="540"/>
        <w:rPr>
          <w:rFonts w:ascii="楷体" w:hAnsi="楷体" w:eastAsia="楷体" w:cs="楷体"/>
          <w:sz w:val="24"/>
        </w:rPr>
      </w:pPr>
      <w:r>
        <w:rPr>
          <w:rFonts w:hint="eastAsia" w:ascii="楷体" w:hAnsi="楷体" w:eastAsia="楷体" w:cs="楷体"/>
          <w:sz w:val="24"/>
        </w:rPr>
        <w:t>6、投标人关联单位的说明（格式自拟）</w:t>
      </w:r>
    </w:p>
    <w:p>
      <w:pPr>
        <w:pStyle w:val="13"/>
        <w:ind w:left="1084" w:leftChars="257" w:hanging="540"/>
        <w:rPr>
          <w:rFonts w:ascii="楷体" w:hAnsi="楷体" w:eastAsia="楷体" w:cs="楷体"/>
          <w:sz w:val="24"/>
        </w:rPr>
      </w:pPr>
      <w:r>
        <w:rPr>
          <w:rFonts w:hint="eastAsia" w:ascii="楷体" w:hAnsi="楷体" w:eastAsia="楷体" w:cs="楷体"/>
          <w:sz w:val="24"/>
        </w:rPr>
        <w:t>7、投标文件还应包括投标人须知第10条的所有技术文件</w:t>
      </w:r>
    </w:p>
    <w:p>
      <w:pPr>
        <w:pStyle w:val="13"/>
        <w:tabs>
          <w:tab w:val="left" w:pos="5580"/>
        </w:tabs>
        <w:rPr>
          <w:rFonts w:ascii="楷体" w:hAnsi="楷体" w:eastAsia="楷体" w:cs="楷体"/>
          <w:sz w:val="24"/>
        </w:rPr>
      </w:pPr>
    </w:p>
    <w:p>
      <w:pPr>
        <w:pStyle w:val="13"/>
        <w:tabs>
          <w:tab w:val="left" w:pos="5580"/>
        </w:tabs>
        <w:rPr>
          <w:rFonts w:ascii="楷体" w:hAnsi="楷体" w:eastAsia="楷体" w:cs="楷体"/>
          <w:sz w:val="24"/>
        </w:rPr>
      </w:pPr>
    </w:p>
    <w:p>
      <w:pPr>
        <w:pStyle w:val="13"/>
        <w:tabs>
          <w:tab w:val="left" w:pos="5580"/>
        </w:tabs>
        <w:rPr>
          <w:rFonts w:ascii="楷体" w:hAnsi="楷体" w:eastAsia="楷体" w:cs="楷体"/>
          <w:sz w:val="24"/>
        </w:rPr>
      </w:pPr>
    </w:p>
    <w:p>
      <w:pPr>
        <w:pStyle w:val="13"/>
        <w:tabs>
          <w:tab w:val="left" w:pos="5580"/>
        </w:tabs>
        <w:rPr>
          <w:rFonts w:ascii="楷体" w:hAnsi="楷体" w:eastAsia="楷体" w:cs="楷体"/>
          <w:sz w:val="24"/>
        </w:rPr>
      </w:pPr>
    </w:p>
    <w:p>
      <w:pPr>
        <w:pStyle w:val="13"/>
        <w:tabs>
          <w:tab w:val="left" w:pos="5580"/>
        </w:tabs>
        <w:rPr>
          <w:rFonts w:ascii="楷体" w:hAnsi="楷体" w:eastAsia="楷体" w:cs="楷体"/>
          <w:sz w:val="24"/>
        </w:rPr>
      </w:pPr>
    </w:p>
    <w:p>
      <w:pPr>
        <w:pStyle w:val="13"/>
        <w:tabs>
          <w:tab w:val="left" w:pos="5580"/>
        </w:tabs>
        <w:rPr>
          <w:rFonts w:ascii="楷体" w:hAnsi="楷体" w:eastAsia="楷体" w:cs="楷体"/>
          <w:sz w:val="24"/>
        </w:rPr>
      </w:pPr>
    </w:p>
    <w:p>
      <w:pPr>
        <w:pStyle w:val="13"/>
        <w:tabs>
          <w:tab w:val="left" w:pos="5580"/>
        </w:tabs>
        <w:rPr>
          <w:rFonts w:ascii="楷体" w:hAnsi="楷体" w:eastAsia="楷体" w:cs="楷体"/>
          <w:sz w:val="24"/>
        </w:rPr>
      </w:pPr>
    </w:p>
    <w:p>
      <w:pPr>
        <w:pStyle w:val="13"/>
        <w:tabs>
          <w:tab w:val="left" w:pos="5580"/>
        </w:tabs>
        <w:rPr>
          <w:rFonts w:ascii="楷体" w:hAnsi="楷体" w:eastAsia="楷体" w:cs="楷体"/>
          <w:sz w:val="24"/>
        </w:rPr>
      </w:pPr>
    </w:p>
    <w:p>
      <w:pPr>
        <w:pStyle w:val="5"/>
        <w:spacing w:before="0" w:line="240" w:lineRule="auto"/>
        <w:ind w:left="1084" w:leftChars="257" w:hanging="540"/>
        <w:rPr>
          <w:rFonts w:ascii="楷体" w:hAnsi="楷体" w:eastAsia="楷体" w:cs="楷体"/>
          <w:sz w:val="24"/>
        </w:rPr>
      </w:pPr>
      <w:bookmarkStart w:id="272" w:name="_Toc518923116"/>
      <w:bookmarkStart w:id="273" w:name="_Toc26126"/>
      <w:r>
        <w:rPr>
          <w:rFonts w:hint="eastAsia" w:ascii="楷体" w:hAnsi="楷体" w:eastAsia="楷体" w:cs="楷体"/>
          <w:sz w:val="24"/>
        </w:rPr>
        <w:br w:type="page"/>
      </w:r>
      <w:r>
        <w:rPr>
          <w:rFonts w:hint="eastAsia" w:ascii="楷体" w:hAnsi="楷体" w:eastAsia="楷体" w:cs="楷体"/>
          <w:sz w:val="24"/>
        </w:rPr>
        <w:t xml:space="preserve">1   </w:t>
      </w:r>
      <w:bookmarkStart w:id="274" w:name="_Hlt520355504"/>
      <w:bookmarkEnd w:id="274"/>
      <w:r>
        <w:rPr>
          <w:rFonts w:hint="eastAsia" w:ascii="楷体" w:hAnsi="楷体" w:eastAsia="楷体" w:cs="楷体"/>
          <w:sz w:val="24"/>
        </w:rPr>
        <w:t>投标</w:t>
      </w:r>
      <w:bookmarkEnd w:id="254"/>
      <w:bookmarkEnd w:id="255"/>
      <w:r>
        <w:rPr>
          <w:rFonts w:hint="eastAsia" w:ascii="楷体" w:hAnsi="楷体" w:eastAsia="楷体" w:cs="楷体"/>
          <w:sz w:val="24"/>
        </w:rPr>
        <w:t>书</w:t>
      </w:r>
      <w:bookmarkEnd w:id="256"/>
      <w:r>
        <w:rPr>
          <w:rFonts w:hint="eastAsia" w:ascii="楷体" w:hAnsi="楷体" w:eastAsia="楷体" w:cs="楷体"/>
          <w:sz w:val="24"/>
        </w:rPr>
        <w:t>（投标文件格式三）</w:t>
      </w:r>
      <w:bookmarkEnd w:id="257"/>
      <w:bookmarkEnd w:id="272"/>
      <w:bookmarkEnd w:id="273"/>
    </w:p>
    <w:p>
      <w:pPr>
        <w:tabs>
          <w:tab w:val="left" w:pos="5580"/>
        </w:tabs>
        <w:ind w:left="1084" w:leftChars="257" w:hanging="540"/>
        <w:rPr>
          <w:rFonts w:ascii="楷体" w:hAnsi="楷体" w:eastAsia="楷体" w:cs="楷体"/>
          <w:sz w:val="24"/>
        </w:rPr>
      </w:pPr>
    </w:p>
    <w:p>
      <w:pPr>
        <w:tabs>
          <w:tab w:val="left" w:pos="5580"/>
        </w:tabs>
        <w:ind w:left="1080" w:hanging="1080"/>
        <w:rPr>
          <w:rFonts w:ascii="楷体" w:hAnsi="楷体" w:eastAsia="楷体" w:cs="楷体"/>
          <w:sz w:val="24"/>
        </w:rPr>
      </w:pPr>
      <w:r>
        <w:rPr>
          <w:rFonts w:hint="eastAsia" w:ascii="楷体" w:hAnsi="楷体" w:eastAsia="楷体" w:cs="楷体"/>
          <w:sz w:val="24"/>
        </w:rPr>
        <w:t>致：</w:t>
      </w:r>
      <w:r>
        <w:rPr>
          <w:rFonts w:hint="eastAsia" w:ascii="楷体" w:hAnsi="楷体" w:eastAsia="楷体" w:cs="楷体"/>
          <w:sz w:val="24"/>
          <w:u w:val="single"/>
        </w:rPr>
        <w:t>采购代理机构</w:t>
      </w:r>
    </w:p>
    <w:p>
      <w:pPr>
        <w:pStyle w:val="13"/>
        <w:tabs>
          <w:tab w:val="left" w:pos="5580"/>
        </w:tabs>
        <w:ind w:left="1084" w:leftChars="257" w:hanging="540"/>
        <w:rPr>
          <w:rFonts w:ascii="楷体" w:hAnsi="楷体" w:eastAsia="楷体" w:cs="楷体"/>
          <w:sz w:val="24"/>
        </w:rPr>
      </w:pPr>
    </w:p>
    <w:p>
      <w:pPr>
        <w:pStyle w:val="13"/>
        <w:tabs>
          <w:tab w:val="left" w:pos="5580"/>
        </w:tabs>
        <w:ind w:left="2" w:leftChars="1" w:firstLine="484" w:firstLineChars="200"/>
        <w:rPr>
          <w:rFonts w:ascii="楷体" w:hAnsi="楷体" w:eastAsia="楷体" w:cs="楷体"/>
          <w:sz w:val="24"/>
        </w:rPr>
      </w:pPr>
      <w:r>
        <w:rPr>
          <w:rFonts w:hint="eastAsia" w:ascii="楷体" w:hAnsi="楷体" w:eastAsia="楷体" w:cs="楷体"/>
          <w:sz w:val="24"/>
        </w:rPr>
        <w:t>根据贵方(</w:t>
      </w:r>
      <w:r>
        <w:rPr>
          <w:rFonts w:hint="eastAsia" w:ascii="楷体" w:hAnsi="楷体" w:eastAsia="楷体" w:cs="楷体"/>
          <w:i/>
          <w:sz w:val="24"/>
          <w:u w:val="single"/>
        </w:rPr>
        <w:t>项目名称</w:t>
      </w:r>
      <w:r>
        <w:rPr>
          <w:rFonts w:hint="eastAsia" w:ascii="楷体" w:hAnsi="楷体" w:eastAsia="楷体" w:cs="楷体"/>
          <w:sz w:val="24"/>
        </w:rPr>
        <w:t>)项目的投标邀请(</w:t>
      </w:r>
      <w:r>
        <w:rPr>
          <w:rFonts w:hint="eastAsia" w:ascii="楷体" w:hAnsi="楷体" w:eastAsia="楷体" w:cs="楷体"/>
          <w:i/>
          <w:sz w:val="24"/>
          <w:u w:val="single"/>
        </w:rPr>
        <w:t>招标编号</w:t>
      </w:r>
      <w:r>
        <w:rPr>
          <w:rFonts w:hint="eastAsia" w:ascii="楷体" w:hAnsi="楷体" w:eastAsia="楷体" w:cs="楷体"/>
          <w:sz w:val="24"/>
        </w:rPr>
        <w:t>),签字代表(</w:t>
      </w:r>
      <w:r>
        <w:rPr>
          <w:rFonts w:hint="eastAsia" w:ascii="楷体" w:hAnsi="楷体" w:eastAsia="楷体" w:cs="楷体"/>
          <w:i/>
          <w:sz w:val="24"/>
          <w:u w:val="single"/>
        </w:rPr>
        <w:t>姓名、职务</w:t>
      </w:r>
      <w:r>
        <w:rPr>
          <w:rFonts w:hint="eastAsia" w:ascii="楷体" w:hAnsi="楷体" w:eastAsia="楷体" w:cs="楷体"/>
          <w:sz w:val="24"/>
        </w:rPr>
        <w:t>)经正式授权并代表投标人（</w:t>
      </w:r>
      <w:r>
        <w:rPr>
          <w:rFonts w:hint="eastAsia" w:ascii="楷体" w:hAnsi="楷体" w:eastAsia="楷体" w:cs="楷体"/>
          <w:i/>
          <w:sz w:val="24"/>
          <w:u w:val="single"/>
        </w:rPr>
        <w:t>名称、地址</w:t>
      </w:r>
      <w:r>
        <w:rPr>
          <w:rFonts w:hint="eastAsia" w:ascii="楷体" w:hAnsi="楷体" w:eastAsia="楷体" w:cs="楷体"/>
          <w:sz w:val="24"/>
        </w:rPr>
        <w:t>）提交下述文件正本份、副本份及电子文档份，并以形式出具的金额为人民币</w:t>
      </w:r>
      <w:r>
        <w:rPr>
          <w:rFonts w:hint="eastAsia" w:ascii="楷体" w:hAnsi="楷体" w:eastAsia="楷体" w:cs="楷体"/>
          <w:sz w:val="24"/>
          <w:u w:val="single"/>
        </w:rPr>
        <w:t>　　　　</w:t>
      </w:r>
      <w:r>
        <w:rPr>
          <w:rFonts w:hint="eastAsia" w:ascii="楷体" w:hAnsi="楷体" w:eastAsia="楷体" w:cs="楷体"/>
          <w:sz w:val="24"/>
        </w:rPr>
        <w:t>元的投标保证金。</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据此，签字代表宣布同意如下：</w:t>
      </w:r>
    </w:p>
    <w:p>
      <w:pPr>
        <w:pStyle w:val="13"/>
        <w:tabs>
          <w:tab w:val="left" w:pos="720"/>
          <w:tab w:val="left" w:pos="900"/>
        </w:tabs>
        <w:ind w:left="773" w:leftChars="257" w:hanging="229"/>
        <w:rPr>
          <w:rFonts w:ascii="楷体" w:hAnsi="楷体" w:eastAsia="楷体" w:cs="楷体"/>
          <w:sz w:val="24"/>
          <w:u w:val="single"/>
        </w:rPr>
      </w:pPr>
      <w:r>
        <w:rPr>
          <w:rFonts w:hint="eastAsia" w:ascii="楷体" w:hAnsi="楷体" w:eastAsia="楷体" w:cs="楷体"/>
          <w:sz w:val="24"/>
        </w:rPr>
        <w:t>（1）附投标价格表中规定的应提供服务的投标总价详见开标一览表，</w:t>
      </w:r>
      <w:r>
        <w:rPr>
          <w:rFonts w:hint="eastAsia" w:ascii="楷体" w:hAnsi="楷体" w:eastAsia="楷体" w:cs="楷体"/>
          <w:sz w:val="24"/>
          <w:u w:val="single"/>
        </w:rPr>
        <w:t>其中由小型和</w:t>
      </w:r>
      <w:r>
        <w:rPr>
          <w:rFonts w:hint="eastAsia" w:ascii="楷体" w:hAnsi="楷体" w:eastAsia="楷体" w:cs="楷体"/>
          <w:sz w:val="24"/>
        </w:rPr>
        <w:t>微型企业制造产品的价格为</w:t>
      </w:r>
      <w:r>
        <w:rPr>
          <w:rFonts w:hint="eastAsia" w:ascii="楷体" w:hAnsi="楷体" w:eastAsia="楷体" w:cs="楷体"/>
          <w:sz w:val="24"/>
          <w:u w:val="single"/>
        </w:rPr>
        <w:t>　　  （用文字和数字表示），占投标总价   %</w:t>
      </w:r>
      <w:r>
        <w:rPr>
          <w:rFonts w:hint="eastAsia" w:ascii="楷体" w:hAnsi="楷体" w:eastAsia="楷体" w:cs="楷体"/>
          <w:sz w:val="24"/>
        </w:rPr>
        <w:t>。</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（2）本投标有效期为自投标截止之日起个日历日。</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（3）联合体中的大中型企业和其他自然人、法人或者非法人组织，与联合体中的小型、微型企业之间</w:t>
      </w:r>
      <w:r>
        <w:rPr>
          <w:rFonts w:hint="eastAsia" w:ascii="楷体" w:hAnsi="楷体" w:eastAsia="楷体" w:cs="楷体"/>
          <w:sz w:val="24"/>
          <w:u w:val="single"/>
        </w:rPr>
        <w:t xml:space="preserve">     （</w:t>
      </w:r>
      <w:r>
        <w:rPr>
          <w:rFonts w:hint="eastAsia" w:ascii="楷体" w:hAnsi="楷体" w:eastAsia="楷体" w:cs="楷体"/>
          <w:sz w:val="24"/>
        </w:rPr>
        <w:t>存在、不存在）投资关系（如果联合体的话）。</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（4）已详细审查全部招标文件，包括所有补充通知（如果有的话），完全理解并同意放弃对这方面有不明、误解和质疑的权力。</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（5）在规定的开标时间后，遵守招标文件中有关保证金的规定。</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（6）根据投标人须知第1条规定，我方不是为本项目提供整体设计、规范编制或者项目管理、监理、检测等服务的供应商，我方不是采购代理机构的附属机构。</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（7）在领取中标通知书的同时按招标文件规定的形式，向贵方一次性支付中标服务费。</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（8）按照贵方可能要求，提供与其投标有关的一切数据或资料，完全理解贵方不一定接受最低价的投标或收到的任何投标。</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（9）按照招标文件的规定履行合同责任和义务。</w:t>
      </w:r>
    </w:p>
    <w:p>
      <w:pPr>
        <w:pStyle w:val="13"/>
        <w:tabs>
          <w:tab w:val="left" w:pos="5580"/>
        </w:tabs>
        <w:ind w:left="361" w:leftChars="68" w:hanging="217" w:hangingChars="90"/>
        <w:rPr>
          <w:rFonts w:ascii="楷体" w:hAnsi="楷体" w:eastAsia="楷体" w:cs="楷体"/>
          <w:sz w:val="24"/>
        </w:rPr>
      </w:pPr>
    </w:p>
    <w:p>
      <w:pPr>
        <w:pStyle w:val="13"/>
        <w:tabs>
          <w:tab w:val="left" w:pos="5580"/>
        </w:tabs>
        <w:ind w:left="361" w:leftChars="68" w:hanging="217" w:hangingChars="90"/>
        <w:rPr>
          <w:rFonts w:ascii="楷体" w:hAnsi="楷体" w:eastAsia="楷体" w:cs="楷体"/>
          <w:sz w:val="24"/>
        </w:rPr>
      </w:pPr>
      <w:r>
        <w:rPr>
          <w:rFonts w:hint="eastAsia" w:ascii="楷体" w:hAnsi="楷体" w:eastAsia="楷体" w:cs="楷体"/>
          <w:sz w:val="24"/>
        </w:rPr>
        <w:t>与本投标有关的一切正式往来信函请寄：</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地址：     传真：</w:t>
      </w:r>
    </w:p>
    <w:p>
      <w:pPr>
        <w:pStyle w:val="13"/>
        <w:tabs>
          <w:tab w:val="left" w:pos="5580"/>
        </w:tabs>
        <w:ind w:left="1084" w:leftChars="257" w:hanging="540"/>
        <w:rPr>
          <w:rFonts w:ascii="楷体" w:hAnsi="楷体" w:eastAsia="楷体" w:cs="楷体"/>
          <w:b/>
          <w:sz w:val="24"/>
        </w:rPr>
      </w:pPr>
      <w:r>
        <w:rPr>
          <w:rFonts w:hint="eastAsia" w:ascii="楷体" w:hAnsi="楷体" w:eastAsia="楷体" w:cs="楷体"/>
          <w:sz w:val="24"/>
        </w:rPr>
        <w:t>电话：     电子函件：</w:t>
      </w:r>
    </w:p>
    <w:p>
      <w:pPr>
        <w:pStyle w:val="13"/>
        <w:tabs>
          <w:tab w:val="left" w:pos="5580"/>
        </w:tabs>
        <w:ind w:left="1084" w:leftChars="257" w:hanging="540"/>
        <w:rPr>
          <w:rFonts w:ascii="楷体" w:hAnsi="楷体" w:eastAsia="楷体" w:cs="楷体"/>
          <w:sz w:val="24"/>
        </w:rPr>
      </w:pP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法定代表人或其委托代理人签字：-----------------</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投标人名称（全称）：-----------------</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投标人开户银行（全称）：</w:t>
      </w:r>
      <w:r>
        <w:rPr>
          <w:rFonts w:hint="eastAsia" w:ascii="楷体" w:hAnsi="楷体" w:eastAsia="楷体" w:cs="楷体"/>
          <w:sz w:val="24"/>
          <w:u w:val="single"/>
        </w:rPr>
        <w:t xml:space="preserve">　　　　　　 </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投标人银行帐号：</w:t>
      </w:r>
      <w:r>
        <w:rPr>
          <w:rFonts w:hint="eastAsia" w:ascii="楷体" w:hAnsi="楷体" w:eastAsia="楷体" w:cs="楷体"/>
          <w:sz w:val="24"/>
          <w:u w:val="single"/>
        </w:rPr>
        <w:t>　　　　　　　　 　　</w:t>
      </w:r>
    </w:p>
    <w:p>
      <w:pPr>
        <w:pStyle w:val="13"/>
        <w:tabs>
          <w:tab w:val="left" w:pos="5580"/>
        </w:tabs>
        <w:ind w:left="1084" w:leftChars="257" w:hanging="540"/>
        <w:rPr>
          <w:rFonts w:ascii="楷体" w:hAnsi="楷体" w:eastAsia="楷体" w:cs="楷体"/>
          <w:sz w:val="24"/>
        </w:rPr>
      </w:pPr>
      <w:r>
        <w:rPr>
          <w:rFonts w:hint="eastAsia" w:ascii="楷体" w:hAnsi="楷体" w:eastAsia="楷体" w:cs="楷体"/>
          <w:sz w:val="24"/>
        </w:rPr>
        <w:t>投标人单位章：</w:t>
      </w:r>
    </w:p>
    <w:p>
      <w:pPr>
        <w:pStyle w:val="13"/>
        <w:tabs>
          <w:tab w:val="left" w:pos="5580"/>
        </w:tabs>
        <w:ind w:left="1084" w:leftChars="257" w:hanging="540"/>
        <w:rPr>
          <w:rFonts w:ascii="楷体" w:hAnsi="楷体" w:eastAsia="楷体" w:cs="楷体"/>
          <w:sz w:val="24"/>
          <w:u w:val="single"/>
        </w:rPr>
      </w:pPr>
      <w:r>
        <w:rPr>
          <w:rFonts w:hint="eastAsia" w:ascii="楷体" w:hAnsi="楷体" w:eastAsia="楷体" w:cs="楷体"/>
          <w:sz w:val="24"/>
        </w:rPr>
        <w:t>日期：</w:t>
      </w:r>
    </w:p>
    <w:p>
      <w:pPr>
        <w:pStyle w:val="5"/>
        <w:spacing w:before="0" w:line="240" w:lineRule="auto"/>
        <w:ind w:left="1084" w:leftChars="257" w:hanging="540"/>
        <w:rPr>
          <w:rFonts w:ascii="楷体" w:hAnsi="楷体" w:eastAsia="楷体" w:cs="楷体"/>
          <w:sz w:val="24"/>
        </w:rPr>
      </w:pPr>
      <w:bookmarkStart w:id="275" w:name="_Hlt520355938"/>
      <w:bookmarkEnd w:id="275"/>
      <w:bookmarkStart w:id="276" w:name="_Hlt520356243"/>
      <w:bookmarkEnd w:id="276"/>
      <w:bookmarkStart w:id="277" w:name="_Toc216582815"/>
      <w:r>
        <w:rPr>
          <w:rFonts w:hint="eastAsia" w:ascii="楷体" w:hAnsi="楷体" w:eastAsia="楷体" w:cs="楷体"/>
          <w:sz w:val="24"/>
        </w:rPr>
        <w:br w:type="page"/>
      </w:r>
      <w:bookmarkStart w:id="278" w:name="_Toc24886"/>
      <w:bookmarkStart w:id="279" w:name="_Toc518923117"/>
      <w:r>
        <w:rPr>
          <w:rFonts w:hint="eastAsia" w:ascii="楷体" w:hAnsi="楷体" w:eastAsia="楷体" w:cs="楷体"/>
          <w:sz w:val="24"/>
        </w:rPr>
        <w:t>2   投标保证金缴纳凭证复印件或投标担保函</w:t>
      </w:r>
      <w:bookmarkEnd w:id="278"/>
      <w:bookmarkEnd w:id="279"/>
    </w:p>
    <w:p>
      <w:pPr>
        <w:ind w:firstLine="424" w:firstLineChars="200"/>
        <w:rPr>
          <w:rFonts w:ascii="楷体" w:hAnsi="楷体" w:eastAsia="楷体" w:cs="楷体"/>
          <w:sz w:val="24"/>
        </w:rPr>
      </w:pPr>
      <w:bookmarkStart w:id="280" w:name="_Toc494296665"/>
      <w:bookmarkStart w:id="281" w:name="_Toc494296991"/>
      <w:r>
        <w:rPr>
          <w:rFonts w:hint="eastAsia" w:ascii="楷体" w:hAnsi="楷体" w:eastAsia="楷体" w:cs="楷体"/>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280"/>
      <w:bookmarkEnd w:id="281"/>
    </w:p>
    <w:p>
      <w:pPr>
        <w:jc w:val="center"/>
        <w:rPr>
          <w:rFonts w:ascii="楷体" w:hAnsi="楷体" w:eastAsia="楷体" w:cs="楷体"/>
          <w:sz w:val="28"/>
          <w:szCs w:val="28"/>
        </w:rPr>
      </w:pPr>
      <w:r>
        <w:rPr>
          <w:rFonts w:hint="eastAsia" w:ascii="楷体" w:hAnsi="楷体" w:eastAsia="楷体" w:cs="楷体"/>
          <w:sz w:val="28"/>
          <w:szCs w:val="28"/>
        </w:rPr>
        <w:t>政府采购投标担保函 （项目用）（投标文件格式四）</w:t>
      </w:r>
    </w:p>
    <w:p>
      <w:pPr>
        <w:ind w:firstLine="6784" w:firstLineChars="3200"/>
        <w:rPr>
          <w:rFonts w:ascii="楷体" w:hAnsi="楷体" w:eastAsia="楷体" w:cs="楷体"/>
        </w:rPr>
      </w:pPr>
      <w:r>
        <w:rPr>
          <w:rFonts w:hint="eastAsia" w:ascii="楷体" w:hAnsi="楷体" w:eastAsia="楷体" w:cs="楷体"/>
        </w:rPr>
        <w:t>编号：</w:t>
      </w:r>
    </w:p>
    <w:p>
      <w:pPr>
        <w:rPr>
          <w:rFonts w:ascii="楷体" w:hAnsi="楷体" w:eastAsia="楷体" w:cs="楷体"/>
        </w:rPr>
      </w:pPr>
      <w:r>
        <w:rPr>
          <w:rFonts w:hint="eastAsia" w:ascii="楷体" w:hAnsi="楷体" w:eastAsia="楷体" w:cs="楷体"/>
        </w:rPr>
        <w:t>（采购人或采购代理机构）：</w:t>
      </w:r>
    </w:p>
    <w:p>
      <w:pPr>
        <w:ind w:firstLine="424" w:firstLineChars="200"/>
        <w:rPr>
          <w:rFonts w:ascii="楷体" w:hAnsi="楷体" w:eastAsia="楷体" w:cs="楷体"/>
        </w:rPr>
      </w:pPr>
      <w:r>
        <w:rPr>
          <w:rFonts w:hint="eastAsia" w:ascii="楷体" w:hAnsi="楷体" w:eastAsia="楷体" w:cs="楷体"/>
        </w:rPr>
        <w:t>鉴于（以下简称“投标人”）拟参加编号为的</w:t>
      </w:r>
    </w:p>
    <w:p>
      <w:pPr>
        <w:rPr>
          <w:rFonts w:ascii="楷体" w:hAnsi="楷体" w:eastAsia="楷体" w:cs="楷体"/>
        </w:rPr>
      </w:pPr>
      <w:r>
        <w:rPr>
          <w:rFonts w:hint="eastAsia" w:ascii="楷体" w:hAnsi="楷体" w:eastAsia="楷体" w:cs="楷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4" w:firstLineChars="200"/>
        <w:rPr>
          <w:rFonts w:ascii="楷体" w:hAnsi="楷体" w:eastAsia="楷体" w:cs="楷体"/>
        </w:rPr>
      </w:pPr>
      <w:r>
        <w:rPr>
          <w:rFonts w:hint="eastAsia" w:ascii="楷体" w:hAnsi="楷体" w:eastAsia="楷体" w:cs="楷体"/>
        </w:rPr>
        <w:t>一、保证责任的情形及保证金额</w:t>
      </w:r>
    </w:p>
    <w:p>
      <w:pPr>
        <w:ind w:firstLine="212" w:firstLineChars="100"/>
        <w:rPr>
          <w:rFonts w:ascii="楷体" w:hAnsi="楷体" w:eastAsia="楷体" w:cs="楷体"/>
        </w:rPr>
      </w:pPr>
      <w:r>
        <w:rPr>
          <w:rFonts w:hint="eastAsia" w:ascii="楷体" w:hAnsi="楷体" w:eastAsia="楷体" w:cs="楷体"/>
        </w:rPr>
        <w:t>（一）在投标人出现下列情形之一时，我方承担保证责任：</w:t>
      </w:r>
    </w:p>
    <w:p>
      <w:pPr>
        <w:ind w:firstLine="424" w:firstLineChars="200"/>
        <w:rPr>
          <w:rFonts w:ascii="楷体" w:hAnsi="楷体" w:eastAsia="楷体" w:cs="楷体"/>
        </w:rPr>
      </w:pPr>
      <w:r>
        <w:rPr>
          <w:rFonts w:hint="eastAsia" w:ascii="楷体" w:hAnsi="楷体" w:eastAsia="楷体" w:cs="楷体"/>
        </w:rPr>
        <w:t>1．中标后投标人无正当理由不与采购人或者采购代理机构签订《政府采购合同》；</w:t>
      </w:r>
    </w:p>
    <w:p>
      <w:pPr>
        <w:ind w:firstLine="424" w:firstLineChars="200"/>
        <w:rPr>
          <w:rFonts w:ascii="楷体" w:hAnsi="楷体" w:eastAsia="楷体" w:cs="楷体"/>
        </w:rPr>
      </w:pPr>
      <w:r>
        <w:rPr>
          <w:rFonts w:hint="eastAsia" w:ascii="楷体" w:hAnsi="楷体" w:eastAsia="楷体" w:cs="楷体"/>
        </w:rPr>
        <w:t>2．招标文件规定的投标人应当缴纳保证金的其他情形。</w:t>
      </w:r>
    </w:p>
    <w:p>
      <w:pPr>
        <w:ind w:firstLine="212" w:firstLineChars="100"/>
        <w:rPr>
          <w:rFonts w:ascii="楷体" w:hAnsi="楷体" w:eastAsia="楷体" w:cs="楷体"/>
        </w:rPr>
      </w:pPr>
      <w:r>
        <w:rPr>
          <w:rFonts w:hint="eastAsia" w:ascii="楷体" w:hAnsi="楷体" w:eastAsia="楷体" w:cs="楷体"/>
        </w:rPr>
        <w:t>（二）我方承担保证责任的最高金额为人民币元（大写），即本项目的投标保证金金额。</w:t>
      </w:r>
    </w:p>
    <w:p>
      <w:pPr>
        <w:ind w:firstLine="424" w:firstLineChars="200"/>
        <w:rPr>
          <w:rFonts w:ascii="楷体" w:hAnsi="楷体" w:eastAsia="楷体" w:cs="楷体"/>
        </w:rPr>
      </w:pPr>
      <w:r>
        <w:rPr>
          <w:rFonts w:hint="eastAsia" w:ascii="楷体" w:hAnsi="楷体" w:eastAsia="楷体" w:cs="楷体"/>
        </w:rPr>
        <w:t>二、保证的方式及保证期间</w:t>
      </w:r>
    </w:p>
    <w:p>
      <w:pPr>
        <w:ind w:firstLine="424" w:firstLineChars="200"/>
        <w:rPr>
          <w:rFonts w:ascii="楷体" w:hAnsi="楷体" w:eastAsia="楷体" w:cs="楷体"/>
        </w:rPr>
      </w:pPr>
      <w:r>
        <w:rPr>
          <w:rFonts w:hint="eastAsia" w:ascii="楷体" w:hAnsi="楷体" w:eastAsia="楷体" w:cs="楷体"/>
        </w:rPr>
        <w:t>我方保证的方式为：连带责任保证。</w:t>
      </w:r>
    </w:p>
    <w:p>
      <w:pPr>
        <w:ind w:firstLine="424" w:firstLineChars="200"/>
        <w:rPr>
          <w:rFonts w:ascii="楷体" w:hAnsi="楷体" w:eastAsia="楷体" w:cs="楷体"/>
        </w:rPr>
      </w:pPr>
      <w:r>
        <w:rPr>
          <w:rFonts w:hint="eastAsia" w:ascii="楷体" w:hAnsi="楷体" w:eastAsia="楷体" w:cs="楷体"/>
        </w:rPr>
        <w:t>我方的保证期间为：自本保函生效之日起个月止。</w:t>
      </w:r>
    </w:p>
    <w:p>
      <w:pPr>
        <w:ind w:firstLine="424" w:firstLineChars="200"/>
        <w:rPr>
          <w:rFonts w:ascii="楷体" w:hAnsi="楷体" w:eastAsia="楷体" w:cs="楷体"/>
        </w:rPr>
      </w:pPr>
      <w:r>
        <w:rPr>
          <w:rFonts w:hint="eastAsia" w:ascii="楷体" w:hAnsi="楷体" w:eastAsia="楷体" w:cs="楷体"/>
        </w:rPr>
        <w:t>三、承担保证责任的程序</w:t>
      </w:r>
    </w:p>
    <w:p>
      <w:pPr>
        <w:ind w:firstLine="424" w:firstLineChars="200"/>
        <w:rPr>
          <w:rFonts w:ascii="楷体" w:hAnsi="楷体" w:eastAsia="楷体" w:cs="楷体"/>
        </w:rPr>
      </w:pPr>
      <w:r>
        <w:rPr>
          <w:rFonts w:hint="eastAsia" w:ascii="楷体" w:hAnsi="楷体" w:eastAsia="楷体" w:cs="楷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4" w:firstLineChars="200"/>
        <w:rPr>
          <w:rFonts w:ascii="楷体" w:hAnsi="楷体" w:eastAsia="楷体" w:cs="楷体"/>
        </w:rPr>
      </w:pPr>
      <w:r>
        <w:rPr>
          <w:rFonts w:hint="eastAsia" w:ascii="楷体" w:hAnsi="楷体" w:eastAsia="楷体" w:cs="楷体"/>
        </w:rPr>
        <w:t>2．我方在收到索赔通知及相关证明材料后，在</w:t>
      </w:r>
      <w:r>
        <w:rPr>
          <w:rFonts w:hint="eastAsia" w:ascii="楷体" w:hAnsi="楷体" w:eastAsia="楷体" w:cs="楷体"/>
          <w:u w:val="single"/>
        </w:rPr>
        <w:t>　　　</w:t>
      </w:r>
      <w:r>
        <w:rPr>
          <w:rFonts w:hint="eastAsia" w:ascii="楷体" w:hAnsi="楷体" w:eastAsia="楷体" w:cs="楷体"/>
        </w:rPr>
        <w:t>个工作日内进行审查，符合应承担保证责任情形的，我方应按照你方的要求代投标人向你方支付投标保证金。</w:t>
      </w:r>
    </w:p>
    <w:p>
      <w:pPr>
        <w:ind w:firstLine="424" w:firstLineChars="200"/>
        <w:rPr>
          <w:rFonts w:ascii="楷体" w:hAnsi="楷体" w:eastAsia="楷体" w:cs="楷体"/>
        </w:rPr>
      </w:pPr>
      <w:r>
        <w:rPr>
          <w:rFonts w:hint="eastAsia" w:ascii="楷体" w:hAnsi="楷体" w:eastAsia="楷体" w:cs="楷体"/>
        </w:rPr>
        <w:t>四、保证责任的终止</w:t>
      </w:r>
    </w:p>
    <w:p>
      <w:pPr>
        <w:ind w:firstLine="424" w:firstLineChars="200"/>
        <w:rPr>
          <w:rFonts w:ascii="楷体" w:hAnsi="楷体" w:eastAsia="楷体" w:cs="楷体"/>
        </w:rPr>
      </w:pPr>
      <w:r>
        <w:rPr>
          <w:rFonts w:hint="eastAsia" w:ascii="楷体" w:hAnsi="楷体" w:eastAsia="楷体" w:cs="楷体"/>
        </w:rPr>
        <w:t>1．保证期间届满你方未向我方书面主张保证责任的，自保证期间届满次日起，我方保证责任自动终止。</w:t>
      </w:r>
    </w:p>
    <w:p>
      <w:pPr>
        <w:ind w:firstLine="424" w:firstLineChars="200"/>
        <w:rPr>
          <w:rFonts w:ascii="楷体" w:hAnsi="楷体" w:eastAsia="楷体" w:cs="楷体"/>
        </w:rPr>
      </w:pPr>
      <w:r>
        <w:rPr>
          <w:rFonts w:hint="eastAsia" w:ascii="楷体" w:hAnsi="楷体" w:eastAsia="楷体" w:cs="楷体"/>
        </w:rPr>
        <w:t>2．我方按照本保函向你贵方履行了保证责任后，自我方向你贵方支付款项（支付款项从我方账户划出）之日起，保证责任终止。</w:t>
      </w:r>
    </w:p>
    <w:p>
      <w:pPr>
        <w:ind w:firstLine="424" w:firstLineChars="200"/>
        <w:rPr>
          <w:rFonts w:ascii="楷体" w:hAnsi="楷体" w:eastAsia="楷体" w:cs="楷体"/>
        </w:rPr>
      </w:pPr>
      <w:r>
        <w:rPr>
          <w:rFonts w:hint="eastAsia" w:ascii="楷体" w:hAnsi="楷体" w:eastAsia="楷体" w:cs="楷体"/>
        </w:rPr>
        <w:t>3．按照法律法规的规定或出现我方保证责任终止的其它情形的，我方在本保函项下的保证责任亦终止。</w:t>
      </w:r>
    </w:p>
    <w:p>
      <w:pPr>
        <w:ind w:firstLine="424" w:firstLineChars="200"/>
        <w:rPr>
          <w:rFonts w:ascii="楷体" w:hAnsi="楷体" w:eastAsia="楷体" w:cs="楷体"/>
        </w:rPr>
      </w:pPr>
      <w:r>
        <w:rPr>
          <w:rFonts w:hint="eastAsia" w:ascii="楷体" w:hAnsi="楷体" w:eastAsia="楷体" w:cs="楷体"/>
        </w:rPr>
        <w:t>五、免责条款</w:t>
      </w:r>
    </w:p>
    <w:p>
      <w:pPr>
        <w:ind w:firstLine="424" w:firstLineChars="200"/>
        <w:rPr>
          <w:rFonts w:ascii="楷体" w:hAnsi="楷体" w:eastAsia="楷体" w:cs="楷体"/>
        </w:rPr>
      </w:pPr>
      <w:r>
        <w:rPr>
          <w:rFonts w:hint="eastAsia" w:ascii="楷体" w:hAnsi="楷体" w:eastAsia="楷体" w:cs="楷体"/>
        </w:rPr>
        <w:t>1．依照法律规定或你方与投标人的另行约定，全部或者部分免除投标人投标保证金义务时，我方亦免除相应的保证责任。</w:t>
      </w:r>
    </w:p>
    <w:p>
      <w:pPr>
        <w:ind w:firstLine="424" w:firstLineChars="200"/>
        <w:rPr>
          <w:rFonts w:ascii="楷体" w:hAnsi="楷体" w:eastAsia="楷体" w:cs="楷体"/>
        </w:rPr>
      </w:pPr>
      <w:r>
        <w:rPr>
          <w:rFonts w:hint="eastAsia" w:ascii="楷体" w:hAnsi="楷体" w:eastAsia="楷体" w:cs="楷体"/>
        </w:rPr>
        <w:t>2．因你方原因致使投标人发生本保函第一条第（一）款约定情形的，我方不承担保证责任。</w:t>
      </w:r>
    </w:p>
    <w:p>
      <w:pPr>
        <w:ind w:firstLine="424" w:firstLineChars="200"/>
        <w:rPr>
          <w:rFonts w:ascii="楷体" w:hAnsi="楷体" w:eastAsia="楷体" w:cs="楷体"/>
        </w:rPr>
      </w:pPr>
      <w:r>
        <w:rPr>
          <w:rFonts w:hint="eastAsia" w:ascii="楷体" w:hAnsi="楷体" w:eastAsia="楷体" w:cs="楷体"/>
        </w:rPr>
        <w:t>3．因不可抗力造成投标人发生本保函第一条约定情形的，我方不承担保证责任。</w:t>
      </w:r>
    </w:p>
    <w:p>
      <w:pPr>
        <w:ind w:firstLine="424" w:firstLineChars="200"/>
        <w:rPr>
          <w:rFonts w:ascii="楷体" w:hAnsi="楷体" w:eastAsia="楷体" w:cs="楷体"/>
        </w:rPr>
      </w:pPr>
      <w:r>
        <w:rPr>
          <w:rFonts w:hint="eastAsia" w:ascii="楷体" w:hAnsi="楷体" w:eastAsia="楷体" w:cs="楷体"/>
        </w:rPr>
        <w:t>4．你方或其他有权机关对招标文件进行任何澄清或修改，加重我方保证责任的，我方对加重部分不承担保证责任，但该澄清或修改经我方事先书面同意的除外。</w:t>
      </w:r>
    </w:p>
    <w:p>
      <w:pPr>
        <w:ind w:firstLine="424" w:firstLineChars="200"/>
        <w:rPr>
          <w:rFonts w:ascii="楷体" w:hAnsi="楷体" w:eastAsia="楷体" w:cs="楷体"/>
        </w:rPr>
      </w:pPr>
      <w:r>
        <w:rPr>
          <w:rFonts w:hint="eastAsia" w:ascii="楷体" w:hAnsi="楷体" w:eastAsia="楷体" w:cs="楷体"/>
        </w:rPr>
        <w:t>六、争议的解决</w:t>
      </w:r>
    </w:p>
    <w:p>
      <w:pPr>
        <w:ind w:firstLine="424" w:firstLineChars="200"/>
        <w:rPr>
          <w:rFonts w:ascii="楷体" w:hAnsi="楷体" w:eastAsia="楷体" w:cs="楷体"/>
        </w:rPr>
      </w:pPr>
      <w:r>
        <w:rPr>
          <w:rFonts w:hint="eastAsia" w:ascii="楷体" w:hAnsi="楷体" w:eastAsia="楷体" w:cs="楷体"/>
        </w:rPr>
        <w:t>因本保函发生的纠纷，由你我双方协商解决，协商不成的，通过诉讼程序解决，诉讼管辖地法院为法院。</w:t>
      </w:r>
    </w:p>
    <w:p>
      <w:pPr>
        <w:ind w:firstLine="424" w:firstLineChars="200"/>
        <w:rPr>
          <w:rFonts w:ascii="楷体" w:hAnsi="楷体" w:eastAsia="楷体" w:cs="楷体"/>
        </w:rPr>
      </w:pPr>
      <w:r>
        <w:rPr>
          <w:rFonts w:hint="eastAsia" w:ascii="楷体" w:hAnsi="楷体" w:eastAsia="楷体" w:cs="楷体"/>
        </w:rPr>
        <w:t>七、保函的生效</w:t>
      </w:r>
    </w:p>
    <w:p>
      <w:pPr>
        <w:ind w:firstLine="424" w:firstLineChars="200"/>
        <w:rPr>
          <w:rFonts w:ascii="楷体" w:hAnsi="楷体" w:eastAsia="楷体" w:cs="楷体"/>
        </w:rPr>
      </w:pPr>
      <w:r>
        <w:rPr>
          <w:rFonts w:hint="eastAsia" w:ascii="楷体" w:hAnsi="楷体" w:eastAsia="楷体" w:cs="楷体"/>
        </w:rPr>
        <w:t>本保函自我方加盖公章之日起生效。</w:t>
      </w:r>
    </w:p>
    <w:p>
      <w:pPr>
        <w:ind w:firstLine="5618" w:firstLineChars="2650"/>
        <w:rPr>
          <w:rFonts w:ascii="楷体" w:hAnsi="楷体" w:eastAsia="楷体" w:cs="楷体"/>
        </w:rPr>
      </w:pPr>
      <w:r>
        <w:rPr>
          <w:rFonts w:hint="eastAsia" w:ascii="楷体" w:hAnsi="楷体" w:eastAsia="楷体" w:cs="楷体"/>
        </w:rPr>
        <w:t>保证人：（公章）</w:t>
      </w:r>
    </w:p>
    <w:p>
      <w:pPr>
        <w:rPr>
          <w:rFonts w:ascii="楷体" w:hAnsi="楷体" w:eastAsia="楷体" w:cs="楷体"/>
        </w:rPr>
      </w:pPr>
    </w:p>
    <w:p>
      <w:pPr>
        <w:ind w:firstLine="5830" w:firstLineChars="2750"/>
        <w:rPr>
          <w:rFonts w:ascii="楷体" w:hAnsi="楷体" w:eastAsia="楷体" w:cs="楷体"/>
        </w:rPr>
      </w:pPr>
      <w:r>
        <w:rPr>
          <w:rFonts w:hint="eastAsia" w:ascii="楷体" w:hAnsi="楷体" w:eastAsia="楷体" w:cs="楷体"/>
        </w:rPr>
        <w:t>年     月      日</w:t>
      </w:r>
    </w:p>
    <w:p>
      <w:pPr>
        <w:jc w:val="center"/>
        <w:rPr>
          <w:rFonts w:ascii="楷体" w:hAnsi="楷体" w:eastAsia="楷体" w:cs="楷体"/>
          <w:sz w:val="24"/>
          <w:szCs w:val="20"/>
        </w:rPr>
      </w:pPr>
      <w:r>
        <w:rPr>
          <w:rFonts w:hint="eastAsia" w:ascii="楷体" w:hAnsi="楷体" w:eastAsia="楷体" w:cs="楷体"/>
        </w:rPr>
        <w:br w:type="page"/>
      </w:r>
      <w:bookmarkStart w:id="282" w:name="_Toc518923118"/>
      <w:bookmarkStart w:id="283" w:name="_Toc1893"/>
      <w:r>
        <w:rPr>
          <w:rFonts w:hint="eastAsia" w:ascii="楷体" w:hAnsi="楷体" w:eastAsia="楷体" w:cs="楷体"/>
          <w:b/>
          <w:kern w:val="0"/>
          <w:sz w:val="24"/>
          <w:szCs w:val="20"/>
        </w:rPr>
        <w:t>3   投标分项报价表</w:t>
      </w:r>
      <w:bookmarkEnd w:id="277"/>
      <w:r>
        <w:rPr>
          <w:rFonts w:hint="eastAsia" w:ascii="楷体" w:hAnsi="楷体" w:eastAsia="楷体" w:cs="楷体"/>
          <w:b/>
          <w:kern w:val="0"/>
          <w:sz w:val="24"/>
          <w:szCs w:val="20"/>
        </w:rPr>
        <w:t>（投标文件格式五）</w:t>
      </w:r>
      <w:bookmarkEnd w:id="282"/>
      <w:bookmarkEnd w:id="283"/>
    </w:p>
    <w:p>
      <w:pPr>
        <w:pStyle w:val="13"/>
        <w:ind w:left="1084" w:leftChars="257" w:hanging="540"/>
        <w:rPr>
          <w:rFonts w:ascii="楷体" w:hAnsi="楷体" w:eastAsia="楷体" w:cs="楷体"/>
          <w:sz w:val="24"/>
        </w:rPr>
      </w:pPr>
    </w:p>
    <w:p>
      <w:pPr>
        <w:pStyle w:val="13"/>
        <w:ind w:left="-142" w:leftChars="-67"/>
        <w:rPr>
          <w:rFonts w:ascii="楷体" w:hAnsi="楷体" w:eastAsia="楷体" w:cs="楷体"/>
          <w:sz w:val="24"/>
        </w:rPr>
      </w:pPr>
      <w:r>
        <w:rPr>
          <w:rFonts w:hint="eastAsia" w:ascii="楷体" w:hAnsi="楷体" w:eastAsia="楷体" w:cs="楷体"/>
          <w:sz w:val="24"/>
        </w:rPr>
        <w:t xml:space="preserve">项目名称:                      招标编号:             分包号: 　   </w:t>
      </w:r>
    </w:p>
    <w:p>
      <w:pPr>
        <w:pStyle w:val="13"/>
        <w:ind w:left="-142" w:leftChars="-67"/>
        <w:rPr>
          <w:rFonts w:ascii="楷体" w:hAnsi="楷体" w:eastAsia="楷体" w:cs="楷体"/>
          <w:sz w:val="24"/>
        </w:rPr>
      </w:pPr>
      <w:r>
        <w:rPr>
          <w:rFonts w:hint="eastAsia" w:ascii="楷体" w:hAnsi="楷体" w:eastAsia="楷体" w:cs="楷体"/>
          <w:sz w:val="24"/>
        </w:rPr>
        <w:t xml:space="preserve">     　</w:t>
      </w:r>
    </w:p>
    <w:p>
      <w:pPr>
        <w:pStyle w:val="13"/>
        <w:ind w:left="-142" w:leftChars="-67" w:firstLine="6171" w:firstLineChars="2550"/>
        <w:rPr>
          <w:rFonts w:ascii="楷体" w:hAnsi="楷体" w:eastAsia="楷体" w:cs="楷体"/>
          <w:sz w:val="24"/>
        </w:rPr>
      </w:pPr>
      <w:r>
        <w:rPr>
          <w:rFonts w:hint="eastAsia" w:ascii="楷体" w:hAnsi="楷体" w:eastAsia="楷体" w:cs="楷体"/>
          <w:sz w:val="24"/>
        </w:rPr>
        <w:t>报价单位：人民币元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noWrap/>
            <w:vAlign w:val="center"/>
          </w:tcPr>
          <w:p>
            <w:pPr>
              <w:pStyle w:val="13"/>
              <w:ind w:left="271" w:leftChars="128"/>
              <w:jc w:val="center"/>
              <w:rPr>
                <w:rFonts w:ascii="楷体" w:hAnsi="楷体" w:eastAsia="楷体" w:cs="楷体"/>
                <w:sz w:val="24"/>
              </w:rPr>
            </w:pPr>
            <w:r>
              <w:rPr>
                <w:rFonts w:hint="eastAsia" w:ascii="楷体" w:hAnsi="楷体" w:eastAsia="楷体" w:cs="楷体"/>
                <w:sz w:val="24"/>
              </w:rPr>
              <w:t>序号</w:t>
            </w:r>
          </w:p>
        </w:tc>
        <w:tc>
          <w:tcPr>
            <w:tcW w:w="3796" w:type="dxa"/>
            <w:noWrap/>
            <w:vAlign w:val="center"/>
          </w:tcPr>
          <w:p>
            <w:pPr>
              <w:pStyle w:val="13"/>
              <w:jc w:val="center"/>
              <w:rPr>
                <w:rFonts w:ascii="楷体" w:hAnsi="楷体" w:eastAsia="楷体" w:cs="楷体"/>
                <w:sz w:val="24"/>
              </w:rPr>
            </w:pPr>
            <w:r>
              <w:rPr>
                <w:rFonts w:hint="eastAsia" w:ascii="楷体" w:hAnsi="楷体" w:eastAsia="楷体" w:cs="楷体"/>
                <w:sz w:val="24"/>
              </w:rPr>
              <w:t>服务名称</w:t>
            </w:r>
          </w:p>
        </w:tc>
        <w:tc>
          <w:tcPr>
            <w:tcW w:w="2162" w:type="dxa"/>
            <w:noWrap/>
            <w:vAlign w:val="center"/>
          </w:tcPr>
          <w:p>
            <w:pPr>
              <w:pStyle w:val="13"/>
              <w:jc w:val="center"/>
              <w:rPr>
                <w:rFonts w:ascii="楷体" w:hAnsi="楷体" w:eastAsia="楷体" w:cs="楷体"/>
                <w:sz w:val="24"/>
              </w:rPr>
            </w:pPr>
            <w:r>
              <w:rPr>
                <w:rFonts w:hint="eastAsia" w:ascii="楷体" w:hAnsi="楷体" w:eastAsia="楷体" w:cs="楷体"/>
                <w:sz w:val="24"/>
              </w:rPr>
              <w:t>报价</w:t>
            </w:r>
          </w:p>
        </w:tc>
        <w:tc>
          <w:tcPr>
            <w:tcW w:w="1667" w:type="dxa"/>
            <w:noWrap/>
            <w:vAlign w:val="center"/>
          </w:tcPr>
          <w:p>
            <w:pPr>
              <w:pStyle w:val="13"/>
              <w:jc w:val="center"/>
              <w:rPr>
                <w:rFonts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ign w:val="center"/>
          </w:tcPr>
          <w:p>
            <w:pPr>
              <w:pStyle w:val="13"/>
              <w:ind w:left="271" w:leftChars="128"/>
              <w:jc w:val="center"/>
              <w:rPr>
                <w:rFonts w:ascii="楷体" w:hAnsi="楷体" w:eastAsia="楷体" w:cs="楷体"/>
                <w:sz w:val="24"/>
              </w:rPr>
            </w:pPr>
            <w:r>
              <w:rPr>
                <w:rFonts w:hint="eastAsia" w:ascii="楷体" w:hAnsi="楷体" w:eastAsia="楷体" w:cs="楷体"/>
                <w:sz w:val="24"/>
              </w:rPr>
              <w:t>1.</w:t>
            </w:r>
          </w:p>
        </w:tc>
        <w:tc>
          <w:tcPr>
            <w:tcW w:w="3796" w:type="dxa"/>
            <w:noWrap/>
            <w:vAlign w:val="center"/>
          </w:tcPr>
          <w:p>
            <w:pPr>
              <w:pStyle w:val="13"/>
              <w:jc w:val="center"/>
              <w:rPr>
                <w:rFonts w:ascii="楷体" w:hAnsi="楷体" w:eastAsia="楷体" w:cs="楷体"/>
                <w:sz w:val="24"/>
              </w:rPr>
            </w:pPr>
          </w:p>
        </w:tc>
        <w:tc>
          <w:tcPr>
            <w:tcW w:w="2162" w:type="dxa"/>
            <w:noWrap/>
            <w:vAlign w:val="center"/>
          </w:tcPr>
          <w:p>
            <w:pPr>
              <w:pStyle w:val="13"/>
              <w:ind w:left="1084" w:leftChars="257" w:hanging="540"/>
              <w:jc w:val="center"/>
              <w:rPr>
                <w:rFonts w:ascii="楷体" w:hAnsi="楷体" w:eastAsia="楷体" w:cs="楷体"/>
                <w:sz w:val="24"/>
              </w:rPr>
            </w:pPr>
          </w:p>
        </w:tc>
        <w:tc>
          <w:tcPr>
            <w:tcW w:w="1667" w:type="dxa"/>
            <w:noWrap/>
            <w:vAlign w:val="center"/>
          </w:tcPr>
          <w:p>
            <w:pPr>
              <w:pStyle w:val="13"/>
              <w:ind w:left="1084" w:leftChars="257" w:hanging="540"/>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noWrap/>
            <w:vAlign w:val="center"/>
          </w:tcPr>
          <w:p>
            <w:pPr>
              <w:pStyle w:val="13"/>
              <w:rPr>
                <w:rFonts w:ascii="楷体" w:hAnsi="楷体" w:eastAsia="楷体" w:cs="楷体"/>
                <w:sz w:val="24"/>
              </w:rPr>
            </w:pPr>
            <w:r>
              <w:rPr>
                <w:rFonts w:hint="eastAsia" w:ascii="楷体" w:hAnsi="楷体" w:eastAsia="楷体" w:cs="楷体"/>
                <w:sz w:val="24"/>
              </w:rPr>
              <w:t>总价：</w:t>
            </w:r>
          </w:p>
        </w:tc>
        <w:tc>
          <w:tcPr>
            <w:tcW w:w="1667" w:type="dxa"/>
            <w:noWrap/>
            <w:vAlign w:val="center"/>
          </w:tcPr>
          <w:p>
            <w:pPr>
              <w:pStyle w:val="13"/>
              <w:ind w:left="1084" w:leftChars="257" w:hanging="540"/>
              <w:jc w:val="center"/>
              <w:rPr>
                <w:rFonts w:ascii="楷体" w:hAnsi="楷体" w:eastAsia="楷体" w:cs="楷体"/>
                <w:sz w:val="24"/>
              </w:rPr>
            </w:pPr>
          </w:p>
        </w:tc>
      </w:tr>
    </w:tbl>
    <w:p>
      <w:pPr>
        <w:pStyle w:val="13"/>
        <w:ind w:left="1084" w:leftChars="257" w:hanging="540"/>
        <w:rPr>
          <w:rFonts w:ascii="楷体" w:hAnsi="楷体" w:eastAsia="楷体" w:cs="楷体"/>
          <w:sz w:val="24"/>
        </w:rPr>
      </w:pPr>
    </w:p>
    <w:p>
      <w:pPr>
        <w:pStyle w:val="13"/>
        <w:ind w:left="1084" w:leftChars="257" w:hanging="540"/>
        <w:rPr>
          <w:rFonts w:ascii="楷体" w:hAnsi="楷体" w:eastAsia="楷体" w:cs="楷体"/>
          <w:sz w:val="24"/>
        </w:rPr>
      </w:pPr>
      <w:r>
        <w:rPr>
          <w:rFonts w:hint="eastAsia" w:ascii="楷体" w:hAnsi="楷体" w:eastAsia="楷体" w:cs="楷体"/>
          <w:sz w:val="24"/>
        </w:rPr>
        <w:t>法定代表人或其委托代理人签字:</w:t>
      </w:r>
      <w:r>
        <w:rPr>
          <w:rFonts w:hint="eastAsia" w:ascii="楷体" w:hAnsi="楷体" w:eastAsia="楷体" w:cs="楷体"/>
          <w:sz w:val="24"/>
          <w:u w:val="single"/>
        </w:rPr>
        <w:tab/>
      </w:r>
    </w:p>
    <w:p>
      <w:pPr>
        <w:pStyle w:val="13"/>
        <w:tabs>
          <w:tab w:val="left" w:pos="5370"/>
        </w:tabs>
        <w:ind w:left="1084" w:leftChars="257" w:hanging="540"/>
        <w:rPr>
          <w:rFonts w:ascii="楷体" w:hAnsi="楷体" w:eastAsia="楷体" w:cs="楷体"/>
          <w:sz w:val="24"/>
          <w:u w:val="single"/>
        </w:rPr>
      </w:pPr>
      <w:r>
        <w:rPr>
          <w:rFonts w:hint="eastAsia" w:ascii="楷体" w:hAnsi="楷体" w:eastAsia="楷体" w:cs="楷体"/>
          <w:sz w:val="24"/>
        </w:rPr>
        <w:t>投标人(盖单位章):</w:t>
      </w:r>
      <w:r>
        <w:rPr>
          <w:rFonts w:hint="eastAsia" w:ascii="楷体" w:hAnsi="楷体" w:eastAsia="楷体" w:cs="楷体"/>
          <w:sz w:val="24"/>
          <w:u w:val="single"/>
        </w:rPr>
        <w:tab/>
      </w:r>
    </w:p>
    <w:p>
      <w:pPr>
        <w:pStyle w:val="13"/>
        <w:ind w:left="1084" w:leftChars="257" w:hanging="540"/>
        <w:rPr>
          <w:rFonts w:ascii="楷体" w:hAnsi="楷体" w:eastAsia="楷体" w:cs="楷体"/>
          <w:sz w:val="24"/>
        </w:rPr>
      </w:pPr>
    </w:p>
    <w:p>
      <w:pPr>
        <w:pStyle w:val="13"/>
        <w:ind w:left="1084" w:leftChars="257" w:hanging="540"/>
        <w:rPr>
          <w:rFonts w:ascii="楷体" w:hAnsi="楷体" w:eastAsia="楷体" w:cs="楷体"/>
          <w:sz w:val="24"/>
        </w:rPr>
      </w:pPr>
      <w:r>
        <w:rPr>
          <w:rFonts w:hint="eastAsia" w:ascii="楷体" w:hAnsi="楷体" w:eastAsia="楷体" w:cs="楷体"/>
          <w:sz w:val="24"/>
        </w:rPr>
        <w:t>注:1. 如果按分项报价计算的结果与总价不一致,以分项报价为准修正总价。</w:t>
      </w:r>
    </w:p>
    <w:p>
      <w:pPr>
        <w:pStyle w:val="13"/>
        <w:ind w:left="1088" w:leftChars="428" w:hanging="181" w:hangingChars="75"/>
        <w:rPr>
          <w:rFonts w:ascii="楷体" w:hAnsi="楷体" w:eastAsia="楷体" w:cs="楷体"/>
          <w:sz w:val="24"/>
        </w:rPr>
      </w:pPr>
      <w:r>
        <w:rPr>
          <w:rFonts w:hint="eastAsia" w:ascii="楷体" w:hAnsi="楷体" w:eastAsia="楷体" w:cs="楷体"/>
          <w:sz w:val="24"/>
        </w:rPr>
        <w:t>2. 上述各项的详细分项报价，可另页描述。</w:t>
      </w:r>
    </w:p>
    <w:p>
      <w:pPr>
        <w:pStyle w:val="13"/>
        <w:ind w:left="1084" w:leftChars="257" w:hanging="540"/>
        <w:rPr>
          <w:rFonts w:ascii="楷体" w:hAnsi="楷体" w:eastAsia="楷体" w:cs="楷体"/>
          <w:sz w:val="24"/>
        </w:rPr>
      </w:pPr>
      <w:r>
        <w:rPr>
          <w:rFonts w:hint="eastAsia" w:ascii="楷体" w:hAnsi="楷体" w:eastAsia="楷体" w:cs="楷体"/>
          <w:sz w:val="24"/>
        </w:rPr>
        <w:t xml:space="preserve">   3. 如果开标一览表（报价表）内容与投标文件中明细表内容不一致的，以开标一览表（报价表）内容为准。  </w:t>
      </w:r>
    </w:p>
    <w:p>
      <w:pPr>
        <w:pStyle w:val="13"/>
        <w:ind w:left="1165" w:leftChars="485" w:hanging="137" w:hangingChars="57"/>
        <w:rPr>
          <w:rFonts w:ascii="楷体" w:hAnsi="楷体" w:eastAsia="楷体" w:cs="楷体"/>
          <w:sz w:val="24"/>
        </w:rPr>
      </w:pPr>
      <w:r>
        <w:rPr>
          <w:rFonts w:hint="eastAsia" w:ascii="楷体" w:hAnsi="楷体" w:eastAsia="楷体" w:cs="楷体"/>
          <w:sz w:val="24"/>
        </w:rPr>
        <w:br w:type="page"/>
      </w:r>
    </w:p>
    <w:p>
      <w:pPr>
        <w:pStyle w:val="5"/>
        <w:spacing w:before="0" w:line="240" w:lineRule="auto"/>
        <w:ind w:left="1084" w:leftChars="257" w:hanging="540"/>
        <w:rPr>
          <w:rFonts w:ascii="楷体" w:hAnsi="楷体" w:eastAsia="楷体" w:cs="楷体"/>
          <w:sz w:val="24"/>
        </w:rPr>
      </w:pPr>
      <w:bookmarkStart w:id="284" w:name="_Toc216582818"/>
      <w:bookmarkStart w:id="285" w:name="_Toc8079"/>
      <w:bookmarkStart w:id="286" w:name="_Toc518923119"/>
      <w:r>
        <w:rPr>
          <w:rFonts w:hint="eastAsia" w:ascii="楷体" w:hAnsi="楷体" w:eastAsia="楷体" w:cs="楷体"/>
          <w:sz w:val="24"/>
        </w:rPr>
        <w:t>4   商务条款偏离表</w:t>
      </w:r>
      <w:bookmarkEnd w:id="284"/>
      <w:r>
        <w:rPr>
          <w:rFonts w:hint="eastAsia" w:ascii="楷体" w:hAnsi="楷体" w:eastAsia="楷体" w:cs="楷体"/>
          <w:sz w:val="24"/>
        </w:rPr>
        <w:t>（投标文件格式六）</w:t>
      </w:r>
      <w:bookmarkEnd w:id="285"/>
      <w:bookmarkEnd w:id="286"/>
    </w:p>
    <w:p>
      <w:pPr>
        <w:pStyle w:val="13"/>
        <w:ind w:left="1084" w:leftChars="257" w:hanging="540"/>
        <w:rPr>
          <w:rFonts w:ascii="楷体" w:hAnsi="楷体" w:eastAsia="楷体" w:cs="楷体"/>
          <w:sz w:val="24"/>
        </w:rPr>
      </w:pPr>
    </w:p>
    <w:p>
      <w:pPr>
        <w:pStyle w:val="13"/>
        <w:ind w:left="1084" w:leftChars="257" w:hanging="540"/>
        <w:rPr>
          <w:rFonts w:ascii="楷体" w:hAnsi="楷体" w:eastAsia="楷体" w:cs="楷体"/>
          <w:sz w:val="24"/>
        </w:rPr>
      </w:pPr>
    </w:p>
    <w:p>
      <w:pPr>
        <w:pStyle w:val="13"/>
        <w:ind w:left="1084" w:leftChars="257" w:hanging="540"/>
        <w:rPr>
          <w:rFonts w:ascii="楷体" w:hAnsi="楷体" w:eastAsia="楷体" w:cs="楷体"/>
          <w:sz w:val="24"/>
        </w:rPr>
      </w:pPr>
      <w:r>
        <w:rPr>
          <w:rFonts w:hint="eastAsia" w:ascii="楷体" w:hAnsi="楷体" w:eastAsia="楷体" w:cs="楷体"/>
          <w:sz w:val="24"/>
        </w:rPr>
        <w:t>项目名称:                      招标编号:             分包号:</w:t>
      </w:r>
    </w:p>
    <w:p>
      <w:pPr>
        <w:pStyle w:val="13"/>
        <w:ind w:left="1084" w:leftChars="257" w:hanging="540"/>
        <w:rPr>
          <w:rFonts w:ascii="楷体" w:hAnsi="楷体" w:eastAsia="楷体" w:cs="楷体"/>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jc w:val="center"/>
              <w:rPr>
                <w:rFonts w:ascii="楷体" w:hAnsi="楷体" w:eastAsia="楷体" w:cs="楷体"/>
                <w:sz w:val="24"/>
              </w:rPr>
            </w:pPr>
            <w:r>
              <w:rPr>
                <w:rFonts w:hint="eastAsia" w:ascii="楷体" w:hAnsi="楷体" w:eastAsia="楷体" w:cs="楷体"/>
                <w:sz w:val="24"/>
              </w:rPr>
              <w:t>序号</w:t>
            </w:r>
          </w:p>
        </w:tc>
        <w:tc>
          <w:tcPr>
            <w:tcW w:w="2040" w:type="dxa"/>
            <w:noWrap/>
          </w:tcPr>
          <w:p>
            <w:pPr>
              <w:pStyle w:val="13"/>
              <w:jc w:val="center"/>
              <w:rPr>
                <w:rFonts w:ascii="楷体" w:hAnsi="楷体" w:eastAsia="楷体" w:cs="楷体"/>
                <w:sz w:val="24"/>
              </w:rPr>
            </w:pPr>
            <w:r>
              <w:rPr>
                <w:rFonts w:hint="eastAsia" w:ascii="楷体" w:hAnsi="楷体" w:eastAsia="楷体" w:cs="楷体"/>
                <w:sz w:val="24"/>
              </w:rPr>
              <w:t>招标文件条款号</w:t>
            </w:r>
          </w:p>
        </w:tc>
        <w:tc>
          <w:tcPr>
            <w:tcW w:w="2520" w:type="dxa"/>
            <w:noWrap/>
          </w:tcPr>
          <w:p>
            <w:pPr>
              <w:pStyle w:val="13"/>
              <w:jc w:val="center"/>
              <w:rPr>
                <w:rFonts w:ascii="楷体" w:hAnsi="楷体" w:eastAsia="楷体" w:cs="楷体"/>
                <w:sz w:val="24"/>
              </w:rPr>
            </w:pPr>
            <w:r>
              <w:rPr>
                <w:rFonts w:hint="eastAsia" w:ascii="楷体" w:hAnsi="楷体" w:eastAsia="楷体" w:cs="楷体"/>
                <w:sz w:val="24"/>
              </w:rPr>
              <w:t>招标文件的商务条款</w:t>
            </w:r>
          </w:p>
        </w:tc>
        <w:tc>
          <w:tcPr>
            <w:tcW w:w="2520" w:type="dxa"/>
            <w:noWrap/>
          </w:tcPr>
          <w:p>
            <w:pPr>
              <w:pStyle w:val="13"/>
              <w:jc w:val="center"/>
              <w:rPr>
                <w:rFonts w:ascii="楷体" w:hAnsi="楷体" w:eastAsia="楷体" w:cs="楷体"/>
                <w:sz w:val="24"/>
              </w:rPr>
            </w:pPr>
            <w:r>
              <w:rPr>
                <w:rFonts w:hint="eastAsia" w:ascii="楷体" w:hAnsi="楷体" w:eastAsia="楷体" w:cs="楷体"/>
                <w:sz w:val="24"/>
              </w:rPr>
              <w:t>投标文件的商务条款</w:t>
            </w:r>
          </w:p>
        </w:tc>
        <w:tc>
          <w:tcPr>
            <w:tcW w:w="900" w:type="dxa"/>
            <w:noWrap/>
          </w:tcPr>
          <w:p>
            <w:pPr>
              <w:pStyle w:val="13"/>
              <w:jc w:val="center"/>
              <w:rPr>
                <w:rFonts w:ascii="楷体" w:hAnsi="楷体" w:eastAsia="楷体" w:cs="楷体"/>
                <w:sz w:val="24"/>
              </w:rPr>
            </w:pPr>
            <w:r>
              <w:rPr>
                <w:rFonts w:hint="eastAsia" w:ascii="楷体" w:hAnsi="楷体" w:eastAsia="楷体" w:cs="楷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jc w:val="center"/>
              <w:rPr>
                <w:rFonts w:ascii="楷体" w:hAnsi="楷体" w:eastAsia="楷体" w:cs="楷体"/>
                <w:sz w:val="24"/>
              </w:rPr>
            </w:pPr>
          </w:p>
        </w:tc>
        <w:tc>
          <w:tcPr>
            <w:tcW w:w="2520" w:type="dxa"/>
            <w:noWrap/>
          </w:tcPr>
          <w:p>
            <w:pPr>
              <w:pStyle w:val="13"/>
              <w:ind w:left="1084" w:leftChars="257" w:hanging="540"/>
              <w:jc w:val="center"/>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3"/>
              <w:ind w:left="1084" w:leftChars="257" w:hanging="540"/>
              <w:rPr>
                <w:rFonts w:ascii="楷体" w:hAnsi="楷体" w:eastAsia="楷体" w:cs="楷体"/>
                <w:sz w:val="24"/>
              </w:rPr>
            </w:pPr>
          </w:p>
        </w:tc>
        <w:tc>
          <w:tcPr>
            <w:tcW w:w="204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2520" w:type="dxa"/>
            <w:noWrap/>
          </w:tcPr>
          <w:p>
            <w:pPr>
              <w:pStyle w:val="13"/>
              <w:ind w:left="1084" w:leftChars="257" w:hanging="540"/>
              <w:rPr>
                <w:rFonts w:ascii="楷体" w:hAnsi="楷体" w:eastAsia="楷体" w:cs="楷体"/>
                <w:sz w:val="24"/>
              </w:rPr>
            </w:pPr>
          </w:p>
        </w:tc>
        <w:tc>
          <w:tcPr>
            <w:tcW w:w="900" w:type="dxa"/>
            <w:noWrap/>
          </w:tcPr>
          <w:p>
            <w:pPr>
              <w:pStyle w:val="13"/>
              <w:ind w:left="1084" w:leftChars="257" w:hanging="540"/>
              <w:rPr>
                <w:rFonts w:ascii="楷体" w:hAnsi="楷体" w:eastAsia="楷体" w:cs="楷体"/>
                <w:sz w:val="24"/>
              </w:rPr>
            </w:pPr>
          </w:p>
        </w:tc>
      </w:tr>
    </w:tbl>
    <w:p>
      <w:pPr>
        <w:pStyle w:val="13"/>
        <w:ind w:left="1084" w:leftChars="257" w:hanging="540"/>
        <w:rPr>
          <w:rFonts w:ascii="楷体" w:hAnsi="楷体" w:eastAsia="楷体" w:cs="楷体"/>
          <w:sz w:val="24"/>
        </w:rPr>
      </w:pPr>
    </w:p>
    <w:p>
      <w:pPr>
        <w:pStyle w:val="13"/>
        <w:ind w:left="1084" w:leftChars="257" w:hanging="540"/>
        <w:rPr>
          <w:rFonts w:ascii="楷体" w:hAnsi="楷体" w:eastAsia="楷体" w:cs="楷体"/>
          <w:sz w:val="24"/>
        </w:rPr>
      </w:pPr>
    </w:p>
    <w:p>
      <w:pPr>
        <w:pStyle w:val="13"/>
        <w:ind w:left="1084" w:leftChars="257" w:hanging="540"/>
        <w:rPr>
          <w:rFonts w:ascii="楷体" w:hAnsi="楷体" w:eastAsia="楷体" w:cs="楷体"/>
          <w:sz w:val="24"/>
        </w:rPr>
      </w:pPr>
      <w:r>
        <w:rPr>
          <w:rFonts w:hint="eastAsia" w:ascii="楷体" w:hAnsi="楷体" w:eastAsia="楷体" w:cs="楷体"/>
          <w:sz w:val="24"/>
        </w:rPr>
        <w:t>法定代表人或其委托代理人签字:</w:t>
      </w:r>
      <w:r>
        <w:rPr>
          <w:rFonts w:hint="eastAsia" w:ascii="楷体" w:hAnsi="楷体" w:eastAsia="楷体" w:cs="楷体"/>
          <w:sz w:val="24"/>
          <w:u w:val="single"/>
        </w:rPr>
        <w:tab/>
      </w:r>
    </w:p>
    <w:p>
      <w:pPr>
        <w:pStyle w:val="13"/>
        <w:tabs>
          <w:tab w:val="left" w:pos="5370"/>
        </w:tabs>
        <w:ind w:left="1084" w:leftChars="257" w:hanging="540"/>
        <w:rPr>
          <w:rFonts w:ascii="楷体" w:hAnsi="楷体" w:eastAsia="楷体" w:cs="楷体"/>
          <w:sz w:val="24"/>
        </w:rPr>
      </w:pPr>
    </w:p>
    <w:p>
      <w:pPr>
        <w:pStyle w:val="13"/>
        <w:tabs>
          <w:tab w:val="left" w:pos="5370"/>
        </w:tabs>
        <w:ind w:left="1084" w:leftChars="257" w:hanging="540"/>
        <w:rPr>
          <w:rFonts w:ascii="楷体" w:hAnsi="楷体" w:eastAsia="楷体" w:cs="楷体"/>
          <w:sz w:val="24"/>
          <w:u w:val="single"/>
        </w:rPr>
      </w:pPr>
      <w:r>
        <w:rPr>
          <w:rFonts w:hint="eastAsia" w:ascii="楷体" w:hAnsi="楷体" w:eastAsia="楷体" w:cs="楷体"/>
          <w:sz w:val="24"/>
        </w:rPr>
        <w:t>投标人(盖单位章):</w:t>
      </w:r>
      <w:r>
        <w:rPr>
          <w:rFonts w:hint="eastAsia" w:ascii="楷体" w:hAnsi="楷体" w:eastAsia="楷体" w:cs="楷体"/>
          <w:sz w:val="24"/>
          <w:u w:val="single"/>
        </w:rPr>
        <w:tab/>
      </w:r>
    </w:p>
    <w:p>
      <w:pPr>
        <w:pStyle w:val="13"/>
        <w:rPr>
          <w:rFonts w:ascii="楷体" w:hAnsi="楷体" w:eastAsia="楷体" w:cs="楷体"/>
          <w:sz w:val="24"/>
        </w:rPr>
      </w:pPr>
      <w:bookmarkStart w:id="287" w:name="_Hlt520274911"/>
      <w:bookmarkEnd w:id="287"/>
      <w:bookmarkStart w:id="288" w:name="_Hlt520350957"/>
      <w:bookmarkEnd w:id="288"/>
      <w:bookmarkStart w:id="289" w:name="_Hlt520273973"/>
      <w:bookmarkEnd w:id="289"/>
      <w:bookmarkStart w:id="290" w:name="_Hlt520343000"/>
      <w:bookmarkEnd w:id="290"/>
      <w:bookmarkStart w:id="291" w:name="_Hlt520274393"/>
      <w:bookmarkEnd w:id="291"/>
      <w:bookmarkStart w:id="292" w:name="_Hlt520274065"/>
      <w:bookmarkEnd w:id="292"/>
      <w:bookmarkStart w:id="293" w:name="_Hlt520343392"/>
      <w:bookmarkEnd w:id="293"/>
      <w:bookmarkStart w:id="294" w:name="_Hlt520274407"/>
      <w:bookmarkEnd w:id="294"/>
      <w:bookmarkStart w:id="295" w:name="_Hlt520350918"/>
      <w:bookmarkEnd w:id="295"/>
      <w:bookmarkStart w:id="296" w:name="_Hlt520273711"/>
      <w:bookmarkEnd w:id="296"/>
      <w:bookmarkStart w:id="297" w:name="_Hlt520271212"/>
      <w:bookmarkEnd w:id="297"/>
    </w:p>
    <w:p>
      <w:pPr>
        <w:pStyle w:val="5"/>
        <w:spacing w:before="0" w:line="240" w:lineRule="auto"/>
        <w:rPr>
          <w:rFonts w:ascii="楷体" w:hAnsi="楷体" w:eastAsia="楷体" w:cs="楷体"/>
          <w:sz w:val="24"/>
        </w:rPr>
      </w:pPr>
      <w:bookmarkStart w:id="298" w:name="_Toc518923120"/>
      <w:bookmarkStart w:id="299" w:name="_Toc480"/>
    </w:p>
    <w:p>
      <w:pPr>
        <w:pStyle w:val="5"/>
        <w:spacing w:before="0" w:line="240" w:lineRule="auto"/>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br w:type="page"/>
      </w:r>
    </w:p>
    <w:p>
      <w:pPr>
        <w:pStyle w:val="5"/>
        <w:spacing w:before="0" w:line="240" w:lineRule="auto"/>
        <w:rPr>
          <w:rFonts w:ascii="楷体" w:hAnsi="楷体" w:eastAsia="楷体" w:cs="楷体"/>
          <w:b w:val="0"/>
          <w:sz w:val="24"/>
        </w:rPr>
      </w:pPr>
      <w:r>
        <w:rPr>
          <w:rFonts w:hint="eastAsia" w:ascii="楷体" w:hAnsi="楷体" w:eastAsia="楷体" w:cs="楷体"/>
          <w:sz w:val="24"/>
        </w:rPr>
        <w:t>5-1 投标人企业（单位）类型声明函（投标文件格式七）</w:t>
      </w:r>
      <w:bookmarkEnd w:id="298"/>
      <w:bookmarkEnd w:id="299"/>
    </w:p>
    <w:p>
      <w:pPr>
        <w:ind w:left="1084" w:leftChars="257" w:hanging="540"/>
        <w:jc w:val="center"/>
        <w:rPr>
          <w:rFonts w:ascii="楷体" w:hAnsi="楷体" w:eastAsia="楷体" w:cs="楷体"/>
          <w:b/>
          <w:kern w:val="0"/>
          <w:sz w:val="24"/>
          <w:szCs w:val="20"/>
        </w:rPr>
      </w:pPr>
    </w:p>
    <w:p>
      <w:pPr>
        <w:widowControl/>
        <w:spacing w:before="100" w:after="100"/>
        <w:ind w:firstLine="484" w:firstLineChars="200"/>
        <w:jc w:val="left"/>
        <w:rPr>
          <w:rFonts w:ascii="楷体" w:hAnsi="楷体" w:eastAsia="楷体" w:cs="楷体"/>
          <w:kern w:val="0"/>
          <w:sz w:val="24"/>
        </w:rPr>
      </w:pPr>
      <w:r>
        <w:rPr>
          <w:rFonts w:hint="eastAsia" w:ascii="楷体" w:hAnsi="楷体" w:eastAsia="楷体" w:cs="楷体"/>
          <w:kern w:val="0"/>
          <w:sz w:val="24"/>
        </w:rPr>
        <w:t>本企业（单位）郑重声明下列事项（按照实际情况勾选或填空）：</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1、□本企业（单位）为直接投标人，提供本企业（单位）服务。</w:t>
      </w:r>
    </w:p>
    <w:p>
      <w:pPr>
        <w:widowControl/>
        <w:spacing w:before="100" w:after="100"/>
        <w:ind w:firstLine="242" w:firstLineChars="100"/>
        <w:jc w:val="left"/>
        <w:rPr>
          <w:rFonts w:ascii="楷体" w:hAnsi="楷体" w:eastAsia="楷体" w:cs="楷体"/>
          <w:kern w:val="0"/>
          <w:sz w:val="24"/>
        </w:rPr>
      </w:pPr>
      <w:r>
        <w:rPr>
          <w:rFonts w:hint="eastAsia" w:ascii="楷体" w:hAnsi="楷体" w:eastAsia="楷体" w:cs="楷体"/>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（2）本企业（请填写：是、不是）监狱企业。后附省级以上监狱管理局、戒毒管理局（含新疆生产建设兵团）出具的属于监狱企业的证明文件。</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（3）根据《关于促进残疾人就业政府采购政策的通知》（财库〔2017〕141号）。本单位（请填写：是、不是）残疾人福利性单位。</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3、□本企业（单位）为联合体一方，提供本企业（单位）制造的货物，由本企业（单位）承担工程、提供服务。本企业（单位）提供协议合同金额占到共同投标协议合同总金额的比例为。</w:t>
      </w:r>
    </w:p>
    <w:p>
      <w:pPr>
        <w:widowControl/>
        <w:spacing w:before="100" w:after="100"/>
        <w:jc w:val="left"/>
        <w:rPr>
          <w:rFonts w:ascii="楷体" w:hAnsi="楷体" w:eastAsia="楷体" w:cs="楷体"/>
          <w:kern w:val="0"/>
          <w:sz w:val="24"/>
        </w:rPr>
      </w:pPr>
      <w:r>
        <w:rPr>
          <w:rFonts w:hint="eastAsia" w:ascii="楷体" w:hAnsi="楷体" w:eastAsia="楷体" w:cs="楷体"/>
          <w:kern w:val="0"/>
          <w:sz w:val="24"/>
        </w:rPr>
        <w:t>　　本企业（单位）对上述声明的真实性负责。如有虚假，将依法承担相应责任。</w:t>
      </w:r>
    </w:p>
    <w:p>
      <w:pPr>
        <w:widowControl/>
        <w:spacing w:before="100" w:after="100"/>
        <w:jc w:val="left"/>
        <w:rPr>
          <w:rFonts w:ascii="楷体" w:hAnsi="楷体" w:eastAsia="楷体" w:cs="楷体"/>
          <w:kern w:val="0"/>
          <w:sz w:val="24"/>
        </w:rPr>
      </w:pPr>
      <w:r>
        <w:rPr>
          <w:rFonts w:hint="eastAsia" w:ascii="楷体" w:hAnsi="楷体" w:eastAsia="楷体" w:cs="楷体"/>
          <w:kern w:val="0"/>
          <w:sz w:val="24"/>
        </w:rPr>
        <w:t>　　</w:t>
      </w:r>
    </w:p>
    <w:p>
      <w:pPr>
        <w:ind w:left="1084" w:leftChars="257" w:hanging="540"/>
        <w:jc w:val="center"/>
        <w:rPr>
          <w:rFonts w:ascii="楷体" w:hAnsi="楷体" w:eastAsia="楷体" w:cs="楷体"/>
          <w:b/>
          <w:kern w:val="0"/>
          <w:sz w:val="24"/>
          <w:szCs w:val="20"/>
        </w:rPr>
      </w:pPr>
      <w:r>
        <w:rPr>
          <w:rFonts w:hint="eastAsia" w:ascii="楷体" w:hAnsi="楷体" w:eastAsia="楷体" w:cs="楷体"/>
          <w:b/>
          <w:kern w:val="0"/>
          <w:sz w:val="24"/>
          <w:szCs w:val="20"/>
        </w:rPr>
        <w:t>　</w:t>
      </w:r>
    </w:p>
    <w:p>
      <w:pPr>
        <w:widowControl/>
        <w:spacing w:before="100" w:after="100"/>
        <w:ind w:firstLine="3993" w:firstLineChars="1650"/>
        <w:jc w:val="left"/>
        <w:rPr>
          <w:rFonts w:ascii="楷体" w:hAnsi="楷体" w:eastAsia="楷体" w:cs="楷体"/>
          <w:kern w:val="0"/>
          <w:sz w:val="24"/>
        </w:rPr>
      </w:pPr>
      <w:r>
        <w:rPr>
          <w:rFonts w:hint="eastAsia" w:ascii="楷体" w:hAnsi="楷体" w:eastAsia="楷体" w:cs="楷体"/>
          <w:kern w:val="0"/>
          <w:sz w:val="24"/>
        </w:rPr>
        <w:t>投标人名称（盖单位章）：</w:t>
      </w:r>
    </w:p>
    <w:p>
      <w:pPr>
        <w:widowControl/>
        <w:spacing w:before="100" w:after="100"/>
        <w:ind w:firstLine="3751" w:firstLineChars="1550"/>
        <w:jc w:val="left"/>
        <w:rPr>
          <w:rFonts w:ascii="楷体" w:hAnsi="楷体" w:eastAsia="楷体" w:cs="楷体"/>
          <w:kern w:val="0"/>
          <w:sz w:val="24"/>
          <w:u w:val="single"/>
        </w:rPr>
      </w:pPr>
      <w:r>
        <w:rPr>
          <w:rFonts w:hint="eastAsia" w:ascii="楷体" w:hAnsi="楷体" w:eastAsia="楷体" w:cs="楷体"/>
          <w:kern w:val="0"/>
          <w:sz w:val="24"/>
        </w:rPr>
        <w:t>　日　期：</w:t>
      </w:r>
    </w:p>
    <w:p>
      <w:pPr>
        <w:widowControl/>
        <w:spacing w:before="100" w:after="100"/>
        <w:jc w:val="left"/>
        <w:rPr>
          <w:rFonts w:ascii="楷体" w:hAnsi="楷体" w:eastAsia="楷体" w:cs="楷体"/>
          <w:kern w:val="0"/>
          <w:sz w:val="24"/>
          <w:u w:val="single"/>
        </w:rPr>
      </w:pPr>
    </w:p>
    <w:p>
      <w:pPr>
        <w:widowControl/>
        <w:spacing w:before="100" w:after="100"/>
        <w:jc w:val="center"/>
        <w:rPr>
          <w:rFonts w:ascii="楷体" w:hAnsi="楷体" w:eastAsia="楷体" w:cs="楷体"/>
          <w:b/>
          <w:sz w:val="24"/>
        </w:rPr>
      </w:pPr>
      <w:r>
        <w:rPr>
          <w:rFonts w:hint="eastAsia" w:ascii="楷体" w:hAnsi="楷体" w:eastAsia="楷体" w:cs="楷体"/>
          <w:kern w:val="0"/>
          <w:sz w:val="24"/>
          <w:u w:val="single"/>
        </w:rPr>
        <w:br w:type="page"/>
      </w:r>
      <w:bookmarkStart w:id="300" w:name="_Toc518923121"/>
      <w:bookmarkStart w:id="301" w:name="_Toc14769"/>
      <w:r>
        <w:rPr>
          <w:rFonts w:hint="eastAsia" w:ascii="楷体" w:hAnsi="楷体" w:eastAsia="楷体" w:cs="楷体"/>
          <w:b/>
          <w:bCs/>
          <w:sz w:val="24"/>
        </w:rPr>
        <w:t>5-2   制造商企业（单位）类型声明函（投标文件格式八）</w:t>
      </w:r>
      <w:bookmarkEnd w:id="300"/>
      <w:bookmarkEnd w:id="301"/>
    </w:p>
    <w:p>
      <w:pPr>
        <w:ind w:left="1084" w:leftChars="257" w:hanging="540"/>
        <w:jc w:val="center"/>
        <w:rPr>
          <w:rFonts w:ascii="楷体" w:hAnsi="楷体" w:eastAsia="楷体" w:cs="楷体"/>
          <w:b/>
          <w:kern w:val="0"/>
          <w:sz w:val="24"/>
          <w:szCs w:val="20"/>
        </w:rPr>
      </w:pP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本企业（单位）作为______单位的______ 项目的伴随货物的制造商，参加政府采购活动。根据《政府采购促进中小企业发展暂行办法》（财库[2011]181号），《工业和信息化部、国家统计局、国家发展和改革委员会、财政部关于印发中小企业划型标准规定的通知》（工信部联企业[2011]300号）、《财政部 司法部关于政府采购支持监狱企业发展有关问题的通知》（财库〔2014〕68号）以及《关于促进残疾人就业政府采购政策的通知》（财库〔2017〕141号）的有关规定，作出如下声明：</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本企业为______（请填写：中型、小型、微型）企业。</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本企业为（请填写：是、不是）监狱企业。后附省级以上监狱管理局、戒毒管理局（含新疆生产建设兵团）出具的属于监狱企业的证明文件。</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本单位为（请填写：是、不是）残疾人福利性单位。</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本企业（单位）提供企业（单位）制造的货物。</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本企业（单位）对上述声明的真实性负责。如有虚假，将依法承担相应责任。</w:t>
      </w:r>
    </w:p>
    <w:p>
      <w:pPr>
        <w:widowControl/>
        <w:spacing w:before="100" w:after="100"/>
        <w:ind w:firstLine="420"/>
        <w:jc w:val="left"/>
        <w:rPr>
          <w:rFonts w:ascii="楷体" w:hAnsi="楷体" w:eastAsia="楷体" w:cs="楷体"/>
          <w:kern w:val="0"/>
          <w:sz w:val="24"/>
        </w:rPr>
      </w:pPr>
      <w:r>
        <w:rPr>
          <w:rFonts w:hint="eastAsia" w:ascii="楷体" w:hAnsi="楷体" w:eastAsia="楷体" w:cs="楷体"/>
          <w:kern w:val="0"/>
          <w:sz w:val="24"/>
        </w:rPr>
        <w:t>本声明函经制造商和投标人共同盖章生效。</w:t>
      </w:r>
    </w:p>
    <w:p>
      <w:pPr>
        <w:widowControl/>
        <w:spacing w:before="100" w:after="100"/>
        <w:ind w:firstLine="5203" w:firstLineChars="2150"/>
        <w:jc w:val="left"/>
        <w:rPr>
          <w:rFonts w:ascii="楷体" w:hAnsi="楷体" w:eastAsia="楷体" w:cs="楷体"/>
          <w:kern w:val="0"/>
          <w:sz w:val="24"/>
        </w:rPr>
      </w:pPr>
    </w:p>
    <w:p>
      <w:pPr>
        <w:widowControl/>
        <w:spacing w:before="100" w:after="100"/>
        <w:ind w:firstLine="5203" w:firstLineChars="2150"/>
        <w:jc w:val="left"/>
        <w:rPr>
          <w:rFonts w:ascii="楷体" w:hAnsi="楷体" w:eastAsia="楷体" w:cs="楷体"/>
          <w:kern w:val="0"/>
          <w:sz w:val="24"/>
        </w:rPr>
      </w:pPr>
    </w:p>
    <w:p>
      <w:pPr>
        <w:widowControl/>
        <w:spacing w:before="100" w:after="100"/>
        <w:ind w:firstLine="5203" w:firstLineChars="2150"/>
        <w:jc w:val="left"/>
        <w:rPr>
          <w:rFonts w:ascii="楷体" w:hAnsi="楷体" w:eastAsia="楷体" w:cs="楷体"/>
          <w:kern w:val="0"/>
          <w:sz w:val="24"/>
        </w:rPr>
      </w:pPr>
    </w:p>
    <w:p>
      <w:pPr>
        <w:widowControl/>
        <w:spacing w:before="100" w:after="100"/>
        <w:ind w:firstLine="5203" w:firstLineChars="2150"/>
        <w:jc w:val="left"/>
        <w:rPr>
          <w:rFonts w:ascii="楷体" w:hAnsi="楷体" w:eastAsia="楷体" w:cs="楷体"/>
          <w:kern w:val="0"/>
          <w:sz w:val="24"/>
        </w:rPr>
      </w:pPr>
    </w:p>
    <w:p>
      <w:pPr>
        <w:widowControl/>
        <w:spacing w:before="100" w:after="100"/>
        <w:ind w:firstLine="3993" w:firstLineChars="1650"/>
        <w:jc w:val="left"/>
        <w:rPr>
          <w:rFonts w:ascii="楷体" w:hAnsi="楷体" w:eastAsia="楷体" w:cs="楷体"/>
          <w:kern w:val="0"/>
          <w:sz w:val="24"/>
          <w:u w:val="single"/>
        </w:rPr>
      </w:pPr>
      <w:r>
        <w:rPr>
          <w:rFonts w:hint="eastAsia" w:ascii="楷体" w:hAnsi="楷体" w:eastAsia="楷体" w:cs="楷体"/>
          <w:kern w:val="0"/>
          <w:sz w:val="24"/>
        </w:rPr>
        <w:t>制造商名称（盖单位章）：</w:t>
      </w:r>
    </w:p>
    <w:p>
      <w:pPr>
        <w:widowControl/>
        <w:spacing w:before="100" w:after="100"/>
        <w:ind w:firstLine="3993" w:firstLineChars="1650"/>
        <w:jc w:val="left"/>
        <w:rPr>
          <w:rFonts w:ascii="楷体" w:hAnsi="楷体" w:eastAsia="楷体" w:cs="楷体"/>
          <w:kern w:val="0"/>
          <w:sz w:val="24"/>
        </w:rPr>
      </w:pPr>
      <w:r>
        <w:rPr>
          <w:rFonts w:hint="eastAsia" w:ascii="楷体" w:hAnsi="楷体" w:eastAsia="楷体" w:cs="楷体"/>
          <w:kern w:val="0"/>
          <w:sz w:val="24"/>
        </w:rPr>
        <w:t>投标人名称（盖单位章）：</w:t>
      </w:r>
    </w:p>
    <w:p>
      <w:pPr>
        <w:widowControl/>
        <w:spacing w:before="100" w:after="100"/>
        <w:ind w:firstLine="3751" w:firstLineChars="1550"/>
        <w:jc w:val="left"/>
        <w:rPr>
          <w:rFonts w:ascii="楷体" w:hAnsi="楷体" w:eastAsia="楷体" w:cs="楷体"/>
          <w:kern w:val="0"/>
          <w:sz w:val="24"/>
          <w:u w:val="single"/>
        </w:rPr>
      </w:pPr>
      <w:r>
        <w:rPr>
          <w:rFonts w:hint="eastAsia" w:ascii="楷体" w:hAnsi="楷体" w:eastAsia="楷体" w:cs="楷体"/>
          <w:kern w:val="0"/>
          <w:sz w:val="24"/>
        </w:rPr>
        <w:t>　日　期：</w:t>
      </w:r>
    </w:p>
    <w:p>
      <w:pPr>
        <w:pStyle w:val="6"/>
        <w:rPr>
          <w:rFonts w:ascii="楷体" w:hAnsi="楷体" w:eastAsia="楷体" w:cs="楷体"/>
        </w:rPr>
      </w:pPr>
    </w:p>
    <w:p>
      <w:pPr>
        <w:pStyle w:val="6"/>
        <w:rPr>
          <w:rFonts w:ascii="楷体" w:hAnsi="楷体" w:eastAsia="楷体" w:cs="楷体"/>
        </w:rPr>
      </w:pPr>
    </w:p>
    <w:p>
      <w:pPr>
        <w:pStyle w:val="6"/>
        <w:rPr>
          <w:rFonts w:ascii="楷体" w:hAnsi="楷体" w:eastAsia="楷体" w:cs="楷体"/>
        </w:rPr>
      </w:pPr>
    </w:p>
    <w:p>
      <w:pPr>
        <w:pStyle w:val="6"/>
        <w:rPr>
          <w:rFonts w:ascii="楷体" w:hAnsi="楷体" w:eastAsia="楷体" w:cs="楷体"/>
        </w:rPr>
      </w:pPr>
    </w:p>
    <w:p>
      <w:pPr>
        <w:pStyle w:val="6"/>
        <w:rPr>
          <w:rFonts w:ascii="楷体" w:hAnsi="楷体" w:eastAsia="楷体" w:cs="楷体"/>
        </w:rPr>
      </w:pPr>
    </w:p>
    <w:p>
      <w:pPr>
        <w:pStyle w:val="5"/>
        <w:spacing w:before="0" w:line="240" w:lineRule="auto"/>
        <w:ind w:left="1084" w:leftChars="257" w:hanging="540"/>
        <w:rPr>
          <w:rFonts w:ascii="楷体" w:hAnsi="楷体" w:eastAsia="楷体" w:cs="楷体"/>
          <w:sz w:val="24"/>
        </w:rPr>
      </w:pPr>
      <w:bookmarkStart w:id="302" w:name="_Toc518923122"/>
      <w:bookmarkStart w:id="303" w:name="_Toc6238"/>
    </w:p>
    <w:p>
      <w:pPr>
        <w:pStyle w:val="5"/>
        <w:spacing w:before="0" w:line="240" w:lineRule="auto"/>
        <w:ind w:left="1084" w:leftChars="257" w:hanging="540"/>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br w:type="page"/>
      </w:r>
    </w:p>
    <w:p>
      <w:pPr>
        <w:pStyle w:val="5"/>
        <w:spacing w:before="0" w:line="240" w:lineRule="auto"/>
        <w:ind w:left="1084" w:leftChars="257" w:hanging="540"/>
        <w:rPr>
          <w:rFonts w:ascii="楷体" w:hAnsi="楷体" w:eastAsia="楷体" w:cs="楷体"/>
          <w:sz w:val="24"/>
        </w:rPr>
      </w:pPr>
      <w:r>
        <w:rPr>
          <w:rFonts w:hint="eastAsia" w:ascii="楷体" w:hAnsi="楷体" w:eastAsia="楷体" w:cs="楷体"/>
          <w:sz w:val="24"/>
        </w:rPr>
        <w:t>6   投标人关联单位的说明</w:t>
      </w:r>
      <w:bookmarkEnd w:id="302"/>
      <w:bookmarkEnd w:id="303"/>
    </w:p>
    <w:p>
      <w:pPr>
        <w:pStyle w:val="6"/>
        <w:ind w:firstLine="484" w:firstLineChars="200"/>
        <w:rPr>
          <w:rFonts w:ascii="楷体" w:hAnsi="楷体" w:eastAsia="楷体" w:cs="楷体"/>
        </w:rPr>
      </w:pPr>
    </w:p>
    <w:p>
      <w:pPr>
        <w:pStyle w:val="6"/>
        <w:ind w:firstLine="484" w:firstLineChars="200"/>
        <w:rPr>
          <w:rFonts w:ascii="楷体" w:hAnsi="楷体" w:eastAsia="楷体" w:cs="楷体"/>
        </w:rPr>
      </w:pPr>
    </w:p>
    <w:p>
      <w:pPr>
        <w:pStyle w:val="6"/>
        <w:ind w:firstLine="484" w:firstLineChars="200"/>
        <w:rPr>
          <w:rFonts w:ascii="楷体" w:hAnsi="楷体" w:eastAsia="楷体" w:cs="楷体"/>
        </w:rPr>
      </w:pPr>
      <w:r>
        <w:rPr>
          <w:rFonts w:hint="eastAsia" w:ascii="楷体" w:hAnsi="楷体" w:eastAsia="楷体" w:cs="楷体"/>
        </w:rPr>
        <w:t>说明：投标人应当如实披露与本单位存在下列关联关系的单位名称：</w:t>
      </w:r>
    </w:p>
    <w:p>
      <w:pPr>
        <w:pStyle w:val="6"/>
        <w:ind w:firstLine="484" w:firstLineChars="200"/>
        <w:rPr>
          <w:rFonts w:ascii="楷体" w:hAnsi="楷体" w:eastAsia="楷体" w:cs="楷体"/>
        </w:rPr>
      </w:pPr>
      <w:r>
        <w:rPr>
          <w:rFonts w:hint="eastAsia" w:ascii="楷体" w:hAnsi="楷体" w:eastAsia="楷体" w:cs="楷体"/>
        </w:rPr>
        <w:t>（1）与投标人单位负责人为同一人的其他单位；</w:t>
      </w:r>
      <w:r>
        <w:rPr>
          <w:rFonts w:hint="eastAsia" w:ascii="楷体" w:hAnsi="楷体" w:eastAsia="楷体" w:cs="楷体"/>
        </w:rPr>
        <w:br w:type="textWrapping"/>
      </w:r>
      <w:r>
        <w:rPr>
          <w:rFonts w:hint="eastAsia" w:ascii="楷体" w:hAnsi="楷体" w:eastAsia="楷体" w:cs="楷体"/>
        </w:rPr>
        <w:t xml:space="preserve">    （2）与投标人存在直接控股、管理关系的其他单位。</w:t>
      </w:r>
    </w:p>
    <w:p>
      <w:pPr>
        <w:pStyle w:val="6"/>
        <w:jc w:val="center"/>
        <w:rPr>
          <w:rFonts w:ascii="楷体" w:hAnsi="楷体" w:eastAsia="楷体" w:cs="楷体"/>
        </w:rPr>
      </w:pPr>
    </w:p>
    <w:p>
      <w:pPr>
        <w:pStyle w:val="6"/>
        <w:ind w:firstLine="0"/>
        <w:rPr>
          <w:rFonts w:ascii="楷体" w:hAnsi="楷体" w:eastAsia="楷体" w:cs="楷体"/>
        </w:rPr>
      </w:pPr>
    </w:p>
    <w:p>
      <w:pPr>
        <w:pStyle w:val="6"/>
        <w:ind w:firstLine="0"/>
        <w:rPr>
          <w:rFonts w:ascii="楷体" w:hAnsi="楷体" w:eastAsia="楷体" w:cs="楷体"/>
        </w:rPr>
      </w:pPr>
    </w:p>
    <w:p>
      <w:pPr>
        <w:pStyle w:val="6"/>
        <w:ind w:firstLine="0"/>
        <w:rPr>
          <w:rFonts w:ascii="楷体" w:hAnsi="楷体" w:eastAsia="楷体" w:cs="楷体"/>
        </w:rPr>
      </w:pPr>
    </w:p>
    <w:p>
      <w:pPr>
        <w:ind w:left="1084" w:leftChars="257" w:hanging="540"/>
        <w:jc w:val="center"/>
        <w:rPr>
          <w:rFonts w:ascii="楷体" w:hAnsi="楷体" w:eastAsia="楷体" w:cs="楷体"/>
          <w:b/>
          <w:kern w:val="0"/>
          <w:sz w:val="24"/>
          <w:szCs w:val="20"/>
        </w:rPr>
      </w:pPr>
    </w:p>
    <w:p>
      <w:pPr>
        <w:pStyle w:val="5"/>
        <w:spacing w:before="0" w:line="240" w:lineRule="auto"/>
        <w:ind w:left="1084" w:leftChars="257" w:hanging="540"/>
        <w:rPr>
          <w:rFonts w:ascii="楷体" w:hAnsi="楷体" w:eastAsia="楷体" w:cs="楷体"/>
          <w:sz w:val="24"/>
        </w:rPr>
      </w:pPr>
      <w:bookmarkStart w:id="304" w:name="_Toc518923123"/>
      <w:bookmarkStart w:id="305" w:name="_Toc17066"/>
      <w:r>
        <w:rPr>
          <w:rFonts w:hint="eastAsia" w:ascii="楷体" w:hAnsi="楷体" w:eastAsia="楷体" w:cs="楷体"/>
          <w:sz w:val="24"/>
        </w:rPr>
        <w:t>7   投标文件还应包括投标人须知第10条的所有响应文件</w:t>
      </w:r>
      <w:bookmarkEnd w:id="304"/>
      <w:bookmarkEnd w:id="305"/>
    </w:p>
    <w:p>
      <w:pPr>
        <w:spacing w:line="240" w:lineRule="atLeast"/>
        <w:ind w:left="1084" w:leftChars="257" w:hanging="540"/>
        <w:jc w:val="center"/>
        <w:rPr>
          <w:rFonts w:ascii="楷体" w:hAnsi="楷体" w:eastAsia="楷体" w:cs="楷体"/>
          <w:b/>
          <w:sz w:val="30"/>
          <w:szCs w:val="30"/>
        </w:rPr>
      </w:pPr>
      <w:r>
        <w:rPr>
          <w:rFonts w:hint="eastAsia" w:ascii="楷体" w:hAnsi="楷体" w:eastAsia="楷体" w:cs="楷体"/>
          <w:sz w:val="24"/>
        </w:rPr>
        <w:br w:type="page"/>
      </w:r>
    </w:p>
    <w:p>
      <w:pPr>
        <w:spacing w:line="240" w:lineRule="atLeast"/>
        <w:ind w:left="1084" w:leftChars="257" w:hanging="540"/>
        <w:jc w:val="center"/>
        <w:rPr>
          <w:rFonts w:ascii="楷体" w:hAnsi="楷体" w:eastAsia="楷体" w:cs="楷体"/>
          <w:b/>
          <w:sz w:val="52"/>
          <w:szCs w:val="52"/>
        </w:rPr>
      </w:pPr>
    </w:p>
    <w:p>
      <w:pPr>
        <w:pStyle w:val="20"/>
        <w:rPr>
          <w:rFonts w:ascii="楷体" w:hAnsi="楷体" w:eastAsia="楷体" w:cs="楷体"/>
          <w:b/>
          <w:sz w:val="52"/>
          <w:szCs w:val="52"/>
        </w:rPr>
      </w:pPr>
    </w:p>
    <w:p>
      <w:pPr>
        <w:pStyle w:val="20"/>
        <w:rPr>
          <w:rFonts w:ascii="楷体" w:hAnsi="楷体" w:eastAsia="楷体" w:cs="楷体"/>
          <w:b/>
          <w:sz w:val="52"/>
          <w:szCs w:val="52"/>
        </w:rPr>
      </w:pPr>
    </w:p>
    <w:p>
      <w:pPr>
        <w:pStyle w:val="20"/>
        <w:rPr>
          <w:rFonts w:ascii="楷体" w:hAnsi="楷体" w:eastAsia="楷体" w:cs="楷体"/>
          <w:b/>
          <w:sz w:val="52"/>
          <w:szCs w:val="52"/>
        </w:rPr>
      </w:pPr>
    </w:p>
    <w:p>
      <w:pPr>
        <w:spacing w:line="240" w:lineRule="atLeast"/>
        <w:ind w:left="889" w:hanging="884" w:hangingChars="200"/>
        <w:jc w:val="center"/>
        <w:rPr>
          <w:rFonts w:hint="eastAsia" w:ascii="楷体" w:hAnsi="楷体" w:eastAsia="楷体" w:cs="楷体"/>
          <w:b/>
          <w:sz w:val="44"/>
          <w:szCs w:val="44"/>
          <w:lang w:eastAsia="zh-CN"/>
        </w:rPr>
      </w:pPr>
      <w:r>
        <w:rPr>
          <w:rFonts w:hint="eastAsia" w:ascii="楷体" w:hAnsi="楷体" w:eastAsia="楷体" w:cs="楷体"/>
          <w:b/>
          <w:sz w:val="44"/>
          <w:szCs w:val="44"/>
          <w:lang w:eastAsia="zh-CN"/>
        </w:rPr>
        <w:t>喀什地区第二人民医院桌面服务支撑及数据中心软、硬件维保服务项目</w:t>
      </w:r>
    </w:p>
    <w:p>
      <w:pPr>
        <w:spacing w:line="240" w:lineRule="atLeast"/>
        <w:ind w:left="889" w:hanging="884" w:hangingChars="200"/>
        <w:jc w:val="center"/>
        <w:rPr>
          <w:rFonts w:ascii="楷体" w:hAnsi="楷体" w:eastAsia="楷体" w:cs="楷体"/>
          <w:b/>
          <w:sz w:val="44"/>
          <w:szCs w:val="44"/>
        </w:rPr>
      </w:pPr>
      <w:r>
        <w:rPr>
          <w:rFonts w:hint="eastAsia" w:ascii="楷体" w:hAnsi="楷体" w:eastAsia="楷体" w:cs="楷体"/>
          <w:b/>
          <w:sz w:val="44"/>
          <w:szCs w:val="44"/>
        </w:rPr>
        <w:t>公开招标文件</w:t>
      </w:r>
    </w:p>
    <w:p>
      <w:pPr>
        <w:spacing w:line="240" w:lineRule="atLeast"/>
        <w:ind w:left="1084" w:leftChars="257" w:hanging="540"/>
        <w:jc w:val="center"/>
        <w:rPr>
          <w:rFonts w:ascii="楷体" w:hAnsi="楷体" w:eastAsia="楷体" w:cs="楷体"/>
          <w:b/>
          <w:sz w:val="32"/>
          <w:szCs w:val="32"/>
        </w:rPr>
      </w:pPr>
    </w:p>
    <w:p>
      <w:pPr>
        <w:spacing w:line="240" w:lineRule="atLeast"/>
        <w:ind w:left="1084" w:leftChars="257" w:hanging="540"/>
        <w:jc w:val="center"/>
        <w:rPr>
          <w:rFonts w:ascii="楷体" w:hAnsi="楷体" w:eastAsia="楷体" w:cs="楷体"/>
          <w:b/>
          <w:sz w:val="52"/>
        </w:rPr>
      </w:pPr>
    </w:p>
    <w:p>
      <w:pPr>
        <w:spacing w:line="240" w:lineRule="atLeast"/>
        <w:ind w:left="1084" w:leftChars="257" w:hanging="540"/>
        <w:rPr>
          <w:rFonts w:ascii="楷体" w:hAnsi="楷体" w:eastAsia="楷体" w:cs="楷体"/>
          <w:b/>
          <w:sz w:val="28"/>
        </w:rPr>
      </w:pPr>
    </w:p>
    <w:p>
      <w:pPr>
        <w:spacing w:line="240" w:lineRule="atLeast"/>
        <w:ind w:left="1084" w:leftChars="257" w:hanging="540"/>
        <w:jc w:val="center"/>
        <w:rPr>
          <w:rFonts w:ascii="楷体" w:hAnsi="楷体" w:eastAsia="楷体" w:cs="楷体"/>
          <w:b/>
          <w:sz w:val="48"/>
          <w:szCs w:val="48"/>
        </w:rPr>
      </w:pPr>
      <w:r>
        <w:rPr>
          <w:rFonts w:hint="eastAsia" w:ascii="楷体" w:hAnsi="楷体" w:eastAsia="楷体" w:cs="楷体"/>
          <w:b/>
          <w:sz w:val="48"/>
          <w:szCs w:val="48"/>
        </w:rPr>
        <w:t>第二册</w:t>
      </w:r>
    </w:p>
    <w:p>
      <w:pPr>
        <w:spacing w:line="240" w:lineRule="atLeast"/>
        <w:ind w:left="1084" w:leftChars="257" w:hanging="540"/>
        <w:rPr>
          <w:rFonts w:ascii="楷体" w:hAnsi="楷体" w:eastAsia="楷体" w:cs="楷体"/>
          <w:b/>
          <w:sz w:val="28"/>
        </w:rPr>
      </w:pPr>
    </w:p>
    <w:p>
      <w:pPr>
        <w:spacing w:line="240" w:lineRule="atLeast"/>
        <w:ind w:left="1084" w:leftChars="257" w:hanging="540"/>
        <w:rPr>
          <w:rFonts w:ascii="楷体" w:hAnsi="楷体" w:eastAsia="楷体" w:cs="楷体"/>
          <w:b/>
          <w:sz w:val="28"/>
        </w:rPr>
      </w:pPr>
    </w:p>
    <w:p>
      <w:pPr>
        <w:spacing w:line="240" w:lineRule="atLeast"/>
        <w:ind w:left="1084" w:leftChars="257" w:hanging="540"/>
        <w:rPr>
          <w:rFonts w:ascii="楷体" w:hAnsi="楷体" w:eastAsia="楷体" w:cs="楷体"/>
          <w:b/>
          <w:sz w:val="28"/>
        </w:rPr>
      </w:pPr>
    </w:p>
    <w:p>
      <w:pPr>
        <w:spacing w:line="240" w:lineRule="atLeast"/>
        <w:ind w:left="1084" w:leftChars="257" w:hanging="540"/>
        <w:rPr>
          <w:rFonts w:ascii="楷体" w:hAnsi="楷体" w:eastAsia="楷体" w:cs="楷体"/>
          <w:b/>
          <w:sz w:val="28"/>
        </w:rPr>
      </w:pPr>
    </w:p>
    <w:p>
      <w:pPr>
        <w:spacing w:line="240" w:lineRule="atLeast"/>
        <w:ind w:left="1084" w:leftChars="257" w:hanging="540"/>
        <w:jc w:val="center"/>
        <w:rPr>
          <w:rFonts w:ascii="楷体" w:hAnsi="楷体" w:eastAsia="楷体" w:cs="楷体"/>
          <w:b/>
          <w:sz w:val="52"/>
        </w:rPr>
      </w:pPr>
    </w:p>
    <w:p>
      <w:pPr>
        <w:spacing w:line="240" w:lineRule="atLeast"/>
        <w:ind w:left="1084" w:leftChars="257" w:hanging="540"/>
        <w:jc w:val="center"/>
        <w:rPr>
          <w:rFonts w:ascii="楷体" w:hAnsi="楷体" w:eastAsia="楷体" w:cs="楷体"/>
          <w:b/>
          <w:sz w:val="52"/>
        </w:rPr>
      </w:pPr>
    </w:p>
    <w:p>
      <w:pPr>
        <w:spacing w:line="240" w:lineRule="atLeast"/>
        <w:ind w:left="1084" w:leftChars="257" w:hanging="540"/>
        <w:jc w:val="center"/>
        <w:rPr>
          <w:rFonts w:ascii="楷体" w:hAnsi="楷体" w:eastAsia="楷体" w:cs="楷体"/>
          <w:b/>
          <w:sz w:val="52"/>
        </w:rPr>
      </w:pPr>
    </w:p>
    <w:p>
      <w:pPr>
        <w:pStyle w:val="4"/>
        <w:tabs>
          <w:tab w:val="left" w:pos="0"/>
        </w:tabs>
        <w:spacing w:before="0" w:after="0" w:line="400" w:lineRule="exact"/>
        <w:ind w:firstLine="2898" w:firstLineChars="900"/>
        <w:jc w:val="both"/>
        <w:rPr>
          <w:rFonts w:ascii="楷体" w:hAnsi="楷体" w:eastAsia="楷体" w:cs="楷体"/>
        </w:rPr>
      </w:pPr>
      <w:bookmarkStart w:id="306" w:name="_Toc219175634"/>
      <w:bookmarkStart w:id="307" w:name="_Toc515647829"/>
      <w:bookmarkStart w:id="308" w:name="_Toc218935350"/>
      <w:bookmarkStart w:id="309" w:name="_Toc1375"/>
      <w:bookmarkStart w:id="310" w:name="_Toc16370"/>
      <w:bookmarkStart w:id="311" w:name="_Toc507399902"/>
      <w:bookmarkStart w:id="312" w:name="_Toc216582822"/>
      <w:bookmarkStart w:id="313" w:name="_Toc28765"/>
    </w:p>
    <w:p/>
    <w:p>
      <w:pPr>
        <w:pStyle w:val="4"/>
        <w:tabs>
          <w:tab w:val="left" w:pos="0"/>
        </w:tabs>
        <w:spacing w:before="0" w:after="0" w:line="400" w:lineRule="exact"/>
        <w:ind w:firstLine="2898" w:firstLineChars="900"/>
        <w:jc w:val="both"/>
        <w:rPr>
          <w:rFonts w:ascii="楷体" w:hAnsi="楷体" w:eastAsia="楷体" w:cs="楷体"/>
        </w:rPr>
      </w:pPr>
      <w:r>
        <w:rPr>
          <w:rFonts w:hint="eastAsia" w:ascii="楷体" w:hAnsi="楷体" w:eastAsia="楷体" w:cs="楷体"/>
        </w:rPr>
        <w:t>第3章投标邀请</w:t>
      </w:r>
      <w:bookmarkEnd w:id="306"/>
      <w:bookmarkEnd w:id="307"/>
      <w:bookmarkEnd w:id="308"/>
      <w:bookmarkEnd w:id="309"/>
      <w:bookmarkEnd w:id="310"/>
      <w:bookmarkEnd w:id="311"/>
      <w:bookmarkEnd w:id="312"/>
      <w:bookmarkEnd w:id="313"/>
    </w:p>
    <w:p/>
    <w:p>
      <w:pPr>
        <w:keepNext/>
        <w:keepLines/>
        <w:tabs>
          <w:tab w:val="left" w:pos="0"/>
        </w:tabs>
        <w:autoSpaceDE w:val="0"/>
        <w:autoSpaceDN w:val="0"/>
        <w:adjustRightInd w:val="0"/>
        <w:spacing w:line="440" w:lineRule="exact"/>
        <w:jc w:val="center"/>
        <w:outlineLvl w:val="0"/>
        <w:rPr>
          <w:rFonts w:ascii="楷体" w:hAnsi="楷体" w:eastAsia="楷体" w:cs="楷体"/>
          <w:b/>
          <w:bCs/>
          <w:kern w:val="44"/>
          <w:sz w:val="44"/>
          <w:szCs w:val="44"/>
        </w:rPr>
      </w:pPr>
      <w:r>
        <w:rPr>
          <w:rFonts w:hint="eastAsia" w:ascii="楷体" w:hAnsi="楷体" w:eastAsia="楷体" w:cs="楷体"/>
          <w:b/>
          <w:bCs/>
          <w:kern w:val="44"/>
          <w:sz w:val="44"/>
          <w:szCs w:val="44"/>
          <w:lang w:eastAsia="zh-CN"/>
        </w:rPr>
        <w:t>喀什地区第二人民医院桌面服务支撑及数据中心软、硬件维保服务项目</w:t>
      </w:r>
      <w:r>
        <w:rPr>
          <w:rFonts w:hint="eastAsia" w:ascii="楷体" w:hAnsi="楷体" w:eastAsia="楷体" w:cs="楷体"/>
          <w:b/>
          <w:bCs/>
          <w:kern w:val="44"/>
          <w:sz w:val="44"/>
          <w:szCs w:val="44"/>
        </w:rPr>
        <w:t>招标公告</w:t>
      </w:r>
    </w:p>
    <w:p>
      <w:pPr>
        <w:pBdr>
          <w:top w:val="single" w:color="auto" w:sz="4" w:space="1"/>
          <w:left w:val="single" w:color="auto" w:sz="4" w:space="4"/>
          <w:bottom w:val="single" w:color="auto" w:sz="4" w:space="1"/>
          <w:right w:val="single" w:color="auto" w:sz="4" w:space="4"/>
        </w:pBd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项目概况</w:t>
      </w:r>
    </w:p>
    <w:p>
      <w:pPr>
        <w:pBdr>
          <w:top w:val="single" w:color="auto" w:sz="4" w:space="1"/>
          <w:left w:val="single" w:color="auto" w:sz="4" w:space="4"/>
          <w:bottom w:val="single" w:color="auto" w:sz="4" w:space="1"/>
          <w:right w:val="single" w:color="auto" w:sz="4" w:space="4"/>
        </w:pBdr>
        <w:spacing w:line="360" w:lineRule="exact"/>
        <w:ind w:firstLine="564" w:firstLineChars="200"/>
        <w:rPr>
          <w:rFonts w:ascii="楷体" w:hAnsi="楷体" w:eastAsia="楷体" w:cs="楷体"/>
          <w:sz w:val="28"/>
          <w:szCs w:val="28"/>
        </w:rPr>
      </w:pPr>
      <w:r>
        <w:rPr>
          <w:rFonts w:hint="eastAsia" w:ascii="楷体" w:hAnsi="楷体" w:eastAsia="楷体" w:cs="楷体"/>
          <w:sz w:val="28"/>
          <w:szCs w:val="28"/>
          <w:u w:val="single"/>
          <w:lang w:eastAsia="zh-CN"/>
        </w:rPr>
        <w:t>喀什地区第二人民医院桌面服务支撑及数据中心软、硬件维保服务项目</w:t>
      </w:r>
      <w:r>
        <w:rPr>
          <w:rFonts w:hint="eastAsia" w:ascii="楷体" w:hAnsi="楷体" w:eastAsia="楷体" w:cs="楷体"/>
          <w:sz w:val="28"/>
          <w:szCs w:val="28"/>
        </w:rPr>
        <w:t>招标项目的潜在投标人应在</w:t>
      </w:r>
      <w:r>
        <w:rPr>
          <w:rFonts w:hint="eastAsia" w:ascii="楷体" w:hAnsi="楷体" w:eastAsia="楷体" w:cs="楷体"/>
          <w:sz w:val="28"/>
          <w:szCs w:val="28"/>
          <w:u w:val="single"/>
        </w:rPr>
        <w:t>（喀什设计咨询总部大厦11-1101-A室）</w:t>
      </w:r>
      <w:r>
        <w:rPr>
          <w:rFonts w:hint="eastAsia" w:ascii="楷体" w:hAnsi="楷体" w:eastAsia="楷体" w:cs="楷体"/>
          <w:sz w:val="28"/>
          <w:szCs w:val="28"/>
        </w:rPr>
        <w:t>获取</w:t>
      </w:r>
      <w:r>
        <w:rPr>
          <w:rFonts w:hint="eastAsia" w:ascii="楷体" w:hAnsi="楷体" w:eastAsia="楷体" w:cs="楷体"/>
          <w:color w:val="auto"/>
          <w:sz w:val="28"/>
          <w:szCs w:val="28"/>
        </w:rPr>
        <w:t>招标文件，并于</w:t>
      </w:r>
      <w:r>
        <w:rPr>
          <w:rFonts w:hint="eastAsia" w:ascii="楷体" w:hAnsi="楷体" w:eastAsia="楷体" w:cs="楷体"/>
          <w:color w:val="auto"/>
          <w:sz w:val="28"/>
          <w:szCs w:val="28"/>
          <w:u w:val="single"/>
        </w:rPr>
        <w:t>2020</w:t>
      </w:r>
      <w:r>
        <w:rPr>
          <w:rFonts w:hint="eastAsia" w:ascii="楷体" w:hAnsi="楷体" w:eastAsia="楷体" w:cs="楷体"/>
          <w:bCs/>
          <w:color w:val="auto"/>
          <w:sz w:val="28"/>
          <w:szCs w:val="28"/>
          <w:u w:val="single"/>
        </w:rPr>
        <w:t>年</w:t>
      </w:r>
      <w:r>
        <w:rPr>
          <w:rFonts w:hint="eastAsia" w:ascii="楷体" w:hAnsi="楷体" w:eastAsia="楷体" w:cs="楷体"/>
          <w:bCs/>
          <w:color w:val="auto"/>
          <w:sz w:val="28"/>
          <w:szCs w:val="28"/>
          <w:u w:val="single"/>
          <w:lang w:val="en-US" w:eastAsia="zh-CN"/>
        </w:rPr>
        <w:t>8</w:t>
      </w:r>
      <w:r>
        <w:rPr>
          <w:rFonts w:hint="eastAsia" w:ascii="楷体" w:hAnsi="楷体" w:eastAsia="楷体" w:cs="楷体"/>
          <w:bCs/>
          <w:color w:val="auto"/>
          <w:sz w:val="28"/>
          <w:szCs w:val="28"/>
          <w:u w:val="single"/>
        </w:rPr>
        <w:t>月</w:t>
      </w:r>
      <w:r>
        <w:rPr>
          <w:rFonts w:hint="eastAsia" w:ascii="楷体" w:hAnsi="楷体" w:eastAsia="楷体" w:cs="楷体"/>
          <w:bCs/>
          <w:color w:val="auto"/>
          <w:sz w:val="28"/>
          <w:szCs w:val="28"/>
          <w:u w:val="single"/>
          <w:lang w:val="en-US" w:eastAsia="zh-CN"/>
        </w:rPr>
        <w:t>6</w:t>
      </w:r>
      <w:r>
        <w:rPr>
          <w:rFonts w:hint="eastAsia" w:ascii="楷体" w:hAnsi="楷体" w:eastAsia="楷体" w:cs="楷体"/>
          <w:bCs/>
          <w:color w:val="auto"/>
          <w:sz w:val="28"/>
          <w:szCs w:val="28"/>
          <w:u w:val="single"/>
        </w:rPr>
        <w:t>日11 点 00 分</w:t>
      </w:r>
      <w:r>
        <w:rPr>
          <w:rFonts w:hint="eastAsia" w:ascii="楷体" w:hAnsi="楷体" w:eastAsia="楷体" w:cs="楷体"/>
          <w:bCs/>
          <w:sz w:val="28"/>
          <w:szCs w:val="28"/>
          <w:u w:val="single"/>
        </w:rPr>
        <w:t>（</w:t>
      </w:r>
      <w:r>
        <w:rPr>
          <w:rFonts w:hint="eastAsia" w:ascii="楷体" w:hAnsi="楷体" w:eastAsia="楷体" w:cs="楷体"/>
          <w:bCs/>
          <w:sz w:val="28"/>
          <w:szCs w:val="28"/>
        </w:rPr>
        <w:t>北京时间）前递交投标文件</w:t>
      </w:r>
      <w:r>
        <w:rPr>
          <w:rFonts w:hint="eastAsia" w:ascii="楷体" w:hAnsi="楷体" w:eastAsia="楷体" w:cs="楷体"/>
          <w:sz w:val="28"/>
          <w:szCs w:val="28"/>
        </w:rPr>
        <w:t>。</w:t>
      </w:r>
    </w:p>
    <w:p>
      <w:pPr>
        <w:spacing w:line="360" w:lineRule="exact"/>
        <w:rPr>
          <w:rFonts w:ascii="楷体" w:hAnsi="楷体" w:eastAsia="楷体" w:cs="楷体"/>
          <w:sz w:val="28"/>
          <w:szCs w:val="28"/>
        </w:rPr>
      </w:pPr>
    </w:p>
    <w:p>
      <w:pPr>
        <w:keepNext/>
        <w:keepLines/>
        <w:spacing w:before="260" w:after="260" w:line="360" w:lineRule="exact"/>
        <w:outlineLvl w:val="1"/>
        <w:rPr>
          <w:rFonts w:ascii="楷体" w:hAnsi="楷体" w:eastAsia="楷体" w:cs="楷体"/>
          <w:bCs/>
          <w:sz w:val="28"/>
          <w:szCs w:val="28"/>
        </w:rPr>
      </w:pPr>
      <w:bookmarkStart w:id="314" w:name="_Toc35393790"/>
      <w:bookmarkStart w:id="315" w:name="_Toc28359002"/>
      <w:bookmarkStart w:id="316" w:name="_Toc28359079"/>
      <w:bookmarkStart w:id="317" w:name="_Toc35393621"/>
      <w:bookmarkStart w:id="318" w:name="_Hlk24379207"/>
      <w:r>
        <w:rPr>
          <w:rFonts w:hint="eastAsia" w:ascii="楷体" w:hAnsi="楷体" w:eastAsia="楷体" w:cs="楷体"/>
          <w:bCs/>
          <w:sz w:val="28"/>
          <w:szCs w:val="28"/>
        </w:rPr>
        <w:t>一、项目基本情况</w:t>
      </w:r>
      <w:bookmarkEnd w:id="314"/>
      <w:bookmarkEnd w:id="315"/>
      <w:bookmarkEnd w:id="316"/>
      <w:bookmarkEnd w:id="317"/>
    </w:p>
    <w:p>
      <w:pPr>
        <w:widowControl/>
        <w:spacing w:before="75" w:after="75" w:line="360" w:lineRule="exact"/>
        <w:ind w:firstLine="282" w:firstLineChars="100"/>
        <w:jc w:val="left"/>
        <w:rPr>
          <w:rFonts w:ascii="楷体" w:hAnsi="楷体" w:eastAsia="楷体" w:cs="楷体"/>
          <w:sz w:val="28"/>
          <w:szCs w:val="28"/>
        </w:rPr>
      </w:pPr>
      <w:r>
        <w:rPr>
          <w:rFonts w:hint="eastAsia" w:ascii="楷体" w:hAnsi="楷体" w:eastAsia="楷体" w:cs="楷体"/>
          <w:sz w:val="28"/>
          <w:szCs w:val="28"/>
        </w:rPr>
        <w:t>项目编号：XJJNCG2020-GK-027</w:t>
      </w:r>
    </w:p>
    <w:p>
      <w:pPr>
        <w:widowControl/>
        <w:spacing w:before="75" w:after="75" w:line="360" w:lineRule="exact"/>
        <w:ind w:firstLine="282" w:firstLineChars="100"/>
        <w:jc w:val="left"/>
        <w:rPr>
          <w:rFonts w:hint="eastAsia" w:ascii="楷体" w:hAnsi="楷体" w:eastAsia="楷体" w:cs="楷体"/>
          <w:sz w:val="28"/>
          <w:szCs w:val="28"/>
          <w:lang w:eastAsia="zh-CN"/>
        </w:rPr>
      </w:pPr>
      <w:r>
        <w:rPr>
          <w:rFonts w:hint="eastAsia" w:ascii="楷体" w:hAnsi="楷体" w:eastAsia="楷体" w:cs="楷体"/>
          <w:sz w:val="28"/>
          <w:szCs w:val="28"/>
        </w:rPr>
        <w:t>项目名称：</w:t>
      </w:r>
      <w:r>
        <w:rPr>
          <w:rFonts w:hint="eastAsia" w:ascii="楷体" w:hAnsi="楷体" w:eastAsia="楷体" w:cs="楷体"/>
          <w:sz w:val="28"/>
          <w:szCs w:val="28"/>
          <w:lang w:eastAsia="zh-CN"/>
        </w:rPr>
        <w:t>喀什地区第二人民医院桌面服务支撑及数据中心软、硬件维保服务项目</w:t>
      </w:r>
    </w:p>
    <w:bookmarkEnd w:id="318"/>
    <w:p>
      <w:pPr>
        <w:widowControl/>
        <w:spacing w:before="75" w:after="75" w:line="360" w:lineRule="exact"/>
        <w:ind w:firstLine="282" w:firstLineChars="100"/>
        <w:jc w:val="left"/>
        <w:rPr>
          <w:rFonts w:ascii="楷体" w:hAnsi="楷体" w:eastAsia="楷体" w:cs="楷体"/>
          <w:color w:val="0000FF"/>
          <w:sz w:val="28"/>
          <w:szCs w:val="28"/>
        </w:rPr>
      </w:pPr>
      <w:r>
        <w:rPr>
          <w:rFonts w:hint="eastAsia" w:ascii="楷体" w:hAnsi="楷体" w:eastAsia="楷体" w:cs="楷体"/>
          <w:sz w:val="28"/>
          <w:szCs w:val="28"/>
        </w:rPr>
        <w:t>预算金额：155万元</w:t>
      </w:r>
    </w:p>
    <w:p>
      <w:pPr>
        <w:widowControl/>
        <w:spacing w:before="75" w:after="75" w:line="360" w:lineRule="exact"/>
        <w:ind w:firstLine="282" w:firstLineChars="100"/>
        <w:jc w:val="left"/>
        <w:rPr>
          <w:rFonts w:ascii="楷体" w:hAnsi="楷体" w:eastAsia="楷体" w:cs="楷体"/>
          <w:color w:val="auto"/>
          <w:sz w:val="28"/>
          <w:szCs w:val="28"/>
        </w:rPr>
      </w:pPr>
      <w:r>
        <w:rPr>
          <w:rFonts w:hint="eastAsia" w:ascii="楷体" w:hAnsi="楷体" w:eastAsia="楷体" w:cs="楷体"/>
          <w:color w:val="auto"/>
          <w:sz w:val="28"/>
          <w:szCs w:val="28"/>
        </w:rPr>
        <w:t>采购需求：桌面服务支撑及数据中心软、硬件维保服务（详细参数详见招标文件）</w:t>
      </w:r>
    </w:p>
    <w:p>
      <w:pPr>
        <w:widowControl/>
        <w:spacing w:before="75" w:after="75" w:line="360" w:lineRule="exact"/>
        <w:ind w:firstLine="282" w:firstLineChars="100"/>
        <w:jc w:val="left"/>
        <w:rPr>
          <w:rFonts w:ascii="楷体" w:hAnsi="楷体" w:eastAsia="楷体" w:cs="楷体"/>
          <w:color w:val="auto"/>
          <w:sz w:val="28"/>
          <w:szCs w:val="28"/>
        </w:rPr>
      </w:pPr>
      <w:r>
        <w:rPr>
          <w:rFonts w:hint="eastAsia" w:ascii="楷体" w:hAnsi="楷体" w:eastAsia="楷体" w:cs="楷体"/>
          <w:color w:val="auto"/>
          <w:sz w:val="28"/>
          <w:szCs w:val="28"/>
        </w:rPr>
        <w:t>合同履行期限：一年。</w:t>
      </w:r>
    </w:p>
    <w:p>
      <w:pPr>
        <w:spacing w:line="360" w:lineRule="exact"/>
        <w:ind w:firstLine="282" w:firstLineChars="100"/>
        <w:rPr>
          <w:rFonts w:ascii="楷体" w:hAnsi="楷体" w:eastAsia="楷体" w:cs="楷体"/>
          <w:sz w:val="28"/>
          <w:szCs w:val="28"/>
        </w:rPr>
      </w:pPr>
      <w:r>
        <w:rPr>
          <w:rFonts w:hint="eastAsia" w:ascii="楷体" w:hAnsi="楷体" w:eastAsia="楷体" w:cs="楷体"/>
          <w:sz w:val="28"/>
          <w:szCs w:val="28"/>
        </w:rPr>
        <w:t>本项目（</w:t>
      </w:r>
      <w:r>
        <w:rPr>
          <w:rFonts w:hint="eastAsia" w:ascii="楷体" w:hAnsi="楷体" w:eastAsia="楷体" w:cs="楷体"/>
          <w:i/>
          <w:sz w:val="28"/>
          <w:szCs w:val="28"/>
        </w:rPr>
        <w:t>是/</w:t>
      </w:r>
      <w:r>
        <w:rPr>
          <w:rFonts w:hint="eastAsia" w:ascii="楷体" w:hAnsi="楷体" w:eastAsia="楷体" w:cs="楷体"/>
          <w:i/>
          <w:sz w:val="28"/>
          <w:szCs w:val="28"/>
        </w:rPr>
        <w:sym w:font="Wingdings" w:char="00FE"/>
      </w:r>
      <w:r>
        <w:rPr>
          <w:rFonts w:hint="eastAsia" w:ascii="楷体" w:hAnsi="楷体" w:eastAsia="楷体" w:cs="楷体"/>
          <w:i/>
          <w:sz w:val="28"/>
          <w:szCs w:val="28"/>
        </w:rPr>
        <w:t>否</w:t>
      </w:r>
      <w:r>
        <w:rPr>
          <w:rFonts w:hint="eastAsia" w:ascii="楷体" w:hAnsi="楷体" w:eastAsia="楷体" w:cs="楷体"/>
          <w:sz w:val="28"/>
          <w:szCs w:val="28"/>
        </w:rPr>
        <w:t>）接受联合体投标。</w:t>
      </w:r>
    </w:p>
    <w:p>
      <w:pPr>
        <w:keepNext/>
        <w:keepLines/>
        <w:spacing w:before="260" w:after="260" w:line="360" w:lineRule="exact"/>
        <w:outlineLvl w:val="1"/>
        <w:rPr>
          <w:rFonts w:ascii="楷体" w:hAnsi="楷体" w:eastAsia="楷体" w:cs="楷体"/>
          <w:bCs/>
          <w:sz w:val="28"/>
          <w:szCs w:val="28"/>
        </w:rPr>
      </w:pPr>
      <w:bookmarkStart w:id="319" w:name="_Toc35393791"/>
      <w:bookmarkStart w:id="320" w:name="_Toc28359080"/>
      <w:bookmarkStart w:id="321" w:name="_Toc28359003"/>
      <w:bookmarkStart w:id="322" w:name="_Toc35393622"/>
      <w:r>
        <w:rPr>
          <w:rFonts w:hint="eastAsia" w:ascii="楷体" w:hAnsi="楷体" w:eastAsia="楷体" w:cs="楷体"/>
          <w:bCs/>
          <w:sz w:val="28"/>
          <w:szCs w:val="28"/>
        </w:rPr>
        <w:t>二、申请人的资格要求：</w:t>
      </w:r>
      <w:bookmarkEnd w:id="319"/>
      <w:bookmarkEnd w:id="320"/>
      <w:bookmarkEnd w:id="321"/>
      <w:bookmarkEnd w:id="322"/>
    </w:p>
    <w:p>
      <w:pPr>
        <w:spacing w:line="360" w:lineRule="exact"/>
        <w:rPr>
          <w:rFonts w:ascii="楷体" w:hAnsi="楷体" w:eastAsia="楷体" w:cs="楷体"/>
          <w:sz w:val="28"/>
          <w:szCs w:val="28"/>
        </w:rPr>
      </w:pPr>
      <w:r>
        <w:rPr>
          <w:rFonts w:hint="eastAsia" w:ascii="楷体" w:hAnsi="楷体" w:eastAsia="楷体" w:cs="楷体"/>
          <w:sz w:val="28"/>
          <w:szCs w:val="28"/>
        </w:rPr>
        <w:t>1.满足《中华人民共和国政府采购法》第二十二条规定；</w:t>
      </w:r>
    </w:p>
    <w:p>
      <w:pPr>
        <w:widowControl/>
        <w:spacing w:before="75" w:after="75" w:line="360" w:lineRule="exact"/>
        <w:jc w:val="left"/>
        <w:rPr>
          <w:rFonts w:ascii="楷体" w:hAnsi="楷体" w:eastAsia="楷体" w:cs="楷体"/>
          <w:kern w:val="0"/>
          <w:sz w:val="28"/>
          <w:szCs w:val="28"/>
        </w:rPr>
      </w:pPr>
      <w:bookmarkStart w:id="323" w:name="_Toc28359081"/>
      <w:bookmarkStart w:id="324" w:name="_Toc28359004"/>
      <w:r>
        <w:rPr>
          <w:rFonts w:hint="eastAsia" w:ascii="楷体" w:hAnsi="楷体" w:eastAsia="楷体" w:cs="楷体"/>
          <w:kern w:val="0"/>
          <w:sz w:val="28"/>
          <w:szCs w:val="28"/>
        </w:rPr>
        <w:t>2.落实政府采购政策需满足的资格要求：</w:t>
      </w:r>
    </w:p>
    <w:p>
      <w:pPr>
        <w:widowControl/>
        <w:spacing w:before="75" w:after="75" w:line="360" w:lineRule="exact"/>
        <w:jc w:val="left"/>
        <w:rPr>
          <w:rFonts w:ascii="楷体" w:hAnsi="楷体" w:eastAsia="楷体" w:cs="楷体"/>
          <w:sz w:val="28"/>
          <w:szCs w:val="28"/>
        </w:rPr>
      </w:pPr>
      <w:r>
        <w:rPr>
          <w:rFonts w:hint="eastAsia" w:ascii="楷体" w:hAnsi="楷体" w:eastAsia="楷体" w:cs="楷体"/>
          <w:sz w:val="28"/>
          <w:szCs w:val="28"/>
        </w:rPr>
        <w:t>（1）《政府采购促进中小企业发展暂行办法》（财库〔2011〕181号）； </w:t>
      </w:r>
    </w:p>
    <w:p>
      <w:pPr>
        <w:widowControl/>
        <w:spacing w:before="75" w:after="75" w:line="360" w:lineRule="exact"/>
        <w:jc w:val="left"/>
        <w:rPr>
          <w:rFonts w:ascii="楷体" w:hAnsi="楷体" w:eastAsia="楷体" w:cs="楷体"/>
          <w:sz w:val="28"/>
          <w:szCs w:val="28"/>
        </w:rPr>
      </w:pPr>
      <w:r>
        <w:rPr>
          <w:rFonts w:hint="eastAsia" w:ascii="楷体" w:hAnsi="楷体" w:eastAsia="楷体" w:cs="楷体"/>
          <w:sz w:val="28"/>
          <w:szCs w:val="28"/>
        </w:rPr>
        <w:t>（2）《财政部、司法部关于政府采购支持监狱企业发展有关问题的通知》（财库〔2014〕68号）； </w:t>
      </w:r>
    </w:p>
    <w:p>
      <w:pPr>
        <w:widowControl/>
        <w:spacing w:before="75" w:after="75" w:line="360" w:lineRule="exact"/>
        <w:jc w:val="left"/>
        <w:rPr>
          <w:rFonts w:ascii="楷体" w:hAnsi="楷体" w:eastAsia="楷体" w:cs="楷体"/>
          <w:sz w:val="28"/>
          <w:szCs w:val="28"/>
        </w:rPr>
      </w:pPr>
      <w:r>
        <w:rPr>
          <w:rFonts w:hint="eastAsia" w:ascii="楷体" w:hAnsi="楷体" w:eastAsia="楷体" w:cs="楷体"/>
          <w:sz w:val="28"/>
          <w:szCs w:val="28"/>
        </w:rPr>
        <w:t>（3）《国务院办公厅关于建立政府强制采购节能产品制度的通知》（国办发〔2007〕51号）； </w:t>
      </w:r>
    </w:p>
    <w:p>
      <w:pPr>
        <w:widowControl/>
        <w:spacing w:before="75" w:after="75" w:line="360" w:lineRule="exact"/>
        <w:jc w:val="left"/>
        <w:rPr>
          <w:rFonts w:ascii="楷体" w:hAnsi="楷体" w:eastAsia="楷体" w:cs="楷体"/>
          <w:sz w:val="28"/>
          <w:szCs w:val="28"/>
        </w:rPr>
      </w:pPr>
      <w:r>
        <w:rPr>
          <w:rFonts w:hint="eastAsia" w:ascii="楷体" w:hAnsi="楷体" w:eastAsia="楷体" w:cs="楷体"/>
          <w:sz w:val="28"/>
          <w:szCs w:val="28"/>
        </w:rPr>
        <w:t>（4）《财政部 民政部 中国残疾人联合会关于促进残疾人就业政府采购政策的通知》财库〔2017〕141号。 </w:t>
      </w:r>
    </w:p>
    <w:p>
      <w:pPr>
        <w:spacing w:line="360" w:lineRule="exact"/>
        <w:ind w:firstLine="564" w:firstLineChars="200"/>
        <w:rPr>
          <w:rFonts w:ascii="楷体" w:hAnsi="楷体" w:eastAsia="楷体" w:cs="楷体"/>
          <w:sz w:val="28"/>
          <w:szCs w:val="28"/>
        </w:rPr>
      </w:pPr>
    </w:p>
    <w:p>
      <w:pPr>
        <w:spacing w:line="360" w:lineRule="exact"/>
        <w:rPr>
          <w:rFonts w:ascii="楷体" w:hAnsi="楷体" w:eastAsia="楷体" w:cs="楷体"/>
          <w:sz w:val="28"/>
          <w:szCs w:val="28"/>
        </w:rPr>
      </w:pPr>
      <w:r>
        <w:rPr>
          <w:rFonts w:hint="eastAsia" w:ascii="楷体" w:hAnsi="楷体" w:eastAsia="楷体" w:cs="楷体"/>
          <w:sz w:val="28"/>
          <w:szCs w:val="28"/>
        </w:rPr>
        <w:t>3.本项目的特定资格要求：</w:t>
      </w:r>
    </w:p>
    <w:p>
      <w:pPr>
        <w:numPr>
          <w:ilvl w:val="0"/>
          <w:numId w:val="9"/>
        </w:numPr>
        <w:spacing w:line="360" w:lineRule="exact"/>
        <w:rPr>
          <w:rFonts w:ascii="楷体" w:hAnsi="楷体" w:eastAsia="楷体" w:cs="楷体"/>
          <w:sz w:val="28"/>
          <w:szCs w:val="28"/>
        </w:rPr>
      </w:pPr>
      <w:r>
        <w:rPr>
          <w:rFonts w:hint="eastAsia" w:ascii="楷体" w:hAnsi="楷体" w:eastAsia="楷体" w:cs="楷体"/>
          <w:sz w:val="28"/>
          <w:szCs w:val="28"/>
        </w:rPr>
        <w:t>参加政府采购活动前三年内，投标单位（供应商）及其法定代表人在经营活动中没有重大违法记录声明；</w:t>
      </w:r>
    </w:p>
    <w:p>
      <w:pPr>
        <w:numPr>
          <w:ilvl w:val="0"/>
          <w:numId w:val="9"/>
        </w:numPr>
        <w:spacing w:line="360" w:lineRule="exact"/>
        <w:rPr>
          <w:rFonts w:ascii="楷体" w:hAnsi="楷体" w:eastAsia="楷体" w:cs="楷体"/>
          <w:sz w:val="28"/>
          <w:szCs w:val="28"/>
        </w:rPr>
      </w:pPr>
      <w:r>
        <w:rPr>
          <w:rFonts w:hint="eastAsia" w:ascii="楷体" w:hAnsi="楷体" w:eastAsia="楷体" w:cs="楷体"/>
          <w:sz w:val="28"/>
          <w:szCs w:val="28"/>
        </w:rPr>
        <w:t>投标单位（供应商）及其法定代表人提供针对本次采购项目《反商业贿赂承诺书》的书面声明；</w:t>
      </w:r>
    </w:p>
    <w:p>
      <w:pPr>
        <w:keepNext/>
        <w:keepLines/>
        <w:spacing w:before="260" w:after="260" w:line="360" w:lineRule="exact"/>
        <w:outlineLvl w:val="1"/>
        <w:rPr>
          <w:rFonts w:ascii="楷体" w:hAnsi="楷体" w:eastAsia="楷体" w:cs="楷体"/>
          <w:bCs/>
          <w:sz w:val="28"/>
          <w:szCs w:val="28"/>
        </w:rPr>
      </w:pPr>
      <w:bookmarkStart w:id="325" w:name="_Toc35393792"/>
      <w:bookmarkStart w:id="326" w:name="_Toc35393623"/>
      <w:r>
        <w:rPr>
          <w:rFonts w:hint="eastAsia" w:ascii="楷体" w:hAnsi="楷体" w:eastAsia="楷体" w:cs="楷体"/>
          <w:bCs/>
          <w:sz w:val="28"/>
          <w:szCs w:val="28"/>
        </w:rPr>
        <w:t>三、获取招标文件</w:t>
      </w:r>
      <w:bookmarkEnd w:id="323"/>
      <w:bookmarkEnd w:id="324"/>
      <w:bookmarkEnd w:id="325"/>
      <w:bookmarkEnd w:id="326"/>
    </w:p>
    <w:p>
      <w:pPr>
        <w:spacing w:line="360" w:lineRule="exact"/>
        <w:ind w:firstLine="540"/>
        <w:rPr>
          <w:rFonts w:ascii="楷体" w:hAnsi="楷体" w:eastAsia="楷体" w:cs="楷体"/>
          <w:sz w:val="28"/>
          <w:szCs w:val="28"/>
        </w:rPr>
      </w:pPr>
      <w:r>
        <w:rPr>
          <w:rFonts w:hint="eastAsia" w:ascii="楷体" w:hAnsi="楷体" w:eastAsia="楷体" w:cs="楷体"/>
          <w:sz w:val="28"/>
          <w:szCs w:val="28"/>
        </w:rPr>
        <w:t>时间</w:t>
      </w:r>
      <w:r>
        <w:rPr>
          <w:rFonts w:hint="eastAsia" w:ascii="楷体" w:hAnsi="楷体" w:eastAsia="楷体" w:cs="楷体"/>
          <w:color w:val="auto"/>
          <w:sz w:val="28"/>
          <w:szCs w:val="28"/>
        </w:rPr>
        <w:t>：</w:t>
      </w:r>
      <w:r>
        <w:rPr>
          <w:rFonts w:hint="eastAsia" w:ascii="楷体" w:hAnsi="楷体" w:eastAsia="楷体" w:cs="楷体"/>
          <w:color w:val="auto"/>
          <w:sz w:val="28"/>
          <w:szCs w:val="28"/>
          <w:u w:val="single"/>
        </w:rPr>
        <w:t>2020年</w:t>
      </w:r>
      <w:r>
        <w:rPr>
          <w:rFonts w:hint="eastAsia" w:ascii="楷体" w:hAnsi="楷体" w:eastAsia="楷体" w:cs="楷体"/>
          <w:color w:val="auto"/>
          <w:sz w:val="28"/>
          <w:szCs w:val="28"/>
          <w:u w:val="single"/>
          <w:lang w:val="en-US" w:eastAsia="zh-CN"/>
        </w:rPr>
        <w:t>7</w:t>
      </w:r>
      <w:r>
        <w:rPr>
          <w:rFonts w:hint="eastAsia" w:ascii="楷体" w:hAnsi="楷体" w:eastAsia="楷体" w:cs="楷体"/>
          <w:color w:val="auto"/>
          <w:sz w:val="28"/>
          <w:szCs w:val="28"/>
          <w:u w:val="single"/>
        </w:rPr>
        <w:t>月</w:t>
      </w:r>
      <w:r>
        <w:rPr>
          <w:rFonts w:hint="eastAsia" w:ascii="楷体" w:hAnsi="楷体" w:eastAsia="楷体" w:cs="楷体"/>
          <w:color w:val="auto"/>
          <w:sz w:val="28"/>
          <w:szCs w:val="28"/>
          <w:u w:val="single"/>
          <w:lang w:val="en-US" w:eastAsia="zh-CN"/>
        </w:rPr>
        <w:t>17</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至</w:t>
      </w:r>
      <w:r>
        <w:rPr>
          <w:rFonts w:hint="eastAsia" w:ascii="楷体" w:hAnsi="楷体" w:eastAsia="楷体" w:cs="楷体"/>
          <w:color w:val="auto"/>
          <w:sz w:val="28"/>
          <w:szCs w:val="28"/>
          <w:u w:val="single"/>
        </w:rPr>
        <w:t>2020年</w:t>
      </w:r>
      <w:r>
        <w:rPr>
          <w:rFonts w:hint="eastAsia" w:ascii="楷体" w:hAnsi="楷体" w:eastAsia="楷体" w:cs="楷体"/>
          <w:color w:val="auto"/>
          <w:sz w:val="28"/>
          <w:szCs w:val="28"/>
          <w:u w:val="single"/>
          <w:lang w:val="en-US" w:eastAsia="zh-CN"/>
        </w:rPr>
        <w:t>7</w:t>
      </w:r>
      <w:r>
        <w:rPr>
          <w:rFonts w:hint="eastAsia" w:ascii="楷体" w:hAnsi="楷体" w:eastAsia="楷体" w:cs="楷体"/>
          <w:color w:val="auto"/>
          <w:sz w:val="28"/>
          <w:szCs w:val="28"/>
          <w:u w:val="single"/>
        </w:rPr>
        <w:t>月</w:t>
      </w:r>
      <w:r>
        <w:rPr>
          <w:rFonts w:hint="eastAsia" w:ascii="楷体" w:hAnsi="楷体" w:eastAsia="楷体" w:cs="楷体"/>
          <w:color w:val="auto"/>
          <w:sz w:val="28"/>
          <w:szCs w:val="28"/>
          <w:u w:val="single"/>
          <w:lang w:val="en-US" w:eastAsia="zh-CN"/>
        </w:rPr>
        <w:t>23</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，每天</w:t>
      </w:r>
      <w:r>
        <w:rPr>
          <w:rFonts w:hint="eastAsia" w:ascii="楷体" w:hAnsi="楷体" w:eastAsia="楷体" w:cs="楷体"/>
          <w:sz w:val="28"/>
          <w:szCs w:val="28"/>
        </w:rPr>
        <w:t>上午</w:t>
      </w:r>
      <w:r>
        <w:rPr>
          <w:rFonts w:hint="eastAsia" w:ascii="楷体" w:hAnsi="楷体" w:eastAsia="楷体" w:cs="楷体"/>
          <w:sz w:val="28"/>
          <w:szCs w:val="28"/>
          <w:u w:val="single"/>
        </w:rPr>
        <w:t>10:30</w:t>
      </w:r>
      <w:r>
        <w:rPr>
          <w:rFonts w:hint="eastAsia" w:ascii="楷体" w:hAnsi="楷体" w:eastAsia="楷体" w:cs="楷体"/>
          <w:sz w:val="28"/>
          <w:szCs w:val="28"/>
        </w:rPr>
        <w:t>至</w:t>
      </w:r>
      <w:r>
        <w:rPr>
          <w:rFonts w:hint="eastAsia" w:ascii="楷体" w:hAnsi="楷体" w:eastAsia="楷体" w:cs="楷体"/>
          <w:sz w:val="28"/>
          <w:szCs w:val="28"/>
          <w:u w:val="single"/>
        </w:rPr>
        <w:t>13:30</w:t>
      </w:r>
      <w:r>
        <w:rPr>
          <w:rFonts w:hint="eastAsia" w:ascii="楷体" w:hAnsi="楷体" w:eastAsia="楷体" w:cs="楷体"/>
          <w:sz w:val="28"/>
          <w:szCs w:val="28"/>
        </w:rPr>
        <w:t>，下午</w:t>
      </w:r>
      <w:r>
        <w:rPr>
          <w:rFonts w:hint="eastAsia" w:ascii="楷体" w:hAnsi="楷体" w:eastAsia="楷体" w:cs="楷体"/>
          <w:sz w:val="28"/>
          <w:szCs w:val="28"/>
          <w:u w:val="single"/>
        </w:rPr>
        <w:t>16:00</w:t>
      </w:r>
      <w:r>
        <w:rPr>
          <w:rFonts w:hint="eastAsia" w:ascii="楷体" w:hAnsi="楷体" w:eastAsia="楷体" w:cs="楷体"/>
          <w:sz w:val="28"/>
          <w:szCs w:val="28"/>
        </w:rPr>
        <w:t>至</w:t>
      </w:r>
      <w:r>
        <w:rPr>
          <w:rFonts w:hint="eastAsia" w:ascii="楷体" w:hAnsi="楷体" w:eastAsia="楷体" w:cs="楷体"/>
          <w:sz w:val="28"/>
          <w:szCs w:val="28"/>
          <w:u w:val="single"/>
        </w:rPr>
        <w:t>19:00</w:t>
      </w:r>
      <w:r>
        <w:rPr>
          <w:rFonts w:hint="eastAsia" w:ascii="楷体" w:hAnsi="楷体" w:eastAsia="楷体" w:cs="楷体"/>
          <w:sz w:val="28"/>
          <w:szCs w:val="28"/>
        </w:rPr>
        <w:t>（北京时间，法定节假日除外 ）</w:t>
      </w:r>
    </w:p>
    <w:p>
      <w:pPr>
        <w:spacing w:line="360" w:lineRule="exact"/>
        <w:ind w:firstLine="540"/>
        <w:rPr>
          <w:rFonts w:ascii="楷体" w:hAnsi="楷体" w:eastAsia="楷体" w:cs="楷体"/>
          <w:sz w:val="28"/>
          <w:szCs w:val="28"/>
        </w:rPr>
      </w:pPr>
      <w:bookmarkStart w:id="327" w:name="_Toc28359005"/>
      <w:bookmarkStart w:id="328" w:name="_Toc35393793"/>
      <w:bookmarkStart w:id="329" w:name="_Toc35393624"/>
      <w:bookmarkStart w:id="330" w:name="_Toc28359082"/>
      <w:r>
        <w:rPr>
          <w:rFonts w:hint="eastAsia" w:ascii="楷体" w:hAnsi="楷体" w:eastAsia="楷体" w:cs="楷体"/>
          <w:sz w:val="28"/>
          <w:szCs w:val="28"/>
        </w:rPr>
        <w:t>地点：喀什设计咨询总部大厦11-1101-A室</w:t>
      </w:r>
    </w:p>
    <w:p>
      <w:pPr>
        <w:spacing w:line="360" w:lineRule="exact"/>
        <w:ind w:firstLine="540"/>
        <w:rPr>
          <w:rFonts w:ascii="楷体" w:hAnsi="楷体" w:eastAsia="楷体" w:cs="楷体"/>
          <w:sz w:val="28"/>
          <w:szCs w:val="28"/>
        </w:rPr>
      </w:pPr>
      <w:r>
        <w:rPr>
          <w:rFonts w:hint="eastAsia" w:ascii="楷体" w:hAnsi="楷体" w:eastAsia="楷体" w:cs="楷体"/>
          <w:sz w:val="28"/>
          <w:szCs w:val="28"/>
        </w:rPr>
        <w:t>方式：现场或邮件</w:t>
      </w:r>
    </w:p>
    <w:p>
      <w:pPr>
        <w:keepNext/>
        <w:keepLines/>
        <w:spacing w:before="260" w:after="260" w:line="360" w:lineRule="exact"/>
        <w:outlineLvl w:val="1"/>
        <w:rPr>
          <w:rFonts w:ascii="楷体" w:hAnsi="楷体" w:eastAsia="楷体" w:cs="楷体"/>
          <w:bCs/>
          <w:sz w:val="28"/>
          <w:szCs w:val="28"/>
        </w:rPr>
      </w:pPr>
      <w:r>
        <w:rPr>
          <w:rFonts w:hint="eastAsia" w:ascii="楷体" w:hAnsi="楷体" w:eastAsia="楷体" w:cs="楷体"/>
          <w:bCs/>
          <w:sz w:val="28"/>
          <w:szCs w:val="28"/>
        </w:rPr>
        <w:t>四、提交投标文件</w:t>
      </w:r>
      <w:bookmarkEnd w:id="327"/>
      <w:bookmarkEnd w:id="328"/>
      <w:bookmarkEnd w:id="329"/>
      <w:bookmarkEnd w:id="330"/>
    </w:p>
    <w:p>
      <w:pPr>
        <w:spacing w:line="360" w:lineRule="exact"/>
        <w:ind w:firstLine="564" w:firstLineChars="200"/>
        <w:rPr>
          <w:rFonts w:ascii="楷体" w:hAnsi="楷体" w:eastAsia="楷体" w:cs="楷体"/>
          <w:bCs/>
          <w:sz w:val="28"/>
          <w:szCs w:val="28"/>
          <w:u w:val="single"/>
        </w:rPr>
      </w:pPr>
      <w:r>
        <w:rPr>
          <w:rFonts w:hint="eastAsia" w:ascii="楷体" w:hAnsi="楷体" w:eastAsia="楷体" w:cs="楷体"/>
          <w:sz w:val="28"/>
          <w:szCs w:val="28"/>
        </w:rPr>
        <w:t>截止时间：</w:t>
      </w:r>
      <w:r>
        <w:rPr>
          <w:rFonts w:hint="eastAsia" w:ascii="楷体" w:hAnsi="楷体" w:eastAsia="楷体" w:cs="楷体"/>
          <w:bCs/>
          <w:color w:val="auto"/>
          <w:sz w:val="28"/>
          <w:szCs w:val="28"/>
          <w:u w:val="single"/>
        </w:rPr>
        <w:t>2020年</w:t>
      </w:r>
      <w:r>
        <w:rPr>
          <w:rFonts w:hint="eastAsia" w:ascii="楷体" w:hAnsi="楷体" w:eastAsia="楷体" w:cs="楷体"/>
          <w:bCs/>
          <w:color w:val="auto"/>
          <w:sz w:val="28"/>
          <w:szCs w:val="28"/>
          <w:u w:val="single"/>
          <w:lang w:val="en-US" w:eastAsia="zh-CN"/>
        </w:rPr>
        <w:t>8</w:t>
      </w:r>
      <w:r>
        <w:rPr>
          <w:rFonts w:hint="eastAsia" w:ascii="楷体" w:hAnsi="楷体" w:eastAsia="楷体" w:cs="楷体"/>
          <w:bCs/>
          <w:color w:val="auto"/>
          <w:sz w:val="28"/>
          <w:szCs w:val="28"/>
          <w:u w:val="single"/>
        </w:rPr>
        <w:t>月</w:t>
      </w:r>
      <w:r>
        <w:rPr>
          <w:rFonts w:hint="eastAsia" w:ascii="楷体" w:hAnsi="楷体" w:eastAsia="楷体" w:cs="楷体"/>
          <w:bCs/>
          <w:color w:val="auto"/>
          <w:sz w:val="28"/>
          <w:szCs w:val="28"/>
          <w:u w:val="single"/>
          <w:lang w:val="en-US" w:eastAsia="zh-CN"/>
        </w:rPr>
        <w:t>6</w:t>
      </w:r>
      <w:r>
        <w:rPr>
          <w:rFonts w:hint="eastAsia" w:ascii="楷体" w:hAnsi="楷体" w:eastAsia="楷体" w:cs="楷体"/>
          <w:bCs/>
          <w:color w:val="auto"/>
          <w:sz w:val="28"/>
          <w:szCs w:val="28"/>
          <w:u w:val="single"/>
        </w:rPr>
        <w:t>日11点00分</w:t>
      </w:r>
      <w:r>
        <w:rPr>
          <w:rFonts w:hint="eastAsia" w:ascii="楷体" w:hAnsi="楷体" w:eastAsia="楷体" w:cs="楷体"/>
          <w:bCs/>
          <w:color w:val="auto"/>
          <w:sz w:val="28"/>
          <w:szCs w:val="28"/>
        </w:rPr>
        <w:t>（北</w:t>
      </w:r>
      <w:r>
        <w:rPr>
          <w:rFonts w:hint="eastAsia" w:ascii="楷体" w:hAnsi="楷体" w:eastAsia="楷体" w:cs="楷体"/>
          <w:bCs/>
          <w:sz w:val="28"/>
          <w:szCs w:val="28"/>
        </w:rPr>
        <w:t>京时间）</w:t>
      </w:r>
    </w:p>
    <w:p>
      <w:pPr>
        <w:spacing w:line="360" w:lineRule="exact"/>
        <w:ind w:firstLine="564" w:firstLineChars="200"/>
        <w:rPr>
          <w:rFonts w:ascii="楷体" w:hAnsi="楷体" w:eastAsia="楷体" w:cs="楷体"/>
          <w:bCs/>
          <w:sz w:val="28"/>
          <w:szCs w:val="28"/>
          <w:u w:val="single"/>
        </w:rPr>
      </w:pPr>
      <w:r>
        <w:rPr>
          <w:rFonts w:hint="eastAsia" w:ascii="楷体" w:hAnsi="楷体" w:eastAsia="楷体" w:cs="楷体"/>
          <w:sz w:val="28"/>
          <w:szCs w:val="28"/>
        </w:rPr>
        <w:t>地点：</w:t>
      </w:r>
      <w:r>
        <w:rPr>
          <w:rFonts w:hint="eastAsia" w:ascii="楷体" w:hAnsi="楷体" w:eastAsia="楷体" w:cs="楷体"/>
          <w:sz w:val="28"/>
          <w:szCs w:val="28"/>
          <w:u w:val="single"/>
        </w:rPr>
        <w:t>喀什设计咨询总部大厦11-1101-A室</w:t>
      </w:r>
    </w:p>
    <w:p>
      <w:pPr>
        <w:keepNext/>
        <w:keepLines/>
        <w:spacing w:before="260" w:after="260" w:line="360" w:lineRule="exact"/>
        <w:outlineLvl w:val="1"/>
        <w:rPr>
          <w:rFonts w:ascii="楷体" w:hAnsi="楷体" w:eastAsia="楷体" w:cs="楷体"/>
          <w:bCs/>
          <w:sz w:val="28"/>
          <w:szCs w:val="28"/>
        </w:rPr>
      </w:pPr>
      <w:bookmarkStart w:id="331" w:name="_Toc28359007"/>
      <w:bookmarkStart w:id="332" w:name="_Toc35393625"/>
      <w:bookmarkStart w:id="333" w:name="_Toc35393794"/>
      <w:bookmarkStart w:id="334" w:name="_Toc28359084"/>
      <w:r>
        <w:rPr>
          <w:rFonts w:hint="eastAsia" w:ascii="楷体" w:hAnsi="楷体" w:eastAsia="楷体" w:cs="楷体"/>
          <w:bCs/>
          <w:sz w:val="28"/>
          <w:szCs w:val="28"/>
        </w:rPr>
        <w:t>五、公告期限</w:t>
      </w:r>
      <w:bookmarkEnd w:id="331"/>
      <w:bookmarkEnd w:id="332"/>
      <w:bookmarkEnd w:id="333"/>
      <w:bookmarkEnd w:id="334"/>
    </w:p>
    <w:p>
      <w:pPr>
        <w:spacing w:line="360" w:lineRule="exact"/>
        <w:ind w:firstLine="564" w:firstLineChars="200"/>
        <w:rPr>
          <w:rFonts w:ascii="楷体" w:hAnsi="楷体" w:eastAsia="楷体" w:cs="楷体"/>
          <w:kern w:val="0"/>
          <w:sz w:val="28"/>
          <w:szCs w:val="28"/>
        </w:rPr>
      </w:pPr>
      <w:r>
        <w:rPr>
          <w:rFonts w:hint="eastAsia" w:ascii="楷体" w:hAnsi="楷体" w:eastAsia="楷体" w:cs="楷体"/>
          <w:kern w:val="0"/>
          <w:sz w:val="28"/>
          <w:szCs w:val="28"/>
        </w:rPr>
        <w:t>自本公告发布之日起5个工作日。</w:t>
      </w:r>
    </w:p>
    <w:p>
      <w:pPr>
        <w:keepNext/>
        <w:keepLines/>
        <w:spacing w:before="260" w:after="260" w:line="360" w:lineRule="exact"/>
        <w:outlineLvl w:val="1"/>
        <w:rPr>
          <w:rFonts w:ascii="楷体" w:hAnsi="楷体" w:eastAsia="楷体" w:cs="楷体"/>
          <w:bCs/>
          <w:sz w:val="28"/>
          <w:szCs w:val="28"/>
        </w:rPr>
      </w:pPr>
      <w:bookmarkStart w:id="335" w:name="_Toc35393795"/>
      <w:bookmarkStart w:id="336" w:name="_Toc35393626"/>
      <w:r>
        <w:rPr>
          <w:rFonts w:hint="eastAsia" w:ascii="楷体" w:hAnsi="楷体" w:eastAsia="楷体" w:cs="楷体"/>
          <w:bCs/>
          <w:sz w:val="28"/>
          <w:szCs w:val="28"/>
        </w:rPr>
        <w:t>六、其他补充事宜</w:t>
      </w:r>
      <w:bookmarkEnd w:id="335"/>
      <w:bookmarkEnd w:id="336"/>
      <w:r>
        <w:rPr>
          <w:rFonts w:hint="eastAsia" w:ascii="楷体" w:hAnsi="楷体" w:eastAsia="楷体" w:cs="楷体"/>
          <w:bCs/>
          <w:sz w:val="28"/>
          <w:szCs w:val="28"/>
        </w:rPr>
        <w:t>：无</w:t>
      </w:r>
    </w:p>
    <w:p>
      <w:pPr>
        <w:keepNext/>
        <w:keepLines/>
        <w:spacing w:before="260" w:after="260" w:line="360" w:lineRule="exact"/>
        <w:outlineLvl w:val="1"/>
        <w:rPr>
          <w:rFonts w:ascii="楷体" w:hAnsi="楷体" w:eastAsia="楷体" w:cs="楷体"/>
          <w:bCs/>
          <w:sz w:val="28"/>
          <w:szCs w:val="28"/>
        </w:rPr>
      </w:pPr>
      <w:bookmarkStart w:id="337" w:name="_Toc35393796"/>
      <w:bookmarkStart w:id="338" w:name="_Toc28359008"/>
      <w:bookmarkStart w:id="339" w:name="_Toc28359085"/>
      <w:bookmarkStart w:id="340" w:name="_Toc35393627"/>
      <w:r>
        <w:rPr>
          <w:rFonts w:hint="eastAsia" w:ascii="楷体" w:hAnsi="楷体" w:eastAsia="楷体" w:cs="楷体"/>
          <w:bCs/>
          <w:sz w:val="28"/>
          <w:szCs w:val="28"/>
        </w:rPr>
        <w:t>七、对本次招标提出询问，请按以下方式联系。</w:t>
      </w:r>
      <w:bookmarkEnd w:id="337"/>
      <w:bookmarkEnd w:id="338"/>
      <w:bookmarkEnd w:id="339"/>
      <w:bookmarkEnd w:id="340"/>
    </w:p>
    <w:p>
      <w:pPr>
        <w:widowControl/>
        <w:spacing w:line="360" w:lineRule="exact"/>
        <w:ind w:firstLine="564" w:firstLineChars="200"/>
        <w:jc w:val="left"/>
        <w:rPr>
          <w:rFonts w:ascii="楷体" w:hAnsi="楷体" w:eastAsia="楷体" w:cs="楷体"/>
          <w:sz w:val="28"/>
          <w:szCs w:val="28"/>
        </w:rPr>
      </w:pPr>
      <w:r>
        <w:rPr>
          <w:rFonts w:hint="eastAsia" w:ascii="楷体" w:hAnsi="楷体" w:eastAsia="楷体" w:cs="楷体"/>
          <w:sz w:val="28"/>
          <w:szCs w:val="28"/>
        </w:rPr>
        <w:t>1.采购人信息</w:t>
      </w:r>
    </w:p>
    <w:p>
      <w:pP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名 称：喀什地区第二人民医院　</w:t>
      </w:r>
    </w:p>
    <w:p>
      <w:pP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地址：喀什市健康路1号　</w:t>
      </w:r>
    </w:p>
    <w:p>
      <w:pP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联系方式：0998—2576103　</w:t>
      </w:r>
      <w:bookmarkStart w:id="341" w:name="_Toc28359086"/>
      <w:bookmarkStart w:id="342" w:name="_Toc28359009"/>
    </w:p>
    <w:bookmarkEnd w:id="341"/>
    <w:bookmarkEnd w:id="342"/>
    <w:p>
      <w:pPr>
        <w:keepNext/>
        <w:keepLines/>
        <w:spacing w:before="260" w:after="260" w:line="360" w:lineRule="exact"/>
        <w:ind w:firstLine="564" w:firstLineChars="200"/>
        <w:outlineLvl w:val="1"/>
        <w:rPr>
          <w:rFonts w:ascii="楷体" w:hAnsi="楷体" w:eastAsia="楷体" w:cs="楷体"/>
          <w:bCs/>
          <w:sz w:val="28"/>
          <w:szCs w:val="28"/>
        </w:rPr>
      </w:pPr>
      <w:bookmarkStart w:id="343" w:name="_Toc35393807"/>
      <w:bookmarkStart w:id="344" w:name="_Toc28359097"/>
      <w:bookmarkStart w:id="345" w:name="_Toc28359020"/>
      <w:bookmarkStart w:id="346" w:name="_Toc35393638"/>
      <w:r>
        <w:rPr>
          <w:rFonts w:hint="eastAsia" w:ascii="楷体" w:hAnsi="楷体" w:eastAsia="楷体" w:cs="楷体"/>
          <w:bCs/>
          <w:sz w:val="28"/>
          <w:szCs w:val="28"/>
        </w:rPr>
        <w:t>2.采购代理机构信息</w:t>
      </w:r>
      <w:bookmarkEnd w:id="343"/>
      <w:bookmarkEnd w:id="344"/>
      <w:bookmarkEnd w:id="345"/>
      <w:bookmarkEnd w:id="346"/>
    </w:p>
    <w:p>
      <w:pP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名    称：新疆久诺工程项目管理有限公司</w:t>
      </w:r>
    </w:p>
    <w:p>
      <w:pP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地　　址：新疆喀什市东城区喀什设计咨询总部大厦11-1101-A室</w:t>
      </w:r>
    </w:p>
    <w:p>
      <w:pP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联系方式：</w:t>
      </w:r>
      <w:bookmarkStart w:id="347" w:name="_Toc35393808"/>
      <w:bookmarkStart w:id="348" w:name="_Toc28359021"/>
      <w:bookmarkStart w:id="349" w:name="_Toc35393639"/>
      <w:bookmarkStart w:id="350" w:name="_Toc28359098"/>
      <w:r>
        <w:rPr>
          <w:rFonts w:hint="eastAsia" w:ascii="楷体" w:hAnsi="楷体" w:eastAsia="楷体" w:cs="楷体"/>
          <w:sz w:val="28"/>
          <w:szCs w:val="28"/>
        </w:rPr>
        <w:t>18009981820</w:t>
      </w:r>
    </w:p>
    <w:p>
      <w:pPr>
        <w:keepNext/>
        <w:keepLines/>
        <w:spacing w:before="260" w:after="260" w:line="360" w:lineRule="exact"/>
        <w:ind w:firstLine="564" w:firstLineChars="200"/>
        <w:outlineLvl w:val="1"/>
        <w:rPr>
          <w:rFonts w:ascii="楷体" w:hAnsi="楷体" w:eastAsia="楷体" w:cs="楷体"/>
          <w:bCs/>
          <w:sz w:val="28"/>
          <w:szCs w:val="28"/>
        </w:rPr>
      </w:pPr>
      <w:r>
        <w:rPr>
          <w:rFonts w:hint="eastAsia" w:ascii="楷体" w:hAnsi="楷体" w:eastAsia="楷体" w:cs="楷体"/>
          <w:bCs/>
          <w:sz w:val="28"/>
          <w:szCs w:val="28"/>
        </w:rPr>
        <w:t>3.项目联系方式</w:t>
      </w:r>
      <w:bookmarkEnd w:id="347"/>
      <w:bookmarkEnd w:id="348"/>
      <w:bookmarkEnd w:id="349"/>
      <w:bookmarkEnd w:id="350"/>
    </w:p>
    <w:p>
      <w:pPr>
        <w:spacing w:line="360" w:lineRule="exact"/>
        <w:ind w:firstLine="564" w:firstLineChars="200"/>
        <w:rPr>
          <w:rFonts w:ascii="楷体" w:hAnsi="楷体" w:eastAsia="楷体" w:cs="楷体"/>
          <w:sz w:val="28"/>
          <w:szCs w:val="28"/>
        </w:rPr>
      </w:pPr>
      <w:r>
        <w:rPr>
          <w:rFonts w:hint="eastAsia" w:ascii="楷体" w:hAnsi="楷体" w:eastAsia="楷体" w:cs="楷体"/>
          <w:sz w:val="28"/>
          <w:szCs w:val="28"/>
        </w:rPr>
        <w:t>项目联系人：王瑾</w:t>
      </w:r>
    </w:p>
    <w:p>
      <w:pPr>
        <w:spacing w:line="360" w:lineRule="exact"/>
        <w:ind w:firstLine="564" w:firstLineChars="200"/>
        <w:rPr>
          <w:rFonts w:ascii="楷体" w:hAnsi="楷体" w:eastAsia="楷体" w:cs="楷体"/>
          <w:b/>
          <w:bCs/>
          <w:kern w:val="44"/>
          <w:sz w:val="28"/>
          <w:szCs w:val="28"/>
        </w:rPr>
      </w:pPr>
      <w:r>
        <w:rPr>
          <w:rFonts w:hint="eastAsia" w:ascii="楷体" w:hAnsi="楷体" w:eastAsia="楷体" w:cs="楷体"/>
          <w:sz w:val="28"/>
          <w:szCs w:val="28"/>
        </w:rPr>
        <w:t>电　　 话：18009981820</w:t>
      </w:r>
    </w:p>
    <w:p>
      <w:pPr>
        <w:keepNext/>
        <w:keepLines/>
        <w:spacing w:before="260" w:after="260" w:line="360" w:lineRule="exact"/>
        <w:ind w:firstLine="564" w:firstLineChars="200"/>
        <w:outlineLvl w:val="1"/>
        <w:rPr>
          <w:rFonts w:ascii="楷体" w:hAnsi="楷体" w:eastAsia="楷体" w:cs="楷体"/>
          <w:bCs/>
          <w:sz w:val="28"/>
          <w:szCs w:val="28"/>
        </w:rPr>
      </w:pPr>
      <w:r>
        <w:rPr>
          <w:rFonts w:hint="eastAsia" w:ascii="楷体" w:hAnsi="楷体" w:eastAsia="楷体" w:cs="楷体"/>
          <w:bCs/>
          <w:sz w:val="28"/>
          <w:szCs w:val="28"/>
        </w:rPr>
        <w:t>4.监督单位：喀什地区财政局政府采购管理办公室</w:t>
      </w:r>
    </w:p>
    <w:p>
      <w:pPr>
        <w:keepNext/>
        <w:keepLines/>
        <w:spacing w:before="260" w:after="260" w:line="360" w:lineRule="exact"/>
        <w:ind w:firstLine="564" w:firstLineChars="200"/>
        <w:outlineLvl w:val="1"/>
        <w:rPr>
          <w:rFonts w:ascii="楷体" w:hAnsi="楷体" w:eastAsia="楷体" w:cs="楷体"/>
          <w:bCs/>
          <w:sz w:val="28"/>
          <w:szCs w:val="28"/>
        </w:rPr>
      </w:pPr>
      <w:r>
        <w:rPr>
          <w:rFonts w:hint="eastAsia" w:ascii="楷体" w:hAnsi="楷体" w:eastAsia="楷体" w:cs="楷体"/>
          <w:bCs/>
          <w:sz w:val="28"/>
          <w:szCs w:val="28"/>
        </w:rPr>
        <w:t>电    话：0998-2597000</w:t>
      </w:r>
    </w:p>
    <w:p>
      <w:pPr>
        <w:pStyle w:val="24"/>
        <w:shd w:val="clear" w:color="auto" w:fill="FFFFFF"/>
        <w:spacing w:before="0" w:beforeAutospacing="0" w:after="0" w:afterAutospacing="0" w:line="360" w:lineRule="exact"/>
        <w:ind w:firstLine="564" w:firstLineChars="200"/>
        <w:rPr>
          <w:rFonts w:ascii="楷体" w:hAnsi="楷体" w:eastAsia="楷体" w:cs="楷体"/>
          <w:szCs w:val="20"/>
        </w:rPr>
      </w:pPr>
      <w:r>
        <w:rPr>
          <w:rFonts w:hint="eastAsia" w:ascii="楷体" w:hAnsi="楷体" w:eastAsia="楷体" w:cs="楷体"/>
          <w:bCs/>
          <w:kern w:val="2"/>
          <w:sz w:val="28"/>
          <w:szCs w:val="28"/>
        </w:rPr>
        <w:t>地    址：喀什地区财政局2楼</w:t>
      </w:r>
    </w:p>
    <w:p>
      <w:pPr>
        <w:pStyle w:val="4"/>
        <w:tabs>
          <w:tab w:val="left" w:pos="0"/>
        </w:tabs>
        <w:spacing w:before="0" w:after="0" w:line="240" w:lineRule="atLeast"/>
        <w:jc w:val="both"/>
        <w:rPr>
          <w:rFonts w:ascii="楷体" w:hAnsi="楷体" w:eastAsia="楷体" w:cs="楷体"/>
        </w:rPr>
      </w:pPr>
      <w:bookmarkStart w:id="351" w:name="_Toc216582823"/>
      <w:bookmarkStart w:id="352" w:name="_Toc10488"/>
      <w:bookmarkStart w:id="353" w:name="_Toc507399903"/>
      <w:bookmarkStart w:id="354" w:name="_Toc515647830"/>
      <w:bookmarkStart w:id="355" w:name="_Toc31583"/>
      <w:bookmarkStart w:id="356" w:name="_Toc19179"/>
      <w:bookmarkStart w:id="357" w:name="_Toc512937850"/>
      <w:r>
        <w:rPr>
          <w:rFonts w:hint="eastAsia" w:ascii="楷体" w:hAnsi="楷体" w:eastAsia="楷体" w:cs="楷体"/>
        </w:rPr>
        <w:br w:type="page"/>
      </w:r>
    </w:p>
    <w:p>
      <w:pPr>
        <w:pStyle w:val="4"/>
        <w:tabs>
          <w:tab w:val="left" w:pos="0"/>
        </w:tabs>
        <w:spacing w:before="0" w:after="0" w:line="240" w:lineRule="atLeast"/>
        <w:rPr>
          <w:rFonts w:ascii="楷体" w:hAnsi="楷体" w:eastAsia="楷体" w:cs="楷体"/>
          <w:b w:val="0"/>
          <w:szCs w:val="32"/>
        </w:rPr>
      </w:pPr>
      <w:r>
        <w:rPr>
          <w:rFonts w:hint="eastAsia" w:ascii="楷体" w:hAnsi="楷体" w:eastAsia="楷体" w:cs="楷体"/>
        </w:rPr>
        <w:t>第4章 投标人须知资料表</w:t>
      </w:r>
      <w:bookmarkEnd w:id="351"/>
      <w:bookmarkEnd w:id="352"/>
      <w:bookmarkEnd w:id="353"/>
      <w:bookmarkEnd w:id="354"/>
      <w:bookmarkEnd w:id="355"/>
      <w:bookmarkEnd w:id="356"/>
    </w:p>
    <w:bookmarkEnd w:id="357"/>
    <w:p>
      <w:pPr>
        <w:spacing w:line="240" w:lineRule="atLeast"/>
        <w:ind w:left="1084" w:leftChars="257" w:hanging="540"/>
        <w:rPr>
          <w:rFonts w:ascii="楷体" w:hAnsi="楷体" w:eastAsia="楷体" w:cs="楷体"/>
          <w:sz w:val="24"/>
        </w:rPr>
      </w:pPr>
    </w:p>
    <w:p>
      <w:pPr>
        <w:spacing w:line="240" w:lineRule="atLeast"/>
        <w:ind w:firstLine="363" w:firstLineChars="150"/>
        <w:rPr>
          <w:rFonts w:ascii="楷体" w:hAnsi="楷体" w:eastAsia="楷体" w:cs="楷体"/>
          <w:sz w:val="24"/>
        </w:rPr>
      </w:pPr>
      <w:r>
        <w:rPr>
          <w:rFonts w:hint="eastAsia" w:ascii="楷体" w:hAnsi="楷体" w:eastAsia="楷体" w:cs="楷体"/>
          <w:sz w:val="24"/>
        </w:rPr>
        <w:t xml:space="preserve"> 本表是本招标项目的具体资料，是对投标人须知的具体补充和修改，如有矛盾，应以本资料表为准。</w:t>
      </w:r>
    </w:p>
    <w:tbl>
      <w:tblPr>
        <w:tblStyle w:val="25"/>
        <w:tblW w:w="86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37"/>
        <w:gridCol w:w="178"/>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条款号</w:t>
            </w:r>
          </w:p>
        </w:tc>
        <w:tc>
          <w:tcPr>
            <w:tcW w:w="7207" w:type="dxa"/>
            <w:gridSpan w:val="2"/>
            <w:vAlign w:val="center"/>
          </w:tcPr>
          <w:p>
            <w:pPr>
              <w:spacing w:line="360" w:lineRule="auto"/>
              <w:ind w:left="1084" w:leftChars="257" w:hanging="540"/>
              <w:rPr>
                <w:rFonts w:ascii="楷体" w:hAnsi="楷体" w:eastAsia="楷体" w:cs="楷体"/>
                <w:b/>
                <w:sz w:val="24"/>
              </w:rPr>
            </w:pPr>
            <w:r>
              <w:rPr>
                <w:rFonts w:hint="eastAsia" w:ascii="楷体" w:hAnsi="楷体" w:eastAsia="楷体" w:cs="楷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1.1</w:t>
            </w:r>
          </w:p>
        </w:tc>
        <w:tc>
          <w:tcPr>
            <w:tcW w:w="7207" w:type="dxa"/>
            <w:gridSpan w:val="2"/>
            <w:vAlign w:val="center"/>
          </w:tcPr>
          <w:p>
            <w:pPr>
              <w:spacing w:line="360" w:lineRule="auto"/>
              <w:rPr>
                <w:rFonts w:ascii="楷体" w:hAnsi="楷体" w:eastAsia="楷体" w:cs="楷体"/>
                <w:sz w:val="24"/>
                <w:u w:val="single"/>
              </w:rPr>
            </w:pPr>
            <w:r>
              <w:rPr>
                <w:rFonts w:hint="eastAsia" w:ascii="楷体" w:hAnsi="楷体" w:eastAsia="楷体" w:cs="楷体"/>
                <w:sz w:val="24"/>
              </w:rPr>
              <w:t>采购人：喀什地区第二人民医院　</w:t>
            </w:r>
          </w:p>
          <w:p>
            <w:pPr>
              <w:spacing w:line="360" w:lineRule="auto"/>
              <w:rPr>
                <w:rFonts w:ascii="楷体" w:hAnsi="楷体" w:eastAsia="楷体" w:cs="楷体"/>
                <w:sz w:val="24"/>
              </w:rPr>
            </w:pPr>
            <w:r>
              <w:rPr>
                <w:rFonts w:hint="eastAsia" w:ascii="楷体" w:hAnsi="楷体" w:eastAsia="楷体" w:cs="楷体"/>
                <w:sz w:val="24"/>
              </w:rPr>
              <w:t>联 系 人：刘康</w:t>
            </w:r>
          </w:p>
          <w:p>
            <w:pPr>
              <w:spacing w:line="400" w:lineRule="exact"/>
              <w:jc w:val="left"/>
              <w:rPr>
                <w:rFonts w:ascii="楷体" w:hAnsi="楷体" w:eastAsia="楷体" w:cs="楷体"/>
                <w:sz w:val="24"/>
              </w:rPr>
            </w:pPr>
            <w:r>
              <w:rPr>
                <w:rFonts w:hint="eastAsia" w:ascii="楷体" w:hAnsi="楷体" w:eastAsia="楷体" w:cs="楷体"/>
                <w:sz w:val="24"/>
              </w:rPr>
              <w:t>联系方式：0998—2576103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1.2</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采购代理机构：新疆久诺工程项目管理有限公司</w:t>
            </w:r>
          </w:p>
          <w:p>
            <w:pPr>
              <w:spacing w:line="360" w:lineRule="auto"/>
              <w:rPr>
                <w:rFonts w:ascii="楷体" w:hAnsi="楷体" w:eastAsia="楷体" w:cs="楷体"/>
                <w:sz w:val="24"/>
              </w:rPr>
            </w:pPr>
            <w:r>
              <w:rPr>
                <w:rFonts w:hint="eastAsia" w:ascii="楷体" w:hAnsi="楷体" w:eastAsia="楷体" w:cs="楷体"/>
                <w:sz w:val="24"/>
              </w:rPr>
              <w:t>地址：新疆新疆喀什市东城区行政审批局西侧喀什设计咨询总部大厦1101A</w:t>
            </w:r>
          </w:p>
          <w:p>
            <w:pPr>
              <w:spacing w:line="360" w:lineRule="auto"/>
              <w:rPr>
                <w:rFonts w:ascii="楷体" w:hAnsi="楷体" w:eastAsia="楷体" w:cs="楷体"/>
                <w:sz w:val="24"/>
              </w:rPr>
            </w:pPr>
            <w:r>
              <w:rPr>
                <w:rFonts w:hint="eastAsia" w:ascii="楷体" w:hAnsi="楷体" w:eastAsia="楷体" w:cs="楷体"/>
                <w:sz w:val="24"/>
              </w:rPr>
              <w:t>业务联系人：王瑾      电话：18009981820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1.3.4</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合格投标人的其他资格要求：</w:t>
            </w:r>
          </w:p>
          <w:p>
            <w:pPr>
              <w:numPr>
                <w:ilvl w:val="0"/>
                <w:numId w:val="10"/>
              </w:numPr>
              <w:spacing w:line="240" w:lineRule="atLeast"/>
              <w:rPr>
                <w:rFonts w:ascii="楷体" w:hAnsi="楷体" w:eastAsia="楷体" w:cs="楷体"/>
                <w:sz w:val="24"/>
              </w:rPr>
            </w:pPr>
            <w:r>
              <w:rPr>
                <w:rFonts w:hint="eastAsia" w:ascii="楷体" w:hAnsi="楷体" w:eastAsia="楷体" w:cs="楷体"/>
                <w:sz w:val="24"/>
              </w:rPr>
              <w:t>投标人资格要求：投标人应遵守有关国家法律、法规和条例，具备《中华人民共和国政府采购法》第二十二条规定和本文件中规定的条件。</w:t>
            </w:r>
          </w:p>
          <w:p>
            <w:pPr>
              <w:numPr>
                <w:ilvl w:val="0"/>
                <w:numId w:val="10"/>
              </w:numPr>
              <w:spacing w:line="240" w:lineRule="atLeast"/>
              <w:rPr>
                <w:rFonts w:ascii="楷体" w:hAnsi="楷体" w:eastAsia="楷体" w:cs="楷体"/>
                <w:sz w:val="24"/>
              </w:rPr>
            </w:pPr>
            <w:r>
              <w:rPr>
                <w:rFonts w:hint="eastAsia" w:ascii="楷体" w:hAnsi="楷体" w:eastAsia="楷体" w:cs="楷体"/>
                <w:sz w:val="24"/>
              </w:rPr>
              <w:t>在本公告发出至投标截止间内在“信用中国”网站（http://www.creditchina.gov.cn）、中国政府采购网（http://www.ccgp.gov.cn）、国家企业信用信息公示系统(http://www.gsxt.gov.cn)无尚在处罚期内的不良行为记录网上截图复印件加盖公章；</w:t>
            </w:r>
          </w:p>
          <w:p>
            <w:pPr>
              <w:numPr>
                <w:ilvl w:val="0"/>
                <w:numId w:val="10"/>
              </w:numPr>
              <w:spacing w:line="240" w:lineRule="atLeast"/>
              <w:rPr>
                <w:rFonts w:ascii="楷体" w:hAnsi="楷体" w:eastAsia="楷体" w:cs="楷体"/>
                <w:sz w:val="24"/>
              </w:rPr>
            </w:pPr>
            <w:r>
              <w:rPr>
                <w:rFonts w:hint="eastAsia" w:ascii="楷体" w:hAnsi="楷体" w:eastAsia="楷体" w:cs="楷体"/>
                <w:sz w:val="24"/>
              </w:rPr>
              <w:t>参加政府采购活动前三年内，投标单位（供应商）及其法定代表人在经营活动中没有重大违法记录声明；</w:t>
            </w:r>
          </w:p>
          <w:p>
            <w:pPr>
              <w:numPr>
                <w:ilvl w:val="0"/>
                <w:numId w:val="10"/>
              </w:numPr>
              <w:spacing w:line="240" w:lineRule="atLeast"/>
              <w:rPr>
                <w:rFonts w:ascii="楷体" w:hAnsi="楷体" w:eastAsia="楷体" w:cs="楷体"/>
                <w:sz w:val="24"/>
              </w:rPr>
            </w:pPr>
            <w:r>
              <w:rPr>
                <w:rFonts w:hint="eastAsia" w:ascii="楷体" w:hAnsi="楷体" w:eastAsia="楷体" w:cs="楷体"/>
                <w:sz w:val="24"/>
              </w:rPr>
              <w:t>投标单位（供应商）及其法定代表人提供针对本次采购项目《反商业贿赂承诺书》的书面声明；</w:t>
            </w:r>
          </w:p>
          <w:p>
            <w:pPr>
              <w:numPr>
                <w:ilvl w:val="0"/>
                <w:numId w:val="10"/>
              </w:numPr>
              <w:spacing w:line="240" w:lineRule="atLeast"/>
              <w:rPr>
                <w:rFonts w:ascii="楷体" w:hAnsi="楷体" w:eastAsia="楷体" w:cs="楷体"/>
                <w:sz w:val="24"/>
              </w:rPr>
            </w:pPr>
            <w:r>
              <w:rPr>
                <w:rFonts w:hint="eastAsia" w:ascii="楷体" w:hAnsi="楷体" w:eastAsia="楷体" w:cs="楷体"/>
                <w:sz w:val="24"/>
              </w:rPr>
              <w:t>本项目不接受联合体投标，其他要求详见招标文件；</w:t>
            </w:r>
          </w:p>
          <w:p>
            <w:pPr>
              <w:numPr>
                <w:ilvl w:val="0"/>
                <w:numId w:val="10"/>
              </w:numPr>
              <w:spacing w:line="240" w:lineRule="atLeast"/>
              <w:rPr>
                <w:rFonts w:ascii="楷体" w:hAnsi="楷体" w:eastAsia="楷体" w:cs="楷体"/>
                <w:sz w:val="24"/>
              </w:rPr>
            </w:pPr>
            <w:r>
              <w:rPr>
                <w:rFonts w:hint="eastAsia" w:ascii="楷体" w:hAnsi="楷体" w:eastAsia="楷体" w:cs="楷体"/>
                <w:sz w:val="24"/>
              </w:rPr>
              <w:t xml:space="preserve">法律、行政法规规定的其他条件。      </w:t>
            </w:r>
          </w:p>
          <w:p>
            <w:pPr>
              <w:numPr>
                <w:ilvl w:val="0"/>
                <w:numId w:val="10"/>
              </w:numPr>
              <w:spacing w:line="240" w:lineRule="atLeast"/>
              <w:rPr>
                <w:rFonts w:ascii="楷体" w:hAnsi="楷体" w:eastAsia="楷体" w:cs="楷体"/>
                <w:sz w:val="24"/>
              </w:rPr>
            </w:pPr>
            <w:r>
              <w:rPr>
                <w:rFonts w:hint="eastAsia" w:ascii="楷体" w:hAnsi="楷体" w:eastAsia="楷体" w:cs="楷体"/>
                <w:sz w:val="24"/>
              </w:rPr>
              <w:t>足额缴纳投标保证金凭证；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 xml:space="preserve">1.3.5   </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是否允许采购进口产品：</w:t>
            </w:r>
            <w:r>
              <w:rPr>
                <w:rFonts w:hint="eastAsia" w:ascii="楷体" w:hAnsi="楷体" w:eastAsia="楷体" w:cs="楷体"/>
                <w:sz w:val="24"/>
                <w:u w:val="single"/>
              </w:rPr>
              <w:t>否</w:t>
            </w:r>
            <w:r>
              <w:rPr>
                <w:rFonts w:hint="eastAsia" w:ascii="楷体" w:hAnsi="楷体" w:eastAsia="楷体" w:cs="楷体"/>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1.3.6</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是否为专门面向中小企业采购：</w:t>
            </w:r>
            <w:r>
              <w:rPr>
                <w:rFonts w:hint="eastAsia" w:ascii="楷体" w:hAnsi="楷体" w:eastAsia="楷体" w:cs="楷体"/>
                <w:sz w:val="24"/>
                <w:u w:val="single"/>
              </w:rPr>
              <w:t xml:space="preserve"> 否   </w:t>
            </w:r>
            <w:r>
              <w:rPr>
                <w:rFonts w:hint="eastAsia" w:ascii="楷体" w:hAnsi="楷体" w:eastAsia="楷体" w:cs="楷体"/>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1.4</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是否允许联合体投标：</w:t>
            </w:r>
            <w:r>
              <w:rPr>
                <w:rFonts w:hint="eastAsia" w:ascii="楷体" w:hAnsi="楷体" w:eastAsia="楷体" w:cs="楷体"/>
                <w:sz w:val="24"/>
                <w:u w:val="single"/>
              </w:rPr>
              <w:t xml:space="preserve">  否  </w:t>
            </w:r>
            <w:r>
              <w:rPr>
                <w:rFonts w:hint="eastAsia" w:ascii="楷体" w:hAnsi="楷体" w:eastAsia="楷体" w:cs="楷体"/>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1.4.8</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2.2</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项目预算金额：155.00万元（壹佰伍拾伍万元整）；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8.1</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如投标商对多个包进行投标，可以中标</w:t>
            </w:r>
            <w:r>
              <w:rPr>
                <w:rFonts w:hint="eastAsia" w:ascii="楷体" w:hAnsi="楷体" w:eastAsia="楷体" w:cs="楷体"/>
                <w:sz w:val="24"/>
                <w:u w:val="single"/>
              </w:rPr>
              <w:t xml:space="preserve">  /  </w:t>
            </w:r>
            <w:r>
              <w:rPr>
                <w:rFonts w:hint="eastAsia" w:ascii="楷体" w:hAnsi="楷体" w:eastAsia="楷体" w:cs="楷体"/>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12.1</w:t>
            </w:r>
          </w:p>
        </w:tc>
        <w:tc>
          <w:tcPr>
            <w:tcW w:w="7207" w:type="dxa"/>
            <w:gridSpan w:val="2"/>
            <w:vAlign w:val="center"/>
          </w:tcPr>
          <w:p>
            <w:pPr>
              <w:spacing w:line="360" w:lineRule="auto"/>
              <w:ind w:left="607" w:hanging="605" w:hangingChars="250"/>
              <w:rPr>
                <w:rFonts w:ascii="楷体" w:hAnsi="楷体" w:eastAsia="楷体" w:cs="楷体"/>
                <w:sz w:val="24"/>
                <w:u w:val="single"/>
              </w:rPr>
            </w:pPr>
            <w:r>
              <w:rPr>
                <w:rFonts w:hint="eastAsia" w:ascii="楷体" w:hAnsi="楷体" w:eastAsia="楷体" w:cs="楷体"/>
                <w:sz w:val="24"/>
                <w:u w:val="single"/>
              </w:rPr>
              <w:t>保证金形式：□保函  ☑电汇  □支票</w:t>
            </w:r>
            <w:r>
              <w:rPr>
                <w:rFonts w:hint="eastAsia" w:ascii="楷体" w:hAnsi="楷体" w:eastAsia="楷体" w:cs="楷体"/>
                <w:sz w:val="24"/>
              </w:rPr>
              <w:t>☑</w:t>
            </w:r>
            <w:r>
              <w:rPr>
                <w:rFonts w:hint="eastAsia" w:ascii="楷体" w:hAnsi="楷体" w:eastAsia="楷体" w:cs="楷体"/>
                <w:sz w:val="24"/>
                <w:u w:val="single"/>
              </w:rPr>
              <w:t xml:space="preserve"> 企业账户网银汇款</w:t>
            </w:r>
            <w:r>
              <w:rPr>
                <w:rFonts w:hint="eastAsia" w:ascii="楷体" w:hAnsi="楷体" w:eastAsia="楷体" w:cs="楷体"/>
                <w:i/>
                <w:sz w:val="24"/>
              </w:rPr>
              <w:t xml:space="preserve">本项目允许的其他形式） </w:t>
            </w:r>
          </w:p>
          <w:p>
            <w:pPr>
              <w:spacing w:line="360" w:lineRule="auto"/>
              <w:rPr>
                <w:rFonts w:ascii="楷体" w:hAnsi="楷体" w:eastAsia="楷体" w:cs="楷体"/>
                <w:i/>
                <w:sz w:val="24"/>
              </w:rPr>
            </w:pPr>
            <w:r>
              <w:rPr>
                <w:rFonts w:hint="eastAsia" w:ascii="楷体" w:hAnsi="楷体" w:eastAsia="楷体" w:cs="楷体"/>
                <w:sz w:val="24"/>
                <w:u w:val="single"/>
              </w:rPr>
              <w:t>保证金数额：31000.00元（叁万壹仟元整）（</w:t>
            </w:r>
            <w:r>
              <w:rPr>
                <w:rFonts w:hint="eastAsia" w:ascii="楷体" w:hAnsi="楷体" w:eastAsia="楷体" w:cs="楷体"/>
                <w:i/>
                <w:sz w:val="24"/>
              </w:rPr>
              <w:t>按照各分包控制金额2%以内的整数计算）</w:t>
            </w:r>
          </w:p>
          <w:p>
            <w:pPr>
              <w:widowControl/>
              <w:spacing w:line="360" w:lineRule="auto"/>
              <w:jc w:val="left"/>
              <w:rPr>
                <w:rFonts w:ascii="楷体" w:hAnsi="楷体" w:eastAsia="楷体" w:cs="楷体"/>
                <w:sz w:val="24"/>
              </w:rPr>
            </w:pPr>
            <w:r>
              <w:rPr>
                <w:rFonts w:hint="eastAsia" w:ascii="楷体" w:hAnsi="楷体" w:eastAsia="楷体" w:cs="楷体"/>
                <w:sz w:val="24"/>
              </w:rPr>
              <w:t>保证金收款人：</w:t>
            </w:r>
          </w:p>
          <w:p>
            <w:pPr>
              <w:spacing w:line="360" w:lineRule="auto"/>
              <w:rPr>
                <w:rFonts w:ascii="楷体" w:hAnsi="楷体" w:eastAsia="楷体" w:cs="楷体"/>
                <w:sz w:val="24"/>
              </w:rPr>
            </w:pPr>
            <w:r>
              <w:rPr>
                <w:rFonts w:hint="eastAsia" w:ascii="楷体" w:hAnsi="楷体" w:eastAsia="楷体" w:cs="楷体"/>
                <w:sz w:val="24"/>
              </w:rPr>
              <w:t>账户名：新疆久诺工程项目管理有限公司</w:t>
            </w:r>
          </w:p>
          <w:p>
            <w:pPr>
              <w:spacing w:line="360" w:lineRule="auto"/>
              <w:rPr>
                <w:rFonts w:ascii="楷体" w:hAnsi="楷体" w:eastAsia="楷体" w:cs="楷体"/>
                <w:sz w:val="24"/>
              </w:rPr>
            </w:pPr>
            <w:r>
              <w:rPr>
                <w:rFonts w:hint="eastAsia" w:ascii="楷体" w:hAnsi="楷体" w:eastAsia="楷体" w:cs="楷体"/>
                <w:sz w:val="24"/>
              </w:rPr>
              <w:t>开户银行：中国银行股份有限公司喀什人民西路支行</w:t>
            </w:r>
          </w:p>
          <w:p>
            <w:pPr>
              <w:spacing w:line="360" w:lineRule="auto"/>
              <w:rPr>
                <w:rFonts w:ascii="楷体" w:hAnsi="楷体" w:eastAsia="楷体" w:cs="楷体"/>
                <w:sz w:val="24"/>
              </w:rPr>
            </w:pPr>
            <w:r>
              <w:rPr>
                <w:rFonts w:hint="eastAsia" w:ascii="楷体" w:hAnsi="楷体" w:eastAsia="楷体" w:cs="楷体"/>
                <w:sz w:val="24"/>
              </w:rPr>
              <w:t>账号：108273512828</w:t>
            </w:r>
          </w:p>
          <w:p>
            <w:pPr>
              <w:spacing w:line="360" w:lineRule="auto"/>
              <w:rPr>
                <w:rFonts w:ascii="楷体" w:hAnsi="楷体" w:eastAsia="楷体" w:cs="楷体"/>
                <w:i/>
                <w:sz w:val="24"/>
              </w:rPr>
            </w:pPr>
            <w:r>
              <w:rPr>
                <w:rFonts w:hint="eastAsia" w:ascii="楷体" w:hAnsi="楷体" w:eastAsia="楷体" w:cs="楷体"/>
                <w:sz w:val="24"/>
              </w:rPr>
              <w:t>打款时注明投标保证金项目名称及第几包或项目编号及第几包编号。到账截止时间：投标截止时间前日19:00。打款后请联系我方确认是否到账换取投标保证金收据。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13.1</w:t>
            </w:r>
          </w:p>
        </w:tc>
        <w:tc>
          <w:tcPr>
            <w:tcW w:w="7207" w:type="dxa"/>
            <w:gridSpan w:val="2"/>
            <w:vAlign w:val="center"/>
          </w:tcPr>
          <w:p>
            <w:pPr>
              <w:spacing w:line="360" w:lineRule="auto"/>
              <w:rPr>
                <w:rFonts w:ascii="楷体" w:hAnsi="楷体" w:eastAsia="楷体" w:cs="楷体"/>
                <w:sz w:val="24"/>
                <w:u w:val="single"/>
              </w:rPr>
            </w:pPr>
            <w:r>
              <w:rPr>
                <w:rFonts w:hint="eastAsia" w:ascii="楷体" w:hAnsi="楷体" w:eastAsia="楷体" w:cs="楷体"/>
                <w:sz w:val="24"/>
              </w:rPr>
              <w:t>投标有效期：</w:t>
            </w:r>
            <w:r>
              <w:rPr>
                <w:rFonts w:hint="eastAsia" w:ascii="楷体" w:hAnsi="楷体" w:eastAsia="楷体" w:cs="楷体"/>
                <w:sz w:val="24"/>
                <w:u w:val="single"/>
              </w:rPr>
              <w:t>　90　</w:t>
            </w:r>
            <w:r>
              <w:rPr>
                <w:rFonts w:hint="eastAsia" w:ascii="楷体" w:hAnsi="楷体" w:eastAsia="楷体" w:cs="楷体"/>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14.1</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第一部分第二部分投标文件合订成册：正本：</w:t>
            </w:r>
            <w:r>
              <w:rPr>
                <w:rFonts w:hint="eastAsia" w:ascii="楷体" w:hAnsi="楷体" w:eastAsia="楷体" w:cs="楷体"/>
                <w:sz w:val="24"/>
                <w:u w:val="single"/>
              </w:rPr>
              <w:t xml:space="preserve">一 </w:t>
            </w:r>
            <w:r>
              <w:rPr>
                <w:rFonts w:hint="eastAsia" w:ascii="楷体" w:hAnsi="楷体" w:eastAsia="楷体" w:cs="楷体"/>
                <w:sz w:val="24"/>
              </w:rPr>
              <w:t>份、副本：</w:t>
            </w:r>
            <w:r>
              <w:rPr>
                <w:rFonts w:hint="eastAsia" w:ascii="楷体" w:hAnsi="楷体" w:eastAsia="楷体" w:cs="楷体"/>
                <w:sz w:val="24"/>
                <w:u w:val="single"/>
              </w:rPr>
              <w:t xml:space="preserve">四 </w:t>
            </w:r>
            <w:r>
              <w:rPr>
                <w:rFonts w:hint="eastAsia" w:ascii="楷体" w:hAnsi="楷体" w:eastAsia="楷体" w:cs="楷体"/>
                <w:sz w:val="24"/>
              </w:rPr>
              <w:t>份；</w:t>
            </w:r>
          </w:p>
          <w:p>
            <w:pPr>
              <w:spacing w:line="360" w:lineRule="auto"/>
              <w:rPr>
                <w:rFonts w:ascii="楷体" w:hAnsi="楷体" w:eastAsia="楷体" w:cs="楷体"/>
                <w:sz w:val="24"/>
              </w:rPr>
            </w:pPr>
            <w:r>
              <w:rPr>
                <w:rFonts w:hint="eastAsia" w:ascii="楷体" w:hAnsi="楷体" w:eastAsia="楷体" w:cs="楷体"/>
                <w:sz w:val="24"/>
              </w:rPr>
              <w:t>除上述文件外，还须密封递交投标文件电子文档</w:t>
            </w:r>
            <w:r>
              <w:rPr>
                <w:rFonts w:hint="eastAsia" w:ascii="楷体" w:hAnsi="楷体" w:eastAsia="楷体" w:cs="楷体"/>
                <w:sz w:val="24"/>
                <w:u w:val="single"/>
              </w:rPr>
              <w:t xml:space="preserve"> 一 </w:t>
            </w:r>
            <w:r>
              <w:rPr>
                <w:rFonts w:hint="eastAsia" w:ascii="楷体" w:hAnsi="楷体" w:eastAsia="楷体" w:cs="楷体"/>
                <w:sz w:val="24"/>
              </w:rPr>
              <w:t xml:space="preserve"> 份，开标一览表一份。</w:t>
            </w:r>
          </w:p>
          <w:p>
            <w:pPr>
              <w:spacing w:line="360" w:lineRule="auto"/>
              <w:rPr>
                <w:rFonts w:ascii="楷体" w:hAnsi="楷体" w:eastAsia="楷体" w:cs="楷体"/>
                <w:sz w:val="24"/>
              </w:rPr>
            </w:pPr>
            <w:r>
              <w:rPr>
                <w:rFonts w:hint="eastAsia" w:ascii="楷体" w:hAnsi="楷体" w:eastAsia="楷体" w:cs="楷体"/>
                <w:sz w:val="24"/>
              </w:rPr>
              <w:t>正副本可装入一个封套中，但开标一览表、电子U盘需再单独封装一份于单独封套中，加贴封条，并在封套的封口处骑缝签字并盖章。</w:t>
            </w:r>
          </w:p>
          <w:p>
            <w:pPr>
              <w:spacing w:line="360" w:lineRule="auto"/>
              <w:rPr>
                <w:rFonts w:ascii="楷体" w:hAnsi="楷体" w:eastAsia="楷体" w:cs="楷体"/>
                <w:sz w:val="24"/>
              </w:rPr>
            </w:pPr>
            <w:r>
              <w:rPr>
                <w:rFonts w:hint="eastAsia" w:ascii="楷体" w:hAnsi="楷体" w:eastAsia="楷体" w:cs="楷体"/>
                <w:sz w:val="24"/>
              </w:rPr>
              <w:t>投标文件使用A4双面打印，胶装，每册装订应牢固、不易拆散和换页，不得采用活页装订。投标文件中大于A3的彩图应需要另外裱装。</w:t>
            </w:r>
          </w:p>
          <w:p>
            <w:pPr>
              <w:spacing w:line="360" w:lineRule="auto"/>
              <w:rPr>
                <w:rFonts w:ascii="楷体" w:hAnsi="楷体" w:eastAsia="楷体" w:cs="楷体"/>
                <w:sz w:val="24"/>
              </w:rPr>
            </w:pPr>
            <w:r>
              <w:rPr>
                <w:rFonts w:hint="eastAsia" w:ascii="楷体" w:hAnsi="楷体" w:eastAsia="楷体" w:cs="楷体"/>
                <w:sz w:val="24"/>
              </w:rPr>
              <w:t>所有响应招标文件要求合格投标人的投标文件包括随文件同时递交的图纸、U盘等附件均不予退回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16.1</w:t>
            </w:r>
          </w:p>
        </w:tc>
        <w:tc>
          <w:tcPr>
            <w:tcW w:w="7207" w:type="dxa"/>
            <w:gridSpan w:val="2"/>
            <w:vAlign w:val="center"/>
          </w:tcPr>
          <w:p>
            <w:pPr>
              <w:spacing w:line="360" w:lineRule="auto"/>
              <w:rPr>
                <w:rFonts w:ascii="楷体" w:hAnsi="楷体" w:eastAsia="楷体" w:cs="楷体"/>
                <w:color w:val="auto"/>
                <w:sz w:val="24"/>
              </w:rPr>
            </w:pPr>
            <w:r>
              <w:rPr>
                <w:rFonts w:hint="eastAsia" w:ascii="楷体" w:hAnsi="楷体" w:eastAsia="楷体" w:cs="楷体"/>
                <w:color w:val="auto"/>
                <w:sz w:val="24"/>
              </w:rPr>
              <w:t>投标截止时间：</w:t>
            </w:r>
            <w:r>
              <w:rPr>
                <w:rFonts w:hint="eastAsia" w:ascii="楷体" w:hAnsi="楷体" w:eastAsia="楷体" w:cs="楷体"/>
                <w:color w:val="auto"/>
                <w:kern w:val="0"/>
                <w:sz w:val="24"/>
                <w:szCs w:val="20"/>
              </w:rPr>
              <w:t>2020年</w:t>
            </w:r>
            <w:r>
              <w:rPr>
                <w:rFonts w:hint="eastAsia" w:ascii="楷体" w:hAnsi="楷体" w:eastAsia="楷体" w:cs="楷体"/>
                <w:color w:val="auto"/>
                <w:kern w:val="0"/>
                <w:sz w:val="24"/>
                <w:szCs w:val="20"/>
                <w:lang w:val="en-US" w:eastAsia="zh-CN"/>
              </w:rPr>
              <w:t>8</w:t>
            </w:r>
            <w:r>
              <w:rPr>
                <w:rFonts w:hint="eastAsia" w:ascii="楷体" w:hAnsi="楷体" w:eastAsia="楷体" w:cs="楷体"/>
                <w:color w:val="auto"/>
                <w:kern w:val="0"/>
                <w:sz w:val="24"/>
                <w:szCs w:val="20"/>
              </w:rPr>
              <w:t>月</w:t>
            </w:r>
            <w:r>
              <w:rPr>
                <w:rFonts w:hint="eastAsia" w:ascii="楷体" w:hAnsi="楷体" w:eastAsia="楷体" w:cs="楷体"/>
                <w:color w:val="auto"/>
                <w:kern w:val="0"/>
                <w:sz w:val="24"/>
                <w:szCs w:val="20"/>
                <w:lang w:val="en-US" w:eastAsia="zh-CN"/>
              </w:rPr>
              <w:t>6</w:t>
            </w:r>
            <w:r>
              <w:rPr>
                <w:rFonts w:hint="eastAsia" w:ascii="楷体" w:hAnsi="楷体" w:eastAsia="楷体" w:cs="楷体"/>
                <w:color w:val="auto"/>
                <w:kern w:val="0"/>
                <w:sz w:val="24"/>
                <w:szCs w:val="20"/>
              </w:rPr>
              <w:t>日11:00（北京时间）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18.1</w:t>
            </w:r>
          </w:p>
        </w:tc>
        <w:tc>
          <w:tcPr>
            <w:tcW w:w="7207" w:type="dxa"/>
            <w:gridSpan w:val="2"/>
            <w:vAlign w:val="center"/>
          </w:tcPr>
          <w:p>
            <w:pPr>
              <w:spacing w:line="360" w:lineRule="auto"/>
              <w:rPr>
                <w:rFonts w:ascii="楷体" w:hAnsi="楷体" w:eastAsia="楷体" w:cs="楷体"/>
                <w:color w:val="auto"/>
                <w:sz w:val="24"/>
              </w:rPr>
            </w:pPr>
            <w:r>
              <w:rPr>
                <w:rFonts w:hint="eastAsia" w:ascii="楷体" w:hAnsi="楷体" w:eastAsia="楷体" w:cs="楷体"/>
                <w:color w:val="auto"/>
                <w:sz w:val="24"/>
              </w:rPr>
              <w:t>开标时间：</w:t>
            </w:r>
            <w:r>
              <w:rPr>
                <w:rFonts w:hint="eastAsia" w:ascii="楷体" w:hAnsi="楷体" w:eastAsia="楷体" w:cs="楷体"/>
                <w:color w:val="auto"/>
                <w:kern w:val="0"/>
                <w:sz w:val="24"/>
                <w:szCs w:val="20"/>
              </w:rPr>
              <w:t>2020年</w:t>
            </w:r>
            <w:r>
              <w:rPr>
                <w:rFonts w:hint="eastAsia" w:ascii="楷体" w:hAnsi="楷体" w:eastAsia="楷体" w:cs="楷体"/>
                <w:color w:val="auto"/>
                <w:kern w:val="0"/>
                <w:sz w:val="24"/>
                <w:szCs w:val="20"/>
                <w:lang w:val="en-US" w:eastAsia="zh-CN"/>
              </w:rPr>
              <w:t>8</w:t>
            </w:r>
            <w:r>
              <w:rPr>
                <w:rFonts w:hint="eastAsia" w:ascii="楷体" w:hAnsi="楷体" w:eastAsia="楷体" w:cs="楷体"/>
                <w:color w:val="auto"/>
                <w:kern w:val="0"/>
                <w:sz w:val="24"/>
                <w:szCs w:val="20"/>
              </w:rPr>
              <w:t>月</w:t>
            </w:r>
            <w:r>
              <w:rPr>
                <w:rFonts w:hint="eastAsia" w:ascii="楷体" w:hAnsi="楷体" w:eastAsia="楷体" w:cs="楷体"/>
                <w:color w:val="auto"/>
                <w:kern w:val="0"/>
                <w:sz w:val="24"/>
                <w:szCs w:val="20"/>
                <w:lang w:val="en-US" w:eastAsia="zh-CN"/>
              </w:rPr>
              <w:t>6</w:t>
            </w:r>
            <w:r>
              <w:rPr>
                <w:rFonts w:hint="eastAsia" w:ascii="楷体" w:hAnsi="楷体" w:eastAsia="楷体" w:cs="楷体"/>
                <w:color w:val="auto"/>
                <w:kern w:val="0"/>
                <w:sz w:val="24"/>
                <w:szCs w:val="20"/>
              </w:rPr>
              <w:t>日11:00（北京时间）</w:t>
            </w:r>
          </w:p>
          <w:p>
            <w:pPr>
              <w:spacing w:line="360" w:lineRule="auto"/>
              <w:rPr>
                <w:rFonts w:ascii="楷体" w:hAnsi="楷体" w:eastAsia="楷体" w:cs="楷体"/>
                <w:color w:val="auto"/>
                <w:sz w:val="24"/>
              </w:rPr>
            </w:pPr>
            <w:r>
              <w:rPr>
                <w:rFonts w:hint="eastAsia" w:ascii="楷体" w:hAnsi="楷体" w:eastAsia="楷体" w:cs="楷体"/>
                <w:color w:val="auto"/>
                <w:sz w:val="24"/>
              </w:rPr>
              <w:t>开标地点：</w:t>
            </w:r>
            <w:r>
              <w:rPr>
                <w:rFonts w:hint="eastAsia" w:ascii="楷体" w:hAnsi="楷体" w:eastAsia="楷体" w:cs="楷体"/>
                <w:color w:val="auto"/>
                <w:sz w:val="24"/>
                <w:u w:val="single"/>
              </w:rPr>
              <w:t>喀什东城区设计咨询总部大厦11-1101A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20.5</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核心服务：桌面服务支撑及数据中心软、硬件维保服务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23.2</w:t>
            </w:r>
          </w:p>
        </w:tc>
        <w:tc>
          <w:tcPr>
            <w:tcW w:w="7207" w:type="dxa"/>
            <w:gridSpan w:val="2"/>
            <w:vAlign w:val="center"/>
          </w:tcPr>
          <w:p>
            <w:pPr>
              <w:spacing w:line="360" w:lineRule="auto"/>
              <w:rPr>
                <w:rFonts w:ascii="楷体" w:hAnsi="楷体" w:eastAsia="楷体" w:cs="楷体"/>
                <w:i/>
                <w:sz w:val="24"/>
              </w:rPr>
            </w:pPr>
            <w:r>
              <w:rPr>
                <w:rFonts w:hint="eastAsia" w:ascii="楷体" w:hAnsi="楷体" w:eastAsia="楷体" w:cs="楷体"/>
                <w:sz w:val="24"/>
              </w:rPr>
              <w:t>评标方法：适用中华人民共和国财政部令第87号--政府采购货物和服务招标投标管理办法第五十五条综合评分法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27</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推荐中标候选供应商的数量：</w:t>
            </w:r>
            <w:r>
              <w:rPr>
                <w:rFonts w:hint="eastAsia" w:ascii="楷体" w:hAnsi="楷体" w:eastAsia="楷体" w:cs="楷体"/>
                <w:sz w:val="24"/>
                <w:u w:val="single"/>
              </w:rPr>
              <w:t>　三名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27</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招标人是否委托评标委员会直接确定中标人：</w:t>
            </w:r>
            <w:r>
              <w:rPr>
                <w:rFonts w:hint="eastAsia" w:ascii="楷体" w:hAnsi="楷体" w:eastAsia="楷体" w:cs="楷体"/>
                <w:sz w:val="24"/>
                <w:u w:val="single"/>
              </w:rPr>
              <w:t xml:space="preserve"> 否 </w:t>
            </w:r>
            <w:r>
              <w:rPr>
                <w:rFonts w:hint="eastAsia" w:ascii="楷体" w:hAnsi="楷体" w:eastAsia="楷体" w:cs="楷体"/>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31.1</w:t>
            </w:r>
          </w:p>
        </w:tc>
        <w:tc>
          <w:tcPr>
            <w:tcW w:w="7207" w:type="dxa"/>
            <w:gridSpan w:val="2"/>
            <w:vAlign w:val="center"/>
          </w:tcPr>
          <w:p>
            <w:pPr>
              <w:spacing w:line="360" w:lineRule="auto"/>
              <w:rPr>
                <w:rFonts w:ascii="楷体" w:hAnsi="楷体" w:eastAsia="楷体" w:cs="楷体"/>
                <w:i/>
                <w:sz w:val="24"/>
              </w:rPr>
            </w:pPr>
            <w:r>
              <w:rPr>
                <w:rFonts w:hint="eastAsia" w:ascii="楷体" w:hAnsi="楷体" w:eastAsia="楷体" w:cs="楷体"/>
                <w:sz w:val="24"/>
              </w:rPr>
              <w:t>履约保证金金额：合同总价的</w:t>
            </w:r>
            <w:r>
              <w:rPr>
                <w:rFonts w:hint="eastAsia" w:ascii="楷体" w:hAnsi="楷体" w:eastAsia="楷体" w:cs="楷体"/>
                <w:sz w:val="24"/>
                <w:u w:val="single"/>
              </w:rPr>
              <w:t>　5%　</w:t>
            </w:r>
            <w:r>
              <w:rPr>
                <w:rFonts w:hint="eastAsia" w:ascii="楷体" w:hAnsi="楷体" w:eastAsia="楷体" w:cs="楷体"/>
                <w:i/>
                <w:sz w:val="24"/>
              </w:rPr>
              <w:t>（不得超过政府采购合同金额的10%）</w:t>
            </w:r>
          </w:p>
          <w:p>
            <w:pPr>
              <w:spacing w:line="360" w:lineRule="auto"/>
              <w:rPr>
                <w:rFonts w:ascii="楷体" w:hAnsi="楷体" w:eastAsia="楷体" w:cs="楷体"/>
                <w:sz w:val="24"/>
                <w:u w:val="single"/>
              </w:rPr>
            </w:pPr>
            <w:r>
              <w:rPr>
                <w:rFonts w:hint="eastAsia" w:ascii="楷体" w:hAnsi="楷体" w:eastAsia="楷体" w:cs="楷体"/>
                <w:sz w:val="24"/>
              </w:rPr>
              <w:t>履约保证金形式：</w:t>
            </w:r>
            <w:r>
              <w:rPr>
                <w:rFonts w:hint="eastAsia" w:ascii="楷体" w:hAnsi="楷体" w:eastAsia="楷体" w:cs="楷体"/>
                <w:sz w:val="24"/>
                <w:u w:val="single"/>
              </w:rPr>
              <w:t>电汇、支票 、保函</w:t>
            </w:r>
          </w:p>
          <w:p>
            <w:pPr>
              <w:spacing w:line="360" w:lineRule="auto"/>
              <w:rPr>
                <w:rFonts w:ascii="楷体" w:hAnsi="楷体" w:eastAsia="楷体" w:cs="楷体"/>
                <w:sz w:val="24"/>
                <w:u w:val="single"/>
              </w:rPr>
            </w:pPr>
            <w:r>
              <w:rPr>
                <w:rFonts w:hint="eastAsia" w:ascii="楷体" w:hAnsi="楷体" w:eastAsia="楷体" w:cs="楷体"/>
                <w:sz w:val="24"/>
              </w:rPr>
              <w:t>提交履约保证金的时间：签订合同前</w:t>
            </w:r>
            <w:r>
              <w:rPr>
                <w:rFonts w:hint="eastAsia" w:ascii="楷体" w:hAnsi="楷体" w:eastAsia="楷体" w:cs="楷体"/>
                <w:sz w:val="24"/>
                <w:u w:val="single"/>
              </w:rPr>
              <w:t xml:space="preserve"> 5个</w:t>
            </w:r>
            <w:r>
              <w:rPr>
                <w:rFonts w:hint="eastAsia" w:ascii="楷体" w:hAnsi="楷体" w:eastAsia="楷体" w:cs="楷体"/>
                <w:sz w:val="24"/>
              </w:rPr>
              <w:t>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32</w:t>
            </w:r>
          </w:p>
        </w:tc>
        <w:tc>
          <w:tcPr>
            <w:tcW w:w="7207" w:type="dxa"/>
            <w:gridSpan w:val="2"/>
            <w:vAlign w:val="center"/>
          </w:tcPr>
          <w:p>
            <w:pPr>
              <w:spacing w:line="360" w:lineRule="auto"/>
              <w:rPr>
                <w:rFonts w:ascii="楷体" w:hAnsi="楷体" w:eastAsia="楷体" w:cs="楷体"/>
                <w:sz w:val="24"/>
                <w:u w:val="single"/>
              </w:rPr>
            </w:pPr>
            <w:r>
              <w:rPr>
                <w:rFonts w:hint="eastAsia" w:ascii="楷体" w:hAnsi="楷体" w:eastAsia="楷体" w:cs="楷体"/>
                <w:sz w:val="24"/>
              </w:rPr>
              <w:t>中标服务费：☑</w:t>
            </w:r>
            <w:r>
              <w:rPr>
                <w:rFonts w:hint="eastAsia" w:ascii="楷体" w:hAnsi="楷体" w:eastAsia="楷体" w:cs="楷体"/>
                <w:sz w:val="24"/>
                <w:u w:val="single"/>
              </w:rPr>
              <w:t xml:space="preserve">服务收费标准：计价格[2002]1980号文    </w:t>
            </w:r>
          </w:p>
          <w:p>
            <w:pPr>
              <w:spacing w:line="360" w:lineRule="auto"/>
              <w:rPr>
                <w:rFonts w:ascii="楷体" w:hAnsi="楷体" w:eastAsia="楷体" w:cs="楷体"/>
                <w:sz w:val="24"/>
              </w:rPr>
            </w:pPr>
            <w:r>
              <w:rPr>
                <w:rFonts w:hint="eastAsia" w:ascii="楷体" w:hAnsi="楷体" w:eastAsia="楷体" w:cs="楷体"/>
                <w:sz w:val="24"/>
              </w:rPr>
              <w:t>□ 万元</w:t>
            </w:r>
          </w:p>
          <w:p>
            <w:pPr>
              <w:spacing w:line="360" w:lineRule="auto"/>
              <w:rPr>
                <w:rFonts w:ascii="楷体" w:hAnsi="楷体" w:eastAsia="楷体" w:cs="楷体"/>
                <w:sz w:val="24"/>
              </w:rPr>
            </w:pPr>
            <w:r>
              <w:rPr>
                <w:rFonts w:hint="eastAsia" w:ascii="楷体" w:hAnsi="楷体" w:eastAsia="楷体" w:cs="楷体"/>
                <w:sz w:val="24"/>
              </w:rPr>
              <w:t>支付形式： 网银汇款、现金</w:t>
            </w:r>
          </w:p>
          <w:p>
            <w:pPr>
              <w:spacing w:line="360" w:lineRule="auto"/>
            </w:pPr>
            <w:r>
              <w:rPr>
                <w:rFonts w:hint="eastAsia" w:ascii="楷体" w:hAnsi="楷体" w:eastAsia="楷体" w:cs="楷体"/>
                <w:sz w:val="24"/>
              </w:rPr>
              <w:t>支付时间：领取中标通知书时一次性支付。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33.1</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本项目是否属于信用担保试点范围：</w:t>
            </w:r>
            <w:r>
              <w:rPr>
                <w:rFonts w:hint="eastAsia" w:ascii="楷体" w:hAnsi="楷体" w:eastAsia="楷体" w:cs="楷体"/>
                <w:sz w:val="24"/>
                <w:u w:val="single"/>
              </w:rPr>
              <w:t xml:space="preserve"> 否 </w:t>
            </w:r>
            <w:r>
              <w:rPr>
                <w:rFonts w:hint="eastAsia" w:ascii="楷体" w:hAnsi="楷体" w:eastAsia="楷体" w:cs="楷体"/>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33.2</w:t>
            </w:r>
          </w:p>
        </w:tc>
        <w:tc>
          <w:tcPr>
            <w:tcW w:w="7207" w:type="dxa"/>
            <w:gridSpan w:val="2"/>
            <w:vAlign w:val="center"/>
          </w:tcPr>
          <w:p>
            <w:pPr>
              <w:spacing w:line="360" w:lineRule="auto"/>
              <w:rPr>
                <w:rFonts w:ascii="楷体" w:hAnsi="楷体" w:eastAsia="楷体" w:cs="楷体"/>
                <w:sz w:val="24"/>
              </w:rPr>
            </w:pPr>
            <w:r>
              <w:rPr>
                <w:rFonts w:hint="eastAsia" w:ascii="楷体" w:hAnsi="楷体" w:eastAsia="楷体" w:cs="楷体"/>
                <w:sz w:val="24"/>
              </w:rPr>
              <w:t>政府采购专业担保机构：</w:t>
            </w:r>
          </w:p>
          <w:p>
            <w:pPr>
              <w:spacing w:line="360" w:lineRule="auto"/>
              <w:rPr>
                <w:rFonts w:ascii="楷体" w:hAnsi="楷体" w:eastAsia="楷体" w:cs="楷体"/>
                <w:sz w:val="24"/>
              </w:rPr>
            </w:pPr>
            <w:r>
              <w:rPr>
                <w:rFonts w:hint="eastAsia" w:ascii="楷体" w:hAnsi="楷体" w:eastAsia="楷体" w:cs="楷体"/>
                <w:sz w:val="24"/>
              </w:rPr>
              <w:t>所有政府采购项目的信用担保专业的担保机构</w:t>
            </w:r>
          </w:p>
          <w:p>
            <w:pPr>
              <w:spacing w:line="360" w:lineRule="auto"/>
              <w:rPr>
                <w:rFonts w:ascii="楷体" w:hAnsi="楷体" w:eastAsia="楷体" w:cs="楷体"/>
                <w:sz w:val="24"/>
              </w:rPr>
            </w:pPr>
            <w:r>
              <w:rPr>
                <w:rFonts w:hint="eastAsia" w:ascii="楷体" w:hAnsi="楷体" w:eastAsia="楷体" w:cs="楷体"/>
                <w:sz w:val="24"/>
              </w:rPr>
              <w:t>中国投融资担保股份有限公司</w:t>
            </w:r>
          </w:p>
          <w:p>
            <w:pPr>
              <w:spacing w:line="360" w:lineRule="auto"/>
              <w:rPr>
                <w:rFonts w:ascii="楷体" w:hAnsi="楷体" w:eastAsia="楷体" w:cs="楷体"/>
                <w:sz w:val="24"/>
              </w:rPr>
            </w:pPr>
            <w:r>
              <w:rPr>
                <w:rFonts w:hint="eastAsia" w:ascii="楷体" w:hAnsi="楷体" w:eastAsia="楷体" w:cs="楷体"/>
                <w:sz w:val="24"/>
              </w:rPr>
              <w:t>地址:北京市海淀区西三环北路100号光耀东方写字楼9层</w:t>
            </w:r>
          </w:p>
          <w:p>
            <w:pPr>
              <w:spacing w:line="360" w:lineRule="auto"/>
              <w:rPr>
                <w:rFonts w:ascii="楷体" w:hAnsi="楷体" w:eastAsia="楷体" w:cs="楷体"/>
                <w:sz w:val="24"/>
              </w:rPr>
            </w:pPr>
            <w:r>
              <w:rPr>
                <w:rFonts w:hint="eastAsia" w:ascii="楷体" w:hAnsi="楷体" w:eastAsia="楷体" w:cs="楷体"/>
                <w:sz w:val="24"/>
              </w:rPr>
              <w:t>联系电话：010-88822888      传真：010-68437040</w:t>
            </w:r>
          </w:p>
          <w:p>
            <w:pPr>
              <w:spacing w:line="360" w:lineRule="auto"/>
              <w:rPr>
                <w:rFonts w:ascii="楷体" w:hAnsi="楷体" w:eastAsia="楷体" w:cs="楷体"/>
                <w:sz w:val="24"/>
              </w:rPr>
            </w:pPr>
            <w:r>
              <w:rPr>
                <w:rFonts w:hint="eastAsia" w:ascii="楷体" w:hAnsi="楷体" w:eastAsia="楷体" w:cs="楷体"/>
                <w:sz w:val="24"/>
              </w:rPr>
              <w:t>电子邮箱：ztbxf@guaranty.com.cn</w:t>
            </w:r>
          </w:p>
          <w:p>
            <w:pPr>
              <w:spacing w:line="360" w:lineRule="auto"/>
              <w:ind w:left="-48" w:leftChars="-23" w:firstLine="48" w:firstLineChars="20"/>
              <w:rPr>
                <w:rFonts w:ascii="楷体" w:hAnsi="楷体" w:eastAsia="楷体" w:cs="楷体"/>
                <w:sz w:val="24"/>
              </w:rPr>
            </w:pPr>
            <w:r>
              <w:rPr>
                <w:rFonts w:hint="eastAsia" w:ascii="楷体" w:hAnsi="楷体" w:eastAsia="楷体" w:cs="楷体"/>
                <w:sz w:val="24"/>
              </w:rPr>
              <w:t>2. 本项目采购人本级和上级财政部门政府采购有关规定增加的担保机构：无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34.3</w:t>
            </w:r>
          </w:p>
        </w:tc>
        <w:tc>
          <w:tcPr>
            <w:tcW w:w="7207" w:type="dxa"/>
            <w:gridSpan w:val="2"/>
            <w:vAlign w:val="center"/>
          </w:tcPr>
          <w:p>
            <w:pPr>
              <w:spacing w:line="360" w:lineRule="auto"/>
              <w:ind w:left="716" w:leftChars="-23" w:hanging="764" w:hangingChars="316"/>
              <w:rPr>
                <w:rFonts w:ascii="楷体" w:hAnsi="楷体" w:eastAsia="楷体" w:cs="楷体"/>
                <w:sz w:val="24"/>
              </w:rPr>
            </w:pPr>
            <w:r>
              <w:rPr>
                <w:rFonts w:hint="eastAsia" w:ascii="楷体" w:hAnsi="楷体" w:eastAsia="楷体" w:cs="楷体"/>
                <w:sz w:val="24"/>
              </w:rPr>
              <w:t>反腐倡廉监督电话/邮箱：</w:t>
            </w:r>
            <w:r>
              <w:rPr>
                <w:rFonts w:hint="eastAsia" w:ascii="楷体" w:hAnsi="楷体" w:eastAsia="楷体" w:cs="楷体"/>
                <w:sz w:val="24"/>
                <w:u w:val="single"/>
              </w:rPr>
              <w:t>0998-2597000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37" w:type="dxa"/>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36.3</w:t>
            </w:r>
          </w:p>
        </w:tc>
        <w:tc>
          <w:tcPr>
            <w:tcW w:w="7207" w:type="dxa"/>
            <w:gridSpan w:val="2"/>
            <w:vAlign w:val="center"/>
          </w:tcPr>
          <w:p>
            <w:pPr>
              <w:spacing w:line="360" w:lineRule="auto"/>
              <w:ind w:left="716" w:leftChars="-23" w:hanging="764" w:hangingChars="316"/>
              <w:rPr>
                <w:rFonts w:ascii="楷体" w:hAnsi="楷体" w:eastAsia="楷体" w:cs="楷体"/>
                <w:sz w:val="24"/>
                <w:u w:val="single"/>
              </w:rPr>
            </w:pPr>
            <w:r>
              <w:rPr>
                <w:rFonts w:hint="eastAsia" w:ascii="楷体" w:hAnsi="楷体" w:eastAsia="楷体" w:cs="楷体"/>
                <w:sz w:val="24"/>
              </w:rPr>
              <w:t>接收部门：</w:t>
            </w:r>
            <w:r>
              <w:rPr>
                <w:rFonts w:hint="eastAsia" w:ascii="楷体" w:hAnsi="楷体" w:eastAsia="楷体" w:cs="楷体"/>
                <w:sz w:val="24"/>
                <w:u w:val="single"/>
              </w:rPr>
              <w:t>喀什地区财政局政府采购管理办公室</w:t>
            </w:r>
          </w:p>
          <w:p>
            <w:pPr>
              <w:spacing w:line="360" w:lineRule="auto"/>
              <w:ind w:left="716" w:leftChars="-23" w:hanging="764" w:hangingChars="316"/>
              <w:rPr>
                <w:rFonts w:ascii="楷体" w:hAnsi="楷体" w:eastAsia="楷体" w:cs="楷体"/>
                <w:sz w:val="24"/>
              </w:rPr>
            </w:pPr>
            <w:r>
              <w:rPr>
                <w:rFonts w:hint="eastAsia" w:ascii="楷体" w:hAnsi="楷体" w:eastAsia="楷体" w:cs="楷体"/>
                <w:sz w:val="24"/>
              </w:rPr>
              <w:t>联系电话：</w:t>
            </w:r>
            <w:r>
              <w:rPr>
                <w:rFonts w:hint="eastAsia" w:ascii="楷体" w:hAnsi="楷体" w:eastAsia="楷体" w:cs="楷体"/>
                <w:sz w:val="24"/>
                <w:u w:val="single"/>
              </w:rPr>
              <w:t xml:space="preserve"> 0998-2597000</w:t>
            </w:r>
          </w:p>
          <w:p>
            <w:pPr>
              <w:spacing w:line="360" w:lineRule="auto"/>
              <w:ind w:left="716" w:leftChars="-23" w:hanging="764" w:hangingChars="316"/>
              <w:rPr>
                <w:rFonts w:ascii="楷体" w:hAnsi="楷体" w:eastAsia="楷体" w:cs="楷体"/>
                <w:sz w:val="24"/>
              </w:rPr>
            </w:pPr>
            <w:r>
              <w:rPr>
                <w:rFonts w:hint="eastAsia" w:ascii="楷体" w:hAnsi="楷体" w:eastAsia="楷体" w:cs="楷体"/>
                <w:sz w:val="24"/>
              </w:rPr>
              <w:t>通讯地址：</w:t>
            </w:r>
            <w:r>
              <w:rPr>
                <w:rFonts w:hint="eastAsia" w:ascii="楷体" w:hAnsi="楷体" w:eastAsia="楷体" w:cs="楷体"/>
                <w:sz w:val="24"/>
                <w:u w:val="single"/>
              </w:rPr>
              <w:t>喀什地区财政局2楼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644" w:type="dxa"/>
            <w:gridSpan w:val="3"/>
            <w:tcBorders>
              <w:top w:val="single" w:color="auto" w:sz="12" w:space="0"/>
              <w:left w:val="single" w:color="auto" w:sz="12" w:space="0"/>
              <w:bottom w:val="single" w:color="auto" w:sz="12" w:space="0"/>
              <w:right w:val="single" w:color="auto" w:sz="12" w:space="0"/>
            </w:tcBorders>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15" w:type="dxa"/>
            <w:gridSpan w:val="2"/>
            <w:vAlign w:val="center"/>
          </w:tcPr>
          <w:p>
            <w:pPr>
              <w:spacing w:line="360" w:lineRule="auto"/>
              <w:ind w:left="1084" w:leftChars="257" w:hanging="540"/>
              <w:rPr>
                <w:rFonts w:ascii="楷体" w:hAnsi="楷体" w:eastAsia="楷体" w:cs="楷体"/>
                <w:sz w:val="24"/>
              </w:rPr>
            </w:pPr>
            <w:r>
              <w:rPr>
                <w:rFonts w:hint="eastAsia" w:ascii="楷体" w:hAnsi="楷体" w:eastAsia="楷体" w:cs="楷体"/>
                <w:sz w:val="24"/>
              </w:rPr>
              <w:t>1</w:t>
            </w:r>
          </w:p>
        </w:tc>
        <w:tc>
          <w:tcPr>
            <w:tcW w:w="7029" w:type="dxa"/>
            <w:vAlign w:val="center"/>
          </w:tcPr>
          <w:p>
            <w:pPr>
              <w:tabs>
                <w:tab w:val="left" w:pos="5580"/>
              </w:tabs>
              <w:spacing w:line="360" w:lineRule="auto"/>
              <w:rPr>
                <w:rFonts w:ascii="楷体" w:hAnsi="楷体" w:eastAsia="楷体" w:cs="楷体"/>
                <w:sz w:val="24"/>
                <w:u w:val="single"/>
              </w:rPr>
            </w:pPr>
            <w:r>
              <w:rPr>
                <w:rFonts w:hint="eastAsia" w:ascii="楷体" w:hAnsi="楷体" w:eastAsia="楷体" w:cs="楷体"/>
                <w:sz w:val="24"/>
              </w:rPr>
              <w:t>投标人提供</w:t>
            </w:r>
            <w:r>
              <w:rPr>
                <w:rFonts w:hint="eastAsia" w:ascii="楷体" w:hAnsi="楷体" w:eastAsia="楷体" w:cs="楷体"/>
                <w:sz w:val="24"/>
                <w:u w:val="single"/>
              </w:rPr>
              <w:t>2019年度财务审计报告、近六个月完税</w:t>
            </w:r>
            <w:r>
              <w:rPr>
                <w:rFonts w:hint="eastAsia" w:ascii="楷体" w:hAnsi="楷体" w:eastAsia="楷体" w:cs="楷体"/>
                <w:sz w:val="24"/>
              </w:rPr>
              <w:t>证明具有良好的商业信誉和健全的财务会计制度</w:t>
            </w:r>
          </w:p>
          <w:p>
            <w:pPr>
              <w:spacing w:line="360" w:lineRule="auto"/>
              <w:rPr>
                <w:rFonts w:ascii="楷体" w:hAnsi="楷体" w:eastAsia="楷体" w:cs="楷体"/>
                <w:sz w:val="24"/>
              </w:rPr>
            </w:pPr>
            <w:r>
              <w:rPr>
                <w:rFonts w:hint="eastAsia" w:ascii="楷体" w:hAnsi="楷体" w:eastAsia="楷体" w:cs="楷体"/>
                <w:i/>
                <w:sz w:val="24"/>
              </w:rPr>
              <w:t>（会计师事务所出具的上一年度财务审计报告或银行出具的说明投标人商业信誉或结算情况等事项的证明文件。）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15" w:type="dxa"/>
            <w:gridSpan w:val="2"/>
          </w:tcPr>
          <w:p>
            <w:pPr>
              <w:spacing w:line="360" w:lineRule="auto"/>
              <w:ind w:left="1084" w:leftChars="257" w:hanging="540"/>
              <w:rPr>
                <w:rFonts w:ascii="楷体" w:hAnsi="楷体" w:eastAsia="楷体" w:cs="楷体"/>
                <w:sz w:val="24"/>
              </w:rPr>
            </w:pPr>
            <w:r>
              <w:rPr>
                <w:rFonts w:hint="eastAsia" w:ascii="楷体" w:hAnsi="楷体" w:eastAsia="楷体" w:cs="楷体"/>
                <w:sz w:val="24"/>
              </w:rPr>
              <w:t>2</w:t>
            </w:r>
          </w:p>
        </w:tc>
        <w:tc>
          <w:tcPr>
            <w:tcW w:w="7029" w:type="dxa"/>
            <w:vAlign w:val="center"/>
          </w:tcPr>
          <w:p>
            <w:pPr>
              <w:spacing w:line="360" w:lineRule="auto"/>
              <w:rPr>
                <w:rFonts w:ascii="楷体" w:hAnsi="楷体" w:eastAsia="楷体" w:cs="楷体"/>
                <w:sz w:val="24"/>
              </w:rPr>
            </w:pPr>
            <w:r>
              <w:rPr>
                <w:rFonts w:hint="eastAsia" w:ascii="楷体" w:hAnsi="楷体" w:eastAsia="楷体" w:cs="楷体"/>
                <w:sz w:val="24"/>
              </w:rPr>
              <w:t>提供投标人的最近</w:t>
            </w:r>
            <w:r>
              <w:rPr>
                <w:rFonts w:hint="eastAsia" w:ascii="楷体" w:hAnsi="楷体" w:eastAsia="楷体" w:cs="楷体"/>
                <w:sz w:val="24"/>
                <w:u w:val="single"/>
              </w:rPr>
              <w:t xml:space="preserve"> 三 </w:t>
            </w:r>
            <w:r>
              <w:rPr>
                <w:rFonts w:hint="eastAsia" w:ascii="楷体" w:hAnsi="楷体" w:eastAsia="楷体" w:cs="楷体"/>
                <w:sz w:val="24"/>
              </w:rPr>
              <w:t>个月的社保缴纳记录；</w:t>
            </w:r>
          </w:p>
          <w:p>
            <w:pPr>
              <w:spacing w:line="360" w:lineRule="auto"/>
              <w:rPr>
                <w:rFonts w:ascii="楷体" w:hAnsi="楷体" w:eastAsia="楷体" w:cs="楷体"/>
                <w:sz w:val="24"/>
              </w:rPr>
            </w:pPr>
            <w:r>
              <w:rPr>
                <w:rFonts w:hint="eastAsia" w:ascii="楷体" w:hAnsi="楷体" w:eastAsia="楷体" w:cs="楷体"/>
                <w:sz w:val="24"/>
              </w:rPr>
              <w:t>在法规范围内不需提供的，应做书面说明和证明文件。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15" w:type="dxa"/>
            <w:gridSpan w:val="2"/>
          </w:tcPr>
          <w:p>
            <w:pPr>
              <w:spacing w:line="240" w:lineRule="atLeast"/>
              <w:ind w:left="1084" w:leftChars="257" w:hanging="540"/>
              <w:rPr>
                <w:rFonts w:ascii="楷体" w:hAnsi="楷体" w:eastAsia="楷体" w:cs="楷体"/>
                <w:sz w:val="24"/>
              </w:rPr>
            </w:pPr>
            <w:r>
              <w:rPr>
                <w:rFonts w:hint="eastAsia" w:ascii="楷体" w:hAnsi="楷体" w:eastAsia="楷体" w:cs="楷体"/>
                <w:sz w:val="24"/>
              </w:rPr>
              <w:t>3</w:t>
            </w:r>
          </w:p>
        </w:tc>
        <w:tc>
          <w:tcPr>
            <w:tcW w:w="7029" w:type="dxa"/>
            <w:vAlign w:val="center"/>
          </w:tcPr>
          <w:p>
            <w:pPr>
              <w:spacing w:line="240" w:lineRule="atLeast"/>
              <w:jc w:val="left"/>
              <w:rPr>
                <w:rFonts w:ascii="楷体" w:hAnsi="楷体" w:eastAsia="楷体" w:cs="楷体"/>
                <w:sz w:val="24"/>
              </w:rPr>
            </w:pPr>
            <w:r>
              <w:rPr>
                <w:rFonts w:hint="eastAsia" w:ascii="楷体" w:hAnsi="楷体" w:eastAsia="楷体" w:cs="楷体"/>
                <w:sz w:val="24"/>
              </w:rPr>
              <w:t>投标人应在公示期满后3个工作日内领取中标通知书、领取中标通知书后5个工作日内完成缴纳履约保证金后与甲方签订合同。</w:t>
            </w:r>
          </w:p>
          <w:p>
            <w:pPr>
              <w:spacing w:line="240" w:lineRule="atLeast"/>
              <w:jc w:val="left"/>
              <w:rPr>
                <w:rFonts w:ascii="楷体" w:hAnsi="楷体" w:eastAsia="楷体" w:cs="楷体"/>
                <w:sz w:val="24"/>
              </w:rPr>
            </w:pPr>
            <w:r>
              <w:rPr>
                <w:rFonts w:hint="eastAsia" w:ascii="楷体" w:hAnsi="楷体" w:eastAsia="楷体" w:cs="楷体"/>
                <w:sz w:val="24"/>
              </w:rPr>
              <w:t>3个工作日内不领取中标通知书的视为拒绝接收中标通知书，中标人不领取并不接收中标通知书的，视为放弃中标。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15" w:type="dxa"/>
            <w:gridSpan w:val="2"/>
            <w:vAlign w:val="center"/>
          </w:tcPr>
          <w:p>
            <w:pPr>
              <w:spacing w:line="240" w:lineRule="atLeast"/>
              <w:ind w:left="1084" w:leftChars="257" w:hanging="540"/>
              <w:rPr>
                <w:rFonts w:ascii="楷体" w:hAnsi="楷体" w:eastAsia="楷体" w:cs="楷体"/>
                <w:sz w:val="24"/>
              </w:rPr>
            </w:pPr>
            <w:r>
              <w:rPr>
                <w:rFonts w:hint="eastAsia" w:ascii="楷体" w:hAnsi="楷体" w:eastAsia="楷体" w:cs="楷体"/>
                <w:sz w:val="24"/>
              </w:rPr>
              <w:t>4</w:t>
            </w:r>
          </w:p>
        </w:tc>
        <w:tc>
          <w:tcPr>
            <w:tcW w:w="7029" w:type="dxa"/>
            <w:vAlign w:val="center"/>
          </w:tcPr>
          <w:p>
            <w:pPr>
              <w:spacing w:line="240" w:lineRule="atLeast"/>
              <w:jc w:val="left"/>
              <w:rPr>
                <w:rFonts w:ascii="楷体" w:hAnsi="楷体" w:eastAsia="楷体" w:cs="楷体"/>
                <w:sz w:val="24"/>
              </w:rPr>
            </w:pPr>
            <w:r>
              <w:rPr>
                <w:rFonts w:hint="eastAsia" w:ascii="楷体" w:hAnsi="楷体" w:eastAsia="楷体" w:cs="楷体"/>
                <w:sz w:val="24"/>
              </w:rPr>
              <w:t>本项目发布媒体：新疆政府采购网。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15" w:type="dxa"/>
            <w:gridSpan w:val="2"/>
            <w:vAlign w:val="center"/>
          </w:tcPr>
          <w:p>
            <w:pPr>
              <w:spacing w:line="240" w:lineRule="atLeast"/>
              <w:ind w:left="1084" w:leftChars="257" w:hanging="540"/>
              <w:rPr>
                <w:rFonts w:ascii="楷体" w:hAnsi="楷体" w:eastAsia="楷体" w:cs="楷体"/>
                <w:sz w:val="24"/>
              </w:rPr>
            </w:pPr>
            <w:r>
              <w:rPr>
                <w:rFonts w:hint="eastAsia" w:ascii="楷体" w:hAnsi="楷体" w:eastAsia="楷体" w:cs="楷体"/>
                <w:sz w:val="24"/>
              </w:rPr>
              <w:t>5</w:t>
            </w:r>
          </w:p>
        </w:tc>
        <w:tc>
          <w:tcPr>
            <w:tcW w:w="7029" w:type="dxa"/>
            <w:vAlign w:val="center"/>
          </w:tcPr>
          <w:p>
            <w:pPr>
              <w:spacing w:line="240" w:lineRule="atLeast"/>
              <w:jc w:val="left"/>
              <w:rPr>
                <w:rFonts w:ascii="楷体" w:hAnsi="楷体" w:eastAsia="楷体" w:cs="楷体"/>
                <w:sz w:val="24"/>
              </w:rPr>
            </w:pPr>
            <w:r>
              <w:rPr>
                <w:rFonts w:hint="eastAsia" w:ascii="楷体" w:hAnsi="楷体" w:eastAsia="楷体" w:cs="楷体"/>
                <w:b/>
                <w:bCs/>
                <w:sz w:val="24"/>
              </w:rPr>
              <w:t>本项目实地踏勘，具体联系人：刘康，联系电话：0998—2576103。由采购人出具现场踏勘证明。</w:t>
            </w:r>
          </w:p>
        </w:tc>
      </w:tr>
    </w:tbl>
    <w:p>
      <w:pPr>
        <w:spacing w:line="240" w:lineRule="atLeast"/>
        <w:ind w:left="1084" w:leftChars="257" w:hanging="540"/>
        <w:rPr>
          <w:rFonts w:ascii="楷体" w:hAnsi="楷体" w:eastAsia="楷体" w:cs="楷体"/>
          <w:sz w:val="24"/>
        </w:rPr>
        <w:sectPr>
          <w:headerReference r:id="rId3" w:type="default"/>
          <w:footerReference r:id="rId5" w:type="default"/>
          <w:headerReference r:id="rId4" w:type="even"/>
          <w:footerReference r:id="rId6" w:type="even"/>
          <w:pgSz w:w="11905" w:h="16838"/>
          <w:pgMar w:top="1440" w:right="1293" w:bottom="1440" w:left="1576" w:header="851" w:footer="992" w:gutter="0"/>
          <w:cols w:space="0" w:num="1"/>
          <w:docGrid w:type="linesAndChars" w:linePitch="319" w:charSpace="572"/>
        </w:sectPr>
      </w:pPr>
    </w:p>
    <w:p>
      <w:pPr>
        <w:widowControl/>
        <w:jc w:val="center"/>
        <w:rPr>
          <w:rFonts w:ascii="楷体" w:hAnsi="楷体" w:eastAsia="楷体" w:cs="楷体"/>
          <w:b/>
          <w:kern w:val="0"/>
          <w:sz w:val="32"/>
          <w:szCs w:val="32"/>
        </w:rPr>
      </w:pPr>
      <w:bookmarkStart w:id="358" w:name="_Toc219175635"/>
      <w:bookmarkStart w:id="359" w:name="_Toc218935351"/>
      <w:bookmarkStart w:id="360" w:name="_Toc216582811"/>
      <w:bookmarkStart w:id="361" w:name="_Toc216513787"/>
      <w:r>
        <w:rPr>
          <w:rFonts w:hint="eastAsia" w:ascii="楷体" w:hAnsi="楷体" w:eastAsia="楷体" w:cs="楷体"/>
          <w:b/>
          <w:kern w:val="0"/>
          <w:sz w:val="32"/>
          <w:szCs w:val="32"/>
        </w:rPr>
        <w:t>资格审查表</w:t>
      </w:r>
    </w:p>
    <w:p>
      <w:pPr>
        <w:rPr>
          <w:rFonts w:ascii="楷体" w:hAnsi="楷体" w:eastAsia="楷体" w:cs="楷体"/>
        </w:rPr>
      </w:pPr>
    </w:p>
    <w:tbl>
      <w:tblPr>
        <w:tblStyle w:val="25"/>
        <w:tblW w:w="14174" w:type="dxa"/>
        <w:tblInd w:w="0" w:type="dxa"/>
        <w:tblLayout w:type="fixed"/>
        <w:tblCellMar>
          <w:top w:w="0" w:type="dxa"/>
          <w:left w:w="108" w:type="dxa"/>
          <w:bottom w:w="0" w:type="dxa"/>
          <w:right w:w="108" w:type="dxa"/>
        </w:tblCellMar>
      </w:tblPr>
      <w:tblGrid>
        <w:gridCol w:w="885"/>
        <w:gridCol w:w="1546"/>
        <w:gridCol w:w="1635"/>
        <w:gridCol w:w="1582"/>
        <w:gridCol w:w="1652"/>
        <w:gridCol w:w="1096"/>
        <w:gridCol w:w="2786"/>
        <w:gridCol w:w="735"/>
        <w:gridCol w:w="915"/>
        <w:gridCol w:w="675"/>
        <w:gridCol w:w="667"/>
      </w:tblGrid>
      <w:tr>
        <w:tblPrEx>
          <w:tblCellMar>
            <w:top w:w="0" w:type="dxa"/>
            <w:left w:w="108" w:type="dxa"/>
            <w:bottom w:w="0" w:type="dxa"/>
            <w:right w:w="108" w:type="dxa"/>
          </w:tblCellMar>
        </w:tblPrEx>
        <w:trPr>
          <w:trHeight w:val="563" w:hRule="atLeast"/>
        </w:trPr>
        <w:tc>
          <w:tcPr>
            <w:tcW w:w="8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投标人名称</w:t>
            </w:r>
          </w:p>
        </w:tc>
        <w:tc>
          <w:tcPr>
            <w:tcW w:w="12622" w:type="dxa"/>
            <w:gridSpan w:val="9"/>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审查项目</w:t>
            </w:r>
          </w:p>
        </w:tc>
        <w:tc>
          <w:tcPr>
            <w:tcW w:w="667"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结论</w:t>
            </w:r>
          </w:p>
        </w:tc>
      </w:tr>
      <w:tr>
        <w:tblPrEx>
          <w:tblCellMar>
            <w:top w:w="0" w:type="dxa"/>
            <w:left w:w="108" w:type="dxa"/>
            <w:bottom w:w="0" w:type="dxa"/>
            <w:right w:w="108" w:type="dxa"/>
          </w:tblCellMar>
        </w:tblPrEx>
        <w:trPr>
          <w:trHeight w:val="1811"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546"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Cs w:val="21"/>
              </w:rPr>
              <w:t>具备独立承担民事责任能力的资格证书，营业性证照(提供有效期内且年检合格的具有相应经营范围的营业执照正本或副本原件）</w:t>
            </w:r>
          </w:p>
        </w:tc>
        <w:tc>
          <w:tcPr>
            <w:tcW w:w="1635"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Cs w:val="21"/>
              </w:rPr>
              <w:t>法人身份证明（含法人身份证原件）或法人授权委托书（含法人身份证复印件）和被授权人身份有效证件原件</w:t>
            </w:r>
          </w:p>
        </w:tc>
        <w:tc>
          <w:tcPr>
            <w:tcW w:w="1582"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Cs w:val="21"/>
              </w:rPr>
              <w:t>2019年度经财务审计报告（成立不满一年的公司提供有效的银行资信证明）</w:t>
            </w:r>
          </w:p>
        </w:tc>
        <w:tc>
          <w:tcPr>
            <w:tcW w:w="1652"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Cs w:val="21"/>
              </w:rPr>
              <w:t>近三个月社保缴纳凭证及明细证明（被委托人必须为投标单位正式员工）</w:t>
            </w:r>
          </w:p>
        </w:tc>
        <w:tc>
          <w:tcPr>
            <w:tcW w:w="1096"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Cs w:val="21"/>
              </w:rPr>
              <w:t>投标企业所在地税务局出具的近六个月的完税证明</w:t>
            </w:r>
          </w:p>
        </w:tc>
        <w:tc>
          <w:tcPr>
            <w:tcW w:w="2786"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Cs w:val="21"/>
              </w:rPr>
              <w:t>“信用中国”网（http://www.creditchina.gov.cn）、中国政府采购网（http://www.ccgp.gov.cn）、国家企业信用信息公示系(http://www.gsxt.gov.cn)截图</w:t>
            </w:r>
          </w:p>
        </w:tc>
        <w:tc>
          <w:tcPr>
            <w:tcW w:w="735"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投标保证金缴纳证明</w:t>
            </w:r>
          </w:p>
        </w:tc>
        <w:tc>
          <w:tcPr>
            <w:tcW w:w="915" w:type="dxa"/>
            <w:tcBorders>
              <w:top w:val="nil"/>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Cs w:val="21"/>
              </w:rPr>
              <w:t>近三年内无重大违法记录的声明</w:t>
            </w:r>
          </w:p>
        </w:tc>
        <w:tc>
          <w:tcPr>
            <w:tcW w:w="675" w:type="dxa"/>
            <w:tcBorders>
              <w:top w:val="nil"/>
              <w:left w:val="nil"/>
              <w:bottom w:val="single" w:color="auto" w:sz="4" w:space="0"/>
              <w:right w:val="single" w:color="auto" w:sz="4" w:space="0"/>
            </w:tcBorders>
            <w:vAlign w:val="center"/>
          </w:tcPr>
          <w:p>
            <w:pPr>
              <w:widowControl/>
              <w:jc w:val="center"/>
              <w:rPr>
                <w:rFonts w:ascii="楷体" w:hAnsi="楷体" w:eastAsia="楷体" w:cs="楷体"/>
                <w:i/>
                <w:iCs/>
                <w:kern w:val="0"/>
                <w:sz w:val="22"/>
                <w:szCs w:val="22"/>
              </w:rPr>
            </w:pPr>
            <w:r>
              <w:rPr>
                <w:rFonts w:hint="eastAsia" w:ascii="楷体" w:hAnsi="楷体" w:eastAsia="楷体" w:cs="楷体"/>
                <w:kern w:val="0"/>
                <w:szCs w:val="21"/>
              </w:rPr>
              <w:t>反商业贿赂承诺书</w:t>
            </w:r>
          </w:p>
        </w:tc>
        <w:tc>
          <w:tcPr>
            <w:tcW w:w="667" w:type="dxa"/>
            <w:tcBorders>
              <w:top w:val="nil"/>
              <w:left w:val="nil"/>
              <w:bottom w:val="single" w:color="auto" w:sz="4" w:space="0"/>
              <w:right w:val="single" w:color="auto" w:sz="4" w:space="0"/>
            </w:tcBorders>
            <w:vAlign w:val="center"/>
          </w:tcPr>
          <w:p>
            <w:pPr>
              <w:widowControl/>
              <w:jc w:val="center"/>
              <w:rPr>
                <w:rFonts w:ascii="楷体" w:hAnsi="楷体" w:eastAsia="楷体" w:cs="楷体"/>
                <w:i/>
                <w:iCs/>
                <w:kern w:val="0"/>
                <w:sz w:val="22"/>
                <w:szCs w:val="22"/>
              </w:rPr>
            </w:pPr>
          </w:p>
        </w:tc>
      </w:tr>
      <w:tr>
        <w:tblPrEx>
          <w:tblCellMar>
            <w:top w:w="0" w:type="dxa"/>
            <w:left w:w="108" w:type="dxa"/>
            <w:bottom w:w="0" w:type="dxa"/>
            <w:right w:w="108" w:type="dxa"/>
          </w:tblCellMar>
        </w:tblPrEx>
        <w:trPr>
          <w:trHeight w:val="806" w:hRule="atLeast"/>
        </w:trPr>
        <w:tc>
          <w:tcPr>
            <w:tcW w:w="885" w:type="dxa"/>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54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6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58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09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278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7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91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67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667"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704" w:hRule="atLeast"/>
        </w:trPr>
        <w:tc>
          <w:tcPr>
            <w:tcW w:w="885" w:type="dxa"/>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54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6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58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65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09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278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7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91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67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667"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687" w:hRule="atLeast"/>
        </w:trPr>
        <w:tc>
          <w:tcPr>
            <w:tcW w:w="885" w:type="dxa"/>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54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6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58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09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278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7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91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67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667"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836" w:hRule="atLeast"/>
        </w:trPr>
        <w:tc>
          <w:tcPr>
            <w:tcW w:w="885" w:type="dxa"/>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54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6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58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652"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09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2786"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73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91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675"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667" w:type="dxa"/>
            <w:tcBorders>
              <w:top w:val="nil"/>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850" w:hRule="atLeast"/>
        </w:trPr>
        <w:tc>
          <w:tcPr>
            <w:tcW w:w="14174" w:type="dxa"/>
            <w:gridSpan w:val="11"/>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p>
            <w:pPr>
              <w:widowControl/>
              <w:jc w:val="left"/>
              <w:rPr>
                <w:rFonts w:ascii="楷体" w:hAnsi="楷体" w:eastAsia="楷体" w:cs="楷体"/>
                <w:kern w:val="0"/>
                <w:sz w:val="22"/>
                <w:szCs w:val="22"/>
              </w:rPr>
            </w:pPr>
            <w:r>
              <w:rPr>
                <w:rFonts w:hint="eastAsia" w:ascii="楷体" w:hAnsi="楷体" w:eastAsia="楷体" w:cs="楷体"/>
                <w:kern w:val="0"/>
                <w:sz w:val="22"/>
                <w:szCs w:val="22"/>
              </w:rPr>
              <w:t>　注：以上证件携带原件，开标现场审验，不接受二次提供。未携带原件或携带不全的均视为投标无效。</w:t>
            </w:r>
          </w:p>
        </w:tc>
      </w:tr>
    </w:tbl>
    <w:p>
      <w:pPr>
        <w:pStyle w:val="4"/>
        <w:numPr>
          <w:ilvl w:val="0"/>
          <w:numId w:val="3"/>
        </w:numPr>
        <w:spacing w:before="0" w:after="0" w:line="240" w:lineRule="atLeast"/>
        <w:rPr>
          <w:rFonts w:ascii="楷体" w:hAnsi="楷体" w:eastAsia="楷体" w:cs="楷体"/>
        </w:rPr>
        <w:sectPr>
          <w:pgSz w:w="16838" w:h="11905" w:orient="landscape"/>
          <w:pgMar w:top="1406" w:right="1157" w:bottom="1066" w:left="1440" w:header="851" w:footer="992" w:gutter="0"/>
          <w:cols w:space="0" w:num="1"/>
          <w:docGrid w:type="linesAndChars" w:linePitch="319" w:charSpace="572"/>
        </w:sectPr>
      </w:pPr>
    </w:p>
    <w:bookmarkEnd w:id="358"/>
    <w:bookmarkEnd w:id="359"/>
    <w:bookmarkEnd w:id="360"/>
    <w:bookmarkEnd w:id="361"/>
    <w:p>
      <w:pPr>
        <w:pStyle w:val="4"/>
        <w:tabs>
          <w:tab w:val="left" w:pos="0"/>
        </w:tabs>
        <w:spacing w:before="0" w:after="0" w:line="240" w:lineRule="atLeast"/>
        <w:rPr>
          <w:rFonts w:ascii="楷体" w:hAnsi="楷体" w:eastAsia="楷体" w:cs="楷体"/>
        </w:rPr>
      </w:pPr>
      <w:bookmarkStart w:id="362" w:name="_Toc218935354"/>
      <w:bookmarkStart w:id="363" w:name="_Toc507399906"/>
      <w:bookmarkStart w:id="364" w:name="_Toc216582825"/>
      <w:bookmarkStart w:id="365" w:name="_Toc9032"/>
      <w:bookmarkStart w:id="366" w:name="_Toc9887"/>
      <w:bookmarkStart w:id="367" w:name="_Toc515647831"/>
      <w:bookmarkStart w:id="368" w:name="_Toc10522"/>
      <w:bookmarkStart w:id="369" w:name="_Toc219175638"/>
      <w:bookmarkStart w:id="370" w:name="_Toc512937852"/>
      <w:r>
        <w:rPr>
          <w:rFonts w:hint="eastAsia" w:ascii="楷体" w:hAnsi="楷体" w:eastAsia="楷体" w:cs="楷体"/>
        </w:rPr>
        <w:t xml:space="preserve">第5章 </w:t>
      </w:r>
      <w:bookmarkEnd w:id="362"/>
      <w:bookmarkEnd w:id="363"/>
      <w:bookmarkEnd w:id="364"/>
      <w:bookmarkEnd w:id="365"/>
      <w:bookmarkEnd w:id="366"/>
      <w:bookmarkEnd w:id="367"/>
      <w:bookmarkEnd w:id="368"/>
      <w:bookmarkEnd w:id="369"/>
      <w:bookmarkStart w:id="371" w:name="_Toc518923126"/>
      <w:bookmarkStart w:id="372" w:name="_Toc7112"/>
      <w:r>
        <w:rPr>
          <w:rFonts w:hint="eastAsia" w:ascii="楷体" w:hAnsi="楷体" w:eastAsia="楷体" w:cs="楷体"/>
        </w:rPr>
        <w:t>服务需求</w:t>
      </w:r>
      <w:bookmarkEnd w:id="371"/>
      <w:bookmarkEnd w:id="372"/>
    </w:p>
    <w:bookmarkEnd w:id="370"/>
    <w:p>
      <w:pPr>
        <w:jc w:val="center"/>
        <w:rPr>
          <w:b/>
          <w:sz w:val="28"/>
          <w:szCs w:val="28"/>
        </w:rPr>
      </w:pPr>
      <w:bookmarkStart w:id="373" w:name="_Toc216582826"/>
      <w:bookmarkStart w:id="374" w:name="_Toc219175639"/>
      <w:bookmarkStart w:id="375" w:name="_Toc218935355"/>
      <w:r>
        <w:rPr>
          <w:rFonts w:hint="eastAsia"/>
          <w:b/>
          <w:sz w:val="28"/>
          <w:szCs w:val="28"/>
          <w:lang w:eastAsia="zh-CN"/>
        </w:rPr>
        <w:t>喀什地区第二人民医院桌面服务支撑及数据中心软、硬件维保服务项目</w:t>
      </w:r>
      <w:r>
        <w:rPr>
          <w:rFonts w:hint="eastAsia"/>
          <w:b/>
          <w:sz w:val="28"/>
          <w:szCs w:val="28"/>
        </w:rPr>
        <w:t>清单</w:t>
      </w:r>
      <w:bookmarkStart w:id="429" w:name="_GoBack"/>
      <w:bookmarkEnd w:id="429"/>
    </w:p>
    <w:p>
      <w:pPr>
        <w:jc w:val="center"/>
        <w:rPr>
          <w:b/>
          <w:sz w:val="28"/>
          <w:szCs w:val="28"/>
        </w:rPr>
      </w:pPr>
    </w:p>
    <w:tbl>
      <w:tblPr>
        <w:tblStyle w:val="25"/>
        <w:tblW w:w="9854" w:type="dxa"/>
        <w:tblInd w:w="-318" w:type="dxa"/>
        <w:tblLayout w:type="autofit"/>
        <w:tblCellMar>
          <w:top w:w="0" w:type="dxa"/>
          <w:left w:w="108" w:type="dxa"/>
          <w:bottom w:w="0" w:type="dxa"/>
          <w:right w:w="108" w:type="dxa"/>
        </w:tblCellMar>
      </w:tblPr>
      <w:tblGrid>
        <w:gridCol w:w="568"/>
        <w:gridCol w:w="1666"/>
        <w:gridCol w:w="4531"/>
        <w:gridCol w:w="749"/>
        <w:gridCol w:w="709"/>
        <w:gridCol w:w="645"/>
        <w:gridCol w:w="986"/>
      </w:tblGrid>
      <w:tr>
        <w:tblPrEx>
          <w:tblCellMar>
            <w:top w:w="0" w:type="dxa"/>
            <w:left w:w="108" w:type="dxa"/>
            <w:bottom w:w="0" w:type="dxa"/>
            <w:right w:w="108" w:type="dxa"/>
          </w:tblCellMar>
        </w:tblPrEx>
        <w:trPr>
          <w:trHeight w:val="396"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b/>
              </w:rPr>
            </w:pPr>
            <w:r>
              <w:rPr>
                <w:rFonts w:hint="eastAsia"/>
                <w:b/>
              </w:rPr>
              <w:t>序号</w:t>
            </w:r>
          </w:p>
        </w:tc>
        <w:tc>
          <w:tcPr>
            <w:tcW w:w="1666"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产品名称</w:t>
            </w:r>
          </w:p>
        </w:tc>
        <w:tc>
          <w:tcPr>
            <w:tcW w:w="4531"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详细功能、性能、技术指标及要求</w:t>
            </w:r>
          </w:p>
        </w:tc>
        <w:tc>
          <w:tcPr>
            <w:tcW w:w="749" w:type="dxa"/>
            <w:tcBorders>
              <w:top w:val="single" w:color="auto" w:sz="4" w:space="0"/>
              <w:left w:val="nil"/>
              <w:bottom w:val="single" w:color="auto" w:sz="4" w:space="0"/>
              <w:right w:val="single" w:color="auto" w:sz="4" w:space="0"/>
            </w:tcBorders>
            <w:shd w:val="clear" w:color="auto" w:fill="auto"/>
            <w:noWrap/>
            <w:vAlign w:val="center"/>
          </w:tcPr>
          <w:p>
            <w:pPr>
              <w:jc w:val="center"/>
              <w:rPr>
                <w:b/>
              </w:rPr>
            </w:pPr>
            <w:r>
              <w:rPr>
                <w:rFonts w:hint="eastAsia"/>
                <w:b/>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数量</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单价</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jc w:val="center"/>
              <w:rPr>
                <w:b/>
              </w:rPr>
            </w:pPr>
            <w:r>
              <w:rPr>
                <w:rFonts w:hint="eastAsia"/>
                <w:b/>
              </w:rPr>
              <w:t>合计</w:t>
            </w:r>
          </w:p>
        </w:tc>
      </w:tr>
      <w:tr>
        <w:tblPrEx>
          <w:tblCellMar>
            <w:top w:w="0" w:type="dxa"/>
            <w:left w:w="108" w:type="dxa"/>
            <w:bottom w:w="0" w:type="dxa"/>
            <w:right w:w="108" w:type="dxa"/>
          </w:tblCellMar>
        </w:tblPrEx>
        <w:trPr>
          <w:trHeight w:val="396"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p>
        </w:tc>
        <w:tc>
          <w:tcPr>
            <w:tcW w:w="16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服务采购</w:t>
            </w:r>
          </w:p>
        </w:tc>
        <w:tc>
          <w:tcPr>
            <w:tcW w:w="45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96"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网络设备续保及升级</w:t>
            </w:r>
          </w:p>
        </w:tc>
        <w:tc>
          <w:tcPr>
            <w:tcW w:w="4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医院现有网络设备、安全设备一年维保；网闸、防火墙、入侵防御、入侵检测、安全审计、漏洞扫描等各种安全设备特征库升级更新。          </w:t>
            </w:r>
          </w:p>
        </w:tc>
        <w:tc>
          <w:tcPr>
            <w:tcW w:w="7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96"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数据中心软件维保</w:t>
            </w:r>
          </w:p>
        </w:tc>
        <w:tc>
          <w:tcPr>
            <w:tcW w:w="4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医院HIS、LIS、PACS、OA、电子病历等各种业务应用系统的支撑系统，VMWARE虚拟化软件、ORACLE数据库软件、EMC NETWORK备份软件的运维。</w:t>
            </w:r>
          </w:p>
        </w:tc>
        <w:tc>
          <w:tcPr>
            <w:tcW w:w="7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96"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数据中心硬件维保</w:t>
            </w:r>
          </w:p>
        </w:tc>
        <w:tc>
          <w:tcPr>
            <w:tcW w:w="4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数据中心现有服务器、存储、光交、磁带库，备份一体机，反统方系统，不间断电源，精密空调，一年维保。同时有完善的应急保障预案，为保证业务不间断，应提供核心设备的备机，易损部件的备件，存于甲方处，可随时进行更换。一年累计金额不超过4.5万的配件更换费用由维保单位承担。（详细技术参数及要求附后）</w:t>
            </w:r>
          </w:p>
        </w:tc>
        <w:tc>
          <w:tcPr>
            <w:tcW w:w="7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桌面服务支撑</w:t>
            </w:r>
          </w:p>
        </w:tc>
        <w:tc>
          <w:tcPr>
            <w:tcW w:w="4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度桌面服务支撑外包服务，派驻8人,服务提供商负责承担派驻人员的工资、节假日夜间值班费用、工装、维修工具、备品备件、电话补助、五险一金等费用。员工离职前1月必须有接替员工上岗交接工作，保证服务人员数量充足，业务不中断；同时保证若出现服务团队人员不足的情况时，服务商必须保证增加必要的人员以保障服务质量和水平（服务费用不得增加）。（详细技术参数及要求附后）</w:t>
            </w:r>
          </w:p>
        </w:tc>
        <w:tc>
          <w:tcPr>
            <w:tcW w:w="7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96"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  计</w:t>
            </w:r>
          </w:p>
        </w:tc>
        <w:tc>
          <w:tcPr>
            <w:tcW w:w="4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rPr>
            </w:pPr>
          </w:p>
        </w:tc>
      </w:tr>
    </w:tbl>
    <w:p>
      <w:pPr>
        <w:jc w:val="left"/>
        <w:rPr>
          <w:b/>
          <w:sz w:val="28"/>
          <w:szCs w:val="28"/>
        </w:rPr>
      </w:pPr>
    </w:p>
    <w:p>
      <w:pPr>
        <w:jc w:val="left"/>
        <w:rPr>
          <w:b/>
          <w:sz w:val="28"/>
          <w:szCs w:val="28"/>
        </w:rPr>
      </w:pPr>
    </w:p>
    <w:p>
      <w:pPr>
        <w:jc w:val="left"/>
        <w:rPr>
          <w:b/>
          <w:sz w:val="28"/>
          <w:szCs w:val="28"/>
        </w:rPr>
      </w:pPr>
    </w:p>
    <w:p>
      <w:pPr>
        <w:jc w:val="left"/>
        <w:rPr>
          <w:b/>
          <w:sz w:val="28"/>
          <w:szCs w:val="28"/>
        </w:rPr>
      </w:pPr>
    </w:p>
    <w:p>
      <w:pPr>
        <w:jc w:val="left"/>
        <w:rPr>
          <w:b/>
          <w:sz w:val="28"/>
          <w:szCs w:val="28"/>
        </w:rPr>
      </w:pPr>
    </w:p>
    <w:p>
      <w:pPr>
        <w:jc w:val="left"/>
        <w:rPr>
          <w:b/>
          <w:sz w:val="28"/>
          <w:szCs w:val="28"/>
        </w:rPr>
      </w:pPr>
      <w:r>
        <w:rPr>
          <w:rFonts w:hint="eastAsia"/>
          <w:b/>
          <w:sz w:val="28"/>
          <w:szCs w:val="28"/>
        </w:rPr>
        <w:t>附件-详细技术要求</w:t>
      </w:r>
    </w:p>
    <w:p>
      <w:pPr>
        <w:rPr>
          <w:b/>
          <w:sz w:val="28"/>
          <w:szCs w:val="28"/>
        </w:rPr>
      </w:pPr>
      <w:r>
        <w:rPr>
          <w:rFonts w:hint="eastAsia"/>
          <w:b/>
          <w:sz w:val="28"/>
          <w:szCs w:val="28"/>
        </w:rPr>
        <w:t>一、数据中心软硬件系统服务外包详细要求</w:t>
      </w:r>
    </w:p>
    <w:p>
      <w:pPr>
        <w:widowControl/>
        <w:spacing w:before="100" w:beforeAutospacing="1" w:line="384" w:lineRule="atLeast"/>
        <w:jc w:val="left"/>
        <w:rPr>
          <w:rFonts w:ascii="宋体" w:hAnsi="宋体" w:cs="宋体"/>
          <w:b/>
          <w:szCs w:val="21"/>
        </w:rPr>
      </w:pPr>
      <w:r>
        <w:rPr>
          <w:rStyle w:val="50"/>
          <w:rFonts w:hint="eastAsia" w:ascii="宋体" w:hAnsi="宋体" w:cs="宋体"/>
          <w:szCs w:val="21"/>
        </w:rPr>
        <w:t>（一）</w:t>
      </w:r>
      <w:r>
        <w:rPr>
          <w:rFonts w:hint="eastAsia" w:ascii="宋体" w:hAnsi="宋体" w:cs="宋体"/>
          <w:b/>
          <w:szCs w:val="21"/>
        </w:rPr>
        <w:t>服务团队人员及其基本工作要求：</w:t>
      </w:r>
    </w:p>
    <w:p>
      <w:pPr>
        <w:widowControl/>
        <w:spacing w:line="384" w:lineRule="atLeast"/>
        <w:ind w:firstLine="426" w:firstLineChars="200"/>
        <w:jc w:val="left"/>
        <w:rPr>
          <w:rFonts w:ascii="宋体" w:hAnsi="宋体" w:cs="宋体"/>
          <w:szCs w:val="21"/>
        </w:rPr>
      </w:pPr>
      <w:r>
        <w:rPr>
          <w:rFonts w:hint="eastAsia" w:ascii="宋体" w:hAnsi="宋体" w:cs="宋体"/>
          <w:szCs w:val="21"/>
        </w:rPr>
        <w:t>自中标单位签订合同后</w:t>
      </w:r>
      <w:r>
        <w:rPr>
          <w:rFonts w:ascii="宋体" w:hAnsi="宋体" w:cs="宋体"/>
          <w:szCs w:val="21"/>
        </w:rPr>
        <w:t>3</w:t>
      </w:r>
      <w:r>
        <w:rPr>
          <w:rFonts w:hint="eastAsia" w:ascii="宋体" w:hAnsi="宋体" w:cs="宋体"/>
          <w:szCs w:val="21"/>
        </w:rPr>
        <w:t>日内，组建医院外包服务团队，团队至少由</w:t>
      </w:r>
      <w:r>
        <w:rPr>
          <w:rFonts w:ascii="宋体" w:hAnsi="宋体" w:cs="宋体"/>
          <w:szCs w:val="21"/>
        </w:rPr>
        <w:t>3</w:t>
      </w:r>
      <w:r>
        <w:rPr>
          <w:rFonts w:hint="eastAsia" w:ascii="宋体" w:hAnsi="宋体" w:cs="宋体"/>
          <w:szCs w:val="21"/>
        </w:rPr>
        <w:t>人构成</w:t>
      </w:r>
      <w:r>
        <w:rPr>
          <w:rFonts w:hint="eastAsia" w:ascii="宋体" w:hAnsi="宋体"/>
          <w:szCs w:val="21"/>
        </w:rPr>
        <w:t>，其中网络工程师1名，数据库及虚拟化软件工程师1名，服务器及存储硬件工程师1名，工装、维修工具及设备中标单位自备，团队须服从采购甲方单位管理，提供7*24小时现场服务</w:t>
      </w:r>
      <w:r>
        <w:rPr>
          <w:rFonts w:hint="eastAsia" w:ascii="宋体" w:hAnsi="宋体" w:cs="宋体"/>
          <w:szCs w:val="21"/>
        </w:rPr>
        <w:t>。</w:t>
      </w:r>
    </w:p>
    <w:p>
      <w:pPr>
        <w:widowControl/>
        <w:spacing w:line="384" w:lineRule="atLeast"/>
        <w:ind w:firstLine="426" w:firstLineChars="200"/>
        <w:jc w:val="left"/>
        <w:rPr>
          <w:rFonts w:ascii="宋体" w:hAnsi="宋体" w:cs="宋体"/>
          <w:szCs w:val="21"/>
        </w:rPr>
      </w:pPr>
      <w:r>
        <w:rPr>
          <w:rFonts w:hint="eastAsia" w:ascii="宋体" w:hAnsi="宋体" w:cs="宋体"/>
          <w:szCs w:val="21"/>
        </w:rPr>
        <w:t>中标单位要求必须有相同或类似项目的服务业绩，有完善的外包团队考核管理制度，工程师资质要求为计算机相关专业、学历本科及以上，有国家计算机二级证书及以上，软件厂商认证工程师证书，拥有相关数据中心运维经验。工程师一经确认中标单位负责五险一金，不得随意更换人员。</w:t>
      </w:r>
    </w:p>
    <w:p>
      <w:pPr>
        <w:widowControl/>
        <w:spacing w:line="384" w:lineRule="atLeast"/>
        <w:ind w:firstLine="426" w:firstLineChars="200"/>
        <w:jc w:val="left"/>
        <w:rPr>
          <w:rFonts w:ascii="宋体" w:hAnsi="宋体" w:cs="宋体"/>
          <w:szCs w:val="21"/>
        </w:rPr>
      </w:pPr>
      <w:r>
        <w:rPr>
          <w:rFonts w:hint="eastAsia" w:ascii="宋体" w:hAnsi="宋体" w:cs="宋体"/>
          <w:szCs w:val="21"/>
        </w:rPr>
        <w:t>中标单位人员需具备相关厂家授权工程师证书，如中标人自身技术力量无法解决技术故障，需原厂商支持方可解决问题时，由中标人负责联系原厂工程师上门现场解决，一切费用由中标人承担。</w:t>
      </w:r>
    </w:p>
    <w:p>
      <w:pPr>
        <w:pStyle w:val="24"/>
        <w:shd w:val="clear" w:color="auto" w:fill="FFFFFF"/>
        <w:spacing w:line="330" w:lineRule="atLeast"/>
        <w:rPr>
          <w:rStyle w:val="50"/>
        </w:rPr>
      </w:pPr>
      <w:r>
        <w:rPr>
          <w:rStyle w:val="50"/>
          <w:rFonts w:hint="eastAsia"/>
          <w:sz w:val="21"/>
          <w:szCs w:val="21"/>
        </w:rPr>
        <w:t>（二）</w:t>
      </w:r>
      <w:r>
        <w:rPr>
          <w:rFonts w:hint="eastAsia"/>
          <w:b/>
        </w:rPr>
        <w:t>外包</w:t>
      </w:r>
      <w:r>
        <w:rPr>
          <w:rFonts w:hint="eastAsia"/>
          <w:b/>
          <w:sz w:val="21"/>
          <w:szCs w:val="21"/>
        </w:rPr>
        <w:t>服务要求：</w:t>
      </w:r>
    </w:p>
    <w:p>
      <w:pPr>
        <w:spacing w:line="500" w:lineRule="exact"/>
        <w:ind w:firstLine="416" w:firstLineChars="196"/>
        <w:rPr>
          <w:rFonts w:ascii="宋体" w:hAnsi="宋体"/>
          <w:color w:val="000000"/>
          <w:szCs w:val="21"/>
        </w:rPr>
      </w:pPr>
      <w:r>
        <w:rPr>
          <w:rFonts w:ascii="宋体" w:hAnsi="宋体"/>
          <w:b/>
          <w:color w:val="000000"/>
          <w:szCs w:val="21"/>
        </w:rPr>
        <w:t>1.</w:t>
      </w:r>
      <w:r>
        <w:rPr>
          <w:rFonts w:hint="eastAsia" w:ascii="宋体" w:hAnsi="宋体"/>
          <w:b/>
          <w:color w:val="000000"/>
          <w:szCs w:val="21"/>
        </w:rPr>
        <w:t>服务对象</w:t>
      </w:r>
      <w:r>
        <w:rPr>
          <w:rFonts w:hint="eastAsia" w:ascii="宋体" w:hAnsi="宋体"/>
          <w:color w:val="000000"/>
          <w:szCs w:val="21"/>
        </w:rPr>
        <w:t>：医院HIS、LIS、PACS、OA、电子病历等业务应用系统的支撑系统，操作系统，VMWARE虚拟化软件、ORACLE数据库软件、EMC NETWORK备份软件的运维。服务器、存储、光纤交换机、磁带库、备份一体机、有线网络、无线网络、安全设备的硬件维保。防火墙病毒库更新续费。精密空调、不间断电源硬件维保。</w:t>
      </w:r>
    </w:p>
    <w:p>
      <w:pPr>
        <w:spacing w:line="500" w:lineRule="exact"/>
        <w:ind w:firstLine="416" w:firstLineChars="196"/>
        <w:rPr>
          <w:rFonts w:ascii="宋体" w:hAnsi="宋体"/>
          <w:b/>
          <w:color w:val="000000"/>
          <w:szCs w:val="21"/>
        </w:rPr>
      </w:pPr>
      <w:r>
        <w:rPr>
          <w:rFonts w:ascii="宋体" w:hAnsi="宋体"/>
          <w:b/>
          <w:color w:val="000000"/>
          <w:szCs w:val="21"/>
        </w:rPr>
        <w:t>2.</w:t>
      </w:r>
      <w:r>
        <w:rPr>
          <w:rFonts w:hint="eastAsia" w:ascii="宋体" w:hAnsi="宋体"/>
          <w:b/>
          <w:color w:val="000000"/>
          <w:szCs w:val="21"/>
        </w:rPr>
        <w:t>服务地点：</w:t>
      </w:r>
      <w:r>
        <w:rPr>
          <w:rFonts w:hint="eastAsia" w:ascii="宋体" w:hAnsi="宋体"/>
          <w:szCs w:val="21"/>
        </w:rPr>
        <w:t>喀什地区第二人民医院及附属分院。</w:t>
      </w:r>
    </w:p>
    <w:p>
      <w:pPr>
        <w:spacing w:line="500" w:lineRule="exact"/>
        <w:ind w:firstLine="416" w:firstLineChars="196"/>
        <w:rPr>
          <w:rFonts w:ascii="宋体" w:hAnsi="宋体"/>
          <w:szCs w:val="21"/>
        </w:rPr>
      </w:pPr>
      <w:r>
        <w:rPr>
          <w:rFonts w:ascii="宋体" w:hAnsi="宋体"/>
          <w:b/>
          <w:color w:val="000000"/>
          <w:szCs w:val="21"/>
        </w:rPr>
        <w:t>3.</w:t>
      </w:r>
      <w:r>
        <w:rPr>
          <w:rFonts w:hint="eastAsia" w:ascii="宋体" w:hAnsi="宋体"/>
          <w:b/>
          <w:color w:val="000000"/>
          <w:szCs w:val="21"/>
        </w:rPr>
        <w:t>服务方式：</w:t>
      </w:r>
      <w:r>
        <w:rPr>
          <w:rFonts w:hint="eastAsia" w:ascii="宋体" w:hAnsi="宋体"/>
          <w:szCs w:val="21"/>
        </w:rPr>
        <w:t>由中标单位按合同总价全包方式为采购方提供维护服务。</w:t>
      </w:r>
    </w:p>
    <w:p>
      <w:pPr>
        <w:pStyle w:val="51"/>
        <w:spacing w:line="360" w:lineRule="auto"/>
        <w:ind w:left="420" w:firstLine="0" w:firstLineChars="0"/>
        <w:rPr>
          <w:rFonts w:ascii="宋体" w:hAnsi="宋体"/>
          <w:b/>
          <w:szCs w:val="21"/>
        </w:rPr>
      </w:pPr>
      <w:r>
        <w:rPr>
          <w:rFonts w:hint="eastAsia" w:ascii="宋体" w:hAnsi="宋体"/>
          <w:b/>
          <w:szCs w:val="21"/>
        </w:rPr>
        <w:t>4.服务期限：</w:t>
      </w:r>
      <w:r>
        <w:rPr>
          <w:rFonts w:hint="eastAsia" w:ascii="宋体" w:hAnsi="宋体"/>
          <w:szCs w:val="21"/>
        </w:rPr>
        <w:t>自派驻服务团队之日起一年。</w:t>
      </w:r>
    </w:p>
    <w:p>
      <w:pPr>
        <w:pStyle w:val="52"/>
        <w:numPr>
          <w:ilvl w:val="0"/>
          <w:numId w:val="0"/>
        </w:numPr>
        <w:ind w:firstLine="416" w:firstLineChars="196"/>
        <w:rPr>
          <w:rFonts w:ascii="宋体" w:hAnsi="宋体"/>
          <w:b/>
          <w:sz w:val="21"/>
          <w:szCs w:val="21"/>
        </w:rPr>
      </w:pPr>
      <w:r>
        <w:rPr>
          <w:rFonts w:hint="eastAsia" w:ascii="宋体" w:hAnsi="宋体"/>
          <w:b/>
          <w:sz w:val="21"/>
          <w:szCs w:val="21"/>
        </w:rPr>
        <w:t>5.响应时间：</w:t>
      </w:r>
    </w:p>
    <w:p>
      <w:pPr>
        <w:spacing w:line="500" w:lineRule="exact"/>
        <w:ind w:firstLine="416" w:firstLineChars="196"/>
        <w:rPr>
          <w:rFonts w:ascii="宋体" w:hAnsi="宋体"/>
          <w:color w:val="000000"/>
          <w:szCs w:val="21"/>
        </w:rPr>
      </w:pPr>
      <w:r>
        <w:rPr>
          <w:rFonts w:hint="eastAsia" w:ascii="宋体" w:hAnsi="宋体"/>
          <w:color w:val="000000"/>
          <w:szCs w:val="21"/>
        </w:rPr>
        <w:t>1）即时响应：通过电话或其他工具远程进行指导；</w:t>
      </w:r>
    </w:p>
    <w:p>
      <w:pPr>
        <w:spacing w:line="500" w:lineRule="exact"/>
        <w:ind w:firstLine="416" w:firstLineChars="196"/>
        <w:rPr>
          <w:rFonts w:ascii="宋体" w:hAnsi="宋体"/>
          <w:color w:val="000000"/>
          <w:szCs w:val="21"/>
        </w:rPr>
      </w:pPr>
      <w:r>
        <w:rPr>
          <w:rFonts w:hint="eastAsia" w:ascii="宋体" w:hAnsi="宋体"/>
          <w:color w:val="000000"/>
          <w:szCs w:val="21"/>
        </w:rPr>
        <w:t>2）现场服务要求在4小时内软件厂家认证工程师必须赶到现场；</w:t>
      </w:r>
    </w:p>
    <w:p>
      <w:pPr>
        <w:spacing w:line="500" w:lineRule="exact"/>
        <w:ind w:firstLine="416" w:firstLineChars="196"/>
        <w:rPr>
          <w:rFonts w:ascii="宋体" w:hAnsi="宋体"/>
          <w:color w:val="000000"/>
          <w:szCs w:val="21"/>
        </w:rPr>
      </w:pPr>
      <w:r>
        <w:rPr>
          <w:rFonts w:hint="eastAsia" w:ascii="宋体" w:hAnsi="宋体"/>
          <w:color w:val="000000"/>
          <w:szCs w:val="21"/>
        </w:rPr>
        <w:t>3）数据中心若出现故障将影响整个医院的业务运转，所以故障必须在8小时内解决；若8小时内无法修复，中标单位必须采取其他应急措施解决，否则甲方可有权根据损失情况扣除相应维护费用或解除合同并追究相关责任。</w:t>
      </w:r>
    </w:p>
    <w:p>
      <w:pPr>
        <w:spacing w:line="500" w:lineRule="exact"/>
        <w:ind w:firstLine="416" w:firstLineChars="196"/>
        <w:outlineLvl w:val="0"/>
        <w:rPr>
          <w:rFonts w:ascii="宋体" w:hAnsi="宋体"/>
          <w:b/>
          <w:color w:val="000000"/>
          <w:szCs w:val="21"/>
        </w:rPr>
      </w:pPr>
      <w:r>
        <w:rPr>
          <w:rFonts w:hint="eastAsia" w:ascii="宋体" w:hAnsi="宋体"/>
          <w:b/>
          <w:color w:val="000000"/>
          <w:szCs w:val="21"/>
        </w:rPr>
        <w:t>6.服务项目</w:t>
      </w:r>
    </w:p>
    <w:p>
      <w:pPr>
        <w:spacing w:line="500" w:lineRule="exact"/>
        <w:ind w:firstLine="416" w:firstLineChars="196"/>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）基本</w:t>
      </w:r>
      <w:r>
        <w:rPr>
          <w:rFonts w:hint="eastAsia" w:ascii="宋体" w:hAnsi="宋体"/>
          <w:bCs/>
          <w:color w:val="000000"/>
          <w:szCs w:val="21"/>
        </w:rPr>
        <w:t>技术服务：Windows、Linux操作系统、VMWARE虚拟化软件、ORACLE数据库软件、EMC NETWORK备份软件、服务器、存储、磁带机、备份一体机、</w:t>
      </w:r>
      <w:r>
        <w:rPr>
          <w:rFonts w:hint="eastAsia" w:ascii="宋体" w:hAnsi="宋体"/>
          <w:color w:val="000000"/>
          <w:szCs w:val="21"/>
        </w:rPr>
        <w:t>有线网络、无线网络</w:t>
      </w:r>
      <w:r>
        <w:rPr>
          <w:rFonts w:hint="eastAsia" w:ascii="宋体" w:hAnsi="宋体"/>
          <w:bCs/>
          <w:color w:val="000000"/>
          <w:szCs w:val="21"/>
        </w:rPr>
        <w:t>、安全设备等的配置及维护。</w:t>
      </w:r>
    </w:p>
    <w:p>
      <w:pPr>
        <w:spacing w:line="500" w:lineRule="exact"/>
        <w:ind w:firstLine="416" w:firstLineChars="196"/>
        <w:rPr>
          <w:rFonts w:ascii="宋体" w:hAnsi="宋体"/>
          <w:color w:val="000000"/>
          <w:szCs w:val="21"/>
        </w:rPr>
      </w:pPr>
      <w:r>
        <w:rPr>
          <w:rFonts w:hint="eastAsia" w:ascii="宋体" w:hAnsi="宋体"/>
          <w:color w:val="000000"/>
          <w:szCs w:val="21"/>
        </w:rPr>
        <w:t>（2）高级技术服务：日常</w:t>
      </w:r>
      <w:r>
        <w:rPr>
          <w:rFonts w:hint="eastAsia" w:ascii="宋体" w:hAnsi="宋体"/>
          <w:bCs/>
          <w:color w:val="000000"/>
          <w:szCs w:val="21"/>
        </w:rPr>
        <w:t>软硬件</w:t>
      </w:r>
      <w:r>
        <w:rPr>
          <w:rFonts w:hint="eastAsia" w:ascii="宋体" w:hAnsi="宋体"/>
          <w:color w:val="000000"/>
          <w:szCs w:val="21"/>
        </w:rPr>
        <w:t>设备故障排查、部件更换；重大故障如自有工程师无法解决，承诺协调原厂工程师提供远程或现场技术支持服务。</w:t>
      </w:r>
    </w:p>
    <w:p>
      <w:pPr>
        <w:spacing w:line="500" w:lineRule="exact"/>
        <w:ind w:firstLine="416" w:firstLineChars="196"/>
        <w:rPr>
          <w:rFonts w:ascii="宋体" w:hAnsi="宋体"/>
          <w:color w:val="000000"/>
          <w:szCs w:val="21"/>
        </w:rPr>
      </w:pPr>
      <w:r>
        <w:rPr>
          <w:rFonts w:hint="eastAsia" w:ascii="宋体" w:hAnsi="宋体"/>
          <w:bCs/>
          <w:color w:val="000000"/>
          <w:szCs w:val="21"/>
        </w:rPr>
        <w:t>（3）数据中心设备续保，</w:t>
      </w:r>
      <w:r>
        <w:rPr>
          <w:rFonts w:hint="eastAsia" w:ascii="宋体" w:hAnsi="宋体"/>
          <w:color w:val="000000"/>
          <w:szCs w:val="21"/>
        </w:rPr>
        <w:t>防火墙等网络安全设备的特征库更新续费，数据中心设备的微码升级。</w:t>
      </w:r>
    </w:p>
    <w:p>
      <w:pPr>
        <w:spacing w:line="500" w:lineRule="exact"/>
        <w:ind w:firstLine="416" w:firstLineChars="196"/>
        <w:rPr>
          <w:rFonts w:ascii="宋体" w:hAnsi="宋体"/>
          <w:bCs/>
          <w:color w:val="000000"/>
          <w:szCs w:val="21"/>
        </w:rPr>
      </w:pPr>
      <w:r>
        <w:rPr>
          <w:rFonts w:hint="eastAsia" w:ascii="宋体" w:hAnsi="宋体"/>
          <w:bCs/>
          <w:color w:val="000000"/>
          <w:szCs w:val="21"/>
        </w:rPr>
        <w:t>（4）</w:t>
      </w:r>
      <w:r>
        <w:rPr>
          <w:rFonts w:hint="eastAsia" w:ascii="宋体" w:hAnsi="宋体"/>
          <w:color w:val="000000"/>
          <w:szCs w:val="21"/>
        </w:rPr>
        <w:t>精密空调日常保养，如外机清洗，过滤网清洗更换，冷媒容量检测，除霜、制冷加湿效果测试；不间断电源电流、电压输入输出状态，电池内阻检测，定期充放电维护保养等。</w:t>
      </w:r>
    </w:p>
    <w:p>
      <w:pPr>
        <w:spacing w:line="500" w:lineRule="exact"/>
        <w:ind w:left="1" w:firstLine="416" w:firstLineChars="196"/>
        <w:rPr>
          <w:rFonts w:ascii="宋体" w:hAnsi="宋体"/>
          <w:bCs/>
          <w:color w:val="000000"/>
          <w:szCs w:val="21"/>
        </w:rPr>
      </w:pPr>
      <w:r>
        <w:rPr>
          <w:rFonts w:hint="eastAsia" w:ascii="宋体" w:hAnsi="宋体"/>
          <w:bCs/>
          <w:color w:val="000000"/>
          <w:szCs w:val="21"/>
        </w:rPr>
        <w:t>（5）巡检服务：一年两次对甲方服务器、存储、备份设备、网络设备、安全设备、软、硬件环境提供定期巡检和保养、除尘、保洁。</w:t>
      </w:r>
    </w:p>
    <w:p>
      <w:pPr>
        <w:spacing w:line="500" w:lineRule="exact"/>
        <w:ind w:firstLine="416" w:firstLineChars="196"/>
        <w:rPr>
          <w:rFonts w:ascii="宋体" w:hAnsi="宋体"/>
          <w:bCs/>
          <w:color w:val="000000"/>
          <w:szCs w:val="21"/>
        </w:rPr>
      </w:pPr>
      <w:r>
        <w:rPr>
          <w:rFonts w:hint="eastAsia" w:ascii="宋体" w:hAnsi="宋体"/>
          <w:bCs/>
          <w:color w:val="000000"/>
          <w:szCs w:val="21"/>
        </w:rPr>
        <w:t>（6）运维调优服务：操作系统优化与补丁升级，系统及软件漏洞扫描与修复，应用软件及数据库调优、数据备份等。</w:t>
      </w:r>
    </w:p>
    <w:p>
      <w:pPr>
        <w:spacing w:line="500" w:lineRule="exact"/>
        <w:ind w:firstLine="416" w:firstLineChars="196"/>
        <w:rPr>
          <w:rFonts w:ascii="宋体" w:hAnsi="宋体"/>
          <w:bCs/>
          <w:color w:val="000000"/>
          <w:szCs w:val="21"/>
        </w:rPr>
      </w:pPr>
      <w:r>
        <w:rPr>
          <w:rFonts w:hint="eastAsia" w:ascii="宋体" w:hAnsi="宋体"/>
          <w:bCs/>
          <w:color w:val="000000"/>
          <w:szCs w:val="21"/>
        </w:rPr>
        <w:t xml:space="preserve">（7）电话技术支持：提供7 X </w:t>
      </w:r>
      <w:r>
        <w:rPr>
          <w:rFonts w:ascii="宋体" w:hAnsi="宋体"/>
          <w:bCs/>
          <w:color w:val="000000"/>
          <w:szCs w:val="21"/>
        </w:rPr>
        <w:t>24</w:t>
      </w:r>
      <w:r>
        <w:rPr>
          <w:rFonts w:hint="eastAsia" w:ascii="宋体" w:hAnsi="宋体"/>
          <w:bCs/>
          <w:color w:val="000000"/>
          <w:szCs w:val="21"/>
        </w:rPr>
        <w:t>小时电话服务支持。</w:t>
      </w:r>
    </w:p>
    <w:p>
      <w:pPr>
        <w:spacing w:line="500" w:lineRule="exact"/>
        <w:ind w:left="1" w:firstLine="416" w:firstLineChars="196"/>
        <w:rPr>
          <w:rFonts w:ascii="宋体" w:hAnsi="宋体"/>
          <w:bCs/>
          <w:color w:val="000000"/>
          <w:szCs w:val="21"/>
        </w:rPr>
      </w:pPr>
      <w:r>
        <w:rPr>
          <w:rFonts w:hint="eastAsia" w:ascii="宋体" w:hAnsi="宋体"/>
          <w:bCs/>
          <w:color w:val="000000"/>
          <w:szCs w:val="21"/>
        </w:rPr>
        <w:t>（8）咨询服务：为甲方提供各类</w:t>
      </w:r>
      <w:r>
        <w:rPr>
          <w:rFonts w:ascii="宋体" w:hAnsi="宋体"/>
          <w:bCs/>
          <w:color w:val="000000"/>
          <w:szCs w:val="21"/>
        </w:rPr>
        <w:t>IT</w:t>
      </w:r>
      <w:r>
        <w:rPr>
          <w:rFonts w:hint="eastAsia" w:ascii="宋体" w:hAnsi="宋体"/>
          <w:bCs/>
          <w:color w:val="000000"/>
          <w:szCs w:val="21"/>
        </w:rPr>
        <w:t>产品性能和价格咨询。</w:t>
      </w:r>
    </w:p>
    <w:p>
      <w:pPr>
        <w:spacing w:line="500" w:lineRule="exact"/>
        <w:ind w:firstLine="416" w:firstLineChars="196"/>
        <w:rPr>
          <w:rFonts w:ascii="宋体" w:hAnsi="宋体"/>
          <w:bCs/>
          <w:color w:val="000000"/>
          <w:szCs w:val="21"/>
        </w:rPr>
      </w:pPr>
      <w:r>
        <w:rPr>
          <w:rFonts w:hint="eastAsia" w:ascii="宋体" w:hAnsi="宋体"/>
          <w:color w:val="000000"/>
          <w:szCs w:val="21"/>
        </w:rPr>
        <w:t>（9）</w:t>
      </w:r>
      <w:r>
        <w:rPr>
          <w:rFonts w:hint="eastAsia" w:ascii="宋体" w:hAnsi="宋体"/>
          <w:bCs/>
          <w:color w:val="000000"/>
          <w:szCs w:val="21"/>
        </w:rPr>
        <w:t>服务记录报表：通过IT运维系统提供医院软硬件系统的服务记录、故障分析。</w:t>
      </w:r>
    </w:p>
    <w:p>
      <w:pPr>
        <w:spacing w:line="500" w:lineRule="exact"/>
        <w:ind w:firstLine="416" w:firstLineChars="196"/>
        <w:rPr>
          <w:rFonts w:ascii="宋体" w:hAnsi="宋体"/>
          <w:bCs/>
          <w:color w:val="000000"/>
          <w:szCs w:val="21"/>
        </w:rPr>
      </w:pPr>
      <w:r>
        <w:rPr>
          <w:rFonts w:hint="eastAsia" w:ascii="宋体" w:hAnsi="宋体"/>
          <w:color w:val="000000"/>
          <w:szCs w:val="21"/>
        </w:rPr>
        <w:t>（10）培训</w:t>
      </w:r>
      <w:r>
        <w:rPr>
          <w:rFonts w:hint="eastAsia" w:ascii="宋体" w:hAnsi="宋体"/>
          <w:bCs/>
          <w:color w:val="000000"/>
          <w:szCs w:val="21"/>
        </w:rPr>
        <w:t>服务：提供VMWARE虚拟化软件、ORACLE数据库软件、EMC NETWORK备份软件的网管人员培训。每年至少2次安排2名信息管理部技术人员外出学习培训，培训内容包括数据库管理、存储容灾备份技术、虚拟化等技术，提高信息管理部技术人员的专业水平。</w:t>
      </w:r>
    </w:p>
    <w:p>
      <w:pPr>
        <w:spacing w:line="500" w:lineRule="exact"/>
        <w:ind w:firstLine="416" w:firstLineChars="196"/>
        <w:rPr>
          <w:rFonts w:ascii="宋体" w:hAnsi="宋体"/>
          <w:b/>
          <w:color w:val="000000"/>
          <w:szCs w:val="21"/>
        </w:rPr>
      </w:pPr>
      <w:r>
        <w:rPr>
          <w:rFonts w:hint="eastAsia" w:ascii="宋体" w:hAnsi="宋体"/>
          <w:b/>
          <w:bCs/>
          <w:color w:val="000000"/>
          <w:szCs w:val="21"/>
        </w:rPr>
        <w:t>（11）服务费用：</w:t>
      </w:r>
      <w:r>
        <w:rPr>
          <w:rFonts w:hint="eastAsia" w:ascii="宋体" w:hAnsi="宋体"/>
          <w:b/>
          <w:color w:val="000000"/>
          <w:szCs w:val="21"/>
        </w:rPr>
        <w:t>以上所列服务项目产生的费用，同时一年累计金额不超过4.5万的配件更换费用均由维保单位承担。</w:t>
      </w:r>
    </w:p>
    <w:p>
      <w:pPr>
        <w:widowControl/>
        <w:spacing w:line="500" w:lineRule="exact"/>
        <w:ind w:firstLine="416" w:firstLineChars="196"/>
        <w:jc w:val="left"/>
        <w:rPr>
          <w:rFonts w:ascii="宋体" w:hAnsi="宋体" w:cs="宋体"/>
          <w:b/>
          <w:bCs/>
          <w:kern w:val="0"/>
          <w:szCs w:val="21"/>
        </w:rPr>
      </w:pPr>
      <w:r>
        <w:rPr>
          <w:rFonts w:hint="eastAsia" w:ascii="宋体" w:hAnsi="宋体" w:cs="宋体"/>
          <w:b/>
          <w:bCs/>
          <w:kern w:val="0"/>
          <w:szCs w:val="21"/>
        </w:rPr>
        <w:t>7．应急保障</w:t>
      </w:r>
    </w:p>
    <w:p>
      <w:pPr>
        <w:spacing w:line="500" w:lineRule="exact"/>
        <w:ind w:firstLine="416" w:firstLineChars="196"/>
        <w:rPr>
          <w:rFonts w:ascii="宋体" w:hAnsi="宋体"/>
          <w:color w:val="000000"/>
          <w:szCs w:val="21"/>
        </w:rPr>
      </w:pPr>
      <w:r>
        <w:rPr>
          <w:rFonts w:hint="eastAsia" w:ascii="宋体" w:hAnsi="宋体"/>
          <w:color w:val="000000"/>
          <w:szCs w:val="21"/>
        </w:rPr>
        <w:t>中标人必须提供完善的应急保障预案，为保证业务不中断，应提供核心设备的备机，易损部件的备件，存于甲方处，可随时进行更换。定期进行灾难恢复演练，保障出现故障时可快速恢复业务。</w:t>
      </w:r>
    </w:p>
    <w:p>
      <w:pPr>
        <w:widowControl/>
        <w:spacing w:line="500" w:lineRule="exact"/>
        <w:ind w:firstLine="416" w:firstLineChars="196"/>
        <w:jc w:val="left"/>
        <w:rPr>
          <w:rFonts w:ascii="宋体" w:hAnsi="宋体" w:cs="宋体"/>
          <w:b/>
          <w:bCs/>
          <w:kern w:val="0"/>
          <w:szCs w:val="21"/>
        </w:rPr>
      </w:pPr>
      <w:r>
        <w:rPr>
          <w:rFonts w:hint="eastAsia" w:ascii="宋体" w:hAnsi="宋体" w:cs="宋体"/>
          <w:b/>
          <w:bCs/>
          <w:kern w:val="0"/>
          <w:szCs w:val="21"/>
        </w:rPr>
        <w:t>8．外包服务设备及软件型号、数量：</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800"/>
        <w:gridCol w:w="41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0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产品名称</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型号</w:t>
            </w: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硬件配置</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restart"/>
            <w:tcBorders>
              <w:top w:val="single" w:color="auto" w:sz="4" w:space="0"/>
              <w:left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服务器</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r>
              <w:rPr>
                <w:rFonts w:asciiTheme="minorEastAsia" w:hAnsiTheme="minorEastAsia"/>
                <w:bCs/>
                <w:sz w:val="18"/>
                <w:szCs w:val="18"/>
              </w:rPr>
              <w:t>1</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asciiTheme="minorEastAsia" w:hAnsiTheme="minorEastAsia"/>
                <w:bCs/>
                <w:sz w:val="18"/>
                <w:szCs w:val="18"/>
              </w:rPr>
              <w:t>IBM</w:t>
            </w:r>
            <w:r>
              <w:rPr>
                <w:rFonts w:hint="eastAsia" w:asciiTheme="minorEastAsia" w:hAnsiTheme="minorEastAsia"/>
                <w:bCs/>
                <w:sz w:val="18"/>
                <w:szCs w:val="18"/>
              </w:rPr>
              <w:t xml:space="preserve"> </w:t>
            </w:r>
            <w:r>
              <w:rPr>
                <w:rFonts w:asciiTheme="minorEastAsia" w:hAnsiTheme="minorEastAsia"/>
                <w:bCs/>
                <w:sz w:val="18"/>
                <w:szCs w:val="18"/>
              </w:rPr>
              <w:t>X3850X5</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asciiTheme="minorEastAsia" w:hAnsiTheme="minorEastAsia"/>
                <w:bCs/>
                <w:sz w:val="18"/>
                <w:szCs w:val="18"/>
              </w:rPr>
              <w:t>4*E7-4850/128G内存/4*600G SAS/DVD/RAID5/2*8GB HBA卡/冗余电源</w:t>
            </w:r>
          </w:p>
        </w:tc>
        <w:tc>
          <w:tcPr>
            <w:tcW w:w="851"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bCs/>
                <w:sz w:val="18"/>
                <w:szCs w:val="18"/>
              </w:rPr>
            </w:pPr>
            <w:r>
              <w:rPr>
                <w:rFonts w:hint="eastAsia" w:asciiTheme="minorEastAsia" w:hAnsiTheme="minorEastAsia"/>
                <w:bCs/>
                <w:sz w:val="18"/>
                <w:szCs w:val="18"/>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left w:val="single" w:color="auto" w:sz="4" w:space="0"/>
              <w:right w:val="single" w:color="auto" w:sz="4" w:space="0"/>
            </w:tcBorders>
            <w:vAlign w:val="center"/>
          </w:tcPr>
          <w:p>
            <w:pPr>
              <w:spacing w:line="500" w:lineRule="exact"/>
              <w:jc w:val="center"/>
              <w:rPr>
                <w:rFonts w:asciiTheme="minorEastAsia" w:hAnsiTheme="minorEastAsia"/>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r>
              <w:rPr>
                <w:rFonts w:asciiTheme="minorEastAsia" w:hAnsiTheme="minorEastAsia"/>
                <w:bCs/>
                <w:sz w:val="18"/>
                <w:szCs w:val="18"/>
              </w:rPr>
              <w:t>2</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asciiTheme="minorEastAsia" w:hAnsiTheme="minorEastAsia"/>
                <w:bCs/>
                <w:sz w:val="18"/>
                <w:szCs w:val="18"/>
              </w:rPr>
              <w:t>IBM</w:t>
            </w:r>
            <w:r>
              <w:rPr>
                <w:rFonts w:hint="eastAsia" w:asciiTheme="minorEastAsia" w:hAnsiTheme="minorEastAsia"/>
                <w:bCs/>
                <w:sz w:val="18"/>
                <w:szCs w:val="18"/>
              </w:rPr>
              <w:t xml:space="preserve"> </w:t>
            </w:r>
            <w:r>
              <w:rPr>
                <w:rFonts w:asciiTheme="minorEastAsia" w:hAnsiTheme="minorEastAsia"/>
                <w:bCs/>
                <w:sz w:val="18"/>
                <w:szCs w:val="18"/>
              </w:rPr>
              <w:t>X</w:t>
            </w:r>
            <w:r>
              <w:rPr>
                <w:rFonts w:hint="eastAsia" w:asciiTheme="minorEastAsia" w:hAnsiTheme="minorEastAsia"/>
                <w:bCs/>
                <w:sz w:val="18"/>
                <w:szCs w:val="18"/>
              </w:rPr>
              <w:t>36</w:t>
            </w:r>
            <w:r>
              <w:rPr>
                <w:rFonts w:asciiTheme="minorEastAsia" w:hAnsiTheme="minorEastAsia"/>
                <w:bCs/>
                <w:sz w:val="18"/>
                <w:szCs w:val="18"/>
              </w:rPr>
              <w:t>50</w:t>
            </w:r>
            <w:r>
              <w:rPr>
                <w:rFonts w:hint="eastAsia" w:asciiTheme="minorEastAsia" w:hAnsiTheme="minorEastAsia"/>
                <w:bCs/>
                <w:sz w:val="18"/>
                <w:szCs w:val="18"/>
              </w:rPr>
              <w:t>M4</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asciiTheme="minorEastAsia" w:hAnsiTheme="minorEastAsia"/>
                <w:bCs/>
                <w:sz w:val="18"/>
                <w:szCs w:val="18"/>
              </w:rPr>
              <w:t>2*E5260/8G内存/4*300G SAS/DVD/RAID5/2*8GB HBA卡/冗余电源</w:t>
            </w:r>
          </w:p>
        </w:tc>
        <w:tc>
          <w:tcPr>
            <w:tcW w:w="851" w:type="dxa"/>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bCs/>
                <w:sz w:val="18"/>
                <w:szCs w:val="18"/>
              </w:rPr>
            </w:pPr>
            <w:r>
              <w:rPr>
                <w:rFonts w:hint="eastAsia" w:asciiTheme="minorEastAsia" w:hAnsiTheme="minorEastAsia"/>
                <w:bCs/>
                <w:sz w:val="18"/>
                <w:szCs w:val="18"/>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r>
              <w:rPr>
                <w:rFonts w:asciiTheme="minorEastAsia" w:hAnsiTheme="minorEastAsia"/>
                <w:bCs/>
                <w:sz w:val="18"/>
                <w:szCs w:val="18"/>
              </w:rPr>
              <w:t>3</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asciiTheme="minorEastAsia" w:hAnsiTheme="minorEastAsia"/>
                <w:bCs/>
                <w:sz w:val="18"/>
                <w:szCs w:val="18"/>
              </w:rPr>
              <w:t>DELL</w:t>
            </w:r>
            <w:r>
              <w:rPr>
                <w:rFonts w:asciiTheme="minorEastAsia" w:hAnsiTheme="minorEastAsia"/>
                <w:bCs/>
                <w:sz w:val="18"/>
                <w:szCs w:val="18"/>
              </w:rPr>
              <w:t xml:space="preserve"> </w:t>
            </w:r>
            <w:r>
              <w:rPr>
                <w:rFonts w:hint="eastAsia" w:cs="宋体" w:asciiTheme="minorEastAsia" w:hAnsiTheme="minorEastAsia"/>
                <w:kern w:val="0"/>
                <w:sz w:val="18"/>
                <w:szCs w:val="18"/>
              </w:rPr>
              <w:t>R420</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cs="宋体" w:asciiTheme="minorEastAsia" w:hAnsiTheme="minorEastAsia"/>
                <w:kern w:val="0"/>
                <w:sz w:val="18"/>
                <w:szCs w:val="18"/>
              </w:rPr>
              <w:t>戴尔、PowerEdge</w:t>
            </w:r>
          </w:p>
        </w:tc>
        <w:tc>
          <w:tcPr>
            <w:tcW w:w="851" w:type="dxa"/>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bCs/>
                <w:sz w:val="18"/>
                <w:szCs w:val="18"/>
              </w:rPr>
            </w:pPr>
            <w:r>
              <w:rPr>
                <w:rFonts w:hint="eastAsia" w:asciiTheme="minorEastAsia" w:hAnsiTheme="minorEastAsia"/>
                <w:bCs/>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restart"/>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存储</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r>
              <w:rPr>
                <w:rFonts w:asciiTheme="minorEastAsia" w:hAnsiTheme="minorEastAsia"/>
                <w:bCs/>
                <w:sz w:val="18"/>
                <w:szCs w:val="18"/>
              </w:rPr>
              <w:t>1</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asciiTheme="minorEastAsia" w:hAnsiTheme="minorEastAsia"/>
                <w:bCs/>
                <w:sz w:val="18"/>
                <w:szCs w:val="18"/>
              </w:rPr>
              <w:t>EMC VNX 5500</w:t>
            </w:r>
          </w:p>
        </w:tc>
        <w:tc>
          <w:tcPr>
            <w:tcW w:w="41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sz w:val="18"/>
                <w:szCs w:val="18"/>
              </w:rPr>
            </w:pPr>
            <w:r>
              <w:rPr>
                <w:rFonts w:hint="eastAsia" w:asciiTheme="minorEastAsia" w:hAnsiTheme="minorEastAsia"/>
                <w:bCs/>
                <w:sz w:val="18"/>
                <w:szCs w:val="18"/>
              </w:rPr>
              <w:t>24G缓存，16个1Gb ISCSI接口，8个10Gb ISCSI接口，配置2*200G闪存，15*600G 15K SAS盘。</w:t>
            </w:r>
          </w:p>
        </w:tc>
        <w:tc>
          <w:tcPr>
            <w:tcW w:w="851" w:type="dxa"/>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left w:val="single" w:color="auto" w:sz="4" w:space="0"/>
              <w:right w:val="single" w:color="auto" w:sz="4" w:space="0"/>
            </w:tcBorders>
            <w:shd w:val="clear" w:color="auto" w:fill="auto"/>
            <w:vAlign w:val="center"/>
          </w:tcPr>
          <w:p>
            <w:pPr>
              <w:spacing w:line="500" w:lineRule="exact"/>
              <w:jc w:val="center"/>
              <w:rPr>
                <w:rFonts w:asciiTheme="minorEastAsia" w:hAnsiTheme="minorEastAsia"/>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color w:val="000000"/>
                <w:sz w:val="18"/>
                <w:szCs w:val="18"/>
              </w:rPr>
            </w:pPr>
            <w:r>
              <w:rPr>
                <w:rFonts w:hint="eastAsia" w:asciiTheme="minorEastAsia" w:hAnsiTheme="minorEastAsia"/>
                <w:bCs/>
                <w:color w:val="000000"/>
                <w:sz w:val="18"/>
                <w:szCs w:val="18"/>
              </w:rPr>
              <w:t>配置</w:t>
            </w:r>
            <w:r>
              <w:rPr>
                <w:rFonts w:asciiTheme="minorEastAsia" w:hAnsiTheme="minorEastAsia"/>
                <w:bCs/>
                <w:color w:val="000000"/>
                <w:sz w:val="18"/>
                <w:szCs w:val="18"/>
              </w:rPr>
              <w:t>2</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color w:val="000000"/>
                <w:sz w:val="18"/>
                <w:szCs w:val="18"/>
              </w:rPr>
            </w:pPr>
            <w:r>
              <w:rPr>
                <w:rFonts w:hint="eastAsia" w:asciiTheme="minorEastAsia" w:hAnsiTheme="minorEastAsia"/>
                <w:bCs/>
                <w:color w:val="000000"/>
                <w:sz w:val="18"/>
                <w:szCs w:val="18"/>
              </w:rPr>
              <w:t>EMC VNX 5200</w:t>
            </w:r>
          </w:p>
        </w:tc>
        <w:tc>
          <w:tcPr>
            <w:tcW w:w="41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sz w:val="18"/>
                <w:szCs w:val="18"/>
              </w:rPr>
            </w:pPr>
            <w:r>
              <w:rPr>
                <w:rFonts w:hint="eastAsia" w:asciiTheme="minorEastAsia" w:hAnsiTheme="minorEastAsia"/>
                <w:bCs/>
                <w:color w:val="000000"/>
                <w:sz w:val="18"/>
                <w:szCs w:val="18"/>
              </w:rPr>
              <w:t>24G缓存，16个1Gb ISCSI接口，8个10Gb ISCSI接口，配置2*200G闪存，15*600G 15K SAS盘。</w:t>
            </w:r>
          </w:p>
        </w:tc>
        <w:tc>
          <w:tcPr>
            <w:tcW w:w="851" w:type="dxa"/>
            <w:tcBorders>
              <w:top w:val="single" w:color="auto" w:sz="4" w:space="0"/>
              <w:left w:val="single" w:color="auto" w:sz="4" w:space="0"/>
              <w:right w:val="single" w:color="auto" w:sz="4" w:space="0"/>
            </w:tcBorders>
            <w:shd w:val="clear" w:color="auto" w:fill="auto"/>
            <w:vAlign w:val="center"/>
          </w:tcPr>
          <w:p>
            <w:pPr>
              <w:spacing w:line="500" w:lineRule="exact"/>
              <w:jc w:val="center"/>
              <w:rPr>
                <w:rFonts w:asciiTheme="minorEastAsia" w:hAnsiTheme="minorEastAsia"/>
                <w:bCs/>
                <w:color w:val="000000"/>
                <w:sz w:val="18"/>
                <w:szCs w:val="18"/>
              </w:rPr>
            </w:pPr>
            <w:r>
              <w:rPr>
                <w:rFonts w:hint="eastAsia" w:asciiTheme="minorEastAsia" w:hAnsiTheme="minorEastAsia"/>
                <w:bCs/>
                <w:color w:val="000000"/>
                <w:sz w:val="18"/>
                <w:szCs w:val="18"/>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光纤交换机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asciiTheme="minorEastAsia" w:hAnsiTheme="minorEastAsia"/>
                <w:bCs/>
                <w:sz w:val="18"/>
                <w:szCs w:val="18"/>
              </w:rPr>
              <w:t>EMC Connectrix</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asciiTheme="minorEastAsia" w:hAnsiTheme="minorEastAsia"/>
                <w:bCs/>
                <w:sz w:val="18"/>
                <w:szCs w:val="18"/>
              </w:rPr>
              <w:t>FC口，24个物理口全部激活。</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无线控制器</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cs="宋体" w:asciiTheme="minorEastAsia" w:hAnsiTheme="minorEastAsia"/>
                <w:kern w:val="0"/>
                <w:sz w:val="18"/>
                <w:szCs w:val="18"/>
              </w:rPr>
              <w:t>华三WX5510E</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cs="宋体" w:asciiTheme="minorEastAsia" w:hAnsiTheme="minorEastAsia"/>
                <w:kern w:val="0"/>
                <w:sz w:val="18"/>
                <w:szCs w:val="18"/>
              </w:rPr>
              <w:t>WX5510E</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无线服务器</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kern w:val="0"/>
                <w:sz w:val="18"/>
                <w:szCs w:val="18"/>
              </w:rPr>
            </w:pPr>
            <w:r>
              <w:rPr>
                <w:rFonts w:hint="eastAsia" w:cs="宋体" w:asciiTheme="minorEastAsia" w:hAnsiTheme="minorEastAsia"/>
                <w:kern w:val="0"/>
                <w:sz w:val="18"/>
                <w:szCs w:val="18"/>
              </w:rPr>
              <w:t>曙光A620R-G</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kern w:val="0"/>
                <w:sz w:val="18"/>
                <w:szCs w:val="18"/>
              </w:rPr>
            </w:pPr>
            <w:r>
              <w:rPr>
                <w:rFonts w:hint="eastAsia" w:cs="宋体" w:asciiTheme="minorEastAsia" w:hAnsiTheme="minorEastAsia"/>
                <w:kern w:val="0"/>
                <w:sz w:val="18"/>
                <w:szCs w:val="18"/>
              </w:rPr>
              <w:t>A620R-G</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磁带机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asciiTheme="minorEastAsia" w:hAnsiTheme="minorEastAsia"/>
                <w:bCs/>
                <w:sz w:val="18"/>
                <w:szCs w:val="18"/>
              </w:rPr>
              <w:t>IBM TS3100</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asciiTheme="minorEastAsia" w:hAnsiTheme="minorEastAsia"/>
                <w:bCs/>
                <w:sz w:val="18"/>
                <w:szCs w:val="18"/>
              </w:rPr>
              <w:t>4GB光纤接口，支持24盘磁带，标配10个数据带及清洗带。</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核心交换机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锐捷</w:t>
            </w:r>
            <w:r>
              <w:rPr>
                <w:rFonts w:asciiTheme="minorEastAsia" w:hAnsiTheme="minorEastAsia"/>
                <w:bCs/>
                <w:sz w:val="18"/>
                <w:szCs w:val="18"/>
              </w:rPr>
              <w:t>S8610</w:t>
            </w:r>
          </w:p>
        </w:tc>
        <w:tc>
          <w:tcPr>
            <w:tcW w:w="41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sz w:val="18"/>
                <w:szCs w:val="18"/>
              </w:rPr>
            </w:pPr>
            <w:r>
              <w:rPr>
                <w:rFonts w:hint="eastAsia" w:asciiTheme="minorEastAsia" w:hAnsiTheme="minorEastAsia"/>
                <w:bCs/>
                <w:sz w:val="18"/>
                <w:szCs w:val="18"/>
              </w:rPr>
              <w:t>10扩展槽主机箱（冗余电源和冗余管理引擎模块）48个10/100/1000M自适应电口+24个SFP接口，及14个1000BASE-LX模块</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核心交换机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华为S7710</w:t>
            </w:r>
          </w:p>
        </w:tc>
        <w:tc>
          <w:tcPr>
            <w:tcW w:w="41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sz w:val="18"/>
                <w:szCs w:val="18"/>
              </w:rPr>
            </w:pPr>
            <w:r>
              <w:rPr>
                <w:rFonts w:hint="eastAsia" w:asciiTheme="minorEastAsia" w:hAnsiTheme="minorEastAsia"/>
                <w:bCs/>
                <w:sz w:val="18"/>
                <w:szCs w:val="18"/>
              </w:rPr>
              <w:t>双主控板、满配交换网板，双电源；48千兆光口板，8千兆电口板，防火墙业务板；一块虚拟化集群业务子卡，4个QSFP+40G端口，集群带宽≥160Gbps；</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汇聚交换机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华为S5720-36C</w:t>
            </w:r>
          </w:p>
        </w:tc>
        <w:tc>
          <w:tcPr>
            <w:tcW w:w="41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sz w:val="18"/>
                <w:szCs w:val="18"/>
              </w:rPr>
            </w:pPr>
            <w:r>
              <w:rPr>
                <w:rFonts w:hint="eastAsia" w:asciiTheme="minorEastAsia" w:hAnsiTheme="minorEastAsia"/>
                <w:bCs/>
                <w:sz w:val="18"/>
                <w:szCs w:val="18"/>
              </w:rPr>
              <w:t>28个千兆SFP，4个复用的千兆电Combo口，4个万兆SFP+；一块虚拟化集群业务子卡</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防火墙</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锐捷</w:t>
            </w:r>
            <w:r>
              <w:rPr>
                <w:rFonts w:asciiTheme="minorEastAsia" w:hAnsiTheme="minorEastAsia"/>
                <w:bCs/>
                <w:sz w:val="18"/>
                <w:szCs w:val="18"/>
              </w:rPr>
              <w:t>RG-WALL 1600</w:t>
            </w:r>
          </w:p>
        </w:tc>
        <w:tc>
          <w:tcPr>
            <w:tcW w:w="41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sz w:val="18"/>
                <w:szCs w:val="18"/>
              </w:rPr>
            </w:pPr>
            <w:r>
              <w:rPr>
                <w:rFonts w:hint="eastAsia" w:asciiTheme="minorEastAsia" w:hAnsiTheme="minorEastAsia"/>
                <w:bCs/>
                <w:sz w:val="18"/>
                <w:szCs w:val="18"/>
              </w:rPr>
              <w:t>千兆防火墙；提供8个千兆电接口；配置冗余电源，1U；配1年防病毒库授权；自带10个VPN客户端授权</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防火墙</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asciiTheme="minorEastAsia" w:hAnsiTheme="minorEastAsia"/>
                <w:bCs/>
                <w:sz w:val="18"/>
                <w:szCs w:val="18"/>
              </w:rPr>
              <w:t>NGFW4000</w:t>
            </w:r>
          </w:p>
        </w:tc>
        <w:tc>
          <w:tcPr>
            <w:tcW w:w="41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sz w:val="18"/>
                <w:szCs w:val="18"/>
              </w:rPr>
            </w:pPr>
            <w:r>
              <w:rPr>
                <w:rFonts w:hint="eastAsia" w:asciiTheme="minorEastAsia" w:hAnsiTheme="minorEastAsia"/>
                <w:bCs/>
                <w:sz w:val="18"/>
                <w:szCs w:val="18"/>
              </w:rPr>
              <w:t>配置为10个10/100/1000MBase-T端口</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网闸</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天融信TR-72218-RB</w:t>
            </w:r>
          </w:p>
        </w:tc>
        <w:tc>
          <w:tcPr>
            <w:tcW w:w="414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bCs/>
                <w:sz w:val="18"/>
                <w:szCs w:val="18"/>
              </w:rPr>
            </w:pPr>
            <w:r>
              <w:rPr>
                <w:rFonts w:hint="eastAsia" w:asciiTheme="minorEastAsia" w:hAnsiTheme="minorEastAsia"/>
                <w:bCs/>
                <w:sz w:val="18"/>
                <w:szCs w:val="18"/>
              </w:rPr>
              <w:t>双电源，内外端双侧液晶屏； 内端机6个10/100/1000Base-T接口和2个SFP插槽，含1个MAN口； 外端机6个10/100/1000Base-T接口和2个SFP插槽，含1个 HA口；</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反统方</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asciiTheme="minorEastAsia" w:hAnsiTheme="minorEastAsia"/>
                <w:bCs/>
                <w:sz w:val="18"/>
                <w:szCs w:val="18"/>
              </w:rPr>
              <w:t>DB1000S</w:t>
            </w: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备份一体机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爱数VX1210</w:t>
            </w: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备份软件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EMC NETWORK</w:t>
            </w: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4C许可</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虚拟化软件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VMWARE</w:t>
            </w: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16C许可</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数据库软件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ORACLE</w:t>
            </w: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ORACLE</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color w:val="000000"/>
                <w:sz w:val="18"/>
                <w:szCs w:val="18"/>
              </w:rPr>
            </w:pPr>
            <w:r>
              <w:rPr>
                <w:rFonts w:hint="eastAsia" w:asciiTheme="minorEastAsia" w:hAnsiTheme="minorEastAsia"/>
                <w:bCs/>
                <w:color w:val="000000"/>
                <w:sz w:val="18"/>
                <w:szCs w:val="18"/>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网管软件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r>
              <w:rPr>
                <w:rFonts w:hint="eastAsia" w:asciiTheme="minorEastAsia" w:hAnsiTheme="minorEastAsia"/>
                <w:bCs/>
                <w:sz w:val="18"/>
                <w:szCs w:val="18"/>
              </w:rPr>
              <w:t>锐捷网络指挥官</w:t>
            </w: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500端许可</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不间断电源</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精密空调</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bCs/>
                <w:sz w:val="18"/>
                <w:szCs w:val="18"/>
              </w:rPr>
            </w:pPr>
          </w:p>
        </w:tc>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bCs/>
                <w:sz w:val="18"/>
                <w:szCs w:val="18"/>
              </w:rPr>
            </w:pPr>
            <w:r>
              <w:rPr>
                <w:rFonts w:hint="eastAsia" w:asciiTheme="minorEastAsia" w:hAnsiTheme="minorEastAsia"/>
                <w:bCs/>
                <w:sz w:val="18"/>
                <w:szCs w:val="18"/>
              </w:rPr>
              <w:t>3台</w:t>
            </w:r>
          </w:p>
        </w:tc>
      </w:tr>
    </w:tbl>
    <w:p>
      <w:pPr>
        <w:pStyle w:val="24"/>
        <w:shd w:val="clear" w:color="auto" w:fill="FFFFFF"/>
        <w:spacing w:line="330" w:lineRule="atLeast"/>
        <w:ind w:firstLine="207" w:firstLineChars="98"/>
        <w:rPr>
          <w:b/>
          <w:sz w:val="21"/>
          <w:szCs w:val="21"/>
        </w:rPr>
      </w:pPr>
      <w:r>
        <w:rPr>
          <w:rFonts w:hint="eastAsia"/>
          <w:b/>
          <w:sz w:val="21"/>
          <w:szCs w:val="21"/>
        </w:rPr>
        <w:t>以上数量仅为现阶段数量，一年内新增的设备也在服务范围。</w:t>
      </w:r>
    </w:p>
    <w:p>
      <w:pPr>
        <w:rPr>
          <w:b/>
          <w:sz w:val="28"/>
          <w:szCs w:val="28"/>
        </w:rPr>
      </w:pPr>
      <w:r>
        <w:rPr>
          <w:rFonts w:hint="eastAsia"/>
          <w:b/>
          <w:sz w:val="28"/>
          <w:szCs w:val="28"/>
        </w:rPr>
        <w:t xml:space="preserve">二、桌面服务支撑采购详细参数及要求 </w:t>
      </w:r>
    </w:p>
    <w:p>
      <w:pPr>
        <w:widowControl/>
        <w:spacing w:before="100" w:beforeAutospacing="1" w:line="384" w:lineRule="atLeast"/>
        <w:jc w:val="left"/>
        <w:rPr>
          <w:rFonts w:ascii="宋体" w:hAnsi="宋体" w:cs="宋体"/>
          <w:b/>
          <w:szCs w:val="21"/>
        </w:rPr>
      </w:pPr>
      <w:r>
        <w:rPr>
          <w:rStyle w:val="50"/>
          <w:rFonts w:hint="eastAsia" w:ascii="宋体" w:hAnsi="宋体" w:cs="宋体"/>
          <w:szCs w:val="21"/>
        </w:rPr>
        <w:t>（一）</w:t>
      </w:r>
      <w:r>
        <w:rPr>
          <w:rFonts w:hint="eastAsia" w:ascii="宋体" w:hAnsi="宋体" w:cs="宋体"/>
          <w:b/>
          <w:szCs w:val="21"/>
        </w:rPr>
        <w:t>服务团队人员及其基本工作要求：</w:t>
      </w:r>
    </w:p>
    <w:p>
      <w:pPr>
        <w:widowControl/>
        <w:spacing w:line="384" w:lineRule="atLeast"/>
        <w:ind w:firstLine="426" w:firstLineChars="200"/>
        <w:jc w:val="left"/>
        <w:rPr>
          <w:rFonts w:ascii="宋体" w:hAnsi="宋体" w:cs="宋体"/>
          <w:szCs w:val="21"/>
        </w:rPr>
      </w:pPr>
      <w:r>
        <w:rPr>
          <w:rFonts w:hint="eastAsia" w:ascii="宋体" w:hAnsi="宋体" w:cs="宋体"/>
          <w:szCs w:val="21"/>
        </w:rPr>
        <w:t>自中标单位签订合同后</w:t>
      </w:r>
      <w:r>
        <w:rPr>
          <w:rFonts w:ascii="宋体" w:hAnsi="宋体" w:cs="宋体"/>
          <w:szCs w:val="21"/>
        </w:rPr>
        <w:t>3</w:t>
      </w:r>
      <w:r>
        <w:rPr>
          <w:rFonts w:hint="eastAsia" w:ascii="宋体" w:hAnsi="宋体" w:cs="宋体"/>
          <w:szCs w:val="21"/>
        </w:rPr>
        <w:t>日内，派驻医院I</w:t>
      </w:r>
      <w:r>
        <w:rPr>
          <w:rFonts w:ascii="宋体" w:hAnsi="宋体" w:cs="宋体"/>
          <w:szCs w:val="21"/>
        </w:rPr>
        <w:t>T</w:t>
      </w:r>
      <w:r>
        <w:rPr>
          <w:rFonts w:hint="eastAsia" w:ascii="宋体" w:hAnsi="宋体" w:cs="宋体"/>
          <w:szCs w:val="21"/>
        </w:rPr>
        <w:t>服务外包团队，团队至少由8人构成，其中包含</w:t>
      </w:r>
      <w:r>
        <w:rPr>
          <w:rFonts w:ascii="宋体" w:hAnsi="宋体" w:cs="宋体"/>
          <w:szCs w:val="21"/>
        </w:rPr>
        <w:t>1</w:t>
      </w:r>
      <w:r>
        <w:rPr>
          <w:rFonts w:hint="eastAsia" w:ascii="宋体" w:hAnsi="宋体" w:cs="宋体"/>
          <w:szCs w:val="21"/>
        </w:rPr>
        <w:t>位主管，</w:t>
      </w:r>
      <w:r>
        <w:rPr>
          <w:rFonts w:ascii="宋体" w:hAnsi="宋体" w:cs="宋体"/>
          <w:szCs w:val="21"/>
        </w:rPr>
        <w:t>1</w:t>
      </w:r>
      <w:r>
        <w:rPr>
          <w:rFonts w:hint="eastAsia" w:ascii="宋体" w:hAnsi="宋体" w:cs="宋体"/>
          <w:szCs w:val="21"/>
        </w:rPr>
        <w:t>位电话支持人员兼二线支持人员，至少6位一线技术人员</w:t>
      </w:r>
      <w:r>
        <w:rPr>
          <w:rFonts w:hint="eastAsia" w:ascii="宋体" w:hAnsi="宋体"/>
          <w:szCs w:val="21"/>
        </w:rPr>
        <w:t>，必须保证人员全员在岗，每周</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在采购单位驻场。员工离职前1月必须有接替员工上岗交接工作，保证服务人员数量充足，业务不中断。甲方单位提供办公室，工装、维修工具及设备中标单位自备，团队须服从采购甲方单位管理，提供现场服务</w:t>
      </w:r>
      <w:r>
        <w:rPr>
          <w:rFonts w:hint="eastAsia" w:ascii="宋体" w:hAnsi="宋体" w:cs="宋体"/>
          <w:szCs w:val="21"/>
        </w:rPr>
        <w:t>。</w:t>
      </w:r>
    </w:p>
    <w:p>
      <w:pPr>
        <w:widowControl/>
        <w:spacing w:line="384" w:lineRule="atLeast"/>
        <w:ind w:firstLine="426" w:firstLineChars="200"/>
        <w:jc w:val="left"/>
        <w:rPr>
          <w:rFonts w:ascii="宋体" w:hAnsi="宋体" w:cs="宋体"/>
          <w:szCs w:val="21"/>
        </w:rPr>
      </w:pPr>
      <w:r>
        <w:rPr>
          <w:rFonts w:hint="eastAsia" w:ascii="宋体" w:hAnsi="宋体" w:cs="宋体"/>
          <w:szCs w:val="21"/>
        </w:rPr>
        <w:t>中标单位要求必须有相同或类似项目的服务业绩，有完善的外包团队考核管理制度，服务人员资质要求为计算机相关专业、学历大专及以上，有国家计算机二级证书及以上，拥有相关计算机网络运维经验，中标单位服务人员必须全员缴纳五险一金，不得随意更换人员。</w:t>
      </w:r>
    </w:p>
    <w:p>
      <w:pPr>
        <w:widowControl/>
        <w:spacing w:line="384" w:lineRule="atLeast"/>
        <w:ind w:firstLine="426" w:firstLineChars="200"/>
        <w:jc w:val="left"/>
        <w:rPr>
          <w:rFonts w:ascii="宋体" w:hAnsi="宋体" w:cs="宋体"/>
          <w:szCs w:val="21"/>
        </w:rPr>
      </w:pPr>
      <w:r>
        <w:rPr>
          <w:rFonts w:hint="eastAsia" w:ascii="宋体" w:hAnsi="宋体" w:cs="宋体"/>
          <w:szCs w:val="21"/>
        </w:rPr>
        <w:t>服务人员分工：项目主管负责管理I</w:t>
      </w:r>
      <w:r>
        <w:rPr>
          <w:rFonts w:ascii="宋体" w:hAnsi="宋体" w:cs="宋体"/>
          <w:szCs w:val="21"/>
        </w:rPr>
        <w:t>T</w:t>
      </w:r>
      <w:r>
        <w:rPr>
          <w:rFonts w:hint="eastAsia" w:ascii="宋体" w:hAnsi="宋体" w:cs="宋体"/>
          <w:szCs w:val="21"/>
        </w:rPr>
        <w:t>服务外包团队，与院方沟通协调，处理一线疑难问题；一线支持工程师处理医院一线报修任务；电话支持兼二线支持工程师接听电话，分派报障任务，远程处理问题。</w:t>
      </w:r>
    </w:p>
    <w:p>
      <w:pPr>
        <w:widowControl/>
        <w:spacing w:line="384" w:lineRule="atLeast"/>
        <w:jc w:val="left"/>
        <w:rPr>
          <w:rFonts w:ascii="宋体" w:hAnsi="宋体" w:cs="宋体"/>
          <w:szCs w:val="21"/>
        </w:rPr>
      </w:pPr>
      <w:r>
        <w:rPr>
          <w:rFonts w:hint="eastAsia"/>
          <w:b/>
          <w:szCs w:val="21"/>
        </w:rPr>
        <w:t>（二）外包服务要求：</w:t>
      </w:r>
    </w:p>
    <w:p>
      <w:pPr>
        <w:spacing w:line="500" w:lineRule="exact"/>
        <w:ind w:firstLine="416" w:firstLineChars="196"/>
        <w:rPr>
          <w:rFonts w:ascii="宋体" w:hAnsi="宋体"/>
          <w:color w:val="000000"/>
          <w:szCs w:val="21"/>
        </w:rPr>
      </w:pPr>
      <w:r>
        <w:rPr>
          <w:rFonts w:ascii="宋体" w:hAnsi="宋体"/>
          <w:b/>
          <w:color w:val="000000"/>
          <w:szCs w:val="21"/>
        </w:rPr>
        <w:t>1.</w:t>
      </w:r>
      <w:r>
        <w:rPr>
          <w:rFonts w:hint="eastAsia" w:ascii="宋体" w:hAnsi="宋体"/>
          <w:b/>
          <w:color w:val="000000"/>
          <w:szCs w:val="21"/>
        </w:rPr>
        <w:t>服务对象</w:t>
      </w:r>
      <w:r>
        <w:rPr>
          <w:rFonts w:hint="eastAsia" w:ascii="宋体" w:hAnsi="宋体"/>
          <w:color w:val="000000"/>
          <w:szCs w:val="21"/>
        </w:rPr>
        <w:t>：硬件：计算机、办公设备、应用信息系统相关设备；软件：HIS、LIS、PACS、OA、电子病历等业务应用系统；</w:t>
      </w:r>
      <w:r>
        <w:rPr>
          <w:rFonts w:hint="eastAsia" w:ascii="宋体" w:hAnsi="宋体"/>
          <w:szCs w:val="21"/>
        </w:rPr>
        <w:t>医院网络设备及网络线路（光纤及铜缆）</w:t>
      </w:r>
      <w:r>
        <w:rPr>
          <w:rFonts w:hint="eastAsia" w:ascii="宋体" w:hAnsi="宋体"/>
          <w:color w:val="000000"/>
          <w:szCs w:val="21"/>
        </w:rPr>
        <w:t>。</w:t>
      </w:r>
    </w:p>
    <w:p>
      <w:pPr>
        <w:spacing w:line="500" w:lineRule="exact"/>
        <w:ind w:firstLine="416" w:firstLineChars="196"/>
        <w:rPr>
          <w:rFonts w:ascii="宋体" w:hAnsi="宋体"/>
          <w:b/>
          <w:color w:val="000000"/>
          <w:szCs w:val="21"/>
        </w:rPr>
      </w:pPr>
      <w:r>
        <w:rPr>
          <w:rFonts w:ascii="宋体" w:hAnsi="宋体"/>
          <w:b/>
          <w:color w:val="000000"/>
          <w:szCs w:val="21"/>
        </w:rPr>
        <w:t>2.</w:t>
      </w:r>
      <w:r>
        <w:rPr>
          <w:rFonts w:hint="eastAsia" w:ascii="宋体" w:hAnsi="宋体"/>
          <w:b/>
          <w:color w:val="000000"/>
          <w:szCs w:val="21"/>
        </w:rPr>
        <w:t>服务地点：</w:t>
      </w:r>
      <w:r>
        <w:rPr>
          <w:rFonts w:hint="eastAsia" w:ascii="宋体" w:hAnsi="宋体"/>
          <w:szCs w:val="21"/>
        </w:rPr>
        <w:t>喀什地区第二人民医院及附属分院。</w:t>
      </w:r>
    </w:p>
    <w:p>
      <w:pPr>
        <w:spacing w:line="500" w:lineRule="exact"/>
        <w:ind w:firstLine="416" w:firstLineChars="196"/>
        <w:rPr>
          <w:rFonts w:ascii="宋体" w:hAnsi="宋体"/>
          <w:szCs w:val="21"/>
        </w:rPr>
      </w:pPr>
      <w:r>
        <w:rPr>
          <w:rFonts w:ascii="宋体" w:hAnsi="宋体"/>
          <w:b/>
          <w:color w:val="000000"/>
          <w:szCs w:val="21"/>
        </w:rPr>
        <w:t>3.</w:t>
      </w:r>
      <w:r>
        <w:rPr>
          <w:rFonts w:hint="eastAsia" w:ascii="宋体" w:hAnsi="宋体"/>
          <w:b/>
          <w:color w:val="000000"/>
          <w:szCs w:val="21"/>
        </w:rPr>
        <w:t>服务方式：</w:t>
      </w:r>
      <w:r>
        <w:rPr>
          <w:rFonts w:hint="eastAsia" w:ascii="宋体" w:hAnsi="宋体"/>
          <w:szCs w:val="21"/>
        </w:rPr>
        <w:t>乙方工程师每周</w:t>
      </w:r>
      <w:r>
        <w:rPr>
          <w:rFonts w:ascii="宋体" w:hAnsi="宋体"/>
          <w:szCs w:val="21"/>
        </w:rPr>
        <w:t>7</w:t>
      </w:r>
      <w:r>
        <w:rPr>
          <w:rFonts w:hint="eastAsia" w:ascii="宋体" w:hAnsi="宋体"/>
          <w:szCs w:val="21"/>
        </w:rPr>
        <w:t>×</w:t>
      </w:r>
      <w:r>
        <w:rPr>
          <w:rFonts w:ascii="宋体" w:hAnsi="宋体"/>
          <w:szCs w:val="21"/>
        </w:rPr>
        <w:t>24</w:t>
      </w:r>
      <w:r>
        <w:rPr>
          <w:rFonts w:hint="eastAsia" w:ascii="宋体" w:hAnsi="宋体"/>
          <w:szCs w:val="21"/>
        </w:rPr>
        <w:t>小时常驻甲方单位，节假日单独安排工程师值班制度，对甲方的计算机、办公设备、软件等进行全程跟踪维护服务。</w:t>
      </w:r>
    </w:p>
    <w:p>
      <w:pPr>
        <w:pStyle w:val="53"/>
        <w:spacing w:line="360" w:lineRule="auto"/>
        <w:ind w:left="420" w:firstLine="0" w:firstLineChars="0"/>
        <w:rPr>
          <w:rFonts w:ascii="宋体" w:hAnsi="宋体"/>
          <w:b/>
          <w:szCs w:val="21"/>
        </w:rPr>
      </w:pPr>
      <w:r>
        <w:rPr>
          <w:rFonts w:hint="eastAsia" w:ascii="宋体" w:hAnsi="宋体"/>
          <w:b/>
          <w:szCs w:val="21"/>
        </w:rPr>
        <w:t>4.服务期限：自派驻服务团队之日起一年。</w:t>
      </w:r>
    </w:p>
    <w:p>
      <w:pPr>
        <w:spacing w:line="500" w:lineRule="exact"/>
        <w:ind w:firstLine="416" w:firstLineChars="196"/>
        <w:outlineLvl w:val="0"/>
        <w:rPr>
          <w:rFonts w:ascii="宋体" w:hAnsi="宋体"/>
          <w:b/>
          <w:color w:val="000000"/>
          <w:szCs w:val="21"/>
        </w:rPr>
      </w:pPr>
      <w:r>
        <w:rPr>
          <w:rFonts w:hint="eastAsia" w:ascii="宋体" w:hAnsi="宋体"/>
          <w:b/>
          <w:color w:val="000000"/>
          <w:szCs w:val="21"/>
        </w:rPr>
        <w:t>5.服务项目</w:t>
      </w:r>
      <w:r>
        <w:rPr>
          <w:rFonts w:hint="eastAsia" w:ascii="宋体" w:hAnsi="宋体"/>
          <w:bCs/>
          <w:color w:val="000000"/>
          <w:szCs w:val="21"/>
        </w:rPr>
        <w:t>（以下服务内容仅限人工服务，不含零配件费用）</w:t>
      </w:r>
    </w:p>
    <w:p>
      <w:pPr>
        <w:spacing w:line="500" w:lineRule="exact"/>
        <w:ind w:firstLine="416" w:firstLineChars="196"/>
        <w:rPr>
          <w:rFonts w:ascii="宋体" w:hAnsi="宋体"/>
          <w:bCs/>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hint="eastAsia" w:ascii="宋体" w:hAnsi="宋体"/>
          <w:bCs/>
          <w:color w:val="000000"/>
          <w:szCs w:val="21"/>
        </w:rPr>
        <w:t>常规软件服务：计算机系统软件、驱动程序、医院应用软件、杀毒软件、工具软件等的安装及各种软件故障排除。</w:t>
      </w:r>
    </w:p>
    <w:p>
      <w:pPr>
        <w:spacing w:line="500" w:lineRule="exact"/>
        <w:ind w:firstLine="416" w:firstLineChars="196"/>
        <w:rPr>
          <w:rFonts w:ascii="宋体" w:hAns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）常规硬件服务：计算机安装调试、故障检测、硬件维修，联系厂家上门维修。</w:t>
      </w:r>
    </w:p>
    <w:p>
      <w:pPr>
        <w:spacing w:line="500" w:lineRule="exact"/>
        <w:ind w:firstLine="416" w:firstLineChars="196"/>
        <w:rPr>
          <w:rFonts w:ascii="宋体" w:hAnsi="宋体"/>
          <w:bCs/>
          <w:color w:val="000000"/>
          <w:szCs w:val="21"/>
        </w:rPr>
      </w:pPr>
      <w:r>
        <w:rPr>
          <w:rFonts w:hint="eastAsia" w:ascii="宋体" w:hAnsi="宋体"/>
          <w:bCs/>
          <w:color w:val="000000"/>
          <w:szCs w:val="21"/>
        </w:rPr>
        <w:t>（3）常规安全服务：防杀病毒、系统补丁、数据备份等。</w:t>
      </w:r>
    </w:p>
    <w:p>
      <w:pPr>
        <w:spacing w:line="500" w:lineRule="exact"/>
        <w:ind w:firstLine="416" w:firstLineChars="196"/>
        <w:rPr>
          <w:rFonts w:ascii="宋体" w:hAnsi="宋体"/>
          <w:bCs/>
          <w:color w:val="000000"/>
          <w:szCs w:val="21"/>
        </w:rPr>
      </w:pPr>
      <w:r>
        <w:rPr>
          <w:rFonts w:hint="eastAsia" w:ascii="宋体" w:hAnsi="宋体"/>
          <w:bCs/>
          <w:color w:val="000000"/>
          <w:szCs w:val="21"/>
        </w:rPr>
        <w:t>（4）办公设备服务：办公设备日常维护、检修、更换耗材、联系厂家上门维修等。</w:t>
      </w:r>
    </w:p>
    <w:p>
      <w:pPr>
        <w:spacing w:line="500" w:lineRule="exact"/>
        <w:ind w:left="1" w:firstLine="416" w:firstLineChars="196"/>
        <w:rPr>
          <w:rFonts w:ascii="宋体" w:hAnsi="宋体"/>
          <w:bCs/>
          <w:color w:val="000000"/>
          <w:szCs w:val="21"/>
        </w:rPr>
      </w:pPr>
      <w:r>
        <w:rPr>
          <w:rFonts w:hint="eastAsia" w:ascii="宋体" w:hAnsi="宋体"/>
          <w:bCs/>
          <w:color w:val="000000"/>
          <w:szCs w:val="21"/>
        </w:rPr>
        <w:t>（5）医院应用系统维护：如</w:t>
      </w:r>
      <w:r>
        <w:rPr>
          <w:rFonts w:ascii="宋体" w:hAnsi="宋体"/>
          <w:bCs/>
          <w:color w:val="000000"/>
          <w:szCs w:val="21"/>
        </w:rPr>
        <w:t>HIS</w:t>
      </w:r>
      <w:r>
        <w:rPr>
          <w:rFonts w:hint="eastAsia" w:ascii="宋体" w:hAnsi="宋体"/>
          <w:bCs/>
          <w:color w:val="000000"/>
          <w:szCs w:val="21"/>
        </w:rPr>
        <w:t>、</w:t>
      </w:r>
      <w:r>
        <w:rPr>
          <w:rFonts w:ascii="宋体" w:hAnsi="宋体"/>
          <w:bCs/>
          <w:color w:val="000000"/>
          <w:szCs w:val="21"/>
        </w:rPr>
        <w:t>LIS</w:t>
      </w:r>
      <w:r>
        <w:rPr>
          <w:rFonts w:hint="eastAsia" w:ascii="宋体" w:hAnsi="宋体"/>
          <w:bCs/>
          <w:color w:val="000000"/>
          <w:szCs w:val="21"/>
        </w:rPr>
        <w:t>、</w:t>
      </w:r>
      <w:r>
        <w:rPr>
          <w:rFonts w:ascii="宋体" w:hAnsi="宋体"/>
          <w:bCs/>
          <w:color w:val="000000"/>
          <w:szCs w:val="21"/>
        </w:rPr>
        <w:t>PACS</w:t>
      </w:r>
      <w:r>
        <w:rPr>
          <w:rFonts w:hint="eastAsia" w:ascii="宋体" w:hAnsi="宋体"/>
          <w:bCs/>
          <w:color w:val="000000"/>
          <w:szCs w:val="21"/>
        </w:rPr>
        <w:t>、</w:t>
      </w:r>
      <w:r>
        <w:rPr>
          <w:rFonts w:ascii="宋体" w:hAnsi="宋体"/>
          <w:bCs/>
          <w:color w:val="000000"/>
          <w:szCs w:val="21"/>
        </w:rPr>
        <w:t>OA</w:t>
      </w:r>
      <w:r>
        <w:rPr>
          <w:rFonts w:hint="eastAsia" w:ascii="宋体" w:hAnsi="宋体"/>
          <w:bCs/>
          <w:color w:val="000000"/>
          <w:szCs w:val="21"/>
        </w:rPr>
        <w:t>、</w:t>
      </w:r>
      <w:r>
        <w:rPr>
          <w:rFonts w:ascii="宋体" w:hAnsi="宋体"/>
          <w:bCs/>
          <w:color w:val="000000"/>
          <w:szCs w:val="21"/>
        </w:rPr>
        <w:t>EMR</w:t>
      </w:r>
      <w:r>
        <w:rPr>
          <w:rFonts w:hint="eastAsia" w:ascii="宋体" w:hAnsi="宋体"/>
          <w:bCs/>
          <w:color w:val="000000"/>
          <w:szCs w:val="21"/>
        </w:rPr>
        <w:t>、叫号等业务系统，包括与厂家的协调，跟踪整个维护的进度。</w:t>
      </w:r>
    </w:p>
    <w:p>
      <w:pPr>
        <w:spacing w:line="500" w:lineRule="exact"/>
        <w:ind w:left="1" w:firstLine="416" w:firstLineChars="196"/>
        <w:rPr>
          <w:rFonts w:ascii="宋体" w:hAnsi="宋体"/>
          <w:bCs/>
          <w:color w:val="000000"/>
          <w:szCs w:val="21"/>
        </w:rPr>
      </w:pPr>
      <w:r>
        <w:rPr>
          <w:rFonts w:hint="eastAsia" w:ascii="宋体" w:hAnsi="宋体"/>
          <w:bCs/>
          <w:color w:val="000000"/>
          <w:szCs w:val="21"/>
        </w:rPr>
        <w:t>（6）医院应用系统相关设备维护：无线手持终端、条码打印机、刷卡机读卡器、自助打印机及扫描枪等应用系统相关设备的日常维护，报修。</w:t>
      </w:r>
    </w:p>
    <w:p>
      <w:pPr>
        <w:spacing w:line="500" w:lineRule="exact"/>
        <w:ind w:left="1" w:firstLine="416" w:firstLineChars="196"/>
        <w:rPr>
          <w:rFonts w:ascii="宋体" w:hAnsi="宋体"/>
          <w:bCs/>
          <w:color w:val="000000"/>
          <w:szCs w:val="21"/>
        </w:rPr>
      </w:pPr>
      <w:r>
        <w:rPr>
          <w:rFonts w:hint="eastAsia" w:ascii="宋体" w:hAnsi="宋体"/>
          <w:bCs/>
          <w:color w:val="000000"/>
          <w:szCs w:val="21"/>
        </w:rPr>
        <w:t>（7）LED屏幕维护：医院信息发布系统、</w:t>
      </w:r>
      <w:r>
        <w:rPr>
          <w:rFonts w:ascii="宋体" w:hAnsi="宋体"/>
          <w:bCs/>
          <w:color w:val="000000"/>
          <w:szCs w:val="21"/>
        </w:rPr>
        <w:t>LED</w:t>
      </w:r>
      <w:r>
        <w:rPr>
          <w:rFonts w:hint="eastAsia" w:ascii="宋体" w:hAnsi="宋体"/>
          <w:bCs/>
          <w:color w:val="000000"/>
          <w:szCs w:val="21"/>
        </w:rPr>
        <w:t>显示屏的常见问题维护。</w:t>
      </w:r>
    </w:p>
    <w:p>
      <w:pPr>
        <w:spacing w:line="500" w:lineRule="exact"/>
        <w:ind w:firstLine="416" w:firstLineChars="196"/>
        <w:rPr>
          <w:rFonts w:ascii="宋体" w:hAnsi="宋体"/>
          <w:bCs/>
          <w:color w:val="000000"/>
          <w:szCs w:val="21"/>
        </w:rPr>
      </w:pPr>
      <w:r>
        <w:rPr>
          <w:rFonts w:hint="eastAsia" w:ascii="宋体" w:hAnsi="宋体"/>
          <w:bCs/>
          <w:color w:val="000000"/>
          <w:szCs w:val="21"/>
        </w:rPr>
        <w:t>（8）电话技术支持：提供</w:t>
      </w:r>
      <w:r>
        <w:rPr>
          <w:rFonts w:ascii="宋体" w:hAnsi="宋体"/>
          <w:bCs/>
          <w:color w:val="000000"/>
          <w:szCs w:val="21"/>
        </w:rPr>
        <w:t>24</w:t>
      </w:r>
      <w:r>
        <w:rPr>
          <w:rFonts w:hint="eastAsia" w:ascii="宋体" w:hAnsi="宋体"/>
          <w:bCs/>
          <w:color w:val="000000"/>
          <w:szCs w:val="21"/>
        </w:rPr>
        <w:t>小时电话服务支持。</w:t>
      </w:r>
    </w:p>
    <w:p>
      <w:pPr>
        <w:spacing w:line="500" w:lineRule="exact"/>
        <w:ind w:left="1" w:firstLine="416" w:firstLineChars="196"/>
        <w:rPr>
          <w:rFonts w:ascii="宋体" w:hAnsi="宋体"/>
          <w:bCs/>
          <w:color w:val="000000"/>
          <w:szCs w:val="21"/>
        </w:rPr>
      </w:pPr>
      <w:r>
        <w:rPr>
          <w:rFonts w:hint="eastAsia" w:ascii="宋体" w:hAnsi="宋体"/>
          <w:color w:val="000000"/>
          <w:szCs w:val="21"/>
        </w:rPr>
        <w:t>（9）</w:t>
      </w:r>
      <w:r>
        <w:rPr>
          <w:rFonts w:hint="eastAsia" w:ascii="宋体" w:hAnsi="宋体"/>
          <w:bCs/>
          <w:color w:val="000000"/>
          <w:szCs w:val="21"/>
        </w:rPr>
        <w:t>体检服务：为计算机等办公设备提供定期巡检和保养、除尘、保洁。</w:t>
      </w:r>
    </w:p>
    <w:p>
      <w:pPr>
        <w:spacing w:line="500" w:lineRule="exact"/>
        <w:ind w:left="1" w:firstLine="416" w:firstLineChars="196"/>
        <w:rPr>
          <w:rFonts w:ascii="宋体" w:hAnsi="宋体"/>
          <w:bCs/>
          <w:color w:val="000000"/>
          <w:szCs w:val="21"/>
        </w:rPr>
      </w:pPr>
      <w:r>
        <w:rPr>
          <w:rFonts w:hint="eastAsia" w:ascii="宋体" w:hAnsi="宋体"/>
          <w:bCs/>
          <w:color w:val="000000"/>
          <w:szCs w:val="21"/>
        </w:rPr>
        <w:t>（10）咨询服务：为甲方提供各类</w:t>
      </w:r>
      <w:r>
        <w:rPr>
          <w:rFonts w:ascii="宋体" w:hAnsi="宋体"/>
          <w:bCs/>
          <w:color w:val="000000"/>
          <w:szCs w:val="21"/>
        </w:rPr>
        <w:t>IT</w:t>
      </w:r>
      <w:r>
        <w:rPr>
          <w:rFonts w:hint="eastAsia" w:ascii="宋体" w:hAnsi="宋体"/>
          <w:bCs/>
          <w:color w:val="000000"/>
          <w:szCs w:val="21"/>
        </w:rPr>
        <w:t>产品性能和价格咨询。</w:t>
      </w:r>
    </w:p>
    <w:p>
      <w:pPr>
        <w:spacing w:line="500" w:lineRule="exact"/>
        <w:ind w:firstLine="416" w:firstLineChars="196"/>
        <w:rPr>
          <w:rFonts w:ascii="宋体" w:hAnsi="宋体"/>
          <w:bCs/>
          <w:color w:val="000000"/>
          <w:szCs w:val="21"/>
        </w:rPr>
      </w:pPr>
      <w:r>
        <w:rPr>
          <w:rFonts w:hint="eastAsia" w:ascii="宋体" w:hAnsi="宋体"/>
          <w:color w:val="000000"/>
          <w:szCs w:val="21"/>
        </w:rPr>
        <w:t>（11）</w:t>
      </w:r>
      <w:r>
        <w:rPr>
          <w:rFonts w:hint="eastAsia" w:ascii="宋体" w:hAnsi="宋体"/>
          <w:bCs/>
          <w:color w:val="000000"/>
          <w:szCs w:val="21"/>
        </w:rPr>
        <w:t>服务记录报表：通过IT运维系统提供医院软硬件系统的服务记录、故障分析。</w:t>
      </w:r>
    </w:p>
    <w:p>
      <w:pPr>
        <w:spacing w:line="500" w:lineRule="exact"/>
        <w:ind w:firstLine="416" w:firstLineChars="196"/>
        <w:rPr>
          <w:rFonts w:ascii="宋体" w:hAnsi="宋体"/>
          <w:bCs/>
          <w:color w:val="000000"/>
          <w:szCs w:val="21"/>
        </w:rPr>
      </w:pPr>
      <w:r>
        <w:rPr>
          <w:rFonts w:hint="eastAsia" w:ascii="宋体" w:hAnsi="宋体"/>
          <w:color w:val="000000"/>
          <w:szCs w:val="21"/>
        </w:rPr>
        <w:t>（12）培训</w:t>
      </w:r>
      <w:r>
        <w:rPr>
          <w:rFonts w:hint="eastAsia" w:ascii="宋体" w:hAnsi="宋体"/>
          <w:bCs/>
          <w:color w:val="000000"/>
          <w:szCs w:val="21"/>
        </w:rPr>
        <w:t>服务：提供计算机、办公设备、操作系统、业务应用系统等的医护人员培训。</w:t>
      </w:r>
    </w:p>
    <w:p>
      <w:pPr>
        <w:pStyle w:val="53"/>
        <w:spacing w:line="360" w:lineRule="auto"/>
        <w:ind w:firstLineChars="0"/>
        <w:rPr>
          <w:rFonts w:ascii="宋体" w:hAnsi="宋体"/>
          <w:szCs w:val="21"/>
        </w:rPr>
      </w:pPr>
      <w:r>
        <w:rPr>
          <w:rFonts w:hint="eastAsia" w:ascii="宋体" w:hAnsi="宋体"/>
          <w:szCs w:val="21"/>
        </w:rPr>
        <w:t>（</w:t>
      </w:r>
      <w:r>
        <w:rPr>
          <w:rFonts w:ascii="宋体" w:hAnsi="宋体"/>
          <w:szCs w:val="21"/>
        </w:rPr>
        <w:t>13</w:t>
      </w:r>
      <w:r>
        <w:rPr>
          <w:rFonts w:hint="eastAsia" w:ascii="宋体" w:hAnsi="宋体"/>
          <w:szCs w:val="21"/>
        </w:rPr>
        <w:t>）网络设备（核心交换机、接入交换机、防火墙、路由器）硬件故障的维修。</w:t>
      </w:r>
    </w:p>
    <w:p>
      <w:pPr>
        <w:pStyle w:val="53"/>
        <w:spacing w:line="360" w:lineRule="auto"/>
        <w:ind w:firstLineChars="0"/>
        <w:rPr>
          <w:rFonts w:ascii="宋体" w:hAnsi="宋体"/>
          <w:szCs w:val="21"/>
        </w:rPr>
      </w:pPr>
      <w:r>
        <w:rPr>
          <w:rFonts w:hint="eastAsia" w:ascii="宋体" w:hAnsi="宋体"/>
          <w:szCs w:val="21"/>
        </w:rPr>
        <w:t>（</w:t>
      </w:r>
      <w:r>
        <w:rPr>
          <w:rFonts w:ascii="宋体" w:hAnsi="宋体"/>
          <w:szCs w:val="21"/>
        </w:rPr>
        <w:t>14</w:t>
      </w:r>
      <w:r>
        <w:rPr>
          <w:rFonts w:hint="eastAsia" w:ascii="宋体" w:hAnsi="宋体"/>
          <w:szCs w:val="21"/>
        </w:rPr>
        <w:t>）网络设备（核心交换机、接入交换机、防火墙、路由器）的安装调试及日常优化，如Vlan划分、端口绑定、端口隔离、广播风暴抑制、流量控制、网络认证管理、访问控制列表、路由策略、安全策略、网络设备操作系统、特征库的定期升级。</w:t>
      </w:r>
    </w:p>
    <w:p>
      <w:pPr>
        <w:pStyle w:val="53"/>
        <w:spacing w:line="360" w:lineRule="auto"/>
        <w:ind w:firstLineChars="0"/>
        <w:rPr>
          <w:rFonts w:ascii="宋体" w:hAnsi="宋体"/>
          <w:szCs w:val="21"/>
        </w:rPr>
      </w:pPr>
      <w:r>
        <w:rPr>
          <w:rFonts w:hint="eastAsia" w:ascii="宋体" w:hAnsi="宋体"/>
          <w:szCs w:val="21"/>
        </w:rPr>
        <w:t>（</w:t>
      </w:r>
      <w:r>
        <w:rPr>
          <w:rFonts w:ascii="宋体" w:hAnsi="宋体"/>
          <w:szCs w:val="21"/>
        </w:rPr>
        <w:t>15</w:t>
      </w:r>
      <w:r>
        <w:rPr>
          <w:rFonts w:hint="eastAsia" w:ascii="宋体" w:hAnsi="宋体"/>
          <w:szCs w:val="21"/>
        </w:rPr>
        <w:t>）局域网及外联网的部署实施、安全检测、病毒防控。</w:t>
      </w:r>
    </w:p>
    <w:p>
      <w:pPr>
        <w:pStyle w:val="53"/>
        <w:spacing w:line="360" w:lineRule="auto"/>
        <w:ind w:firstLineChars="0"/>
        <w:rPr>
          <w:rFonts w:ascii="宋体" w:hAnsi="宋体"/>
          <w:szCs w:val="21"/>
        </w:rPr>
      </w:pPr>
      <w:r>
        <w:rPr>
          <w:rFonts w:hint="eastAsia" w:ascii="宋体" w:hAnsi="宋体"/>
          <w:szCs w:val="21"/>
        </w:rPr>
        <w:t>（</w:t>
      </w:r>
      <w:r>
        <w:rPr>
          <w:rFonts w:ascii="宋体" w:hAnsi="宋体"/>
          <w:szCs w:val="21"/>
        </w:rPr>
        <w:t>16</w:t>
      </w:r>
      <w:r>
        <w:rPr>
          <w:rFonts w:hint="eastAsia" w:ascii="宋体" w:hAnsi="宋体"/>
          <w:szCs w:val="21"/>
        </w:rPr>
        <w:t>）网络设备的远程诊断与维护，服务单位自备网管软件对整个网络的设备集中管理，可通过局域网或广域网对设备进行远程维护及管理。</w:t>
      </w:r>
    </w:p>
    <w:p>
      <w:pPr>
        <w:pStyle w:val="53"/>
        <w:spacing w:line="360" w:lineRule="auto"/>
        <w:ind w:firstLineChars="0"/>
        <w:rPr>
          <w:rFonts w:ascii="宋体" w:hAnsi="宋体"/>
          <w:szCs w:val="21"/>
        </w:rPr>
      </w:pPr>
      <w:r>
        <w:rPr>
          <w:rFonts w:hint="eastAsia" w:ascii="宋体" w:hAnsi="宋体"/>
          <w:szCs w:val="21"/>
        </w:rPr>
        <w:t>（</w:t>
      </w:r>
      <w:r>
        <w:rPr>
          <w:rFonts w:ascii="宋体" w:hAnsi="宋体"/>
          <w:szCs w:val="21"/>
        </w:rPr>
        <w:t>17</w:t>
      </w:r>
      <w:r>
        <w:rPr>
          <w:rFonts w:hint="eastAsia" w:ascii="宋体" w:hAnsi="宋体"/>
          <w:szCs w:val="21"/>
        </w:rPr>
        <w:t>）网络线路及终端网络端口的故障排查、网络线路的拆除及迁移。具体包括网络线缆（光纤或铜缆）的敷设、开挖线槽、模块、配线架、水晶头的卡接，网点信息标记。</w:t>
      </w:r>
    </w:p>
    <w:p>
      <w:pPr>
        <w:pStyle w:val="53"/>
        <w:spacing w:line="360" w:lineRule="auto"/>
        <w:ind w:firstLineChars="0"/>
        <w:rPr>
          <w:rFonts w:ascii="宋体" w:hAnsi="宋体"/>
          <w:szCs w:val="21"/>
        </w:rPr>
      </w:pPr>
      <w:r>
        <w:rPr>
          <w:rFonts w:hint="eastAsia" w:ascii="宋体" w:hAnsi="宋体"/>
          <w:szCs w:val="21"/>
        </w:rPr>
        <w:t>（</w:t>
      </w:r>
      <w:r>
        <w:rPr>
          <w:rFonts w:ascii="宋体" w:hAnsi="宋体"/>
          <w:szCs w:val="21"/>
        </w:rPr>
        <w:t>18</w:t>
      </w:r>
      <w:r>
        <w:rPr>
          <w:rFonts w:hint="eastAsia" w:ascii="宋体" w:hAnsi="宋体"/>
          <w:szCs w:val="21"/>
        </w:rPr>
        <w:t>）医院及分院局域网络及外联网络的总体规化设计、建设实施、技术咨询服务。</w:t>
      </w:r>
    </w:p>
    <w:p>
      <w:pPr>
        <w:pStyle w:val="53"/>
        <w:spacing w:line="360" w:lineRule="auto"/>
        <w:ind w:firstLineChars="0"/>
        <w:rPr>
          <w:rFonts w:ascii="宋体" w:hAnsi="宋体"/>
          <w:szCs w:val="21"/>
        </w:rPr>
      </w:pPr>
      <w:r>
        <w:rPr>
          <w:rFonts w:hint="eastAsia" w:ascii="宋体" w:hAnsi="宋体"/>
          <w:szCs w:val="21"/>
        </w:rPr>
        <w:t>（</w:t>
      </w:r>
      <w:r>
        <w:rPr>
          <w:rFonts w:ascii="宋体" w:hAnsi="宋体"/>
          <w:szCs w:val="21"/>
        </w:rPr>
        <w:t>19</w:t>
      </w:r>
      <w:r>
        <w:rPr>
          <w:rFonts w:hint="eastAsia" w:ascii="宋体" w:hAnsi="宋体"/>
          <w:szCs w:val="21"/>
        </w:rPr>
        <w:t>）建立完善的网络档案，对网络设备的配置信息、维护日志实时备份，绘制单位的网络拓朴图、登记网络设备地址，终端IP及MAC地址，一旦出现突发性网络故障可及时查阅并方便排除故障。</w:t>
      </w:r>
    </w:p>
    <w:p>
      <w:pPr>
        <w:widowControl/>
        <w:spacing w:line="500" w:lineRule="exact"/>
        <w:ind w:firstLine="416" w:firstLineChars="196"/>
        <w:jc w:val="left"/>
        <w:rPr>
          <w:rFonts w:ascii="宋体" w:hAnsi="宋体" w:cs="宋体"/>
          <w:b/>
          <w:bCs/>
          <w:kern w:val="0"/>
          <w:szCs w:val="21"/>
        </w:rPr>
      </w:pPr>
      <w:r>
        <w:rPr>
          <w:rFonts w:ascii="宋体" w:hAnsi="宋体" w:cs="宋体"/>
          <w:b/>
          <w:bCs/>
          <w:kern w:val="0"/>
          <w:szCs w:val="21"/>
        </w:rPr>
        <w:t>6.</w:t>
      </w:r>
      <w:r>
        <w:rPr>
          <w:rFonts w:hint="eastAsia" w:ascii="宋体" w:hAnsi="宋体" w:cs="宋体"/>
          <w:b/>
          <w:bCs/>
          <w:kern w:val="0"/>
          <w:szCs w:val="21"/>
        </w:rPr>
        <w:t>服务范围：</w:t>
      </w:r>
    </w:p>
    <w:p>
      <w:pPr>
        <w:spacing w:line="500" w:lineRule="exact"/>
        <w:ind w:firstLine="416" w:firstLineChars="196"/>
        <w:rPr>
          <w:rFonts w:ascii="宋体" w:hAnsi="宋体"/>
          <w:bCs/>
          <w:color w:val="000000"/>
          <w:szCs w:val="21"/>
        </w:rPr>
      </w:pPr>
      <w:r>
        <w:rPr>
          <w:rFonts w:hint="eastAsia" w:ascii="宋体" w:hAnsi="宋体"/>
          <w:bCs/>
          <w:color w:val="000000"/>
          <w:szCs w:val="21"/>
        </w:rPr>
        <w:t>本条的范围包括但不限于各类计算机软硬件及办公设备的维护及故障检测。但有下列约定的除外：</w:t>
      </w:r>
    </w:p>
    <w:p>
      <w:pPr>
        <w:spacing w:line="500" w:lineRule="exact"/>
        <w:ind w:firstLine="416" w:firstLineChars="196"/>
        <w:rPr>
          <w:rFonts w:ascii="宋体" w:hAnsi="宋体"/>
          <w:bCs/>
          <w:color w:val="000000"/>
          <w:szCs w:val="21"/>
        </w:rPr>
      </w:pPr>
      <w:r>
        <w:rPr>
          <w:rFonts w:hint="eastAsia" w:ascii="宋体" w:hAnsi="宋体"/>
          <w:bCs/>
          <w:color w:val="000000"/>
          <w:szCs w:val="21"/>
        </w:rPr>
        <w:t>（</w:t>
      </w:r>
      <w:r>
        <w:rPr>
          <w:rFonts w:ascii="宋体" w:hAnsi="宋体"/>
          <w:bCs/>
          <w:color w:val="000000"/>
          <w:szCs w:val="21"/>
        </w:rPr>
        <w:t>1</w:t>
      </w:r>
      <w:r>
        <w:rPr>
          <w:rFonts w:hint="eastAsia" w:ascii="宋体" w:hAnsi="宋体"/>
          <w:bCs/>
          <w:color w:val="000000"/>
          <w:szCs w:val="21"/>
        </w:rPr>
        <w:t>）服务费不包含计算机及网络设备因需更换部件而产生的采购费用。甲方可委托乙方送修，部件修好后，乙方将为甲方送回及安装，部件更换费用按实际发生费用收取，不另收取服务费。</w:t>
      </w:r>
    </w:p>
    <w:p>
      <w:pPr>
        <w:spacing w:line="500" w:lineRule="exact"/>
        <w:ind w:firstLine="416" w:firstLineChars="196"/>
        <w:rPr>
          <w:rFonts w:ascii="宋体" w:hAns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）甲方损坏的计算机及网络设备部件仍在厂家保修期内，乙方负责联系厂家报修及更换，不在厂家保修期内，乙方可为甲方代购，配件费用单独收取，不另收取服务费。</w:t>
      </w:r>
      <w:r>
        <w:rPr>
          <w:rFonts w:ascii="宋体" w:hAnsi="宋体"/>
          <w:bCs/>
          <w:color w:val="000000"/>
          <w:szCs w:val="21"/>
        </w:rPr>
        <w:t> </w:t>
      </w:r>
    </w:p>
    <w:p>
      <w:pPr>
        <w:widowControl/>
        <w:spacing w:line="500" w:lineRule="exact"/>
        <w:ind w:firstLine="416" w:firstLineChars="196"/>
        <w:jc w:val="left"/>
        <w:rPr>
          <w:rFonts w:ascii="宋体" w:hAnsi="宋体" w:cs="宋体"/>
          <w:b/>
          <w:bCs/>
          <w:kern w:val="0"/>
          <w:szCs w:val="21"/>
        </w:rPr>
      </w:pPr>
      <w:r>
        <w:rPr>
          <w:rFonts w:ascii="宋体" w:hAnsi="宋体" w:cs="宋体"/>
          <w:b/>
          <w:bCs/>
          <w:kern w:val="0"/>
          <w:szCs w:val="21"/>
        </w:rPr>
        <w:t>7</w:t>
      </w:r>
      <w:r>
        <w:rPr>
          <w:rFonts w:hint="eastAsia" w:ascii="宋体" w:hAnsi="宋体" w:cs="宋体"/>
          <w:b/>
          <w:bCs/>
          <w:kern w:val="0"/>
          <w:szCs w:val="21"/>
        </w:rPr>
        <w:t>．IT服务外包设备及软件型号、数量：</w:t>
      </w:r>
    </w:p>
    <w:tbl>
      <w:tblPr>
        <w:tblStyle w:val="25"/>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800"/>
        <w:gridCol w:w="295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0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产品名称</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型号</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硬件配置</w:t>
            </w:r>
          </w:p>
        </w:tc>
        <w:tc>
          <w:tcPr>
            <w:tcW w:w="11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计算机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各种型号均有</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18"/>
                <w:szCs w:val="18"/>
              </w:rPr>
            </w:pPr>
            <w:r>
              <w:rPr>
                <w:rFonts w:hint="eastAsia" w:ascii="宋体" w:hAnsi="宋体"/>
                <w:bCs/>
                <w:sz w:val="18"/>
                <w:szCs w:val="18"/>
              </w:rPr>
              <w:t>85</w:t>
            </w:r>
            <w:r>
              <w:rPr>
                <w:rFonts w:ascii="宋体" w:hAnsi="宋体"/>
                <w:bCs/>
                <w:sz w:val="18"/>
                <w:szCs w:val="18"/>
              </w:rPr>
              <w:t>0</w:t>
            </w: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打印机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1</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惠普</w:t>
            </w:r>
            <w:r>
              <w:rPr>
                <w:rFonts w:ascii="宋体" w:hAnsi="宋体"/>
                <w:bCs/>
                <w:sz w:val="18"/>
                <w:szCs w:val="18"/>
              </w:rPr>
              <w:t>1020</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黑白</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ascii="宋体" w:hAnsi="宋体"/>
                <w:bCs/>
                <w:sz w:val="18"/>
                <w:szCs w:val="18"/>
              </w:rPr>
              <w:t>210</w:t>
            </w: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2</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惠普</w:t>
            </w:r>
            <w:r>
              <w:rPr>
                <w:rFonts w:ascii="宋体" w:hAnsi="宋体"/>
                <w:bCs/>
                <w:sz w:val="18"/>
                <w:szCs w:val="18"/>
              </w:rPr>
              <w:t>1007</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黑白</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3</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惠普</w:t>
            </w:r>
            <w:r>
              <w:rPr>
                <w:rFonts w:ascii="宋体" w:hAnsi="宋体"/>
                <w:bCs/>
                <w:sz w:val="18"/>
                <w:szCs w:val="18"/>
              </w:rPr>
              <w:t>CP1025</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彩色</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ascii="宋体" w:hAnsi="宋体"/>
                <w:bCs/>
                <w:sz w:val="18"/>
                <w:szCs w:val="18"/>
              </w:rPr>
              <w:t>6</w:t>
            </w: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4</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爱普生</w:t>
            </w:r>
            <w:r>
              <w:rPr>
                <w:rFonts w:ascii="宋体" w:hAnsi="宋体"/>
                <w:bCs/>
                <w:sz w:val="18"/>
                <w:szCs w:val="18"/>
              </w:rPr>
              <w:t>1100</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彩色</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5</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爱普生</w:t>
            </w:r>
            <w:r>
              <w:rPr>
                <w:rFonts w:ascii="宋体" w:hAnsi="宋体"/>
                <w:bCs/>
                <w:sz w:val="18"/>
                <w:szCs w:val="18"/>
              </w:rPr>
              <w:t>730K</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针式</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ascii="宋体" w:hAnsi="宋体"/>
                <w:bCs/>
                <w:sz w:val="18"/>
                <w:szCs w:val="18"/>
              </w:rPr>
              <w:t>60</w:t>
            </w: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6</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富士通</w:t>
            </w:r>
            <w:r>
              <w:rPr>
                <w:rFonts w:ascii="宋体" w:hAnsi="宋体"/>
                <w:bCs/>
                <w:sz w:val="18"/>
                <w:szCs w:val="18"/>
              </w:rPr>
              <w:t>DPK750</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针式</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复印机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1</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东芝</w:t>
            </w:r>
            <w:r>
              <w:rPr>
                <w:rFonts w:ascii="宋体" w:hAnsi="宋体"/>
                <w:bCs/>
                <w:sz w:val="18"/>
                <w:szCs w:val="18"/>
              </w:rPr>
              <w:t>305S</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ascii="宋体" w:hAnsi="宋体"/>
                <w:bCs/>
                <w:sz w:val="18"/>
                <w:szCs w:val="18"/>
              </w:rPr>
              <w:t>4</w:t>
            </w: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2</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ascii="宋体" w:hAnsi="宋体"/>
                <w:bCs/>
                <w:sz w:val="18"/>
                <w:szCs w:val="18"/>
              </w:rPr>
              <w:t>HP1536</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打印复印一体机</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3</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ascii="宋体" w:hAnsi="宋体"/>
                <w:bCs/>
                <w:sz w:val="18"/>
                <w:szCs w:val="18"/>
              </w:rPr>
              <w:t>HPM1319F</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打印复印一体机</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4</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ascii="宋体" w:hAnsi="宋体"/>
                <w:bCs/>
                <w:sz w:val="18"/>
                <w:szCs w:val="18"/>
              </w:rPr>
              <w:t>HPM1005</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打印复印一体机</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传真机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1</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ascii="宋体" w:hAnsi="宋体"/>
                <w:bCs/>
                <w:sz w:val="18"/>
                <w:szCs w:val="18"/>
              </w:rPr>
              <w:t>MFC7200</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ascii="宋体" w:hAnsi="宋体"/>
                <w:bCs/>
                <w:sz w:val="18"/>
                <w:szCs w:val="18"/>
              </w:rPr>
              <w:t>1</w:t>
            </w: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扫描仪</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配置</w:t>
            </w:r>
            <w:r>
              <w:rPr>
                <w:rFonts w:ascii="宋体" w:hAnsi="宋体"/>
                <w:bCs/>
                <w:sz w:val="18"/>
                <w:szCs w:val="18"/>
              </w:rPr>
              <w:t>1</w:t>
            </w: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佳能</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ascii="宋体" w:hAnsi="宋体"/>
                <w:bCs/>
                <w:sz w:val="18"/>
                <w:szCs w:val="18"/>
              </w:rPr>
              <w:t>1</w:t>
            </w: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业务软件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东软</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HIS、LIS、</w:t>
            </w:r>
            <w:r>
              <w:rPr>
                <w:rFonts w:ascii="宋体" w:hAnsi="宋体"/>
                <w:bCs/>
                <w:color w:val="000000"/>
                <w:szCs w:val="21"/>
              </w:rPr>
              <w:t>PACS</w:t>
            </w:r>
            <w:r>
              <w:rPr>
                <w:rFonts w:hint="eastAsia" w:ascii="宋体" w:hAnsi="宋体"/>
                <w:bCs/>
                <w:color w:val="000000"/>
                <w:szCs w:val="21"/>
              </w:rPr>
              <w:t>、</w:t>
            </w:r>
            <w:r>
              <w:rPr>
                <w:rFonts w:hint="eastAsia" w:ascii="宋体" w:hAnsi="宋体"/>
                <w:bCs/>
                <w:sz w:val="18"/>
                <w:szCs w:val="18"/>
              </w:rPr>
              <w:t>电子病历</w:t>
            </w:r>
          </w:p>
        </w:tc>
        <w:tc>
          <w:tcPr>
            <w:tcW w:w="11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500用户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业务软件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泛微</w:t>
            </w: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OA系统</w:t>
            </w:r>
          </w:p>
        </w:tc>
        <w:tc>
          <w:tcPr>
            <w:tcW w:w="11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500用户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LED屏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p>
        </w:tc>
        <w:tc>
          <w:tcPr>
            <w:tcW w:w="29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门诊2、新楼1、急诊1</w:t>
            </w:r>
          </w:p>
        </w:tc>
        <w:tc>
          <w:tcPr>
            <w:tcW w:w="11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18"/>
                <w:szCs w:val="18"/>
              </w:rPr>
            </w:pPr>
            <w:r>
              <w:rPr>
                <w:rFonts w:hint="eastAsia" w:ascii="宋体" w:hAnsi="宋体"/>
                <w:bCs/>
                <w:sz w:val="18"/>
                <w:szCs w:val="18"/>
              </w:rPr>
              <w:t>4块</w:t>
            </w:r>
          </w:p>
        </w:tc>
      </w:tr>
    </w:tbl>
    <w:p>
      <w:pPr>
        <w:pStyle w:val="24"/>
        <w:shd w:val="clear" w:color="auto" w:fill="FFFFFF"/>
        <w:spacing w:line="330" w:lineRule="atLeast"/>
        <w:rPr>
          <w:b/>
          <w:sz w:val="21"/>
          <w:szCs w:val="21"/>
        </w:rPr>
      </w:pPr>
    </w:p>
    <w:tbl>
      <w:tblPr>
        <w:tblStyle w:val="25"/>
        <w:tblW w:w="8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876"/>
        <w:gridCol w:w="177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Align w:val="center"/>
          </w:tcPr>
          <w:p>
            <w:pPr>
              <w:pStyle w:val="53"/>
              <w:spacing w:line="360" w:lineRule="auto"/>
              <w:ind w:firstLine="0" w:firstLineChars="0"/>
              <w:jc w:val="center"/>
              <w:rPr>
                <w:rFonts w:ascii="宋体" w:hAnsi="宋体" w:cs="宋体"/>
                <w:b/>
                <w:szCs w:val="21"/>
              </w:rPr>
            </w:pPr>
            <w:r>
              <w:rPr>
                <w:rFonts w:hint="eastAsia" w:ascii="宋体" w:hAnsi="宋体" w:cs="宋体"/>
                <w:b/>
                <w:szCs w:val="21"/>
              </w:rPr>
              <w:t>品名</w:t>
            </w:r>
          </w:p>
        </w:tc>
        <w:tc>
          <w:tcPr>
            <w:tcW w:w="2876" w:type="dxa"/>
            <w:vAlign w:val="center"/>
          </w:tcPr>
          <w:p>
            <w:pPr>
              <w:pStyle w:val="53"/>
              <w:spacing w:line="360" w:lineRule="auto"/>
              <w:ind w:firstLine="0" w:firstLineChars="0"/>
              <w:jc w:val="center"/>
              <w:rPr>
                <w:rFonts w:ascii="宋体" w:hAnsi="宋体" w:cs="宋体"/>
                <w:b/>
                <w:szCs w:val="21"/>
              </w:rPr>
            </w:pPr>
            <w:r>
              <w:rPr>
                <w:rFonts w:hint="eastAsia" w:ascii="宋体" w:hAnsi="宋体" w:cs="宋体"/>
                <w:b/>
                <w:szCs w:val="21"/>
              </w:rPr>
              <w:t>型号</w:t>
            </w:r>
          </w:p>
        </w:tc>
        <w:tc>
          <w:tcPr>
            <w:tcW w:w="1777" w:type="dxa"/>
            <w:vAlign w:val="center"/>
          </w:tcPr>
          <w:p>
            <w:pPr>
              <w:pStyle w:val="53"/>
              <w:spacing w:line="360" w:lineRule="auto"/>
              <w:ind w:firstLine="0" w:firstLineChars="0"/>
              <w:jc w:val="center"/>
              <w:rPr>
                <w:rFonts w:ascii="宋体" w:hAnsi="宋体" w:cs="宋体"/>
                <w:b/>
                <w:szCs w:val="21"/>
              </w:rPr>
            </w:pPr>
            <w:r>
              <w:rPr>
                <w:rFonts w:hint="eastAsia" w:ascii="宋体" w:hAnsi="宋体" w:cs="宋体"/>
                <w:b/>
                <w:szCs w:val="21"/>
              </w:rPr>
              <w:t>数量</w:t>
            </w:r>
          </w:p>
        </w:tc>
        <w:tc>
          <w:tcPr>
            <w:tcW w:w="1733" w:type="dxa"/>
            <w:vAlign w:val="center"/>
          </w:tcPr>
          <w:p>
            <w:pPr>
              <w:pStyle w:val="53"/>
              <w:spacing w:line="360" w:lineRule="auto"/>
              <w:ind w:firstLine="0" w:firstLineChars="0"/>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pStyle w:val="53"/>
              <w:spacing w:line="360" w:lineRule="auto"/>
              <w:ind w:firstLine="0" w:firstLineChars="0"/>
              <w:jc w:val="center"/>
              <w:rPr>
                <w:rFonts w:ascii="宋体" w:hAnsi="宋体" w:cs="宋体"/>
                <w:szCs w:val="21"/>
              </w:rPr>
            </w:pPr>
            <w:r>
              <w:rPr>
                <w:rFonts w:hint="eastAsia" w:ascii="宋体" w:hAnsi="宋体" w:cs="宋体"/>
                <w:szCs w:val="21"/>
              </w:rPr>
              <w:t>接入交换机</w:t>
            </w:r>
          </w:p>
        </w:tc>
        <w:tc>
          <w:tcPr>
            <w:tcW w:w="2876" w:type="dxa"/>
          </w:tcPr>
          <w:p>
            <w:pPr>
              <w:pStyle w:val="53"/>
              <w:spacing w:line="360" w:lineRule="auto"/>
              <w:ind w:firstLine="0" w:firstLineChars="0"/>
              <w:rPr>
                <w:rFonts w:ascii="宋体" w:hAnsi="宋体" w:cs="宋体"/>
                <w:szCs w:val="21"/>
              </w:rPr>
            </w:pPr>
            <w:r>
              <w:rPr>
                <w:rFonts w:hint="eastAsia" w:ascii="宋体" w:hAnsi="宋体" w:cs="宋体"/>
                <w:szCs w:val="21"/>
              </w:rPr>
              <w:t>锐捷</w:t>
            </w:r>
          </w:p>
        </w:tc>
        <w:tc>
          <w:tcPr>
            <w:tcW w:w="1777" w:type="dxa"/>
          </w:tcPr>
          <w:p>
            <w:pPr>
              <w:pStyle w:val="53"/>
              <w:spacing w:line="360" w:lineRule="auto"/>
              <w:ind w:firstLine="0" w:firstLineChars="0"/>
              <w:jc w:val="center"/>
              <w:rPr>
                <w:rFonts w:ascii="宋体" w:hAnsi="宋体" w:cs="宋体"/>
                <w:szCs w:val="21"/>
              </w:rPr>
            </w:pPr>
            <w:r>
              <w:rPr>
                <w:rFonts w:hint="eastAsia" w:ascii="宋体" w:hAnsi="宋体" w:cs="宋体"/>
                <w:szCs w:val="21"/>
              </w:rPr>
              <w:t>37台</w:t>
            </w:r>
          </w:p>
        </w:tc>
        <w:tc>
          <w:tcPr>
            <w:tcW w:w="1733" w:type="dxa"/>
          </w:tcPr>
          <w:p>
            <w:pPr>
              <w:pStyle w:val="53"/>
              <w:spacing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pStyle w:val="53"/>
              <w:spacing w:line="360" w:lineRule="auto"/>
              <w:ind w:firstLine="0" w:firstLineChars="0"/>
              <w:jc w:val="center"/>
              <w:rPr>
                <w:rFonts w:ascii="宋体" w:hAnsi="宋体" w:cs="宋体"/>
                <w:szCs w:val="21"/>
              </w:rPr>
            </w:pPr>
            <w:r>
              <w:rPr>
                <w:rFonts w:hint="eastAsia" w:ascii="宋体" w:hAnsi="宋体" w:cs="宋体"/>
                <w:szCs w:val="21"/>
              </w:rPr>
              <w:t>接入交换机</w:t>
            </w:r>
          </w:p>
        </w:tc>
        <w:tc>
          <w:tcPr>
            <w:tcW w:w="2876" w:type="dxa"/>
          </w:tcPr>
          <w:p>
            <w:pPr>
              <w:pStyle w:val="53"/>
              <w:spacing w:line="360" w:lineRule="auto"/>
              <w:ind w:firstLine="0" w:firstLineChars="0"/>
              <w:rPr>
                <w:rFonts w:ascii="宋体" w:hAnsi="宋体" w:cs="宋体"/>
                <w:szCs w:val="21"/>
              </w:rPr>
            </w:pPr>
            <w:r>
              <w:rPr>
                <w:rFonts w:hint="eastAsia" w:ascii="宋体" w:hAnsi="宋体" w:cs="宋体"/>
                <w:szCs w:val="21"/>
              </w:rPr>
              <w:t>华为</w:t>
            </w:r>
          </w:p>
        </w:tc>
        <w:tc>
          <w:tcPr>
            <w:tcW w:w="1777" w:type="dxa"/>
          </w:tcPr>
          <w:p>
            <w:pPr>
              <w:pStyle w:val="53"/>
              <w:spacing w:line="360" w:lineRule="auto"/>
              <w:ind w:firstLine="0" w:firstLineChars="0"/>
              <w:jc w:val="center"/>
              <w:rPr>
                <w:rFonts w:ascii="宋体" w:hAnsi="宋体" w:cs="宋体"/>
                <w:szCs w:val="21"/>
              </w:rPr>
            </w:pPr>
            <w:r>
              <w:rPr>
                <w:rFonts w:hint="eastAsia" w:ascii="宋体" w:hAnsi="宋体" w:cs="宋体"/>
                <w:szCs w:val="21"/>
              </w:rPr>
              <w:t>29台</w:t>
            </w:r>
          </w:p>
        </w:tc>
        <w:tc>
          <w:tcPr>
            <w:tcW w:w="1733" w:type="dxa"/>
          </w:tcPr>
          <w:p>
            <w:pPr>
              <w:pStyle w:val="53"/>
              <w:spacing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pStyle w:val="53"/>
              <w:spacing w:line="360" w:lineRule="auto"/>
              <w:ind w:firstLine="0" w:firstLineChars="0"/>
              <w:jc w:val="center"/>
              <w:rPr>
                <w:rFonts w:ascii="宋体" w:hAnsi="宋体" w:cs="宋体"/>
                <w:szCs w:val="21"/>
              </w:rPr>
            </w:pPr>
            <w:r>
              <w:rPr>
                <w:rFonts w:hint="eastAsia" w:ascii="宋体" w:hAnsi="宋体" w:cs="宋体"/>
                <w:szCs w:val="21"/>
              </w:rPr>
              <w:t>网点</w:t>
            </w:r>
          </w:p>
        </w:tc>
        <w:tc>
          <w:tcPr>
            <w:tcW w:w="2876" w:type="dxa"/>
          </w:tcPr>
          <w:p>
            <w:pPr>
              <w:pStyle w:val="53"/>
              <w:spacing w:line="360" w:lineRule="auto"/>
              <w:ind w:firstLine="0" w:firstLineChars="0"/>
              <w:rPr>
                <w:rFonts w:ascii="宋体" w:hAnsi="宋体" w:cs="宋体"/>
                <w:szCs w:val="21"/>
              </w:rPr>
            </w:pPr>
            <w:r>
              <w:rPr>
                <w:rFonts w:hint="eastAsia" w:ascii="宋体" w:hAnsi="宋体" w:cs="宋体"/>
                <w:szCs w:val="21"/>
              </w:rPr>
              <w:t>HIS\OA系统内网</w:t>
            </w:r>
          </w:p>
        </w:tc>
        <w:tc>
          <w:tcPr>
            <w:tcW w:w="1777" w:type="dxa"/>
          </w:tcPr>
          <w:p>
            <w:pPr>
              <w:pStyle w:val="53"/>
              <w:spacing w:line="360" w:lineRule="auto"/>
              <w:ind w:firstLine="0" w:firstLineChars="0"/>
              <w:jc w:val="center"/>
              <w:rPr>
                <w:rFonts w:ascii="宋体" w:hAnsi="宋体" w:cs="宋体"/>
                <w:szCs w:val="21"/>
              </w:rPr>
            </w:pPr>
            <w:r>
              <w:rPr>
                <w:rFonts w:hint="eastAsia" w:ascii="宋体" w:hAnsi="宋体" w:cs="宋体"/>
                <w:szCs w:val="21"/>
              </w:rPr>
              <w:t>1367信息点</w:t>
            </w:r>
          </w:p>
        </w:tc>
        <w:tc>
          <w:tcPr>
            <w:tcW w:w="1733" w:type="dxa"/>
          </w:tcPr>
          <w:p>
            <w:pPr>
              <w:pStyle w:val="53"/>
              <w:spacing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pStyle w:val="53"/>
              <w:spacing w:line="360" w:lineRule="auto"/>
              <w:ind w:firstLine="0" w:firstLineChars="0"/>
              <w:jc w:val="center"/>
              <w:rPr>
                <w:rFonts w:ascii="宋体" w:hAnsi="宋体" w:cs="宋体"/>
                <w:szCs w:val="21"/>
              </w:rPr>
            </w:pPr>
            <w:r>
              <w:rPr>
                <w:rFonts w:hint="eastAsia" w:ascii="宋体" w:hAnsi="宋体" w:cs="宋体"/>
                <w:szCs w:val="21"/>
              </w:rPr>
              <w:t>网点</w:t>
            </w:r>
          </w:p>
        </w:tc>
        <w:tc>
          <w:tcPr>
            <w:tcW w:w="2876" w:type="dxa"/>
          </w:tcPr>
          <w:p>
            <w:pPr>
              <w:pStyle w:val="53"/>
              <w:spacing w:line="360" w:lineRule="auto"/>
              <w:ind w:firstLine="0" w:firstLineChars="0"/>
              <w:rPr>
                <w:rFonts w:ascii="宋体" w:hAnsi="宋体" w:cs="宋体"/>
                <w:szCs w:val="21"/>
              </w:rPr>
            </w:pPr>
            <w:r>
              <w:rPr>
                <w:rFonts w:hint="eastAsia" w:ascii="宋体" w:hAnsi="宋体" w:cs="宋体"/>
                <w:szCs w:val="21"/>
              </w:rPr>
              <w:t>互联网</w:t>
            </w:r>
          </w:p>
        </w:tc>
        <w:tc>
          <w:tcPr>
            <w:tcW w:w="1777" w:type="dxa"/>
          </w:tcPr>
          <w:p>
            <w:pPr>
              <w:pStyle w:val="53"/>
              <w:spacing w:line="360" w:lineRule="auto"/>
              <w:ind w:firstLine="0" w:firstLineChars="0"/>
              <w:jc w:val="center"/>
              <w:rPr>
                <w:rFonts w:ascii="宋体" w:hAnsi="宋体" w:cs="宋体"/>
                <w:szCs w:val="21"/>
              </w:rPr>
            </w:pPr>
            <w:r>
              <w:rPr>
                <w:rFonts w:hint="eastAsia" w:ascii="宋体" w:hAnsi="宋体" w:cs="宋体"/>
                <w:szCs w:val="21"/>
              </w:rPr>
              <w:t>389信息点</w:t>
            </w:r>
          </w:p>
        </w:tc>
        <w:tc>
          <w:tcPr>
            <w:tcW w:w="1733" w:type="dxa"/>
          </w:tcPr>
          <w:p>
            <w:pPr>
              <w:pStyle w:val="53"/>
              <w:spacing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pStyle w:val="53"/>
              <w:spacing w:line="360" w:lineRule="auto"/>
              <w:ind w:firstLine="0" w:firstLineChars="0"/>
              <w:jc w:val="center"/>
              <w:rPr>
                <w:rFonts w:ascii="宋体" w:hAnsi="宋体" w:cs="宋体"/>
                <w:szCs w:val="21"/>
              </w:rPr>
            </w:pPr>
            <w:r>
              <w:rPr>
                <w:rFonts w:hint="eastAsia" w:ascii="宋体" w:hAnsi="宋体" w:cs="宋体"/>
                <w:szCs w:val="21"/>
              </w:rPr>
              <w:t>网点</w:t>
            </w:r>
          </w:p>
        </w:tc>
        <w:tc>
          <w:tcPr>
            <w:tcW w:w="2876" w:type="dxa"/>
          </w:tcPr>
          <w:p>
            <w:pPr>
              <w:pStyle w:val="53"/>
              <w:spacing w:line="360" w:lineRule="auto"/>
              <w:ind w:firstLine="0" w:firstLineChars="0"/>
              <w:rPr>
                <w:rFonts w:ascii="宋体" w:hAnsi="宋体" w:cs="宋体"/>
                <w:szCs w:val="21"/>
              </w:rPr>
            </w:pPr>
            <w:r>
              <w:rPr>
                <w:rFonts w:hint="eastAsia" w:ascii="宋体" w:hAnsi="宋体" w:cs="宋体"/>
                <w:szCs w:val="21"/>
              </w:rPr>
              <w:t>医保专网</w:t>
            </w:r>
          </w:p>
        </w:tc>
        <w:tc>
          <w:tcPr>
            <w:tcW w:w="1777" w:type="dxa"/>
          </w:tcPr>
          <w:p>
            <w:pPr>
              <w:pStyle w:val="53"/>
              <w:spacing w:line="360" w:lineRule="auto"/>
              <w:ind w:firstLine="0" w:firstLineChars="0"/>
              <w:jc w:val="center"/>
              <w:rPr>
                <w:rFonts w:ascii="宋体" w:hAnsi="宋体" w:cs="宋体"/>
                <w:szCs w:val="21"/>
              </w:rPr>
            </w:pPr>
            <w:r>
              <w:rPr>
                <w:rFonts w:hint="eastAsia" w:ascii="宋体" w:hAnsi="宋体" w:cs="宋体"/>
                <w:szCs w:val="21"/>
              </w:rPr>
              <w:t>12信息点</w:t>
            </w:r>
          </w:p>
        </w:tc>
        <w:tc>
          <w:tcPr>
            <w:tcW w:w="1733" w:type="dxa"/>
          </w:tcPr>
          <w:p>
            <w:pPr>
              <w:pStyle w:val="53"/>
              <w:spacing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pStyle w:val="53"/>
              <w:spacing w:line="360" w:lineRule="auto"/>
              <w:ind w:firstLine="0" w:firstLineChars="0"/>
              <w:jc w:val="center"/>
              <w:rPr>
                <w:rFonts w:ascii="宋体" w:hAnsi="宋体" w:cs="宋体"/>
                <w:szCs w:val="21"/>
              </w:rPr>
            </w:pPr>
            <w:r>
              <w:rPr>
                <w:rFonts w:hint="eastAsia" w:ascii="宋体" w:hAnsi="宋体" w:cs="宋体"/>
                <w:szCs w:val="21"/>
              </w:rPr>
              <w:t>网点</w:t>
            </w:r>
          </w:p>
        </w:tc>
        <w:tc>
          <w:tcPr>
            <w:tcW w:w="2876" w:type="dxa"/>
          </w:tcPr>
          <w:p>
            <w:pPr>
              <w:pStyle w:val="53"/>
              <w:spacing w:line="360" w:lineRule="auto"/>
              <w:ind w:firstLine="0" w:firstLineChars="0"/>
              <w:rPr>
                <w:rFonts w:ascii="宋体" w:hAnsi="宋体" w:cs="宋体"/>
                <w:szCs w:val="21"/>
              </w:rPr>
            </w:pPr>
            <w:r>
              <w:rPr>
                <w:rFonts w:hint="eastAsia" w:ascii="宋体" w:hAnsi="宋体" w:cs="宋体"/>
                <w:szCs w:val="21"/>
              </w:rPr>
              <w:t>新农合专网</w:t>
            </w:r>
          </w:p>
        </w:tc>
        <w:tc>
          <w:tcPr>
            <w:tcW w:w="1777" w:type="dxa"/>
          </w:tcPr>
          <w:p>
            <w:pPr>
              <w:pStyle w:val="53"/>
              <w:spacing w:line="360" w:lineRule="auto"/>
              <w:ind w:firstLine="0" w:firstLineChars="0"/>
              <w:jc w:val="center"/>
              <w:rPr>
                <w:rFonts w:ascii="宋体" w:hAnsi="宋体" w:cs="宋体"/>
                <w:szCs w:val="21"/>
              </w:rPr>
            </w:pPr>
            <w:r>
              <w:rPr>
                <w:rFonts w:hint="eastAsia" w:ascii="宋体" w:hAnsi="宋体" w:cs="宋体"/>
                <w:szCs w:val="21"/>
              </w:rPr>
              <w:t>2信息点</w:t>
            </w:r>
          </w:p>
        </w:tc>
        <w:tc>
          <w:tcPr>
            <w:tcW w:w="1733" w:type="dxa"/>
          </w:tcPr>
          <w:p>
            <w:pPr>
              <w:pStyle w:val="53"/>
              <w:spacing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tcPr>
          <w:p>
            <w:pPr>
              <w:pStyle w:val="53"/>
              <w:spacing w:line="360" w:lineRule="auto"/>
              <w:ind w:firstLine="0" w:firstLineChars="0"/>
              <w:jc w:val="center"/>
              <w:rPr>
                <w:rFonts w:ascii="宋体" w:hAnsi="宋体" w:cs="宋体"/>
                <w:szCs w:val="21"/>
              </w:rPr>
            </w:pPr>
            <w:r>
              <w:rPr>
                <w:rFonts w:hint="eastAsia" w:ascii="宋体" w:hAnsi="宋体" w:cs="宋体"/>
                <w:szCs w:val="21"/>
              </w:rPr>
              <w:t>网点</w:t>
            </w:r>
          </w:p>
        </w:tc>
        <w:tc>
          <w:tcPr>
            <w:tcW w:w="2876" w:type="dxa"/>
          </w:tcPr>
          <w:p>
            <w:pPr>
              <w:pStyle w:val="53"/>
              <w:spacing w:line="360" w:lineRule="auto"/>
              <w:ind w:firstLine="0" w:firstLineChars="0"/>
              <w:rPr>
                <w:rFonts w:ascii="宋体" w:hAnsi="宋体" w:cs="宋体"/>
                <w:szCs w:val="21"/>
              </w:rPr>
            </w:pPr>
            <w:r>
              <w:rPr>
                <w:rFonts w:hint="eastAsia" w:ascii="宋体" w:hAnsi="宋体" w:cs="宋体"/>
                <w:szCs w:val="21"/>
              </w:rPr>
              <w:t>远程医疗专网</w:t>
            </w:r>
          </w:p>
        </w:tc>
        <w:tc>
          <w:tcPr>
            <w:tcW w:w="1777" w:type="dxa"/>
          </w:tcPr>
          <w:p>
            <w:pPr>
              <w:pStyle w:val="53"/>
              <w:spacing w:line="360" w:lineRule="auto"/>
              <w:ind w:firstLine="0" w:firstLineChars="0"/>
              <w:jc w:val="center"/>
              <w:rPr>
                <w:rFonts w:ascii="宋体" w:hAnsi="宋体" w:cs="宋体"/>
                <w:szCs w:val="21"/>
              </w:rPr>
            </w:pPr>
            <w:r>
              <w:rPr>
                <w:rFonts w:hint="eastAsia" w:ascii="宋体" w:hAnsi="宋体" w:cs="宋体"/>
                <w:szCs w:val="21"/>
              </w:rPr>
              <w:t>2信息点</w:t>
            </w:r>
          </w:p>
        </w:tc>
        <w:tc>
          <w:tcPr>
            <w:tcW w:w="1733" w:type="dxa"/>
          </w:tcPr>
          <w:p>
            <w:pPr>
              <w:pStyle w:val="53"/>
              <w:spacing w:line="360" w:lineRule="auto"/>
              <w:ind w:firstLine="0" w:firstLineChars="0"/>
              <w:rPr>
                <w:rFonts w:ascii="宋体" w:hAnsi="宋体" w:cs="宋体"/>
                <w:szCs w:val="21"/>
              </w:rPr>
            </w:pPr>
          </w:p>
        </w:tc>
      </w:tr>
    </w:tbl>
    <w:p>
      <w:pPr>
        <w:pStyle w:val="24"/>
        <w:shd w:val="clear" w:color="auto" w:fill="FFFFFF"/>
        <w:spacing w:line="330" w:lineRule="atLeast"/>
        <w:ind w:firstLine="207" w:firstLineChars="98"/>
        <w:rPr>
          <w:b/>
          <w:sz w:val="21"/>
          <w:szCs w:val="21"/>
        </w:rPr>
      </w:pPr>
      <w:r>
        <w:rPr>
          <w:rFonts w:hint="eastAsia"/>
          <w:b/>
          <w:sz w:val="21"/>
          <w:szCs w:val="21"/>
        </w:rPr>
        <w:t>以上数量仅为现阶段数量，一年内新增的设备也在服务范围。</w:t>
      </w:r>
    </w:p>
    <w:p>
      <w:pPr>
        <w:widowControl/>
        <w:spacing w:line="500" w:lineRule="exact"/>
        <w:ind w:firstLine="416" w:firstLineChars="196"/>
        <w:jc w:val="left"/>
        <w:rPr>
          <w:rFonts w:ascii="宋体" w:hAnsi="宋体" w:cs="宋体"/>
          <w:b/>
          <w:bCs/>
          <w:kern w:val="0"/>
          <w:szCs w:val="21"/>
        </w:rPr>
      </w:pPr>
      <w:r>
        <w:rPr>
          <w:rFonts w:hint="eastAsia" w:ascii="宋体" w:hAnsi="宋体" w:cs="宋体"/>
          <w:b/>
          <w:bCs/>
          <w:kern w:val="0"/>
          <w:szCs w:val="21"/>
        </w:rPr>
        <w:t>8．备件库建立</w:t>
      </w:r>
    </w:p>
    <w:p>
      <w:pPr>
        <w:pStyle w:val="6"/>
        <w:spacing w:before="120" w:after="120" w:line="360" w:lineRule="auto"/>
        <w:rPr>
          <w:rFonts w:hAnsi="宋体" w:cs="宋体"/>
          <w:szCs w:val="21"/>
        </w:rPr>
      </w:pPr>
      <w:r>
        <w:rPr>
          <w:rFonts w:hint="eastAsia" w:hAnsi="宋体" w:cs="宋体"/>
          <w:szCs w:val="21"/>
        </w:rPr>
        <w:t>完成建立各类</w:t>
      </w:r>
      <w:r>
        <w:rPr>
          <w:rFonts w:hAnsi="宋体" w:cs="宋体"/>
          <w:szCs w:val="21"/>
        </w:rPr>
        <w:t>IT</w:t>
      </w:r>
      <w:r>
        <w:rPr>
          <w:rFonts w:hint="eastAsia" w:hAnsi="宋体" w:cs="宋体"/>
          <w:szCs w:val="21"/>
        </w:rPr>
        <w:t>设备的通用备件库，备件性能规格符合原有设备或模块的性能指标。在硬件出现问题时，I</w:t>
      </w:r>
      <w:r>
        <w:rPr>
          <w:rFonts w:hAnsi="宋体" w:cs="宋体"/>
          <w:szCs w:val="21"/>
        </w:rPr>
        <w:t>T</w:t>
      </w:r>
      <w:r>
        <w:rPr>
          <w:rFonts w:hint="eastAsia" w:hAnsi="宋体" w:cs="宋体"/>
          <w:szCs w:val="21"/>
        </w:rPr>
        <w:t>服务工程师能及时完成硬件的替换，保障医院系统的正常运转。</w:t>
      </w:r>
    </w:p>
    <w:p>
      <w:pPr>
        <w:spacing w:line="240" w:lineRule="atLeast"/>
        <w:rPr>
          <w:rFonts w:ascii="宋体" w:hAnsi="宋体"/>
          <w:b/>
          <w:szCs w:val="21"/>
        </w:rPr>
      </w:pPr>
      <w:r>
        <w:rPr>
          <w:rFonts w:hint="eastAsia" w:ascii="宋体" w:hAnsi="宋体"/>
          <w:b/>
          <w:szCs w:val="21"/>
        </w:rPr>
        <w:t>项目要求：</w:t>
      </w:r>
    </w:p>
    <w:p>
      <w:pPr>
        <w:spacing w:line="360" w:lineRule="auto"/>
        <w:rPr>
          <w:rFonts w:ascii="宋体" w:hAnsi="宋体"/>
          <w:szCs w:val="21"/>
        </w:rPr>
      </w:pPr>
      <w:r>
        <w:rPr>
          <w:rFonts w:hint="eastAsia" w:ascii="宋体" w:hAnsi="宋体"/>
          <w:szCs w:val="21"/>
        </w:rPr>
        <w:t xml:space="preserve">1、服务期限：一年。 </w:t>
      </w:r>
    </w:p>
    <w:p>
      <w:pPr>
        <w:pStyle w:val="24"/>
        <w:shd w:val="clear" w:color="auto" w:fill="FFFFFF"/>
        <w:spacing w:before="0" w:beforeAutospacing="0" w:after="0" w:afterAutospacing="0" w:line="360" w:lineRule="auto"/>
        <w:ind w:right="360"/>
        <w:rPr>
          <w:rFonts w:eastAsiaTheme="minorEastAsia" w:cstheme="minorBidi"/>
          <w:sz w:val="21"/>
          <w:szCs w:val="21"/>
        </w:rPr>
      </w:pPr>
      <w:r>
        <w:rPr>
          <w:rFonts w:hint="eastAsia" w:eastAsiaTheme="minorEastAsia" w:cstheme="minorBidi"/>
          <w:sz w:val="21"/>
          <w:szCs w:val="21"/>
        </w:rPr>
        <w:t>2、付款方式：服务期为一年，服务费用每季度结算一次，共分四次支付完毕。</w:t>
      </w:r>
    </w:p>
    <w:p>
      <w:pPr>
        <w:pStyle w:val="15"/>
        <w:spacing w:after="0" w:line="360" w:lineRule="auto"/>
        <w:ind w:left="0" w:leftChars="0"/>
        <w:rPr>
          <w:rFonts w:asciiTheme="minorEastAsia" w:hAnsiTheme="minorEastAsia" w:eastAsiaTheme="minorEastAsia"/>
          <w:sz w:val="24"/>
        </w:rPr>
      </w:pPr>
      <w:r>
        <w:rPr>
          <w:rFonts w:hint="eastAsia" w:ascii="宋体" w:hAnsi="宋体" w:eastAsiaTheme="minorEastAsia" w:cstheme="minorBidi"/>
          <w:szCs w:val="21"/>
        </w:rPr>
        <w:t xml:space="preserve">3、采购方在服务合同期内每季度将向设备的使用者进行服务质量调查，通过调查结果对中标人提供的维护服务进行质量评测考核，座位阶段考核成绩，考核成绩直接与中标人的服务费挂钩。考核以百分制计算，如考核总分低于60分，则视为不合格，将扣除中标人当年维护合同总额的5%作为处罚。如中标人因维护服务问题遭到投诉，经查属实，我方将对中标人提出口头警告，如遭投诉3次以上的，则扣除中标人当年维护服务合同金额的5%作为处罚。如果一年内累计2次质量评测考核不合格，则我方有权终止合同，并保留追究中标人赔偿由此造成我方损失的权利。       </w:t>
      </w:r>
      <w:r>
        <w:rPr>
          <w:rFonts w:hint="eastAsia"/>
        </w:rPr>
        <w:t xml:space="preserve">                 </w:t>
      </w:r>
    </w:p>
    <w:p>
      <w:pPr>
        <w:pStyle w:val="15"/>
        <w:spacing w:after="0" w:line="360" w:lineRule="auto"/>
        <w:ind w:left="0" w:leftChars="0" w:firstLine="607" w:firstLineChars="250"/>
        <w:rPr>
          <w:rFonts w:asciiTheme="minorEastAsia" w:hAnsiTheme="minorEastAsia" w:eastAsiaTheme="minorEastAsia"/>
          <w:sz w:val="24"/>
        </w:rPr>
      </w:pPr>
    </w:p>
    <w:p>
      <w:pPr>
        <w:rPr>
          <w:rFonts w:ascii="楷体" w:hAnsi="楷体" w:eastAsia="楷体" w:cs="楷体"/>
        </w:rPr>
      </w:pPr>
      <w:r>
        <w:rPr>
          <w:rFonts w:hint="eastAsia" w:ascii="楷体" w:hAnsi="楷体" w:eastAsia="楷体" w:cs="楷体"/>
        </w:rPr>
        <w:br w:type="page"/>
      </w:r>
    </w:p>
    <w:p>
      <w:pPr>
        <w:pStyle w:val="4"/>
        <w:tabs>
          <w:tab w:val="left" w:pos="0"/>
        </w:tabs>
        <w:spacing w:before="0" w:after="0" w:line="240" w:lineRule="atLeast"/>
        <w:ind w:left="-15"/>
        <w:rPr>
          <w:rFonts w:ascii="楷体" w:hAnsi="楷体" w:eastAsia="楷体" w:cs="楷体"/>
        </w:rPr>
      </w:pPr>
      <w:r>
        <w:rPr>
          <w:rFonts w:hint="eastAsia" w:ascii="楷体" w:hAnsi="楷体" w:eastAsia="楷体" w:cs="楷体"/>
        </w:rPr>
        <w:t>第6章</w:t>
      </w:r>
      <w:bookmarkStart w:id="376" w:name="_Toc507399907"/>
      <w:bookmarkStart w:id="377" w:name="_Toc515647832"/>
      <w:bookmarkStart w:id="378" w:name="_Toc7971"/>
      <w:bookmarkStart w:id="379" w:name="_Toc32647"/>
      <w:bookmarkStart w:id="380" w:name="_Toc32100"/>
      <w:r>
        <w:rPr>
          <w:rFonts w:hint="eastAsia" w:ascii="楷体" w:hAnsi="楷体" w:eastAsia="楷体" w:cs="楷体"/>
        </w:rPr>
        <w:t>评标方法和标准</w:t>
      </w:r>
      <w:bookmarkEnd w:id="373"/>
      <w:bookmarkEnd w:id="374"/>
      <w:bookmarkEnd w:id="375"/>
      <w:bookmarkEnd w:id="376"/>
      <w:bookmarkEnd w:id="377"/>
      <w:bookmarkEnd w:id="378"/>
      <w:bookmarkEnd w:id="379"/>
      <w:bookmarkEnd w:id="380"/>
    </w:p>
    <w:p>
      <w:pPr>
        <w:pStyle w:val="3"/>
        <w:tabs>
          <w:tab w:val="clear" w:pos="567"/>
        </w:tabs>
        <w:spacing w:before="0" w:line="240" w:lineRule="atLeast"/>
        <w:ind w:firstLine="546" w:firstLineChars="225"/>
        <w:rPr>
          <w:rFonts w:ascii="楷体" w:hAnsi="楷体" w:eastAsia="楷体" w:cs="楷体"/>
        </w:rPr>
      </w:pPr>
    </w:p>
    <w:p>
      <w:pPr>
        <w:pStyle w:val="3"/>
        <w:tabs>
          <w:tab w:val="clear" w:pos="567"/>
        </w:tabs>
        <w:spacing w:before="0" w:line="240" w:lineRule="atLeast"/>
        <w:ind w:firstLine="546" w:firstLineChars="225"/>
        <w:rPr>
          <w:rFonts w:ascii="楷体" w:hAnsi="楷体" w:eastAsia="楷体" w:cs="楷体"/>
        </w:rPr>
      </w:pPr>
      <w:r>
        <w:rPr>
          <w:rFonts w:hint="eastAsia" w:ascii="楷体" w:hAnsi="楷体" w:eastAsia="楷体" w:cs="楷体"/>
        </w:rPr>
        <w:t>本项目将按照招标文件第一章投标人须知中“五 开标及评标”、“六 确定中标”及本章的规定评标。</w:t>
      </w:r>
    </w:p>
    <w:p>
      <w:pPr>
        <w:spacing w:line="360" w:lineRule="auto"/>
        <w:jc w:val="center"/>
        <w:rPr>
          <w:rFonts w:ascii="楷体" w:hAnsi="楷体" w:eastAsia="楷体" w:cs="楷体"/>
          <w:b/>
          <w:szCs w:val="21"/>
        </w:rPr>
      </w:pPr>
    </w:p>
    <w:p>
      <w:pPr>
        <w:spacing w:line="360" w:lineRule="auto"/>
        <w:jc w:val="center"/>
        <w:rPr>
          <w:rFonts w:ascii="楷体" w:hAnsi="楷体" w:eastAsia="楷体" w:cs="楷体"/>
          <w:b/>
          <w:sz w:val="24"/>
        </w:rPr>
      </w:pPr>
      <w:r>
        <w:rPr>
          <w:rFonts w:hint="eastAsia" w:ascii="楷体" w:hAnsi="楷体" w:eastAsia="楷体" w:cs="楷体"/>
          <w:b/>
          <w:sz w:val="24"/>
        </w:rPr>
        <w:t>附表一、初步审查表</w:t>
      </w:r>
    </w:p>
    <w:tbl>
      <w:tblPr>
        <w:tblStyle w:val="25"/>
        <w:tblW w:w="95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6587"/>
        <w:gridCol w:w="625"/>
        <w:gridCol w:w="643"/>
        <w:gridCol w:w="534"/>
        <w:gridCol w:w="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00" w:type="dxa"/>
            <w:gridSpan w:val="2"/>
            <w:vMerge w:val="restart"/>
            <w:tcBorders>
              <w:top w:val="single" w:color="auto" w:sz="12" w:space="0"/>
              <w:left w:val="single" w:color="auto" w:sz="12" w:space="0"/>
              <w:bottom w:val="single" w:color="auto" w:sz="6" w:space="0"/>
              <w:right w:val="single" w:color="auto" w:sz="4" w:space="0"/>
            </w:tcBorders>
            <w:vAlign w:val="center"/>
          </w:tcPr>
          <w:p>
            <w:pPr>
              <w:spacing w:line="360" w:lineRule="auto"/>
              <w:jc w:val="center"/>
              <w:rPr>
                <w:rFonts w:ascii="楷体" w:hAnsi="楷体" w:eastAsia="楷体" w:cs="楷体"/>
                <w:b/>
                <w:szCs w:val="21"/>
              </w:rPr>
            </w:pPr>
            <w:r>
              <w:rPr>
                <w:rFonts w:hint="eastAsia" w:ascii="楷体" w:hAnsi="楷体" w:eastAsia="楷体" w:cs="楷体"/>
                <w:b/>
                <w:szCs w:val="21"/>
              </w:rPr>
              <w:t>评审内容</w:t>
            </w:r>
          </w:p>
        </w:tc>
        <w:tc>
          <w:tcPr>
            <w:tcW w:w="2472" w:type="dxa"/>
            <w:gridSpan w:val="4"/>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楷体" w:hAnsi="楷体" w:eastAsia="楷体" w:cs="楷体"/>
                <w:b/>
                <w:szCs w:val="21"/>
              </w:rPr>
            </w:pPr>
            <w:r>
              <w:rPr>
                <w:rFonts w:hint="eastAsia" w:ascii="楷体" w:hAnsi="楷体" w:eastAsia="楷体" w:cs="楷体"/>
                <w:b/>
                <w:szCs w:val="21"/>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7100" w:type="dxa"/>
            <w:gridSpan w:val="2"/>
            <w:vMerge w:val="continue"/>
            <w:tcBorders>
              <w:top w:val="single" w:color="auto" w:sz="12" w:space="0"/>
              <w:left w:val="single" w:color="auto" w:sz="12" w:space="0"/>
              <w:bottom w:val="single" w:color="auto" w:sz="6" w:space="0"/>
              <w:right w:val="single" w:color="auto" w:sz="4" w:space="0"/>
            </w:tcBorders>
            <w:vAlign w:val="center"/>
          </w:tcPr>
          <w:p>
            <w:pPr>
              <w:widowControl/>
              <w:spacing w:line="360" w:lineRule="auto"/>
              <w:jc w:val="left"/>
              <w:rPr>
                <w:rFonts w:ascii="楷体" w:hAnsi="楷体" w:eastAsia="楷体" w:cs="楷体"/>
                <w:b/>
                <w:szCs w:val="21"/>
              </w:rPr>
            </w:pPr>
          </w:p>
        </w:tc>
        <w:tc>
          <w:tcPr>
            <w:tcW w:w="625" w:type="dxa"/>
            <w:tcBorders>
              <w:top w:val="single" w:color="auto" w:sz="4" w:space="0"/>
              <w:left w:val="single" w:color="auto" w:sz="4" w:space="0"/>
              <w:bottom w:val="single" w:color="auto" w:sz="6" w:space="0"/>
              <w:right w:val="single" w:color="auto" w:sz="4" w:space="0"/>
            </w:tcBorders>
          </w:tcPr>
          <w:p>
            <w:pPr>
              <w:spacing w:line="360" w:lineRule="auto"/>
              <w:jc w:val="center"/>
              <w:rPr>
                <w:rFonts w:ascii="楷体" w:hAnsi="楷体" w:eastAsia="楷体" w:cs="楷体"/>
                <w:b/>
                <w:szCs w:val="21"/>
              </w:rPr>
            </w:pPr>
            <w:r>
              <w:rPr>
                <w:rFonts w:hint="eastAsia" w:ascii="楷体" w:hAnsi="楷体" w:eastAsia="楷体" w:cs="楷体"/>
                <w:b/>
                <w:szCs w:val="21"/>
              </w:rPr>
              <w:t>1</w:t>
            </w:r>
          </w:p>
        </w:tc>
        <w:tc>
          <w:tcPr>
            <w:tcW w:w="643" w:type="dxa"/>
            <w:tcBorders>
              <w:top w:val="single" w:color="auto" w:sz="4" w:space="0"/>
              <w:left w:val="single" w:color="auto" w:sz="4" w:space="0"/>
              <w:bottom w:val="single" w:color="auto" w:sz="6" w:space="0"/>
              <w:right w:val="single" w:color="auto" w:sz="6" w:space="0"/>
            </w:tcBorders>
          </w:tcPr>
          <w:p>
            <w:pPr>
              <w:spacing w:line="360" w:lineRule="auto"/>
              <w:jc w:val="center"/>
              <w:rPr>
                <w:rFonts w:ascii="楷体" w:hAnsi="楷体" w:eastAsia="楷体" w:cs="楷体"/>
                <w:b/>
                <w:szCs w:val="21"/>
              </w:rPr>
            </w:pPr>
            <w:r>
              <w:rPr>
                <w:rFonts w:hint="eastAsia" w:ascii="楷体" w:hAnsi="楷体" w:eastAsia="楷体" w:cs="楷体"/>
                <w:b/>
                <w:szCs w:val="21"/>
              </w:rPr>
              <w:t>2</w:t>
            </w:r>
          </w:p>
        </w:tc>
        <w:tc>
          <w:tcPr>
            <w:tcW w:w="5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b/>
                <w:szCs w:val="21"/>
              </w:rPr>
            </w:pPr>
            <w:r>
              <w:rPr>
                <w:rFonts w:hint="eastAsia" w:ascii="楷体" w:hAnsi="楷体" w:eastAsia="楷体" w:cs="楷体"/>
                <w:b/>
                <w:szCs w:val="21"/>
              </w:rPr>
              <w:t>3</w:t>
            </w:r>
          </w:p>
        </w:tc>
        <w:tc>
          <w:tcPr>
            <w:tcW w:w="670"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楷体" w:hAnsi="楷体" w:eastAsia="楷体" w:cs="楷体"/>
                <w:b/>
                <w:szCs w:val="21"/>
              </w:rPr>
            </w:pPr>
            <w:r>
              <w:rPr>
                <w:rFonts w:hint="eastAsia" w:ascii="楷体" w:hAnsi="楷体" w:eastAsia="楷体" w:cs="楷体"/>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1</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kern w:val="0"/>
                <w:szCs w:val="21"/>
              </w:rPr>
            </w:pPr>
            <w:r>
              <w:rPr>
                <w:rFonts w:hint="eastAsia" w:ascii="楷体" w:hAnsi="楷体" w:eastAsia="楷体" w:cs="楷体"/>
                <w:kern w:val="0"/>
                <w:szCs w:val="21"/>
              </w:rPr>
              <w:t>法定代表人为同一个人的两个及两个以上法人，母公司、全资子公司及其控股公司，在同一项目中同时投标；</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2</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kern w:val="0"/>
                <w:szCs w:val="21"/>
              </w:rPr>
            </w:pPr>
            <w:r>
              <w:rPr>
                <w:rFonts w:hint="eastAsia" w:ascii="楷体" w:hAnsi="楷体" w:eastAsia="楷体" w:cs="楷体"/>
                <w:kern w:val="0"/>
                <w:szCs w:val="21"/>
              </w:rPr>
              <w:t>投标人名称或组织机构与购买招标文件时不一致，未提供有效证明文件；</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3</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kern w:val="0"/>
                <w:szCs w:val="21"/>
              </w:rPr>
            </w:pPr>
            <w:r>
              <w:rPr>
                <w:rFonts w:hint="eastAsia" w:ascii="楷体" w:hAnsi="楷体" w:eastAsia="楷体" w:cs="楷体"/>
                <w:kern w:val="0"/>
                <w:szCs w:val="21"/>
              </w:rPr>
              <w:t>对招标文件主要条款和承诺存在重大出入或保留；</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4</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kern w:val="0"/>
                <w:szCs w:val="21"/>
              </w:rPr>
            </w:pPr>
            <w:r>
              <w:rPr>
                <w:rFonts w:hint="eastAsia" w:ascii="楷体" w:hAnsi="楷体" w:eastAsia="楷体" w:cs="楷体"/>
                <w:kern w:val="0"/>
                <w:szCs w:val="21"/>
              </w:rPr>
              <w:t>投标人未按招标文件规定提交投标份数，正本1份；副本4份；电子版1份，开标一览表1份；</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5</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kern w:val="0"/>
                <w:szCs w:val="21"/>
              </w:rPr>
            </w:pPr>
            <w:r>
              <w:rPr>
                <w:rFonts w:hint="eastAsia" w:ascii="楷体" w:hAnsi="楷体" w:eastAsia="楷体" w:cs="楷体"/>
                <w:kern w:val="0"/>
                <w:szCs w:val="21"/>
              </w:rPr>
              <w:t>投标人未按招标文件要求的格式填写，无内容不全或关键字迹模糊、无法辨认的情况；</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6</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kern w:val="0"/>
                <w:szCs w:val="21"/>
              </w:rPr>
            </w:pPr>
            <w:r>
              <w:rPr>
                <w:rFonts w:hint="eastAsia" w:ascii="楷体" w:hAnsi="楷体" w:eastAsia="楷体" w:cs="楷体"/>
                <w:kern w:val="0"/>
                <w:szCs w:val="21"/>
              </w:rPr>
              <w:t>投标文件未按照招标文件要求编写、装订、印鉴及签字；</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7</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kern w:val="0"/>
                <w:szCs w:val="21"/>
              </w:rPr>
            </w:pPr>
            <w:r>
              <w:rPr>
                <w:rFonts w:hint="eastAsia" w:ascii="楷体" w:hAnsi="楷体" w:eastAsia="楷体" w:cs="楷体"/>
                <w:kern w:val="0"/>
                <w:szCs w:val="21"/>
              </w:rPr>
              <w:t>投标人有违反招标投标纪律的情况；</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8</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bCs/>
                <w:kern w:val="0"/>
                <w:szCs w:val="21"/>
              </w:rPr>
            </w:pPr>
            <w:r>
              <w:rPr>
                <w:rFonts w:hint="eastAsia" w:ascii="楷体" w:hAnsi="楷体" w:eastAsia="楷体" w:cs="楷体"/>
                <w:bCs/>
                <w:kern w:val="0"/>
                <w:szCs w:val="21"/>
              </w:rPr>
              <w:t>投标人没有按照招标文件要求提交全部资料、没有对招标文件在各方面都做出实质性响应；</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9</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bCs/>
                <w:szCs w:val="21"/>
              </w:rPr>
            </w:pPr>
            <w:r>
              <w:rPr>
                <w:rFonts w:hint="eastAsia" w:ascii="楷体" w:hAnsi="楷体" w:eastAsia="楷体" w:cs="楷体"/>
                <w:bCs/>
                <w:szCs w:val="21"/>
              </w:rPr>
              <w:t>投标人在投标过程中向采购人提供、给予任何有价值的物品，影响其正常决策的行为。</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10</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bCs/>
                <w:szCs w:val="21"/>
              </w:rPr>
            </w:pPr>
            <w:r>
              <w:rPr>
                <w:rFonts w:hint="eastAsia" w:ascii="楷体" w:hAnsi="楷体" w:eastAsia="楷体" w:cs="楷体"/>
                <w:bCs/>
                <w:szCs w:val="21"/>
              </w:rPr>
              <w:t>投标人报价超过招标文件规定的预算金额或者分项、分包最高限价的。</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kern w:val="0"/>
                <w:szCs w:val="21"/>
              </w:rPr>
            </w:pPr>
            <w:r>
              <w:rPr>
                <w:rFonts w:hint="eastAsia" w:ascii="楷体" w:hAnsi="楷体" w:eastAsia="楷体" w:cs="楷体"/>
                <w:kern w:val="0"/>
                <w:szCs w:val="21"/>
              </w:rPr>
              <w:t>11</w:t>
            </w:r>
          </w:p>
        </w:tc>
        <w:tc>
          <w:tcPr>
            <w:tcW w:w="6587" w:type="dxa"/>
            <w:tcBorders>
              <w:top w:val="single" w:color="auto" w:sz="6" w:space="0"/>
              <w:left w:val="single" w:color="auto" w:sz="6" w:space="0"/>
              <w:bottom w:val="single" w:color="auto" w:sz="6" w:space="0"/>
              <w:right w:val="single" w:color="auto" w:sz="4" w:space="0"/>
            </w:tcBorders>
            <w:vAlign w:val="bottom"/>
          </w:tcPr>
          <w:p>
            <w:pPr>
              <w:spacing w:line="360" w:lineRule="auto"/>
              <w:rPr>
                <w:rFonts w:ascii="楷体" w:hAnsi="楷体" w:eastAsia="楷体" w:cs="楷体"/>
                <w:bCs/>
                <w:szCs w:val="21"/>
              </w:rPr>
            </w:pPr>
            <w:r>
              <w:rPr>
                <w:rFonts w:hint="eastAsia" w:ascii="楷体" w:hAnsi="楷体" w:eastAsia="楷体" w:cs="楷体"/>
                <w:bCs/>
                <w:szCs w:val="21"/>
              </w:rPr>
              <w:t>投标人投标文件中提供的投标资格证明文件不符合项目要求的；</w:t>
            </w:r>
          </w:p>
        </w:tc>
        <w:tc>
          <w:tcPr>
            <w:tcW w:w="625"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6" w:space="0"/>
              <w:right w:val="single" w:color="auto" w:sz="4"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4" w:space="0"/>
              <w:bottom w:val="single" w:color="auto" w:sz="6" w:space="0"/>
              <w:right w:val="single" w:color="auto" w:sz="12" w:space="0"/>
            </w:tcBorders>
          </w:tcPr>
          <w:p>
            <w:pPr>
              <w:spacing w:line="360" w:lineRule="auto"/>
              <w:rPr>
                <w:rFonts w:ascii="楷体" w:hAnsi="楷体" w:eastAsia="楷体" w:cs="楷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7100" w:type="dxa"/>
            <w:gridSpan w:val="2"/>
            <w:tcBorders>
              <w:top w:val="single" w:color="auto" w:sz="6" w:space="0"/>
              <w:left w:val="single" w:color="auto" w:sz="12" w:space="0"/>
              <w:bottom w:val="single" w:color="auto" w:sz="12" w:space="0"/>
              <w:right w:val="single" w:color="auto" w:sz="4" w:space="0"/>
            </w:tcBorders>
          </w:tcPr>
          <w:p>
            <w:pPr>
              <w:spacing w:line="360" w:lineRule="auto"/>
              <w:rPr>
                <w:rFonts w:ascii="楷体" w:hAnsi="楷体" w:eastAsia="楷体" w:cs="楷体"/>
                <w:bCs/>
                <w:szCs w:val="21"/>
              </w:rPr>
            </w:pPr>
            <w:r>
              <w:rPr>
                <w:rFonts w:hint="eastAsia" w:ascii="楷体" w:hAnsi="楷体" w:eastAsia="楷体" w:cs="楷体"/>
                <w:bCs/>
                <w:szCs w:val="21"/>
              </w:rPr>
              <w:t>结论：是否通过评审</w:t>
            </w:r>
          </w:p>
          <w:p>
            <w:pPr>
              <w:spacing w:line="360" w:lineRule="auto"/>
              <w:rPr>
                <w:rFonts w:ascii="楷体" w:hAnsi="楷体" w:eastAsia="楷体" w:cs="楷体"/>
                <w:kern w:val="0"/>
                <w:szCs w:val="21"/>
              </w:rPr>
            </w:pPr>
            <w:r>
              <w:rPr>
                <w:rFonts w:hint="eastAsia" w:ascii="楷体" w:hAnsi="楷体" w:eastAsia="楷体" w:cs="楷体"/>
                <w:bCs/>
                <w:szCs w:val="21"/>
              </w:rPr>
              <w:t>未通过初步评审的，为无效投标。</w:t>
            </w:r>
          </w:p>
        </w:tc>
        <w:tc>
          <w:tcPr>
            <w:tcW w:w="625" w:type="dxa"/>
            <w:tcBorders>
              <w:top w:val="single" w:color="auto" w:sz="6" w:space="0"/>
              <w:left w:val="single" w:color="auto" w:sz="4" w:space="0"/>
              <w:bottom w:val="single" w:color="auto" w:sz="12" w:space="0"/>
              <w:right w:val="single" w:color="auto" w:sz="4" w:space="0"/>
            </w:tcBorders>
          </w:tcPr>
          <w:p>
            <w:pPr>
              <w:spacing w:line="360" w:lineRule="auto"/>
              <w:rPr>
                <w:rFonts w:ascii="楷体" w:hAnsi="楷体" w:eastAsia="楷体" w:cs="楷体"/>
                <w:kern w:val="0"/>
                <w:szCs w:val="21"/>
              </w:rPr>
            </w:pPr>
          </w:p>
        </w:tc>
        <w:tc>
          <w:tcPr>
            <w:tcW w:w="643" w:type="dxa"/>
            <w:tcBorders>
              <w:top w:val="single" w:color="auto" w:sz="6" w:space="0"/>
              <w:left w:val="single" w:color="auto" w:sz="4" w:space="0"/>
              <w:bottom w:val="single" w:color="auto" w:sz="12" w:space="0"/>
              <w:right w:val="single" w:color="auto" w:sz="6" w:space="0"/>
            </w:tcBorders>
          </w:tcPr>
          <w:p>
            <w:pPr>
              <w:spacing w:line="360" w:lineRule="auto"/>
              <w:rPr>
                <w:rFonts w:ascii="楷体" w:hAnsi="楷体" w:eastAsia="楷体" w:cs="楷体"/>
                <w:kern w:val="0"/>
                <w:szCs w:val="21"/>
              </w:rPr>
            </w:pPr>
          </w:p>
        </w:tc>
        <w:tc>
          <w:tcPr>
            <w:tcW w:w="534" w:type="dxa"/>
            <w:tcBorders>
              <w:top w:val="single" w:color="auto" w:sz="6" w:space="0"/>
              <w:left w:val="single" w:color="auto" w:sz="6" w:space="0"/>
              <w:bottom w:val="single" w:color="auto" w:sz="12" w:space="0"/>
              <w:right w:val="single" w:color="auto" w:sz="6" w:space="0"/>
            </w:tcBorders>
          </w:tcPr>
          <w:p>
            <w:pPr>
              <w:spacing w:line="360" w:lineRule="auto"/>
              <w:rPr>
                <w:rFonts w:ascii="楷体" w:hAnsi="楷体" w:eastAsia="楷体" w:cs="楷体"/>
                <w:kern w:val="0"/>
                <w:szCs w:val="21"/>
              </w:rPr>
            </w:pPr>
          </w:p>
        </w:tc>
        <w:tc>
          <w:tcPr>
            <w:tcW w:w="670" w:type="dxa"/>
            <w:tcBorders>
              <w:top w:val="single" w:color="auto" w:sz="6" w:space="0"/>
              <w:left w:val="single" w:color="auto" w:sz="6" w:space="0"/>
              <w:bottom w:val="single" w:color="auto" w:sz="12" w:space="0"/>
              <w:right w:val="single" w:color="auto" w:sz="12" w:space="0"/>
            </w:tcBorders>
          </w:tcPr>
          <w:p>
            <w:pPr>
              <w:spacing w:line="360" w:lineRule="auto"/>
              <w:rPr>
                <w:rFonts w:ascii="楷体" w:hAnsi="楷体" w:eastAsia="楷体" w:cs="楷体"/>
                <w:kern w:val="0"/>
                <w:szCs w:val="21"/>
              </w:rPr>
            </w:pPr>
          </w:p>
        </w:tc>
      </w:tr>
    </w:tbl>
    <w:p>
      <w:pPr>
        <w:spacing w:line="360" w:lineRule="auto"/>
        <w:jc w:val="center"/>
        <w:outlineLvl w:val="0"/>
        <w:rPr>
          <w:rFonts w:ascii="楷体" w:hAnsi="楷体" w:eastAsia="楷体" w:cs="楷体"/>
          <w:b/>
          <w:sz w:val="24"/>
        </w:rPr>
      </w:pPr>
      <w:bookmarkStart w:id="381" w:name="_Toc22492"/>
    </w:p>
    <w:p>
      <w:pPr>
        <w:spacing w:line="360" w:lineRule="auto"/>
        <w:jc w:val="center"/>
        <w:outlineLvl w:val="0"/>
        <w:rPr>
          <w:rFonts w:ascii="楷体" w:hAnsi="楷体" w:eastAsia="楷体" w:cs="楷体"/>
          <w:b/>
          <w:sz w:val="24"/>
        </w:rPr>
      </w:pPr>
    </w:p>
    <w:bookmarkEnd w:id="381"/>
    <w:tbl>
      <w:tblPr>
        <w:tblStyle w:val="25"/>
        <w:tblW w:w="9287" w:type="dxa"/>
        <w:tblInd w:w="0" w:type="dxa"/>
        <w:tblLayout w:type="fixed"/>
        <w:tblCellMar>
          <w:top w:w="0" w:type="dxa"/>
          <w:left w:w="108" w:type="dxa"/>
          <w:bottom w:w="0" w:type="dxa"/>
          <w:right w:w="108" w:type="dxa"/>
        </w:tblCellMar>
      </w:tblPr>
      <w:tblGrid>
        <w:gridCol w:w="2268"/>
        <w:gridCol w:w="3174"/>
        <w:gridCol w:w="1334"/>
        <w:gridCol w:w="1298"/>
        <w:gridCol w:w="1213"/>
      </w:tblGrid>
      <w:tr>
        <w:tblPrEx>
          <w:tblCellMar>
            <w:top w:w="0" w:type="dxa"/>
            <w:left w:w="108" w:type="dxa"/>
            <w:bottom w:w="0" w:type="dxa"/>
            <w:right w:w="108" w:type="dxa"/>
          </w:tblCellMar>
        </w:tblPrEx>
        <w:trPr>
          <w:trHeight w:val="585" w:hRule="atLeast"/>
        </w:trPr>
        <w:tc>
          <w:tcPr>
            <w:tcW w:w="9287" w:type="dxa"/>
            <w:gridSpan w:val="5"/>
            <w:tcBorders>
              <w:top w:val="nil"/>
              <w:left w:val="nil"/>
              <w:bottom w:val="single" w:color="auto" w:sz="4" w:space="0"/>
              <w:right w:val="nil"/>
            </w:tcBorders>
            <w:vAlign w:val="center"/>
          </w:tcPr>
          <w:p>
            <w:pPr>
              <w:widowControl/>
              <w:jc w:val="center"/>
              <w:rPr>
                <w:rFonts w:ascii="楷体" w:hAnsi="楷体" w:eastAsia="楷体" w:cs="楷体"/>
                <w:b/>
                <w:bCs/>
                <w:kern w:val="0"/>
                <w:sz w:val="32"/>
                <w:szCs w:val="32"/>
              </w:rPr>
            </w:pPr>
            <w:r>
              <w:rPr>
                <w:rFonts w:hint="eastAsia" w:ascii="楷体" w:hAnsi="楷体" w:eastAsia="楷体" w:cs="楷体"/>
                <w:b/>
                <w:sz w:val="24"/>
              </w:rPr>
              <w:t>附表二、商务符合性审查表</w:t>
            </w:r>
          </w:p>
        </w:tc>
      </w:tr>
      <w:tr>
        <w:tblPrEx>
          <w:tblCellMar>
            <w:top w:w="0" w:type="dxa"/>
            <w:left w:w="108" w:type="dxa"/>
            <w:bottom w:w="0" w:type="dxa"/>
            <w:right w:w="108" w:type="dxa"/>
          </w:tblCellMar>
        </w:tblPrEx>
        <w:trPr>
          <w:trHeight w:val="754" w:hRule="atLeast"/>
        </w:trPr>
        <w:tc>
          <w:tcPr>
            <w:tcW w:w="54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b/>
                <w:kern w:val="0"/>
                <w:sz w:val="22"/>
                <w:szCs w:val="22"/>
              </w:rPr>
            </w:pPr>
            <w:r>
              <w:rPr>
                <w:rFonts w:hint="eastAsia" w:ascii="楷体" w:hAnsi="楷体" w:eastAsia="楷体" w:cs="楷体"/>
                <w:b/>
                <w:kern w:val="0"/>
                <w:sz w:val="22"/>
                <w:szCs w:val="22"/>
              </w:rPr>
              <w:t>审查事项</w:t>
            </w:r>
          </w:p>
        </w:tc>
        <w:tc>
          <w:tcPr>
            <w:tcW w:w="38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b/>
                <w:kern w:val="0"/>
                <w:sz w:val="22"/>
                <w:szCs w:val="22"/>
              </w:rPr>
            </w:pPr>
            <w:r>
              <w:rPr>
                <w:rFonts w:hint="eastAsia" w:ascii="楷体" w:hAnsi="楷体" w:eastAsia="楷体" w:cs="楷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b/>
                <w:kern w:val="0"/>
                <w:sz w:val="22"/>
                <w:szCs w:val="22"/>
              </w:rPr>
            </w:pPr>
            <w:r>
              <w:rPr>
                <w:rFonts w:hint="eastAsia" w:ascii="楷体" w:hAnsi="楷体" w:eastAsia="楷体" w:cs="楷体"/>
                <w:b/>
                <w:kern w:val="0"/>
                <w:sz w:val="22"/>
                <w:szCs w:val="22"/>
              </w:rPr>
              <w:t>招标文件条款（投标人须知、投标人须知资料表条款号）</w:t>
            </w:r>
          </w:p>
        </w:tc>
        <w:tc>
          <w:tcPr>
            <w:tcW w:w="3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b/>
                <w:kern w:val="0"/>
                <w:sz w:val="22"/>
                <w:szCs w:val="22"/>
              </w:rPr>
            </w:pPr>
            <w:r>
              <w:rPr>
                <w:rFonts w:hint="eastAsia" w:ascii="楷体" w:hAnsi="楷体" w:eastAsia="楷体" w:cs="楷体"/>
                <w:b/>
                <w:kern w:val="0"/>
                <w:sz w:val="22"/>
                <w:szCs w:val="22"/>
              </w:rPr>
              <w:t>本项目要求</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投标人1</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投标人2</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w:t>
            </w:r>
          </w:p>
        </w:tc>
      </w:tr>
      <w:tr>
        <w:tblPrEx>
          <w:tblCellMar>
            <w:top w:w="0" w:type="dxa"/>
            <w:left w:w="108" w:type="dxa"/>
            <w:bottom w:w="0" w:type="dxa"/>
            <w:right w:w="108" w:type="dxa"/>
          </w:tblCellMar>
        </w:tblPrEx>
        <w:trPr>
          <w:trHeight w:val="9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中小企业投标要求（1.3.6）</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kern w:val="0"/>
                <w:szCs w:val="21"/>
              </w:rPr>
              <w:t>本项</w:t>
            </w:r>
            <w:r>
              <w:rPr>
                <w:rFonts w:hint="eastAsia" w:ascii="楷体" w:hAnsi="楷体" w:eastAsia="楷体" w:cs="楷体"/>
                <w:i/>
                <w:iCs/>
                <w:kern w:val="0"/>
                <w:szCs w:val="21"/>
                <w:u w:val="single"/>
              </w:rPr>
              <w:t>不适用</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联合体投标规定</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（1.4）</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kern w:val="0"/>
                <w:szCs w:val="21"/>
              </w:rPr>
              <w:t>本项目</w:t>
            </w:r>
            <w:r>
              <w:rPr>
                <w:rFonts w:hint="eastAsia" w:ascii="楷体" w:hAnsi="楷体" w:eastAsia="楷体" w:cs="楷体"/>
                <w:i/>
                <w:iCs/>
                <w:kern w:val="0"/>
                <w:szCs w:val="21"/>
                <w:u w:val="single"/>
              </w:rPr>
              <w:t>不接受</w:t>
            </w:r>
            <w:r>
              <w:rPr>
                <w:rFonts w:hint="eastAsia" w:ascii="楷体" w:hAnsi="楷体" w:eastAsia="楷体" w:cs="楷体"/>
                <w:kern w:val="0"/>
                <w:szCs w:val="21"/>
              </w:rPr>
              <w:t>联合体投标</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投标人的关联性</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（1.5）</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kern w:val="0"/>
                <w:szCs w:val="21"/>
              </w:rPr>
              <w:t>在同一标包内，单位负责人为非同一人或者不存在直接控股、管理关系的不同供应商。</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未发现影响采购人决策行为（1.5）</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投标人在投标过程中未向采购人提供、给予任何有价值的物品，影响其正常决策行为。</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满足投标范围的完整性要求</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（8.1）</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投标人对所投分包招标文件中所列的所有内容进行投标。</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未包含价格调整要求</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（11.4）</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投标人所报的各分项投标报价在合同履行过程中是固定不变的，不得以任何理由予以变更。</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投标保证金（12.1）</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szCs w:val="21"/>
              </w:rPr>
            </w:pPr>
            <w:r>
              <w:rPr>
                <w:rFonts w:hint="eastAsia" w:ascii="楷体" w:hAnsi="楷体" w:eastAsia="楷体" w:cs="楷体"/>
                <w:szCs w:val="21"/>
              </w:rPr>
              <w:t>符合招标文件要求</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投标有效期满足要求</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（13.1）</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自提交投标文件截止之日起</w:t>
            </w:r>
            <w:r>
              <w:rPr>
                <w:rFonts w:hint="eastAsia" w:ascii="楷体" w:hAnsi="楷体" w:eastAsia="楷体" w:cs="楷体"/>
                <w:i/>
                <w:iCs/>
                <w:szCs w:val="21"/>
                <w:u w:val="single"/>
              </w:rPr>
              <w:t>90</w:t>
            </w:r>
            <w:r>
              <w:rPr>
                <w:rFonts w:hint="eastAsia" w:ascii="楷体" w:hAnsi="楷体" w:eastAsia="楷体" w:cs="楷体"/>
                <w:szCs w:val="21"/>
                <w:u w:val="single"/>
              </w:rPr>
              <w:t>日</w:t>
            </w:r>
            <w:r>
              <w:rPr>
                <w:rFonts w:hint="eastAsia" w:ascii="楷体" w:hAnsi="楷体" w:eastAsia="楷体" w:cs="楷体"/>
                <w:szCs w:val="21"/>
              </w:rPr>
              <w:t>历日内</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投标文件的装订方式</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（14.3）</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所有投标文件采用不可拆装的胶订方式装订</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7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投标文件的签署和盖章符合要求</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（14.2、14.4）</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szCs w:val="21"/>
              </w:rPr>
            </w:pPr>
            <w:r>
              <w:rPr>
                <w:rFonts w:hint="eastAsia" w:ascii="楷体" w:hAnsi="楷体" w:eastAsia="楷体" w:cs="楷体"/>
                <w:szCs w:val="21"/>
              </w:rPr>
              <w:t>按照招标文件规定要求签署、盖章。</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接受价格的算术修正</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（20.3）</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投标文件报价出现前后不一致的，应按照招标文件规定的顺序修正。修正后的报价经投标人确认后产生约束力。</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符合强制采购节能产品要求</w:t>
            </w:r>
          </w:p>
          <w:p>
            <w:pPr>
              <w:widowControl/>
              <w:jc w:val="center"/>
              <w:rPr>
                <w:rFonts w:ascii="楷体" w:hAnsi="楷体" w:eastAsia="楷体" w:cs="楷体"/>
                <w:kern w:val="0"/>
                <w:sz w:val="22"/>
                <w:szCs w:val="22"/>
              </w:rPr>
            </w:pPr>
            <w:r>
              <w:rPr>
                <w:rFonts w:hint="eastAsia" w:ascii="楷体" w:hAnsi="楷体" w:eastAsia="楷体" w:cs="楷体"/>
                <w:kern w:val="0"/>
                <w:sz w:val="22"/>
                <w:szCs w:val="22"/>
              </w:rPr>
              <w:t>（20.6）</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kern w:val="0"/>
                <w:szCs w:val="21"/>
              </w:rPr>
              <w:t>本项目</w:t>
            </w:r>
            <w:r>
              <w:rPr>
                <w:rFonts w:hint="eastAsia" w:ascii="楷体" w:hAnsi="楷体" w:eastAsia="楷体" w:cs="楷体"/>
                <w:i/>
                <w:iCs/>
                <w:kern w:val="0"/>
                <w:szCs w:val="21"/>
                <w:u w:val="single"/>
              </w:rPr>
              <w:t>适用或不适用</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未发现串通投标（22.2）</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未与其他投标人串通投标，或者与招标人串通投标。</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报价说明可以接受（22.2）</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投标人的报价明显低于其他通过符合性检查投标人的报价，有可能影响履约的，投标人能按照规定证明其报价合理性。</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r>
              <w:rPr>
                <w:rFonts w:hint="eastAsia" w:ascii="楷体" w:hAnsi="楷体" w:eastAsia="楷体" w:cs="楷体"/>
                <w:kern w:val="0"/>
                <w:sz w:val="22"/>
                <w:szCs w:val="22"/>
              </w:rPr>
              <w:t>　</w:t>
            </w:r>
          </w:p>
        </w:tc>
      </w:tr>
      <w:tr>
        <w:tblPrEx>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2"/>
                <w:szCs w:val="22"/>
              </w:rPr>
            </w:pPr>
            <w:r>
              <w:rPr>
                <w:rFonts w:hint="eastAsia" w:ascii="楷体" w:hAnsi="楷体" w:eastAsia="楷体" w:cs="楷体"/>
                <w:sz w:val="22"/>
                <w:szCs w:val="22"/>
              </w:rPr>
              <w:t>无采购人不能接受的附加条件（22.2）</w:t>
            </w:r>
          </w:p>
        </w:tc>
        <w:tc>
          <w:tcPr>
            <w:tcW w:w="317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Cs w:val="21"/>
              </w:rPr>
            </w:pPr>
            <w:r>
              <w:rPr>
                <w:rFonts w:hint="eastAsia" w:ascii="楷体" w:hAnsi="楷体" w:eastAsia="楷体" w:cs="楷体"/>
                <w:szCs w:val="21"/>
              </w:rPr>
              <w:t>投标文件未含有采购人不能接受的附加条件。</w:t>
            </w:r>
          </w:p>
        </w:tc>
        <w:tc>
          <w:tcPr>
            <w:tcW w:w="133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98"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c>
          <w:tcPr>
            <w:tcW w:w="1213"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2"/>
                <w:szCs w:val="22"/>
              </w:rPr>
            </w:pPr>
          </w:p>
        </w:tc>
      </w:tr>
      <w:tr>
        <w:tblPrEx>
          <w:tblCellMar>
            <w:top w:w="0" w:type="dxa"/>
            <w:left w:w="108" w:type="dxa"/>
            <w:bottom w:w="0" w:type="dxa"/>
            <w:right w:w="108" w:type="dxa"/>
          </w:tblCellMar>
        </w:tblPrEx>
        <w:trPr>
          <w:trHeight w:val="774" w:hRule="atLeast"/>
        </w:trPr>
        <w:tc>
          <w:tcPr>
            <w:tcW w:w="54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b/>
                <w:szCs w:val="21"/>
              </w:rPr>
            </w:pPr>
            <w:r>
              <w:rPr>
                <w:rFonts w:hint="eastAsia" w:ascii="楷体" w:hAnsi="楷体" w:eastAsia="楷体" w:cs="楷体"/>
                <w:b/>
                <w:kern w:val="0"/>
                <w:sz w:val="22"/>
                <w:szCs w:val="22"/>
              </w:rPr>
              <w:t>结论</w:t>
            </w:r>
          </w:p>
        </w:tc>
        <w:tc>
          <w:tcPr>
            <w:tcW w:w="1334"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p>
        </w:tc>
        <w:tc>
          <w:tcPr>
            <w:tcW w:w="1298"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2"/>
                <w:szCs w:val="22"/>
              </w:rPr>
            </w:pPr>
          </w:p>
        </w:tc>
      </w:tr>
    </w:tbl>
    <w:p>
      <w:pPr>
        <w:pStyle w:val="3"/>
        <w:tabs>
          <w:tab w:val="clear" w:pos="567"/>
        </w:tabs>
        <w:spacing w:before="0" w:line="360" w:lineRule="auto"/>
        <w:rPr>
          <w:rFonts w:ascii="楷体" w:hAnsi="楷体" w:eastAsia="楷体" w:cs="楷体"/>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pStyle w:val="20"/>
        <w:rPr>
          <w:rFonts w:ascii="微软雅黑" w:hAnsi="微软雅黑" w:eastAsia="微软雅黑" w:cs="微软雅黑"/>
        </w:rPr>
      </w:pPr>
    </w:p>
    <w:p>
      <w:pPr>
        <w:widowControl/>
        <w:jc w:val="center"/>
        <w:rPr>
          <w:rFonts w:ascii="楷体" w:hAnsi="楷体" w:eastAsia="楷体" w:cs="楷体"/>
          <w:b/>
          <w:bCs/>
          <w:kern w:val="0"/>
          <w:sz w:val="32"/>
          <w:szCs w:val="32"/>
        </w:rPr>
      </w:pPr>
      <w:r>
        <w:rPr>
          <w:rFonts w:hint="eastAsia" w:ascii="楷体" w:hAnsi="楷体" w:eastAsia="楷体" w:cs="楷体"/>
          <w:b/>
          <w:bCs/>
          <w:kern w:val="0"/>
          <w:sz w:val="32"/>
          <w:szCs w:val="32"/>
        </w:rPr>
        <w:t>表三、综合评分法评分标准</w:t>
      </w:r>
    </w:p>
    <w:tbl>
      <w:tblPr>
        <w:tblStyle w:val="25"/>
        <w:tblW w:w="102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5"/>
        <w:gridCol w:w="1118"/>
        <w:gridCol w:w="1179"/>
        <w:gridCol w:w="6095"/>
        <w:gridCol w:w="708"/>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193"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序号</w:t>
            </w:r>
          </w:p>
        </w:tc>
        <w:tc>
          <w:tcPr>
            <w:tcW w:w="54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考核项目</w:t>
            </w:r>
          </w:p>
        </w:tc>
        <w:tc>
          <w:tcPr>
            <w:tcW w:w="57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分值</w:t>
            </w:r>
          </w:p>
        </w:tc>
        <w:tc>
          <w:tcPr>
            <w:tcW w:w="2987"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评分标准</w:t>
            </w:r>
          </w:p>
        </w:tc>
        <w:tc>
          <w:tcPr>
            <w:tcW w:w="347"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投标人</w:t>
            </w:r>
          </w:p>
        </w:tc>
        <w:tc>
          <w:tcPr>
            <w:tcW w:w="347"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93"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一</w:t>
            </w:r>
          </w:p>
        </w:tc>
        <w:tc>
          <w:tcPr>
            <w:tcW w:w="54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技术部分</w:t>
            </w:r>
          </w:p>
        </w:tc>
        <w:tc>
          <w:tcPr>
            <w:tcW w:w="57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60分</w:t>
            </w:r>
          </w:p>
        </w:tc>
        <w:tc>
          <w:tcPr>
            <w:tcW w:w="2987"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具体按下列标准要求进行评审</w:t>
            </w:r>
          </w:p>
        </w:tc>
        <w:tc>
          <w:tcPr>
            <w:tcW w:w="347" w:type="pct"/>
            <w:noWrap/>
            <w:vAlign w:val="center"/>
          </w:tcPr>
          <w:p>
            <w:pPr>
              <w:pStyle w:val="36"/>
              <w:spacing w:before="0" w:after="0" w:line="240" w:lineRule="auto"/>
              <w:ind w:firstLine="0"/>
              <w:jc w:val="center"/>
              <w:rPr>
                <w:rFonts w:ascii="楷体" w:hAnsi="楷体" w:eastAsia="楷体" w:cs="楷体"/>
                <w:color w:val="000000"/>
                <w:sz w:val="18"/>
                <w:szCs w:val="18"/>
              </w:rPr>
            </w:pPr>
          </w:p>
        </w:tc>
        <w:tc>
          <w:tcPr>
            <w:tcW w:w="347" w:type="pct"/>
            <w:noWrap/>
            <w:vAlign w:val="center"/>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40" w:hRule="atLeast"/>
          <w:jc w:val="center"/>
        </w:trPr>
        <w:tc>
          <w:tcPr>
            <w:tcW w:w="193" w:type="pct"/>
            <w:vMerge w:val="restar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1</w:t>
            </w:r>
          </w:p>
        </w:tc>
        <w:tc>
          <w:tcPr>
            <w:tcW w:w="548" w:type="pct"/>
            <w:vMerge w:val="restar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技术评价评分标准（60分）</w:t>
            </w:r>
          </w:p>
        </w:tc>
        <w:tc>
          <w:tcPr>
            <w:tcW w:w="578" w:type="pct"/>
            <w:noWrap/>
            <w:vAlign w:val="center"/>
          </w:tcPr>
          <w:p>
            <w:pPr>
              <w:spacing w:line="300" w:lineRule="exact"/>
              <w:jc w:val="center"/>
              <w:rPr>
                <w:rFonts w:ascii="楷体" w:hAnsi="楷体" w:eastAsia="楷体" w:cs="楷体"/>
                <w:color w:val="000000"/>
                <w:sz w:val="18"/>
                <w:szCs w:val="18"/>
              </w:rPr>
            </w:pPr>
            <w:r>
              <w:rPr>
                <w:rFonts w:hint="eastAsia" w:ascii="楷体" w:hAnsi="楷体" w:eastAsia="楷体" w:cs="楷体"/>
                <w:color w:val="000000"/>
                <w:sz w:val="18"/>
                <w:szCs w:val="18"/>
              </w:rPr>
              <w:t>服务方案（30分）</w:t>
            </w:r>
          </w:p>
        </w:tc>
        <w:tc>
          <w:tcPr>
            <w:tcW w:w="2987" w:type="pct"/>
            <w:noWrap/>
            <w:vAlign w:val="center"/>
          </w:tcPr>
          <w:p>
            <w:pPr>
              <w:spacing w:line="300" w:lineRule="exact"/>
              <w:jc w:val="left"/>
              <w:rPr>
                <w:rFonts w:ascii="楷体" w:hAnsi="楷体" w:eastAsia="楷体" w:cs="楷体"/>
                <w:color w:val="000000"/>
                <w:sz w:val="18"/>
                <w:szCs w:val="18"/>
              </w:rPr>
            </w:pPr>
            <w:r>
              <w:rPr>
                <w:rFonts w:hint="eastAsia" w:ascii="楷体" w:hAnsi="楷体" w:eastAsia="楷体" w:cs="楷体"/>
                <w:color w:val="000000"/>
                <w:sz w:val="18"/>
                <w:szCs w:val="18"/>
              </w:rPr>
              <w:t>根据医院实际情况做出有针对性的、具体可行的维保服务详细方案和组织保障措施。对本项目的了解及熟悉程度，对项目重点、难点分析透彻并有完善的解决方案，优得21-30分，一般得11-20分，差得0-10分</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8" w:hRule="atLeast"/>
          <w:jc w:val="center"/>
        </w:trPr>
        <w:tc>
          <w:tcPr>
            <w:tcW w:w="193"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48"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78" w:type="pct"/>
            <w:noWrap/>
            <w:vAlign w:val="center"/>
          </w:tcPr>
          <w:p>
            <w:pPr>
              <w:spacing w:line="300" w:lineRule="exact"/>
              <w:jc w:val="center"/>
              <w:rPr>
                <w:rFonts w:ascii="楷体" w:hAnsi="楷体" w:eastAsia="楷体" w:cs="楷体"/>
                <w:color w:val="000000"/>
                <w:sz w:val="18"/>
                <w:szCs w:val="18"/>
              </w:rPr>
            </w:pPr>
            <w:r>
              <w:rPr>
                <w:rFonts w:hint="eastAsia" w:ascii="楷体" w:hAnsi="楷体" w:eastAsia="楷体" w:cs="楷体"/>
                <w:color w:val="000000"/>
                <w:sz w:val="18"/>
                <w:szCs w:val="18"/>
              </w:rPr>
              <w:t>服务能力</w:t>
            </w:r>
          </w:p>
          <w:p>
            <w:pPr>
              <w:spacing w:line="300" w:lineRule="exact"/>
              <w:jc w:val="center"/>
            </w:pPr>
            <w:r>
              <w:rPr>
                <w:rFonts w:hint="eastAsia" w:ascii="楷体" w:hAnsi="楷体" w:eastAsia="楷体" w:cs="楷体"/>
                <w:color w:val="000000"/>
                <w:sz w:val="18"/>
                <w:szCs w:val="18"/>
              </w:rPr>
              <w:t>（10分）</w:t>
            </w:r>
          </w:p>
        </w:tc>
        <w:tc>
          <w:tcPr>
            <w:tcW w:w="2987" w:type="pct"/>
            <w:noWrap/>
            <w:vAlign w:val="center"/>
          </w:tcPr>
          <w:p>
            <w:pPr>
              <w:spacing w:line="300" w:lineRule="exact"/>
              <w:jc w:val="left"/>
              <w:rPr>
                <w:rFonts w:ascii="楷体" w:hAnsi="楷体" w:eastAsia="楷体" w:cs="楷体"/>
                <w:color w:val="000000"/>
                <w:sz w:val="18"/>
                <w:szCs w:val="18"/>
              </w:rPr>
            </w:pPr>
            <w:r>
              <w:rPr>
                <w:rFonts w:hint="eastAsia" w:ascii="楷体" w:hAnsi="楷体" w:eastAsia="楷体" w:cs="楷体"/>
                <w:color w:val="000000"/>
                <w:sz w:val="18"/>
                <w:szCs w:val="18"/>
              </w:rPr>
              <w:t>有完善的外包团队考核管理制度，人员及备件应急预案，优得8-10分，一般得4-7，差得0-3分。</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8" w:hRule="atLeast"/>
          <w:jc w:val="center"/>
        </w:trPr>
        <w:tc>
          <w:tcPr>
            <w:tcW w:w="193"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48"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78" w:type="pct"/>
            <w:noWrap/>
            <w:vAlign w:val="center"/>
          </w:tcPr>
          <w:p>
            <w:pPr>
              <w:spacing w:line="300" w:lineRule="exact"/>
              <w:jc w:val="center"/>
              <w:rPr>
                <w:rFonts w:ascii="楷体" w:hAnsi="楷体" w:eastAsia="楷体" w:cs="楷体"/>
                <w:color w:val="000000"/>
                <w:sz w:val="18"/>
                <w:szCs w:val="18"/>
              </w:rPr>
            </w:pPr>
            <w:r>
              <w:rPr>
                <w:rFonts w:hint="eastAsia" w:ascii="楷体" w:hAnsi="楷体" w:eastAsia="楷体" w:cs="楷体"/>
                <w:color w:val="000000"/>
                <w:sz w:val="18"/>
                <w:szCs w:val="18"/>
              </w:rPr>
              <w:t>人员配置（10分）</w:t>
            </w:r>
          </w:p>
        </w:tc>
        <w:tc>
          <w:tcPr>
            <w:tcW w:w="2987" w:type="pct"/>
            <w:noWrap/>
            <w:vAlign w:val="center"/>
          </w:tcPr>
          <w:p>
            <w:pPr>
              <w:spacing w:line="300" w:lineRule="exact"/>
              <w:jc w:val="left"/>
              <w:rPr>
                <w:rFonts w:ascii="楷体" w:hAnsi="楷体" w:eastAsia="楷体" w:cs="楷体"/>
                <w:color w:val="000000"/>
                <w:sz w:val="18"/>
                <w:szCs w:val="18"/>
              </w:rPr>
            </w:pPr>
            <w:r>
              <w:rPr>
                <w:rFonts w:hint="eastAsia" w:ascii="楷体" w:hAnsi="楷体" w:eastAsia="楷体" w:cs="楷体"/>
                <w:color w:val="000000"/>
                <w:sz w:val="18"/>
                <w:szCs w:val="18"/>
              </w:rPr>
              <w:t>投标单位拟投入本项目的维护保养人员数量（提供成员详细社保信息），在人员配置与分工、技术能力（资质）等方面综合考虑，证明材料完整，能充分满足本项目需求的得8-10分；较能满足本项目需求的得4-7分；基本满足本项目需求的得0-3分。</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193"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48"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7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备件配送能力保障（5分）</w:t>
            </w:r>
          </w:p>
        </w:tc>
        <w:tc>
          <w:tcPr>
            <w:tcW w:w="2987" w:type="pct"/>
            <w:noWrap/>
          </w:tcPr>
          <w:p>
            <w:pPr>
              <w:rPr>
                <w:rFonts w:ascii="楷体" w:hAnsi="楷体" w:eastAsia="楷体" w:cs="楷体"/>
                <w:color w:val="000000"/>
                <w:sz w:val="18"/>
                <w:szCs w:val="18"/>
              </w:rPr>
            </w:pPr>
            <w:r>
              <w:rPr>
                <w:rFonts w:hint="eastAsia" w:ascii="楷体" w:hAnsi="楷体" w:eastAsia="楷体" w:cs="楷体"/>
                <w:color w:val="000000"/>
                <w:sz w:val="18"/>
                <w:szCs w:val="18"/>
              </w:rPr>
              <w:t xml:space="preserve">投标人为本项目提供至少 1 辆配送车辆的得5 分；没有不得分。 </w:t>
            </w:r>
          </w:p>
          <w:p>
            <w:pPr>
              <w:spacing w:line="300" w:lineRule="exact"/>
              <w:jc w:val="left"/>
              <w:rPr>
                <w:rFonts w:ascii="楷体" w:hAnsi="楷体" w:eastAsia="楷体" w:cs="楷体"/>
                <w:color w:val="000000"/>
                <w:sz w:val="18"/>
                <w:szCs w:val="18"/>
              </w:rPr>
            </w:pPr>
            <w:r>
              <w:rPr>
                <w:rFonts w:hint="eastAsia" w:ascii="楷体" w:hAnsi="楷体" w:eastAsia="楷体" w:cs="楷体"/>
                <w:color w:val="000000"/>
                <w:sz w:val="18"/>
                <w:szCs w:val="18"/>
              </w:rPr>
              <w:t>公司自有车辆须提供车辆行驶证及车辆照片，租赁车辆要求提供租赁合同、行驶证及车辆照片，复印件加盖公章。不清晰或未提供不得分。</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193"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48" w:type="pct"/>
            <w:vMerge w:val="continue"/>
            <w:noWrap/>
            <w:vAlign w:val="center"/>
          </w:tcPr>
          <w:p>
            <w:pPr>
              <w:pStyle w:val="36"/>
              <w:spacing w:before="0" w:after="0" w:line="240" w:lineRule="auto"/>
              <w:ind w:firstLine="0"/>
              <w:jc w:val="center"/>
              <w:rPr>
                <w:rFonts w:ascii="楷体" w:hAnsi="楷体" w:eastAsia="楷体" w:cs="楷体"/>
                <w:color w:val="000000"/>
                <w:sz w:val="18"/>
                <w:szCs w:val="18"/>
              </w:rPr>
            </w:pPr>
          </w:p>
        </w:tc>
        <w:tc>
          <w:tcPr>
            <w:tcW w:w="57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现场勘查证明（5分）</w:t>
            </w:r>
          </w:p>
        </w:tc>
        <w:tc>
          <w:tcPr>
            <w:tcW w:w="2987" w:type="pct"/>
            <w:noWrap/>
          </w:tcPr>
          <w:p>
            <w:pPr>
              <w:spacing w:line="300" w:lineRule="exact"/>
              <w:jc w:val="left"/>
              <w:rPr>
                <w:rFonts w:ascii="楷体" w:hAnsi="楷体" w:eastAsia="楷体" w:cs="楷体"/>
                <w:color w:val="000000"/>
                <w:sz w:val="18"/>
                <w:szCs w:val="18"/>
              </w:rPr>
            </w:pPr>
            <w:r>
              <w:rPr>
                <w:rFonts w:hint="eastAsia" w:ascii="楷体" w:hAnsi="楷体" w:eastAsia="楷体" w:cs="楷体"/>
                <w:color w:val="000000"/>
                <w:sz w:val="18"/>
                <w:szCs w:val="18"/>
              </w:rPr>
              <w:t>投标人应自行到采购人处了解项目情况，提供针对性的实施方案，并提供现场勘查证明。投标人提供现场勘查证明，得5分，不提供得0分</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93"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二</w:t>
            </w:r>
          </w:p>
        </w:tc>
        <w:tc>
          <w:tcPr>
            <w:tcW w:w="54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商务部分</w:t>
            </w:r>
          </w:p>
        </w:tc>
        <w:tc>
          <w:tcPr>
            <w:tcW w:w="578"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30分</w:t>
            </w:r>
          </w:p>
        </w:tc>
        <w:tc>
          <w:tcPr>
            <w:tcW w:w="2987" w:type="pct"/>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具体按下列标准要求进行评审</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93" w:type="pct"/>
            <w:tcBorders>
              <w:top w:val="single" w:color="auto" w:sz="4" w:space="0"/>
              <w:bottom w:val="single" w:color="auto" w:sz="4" w:space="0"/>
            </w:tcBorders>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2</w:t>
            </w:r>
          </w:p>
        </w:tc>
        <w:tc>
          <w:tcPr>
            <w:tcW w:w="548" w:type="pct"/>
            <w:tcBorders>
              <w:top w:val="single" w:color="auto" w:sz="4" w:space="0"/>
              <w:bottom w:val="single" w:color="auto" w:sz="4" w:space="0"/>
            </w:tcBorders>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项目经验</w:t>
            </w:r>
          </w:p>
        </w:tc>
        <w:tc>
          <w:tcPr>
            <w:tcW w:w="578" w:type="pct"/>
            <w:tcBorders>
              <w:top w:val="single" w:color="auto" w:sz="4" w:space="0"/>
              <w:bottom w:val="single" w:color="auto" w:sz="4" w:space="0"/>
            </w:tcBorders>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15分</w:t>
            </w:r>
          </w:p>
        </w:tc>
        <w:tc>
          <w:tcPr>
            <w:tcW w:w="2987" w:type="pct"/>
            <w:tcBorders>
              <w:top w:val="single" w:color="auto" w:sz="4" w:space="0"/>
              <w:bottom w:val="single" w:color="auto" w:sz="4" w:space="0"/>
            </w:tcBorders>
            <w:noWrap/>
            <w:vAlign w:val="center"/>
          </w:tcPr>
          <w:p>
            <w:pPr>
              <w:pStyle w:val="36"/>
              <w:spacing w:before="0" w:after="0" w:line="240" w:lineRule="auto"/>
              <w:ind w:firstLine="0"/>
              <w:jc w:val="left"/>
              <w:rPr>
                <w:rFonts w:ascii="楷体" w:hAnsi="楷体" w:eastAsia="楷体" w:cs="楷体"/>
                <w:color w:val="000000"/>
                <w:sz w:val="18"/>
                <w:szCs w:val="18"/>
              </w:rPr>
            </w:pPr>
            <w:r>
              <w:rPr>
                <w:rFonts w:hint="eastAsia" w:ascii="楷体" w:hAnsi="楷体" w:eastAsia="楷体" w:cs="楷体"/>
                <w:color w:val="000000"/>
                <w:sz w:val="18"/>
                <w:szCs w:val="18"/>
              </w:rPr>
              <w:t>投标人有类似服务项目的业绩，每提供1个得3分，最高15分。（投标现场提供合同及中标通知书原件、未携带原件的视为无效证明，本项不得分。）</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93" w:type="pct"/>
            <w:tcBorders>
              <w:top w:val="single" w:color="auto" w:sz="4" w:space="0"/>
              <w:bottom w:val="single" w:color="auto" w:sz="4" w:space="0"/>
            </w:tcBorders>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3</w:t>
            </w:r>
          </w:p>
        </w:tc>
        <w:tc>
          <w:tcPr>
            <w:tcW w:w="548" w:type="pct"/>
            <w:tcBorders>
              <w:top w:val="single" w:color="auto" w:sz="4" w:space="0"/>
              <w:bottom w:val="single" w:color="auto" w:sz="4" w:space="0"/>
            </w:tcBorders>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履约能力</w:t>
            </w:r>
          </w:p>
        </w:tc>
        <w:tc>
          <w:tcPr>
            <w:tcW w:w="578" w:type="pct"/>
            <w:tcBorders>
              <w:top w:val="single" w:color="auto" w:sz="4" w:space="0"/>
              <w:bottom w:val="single" w:color="auto" w:sz="4" w:space="0"/>
            </w:tcBorders>
            <w:noWrap/>
            <w:vAlign w:val="center"/>
          </w:tcPr>
          <w:p>
            <w:pPr>
              <w:pStyle w:val="36"/>
              <w:spacing w:before="0" w:after="0" w:line="240" w:lineRule="auto"/>
              <w:ind w:firstLine="0"/>
              <w:jc w:val="center"/>
              <w:rPr>
                <w:rFonts w:ascii="楷体" w:hAnsi="楷体" w:eastAsia="楷体" w:cs="楷体"/>
                <w:color w:val="000000"/>
                <w:sz w:val="18"/>
                <w:szCs w:val="18"/>
              </w:rPr>
            </w:pPr>
            <w:r>
              <w:rPr>
                <w:rFonts w:hint="eastAsia" w:ascii="楷体" w:hAnsi="楷体" w:eastAsia="楷体" w:cs="楷体"/>
                <w:color w:val="000000"/>
                <w:sz w:val="18"/>
                <w:szCs w:val="18"/>
              </w:rPr>
              <w:t>5分</w:t>
            </w:r>
          </w:p>
        </w:tc>
        <w:tc>
          <w:tcPr>
            <w:tcW w:w="2987" w:type="pct"/>
            <w:tcBorders>
              <w:top w:val="single" w:color="auto" w:sz="4" w:space="0"/>
              <w:bottom w:val="single" w:color="auto" w:sz="4" w:space="0"/>
            </w:tcBorders>
            <w:noWrap/>
            <w:vAlign w:val="center"/>
          </w:tcPr>
          <w:p>
            <w:pPr>
              <w:pStyle w:val="36"/>
              <w:spacing w:before="0" w:after="0" w:line="240" w:lineRule="auto"/>
              <w:ind w:firstLine="0"/>
              <w:jc w:val="left"/>
              <w:rPr>
                <w:rFonts w:ascii="楷体" w:hAnsi="楷体" w:eastAsia="楷体" w:cs="楷体"/>
                <w:color w:val="000000"/>
                <w:sz w:val="18"/>
                <w:szCs w:val="18"/>
              </w:rPr>
            </w:pPr>
            <w:r>
              <w:rPr>
                <w:rFonts w:hint="eastAsia" w:ascii="楷体" w:hAnsi="楷体" w:eastAsia="楷体" w:cs="楷体"/>
                <w:color w:val="000000"/>
                <w:sz w:val="18"/>
                <w:szCs w:val="18"/>
              </w:rPr>
              <w:t>投标单位须提供的2019年财务审计报告，根据财务状况横向比较打分，分值范围0-5分；</w:t>
            </w: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c>
          <w:tcPr>
            <w:tcW w:w="347" w:type="pct"/>
            <w:noWrap/>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93"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4</w:t>
            </w:r>
          </w:p>
        </w:tc>
        <w:tc>
          <w:tcPr>
            <w:tcW w:w="548" w:type="pct"/>
            <w:tcBorders>
              <w:top w:val="single" w:color="auto" w:sz="4" w:space="0"/>
              <w:bottom w:val="single" w:color="auto" w:sz="4" w:space="0"/>
            </w:tcBorders>
            <w:noWrap/>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响应效率</w:t>
            </w:r>
          </w:p>
        </w:tc>
        <w:tc>
          <w:tcPr>
            <w:tcW w:w="578" w:type="pct"/>
            <w:tcBorders>
              <w:top w:val="single" w:color="auto" w:sz="4" w:space="0"/>
            </w:tcBorders>
            <w:noWrap/>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5分</w:t>
            </w:r>
          </w:p>
        </w:tc>
        <w:tc>
          <w:tcPr>
            <w:tcW w:w="2987" w:type="pct"/>
            <w:tcBorders>
              <w:top w:val="single" w:color="auto" w:sz="4" w:space="0"/>
            </w:tcBorders>
            <w:noWrap/>
            <w:vAlign w:val="center"/>
          </w:tcPr>
          <w:p>
            <w:pPr>
              <w:jc w:val="left"/>
              <w:textAlignment w:val="center"/>
              <w:rPr>
                <w:rFonts w:ascii="楷体" w:hAnsi="楷体" w:eastAsia="楷体" w:cs="楷体"/>
                <w:sz w:val="18"/>
                <w:szCs w:val="18"/>
              </w:rPr>
            </w:pPr>
            <w:r>
              <w:rPr>
                <w:rFonts w:hint="eastAsia" w:ascii="楷体" w:hAnsi="楷体" w:eastAsia="楷体" w:cs="楷体"/>
                <w:color w:val="000000"/>
                <w:sz w:val="18"/>
                <w:szCs w:val="18"/>
              </w:rPr>
              <w:t>服务响应时间：投标人具备快速解决设备故障的服务能力，故障现场响应时间在2小时内的，得5分；在2-4小时（含两小时）内的，得3分；4-8 小时（含两小时）内的，得1分；其他得0分。（需提供公司承诺及故障处理的技术人员的相关证明材料）</w:t>
            </w:r>
          </w:p>
        </w:tc>
        <w:tc>
          <w:tcPr>
            <w:tcW w:w="347" w:type="pct"/>
            <w:noWrap/>
          </w:tcPr>
          <w:p>
            <w:pPr>
              <w:rPr>
                <w:rFonts w:ascii="楷体" w:hAnsi="楷体" w:eastAsia="楷体" w:cs="楷体"/>
                <w:color w:val="000000"/>
                <w:sz w:val="18"/>
                <w:szCs w:val="18"/>
              </w:rPr>
            </w:pPr>
          </w:p>
        </w:tc>
        <w:tc>
          <w:tcPr>
            <w:tcW w:w="347" w:type="pct"/>
            <w:noWrap/>
          </w:tcPr>
          <w:p>
            <w:pPr>
              <w:pStyle w:val="36"/>
              <w:spacing w:before="0" w:after="0" w:line="240" w:lineRule="auto"/>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93"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5</w:t>
            </w:r>
          </w:p>
        </w:tc>
        <w:tc>
          <w:tcPr>
            <w:tcW w:w="548" w:type="pct"/>
            <w:tcBorders>
              <w:top w:val="single" w:color="auto" w:sz="4" w:space="0"/>
              <w:bottom w:val="single" w:color="auto" w:sz="4" w:space="0"/>
            </w:tcBorders>
            <w:noWrap/>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标书制作</w:t>
            </w:r>
          </w:p>
        </w:tc>
        <w:tc>
          <w:tcPr>
            <w:tcW w:w="578" w:type="pct"/>
            <w:tcBorders>
              <w:top w:val="single" w:color="auto" w:sz="4" w:space="0"/>
            </w:tcBorders>
            <w:noWrap/>
            <w:vAlign w:val="center"/>
          </w:tcPr>
          <w:p>
            <w:pPr>
              <w:jc w:val="center"/>
              <w:textAlignment w:val="center"/>
              <w:rPr>
                <w:rFonts w:ascii="楷体" w:hAnsi="楷体" w:eastAsia="楷体" w:cs="楷体"/>
                <w:color w:val="000000"/>
                <w:sz w:val="18"/>
                <w:szCs w:val="18"/>
              </w:rPr>
            </w:pPr>
            <w:r>
              <w:rPr>
                <w:rFonts w:hint="eastAsia" w:ascii="楷体" w:hAnsi="楷体" w:eastAsia="楷体" w:cs="楷体"/>
                <w:color w:val="000000"/>
                <w:sz w:val="18"/>
                <w:szCs w:val="18"/>
              </w:rPr>
              <w:t>5分</w:t>
            </w:r>
          </w:p>
        </w:tc>
        <w:tc>
          <w:tcPr>
            <w:tcW w:w="2987" w:type="pct"/>
            <w:tcBorders>
              <w:top w:val="single" w:color="auto" w:sz="4" w:space="0"/>
            </w:tcBorders>
            <w:noWrap/>
            <w:vAlign w:val="center"/>
          </w:tcPr>
          <w:p>
            <w:pPr>
              <w:jc w:val="left"/>
              <w:textAlignment w:val="center"/>
              <w:rPr>
                <w:rFonts w:ascii="楷体" w:hAnsi="楷体" w:eastAsia="楷体" w:cs="楷体"/>
                <w:color w:val="000000"/>
                <w:sz w:val="18"/>
                <w:szCs w:val="18"/>
              </w:rPr>
            </w:pPr>
            <w:r>
              <w:rPr>
                <w:rFonts w:hint="eastAsia" w:ascii="楷体" w:hAnsi="楷体" w:eastAsia="楷体" w:cs="楷体"/>
                <w:sz w:val="18"/>
                <w:szCs w:val="18"/>
              </w:rPr>
              <w:t>投标文件按招标文件规定的格式，顺序编制精美，有目录、编页码、装订成册，书面整洁无涂改，没有缺漏项，价格数量等计算准确的得5分。不符合要求的，每处扣1分，扣完为止。</w:t>
            </w:r>
          </w:p>
        </w:tc>
        <w:tc>
          <w:tcPr>
            <w:tcW w:w="347" w:type="pct"/>
            <w:noWrap/>
          </w:tcPr>
          <w:p>
            <w:pPr>
              <w:rPr>
                <w:rFonts w:ascii="楷体" w:hAnsi="楷体" w:eastAsia="楷体" w:cs="楷体"/>
                <w:color w:val="000000"/>
                <w:sz w:val="18"/>
                <w:szCs w:val="18"/>
              </w:rPr>
            </w:pPr>
          </w:p>
        </w:tc>
        <w:tc>
          <w:tcPr>
            <w:tcW w:w="347" w:type="pct"/>
            <w:noWrap/>
          </w:tcPr>
          <w:p>
            <w:pPr>
              <w:pStyle w:val="36"/>
              <w:spacing w:before="0" w:after="0" w:line="240" w:lineRule="auto"/>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atLeast"/>
          <w:jc w:val="center"/>
        </w:trPr>
        <w:tc>
          <w:tcPr>
            <w:tcW w:w="193"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三</w:t>
            </w:r>
          </w:p>
        </w:tc>
        <w:tc>
          <w:tcPr>
            <w:tcW w:w="548"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报价</w:t>
            </w:r>
          </w:p>
        </w:tc>
        <w:tc>
          <w:tcPr>
            <w:tcW w:w="578"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10分</w:t>
            </w:r>
          </w:p>
        </w:tc>
        <w:tc>
          <w:tcPr>
            <w:tcW w:w="3334" w:type="pct"/>
            <w:gridSpan w:val="2"/>
            <w:tcBorders>
              <w:top w:val="single" w:color="auto" w:sz="4" w:space="0"/>
              <w:bottom w:val="single" w:color="auto" w:sz="4" w:space="0"/>
            </w:tcBorders>
            <w:noWrap/>
            <w:vAlign w:val="center"/>
          </w:tcPr>
          <w:p>
            <w:pPr>
              <w:rPr>
                <w:rFonts w:ascii="楷体" w:hAnsi="楷体" w:eastAsia="楷体" w:cs="楷体"/>
                <w:color w:val="000000"/>
                <w:sz w:val="18"/>
                <w:szCs w:val="18"/>
              </w:rPr>
            </w:pPr>
            <w:r>
              <w:rPr>
                <w:rFonts w:hint="eastAsia" w:ascii="楷体" w:hAnsi="楷体" w:eastAsia="楷体" w:cs="楷体"/>
                <w:color w:val="000000"/>
                <w:sz w:val="18"/>
                <w:szCs w:val="18"/>
              </w:rPr>
              <w:t>具体按下列标准要求进行评审</w:t>
            </w:r>
          </w:p>
        </w:tc>
        <w:tc>
          <w:tcPr>
            <w:tcW w:w="347" w:type="pct"/>
            <w:tcBorders>
              <w:top w:val="single" w:color="auto" w:sz="4" w:space="0"/>
              <w:bottom w:val="single" w:color="auto" w:sz="4" w:space="0"/>
            </w:tcBorders>
            <w:noWrap/>
            <w:vAlign w:val="center"/>
          </w:tcPr>
          <w:p>
            <w:pPr>
              <w:pStyle w:val="36"/>
              <w:spacing w:before="0" w:after="0" w:line="240" w:lineRule="auto"/>
              <w:ind w:firstLine="0"/>
              <w:jc w:val="center"/>
              <w:rPr>
                <w:rFonts w:ascii="楷体" w:hAnsi="楷体" w:eastAsia="楷体" w:cs="楷体"/>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atLeast"/>
          <w:jc w:val="center"/>
        </w:trPr>
        <w:tc>
          <w:tcPr>
            <w:tcW w:w="193"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6</w:t>
            </w:r>
          </w:p>
        </w:tc>
        <w:tc>
          <w:tcPr>
            <w:tcW w:w="548"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最终报价</w:t>
            </w:r>
          </w:p>
        </w:tc>
        <w:tc>
          <w:tcPr>
            <w:tcW w:w="578" w:type="pct"/>
            <w:tcBorders>
              <w:top w:val="single" w:color="auto" w:sz="4" w:space="0"/>
              <w:bottom w:val="single" w:color="auto" w:sz="4" w:space="0"/>
            </w:tcBorders>
            <w:noWrap/>
            <w:vAlign w:val="center"/>
          </w:tcPr>
          <w:p>
            <w:pPr>
              <w:jc w:val="center"/>
              <w:rPr>
                <w:rFonts w:ascii="楷体" w:hAnsi="楷体" w:eastAsia="楷体" w:cs="楷体"/>
                <w:color w:val="000000"/>
                <w:sz w:val="18"/>
                <w:szCs w:val="18"/>
              </w:rPr>
            </w:pPr>
            <w:r>
              <w:rPr>
                <w:rFonts w:hint="eastAsia" w:ascii="楷体" w:hAnsi="楷体" w:eastAsia="楷体" w:cs="楷体"/>
                <w:color w:val="000000"/>
                <w:sz w:val="18"/>
                <w:szCs w:val="18"/>
              </w:rPr>
              <w:t>10分</w:t>
            </w:r>
          </w:p>
        </w:tc>
        <w:tc>
          <w:tcPr>
            <w:tcW w:w="3334" w:type="pct"/>
            <w:gridSpan w:val="2"/>
            <w:tcBorders>
              <w:top w:val="single" w:color="auto" w:sz="4" w:space="0"/>
              <w:bottom w:val="single" w:color="auto" w:sz="4" w:space="0"/>
            </w:tcBorders>
            <w:noWrap/>
            <w:vAlign w:val="center"/>
          </w:tcPr>
          <w:p>
            <w:pPr>
              <w:jc w:val="left"/>
              <w:rPr>
                <w:rFonts w:ascii="楷体" w:hAnsi="楷体" w:eastAsia="楷体" w:cs="楷体"/>
                <w:color w:val="000000"/>
                <w:sz w:val="18"/>
                <w:szCs w:val="18"/>
              </w:rPr>
            </w:pPr>
            <w:r>
              <w:rPr>
                <w:rFonts w:hint="eastAsia" w:ascii="楷体" w:hAnsi="楷体" w:eastAsia="楷体" w:cs="楷体"/>
                <w:color w:val="000000"/>
                <w:sz w:val="18"/>
                <w:szCs w:val="18"/>
              </w:rPr>
              <w:t>各供应商的价格得分的计算公式：采用低价优先法计算，即满足招标文件要求且投标价格最低的投标报价为评标基准价，其价格分为满分。其他投标人的价格分统一按照下列公式计算：</w:t>
            </w:r>
          </w:p>
          <w:p>
            <w:pPr>
              <w:jc w:val="left"/>
              <w:rPr>
                <w:rFonts w:ascii="楷体" w:hAnsi="楷体" w:eastAsia="楷体" w:cs="楷体"/>
                <w:color w:val="000000"/>
                <w:sz w:val="18"/>
                <w:szCs w:val="18"/>
              </w:rPr>
            </w:pPr>
            <w:r>
              <w:rPr>
                <w:rFonts w:hint="eastAsia" w:ascii="楷体" w:hAnsi="楷体" w:eastAsia="楷体" w:cs="楷体"/>
                <w:color w:val="000000"/>
                <w:sz w:val="18"/>
                <w:szCs w:val="18"/>
              </w:rPr>
              <w:t>投标报价得分=(评标基准价／投标报价)×价格权值×100。计算分数时四舍五入取小数点后两位,分数最高不超过10分。</w:t>
            </w:r>
          </w:p>
          <w:p>
            <w:pPr>
              <w:pStyle w:val="36"/>
              <w:spacing w:before="0" w:after="0" w:line="240" w:lineRule="auto"/>
              <w:ind w:firstLine="0"/>
              <w:jc w:val="left"/>
              <w:rPr>
                <w:rFonts w:ascii="楷体" w:hAnsi="楷体" w:eastAsia="楷体" w:cs="楷体"/>
                <w:color w:val="000000"/>
                <w:sz w:val="18"/>
                <w:szCs w:val="18"/>
              </w:rPr>
            </w:pPr>
            <w:r>
              <w:rPr>
                <w:rFonts w:hint="eastAsia" w:ascii="楷体" w:hAnsi="楷体" w:eastAsia="楷体" w:cs="楷体"/>
                <w:color w:val="000000"/>
                <w:sz w:val="18"/>
                <w:szCs w:val="18"/>
              </w:rPr>
              <w:t>评标过程中，不得去掉报价中的最低和最高报价。因落实政府采购政策进行价格调整的，以调整后的价格计算评标基准价和投标报价。有效投标报价为通过初步审查的供应商报价。</w:t>
            </w:r>
          </w:p>
        </w:tc>
        <w:tc>
          <w:tcPr>
            <w:tcW w:w="347" w:type="pct"/>
            <w:tcBorders>
              <w:top w:val="single" w:color="auto" w:sz="4" w:space="0"/>
              <w:bottom w:val="single" w:color="auto" w:sz="4" w:space="0"/>
            </w:tcBorders>
            <w:noWrap/>
          </w:tcPr>
          <w:p>
            <w:pPr>
              <w:pStyle w:val="36"/>
              <w:spacing w:before="0" w:after="0" w:line="240" w:lineRule="auto"/>
              <w:ind w:firstLine="0"/>
              <w:rPr>
                <w:rFonts w:ascii="楷体" w:hAnsi="楷体" w:eastAsia="楷体" w:cs="楷体"/>
                <w:color w:val="000000"/>
                <w:sz w:val="18"/>
                <w:szCs w:val="18"/>
              </w:rPr>
            </w:pPr>
          </w:p>
        </w:tc>
      </w:tr>
    </w:tbl>
    <w:p>
      <w:pPr>
        <w:widowControl/>
        <w:spacing w:line="360" w:lineRule="auto"/>
        <w:rPr>
          <w:rFonts w:ascii="楷体" w:hAnsi="楷体" w:eastAsia="楷体" w:cs="楷体"/>
          <w:sz w:val="24"/>
        </w:rPr>
      </w:pPr>
      <w:r>
        <w:rPr>
          <w:rFonts w:hint="eastAsia" w:ascii="楷体" w:hAnsi="楷体" w:eastAsia="楷体" w:cs="楷体"/>
          <w:sz w:val="24"/>
        </w:rPr>
        <w:t>注：1.根据《政府采购促进中小企业发展暂行办法》（财库[2011]181号）、《财政部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楷体" w:hAnsi="楷体" w:eastAsia="楷体" w:cs="楷体"/>
          <w:sz w:val="24"/>
          <w:u w:val="single"/>
        </w:rPr>
        <w:t xml:space="preserve"> 6 </w:t>
      </w:r>
      <w:r>
        <w:rPr>
          <w:rFonts w:hint="eastAsia" w:ascii="楷体" w:hAnsi="楷体" w:eastAsia="楷体" w:cs="楷体"/>
          <w:sz w:val="24"/>
        </w:rPr>
        <w:t xml:space="preserve"> %后参与评审。对于同时属于小微企业、监狱企业或残疾人福利性单位的，不重复进行投标报价扣除。</w:t>
      </w:r>
    </w:p>
    <w:p>
      <w:pPr>
        <w:widowControl/>
        <w:spacing w:line="360" w:lineRule="auto"/>
        <w:ind w:firstLine="486" w:firstLineChars="200"/>
        <w:jc w:val="left"/>
        <w:rPr>
          <w:rFonts w:ascii="楷体" w:hAnsi="楷体" w:eastAsia="楷体" w:cs="楷体"/>
          <w:sz w:val="24"/>
        </w:rPr>
      </w:pPr>
      <w:r>
        <w:rPr>
          <w:rFonts w:hint="eastAsia" w:ascii="楷体" w:hAnsi="楷体" w:eastAsia="楷体" w:cs="楷体"/>
          <w:sz w:val="24"/>
        </w:rPr>
        <w:t>2.</w:t>
      </w:r>
      <w:r>
        <w:rPr>
          <w:rFonts w:hint="eastAsia" w:ascii="楷体" w:hAnsi="楷体" w:eastAsia="楷体" w:cs="楷体"/>
          <w:b/>
          <w:bCs/>
          <w:i/>
          <w:iCs/>
          <w:sz w:val="24"/>
        </w:rPr>
        <w:t>（本项目不接受联合体投标）</w:t>
      </w:r>
      <w:r>
        <w:rPr>
          <w:rFonts w:hint="eastAsia" w:ascii="楷体" w:hAnsi="楷体" w:eastAsia="楷体" w:cs="楷体"/>
          <w:sz w:val="24"/>
        </w:rPr>
        <w:t>联合协议中约定，小型、微型企业和监狱企业的协议合同金额占到联合体协议合同总金额30%以上的，可给予联合体</w:t>
      </w:r>
      <w:r>
        <w:rPr>
          <w:rFonts w:hint="eastAsia" w:ascii="楷体" w:hAnsi="楷体" w:eastAsia="楷体" w:cs="楷体"/>
          <w:sz w:val="24"/>
          <w:u w:val="single"/>
        </w:rPr>
        <w:t xml:space="preserve">  3  </w:t>
      </w:r>
      <w:r>
        <w:rPr>
          <w:rFonts w:hint="eastAsia" w:ascii="楷体" w:hAnsi="楷体" w:eastAsia="楷体" w:cs="楷体"/>
          <w:sz w:val="24"/>
        </w:rPr>
        <w:t>%的价格扣除。</w:t>
      </w:r>
    </w:p>
    <w:p>
      <w:pPr>
        <w:widowControl/>
        <w:spacing w:line="360" w:lineRule="auto"/>
        <w:jc w:val="left"/>
        <w:rPr>
          <w:rFonts w:ascii="楷体" w:hAnsi="楷体" w:eastAsia="楷体" w:cs="楷体"/>
          <w:sz w:val="24"/>
        </w:rPr>
      </w:pPr>
      <w:r>
        <w:rPr>
          <w:rFonts w:hint="eastAsia" w:ascii="楷体" w:hAnsi="楷体" w:eastAsia="楷体" w:cs="楷体"/>
          <w:sz w:val="24"/>
        </w:rPr>
        <w:t>联合体各方均为小型、微型企业和监狱企业的，联合体视同为小型、微型企业和监狱企业。</w:t>
      </w:r>
    </w:p>
    <w:p>
      <w:pPr>
        <w:pStyle w:val="3"/>
        <w:tabs>
          <w:tab w:val="clear" w:pos="567"/>
        </w:tabs>
        <w:spacing w:before="0" w:line="360" w:lineRule="auto"/>
        <w:ind w:left="-61" w:leftChars="-29" w:firstLine="546" w:firstLineChars="225"/>
        <w:rPr>
          <w:rFonts w:ascii="楷体" w:hAnsi="楷体" w:eastAsia="楷体" w:cs="楷体"/>
          <w:i/>
          <w:iCs/>
          <w:u w:val="single"/>
        </w:rPr>
      </w:pPr>
      <w:r>
        <w:rPr>
          <w:rFonts w:hint="eastAsia" w:ascii="楷体" w:hAnsi="楷体" w:eastAsia="楷体" w:cs="楷体"/>
        </w:rPr>
        <w:t>3.投标人所投产品如被列入财政部与国家主管部门颁发的节能产品目录或环境标志产品目录或无线局域网产品目录，应提供相关证明，在评标时予以优先采购，具体优惠措施为：</w:t>
      </w:r>
    </w:p>
    <w:p>
      <w:pPr>
        <w:pStyle w:val="3"/>
        <w:tabs>
          <w:tab w:val="clear" w:pos="567"/>
        </w:tabs>
        <w:spacing w:before="0" w:line="360" w:lineRule="auto"/>
        <w:ind w:left="-183" w:leftChars="-86" w:firstLine="668" w:firstLineChars="275"/>
        <w:rPr>
          <w:rFonts w:ascii="楷体" w:hAnsi="楷体" w:eastAsia="楷体" w:cs="楷体"/>
        </w:rPr>
      </w:pPr>
      <w:r>
        <w:rPr>
          <w:rFonts w:hint="eastAsia" w:ascii="楷体" w:hAnsi="楷体" w:eastAsia="楷体" w:cs="楷体"/>
        </w:rPr>
        <w:t>4.如采购人所采购产品为政府强制采购的节能产品，投标人所投产品的品牌及型号必须为清单中有效期内产品并提供证明文件，否则其投标将被认定为</w:t>
      </w:r>
      <w:r>
        <w:rPr>
          <w:rFonts w:hint="eastAsia" w:ascii="楷体" w:hAnsi="楷体" w:eastAsia="楷体" w:cs="楷体"/>
          <w:b/>
          <w:bCs/>
        </w:rPr>
        <w:t>投标无效</w:t>
      </w:r>
      <w:r>
        <w:rPr>
          <w:rFonts w:hint="eastAsia" w:ascii="楷体" w:hAnsi="楷体" w:eastAsia="楷体" w:cs="楷体"/>
        </w:rPr>
        <w:t>。</w:t>
      </w:r>
    </w:p>
    <w:p>
      <w:pPr>
        <w:pStyle w:val="3"/>
        <w:tabs>
          <w:tab w:val="clear" w:pos="567"/>
        </w:tabs>
        <w:spacing w:before="0" w:line="360" w:lineRule="auto"/>
        <w:ind w:left="-183" w:leftChars="-86" w:firstLine="668" w:firstLineChars="275"/>
        <w:rPr>
          <w:rFonts w:ascii="楷体" w:hAnsi="楷体" w:eastAsia="楷体" w:cs="楷体"/>
        </w:rPr>
      </w:pPr>
      <w:r>
        <w:rPr>
          <w:rFonts w:hint="eastAsia" w:ascii="楷体" w:hAnsi="楷体" w:eastAsia="楷体" w:cs="楷体"/>
        </w:rPr>
        <w:t>5.对创新产品或创新性企业的优惠措施为</w:t>
      </w:r>
      <w:r>
        <w:rPr>
          <w:rFonts w:hint="eastAsia" w:ascii="楷体" w:hAnsi="楷体" w:eastAsia="楷体" w:cs="楷体"/>
          <w:u w:val="single"/>
        </w:rPr>
        <w:t xml:space="preserve">：无       </w:t>
      </w:r>
    </w:p>
    <w:p>
      <w:pPr>
        <w:pStyle w:val="3"/>
        <w:tabs>
          <w:tab w:val="clear" w:pos="567"/>
        </w:tabs>
        <w:spacing w:before="0" w:line="360" w:lineRule="auto"/>
        <w:ind w:left="-183" w:leftChars="-86" w:firstLine="668" w:firstLineChars="275"/>
        <w:rPr>
          <w:rFonts w:ascii="楷体" w:hAnsi="楷体" w:eastAsia="楷体" w:cs="楷体"/>
        </w:rPr>
      </w:pPr>
      <w:r>
        <w:rPr>
          <w:rFonts w:hint="eastAsia" w:ascii="楷体" w:hAnsi="楷体" w:eastAsia="楷体" w:cs="楷体"/>
        </w:rPr>
        <w:t>6.同品牌处理办法：</w:t>
      </w:r>
    </w:p>
    <w:p>
      <w:pPr>
        <w:pStyle w:val="24"/>
        <w:spacing w:before="0" w:beforeAutospacing="0" w:after="0" w:afterAutospacing="0" w:line="360" w:lineRule="auto"/>
        <w:ind w:firstLine="480"/>
        <w:rPr>
          <w:rFonts w:ascii="楷体" w:hAnsi="楷体" w:eastAsia="楷体" w:cs="楷体"/>
        </w:rPr>
      </w:pPr>
      <w:r>
        <w:rPr>
          <w:rFonts w:hint="eastAsia" w:ascii="楷体" w:hAnsi="楷体" w:eastAsia="楷体" w:cs="楷体"/>
        </w:rPr>
        <w:t>如采用最低评标办法，则：依据财政部公布第87号令 《政府采购货物和服务招标投标管理办法》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4"/>
        <w:spacing w:before="0" w:beforeAutospacing="0" w:after="0" w:afterAutospacing="0" w:line="360" w:lineRule="auto"/>
        <w:ind w:firstLine="480"/>
        <w:rPr>
          <w:rFonts w:ascii="楷体" w:hAnsi="楷体" w:eastAsia="楷体" w:cs="楷体"/>
        </w:rPr>
      </w:pPr>
      <w:r>
        <w:rPr>
          <w:rFonts w:hint="eastAsia" w:ascii="楷体" w:hAnsi="楷体" w:eastAsia="楷体" w:cs="楷体"/>
        </w:rPr>
        <w:t>如采用综合评标法，则：依据财政部公布第87号令 《政府采购货物和服务招标投标管理办法》第三十一条：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pacing w:before="0" w:beforeAutospacing="0" w:after="0" w:afterAutospacing="0" w:line="360" w:lineRule="auto"/>
        <w:ind w:firstLine="480"/>
        <w:rPr>
          <w:rFonts w:ascii="楷体" w:hAnsi="楷体" w:eastAsia="楷体" w:cs="楷体"/>
        </w:rPr>
      </w:pPr>
      <w:r>
        <w:rPr>
          <w:rFonts w:hint="eastAsia" w:ascii="楷体" w:hAnsi="楷体" w:eastAsia="楷体" w:cs="楷体"/>
        </w:rPr>
        <w:t xml:space="preserve">7.中标候选人并列式时的处理方式：   </w:t>
      </w:r>
    </w:p>
    <w:p>
      <w:pPr>
        <w:pStyle w:val="3"/>
        <w:tabs>
          <w:tab w:val="clear" w:pos="567"/>
        </w:tabs>
        <w:spacing w:before="0" w:line="360" w:lineRule="auto"/>
        <w:ind w:left="-183" w:leftChars="-86" w:firstLine="182" w:firstLineChars="75"/>
        <w:rPr>
          <w:rFonts w:ascii="楷体" w:hAnsi="楷体" w:eastAsia="楷体" w:cs="楷体"/>
        </w:rPr>
      </w:pPr>
      <w:r>
        <w:rPr>
          <w:rFonts w:hint="eastAsia" w:ascii="楷体" w:hAnsi="楷体" w:eastAsia="楷体" w:cs="楷体"/>
        </w:rPr>
        <w:t>如采用最低评标办法，则：</w:t>
      </w:r>
      <w:r>
        <w:rPr>
          <w:rFonts w:hint="eastAsia" w:ascii="楷体" w:hAnsi="楷体" w:eastAsia="楷体" w:cs="楷体"/>
          <w:u w:val="single"/>
        </w:rPr>
        <w:t xml:space="preserve"> 随机抽取决定 </w:t>
      </w:r>
      <w:r>
        <w:rPr>
          <w:rFonts w:hint="eastAsia" w:ascii="楷体" w:hAnsi="楷体" w:eastAsia="楷体" w:cs="楷体"/>
        </w:rPr>
        <w:t>；</w:t>
      </w:r>
    </w:p>
    <w:p>
      <w:pPr>
        <w:pStyle w:val="3"/>
        <w:tabs>
          <w:tab w:val="clear" w:pos="567"/>
        </w:tabs>
        <w:spacing w:before="0" w:line="360" w:lineRule="auto"/>
        <w:ind w:left="-183" w:leftChars="-86" w:firstLine="182" w:firstLineChars="75"/>
        <w:rPr>
          <w:rFonts w:ascii="楷体" w:hAnsi="楷体" w:eastAsia="楷体" w:cs="楷体"/>
        </w:rPr>
      </w:pPr>
      <w:r>
        <w:rPr>
          <w:rFonts w:hint="eastAsia" w:ascii="楷体" w:hAnsi="楷体" w:eastAsia="楷体" w:cs="楷体"/>
        </w:rPr>
        <w:t>如采用综合评标法，则：</w:t>
      </w:r>
      <w:r>
        <w:rPr>
          <w:rFonts w:hint="eastAsia" w:ascii="楷体" w:hAnsi="楷体" w:eastAsia="楷体" w:cs="楷体"/>
          <w:u w:val="single"/>
        </w:rPr>
        <w:t xml:space="preserve"> 评审得分相同的且投标报价不同的，按投标报价低的中标；评审得分相同且投标报价相同的，随机抽取决定</w:t>
      </w:r>
      <w:r>
        <w:rPr>
          <w:rFonts w:hint="eastAsia" w:ascii="楷体" w:hAnsi="楷体" w:eastAsia="楷体" w:cs="楷体"/>
        </w:rPr>
        <w:t xml:space="preserve"> 。</w:t>
      </w:r>
    </w:p>
    <w:p>
      <w:pPr>
        <w:spacing w:line="240" w:lineRule="atLeast"/>
        <w:ind w:left="1087" w:leftChars="257" w:hanging="540"/>
        <w:jc w:val="center"/>
        <w:rPr>
          <w:rFonts w:ascii="楷体" w:hAnsi="楷体" w:eastAsia="楷体" w:cs="楷体"/>
        </w:rPr>
      </w:pPr>
      <w:r>
        <w:rPr>
          <w:rFonts w:hint="eastAsia" w:ascii="楷体" w:hAnsi="楷体" w:eastAsia="楷体" w:cs="楷体"/>
        </w:rPr>
        <w:br w:type="page"/>
      </w:r>
      <w:bookmarkStart w:id="382" w:name="_Toc507399904"/>
    </w:p>
    <w:p>
      <w:pPr>
        <w:spacing w:line="240" w:lineRule="atLeast"/>
        <w:ind w:left="1087" w:leftChars="257" w:hanging="540"/>
        <w:jc w:val="center"/>
        <w:rPr>
          <w:rFonts w:ascii="楷体" w:hAnsi="楷体" w:eastAsia="楷体" w:cs="楷体"/>
        </w:rPr>
      </w:pPr>
    </w:p>
    <w:p>
      <w:pPr>
        <w:spacing w:line="240" w:lineRule="atLeast"/>
        <w:ind w:left="1087" w:leftChars="257" w:hanging="540"/>
        <w:jc w:val="center"/>
        <w:rPr>
          <w:rFonts w:ascii="楷体" w:hAnsi="楷体" w:eastAsia="楷体" w:cs="楷体"/>
        </w:rPr>
      </w:pPr>
    </w:p>
    <w:p>
      <w:pPr>
        <w:spacing w:line="240" w:lineRule="atLeast"/>
        <w:rPr>
          <w:rFonts w:ascii="楷体" w:hAnsi="楷体" w:eastAsia="楷体" w:cs="楷体"/>
        </w:rPr>
      </w:pPr>
    </w:p>
    <w:p>
      <w:pPr>
        <w:spacing w:line="240" w:lineRule="atLeast"/>
        <w:ind w:left="1087" w:leftChars="257" w:hanging="540"/>
        <w:jc w:val="center"/>
        <w:rPr>
          <w:rFonts w:ascii="楷体" w:hAnsi="楷体" w:eastAsia="楷体" w:cs="楷体"/>
        </w:rPr>
      </w:pPr>
    </w:p>
    <w:p>
      <w:pPr>
        <w:spacing w:line="240" w:lineRule="atLeast"/>
        <w:ind w:left="1087" w:leftChars="257" w:hanging="540"/>
        <w:jc w:val="center"/>
        <w:rPr>
          <w:rFonts w:ascii="楷体" w:hAnsi="楷体" w:eastAsia="楷体" w:cs="楷体"/>
        </w:rPr>
      </w:pPr>
    </w:p>
    <w:p>
      <w:pPr>
        <w:spacing w:line="240" w:lineRule="atLeast"/>
        <w:ind w:left="1087" w:leftChars="257" w:hanging="540"/>
        <w:jc w:val="center"/>
        <w:rPr>
          <w:rFonts w:ascii="楷体" w:hAnsi="楷体" w:eastAsia="楷体" w:cs="楷体"/>
        </w:rPr>
      </w:pPr>
    </w:p>
    <w:p>
      <w:pPr>
        <w:spacing w:line="240" w:lineRule="atLeast"/>
        <w:ind w:left="1087" w:leftChars="257" w:hanging="540"/>
        <w:jc w:val="center"/>
        <w:rPr>
          <w:rFonts w:hint="eastAsia" w:ascii="楷体" w:hAnsi="楷体" w:eastAsia="楷体" w:cs="楷体"/>
          <w:b/>
          <w:sz w:val="48"/>
          <w:szCs w:val="48"/>
          <w:lang w:eastAsia="zh-CN"/>
        </w:rPr>
      </w:pPr>
      <w:r>
        <w:rPr>
          <w:rFonts w:hint="eastAsia" w:ascii="楷体" w:hAnsi="楷体" w:eastAsia="楷体" w:cs="楷体"/>
          <w:b/>
          <w:sz w:val="48"/>
          <w:szCs w:val="48"/>
          <w:lang w:eastAsia="zh-CN"/>
        </w:rPr>
        <w:t>喀什地区第二人民医院桌面服务支撑及数据中心软、硬件维保服务项目</w:t>
      </w:r>
    </w:p>
    <w:p>
      <w:pPr>
        <w:spacing w:line="240" w:lineRule="atLeast"/>
        <w:ind w:left="1087" w:leftChars="257" w:hanging="540"/>
        <w:jc w:val="center"/>
        <w:rPr>
          <w:rFonts w:ascii="楷体" w:hAnsi="楷体" w:eastAsia="楷体" w:cs="楷体"/>
          <w:b/>
          <w:sz w:val="32"/>
          <w:szCs w:val="32"/>
        </w:rPr>
      </w:pPr>
      <w:r>
        <w:rPr>
          <w:rFonts w:hint="eastAsia" w:ascii="楷体" w:hAnsi="楷体" w:eastAsia="楷体" w:cs="楷体"/>
          <w:b/>
          <w:sz w:val="48"/>
          <w:szCs w:val="48"/>
        </w:rPr>
        <w:t>公开招标文件</w:t>
      </w:r>
    </w:p>
    <w:p>
      <w:pPr>
        <w:spacing w:line="240" w:lineRule="atLeast"/>
        <w:ind w:left="1087" w:leftChars="257" w:hanging="540"/>
        <w:jc w:val="center"/>
        <w:rPr>
          <w:rFonts w:ascii="楷体" w:hAnsi="楷体" w:eastAsia="楷体" w:cs="楷体"/>
          <w:b/>
          <w:sz w:val="32"/>
          <w:szCs w:val="32"/>
        </w:rPr>
      </w:pPr>
    </w:p>
    <w:p>
      <w:pPr>
        <w:spacing w:line="240" w:lineRule="atLeast"/>
        <w:ind w:left="1087" w:leftChars="257" w:hanging="540"/>
        <w:jc w:val="center"/>
        <w:rPr>
          <w:rFonts w:ascii="楷体" w:hAnsi="楷体" w:eastAsia="楷体" w:cs="楷体"/>
          <w:b/>
          <w:sz w:val="32"/>
          <w:szCs w:val="32"/>
        </w:rPr>
      </w:pPr>
    </w:p>
    <w:p>
      <w:pPr>
        <w:spacing w:line="240" w:lineRule="atLeast"/>
        <w:ind w:left="1087" w:leftChars="257" w:hanging="540"/>
        <w:rPr>
          <w:rFonts w:ascii="楷体" w:hAnsi="楷体" w:eastAsia="楷体" w:cs="楷体"/>
          <w:b/>
          <w:sz w:val="28"/>
        </w:rPr>
      </w:pPr>
    </w:p>
    <w:p>
      <w:pPr>
        <w:spacing w:line="240" w:lineRule="atLeast"/>
        <w:ind w:left="1087" w:leftChars="257" w:hanging="540"/>
        <w:jc w:val="center"/>
        <w:rPr>
          <w:rFonts w:ascii="楷体" w:hAnsi="楷体" w:eastAsia="楷体" w:cs="楷体"/>
          <w:b/>
          <w:sz w:val="48"/>
          <w:szCs w:val="48"/>
        </w:rPr>
      </w:pPr>
      <w:r>
        <w:rPr>
          <w:rFonts w:hint="eastAsia" w:ascii="楷体" w:hAnsi="楷体" w:eastAsia="楷体" w:cs="楷体"/>
          <w:b/>
          <w:sz w:val="48"/>
          <w:szCs w:val="48"/>
        </w:rPr>
        <w:t>第三册</w:t>
      </w:r>
    </w:p>
    <w:p>
      <w:pPr>
        <w:spacing w:line="240" w:lineRule="atLeast"/>
        <w:ind w:left="1087" w:leftChars="257" w:hanging="540"/>
        <w:jc w:val="center"/>
        <w:rPr>
          <w:rFonts w:ascii="楷体" w:hAnsi="楷体" w:eastAsia="楷体" w:cs="楷体"/>
          <w:b/>
          <w:sz w:val="52"/>
        </w:rPr>
      </w:pPr>
    </w:p>
    <w:p>
      <w:pPr>
        <w:spacing w:line="240" w:lineRule="atLeast"/>
        <w:ind w:left="1087" w:leftChars="257" w:hanging="540"/>
        <w:jc w:val="center"/>
        <w:rPr>
          <w:rFonts w:ascii="楷体" w:hAnsi="楷体" w:eastAsia="楷体" w:cs="楷体"/>
          <w:b/>
          <w:sz w:val="52"/>
        </w:rPr>
      </w:pPr>
    </w:p>
    <w:p>
      <w:pPr>
        <w:spacing w:line="240" w:lineRule="atLeast"/>
        <w:rPr>
          <w:rFonts w:ascii="楷体" w:hAnsi="楷体" w:eastAsia="楷体" w:cs="楷体"/>
          <w:b/>
          <w:sz w:val="52"/>
        </w:rPr>
      </w:pPr>
    </w:p>
    <w:p>
      <w:pPr>
        <w:spacing w:line="240" w:lineRule="atLeast"/>
        <w:ind w:left="1087" w:leftChars="257" w:hanging="540"/>
        <w:rPr>
          <w:rFonts w:ascii="楷体" w:hAnsi="楷体" w:eastAsia="楷体" w:cs="楷体"/>
          <w:b/>
          <w:szCs w:val="21"/>
        </w:rPr>
      </w:pPr>
    </w:p>
    <w:p>
      <w:pPr>
        <w:rPr>
          <w:rFonts w:ascii="楷体" w:hAnsi="楷体" w:eastAsia="楷体" w:cs="楷体"/>
        </w:rPr>
      </w:pPr>
      <w:r>
        <w:rPr>
          <w:rFonts w:hint="eastAsia" w:ascii="楷体" w:hAnsi="楷体" w:eastAsia="楷体" w:cs="楷体"/>
          <w:b/>
          <w:sz w:val="52"/>
        </w:rPr>
        <w:br w:type="page"/>
      </w:r>
    </w:p>
    <w:p>
      <w:pPr>
        <w:pStyle w:val="4"/>
        <w:numPr>
          <w:ilvl w:val="0"/>
          <w:numId w:val="3"/>
        </w:numPr>
        <w:tabs>
          <w:tab w:val="left" w:pos="0"/>
          <w:tab w:val="clear" w:pos="3134"/>
        </w:tabs>
        <w:spacing w:before="0" w:after="0" w:line="240" w:lineRule="atLeast"/>
        <w:ind w:left="0" w:hanging="15"/>
        <w:rPr>
          <w:rFonts w:ascii="楷体" w:hAnsi="楷体" w:eastAsia="楷体" w:cs="楷体"/>
        </w:rPr>
      </w:pPr>
      <w:bookmarkStart w:id="383" w:name="_Toc94"/>
      <w:bookmarkStart w:id="384" w:name="_Toc515647833"/>
      <w:bookmarkStart w:id="385" w:name="_Toc6865"/>
      <w:bookmarkStart w:id="386" w:name="_Toc4796"/>
      <w:r>
        <w:rPr>
          <w:rFonts w:hint="eastAsia" w:ascii="楷体" w:hAnsi="楷体" w:eastAsia="楷体" w:cs="楷体"/>
        </w:rPr>
        <w:t>政府采购合同</w:t>
      </w:r>
      <w:bookmarkEnd w:id="382"/>
      <w:bookmarkEnd w:id="383"/>
      <w:bookmarkEnd w:id="384"/>
      <w:bookmarkEnd w:id="385"/>
      <w:bookmarkEnd w:id="386"/>
      <w:bookmarkStart w:id="387" w:name="_Hlt487972895"/>
      <w:bookmarkEnd w:id="387"/>
      <w:bookmarkStart w:id="388" w:name="_Toc487900382"/>
      <w:bookmarkStart w:id="389" w:name="_Toc216513788"/>
    </w:p>
    <w:bookmarkEnd w:id="388"/>
    <w:bookmarkEnd w:id="389"/>
    <w:p>
      <w:pPr>
        <w:spacing w:line="240" w:lineRule="atLeast"/>
        <w:rPr>
          <w:rFonts w:ascii="楷体" w:hAnsi="楷体" w:eastAsia="楷体" w:cs="楷体"/>
          <w:b/>
          <w:kern w:val="44"/>
          <w:sz w:val="32"/>
          <w:szCs w:val="20"/>
        </w:rPr>
      </w:pPr>
    </w:p>
    <w:p>
      <w:pPr>
        <w:spacing w:line="240" w:lineRule="atLeast"/>
        <w:ind w:left="-575" w:leftChars="-270" w:firstLine="540"/>
        <w:jc w:val="center"/>
        <w:rPr>
          <w:rFonts w:ascii="楷体" w:hAnsi="楷体" w:eastAsia="楷体" w:cs="楷体"/>
          <w:kern w:val="44"/>
          <w:sz w:val="28"/>
          <w:szCs w:val="28"/>
        </w:rPr>
      </w:pPr>
      <w:r>
        <w:rPr>
          <w:rFonts w:hint="eastAsia" w:ascii="楷体" w:hAnsi="楷体" w:eastAsia="楷体" w:cs="楷体"/>
          <w:kern w:val="44"/>
          <w:sz w:val="28"/>
          <w:szCs w:val="28"/>
        </w:rPr>
        <w:t>请参照服务类政府采购合同参考范本订立采购合同。</w:t>
      </w:r>
    </w:p>
    <w:p>
      <w:pPr>
        <w:rPr>
          <w:rFonts w:ascii="楷体" w:hAnsi="楷体" w:eastAsia="楷体" w:cs="楷体"/>
          <w:sz w:val="24"/>
          <w:u w:val="single"/>
        </w:rPr>
      </w:pPr>
      <w:r>
        <w:rPr>
          <w:rFonts w:hint="eastAsia" w:ascii="楷体" w:hAnsi="楷体" w:eastAsia="楷体" w:cs="楷体"/>
          <w:sz w:val="24"/>
        </w:rPr>
        <w:t>合同编号：</w:t>
      </w:r>
    </w:p>
    <w:p>
      <w:pPr>
        <w:spacing w:line="480" w:lineRule="auto"/>
        <w:jc w:val="center"/>
        <w:rPr>
          <w:rFonts w:ascii="楷体" w:hAnsi="楷体" w:eastAsia="楷体" w:cs="楷体"/>
          <w:b/>
          <w:sz w:val="44"/>
          <w:szCs w:val="44"/>
        </w:rPr>
      </w:pPr>
      <w:r>
        <w:rPr>
          <w:rFonts w:hint="eastAsia" w:ascii="楷体" w:hAnsi="楷体" w:eastAsia="楷体" w:cs="楷体"/>
          <w:b/>
          <w:sz w:val="44"/>
          <w:szCs w:val="44"/>
        </w:rPr>
        <w:t>政府采购合同参考范本</w:t>
      </w:r>
    </w:p>
    <w:p>
      <w:pPr>
        <w:spacing w:line="480" w:lineRule="auto"/>
        <w:jc w:val="center"/>
        <w:rPr>
          <w:rFonts w:ascii="楷体" w:hAnsi="楷体" w:eastAsia="楷体" w:cs="楷体"/>
          <w:b/>
          <w:sz w:val="24"/>
        </w:rPr>
      </w:pPr>
      <w:r>
        <w:rPr>
          <w:rFonts w:hint="eastAsia" w:ascii="楷体" w:hAnsi="楷体" w:eastAsia="楷体" w:cs="楷体"/>
          <w:b/>
          <w:sz w:val="24"/>
        </w:rPr>
        <w:t>（服务类）</w:t>
      </w:r>
    </w:p>
    <w:p>
      <w:pPr>
        <w:pStyle w:val="33"/>
        <w:ind w:firstLine="0"/>
        <w:rPr>
          <w:rFonts w:ascii="楷体" w:hAnsi="楷体" w:eastAsia="楷体" w:cs="楷体"/>
          <w:szCs w:val="24"/>
        </w:rPr>
      </w:pPr>
    </w:p>
    <w:p>
      <w:pPr>
        <w:pStyle w:val="33"/>
        <w:ind w:firstLine="0"/>
        <w:rPr>
          <w:rFonts w:ascii="楷体" w:hAnsi="楷体" w:eastAsia="楷体" w:cs="楷体"/>
          <w:szCs w:val="24"/>
        </w:rPr>
      </w:pPr>
    </w:p>
    <w:p>
      <w:pPr>
        <w:pStyle w:val="33"/>
        <w:ind w:firstLine="0"/>
        <w:rPr>
          <w:rFonts w:ascii="楷体" w:hAnsi="楷体" w:eastAsia="楷体" w:cs="楷体"/>
          <w:szCs w:val="24"/>
        </w:rPr>
      </w:pPr>
    </w:p>
    <w:p>
      <w:pPr>
        <w:pStyle w:val="33"/>
        <w:ind w:firstLine="0"/>
        <w:jc w:val="center"/>
        <w:rPr>
          <w:rFonts w:ascii="楷体" w:hAnsi="楷体" w:eastAsia="楷体" w:cs="楷体"/>
          <w:b/>
          <w:szCs w:val="24"/>
        </w:rPr>
      </w:pPr>
      <w:r>
        <w:rPr>
          <w:rFonts w:hint="eastAsia" w:ascii="楷体" w:hAnsi="楷体" w:eastAsia="楷体" w:cs="楷体"/>
          <w:b/>
          <w:szCs w:val="24"/>
        </w:rPr>
        <w:t>第一部分 合同书</w:t>
      </w:r>
    </w:p>
    <w:p>
      <w:pPr>
        <w:pStyle w:val="33"/>
        <w:ind w:firstLine="0"/>
        <w:rPr>
          <w:rFonts w:ascii="楷体" w:hAnsi="楷体" w:eastAsia="楷体" w:cs="楷体"/>
          <w:szCs w:val="24"/>
        </w:rPr>
      </w:pPr>
    </w:p>
    <w:p>
      <w:pPr>
        <w:pStyle w:val="33"/>
        <w:ind w:firstLine="0"/>
        <w:rPr>
          <w:rFonts w:ascii="楷体" w:hAnsi="楷体" w:eastAsia="楷体" w:cs="楷体"/>
          <w:szCs w:val="24"/>
        </w:rPr>
      </w:pPr>
    </w:p>
    <w:p>
      <w:pPr>
        <w:spacing w:before="120" w:line="22" w:lineRule="atLeast"/>
        <w:rPr>
          <w:rFonts w:ascii="楷体" w:hAnsi="楷体" w:eastAsia="楷体" w:cs="楷体"/>
          <w:sz w:val="24"/>
        </w:rPr>
      </w:pPr>
    </w:p>
    <w:p>
      <w:pPr>
        <w:spacing w:before="120" w:line="22" w:lineRule="atLeast"/>
        <w:ind w:left="960"/>
        <w:rPr>
          <w:rFonts w:ascii="楷体" w:hAnsi="楷体" w:eastAsia="楷体" w:cs="楷体"/>
        </w:rPr>
      </w:pPr>
      <w:r>
        <w:rPr>
          <w:rFonts w:hint="eastAsia" w:ascii="楷体" w:hAnsi="楷体" w:eastAsia="楷体" w:cs="楷体"/>
          <w:sz w:val="24"/>
        </w:rPr>
        <w:t>项目名称：</w:t>
      </w:r>
    </w:p>
    <w:p>
      <w:pPr>
        <w:spacing w:before="120" w:line="22" w:lineRule="atLeast"/>
        <w:ind w:left="960"/>
        <w:rPr>
          <w:rFonts w:ascii="楷体" w:hAnsi="楷体" w:eastAsia="楷体" w:cs="楷体"/>
          <w:sz w:val="24"/>
        </w:rPr>
      </w:pPr>
      <w:r>
        <w:rPr>
          <w:rFonts w:hint="eastAsia" w:ascii="楷体" w:hAnsi="楷体" w:eastAsia="楷体" w:cs="楷体"/>
          <w:sz w:val="24"/>
        </w:rPr>
        <w:t>甲方：</w:t>
      </w:r>
    </w:p>
    <w:p>
      <w:pPr>
        <w:spacing w:before="120" w:line="22" w:lineRule="atLeast"/>
        <w:ind w:left="960"/>
        <w:rPr>
          <w:rFonts w:ascii="楷体" w:hAnsi="楷体" w:eastAsia="楷体" w:cs="楷体"/>
          <w:sz w:val="24"/>
        </w:rPr>
      </w:pPr>
      <w:r>
        <w:rPr>
          <w:rFonts w:hint="eastAsia" w:ascii="楷体" w:hAnsi="楷体" w:eastAsia="楷体" w:cs="楷体"/>
          <w:sz w:val="24"/>
        </w:rPr>
        <w:t>乙方：</w:t>
      </w:r>
    </w:p>
    <w:p>
      <w:pPr>
        <w:spacing w:before="120" w:line="22" w:lineRule="atLeast"/>
        <w:ind w:firstLine="972" w:firstLineChars="400"/>
        <w:rPr>
          <w:rFonts w:ascii="楷体" w:hAnsi="楷体" w:eastAsia="楷体" w:cs="楷体"/>
          <w:sz w:val="24"/>
          <w:u w:val="single"/>
        </w:rPr>
      </w:pPr>
      <w:r>
        <w:rPr>
          <w:rFonts w:hint="eastAsia" w:ascii="楷体" w:hAnsi="楷体" w:eastAsia="楷体" w:cs="楷体"/>
          <w:sz w:val="24"/>
        </w:rPr>
        <w:t>签订地：</w:t>
      </w:r>
    </w:p>
    <w:p>
      <w:pPr>
        <w:spacing w:before="120" w:line="22" w:lineRule="atLeast"/>
        <w:rPr>
          <w:rFonts w:ascii="楷体" w:hAnsi="楷体" w:eastAsia="楷体" w:cs="楷体"/>
          <w:sz w:val="24"/>
        </w:rPr>
      </w:pPr>
    </w:p>
    <w:p>
      <w:pPr>
        <w:spacing w:before="120" w:line="22" w:lineRule="atLeast"/>
        <w:ind w:firstLine="972" w:firstLineChars="400"/>
        <w:rPr>
          <w:rFonts w:ascii="楷体" w:hAnsi="楷体" w:eastAsia="楷体" w:cs="楷体"/>
          <w:sz w:val="24"/>
          <w:u w:val="single"/>
        </w:rPr>
      </w:pPr>
      <w:r>
        <w:rPr>
          <w:rFonts w:hint="eastAsia" w:ascii="楷体" w:hAnsi="楷体" w:eastAsia="楷体" w:cs="楷体"/>
          <w:sz w:val="24"/>
        </w:rPr>
        <w:t>签订日期：年月日</w:t>
      </w:r>
    </w:p>
    <w:p>
      <w:pPr>
        <w:autoSpaceDE w:val="0"/>
        <w:autoSpaceDN w:val="0"/>
        <w:adjustRightInd w:val="0"/>
        <w:spacing w:line="600" w:lineRule="exact"/>
        <w:ind w:firstLine="640"/>
        <w:jc w:val="center"/>
        <w:rPr>
          <w:rFonts w:ascii="楷体" w:hAnsi="楷体" w:eastAsia="楷体" w:cs="楷体"/>
          <w:sz w:val="24"/>
        </w:rPr>
        <w:sectPr>
          <w:headerReference r:id="rId9" w:type="first"/>
          <w:footerReference r:id="rId12" w:type="first"/>
          <w:headerReference r:id="rId7" w:type="default"/>
          <w:footerReference r:id="rId10" w:type="default"/>
          <w:headerReference r:id="rId8" w:type="even"/>
          <w:footerReference r:id="rId11" w:type="even"/>
          <w:pgSz w:w="11905" w:h="16838"/>
          <w:pgMar w:top="1440" w:right="1797" w:bottom="1440" w:left="1797" w:header="851" w:footer="992" w:gutter="0"/>
          <w:cols w:space="720" w:num="1"/>
          <w:docGrid w:type="linesAndChars" w:linePitch="319" w:charSpace="635"/>
        </w:sectPr>
      </w:pPr>
    </w:p>
    <w:p>
      <w:pPr>
        <w:spacing w:line="560" w:lineRule="exact"/>
        <w:ind w:firstLine="484" w:firstLineChars="200"/>
        <w:rPr>
          <w:rFonts w:ascii="楷体" w:hAnsi="楷体" w:eastAsia="楷体" w:cs="楷体"/>
          <w:sz w:val="24"/>
        </w:rPr>
      </w:pPr>
      <w:r>
        <w:rPr>
          <w:rFonts w:hint="eastAsia" w:ascii="楷体" w:hAnsi="楷体" w:eastAsia="楷体" w:cs="楷体"/>
          <w:sz w:val="24"/>
          <w:lang w:val="zh-CN"/>
        </w:rPr>
        <w:t>年月日</w:t>
      </w:r>
      <w:r>
        <w:rPr>
          <w:rFonts w:hint="eastAsia" w:ascii="楷体" w:hAnsi="楷体" w:eastAsia="楷体" w:cs="楷体"/>
          <w:sz w:val="24"/>
        </w:rPr>
        <w:t>，</w:t>
      </w:r>
      <w:r>
        <w:rPr>
          <w:rFonts w:hint="eastAsia" w:ascii="楷体" w:hAnsi="楷体" w:eastAsia="楷体" w:cs="楷体"/>
          <w:sz w:val="24"/>
          <w:u w:val="single"/>
        </w:rPr>
        <w:t xml:space="preserve">   （采购人名称）   </w:t>
      </w:r>
      <w:r>
        <w:rPr>
          <w:rFonts w:hint="eastAsia" w:ascii="楷体" w:hAnsi="楷体" w:eastAsia="楷体" w:cs="楷体"/>
          <w:sz w:val="24"/>
        </w:rPr>
        <w:t>以</w:t>
      </w:r>
      <w:r>
        <w:rPr>
          <w:rFonts w:hint="eastAsia" w:ascii="楷体" w:hAnsi="楷体" w:eastAsia="楷体" w:cs="楷体"/>
          <w:sz w:val="24"/>
          <w:u w:val="single"/>
        </w:rPr>
        <w:t xml:space="preserve">   （政府采购方式）  </w:t>
      </w:r>
      <w:r>
        <w:rPr>
          <w:rFonts w:hint="eastAsia" w:ascii="楷体" w:hAnsi="楷体" w:eastAsia="楷体" w:cs="楷体"/>
          <w:sz w:val="24"/>
        </w:rPr>
        <w:t>对</w:t>
      </w:r>
      <w:r>
        <w:rPr>
          <w:rFonts w:hint="eastAsia" w:ascii="楷体" w:hAnsi="楷体" w:eastAsia="楷体" w:cs="楷体"/>
          <w:sz w:val="24"/>
          <w:u w:val="single"/>
        </w:rPr>
        <w:t xml:space="preserve">   （同前页项目名称）   </w:t>
      </w:r>
      <w:r>
        <w:rPr>
          <w:rFonts w:hint="eastAsia" w:ascii="楷体" w:hAnsi="楷体" w:eastAsia="楷体" w:cs="楷体"/>
          <w:sz w:val="24"/>
        </w:rPr>
        <w:t>项目进行了采购。经</w:t>
      </w:r>
      <w:r>
        <w:rPr>
          <w:rFonts w:hint="eastAsia" w:ascii="楷体" w:hAnsi="楷体" w:eastAsia="楷体" w:cs="楷体"/>
          <w:sz w:val="24"/>
          <w:u w:val="single"/>
        </w:rPr>
        <w:t xml:space="preserve">   （相关评定主体名称）   </w:t>
      </w:r>
      <w:r>
        <w:rPr>
          <w:rFonts w:hint="eastAsia" w:ascii="楷体" w:hAnsi="楷体" w:eastAsia="楷体" w:cs="楷体"/>
          <w:sz w:val="24"/>
        </w:rPr>
        <w:t>评定，</w:t>
      </w:r>
      <w:r>
        <w:rPr>
          <w:rFonts w:hint="eastAsia" w:ascii="楷体" w:hAnsi="楷体" w:eastAsia="楷体" w:cs="楷体"/>
          <w:sz w:val="24"/>
          <w:u w:val="single"/>
        </w:rPr>
        <w:t xml:space="preserve">   （中标供应商名称） </w:t>
      </w:r>
      <w:r>
        <w:rPr>
          <w:rFonts w:hint="eastAsia" w:ascii="楷体" w:hAnsi="楷体" w:eastAsia="楷体" w:cs="楷体"/>
          <w:sz w:val="24"/>
        </w:rPr>
        <w:t>为该项目中标供应商。现于中标通知书发出之日起三十日内，按照采购文件确定的事项签订本合同。</w:t>
      </w:r>
    </w:p>
    <w:p>
      <w:pPr>
        <w:spacing w:line="560" w:lineRule="exact"/>
        <w:ind w:firstLine="484" w:firstLineChars="200"/>
        <w:rPr>
          <w:rFonts w:ascii="楷体" w:hAnsi="楷体" w:eastAsia="楷体" w:cs="楷体"/>
          <w:sz w:val="24"/>
        </w:rPr>
      </w:pPr>
      <w:r>
        <w:rPr>
          <w:rFonts w:hint="eastAsia" w:ascii="楷体" w:hAnsi="楷体" w:eastAsia="楷体" w:cs="楷体"/>
          <w:sz w:val="24"/>
          <w:lang w:val="zh-CN"/>
        </w:rPr>
        <w:t>根据《中华人民共和国合同法》、《中华人民共和国政府采购法》等相关法律法规之规定，按照平等、自愿、公平和诚实信用的原则，经</w:t>
      </w:r>
      <w:r>
        <w:rPr>
          <w:rFonts w:hint="eastAsia" w:ascii="楷体" w:hAnsi="楷体" w:eastAsia="楷体" w:cs="楷体"/>
          <w:sz w:val="24"/>
          <w:u w:val="single"/>
        </w:rPr>
        <w:t xml:space="preserve">   （采购人名称）   </w:t>
      </w:r>
      <w:r>
        <w:rPr>
          <w:rFonts w:hint="eastAsia" w:ascii="楷体" w:hAnsi="楷体" w:eastAsia="楷体" w:cs="楷体"/>
          <w:sz w:val="24"/>
          <w:lang w:val="zh-CN"/>
        </w:rPr>
        <w:t>(以下简称：甲方)和</w:t>
      </w:r>
      <w:r>
        <w:rPr>
          <w:rFonts w:hint="eastAsia" w:ascii="楷体" w:hAnsi="楷体" w:eastAsia="楷体" w:cs="楷体"/>
          <w:sz w:val="24"/>
          <w:u w:val="single"/>
        </w:rPr>
        <w:t xml:space="preserve">   （中标供应商名称）   </w:t>
      </w:r>
      <w:r>
        <w:rPr>
          <w:rFonts w:hint="eastAsia" w:ascii="楷体" w:hAnsi="楷体" w:eastAsia="楷体" w:cs="楷体"/>
          <w:sz w:val="24"/>
          <w:lang w:val="zh-CN"/>
        </w:rPr>
        <w:t>(以下简称：乙方)协商一致，约定以下合同</w:t>
      </w:r>
      <w:r>
        <w:rPr>
          <w:rFonts w:hint="eastAsia" w:ascii="楷体" w:hAnsi="楷体" w:eastAsia="楷体" w:cs="楷体"/>
          <w:sz w:val="24"/>
        </w:rPr>
        <w:t>条款，以兹共同遵守、全面履行。</w:t>
      </w:r>
    </w:p>
    <w:p>
      <w:pPr>
        <w:spacing w:line="560" w:lineRule="exact"/>
        <w:ind w:firstLine="484" w:firstLineChars="200"/>
        <w:outlineLvl w:val="0"/>
        <w:rPr>
          <w:rFonts w:ascii="楷体" w:hAnsi="楷体" w:eastAsia="楷体" w:cs="楷体"/>
          <w:sz w:val="24"/>
        </w:rPr>
      </w:pPr>
      <w:bookmarkStart w:id="390" w:name="_Toc19273"/>
      <w:bookmarkStart w:id="391" w:name="_Toc20421"/>
      <w:bookmarkStart w:id="392" w:name="_Toc15367"/>
      <w:bookmarkStart w:id="393" w:name="_Toc28855"/>
      <w:r>
        <w:rPr>
          <w:rFonts w:hint="eastAsia" w:ascii="楷体" w:hAnsi="楷体" w:eastAsia="楷体" w:cs="楷体"/>
          <w:b/>
          <w:sz w:val="24"/>
        </w:rPr>
        <w:t>1.1 合同组成部分</w:t>
      </w:r>
      <w:bookmarkEnd w:id="390"/>
      <w:bookmarkEnd w:id="391"/>
      <w:bookmarkEnd w:id="392"/>
      <w:bookmarkEnd w:id="393"/>
    </w:p>
    <w:p>
      <w:pPr>
        <w:spacing w:line="560" w:lineRule="exact"/>
        <w:ind w:firstLine="484" w:firstLineChars="200"/>
        <w:rPr>
          <w:rFonts w:ascii="楷体" w:hAnsi="楷体" w:eastAsia="楷体" w:cs="楷体"/>
          <w:sz w:val="24"/>
        </w:rPr>
      </w:pPr>
      <w:r>
        <w:rPr>
          <w:rFonts w:hint="eastAsia" w:ascii="楷体" w:hAnsi="楷体" w:eastAsia="楷体" w:cs="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4" w:firstLineChars="200"/>
        <w:rPr>
          <w:rFonts w:ascii="楷体" w:hAnsi="楷体" w:eastAsia="楷体" w:cs="楷体"/>
          <w:sz w:val="24"/>
        </w:rPr>
      </w:pPr>
      <w:r>
        <w:rPr>
          <w:rFonts w:hint="eastAsia" w:ascii="楷体" w:hAnsi="楷体" w:eastAsia="楷体" w:cs="楷体"/>
          <w:sz w:val="24"/>
        </w:rPr>
        <w:t>1.1.1 本合同及其补充合同、变更协议；</w:t>
      </w:r>
    </w:p>
    <w:p>
      <w:pPr>
        <w:spacing w:line="560" w:lineRule="exact"/>
        <w:ind w:firstLine="484" w:firstLineChars="200"/>
        <w:rPr>
          <w:rFonts w:ascii="楷体" w:hAnsi="楷体" w:eastAsia="楷体" w:cs="楷体"/>
          <w:sz w:val="24"/>
        </w:rPr>
      </w:pPr>
      <w:r>
        <w:rPr>
          <w:rFonts w:hint="eastAsia" w:ascii="楷体" w:hAnsi="楷体" w:eastAsia="楷体" w:cs="楷体"/>
          <w:sz w:val="24"/>
        </w:rPr>
        <w:t>1.1.2 中标通知书；</w:t>
      </w:r>
    </w:p>
    <w:p>
      <w:pPr>
        <w:spacing w:line="560" w:lineRule="exact"/>
        <w:ind w:firstLine="484" w:firstLineChars="200"/>
        <w:rPr>
          <w:rFonts w:ascii="楷体" w:hAnsi="楷体" w:eastAsia="楷体" w:cs="楷体"/>
          <w:sz w:val="24"/>
        </w:rPr>
      </w:pPr>
      <w:r>
        <w:rPr>
          <w:rFonts w:hint="eastAsia" w:ascii="楷体" w:hAnsi="楷体" w:eastAsia="楷体" w:cs="楷体"/>
          <w:sz w:val="24"/>
        </w:rPr>
        <w:t>1.1.3 投标文件（含澄清或者说明文件）；</w:t>
      </w:r>
    </w:p>
    <w:p>
      <w:pPr>
        <w:spacing w:line="560" w:lineRule="exact"/>
        <w:ind w:firstLine="484" w:firstLineChars="200"/>
        <w:rPr>
          <w:rFonts w:ascii="楷体" w:hAnsi="楷体" w:eastAsia="楷体" w:cs="楷体"/>
          <w:sz w:val="24"/>
        </w:rPr>
      </w:pPr>
      <w:r>
        <w:rPr>
          <w:rFonts w:hint="eastAsia" w:ascii="楷体" w:hAnsi="楷体" w:eastAsia="楷体" w:cs="楷体"/>
          <w:sz w:val="24"/>
        </w:rPr>
        <w:t>1.1.4 招标文件（含澄清或者修改文件）；</w:t>
      </w:r>
    </w:p>
    <w:p>
      <w:pPr>
        <w:spacing w:line="560" w:lineRule="exact"/>
        <w:ind w:firstLine="484" w:firstLineChars="200"/>
        <w:rPr>
          <w:rFonts w:ascii="楷体" w:hAnsi="楷体" w:eastAsia="楷体" w:cs="楷体"/>
          <w:sz w:val="24"/>
        </w:rPr>
      </w:pPr>
      <w:r>
        <w:rPr>
          <w:rFonts w:hint="eastAsia" w:ascii="楷体" w:hAnsi="楷体" w:eastAsia="楷体" w:cs="楷体"/>
          <w:sz w:val="24"/>
        </w:rPr>
        <w:t>1.1.5 其他相关采购文件。</w:t>
      </w:r>
    </w:p>
    <w:p>
      <w:pPr>
        <w:spacing w:line="560" w:lineRule="exact"/>
        <w:ind w:firstLine="484" w:firstLineChars="200"/>
        <w:outlineLvl w:val="0"/>
        <w:rPr>
          <w:rFonts w:ascii="楷体" w:hAnsi="楷体" w:eastAsia="楷体" w:cs="楷体"/>
          <w:b/>
          <w:sz w:val="24"/>
        </w:rPr>
      </w:pPr>
      <w:bookmarkStart w:id="394" w:name="_Toc18585"/>
      <w:bookmarkStart w:id="395" w:name="_Toc6311"/>
      <w:bookmarkStart w:id="396" w:name="_Toc6773"/>
      <w:bookmarkStart w:id="397" w:name="_Toc22185"/>
      <w:bookmarkStart w:id="398" w:name="_Toc2918"/>
      <w:r>
        <w:rPr>
          <w:rFonts w:hint="eastAsia" w:ascii="楷体" w:hAnsi="楷体" w:eastAsia="楷体" w:cs="楷体"/>
          <w:b/>
          <w:sz w:val="24"/>
        </w:rPr>
        <w:t>1.2 标的</w:t>
      </w:r>
      <w:bookmarkEnd w:id="394"/>
      <w:bookmarkEnd w:id="395"/>
      <w:bookmarkEnd w:id="396"/>
      <w:bookmarkEnd w:id="397"/>
      <w:bookmarkEnd w:id="398"/>
    </w:p>
    <w:p>
      <w:pPr>
        <w:spacing w:line="560" w:lineRule="exact"/>
        <w:ind w:firstLine="484" w:firstLineChars="200"/>
        <w:rPr>
          <w:rFonts w:ascii="楷体" w:hAnsi="楷体" w:eastAsia="楷体" w:cs="楷体"/>
          <w:sz w:val="24"/>
          <w:u w:val="single"/>
        </w:rPr>
      </w:pPr>
      <w:r>
        <w:rPr>
          <w:rFonts w:hint="eastAsia" w:ascii="楷体" w:hAnsi="楷体" w:eastAsia="楷体" w:cs="楷体"/>
          <w:sz w:val="24"/>
        </w:rPr>
        <w:t>1.2.1 标的名称：；</w:t>
      </w:r>
    </w:p>
    <w:p>
      <w:pPr>
        <w:spacing w:line="560" w:lineRule="exact"/>
        <w:ind w:firstLine="484" w:firstLineChars="200"/>
        <w:rPr>
          <w:rFonts w:ascii="楷体" w:hAnsi="楷体" w:eastAsia="楷体" w:cs="楷体"/>
          <w:sz w:val="24"/>
          <w:u w:val="single"/>
        </w:rPr>
      </w:pPr>
      <w:r>
        <w:rPr>
          <w:rFonts w:hint="eastAsia" w:ascii="楷体" w:hAnsi="楷体" w:eastAsia="楷体" w:cs="楷体"/>
          <w:sz w:val="24"/>
        </w:rPr>
        <w:t>1.2.2 标的数量：；</w:t>
      </w:r>
    </w:p>
    <w:p>
      <w:pPr>
        <w:spacing w:line="560" w:lineRule="exact"/>
        <w:ind w:firstLine="484" w:firstLineChars="200"/>
        <w:rPr>
          <w:rFonts w:ascii="楷体" w:hAnsi="楷体" w:eastAsia="楷体" w:cs="楷体"/>
          <w:sz w:val="24"/>
        </w:rPr>
      </w:pPr>
      <w:r>
        <w:rPr>
          <w:rFonts w:hint="eastAsia" w:ascii="楷体" w:hAnsi="楷体" w:eastAsia="楷体" w:cs="楷体"/>
          <w:sz w:val="24"/>
        </w:rPr>
        <w:t>1.2.3 标的质量：</w:t>
      </w:r>
      <w:r>
        <w:rPr>
          <w:rFonts w:hint="eastAsia" w:ascii="楷体" w:hAnsi="楷体" w:eastAsia="楷体" w:cs="楷体"/>
          <w:sz w:val="24"/>
          <w:u w:val="single"/>
        </w:rPr>
        <w:t xml:space="preserve">　　　　　　　　　                      　      </w:t>
      </w:r>
      <w:r>
        <w:rPr>
          <w:rFonts w:hint="eastAsia" w:ascii="楷体" w:hAnsi="楷体" w:eastAsia="楷体" w:cs="楷体"/>
          <w:sz w:val="24"/>
        </w:rPr>
        <w:t>。</w:t>
      </w:r>
    </w:p>
    <w:p>
      <w:pPr>
        <w:spacing w:line="560" w:lineRule="exact"/>
        <w:ind w:firstLine="484" w:firstLineChars="200"/>
        <w:outlineLvl w:val="0"/>
        <w:rPr>
          <w:rFonts w:ascii="楷体" w:hAnsi="楷体" w:eastAsia="楷体" w:cs="楷体"/>
          <w:b/>
          <w:sz w:val="24"/>
        </w:rPr>
      </w:pPr>
      <w:bookmarkStart w:id="399" w:name="_Toc5635"/>
      <w:bookmarkStart w:id="400" w:name="_Toc21124"/>
      <w:bookmarkStart w:id="401" w:name="_Toc13918"/>
      <w:bookmarkStart w:id="402" w:name="_Toc1386"/>
      <w:bookmarkStart w:id="403" w:name="_Toc4929"/>
      <w:r>
        <w:rPr>
          <w:rFonts w:hint="eastAsia" w:ascii="楷体" w:hAnsi="楷体" w:eastAsia="楷体" w:cs="楷体"/>
          <w:b/>
          <w:sz w:val="24"/>
        </w:rPr>
        <w:t>1.3 价款</w:t>
      </w:r>
      <w:bookmarkEnd w:id="399"/>
      <w:bookmarkEnd w:id="400"/>
      <w:bookmarkEnd w:id="401"/>
      <w:bookmarkEnd w:id="402"/>
      <w:bookmarkEnd w:id="403"/>
    </w:p>
    <w:p>
      <w:pPr>
        <w:spacing w:line="560" w:lineRule="exact"/>
        <w:ind w:firstLine="484" w:firstLineChars="200"/>
        <w:rPr>
          <w:rFonts w:ascii="楷体" w:hAnsi="楷体" w:eastAsia="楷体" w:cs="楷体"/>
          <w:sz w:val="24"/>
        </w:rPr>
      </w:pPr>
      <w:r>
        <w:rPr>
          <w:rFonts w:hint="eastAsia" w:ascii="楷体" w:hAnsi="楷体" w:eastAsia="楷体" w:cs="楷体"/>
          <w:sz w:val="24"/>
        </w:rPr>
        <w:t>本合同总价为：￥元（大写：元人民币）。</w:t>
      </w:r>
    </w:p>
    <w:p>
      <w:pPr>
        <w:spacing w:line="560" w:lineRule="exact"/>
        <w:ind w:firstLine="484" w:firstLineChars="200"/>
        <w:rPr>
          <w:rFonts w:ascii="楷体" w:hAnsi="楷体" w:eastAsia="楷体" w:cs="楷体"/>
          <w:sz w:val="24"/>
          <w:u w:val="single"/>
        </w:rPr>
      </w:pPr>
      <w:r>
        <w:rPr>
          <w:rFonts w:hint="eastAsia" w:ascii="楷体" w:hAnsi="楷体" w:eastAsia="楷体" w:cs="楷体"/>
          <w:sz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5"/>
              <w:spacing w:line="560" w:lineRule="exact"/>
              <w:jc w:val="center"/>
              <w:rPr>
                <w:rFonts w:ascii="楷体" w:hAnsi="楷体" w:eastAsia="楷体" w:cs="楷体"/>
                <w:kern w:val="2"/>
                <w:sz w:val="24"/>
                <w:szCs w:val="24"/>
              </w:rPr>
            </w:pPr>
            <w:r>
              <w:rPr>
                <w:rFonts w:hint="eastAsia" w:ascii="楷体" w:hAnsi="楷体" w:eastAsia="楷体" w:cs="楷体"/>
                <w:kern w:val="2"/>
                <w:sz w:val="24"/>
                <w:szCs w:val="24"/>
              </w:rPr>
              <w:t>序号</w:t>
            </w:r>
          </w:p>
        </w:tc>
        <w:tc>
          <w:tcPr>
            <w:tcW w:w="3402" w:type="dxa"/>
            <w:noWrap/>
            <w:vAlign w:val="center"/>
          </w:tcPr>
          <w:p>
            <w:pPr>
              <w:pStyle w:val="35"/>
              <w:spacing w:line="560" w:lineRule="exact"/>
              <w:ind w:firstLine="200"/>
              <w:jc w:val="center"/>
              <w:rPr>
                <w:rFonts w:ascii="楷体" w:hAnsi="楷体" w:eastAsia="楷体" w:cs="楷体"/>
                <w:kern w:val="2"/>
                <w:sz w:val="24"/>
                <w:szCs w:val="24"/>
              </w:rPr>
            </w:pPr>
            <w:r>
              <w:rPr>
                <w:rFonts w:hint="eastAsia" w:ascii="楷体" w:hAnsi="楷体" w:eastAsia="楷体" w:cs="楷体"/>
                <w:kern w:val="2"/>
                <w:sz w:val="24"/>
                <w:szCs w:val="24"/>
              </w:rPr>
              <w:t>分项名称</w:t>
            </w:r>
          </w:p>
        </w:tc>
        <w:tc>
          <w:tcPr>
            <w:tcW w:w="2552" w:type="dxa"/>
            <w:noWrap/>
            <w:vAlign w:val="center"/>
          </w:tcPr>
          <w:p>
            <w:pPr>
              <w:pStyle w:val="35"/>
              <w:spacing w:line="560" w:lineRule="exact"/>
              <w:jc w:val="center"/>
              <w:rPr>
                <w:rFonts w:ascii="楷体" w:hAnsi="楷体" w:eastAsia="楷体" w:cs="楷体"/>
                <w:kern w:val="2"/>
                <w:sz w:val="24"/>
                <w:szCs w:val="24"/>
              </w:rPr>
            </w:pPr>
            <w:r>
              <w:rPr>
                <w:rFonts w:hint="eastAsia" w:ascii="楷体" w:hAnsi="楷体" w:eastAsia="楷体" w:cs="楷体"/>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5"/>
              <w:spacing w:line="560" w:lineRule="exact"/>
              <w:ind w:firstLine="200"/>
              <w:jc w:val="center"/>
              <w:rPr>
                <w:rFonts w:ascii="楷体" w:hAnsi="楷体" w:eastAsia="楷体" w:cs="楷体"/>
                <w:kern w:val="2"/>
                <w:sz w:val="24"/>
                <w:szCs w:val="24"/>
              </w:rPr>
            </w:pPr>
          </w:p>
        </w:tc>
        <w:tc>
          <w:tcPr>
            <w:tcW w:w="3402" w:type="dxa"/>
            <w:noWrap/>
            <w:vAlign w:val="center"/>
          </w:tcPr>
          <w:p>
            <w:pPr>
              <w:pStyle w:val="35"/>
              <w:spacing w:line="560" w:lineRule="exact"/>
              <w:ind w:firstLine="200"/>
              <w:jc w:val="center"/>
              <w:rPr>
                <w:rFonts w:ascii="楷体" w:hAnsi="楷体" w:eastAsia="楷体" w:cs="楷体"/>
                <w:kern w:val="2"/>
                <w:sz w:val="24"/>
                <w:szCs w:val="24"/>
              </w:rPr>
            </w:pPr>
          </w:p>
        </w:tc>
        <w:tc>
          <w:tcPr>
            <w:tcW w:w="2552" w:type="dxa"/>
            <w:noWrap/>
            <w:vAlign w:val="center"/>
          </w:tcPr>
          <w:p>
            <w:pPr>
              <w:pStyle w:val="35"/>
              <w:spacing w:line="560" w:lineRule="exact"/>
              <w:ind w:firstLine="200"/>
              <w:jc w:val="center"/>
              <w:rPr>
                <w:rFonts w:ascii="楷体" w:hAnsi="楷体" w:eastAsia="楷体" w:cs="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5"/>
              <w:spacing w:line="560" w:lineRule="exact"/>
              <w:ind w:firstLine="200"/>
              <w:jc w:val="center"/>
              <w:rPr>
                <w:rFonts w:ascii="楷体" w:hAnsi="楷体" w:eastAsia="楷体" w:cs="楷体"/>
                <w:kern w:val="2"/>
                <w:sz w:val="24"/>
                <w:szCs w:val="24"/>
              </w:rPr>
            </w:pPr>
          </w:p>
        </w:tc>
        <w:tc>
          <w:tcPr>
            <w:tcW w:w="3402" w:type="dxa"/>
            <w:noWrap/>
            <w:vAlign w:val="center"/>
          </w:tcPr>
          <w:p>
            <w:pPr>
              <w:pStyle w:val="35"/>
              <w:spacing w:line="560" w:lineRule="exact"/>
              <w:ind w:firstLine="200"/>
              <w:jc w:val="center"/>
              <w:rPr>
                <w:rFonts w:ascii="楷体" w:hAnsi="楷体" w:eastAsia="楷体" w:cs="楷体"/>
                <w:kern w:val="2"/>
                <w:sz w:val="24"/>
                <w:szCs w:val="24"/>
              </w:rPr>
            </w:pPr>
          </w:p>
        </w:tc>
        <w:tc>
          <w:tcPr>
            <w:tcW w:w="2552" w:type="dxa"/>
            <w:noWrap/>
            <w:vAlign w:val="center"/>
          </w:tcPr>
          <w:p>
            <w:pPr>
              <w:pStyle w:val="35"/>
              <w:spacing w:line="560" w:lineRule="exact"/>
              <w:ind w:firstLine="200"/>
              <w:jc w:val="center"/>
              <w:rPr>
                <w:rFonts w:ascii="楷体" w:hAnsi="楷体" w:eastAsia="楷体" w:cs="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5"/>
              <w:spacing w:line="560" w:lineRule="exact"/>
              <w:ind w:firstLine="200"/>
              <w:jc w:val="center"/>
              <w:rPr>
                <w:rFonts w:ascii="楷体" w:hAnsi="楷体" w:eastAsia="楷体" w:cs="楷体"/>
                <w:kern w:val="2"/>
                <w:sz w:val="24"/>
                <w:szCs w:val="24"/>
              </w:rPr>
            </w:pPr>
          </w:p>
        </w:tc>
        <w:tc>
          <w:tcPr>
            <w:tcW w:w="3402" w:type="dxa"/>
            <w:noWrap/>
            <w:vAlign w:val="center"/>
          </w:tcPr>
          <w:p>
            <w:pPr>
              <w:pStyle w:val="35"/>
              <w:spacing w:line="560" w:lineRule="exact"/>
              <w:ind w:firstLine="200"/>
              <w:jc w:val="center"/>
              <w:rPr>
                <w:rFonts w:ascii="楷体" w:hAnsi="楷体" w:eastAsia="楷体" w:cs="楷体"/>
                <w:kern w:val="2"/>
                <w:sz w:val="24"/>
                <w:szCs w:val="24"/>
              </w:rPr>
            </w:pPr>
          </w:p>
        </w:tc>
        <w:tc>
          <w:tcPr>
            <w:tcW w:w="2552" w:type="dxa"/>
            <w:noWrap/>
            <w:vAlign w:val="center"/>
          </w:tcPr>
          <w:p>
            <w:pPr>
              <w:pStyle w:val="35"/>
              <w:spacing w:line="560" w:lineRule="exact"/>
              <w:ind w:firstLine="200"/>
              <w:jc w:val="center"/>
              <w:rPr>
                <w:rFonts w:ascii="楷体" w:hAnsi="楷体" w:eastAsia="楷体" w:cs="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35"/>
              <w:spacing w:line="560" w:lineRule="exact"/>
              <w:ind w:firstLine="200"/>
              <w:jc w:val="center"/>
              <w:rPr>
                <w:rFonts w:ascii="楷体" w:hAnsi="楷体" w:eastAsia="楷体" w:cs="楷体"/>
                <w:kern w:val="2"/>
                <w:sz w:val="24"/>
                <w:szCs w:val="24"/>
              </w:rPr>
            </w:pPr>
          </w:p>
        </w:tc>
        <w:tc>
          <w:tcPr>
            <w:tcW w:w="3402" w:type="dxa"/>
            <w:noWrap/>
            <w:vAlign w:val="center"/>
          </w:tcPr>
          <w:p>
            <w:pPr>
              <w:pStyle w:val="35"/>
              <w:spacing w:line="560" w:lineRule="exact"/>
              <w:ind w:firstLine="200"/>
              <w:jc w:val="center"/>
              <w:rPr>
                <w:rFonts w:ascii="楷体" w:hAnsi="楷体" w:eastAsia="楷体" w:cs="楷体"/>
                <w:kern w:val="2"/>
                <w:sz w:val="24"/>
                <w:szCs w:val="24"/>
              </w:rPr>
            </w:pPr>
          </w:p>
        </w:tc>
        <w:tc>
          <w:tcPr>
            <w:tcW w:w="2552" w:type="dxa"/>
            <w:noWrap/>
            <w:vAlign w:val="center"/>
          </w:tcPr>
          <w:p>
            <w:pPr>
              <w:pStyle w:val="35"/>
              <w:spacing w:line="560" w:lineRule="exact"/>
              <w:ind w:firstLine="200"/>
              <w:jc w:val="center"/>
              <w:rPr>
                <w:rFonts w:ascii="楷体" w:hAnsi="楷体" w:eastAsia="楷体" w:cs="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pPr>
              <w:pStyle w:val="35"/>
              <w:spacing w:line="560" w:lineRule="exact"/>
              <w:ind w:firstLine="200"/>
              <w:jc w:val="center"/>
              <w:rPr>
                <w:rFonts w:ascii="楷体" w:hAnsi="楷体" w:eastAsia="楷体" w:cs="楷体"/>
                <w:kern w:val="2"/>
                <w:sz w:val="24"/>
                <w:szCs w:val="24"/>
              </w:rPr>
            </w:pPr>
            <w:r>
              <w:rPr>
                <w:rFonts w:hint="eastAsia" w:ascii="楷体" w:hAnsi="楷体" w:eastAsia="楷体" w:cs="楷体"/>
                <w:kern w:val="2"/>
                <w:sz w:val="24"/>
                <w:szCs w:val="24"/>
              </w:rPr>
              <w:t>总价</w:t>
            </w:r>
          </w:p>
        </w:tc>
        <w:tc>
          <w:tcPr>
            <w:tcW w:w="2552" w:type="dxa"/>
            <w:noWrap/>
            <w:vAlign w:val="center"/>
          </w:tcPr>
          <w:p>
            <w:pPr>
              <w:pStyle w:val="35"/>
              <w:spacing w:line="560" w:lineRule="exact"/>
              <w:ind w:firstLine="200"/>
              <w:jc w:val="center"/>
              <w:rPr>
                <w:rFonts w:ascii="楷体" w:hAnsi="楷体" w:eastAsia="楷体" w:cs="楷体"/>
                <w:kern w:val="2"/>
                <w:sz w:val="24"/>
                <w:szCs w:val="24"/>
              </w:rPr>
            </w:pPr>
          </w:p>
        </w:tc>
      </w:tr>
    </w:tbl>
    <w:p>
      <w:pPr>
        <w:spacing w:line="560" w:lineRule="exact"/>
        <w:ind w:firstLine="484" w:firstLineChars="200"/>
        <w:outlineLvl w:val="0"/>
        <w:rPr>
          <w:rFonts w:ascii="楷体" w:hAnsi="楷体" w:eastAsia="楷体" w:cs="楷体"/>
          <w:b/>
          <w:sz w:val="24"/>
        </w:rPr>
      </w:pPr>
      <w:bookmarkStart w:id="404" w:name="_Toc26916"/>
      <w:bookmarkStart w:id="405" w:name="_Toc30506"/>
      <w:bookmarkStart w:id="406" w:name="_Toc14993"/>
      <w:bookmarkStart w:id="407" w:name="_Toc30158"/>
      <w:bookmarkStart w:id="408" w:name="_Toc3654"/>
      <w:r>
        <w:rPr>
          <w:rFonts w:hint="eastAsia" w:ascii="楷体" w:hAnsi="楷体" w:eastAsia="楷体" w:cs="楷体"/>
          <w:b/>
          <w:sz w:val="24"/>
        </w:rPr>
        <w:t>1.4 付款方式和发票开具方式</w:t>
      </w:r>
      <w:bookmarkEnd w:id="404"/>
      <w:bookmarkEnd w:id="405"/>
      <w:bookmarkEnd w:id="406"/>
      <w:bookmarkEnd w:id="407"/>
      <w:bookmarkEnd w:id="408"/>
    </w:p>
    <w:p>
      <w:pPr>
        <w:pStyle w:val="20"/>
        <w:spacing w:line="360" w:lineRule="auto"/>
        <w:ind w:firstLine="484" w:firstLineChars="200"/>
        <w:rPr>
          <w:rFonts w:ascii="楷体" w:hAnsi="楷体" w:eastAsia="楷体" w:cs="楷体"/>
          <w:b/>
          <w:sz w:val="24"/>
          <w:u w:val="single"/>
        </w:rPr>
      </w:pPr>
      <w:r>
        <w:rPr>
          <w:rFonts w:hint="eastAsia" w:ascii="楷体" w:hAnsi="楷体" w:eastAsia="楷体" w:cs="楷体"/>
          <w:sz w:val="24"/>
        </w:rPr>
        <w:t>1.4.1付款方式：</w:t>
      </w:r>
      <w:r>
        <w:rPr>
          <w:rFonts w:hint="eastAsia" w:ascii="楷体" w:hAnsi="楷体" w:eastAsia="楷体" w:cs="楷体"/>
          <w:b/>
          <w:bCs/>
          <w:i/>
          <w:iCs/>
          <w:sz w:val="24"/>
          <w:u w:val="single"/>
        </w:rPr>
        <w:t xml:space="preserve">                                    。</w:t>
      </w:r>
    </w:p>
    <w:p>
      <w:pPr>
        <w:spacing w:line="560" w:lineRule="exact"/>
        <w:ind w:firstLine="484" w:firstLineChars="200"/>
        <w:rPr>
          <w:rFonts w:ascii="楷体" w:hAnsi="楷体" w:eastAsia="楷体" w:cs="楷体"/>
          <w:sz w:val="24"/>
        </w:rPr>
      </w:pPr>
      <w:r>
        <w:rPr>
          <w:rFonts w:hint="eastAsia" w:ascii="楷体" w:hAnsi="楷体" w:eastAsia="楷体" w:cs="楷体"/>
          <w:sz w:val="24"/>
        </w:rPr>
        <w:t>1.4.2 发票开具方式：</w:t>
      </w:r>
      <w:r>
        <w:rPr>
          <w:rFonts w:hint="eastAsia" w:ascii="楷体" w:hAnsi="楷体" w:eastAsia="楷体" w:cs="楷体"/>
          <w:i/>
          <w:iCs/>
          <w:sz w:val="24"/>
          <w:u w:val="single"/>
        </w:rPr>
        <w:t xml:space="preserve">增值税发票 </w:t>
      </w:r>
      <w:r>
        <w:rPr>
          <w:rFonts w:hint="eastAsia" w:ascii="楷体" w:hAnsi="楷体" w:eastAsia="楷体" w:cs="楷体"/>
          <w:sz w:val="24"/>
        </w:rPr>
        <w:t>。</w:t>
      </w:r>
    </w:p>
    <w:p>
      <w:pPr>
        <w:spacing w:line="560" w:lineRule="exact"/>
        <w:ind w:firstLine="484" w:firstLineChars="200"/>
        <w:outlineLvl w:val="0"/>
        <w:rPr>
          <w:rFonts w:ascii="楷体" w:hAnsi="楷体" w:eastAsia="楷体" w:cs="楷体"/>
          <w:b/>
          <w:sz w:val="24"/>
        </w:rPr>
      </w:pPr>
      <w:bookmarkStart w:id="409" w:name="_Toc3625"/>
      <w:bookmarkStart w:id="410" w:name="_Toc11108"/>
      <w:bookmarkStart w:id="411" w:name="_Toc4760"/>
      <w:bookmarkStart w:id="412" w:name="_Toc8772"/>
      <w:bookmarkStart w:id="413" w:name="_Toc31421"/>
      <w:r>
        <w:rPr>
          <w:rFonts w:hint="eastAsia" w:ascii="楷体" w:hAnsi="楷体" w:eastAsia="楷体" w:cs="楷体"/>
          <w:b/>
          <w:sz w:val="24"/>
        </w:rPr>
        <w:t>1.5 履行期限、地点和方式</w:t>
      </w:r>
      <w:bookmarkEnd w:id="409"/>
      <w:bookmarkEnd w:id="410"/>
      <w:bookmarkEnd w:id="411"/>
      <w:bookmarkEnd w:id="412"/>
      <w:bookmarkEnd w:id="413"/>
    </w:p>
    <w:p>
      <w:pPr>
        <w:spacing w:line="560" w:lineRule="exact"/>
        <w:ind w:firstLine="484" w:firstLineChars="200"/>
        <w:rPr>
          <w:rFonts w:ascii="楷体" w:hAnsi="楷体" w:eastAsia="楷体" w:cs="楷体"/>
          <w:sz w:val="24"/>
          <w:u w:val="single"/>
        </w:rPr>
      </w:pPr>
      <w:r>
        <w:rPr>
          <w:rFonts w:hint="eastAsia" w:ascii="楷体" w:hAnsi="楷体" w:eastAsia="楷体" w:cs="楷体"/>
          <w:sz w:val="24"/>
        </w:rPr>
        <w:t>1.5.1 履行期限：</w:t>
      </w:r>
      <w:r>
        <w:rPr>
          <w:rFonts w:hint="eastAsia" w:ascii="楷体" w:hAnsi="楷体" w:eastAsia="楷体" w:cs="楷体"/>
          <w:b/>
          <w:bCs/>
          <w:i/>
          <w:iCs/>
          <w:sz w:val="24"/>
          <w:u w:val="single"/>
        </w:rPr>
        <w:t xml:space="preserve">                                            。</w:t>
      </w:r>
    </w:p>
    <w:p>
      <w:pPr>
        <w:spacing w:line="560" w:lineRule="exact"/>
        <w:ind w:firstLine="484" w:firstLineChars="200"/>
        <w:rPr>
          <w:rFonts w:ascii="楷体" w:hAnsi="楷体" w:eastAsia="楷体" w:cs="楷体"/>
          <w:sz w:val="24"/>
        </w:rPr>
      </w:pPr>
      <w:r>
        <w:rPr>
          <w:rFonts w:hint="eastAsia" w:ascii="楷体" w:hAnsi="楷体" w:eastAsia="楷体" w:cs="楷体"/>
          <w:sz w:val="24"/>
        </w:rPr>
        <w:t>1.5.2 履行地点：；</w:t>
      </w:r>
    </w:p>
    <w:p>
      <w:pPr>
        <w:spacing w:line="560" w:lineRule="exact"/>
        <w:ind w:firstLine="484" w:firstLineChars="200"/>
        <w:rPr>
          <w:rFonts w:ascii="楷体" w:hAnsi="楷体" w:eastAsia="楷体" w:cs="楷体"/>
          <w:sz w:val="24"/>
        </w:rPr>
      </w:pPr>
      <w:r>
        <w:rPr>
          <w:rFonts w:hint="eastAsia" w:ascii="楷体" w:hAnsi="楷体" w:eastAsia="楷体" w:cs="楷体"/>
          <w:sz w:val="24"/>
        </w:rPr>
        <w:t>1.5.3 履行方式：</w:t>
      </w:r>
      <w:r>
        <w:rPr>
          <w:rFonts w:hint="eastAsia" w:ascii="楷体" w:hAnsi="楷体" w:eastAsia="楷体" w:cs="楷体"/>
          <w:sz w:val="24"/>
          <w:u w:val="single"/>
        </w:rPr>
        <w:t xml:space="preserve">　　　　　　　　　                      　      </w:t>
      </w:r>
      <w:r>
        <w:rPr>
          <w:rFonts w:hint="eastAsia" w:ascii="楷体" w:hAnsi="楷体" w:eastAsia="楷体" w:cs="楷体"/>
          <w:sz w:val="24"/>
        </w:rPr>
        <w:t>。</w:t>
      </w:r>
    </w:p>
    <w:p>
      <w:pPr>
        <w:spacing w:line="560" w:lineRule="exact"/>
        <w:ind w:firstLine="484" w:firstLineChars="200"/>
        <w:outlineLvl w:val="0"/>
        <w:rPr>
          <w:rFonts w:ascii="楷体" w:hAnsi="楷体" w:eastAsia="楷体" w:cs="楷体"/>
          <w:sz w:val="24"/>
          <w:u w:val="single"/>
        </w:rPr>
      </w:pPr>
      <w:bookmarkStart w:id="414" w:name="_Toc5698"/>
      <w:bookmarkStart w:id="415" w:name="_Toc8586"/>
      <w:bookmarkStart w:id="416" w:name="_Toc24662"/>
      <w:bookmarkStart w:id="417" w:name="_Toc2375"/>
      <w:bookmarkStart w:id="418" w:name="_Toc3079"/>
      <w:r>
        <w:rPr>
          <w:rFonts w:hint="eastAsia" w:ascii="楷体" w:hAnsi="楷体" w:eastAsia="楷体" w:cs="楷体"/>
          <w:b/>
          <w:sz w:val="24"/>
        </w:rPr>
        <w:t>1.6 违约责任</w:t>
      </w:r>
      <w:bookmarkEnd w:id="414"/>
      <w:bookmarkEnd w:id="415"/>
      <w:bookmarkEnd w:id="416"/>
      <w:bookmarkEnd w:id="417"/>
      <w:bookmarkEnd w:id="418"/>
    </w:p>
    <w:p>
      <w:pPr>
        <w:spacing w:line="560" w:lineRule="exact"/>
        <w:ind w:firstLine="484" w:firstLineChars="200"/>
        <w:rPr>
          <w:rFonts w:ascii="楷体" w:hAnsi="楷体" w:eastAsia="楷体" w:cs="楷体"/>
          <w:sz w:val="24"/>
        </w:rPr>
      </w:pPr>
      <w:r>
        <w:rPr>
          <w:rFonts w:hint="eastAsia" w:ascii="楷体" w:hAnsi="楷体" w:eastAsia="楷体" w:cs="楷体"/>
          <w:sz w:val="24"/>
        </w:rPr>
        <w:t>1.6.1 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pPr>
        <w:spacing w:line="560" w:lineRule="exact"/>
        <w:ind w:firstLine="484" w:firstLineChars="200"/>
        <w:rPr>
          <w:rFonts w:ascii="楷体" w:hAnsi="楷体" w:eastAsia="楷体" w:cs="楷体"/>
          <w:sz w:val="24"/>
        </w:rPr>
      </w:pPr>
      <w:r>
        <w:rPr>
          <w:rFonts w:hint="eastAsia" w:ascii="楷体" w:hAnsi="楷体" w:eastAsia="楷体" w:cs="楷体"/>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4" w:firstLineChars="200"/>
        <w:rPr>
          <w:rFonts w:ascii="楷体" w:hAnsi="楷体" w:eastAsia="楷体" w:cs="楷体"/>
          <w:sz w:val="24"/>
        </w:rPr>
      </w:pPr>
      <w:r>
        <w:rPr>
          <w:rFonts w:hint="eastAsia" w:ascii="楷体" w:hAnsi="楷体" w:eastAsia="楷体" w:cs="楷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4" w:firstLineChars="200"/>
        <w:rPr>
          <w:rFonts w:ascii="楷体" w:hAnsi="楷体" w:eastAsia="楷体" w:cs="楷体"/>
          <w:sz w:val="24"/>
        </w:rPr>
      </w:pPr>
      <w:r>
        <w:rPr>
          <w:rFonts w:hint="eastAsia" w:ascii="楷体" w:hAnsi="楷体" w:eastAsia="楷体" w:cs="楷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4" w:firstLineChars="200"/>
        <w:rPr>
          <w:rFonts w:ascii="楷体" w:hAnsi="楷体" w:eastAsia="楷体" w:cs="楷体"/>
          <w:sz w:val="24"/>
        </w:rPr>
      </w:pPr>
      <w:r>
        <w:rPr>
          <w:rFonts w:hint="eastAsia" w:ascii="楷体" w:hAnsi="楷体" w:eastAsia="楷体" w:cs="楷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4" w:firstLineChars="200"/>
        <w:rPr>
          <w:rFonts w:ascii="楷体" w:hAnsi="楷体" w:eastAsia="楷体" w:cs="楷体"/>
          <w:sz w:val="24"/>
        </w:rPr>
      </w:pPr>
      <w:r>
        <w:rPr>
          <w:rFonts w:hint="eastAsia" w:ascii="楷体" w:hAnsi="楷体" w:eastAsia="楷体" w:cs="楷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4" w:firstLineChars="200"/>
        <w:outlineLvl w:val="0"/>
        <w:rPr>
          <w:rFonts w:ascii="楷体" w:hAnsi="楷体" w:eastAsia="楷体" w:cs="楷体"/>
          <w:b/>
          <w:sz w:val="24"/>
        </w:rPr>
      </w:pPr>
      <w:bookmarkStart w:id="419" w:name="_Toc32454"/>
      <w:bookmarkStart w:id="420" w:name="_Toc18683"/>
      <w:bookmarkStart w:id="421" w:name="_Toc30329"/>
      <w:bookmarkStart w:id="422" w:name="_Toc9497"/>
      <w:bookmarkStart w:id="423" w:name="_Toc26807"/>
      <w:r>
        <w:rPr>
          <w:rFonts w:hint="eastAsia" w:ascii="楷体" w:hAnsi="楷体" w:eastAsia="楷体" w:cs="楷体"/>
          <w:b/>
          <w:sz w:val="24"/>
        </w:rPr>
        <w:t>1.7 合同争议的解决</w:t>
      </w:r>
      <w:bookmarkEnd w:id="419"/>
      <w:bookmarkEnd w:id="420"/>
      <w:bookmarkEnd w:id="421"/>
      <w:bookmarkEnd w:id="422"/>
      <w:bookmarkEnd w:id="423"/>
    </w:p>
    <w:p>
      <w:pPr>
        <w:spacing w:line="560" w:lineRule="exact"/>
        <w:ind w:firstLine="484" w:firstLineChars="200"/>
        <w:rPr>
          <w:rFonts w:ascii="楷体" w:hAnsi="楷体" w:eastAsia="楷体" w:cs="楷体"/>
          <w:sz w:val="24"/>
        </w:rPr>
      </w:pPr>
      <w:r>
        <w:rPr>
          <w:rFonts w:hint="eastAsia" w:ascii="楷体" w:hAnsi="楷体" w:eastAsia="楷体" w:cs="楷体"/>
          <w:sz w:val="24"/>
        </w:rPr>
        <w:t>本合同履行过程中发生的任何争议，双方当事人均可通过和解或者调解解决；不愿和解、调解或者和解、调解不成的，可以选择下列第种方式解决：</w:t>
      </w:r>
    </w:p>
    <w:p>
      <w:pPr>
        <w:spacing w:line="560" w:lineRule="exact"/>
        <w:ind w:firstLine="484" w:firstLineChars="200"/>
        <w:rPr>
          <w:rFonts w:ascii="楷体" w:hAnsi="楷体" w:eastAsia="楷体" w:cs="楷体"/>
          <w:sz w:val="24"/>
        </w:rPr>
      </w:pPr>
      <w:r>
        <w:rPr>
          <w:rFonts w:hint="eastAsia" w:ascii="楷体" w:hAnsi="楷体" w:eastAsia="楷体" w:cs="楷体"/>
          <w:sz w:val="24"/>
        </w:rPr>
        <w:t>1.7.1 将争议提交仲裁委员会依申请仲裁时其现行有效的仲裁规则裁决；</w:t>
      </w:r>
    </w:p>
    <w:p>
      <w:pPr>
        <w:spacing w:line="560" w:lineRule="exact"/>
        <w:ind w:firstLine="484" w:firstLineChars="200"/>
        <w:rPr>
          <w:rFonts w:ascii="楷体" w:hAnsi="楷体" w:eastAsia="楷体" w:cs="楷体"/>
          <w:sz w:val="24"/>
        </w:rPr>
      </w:pPr>
      <w:r>
        <w:rPr>
          <w:rFonts w:hint="eastAsia" w:ascii="楷体" w:hAnsi="楷体" w:eastAsia="楷体" w:cs="楷体"/>
          <w:sz w:val="24"/>
        </w:rPr>
        <w:t>1.7.2 向</w:t>
      </w:r>
      <w:r>
        <w:rPr>
          <w:rFonts w:hint="eastAsia" w:ascii="楷体" w:hAnsi="楷体" w:eastAsia="楷体" w:cs="楷体"/>
          <w:sz w:val="24"/>
          <w:u w:val="single"/>
        </w:rPr>
        <w:t xml:space="preserve">   （被告住所地、合同履行地、合同签订地、原告住所地、标的物所在地等与争议有实际联系的地点中选出的人民法院名称）    </w:t>
      </w:r>
      <w:r>
        <w:rPr>
          <w:rFonts w:hint="eastAsia" w:ascii="楷体" w:hAnsi="楷体" w:eastAsia="楷体" w:cs="楷体"/>
          <w:sz w:val="24"/>
        </w:rPr>
        <w:t>人民法院起诉。</w:t>
      </w:r>
    </w:p>
    <w:p>
      <w:pPr>
        <w:spacing w:line="560" w:lineRule="exact"/>
        <w:ind w:firstLine="484" w:firstLineChars="200"/>
        <w:outlineLvl w:val="0"/>
        <w:rPr>
          <w:rFonts w:ascii="楷体" w:hAnsi="楷体" w:eastAsia="楷体" w:cs="楷体"/>
          <w:b/>
          <w:sz w:val="24"/>
        </w:rPr>
      </w:pPr>
      <w:bookmarkStart w:id="424" w:name="_Toc26227"/>
      <w:bookmarkStart w:id="425" w:name="_Toc23784"/>
      <w:bookmarkStart w:id="426" w:name="_Toc16417"/>
      <w:bookmarkStart w:id="427" w:name="_Toc15827"/>
      <w:bookmarkStart w:id="428" w:name="_Toc12273"/>
      <w:r>
        <w:rPr>
          <w:rFonts w:hint="eastAsia" w:ascii="楷体" w:hAnsi="楷体" w:eastAsia="楷体" w:cs="楷体"/>
          <w:b/>
          <w:sz w:val="24"/>
        </w:rPr>
        <w:t>1.8 合同生效</w:t>
      </w:r>
      <w:bookmarkEnd w:id="424"/>
      <w:bookmarkEnd w:id="425"/>
      <w:bookmarkEnd w:id="426"/>
      <w:bookmarkEnd w:id="427"/>
      <w:bookmarkEnd w:id="428"/>
    </w:p>
    <w:p>
      <w:pPr>
        <w:spacing w:line="560" w:lineRule="exact"/>
        <w:ind w:firstLine="484" w:firstLineChars="200"/>
        <w:rPr>
          <w:rFonts w:ascii="楷体" w:hAnsi="楷体" w:eastAsia="楷体" w:cs="楷体"/>
          <w:b/>
          <w:sz w:val="24"/>
        </w:rPr>
      </w:pPr>
      <w:r>
        <w:rPr>
          <w:rFonts w:hint="eastAsia" w:ascii="楷体" w:hAnsi="楷体" w:eastAsia="楷体" w:cs="楷体"/>
          <w:sz w:val="24"/>
        </w:rPr>
        <w:t>本合同自双方当事人盖章或者签字时生效。</w:t>
      </w:r>
    </w:p>
    <w:p>
      <w:pPr>
        <w:autoSpaceDE w:val="0"/>
        <w:autoSpaceDN w:val="0"/>
        <w:adjustRightInd w:val="0"/>
        <w:spacing w:line="560" w:lineRule="exact"/>
        <w:rPr>
          <w:rFonts w:ascii="楷体" w:hAnsi="楷体" w:eastAsia="楷体" w:cs="楷体"/>
          <w:sz w:val="24"/>
          <w:lang w:val="zh-CN"/>
        </w:rPr>
      </w:pP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b/>
          <w:sz w:val="24"/>
          <w:lang w:val="zh-CN"/>
        </w:rPr>
        <w:t>甲方</w:t>
      </w:r>
      <w:r>
        <w:rPr>
          <w:rFonts w:hint="eastAsia" w:ascii="楷体" w:hAnsi="楷体" w:eastAsia="楷体" w:cs="楷体"/>
          <w:sz w:val="24"/>
          <w:lang w:val="zh-CN"/>
        </w:rPr>
        <w:t xml:space="preserve">：                             </w:t>
      </w:r>
      <w:r>
        <w:rPr>
          <w:rFonts w:hint="eastAsia" w:ascii="楷体" w:hAnsi="楷体" w:eastAsia="楷体" w:cs="楷体"/>
          <w:b/>
          <w:sz w:val="24"/>
          <w:lang w:val="zh-CN"/>
        </w:rPr>
        <w:t xml:space="preserve">      乙方</w:t>
      </w:r>
      <w:r>
        <w:rPr>
          <w:rFonts w:hint="eastAsia" w:ascii="楷体" w:hAnsi="楷体" w:eastAsia="楷体" w:cs="楷体"/>
          <w:sz w:val="24"/>
          <w:lang w:val="zh-CN"/>
        </w:rPr>
        <w:t>：</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统一社会信用代码：                      统一社会信用代码或身份证号码：</w:t>
      </w:r>
    </w:p>
    <w:p>
      <w:pPr>
        <w:autoSpaceDE w:val="0"/>
        <w:autoSpaceDN w:val="0"/>
        <w:adjustRightInd w:val="0"/>
        <w:spacing w:line="560" w:lineRule="exact"/>
        <w:rPr>
          <w:rFonts w:ascii="楷体" w:hAnsi="楷体" w:eastAsia="楷体" w:cs="楷体"/>
          <w:sz w:val="24"/>
          <w:lang w:val="zh-CN"/>
        </w:rPr>
      </w:pP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住所：                                   住所：</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法定代表人或                             法定代表人</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 xml:space="preserve">授权代表（签字）：                        或授权代表（签字）: </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联系人：                                 联系人：</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约定送达地址：                           约定送达地址：</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邮政编码：                               邮政编码：</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 xml:space="preserve">电话:                                    电话: </w:t>
      </w:r>
    </w:p>
    <w:p>
      <w:pPr>
        <w:autoSpaceDE w:val="0"/>
        <w:autoSpaceDN w:val="0"/>
        <w:adjustRightInd w:val="0"/>
        <w:spacing w:line="560" w:lineRule="exact"/>
        <w:rPr>
          <w:rFonts w:ascii="楷体" w:hAnsi="楷体" w:eastAsia="楷体" w:cs="楷体"/>
          <w:sz w:val="24"/>
          <w:lang w:val="zh-CN"/>
        </w:rPr>
      </w:pPr>
      <w:r>
        <w:rPr>
          <w:rFonts w:hint="eastAsia" w:ascii="楷体" w:hAnsi="楷体" w:eastAsia="楷体" w:cs="楷体"/>
          <w:sz w:val="24"/>
          <w:lang w:val="zh-CN"/>
        </w:rPr>
        <w:t>传真:                                    传真:</w:t>
      </w:r>
    </w:p>
    <w:p>
      <w:pPr>
        <w:autoSpaceDE w:val="0"/>
        <w:autoSpaceDN w:val="0"/>
        <w:adjustRightInd w:val="0"/>
        <w:spacing w:line="560" w:lineRule="exact"/>
        <w:rPr>
          <w:rFonts w:ascii="楷体" w:hAnsi="楷体" w:eastAsia="楷体" w:cs="楷体"/>
          <w:sz w:val="24"/>
        </w:rPr>
      </w:pPr>
      <w:r>
        <w:rPr>
          <w:rFonts w:hint="eastAsia" w:ascii="楷体" w:hAnsi="楷体" w:eastAsia="楷体" w:cs="楷体"/>
          <w:sz w:val="24"/>
          <w:lang w:val="zh-CN"/>
        </w:rPr>
        <w:t>电子邮箱：                               电子邮箱：</w:t>
      </w:r>
    </w:p>
    <w:p>
      <w:pPr>
        <w:autoSpaceDE w:val="0"/>
        <w:autoSpaceDN w:val="0"/>
        <w:adjustRightInd w:val="0"/>
        <w:spacing w:line="560" w:lineRule="exact"/>
        <w:rPr>
          <w:rFonts w:ascii="楷体" w:hAnsi="楷体" w:eastAsia="楷体" w:cs="楷体"/>
          <w:sz w:val="24"/>
        </w:rPr>
      </w:pPr>
      <w:r>
        <w:rPr>
          <w:rFonts w:hint="eastAsia" w:ascii="楷体" w:hAnsi="楷体" w:eastAsia="楷体" w:cs="楷体"/>
          <w:sz w:val="24"/>
        </w:rPr>
        <w:t xml:space="preserve">开户银行：                               开户银行： </w:t>
      </w:r>
    </w:p>
    <w:p>
      <w:pPr>
        <w:autoSpaceDE w:val="0"/>
        <w:autoSpaceDN w:val="0"/>
        <w:adjustRightInd w:val="0"/>
        <w:spacing w:line="560" w:lineRule="exact"/>
        <w:rPr>
          <w:rFonts w:ascii="楷体" w:hAnsi="楷体" w:eastAsia="楷体" w:cs="楷体"/>
          <w:sz w:val="24"/>
        </w:rPr>
      </w:pPr>
      <w:r>
        <w:rPr>
          <w:rFonts w:hint="eastAsia" w:ascii="楷体" w:hAnsi="楷体" w:eastAsia="楷体" w:cs="楷体"/>
          <w:sz w:val="24"/>
        </w:rPr>
        <w:t xml:space="preserve">开户名称：                               开户名称： </w:t>
      </w:r>
    </w:p>
    <w:p>
      <w:pPr>
        <w:rPr>
          <w:rFonts w:ascii="楷体" w:hAnsi="楷体" w:eastAsia="楷体" w:cs="楷体"/>
        </w:rPr>
      </w:pPr>
      <w:r>
        <w:rPr>
          <w:rFonts w:hint="eastAsia" w:ascii="楷体" w:hAnsi="楷体" w:eastAsia="楷体" w:cs="楷体"/>
          <w:sz w:val="24"/>
        </w:rPr>
        <w:t>开户账号：开户账号：</w:t>
      </w:r>
    </w:p>
    <w:sectPr>
      <w:headerReference r:id="rId13" w:type="default"/>
      <w:footerReference r:id="rId14" w:type="default"/>
      <w:pgSz w:w="11905" w:h="16838"/>
      <w:pgMar w:top="1440" w:right="1803" w:bottom="1440" w:left="1803" w:header="851" w:footer="992" w:gutter="0"/>
      <w:cols w:space="0" w:num="1"/>
      <w:docGrid w:type="linesAndChars" w:linePitch="319" w:charSpace="5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6" o:spid="_x0000_s1026" o:spt="202" type="#_x0000_t202" style="position:absolute;left:0pt;margin-top:0pt;height:11.7pt;width:9.05pt;mso-position-horizontal:center;mso-position-horizontal-relative:margin;mso-wrap-style:none;z-index:25165721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AugUXRAAAAAwEAAA8AAAAAAAAAAQAgAAAAIgAAAGRycy9kb3ducmV2LnhtbFBLAQIUABQAAAAI&#10;AIdO4kBZlLnDuwEAAFIDAAAOAAAAAAAAAAEAIAAAACABAABkcnMvZTJvRG9jLnhtbFBLBQYAAAAA&#10;BgAGAFkBAABNBQAAAAA=&#10;">
          <v:path/>
          <v:fill on="f" focussize="0,0"/>
          <v:stroke on="f" joinstyle="miter"/>
          <v:imagedata o:title=""/>
          <o:lock v:ext="edit"/>
          <v:textbox inset="0mm,0mm,0mm,0mm" style="mso-fit-shape-to-text:t;">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p>
    <w:pPr>
      <w:pStyle w:val="16"/>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6"/>
                  <w:jc w:val="center"/>
                </w:pPr>
                <w:r>
                  <w:fldChar w:fldCharType="begin"/>
                </w:r>
                <w:r>
                  <w:instrText xml:space="preserve">PAGE   \* MERGEFORMAT</w:instrText>
                </w:r>
                <w:r>
                  <w:fldChar w:fldCharType="separate"/>
                </w:r>
                <w:r>
                  <w:rPr>
                    <w:lang w:val="zh-CN"/>
                  </w:rPr>
                  <w:t>57</w:t>
                </w:r>
                <w:r>
                  <w:rPr>
                    <w:lang w:val="zh-CN"/>
                  </w:rPr>
                  <w:fldChar w:fldCharType="end"/>
                </w:r>
              </w:p>
            </w:txbxContent>
          </v:textbox>
        </v:shape>
      </w:pict>
    </w:r>
  </w:p>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7" o:spid="_x0000_s1027" o:spt="202" type="#_x0000_t202" style="position:absolute;left:0pt;margin-top:0pt;height:11.7pt;width:9.05pt;mso-position-horizontal:center;mso-position-horizontal-relative:margin;mso-wrap-style:none;z-index:251658240;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AugUXRAAAAAwEAAA8AAAAAAAAAAQAgAAAAIgAAAGRycy9kb3ducmV2LnhtbFBLAQIUABQAAAAI&#10;AIdO4kAUHXokuwEAAFIDAAAOAAAAAAAAAAEAIAAAACABAABkcnMvZTJvRG9jLnhtbFBLBQYAAAAA&#10;BgAGAFkBAABNBQAAAAA=&#10;">
          <v:path/>
          <v:fill on="f" focussize="0,0"/>
          <v:stroke on="f" joinstyle="miter"/>
          <v:imagedata o:title=""/>
          <o:lock v:ext="edit"/>
          <v:textbox inset="0mm,0mm,0mm,0mm" style="mso-fit-shape-to-text:t;">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p>
    <w:pPr>
      <w:pStyle w:val="16"/>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E275D"/>
    <w:multiLevelType w:val="singleLevel"/>
    <w:tmpl w:val="924E275D"/>
    <w:lvl w:ilvl="0" w:tentative="0">
      <w:start w:val="1"/>
      <w:numFmt w:val="decimal"/>
      <w:lvlText w:val="(%1)"/>
      <w:lvlJc w:val="left"/>
      <w:pPr>
        <w:ind w:left="425" w:hanging="425"/>
      </w:pPr>
      <w:rPr>
        <w:rFonts w:hint="default"/>
      </w:rPr>
    </w:lvl>
  </w:abstractNum>
  <w:abstractNum w:abstractNumId="1">
    <w:nsid w:val="D3F7E943"/>
    <w:multiLevelType w:val="singleLevel"/>
    <w:tmpl w:val="D3F7E943"/>
    <w:lvl w:ilvl="0" w:tentative="0">
      <w:start w:val="1"/>
      <w:numFmt w:val="decimal"/>
      <w:suff w:val="nothing"/>
      <w:lvlText w:val="%1、"/>
      <w:lvlJc w:val="left"/>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88910B6"/>
    <w:multiLevelType w:val="multilevel"/>
    <w:tmpl w:val="088910B6"/>
    <w:lvl w:ilvl="0" w:tentative="0">
      <w:start w:val="1"/>
      <w:numFmt w:val="decimal"/>
      <w:lvlText w:val="%1."/>
      <w:lvlJc w:val="left"/>
      <w:pPr>
        <w:ind w:left="425" w:hanging="425"/>
      </w:pPr>
      <w:rPr>
        <w:rFonts w:hint="default"/>
      </w:rPr>
    </w:lvl>
    <w:lvl w:ilvl="1" w:tentative="0">
      <w:start w:val="1"/>
      <w:numFmt w:val="decimal"/>
      <w:pStyle w:val="52"/>
      <w:lvlText w:val="%1.%2"/>
      <w:lvlJc w:val="left"/>
      <w:pPr>
        <w:ind w:left="567" w:hanging="283"/>
      </w:pPr>
      <w:rPr>
        <w:rFonts w:hint="eastAsia"/>
      </w:rPr>
    </w:lvl>
    <w:lvl w:ilvl="2" w:tentative="0">
      <w:start w:val="1"/>
      <w:numFmt w:val="decimal"/>
      <w:lvlText w:val="%1.%2.%3"/>
      <w:lvlJc w:val="left"/>
      <w:pPr>
        <w:ind w:left="1134" w:hanging="567"/>
      </w:pPr>
      <w:rPr>
        <w:rFonts w:hint="eastAsia"/>
      </w:rPr>
    </w:lvl>
    <w:lvl w:ilvl="3" w:tentative="0">
      <w:start w:val="1"/>
      <w:numFmt w:val="decimal"/>
      <w:lvlText w:val="%4)"/>
      <w:lvlJc w:val="left"/>
      <w:pPr>
        <w:ind w:left="907" w:hanging="56"/>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EEC2C49"/>
    <w:multiLevelType w:val="multilevel"/>
    <w:tmpl w:val="3EEC2C49"/>
    <w:lvl w:ilvl="0" w:tentative="0">
      <w:start w:val="1"/>
      <w:numFmt w:val="chineseCountingThousand"/>
      <w:lvlText w:val="%1"/>
      <w:lvlJc w:val="left"/>
      <w:pPr>
        <w:ind w:left="0" w:firstLine="0"/>
      </w:pPr>
      <w:rPr>
        <w:rFonts w:hint="eastAsia"/>
      </w:rPr>
    </w:lvl>
    <w:lvl w:ilvl="1" w:tentative="0">
      <w:start w:val="1"/>
      <w:numFmt w:val="decimal"/>
      <w:isLgl/>
      <w:lvlText w:val="%1.%2"/>
      <w:lvlJc w:val="left"/>
      <w:pPr>
        <w:ind w:left="0" w:firstLine="0"/>
      </w:pPr>
      <w:rPr>
        <w:rFonts w:hint="eastAsia"/>
        <w:b/>
        <w:i w:val="0"/>
        <w:sz w:val="28"/>
      </w:rPr>
    </w:lvl>
    <w:lvl w:ilvl="2" w:tentative="0">
      <w:start w:val="1"/>
      <w:numFmt w:val="decimal"/>
      <w:isLgl/>
      <w:lvlText w:val="%1.%2.%3"/>
      <w:lvlJc w:val="left"/>
      <w:pPr>
        <w:ind w:left="567" w:firstLine="0"/>
      </w:pPr>
      <w:rPr>
        <w:rFonts w:hint="eastAsia"/>
        <w:b w:val="0"/>
        <w:i w:val="0"/>
        <w:sz w:val="28"/>
      </w:rPr>
    </w:lvl>
    <w:lvl w:ilvl="3" w:tentative="0">
      <w:start w:val="1"/>
      <w:numFmt w:val="decimal"/>
      <w:pStyle w:val="8"/>
      <w:isLgl/>
      <w:lvlText w:val="%1.%2.%3.%4"/>
      <w:lvlJc w:val="left"/>
      <w:pPr>
        <w:ind w:left="0" w:firstLine="0"/>
      </w:pPr>
      <w:rPr>
        <w:rFonts w:hint="eastAsia" w:eastAsia="宋体"/>
        <w:b w:val="0"/>
        <w:i w:val="0"/>
        <w:sz w:val="28"/>
      </w:rPr>
    </w:lvl>
    <w:lvl w:ilvl="4" w:tentative="0">
      <w:start w:val="1"/>
      <w:numFmt w:val="decimal"/>
      <w:pStyle w:val="9"/>
      <w:isLgl/>
      <w:lvlText w:val="%1.%2.%3.%4.%5"/>
      <w:lvlJc w:val="left"/>
      <w:pPr>
        <w:ind w:left="0" w:firstLine="0"/>
      </w:pPr>
      <w:rPr>
        <w:rFonts w:hint="eastAsia"/>
        <w:b w:val="0"/>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64EB3B1A"/>
    <w:multiLevelType w:val="singleLevel"/>
    <w:tmpl w:val="64EB3B1A"/>
    <w:lvl w:ilvl="0" w:tentative="0">
      <w:start w:val="1"/>
      <w:numFmt w:val="decimal"/>
      <w:lvlText w:val="%1)"/>
      <w:lvlJc w:val="left"/>
      <w:pPr>
        <w:ind w:left="425" w:hanging="425"/>
      </w:pPr>
      <w:rPr>
        <w:rFonts w:hint="default"/>
      </w:rPr>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7"/>
  </w:num>
  <w:num w:numId="2">
    <w:abstractNumId w:val="3"/>
  </w:num>
  <w:num w:numId="3">
    <w:abstractNumId w:val="4"/>
  </w:num>
  <w:num w:numId="4">
    <w:abstractNumId w:val="6"/>
  </w:num>
  <w:num w:numId="5">
    <w:abstractNumId w:val="9"/>
  </w:num>
  <w:num w:numId="6">
    <w:abstractNumId w:val="1"/>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HorizontalSpacing w:val="213"/>
  <w:drawingGridVerticalSpacing w:val="31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8573BD"/>
    <w:rsid w:val="00022403"/>
    <w:rsid w:val="000D0552"/>
    <w:rsid w:val="001F7890"/>
    <w:rsid w:val="002752AC"/>
    <w:rsid w:val="00473F0E"/>
    <w:rsid w:val="004F0D4F"/>
    <w:rsid w:val="00574C5A"/>
    <w:rsid w:val="005A65C3"/>
    <w:rsid w:val="005A6B56"/>
    <w:rsid w:val="00645108"/>
    <w:rsid w:val="0074002C"/>
    <w:rsid w:val="008346E9"/>
    <w:rsid w:val="00904D57"/>
    <w:rsid w:val="00993A1F"/>
    <w:rsid w:val="009F6604"/>
    <w:rsid w:val="00B602E0"/>
    <w:rsid w:val="00B76781"/>
    <w:rsid w:val="00B9565A"/>
    <w:rsid w:val="00C06FD9"/>
    <w:rsid w:val="00D22247"/>
    <w:rsid w:val="00D231F9"/>
    <w:rsid w:val="00D753BF"/>
    <w:rsid w:val="00DB5DD8"/>
    <w:rsid w:val="00DE3A02"/>
    <w:rsid w:val="00E03908"/>
    <w:rsid w:val="00EC3046"/>
    <w:rsid w:val="00EE39EA"/>
    <w:rsid w:val="012716BB"/>
    <w:rsid w:val="01A46637"/>
    <w:rsid w:val="02613293"/>
    <w:rsid w:val="02E43F65"/>
    <w:rsid w:val="03504897"/>
    <w:rsid w:val="039D3F75"/>
    <w:rsid w:val="03AE0F5E"/>
    <w:rsid w:val="03B03C25"/>
    <w:rsid w:val="03B611D5"/>
    <w:rsid w:val="047E50B4"/>
    <w:rsid w:val="04AC5B5B"/>
    <w:rsid w:val="04BE21BF"/>
    <w:rsid w:val="051D6C64"/>
    <w:rsid w:val="056C7F9F"/>
    <w:rsid w:val="060B0FE4"/>
    <w:rsid w:val="07F770BC"/>
    <w:rsid w:val="0830501D"/>
    <w:rsid w:val="087A0065"/>
    <w:rsid w:val="08E3655C"/>
    <w:rsid w:val="091849AD"/>
    <w:rsid w:val="095A21E5"/>
    <w:rsid w:val="097316F7"/>
    <w:rsid w:val="09B45D73"/>
    <w:rsid w:val="09C171AF"/>
    <w:rsid w:val="09DE5F78"/>
    <w:rsid w:val="0AAC048F"/>
    <w:rsid w:val="0B202A01"/>
    <w:rsid w:val="0B8B1265"/>
    <w:rsid w:val="0B9F2F42"/>
    <w:rsid w:val="0C59212C"/>
    <w:rsid w:val="0C632433"/>
    <w:rsid w:val="0CBF3568"/>
    <w:rsid w:val="0CE12166"/>
    <w:rsid w:val="0CFD3649"/>
    <w:rsid w:val="0D5F259E"/>
    <w:rsid w:val="0ECC2666"/>
    <w:rsid w:val="0F10583F"/>
    <w:rsid w:val="0FBE1AAF"/>
    <w:rsid w:val="0FE26723"/>
    <w:rsid w:val="0FF23E3C"/>
    <w:rsid w:val="10E16D9D"/>
    <w:rsid w:val="124678F7"/>
    <w:rsid w:val="134B6B15"/>
    <w:rsid w:val="13826C5E"/>
    <w:rsid w:val="13C91FFB"/>
    <w:rsid w:val="13D17F32"/>
    <w:rsid w:val="14B21699"/>
    <w:rsid w:val="151E7C00"/>
    <w:rsid w:val="159654DF"/>
    <w:rsid w:val="166C5AD2"/>
    <w:rsid w:val="168573BD"/>
    <w:rsid w:val="16C42563"/>
    <w:rsid w:val="16EB57D0"/>
    <w:rsid w:val="17595747"/>
    <w:rsid w:val="175F3FAA"/>
    <w:rsid w:val="17BE1A4A"/>
    <w:rsid w:val="17E211D3"/>
    <w:rsid w:val="189721C4"/>
    <w:rsid w:val="189B2250"/>
    <w:rsid w:val="18FA711B"/>
    <w:rsid w:val="19160D91"/>
    <w:rsid w:val="191D13F9"/>
    <w:rsid w:val="193F58D9"/>
    <w:rsid w:val="19496474"/>
    <w:rsid w:val="195E1BB9"/>
    <w:rsid w:val="1A666FCF"/>
    <w:rsid w:val="1A910CEA"/>
    <w:rsid w:val="1AB06CC1"/>
    <w:rsid w:val="1B2B2B40"/>
    <w:rsid w:val="1B4A32B0"/>
    <w:rsid w:val="1BA33370"/>
    <w:rsid w:val="1BEE4958"/>
    <w:rsid w:val="1C7146D2"/>
    <w:rsid w:val="1DB01CD5"/>
    <w:rsid w:val="1E02089E"/>
    <w:rsid w:val="1E2E749E"/>
    <w:rsid w:val="1E7E10D7"/>
    <w:rsid w:val="1EC1327D"/>
    <w:rsid w:val="1ECC60AD"/>
    <w:rsid w:val="1F2B6321"/>
    <w:rsid w:val="1F6B05A0"/>
    <w:rsid w:val="1F9E6DFC"/>
    <w:rsid w:val="20124A71"/>
    <w:rsid w:val="20727AA2"/>
    <w:rsid w:val="20B43299"/>
    <w:rsid w:val="20FC6353"/>
    <w:rsid w:val="21824F10"/>
    <w:rsid w:val="2197260D"/>
    <w:rsid w:val="22171F6F"/>
    <w:rsid w:val="221A7559"/>
    <w:rsid w:val="223221BC"/>
    <w:rsid w:val="22865E6C"/>
    <w:rsid w:val="2357359E"/>
    <w:rsid w:val="240569C6"/>
    <w:rsid w:val="24114135"/>
    <w:rsid w:val="243C3544"/>
    <w:rsid w:val="24477335"/>
    <w:rsid w:val="24CA6BCD"/>
    <w:rsid w:val="24D80E60"/>
    <w:rsid w:val="24E5254D"/>
    <w:rsid w:val="24E61F90"/>
    <w:rsid w:val="2512052D"/>
    <w:rsid w:val="25751ECE"/>
    <w:rsid w:val="25760A3E"/>
    <w:rsid w:val="257827C5"/>
    <w:rsid w:val="25A241EA"/>
    <w:rsid w:val="25C66D75"/>
    <w:rsid w:val="25DF5BB2"/>
    <w:rsid w:val="269506B2"/>
    <w:rsid w:val="26AA0AFC"/>
    <w:rsid w:val="274C0D23"/>
    <w:rsid w:val="275D23D8"/>
    <w:rsid w:val="275E42A3"/>
    <w:rsid w:val="2813433A"/>
    <w:rsid w:val="282F1EB9"/>
    <w:rsid w:val="283E5924"/>
    <w:rsid w:val="285B637E"/>
    <w:rsid w:val="286A73FE"/>
    <w:rsid w:val="28C72ABF"/>
    <w:rsid w:val="298770AB"/>
    <w:rsid w:val="29A572C6"/>
    <w:rsid w:val="2A2A6F05"/>
    <w:rsid w:val="2A4A67DC"/>
    <w:rsid w:val="2A684C3E"/>
    <w:rsid w:val="2AEA4187"/>
    <w:rsid w:val="2B1F21C4"/>
    <w:rsid w:val="2B544D21"/>
    <w:rsid w:val="2BE43685"/>
    <w:rsid w:val="2CC574AC"/>
    <w:rsid w:val="2D050970"/>
    <w:rsid w:val="2D105628"/>
    <w:rsid w:val="2D780DB0"/>
    <w:rsid w:val="2D8704D5"/>
    <w:rsid w:val="2DAB1A33"/>
    <w:rsid w:val="2E792C61"/>
    <w:rsid w:val="2EAA642D"/>
    <w:rsid w:val="2ECE3EA7"/>
    <w:rsid w:val="2F3A2301"/>
    <w:rsid w:val="2F7A4A8B"/>
    <w:rsid w:val="2F8408F6"/>
    <w:rsid w:val="2FB477E6"/>
    <w:rsid w:val="2FE32695"/>
    <w:rsid w:val="2FFB5730"/>
    <w:rsid w:val="309A14D4"/>
    <w:rsid w:val="30C808BC"/>
    <w:rsid w:val="30EA000D"/>
    <w:rsid w:val="313C25DC"/>
    <w:rsid w:val="31983064"/>
    <w:rsid w:val="31A63D2B"/>
    <w:rsid w:val="32235089"/>
    <w:rsid w:val="32884C65"/>
    <w:rsid w:val="32C44C02"/>
    <w:rsid w:val="33747729"/>
    <w:rsid w:val="33C71C9E"/>
    <w:rsid w:val="33DD0296"/>
    <w:rsid w:val="3412483A"/>
    <w:rsid w:val="347943F9"/>
    <w:rsid w:val="352B1EE2"/>
    <w:rsid w:val="35544653"/>
    <w:rsid w:val="35B2732C"/>
    <w:rsid w:val="35B43AC5"/>
    <w:rsid w:val="36207E34"/>
    <w:rsid w:val="36775276"/>
    <w:rsid w:val="36A1580C"/>
    <w:rsid w:val="371B3D86"/>
    <w:rsid w:val="373B0C46"/>
    <w:rsid w:val="37E40D8A"/>
    <w:rsid w:val="37F625BF"/>
    <w:rsid w:val="381D154D"/>
    <w:rsid w:val="386D742E"/>
    <w:rsid w:val="38D61088"/>
    <w:rsid w:val="38FA4832"/>
    <w:rsid w:val="39C818EE"/>
    <w:rsid w:val="39E34211"/>
    <w:rsid w:val="3A076381"/>
    <w:rsid w:val="3A6B4AAF"/>
    <w:rsid w:val="3AA059AE"/>
    <w:rsid w:val="3AB15DD9"/>
    <w:rsid w:val="3AB97088"/>
    <w:rsid w:val="3ADA6877"/>
    <w:rsid w:val="3B98266E"/>
    <w:rsid w:val="3B9A068A"/>
    <w:rsid w:val="3BAA30D2"/>
    <w:rsid w:val="3BBF480E"/>
    <w:rsid w:val="3BD46209"/>
    <w:rsid w:val="3C6118C5"/>
    <w:rsid w:val="3CD45A52"/>
    <w:rsid w:val="3D4124FC"/>
    <w:rsid w:val="3DAC149C"/>
    <w:rsid w:val="3F001914"/>
    <w:rsid w:val="3F462A26"/>
    <w:rsid w:val="3F634EFD"/>
    <w:rsid w:val="40122386"/>
    <w:rsid w:val="408D4118"/>
    <w:rsid w:val="40CD5537"/>
    <w:rsid w:val="41326177"/>
    <w:rsid w:val="41DA74F8"/>
    <w:rsid w:val="42247836"/>
    <w:rsid w:val="42303257"/>
    <w:rsid w:val="42695166"/>
    <w:rsid w:val="426D441D"/>
    <w:rsid w:val="42B42525"/>
    <w:rsid w:val="430D6449"/>
    <w:rsid w:val="431A546B"/>
    <w:rsid w:val="44461E3C"/>
    <w:rsid w:val="44831496"/>
    <w:rsid w:val="44DA21DA"/>
    <w:rsid w:val="45794C44"/>
    <w:rsid w:val="45DB06E8"/>
    <w:rsid w:val="45FC0163"/>
    <w:rsid w:val="46A577FC"/>
    <w:rsid w:val="46B001CA"/>
    <w:rsid w:val="478005A6"/>
    <w:rsid w:val="479054DA"/>
    <w:rsid w:val="47FB2AC4"/>
    <w:rsid w:val="47FD17E0"/>
    <w:rsid w:val="48114524"/>
    <w:rsid w:val="48744677"/>
    <w:rsid w:val="48B21C40"/>
    <w:rsid w:val="48BC740D"/>
    <w:rsid w:val="48EA7ACC"/>
    <w:rsid w:val="491162EC"/>
    <w:rsid w:val="49B83BDF"/>
    <w:rsid w:val="49CA5662"/>
    <w:rsid w:val="49D20FC2"/>
    <w:rsid w:val="49DA1BAE"/>
    <w:rsid w:val="4A004879"/>
    <w:rsid w:val="4A9D2839"/>
    <w:rsid w:val="4AB812B1"/>
    <w:rsid w:val="4AD66DB9"/>
    <w:rsid w:val="4AE4623D"/>
    <w:rsid w:val="4B464678"/>
    <w:rsid w:val="4C142337"/>
    <w:rsid w:val="4DD41825"/>
    <w:rsid w:val="4DF120F5"/>
    <w:rsid w:val="4DF26466"/>
    <w:rsid w:val="4E076F82"/>
    <w:rsid w:val="4EE51159"/>
    <w:rsid w:val="4EEC1691"/>
    <w:rsid w:val="4F0305D4"/>
    <w:rsid w:val="4F3A1FF6"/>
    <w:rsid w:val="4F8516E9"/>
    <w:rsid w:val="4F8D307E"/>
    <w:rsid w:val="4FAD5F2F"/>
    <w:rsid w:val="4FDB7212"/>
    <w:rsid w:val="4FF826C9"/>
    <w:rsid w:val="502C5AE1"/>
    <w:rsid w:val="502F2A77"/>
    <w:rsid w:val="50731D1B"/>
    <w:rsid w:val="50783CB8"/>
    <w:rsid w:val="518C4A51"/>
    <w:rsid w:val="51C84AC5"/>
    <w:rsid w:val="51DC16C2"/>
    <w:rsid w:val="51FD11A3"/>
    <w:rsid w:val="52855C37"/>
    <w:rsid w:val="52E40CB5"/>
    <w:rsid w:val="52F05676"/>
    <w:rsid w:val="530B5CE1"/>
    <w:rsid w:val="53421AE8"/>
    <w:rsid w:val="54CB0E8F"/>
    <w:rsid w:val="550520B7"/>
    <w:rsid w:val="55506B5B"/>
    <w:rsid w:val="55613835"/>
    <w:rsid w:val="558318BC"/>
    <w:rsid w:val="565B2E0E"/>
    <w:rsid w:val="5709566B"/>
    <w:rsid w:val="57127918"/>
    <w:rsid w:val="573C5415"/>
    <w:rsid w:val="57872942"/>
    <w:rsid w:val="58075B50"/>
    <w:rsid w:val="58191F98"/>
    <w:rsid w:val="585E71B4"/>
    <w:rsid w:val="58E41B09"/>
    <w:rsid w:val="58FE494A"/>
    <w:rsid w:val="599E6704"/>
    <w:rsid w:val="59FC7787"/>
    <w:rsid w:val="5A29057B"/>
    <w:rsid w:val="5A7C3F37"/>
    <w:rsid w:val="5A963123"/>
    <w:rsid w:val="5AA47D14"/>
    <w:rsid w:val="5AE86679"/>
    <w:rsid w:val="5B6F2155"/>
    <w:rsid w:val="5B983436"/>
    <w:rsid w:val="5C3A32E1"/>
    <w:rsid w:val="5D65079F"/>
    <w:rsid w:val="5D6C35AC"/>
    <w:rsid w:val="5D743A93"/>
    <w:rsid w:val="5DAC5438"/>
    <w:rsid w:val="5DC64D12"/>
    <w:rsid w:val="5E6E7288"/>
    <w:rsid w:val="5E6F1851"/>
    <w:rsid w:val="5EA25B6C"/>
    <w:rsid w:val="5EB150BC"/>
    <w:rsid w:val="5ECB66BE"/>
    <w:rsid w:val="5F7E6984"/>
    <w:rsid w:val="5FF44D39"/>
    <w:rsid w:val="6027420E"/>
    <w:rsid w:val="60324090"/>
    <w:rsid w:val="604B6289"/>
    <w:rsid w:val="60706BCD"/>
    <w:rsid w:val="609F76CC"/>
    <w:rsid w:val="60C543BD"/>
    <w:rsid w:val="616402A6"/>
    <w:rsid w:val="61BA151A"/>
    <w:rsid w:val="61E754AA"/>
    <w:rsid w:val="62ED6568"/>
    <w:rsid w:val="62F876DC"/>
    <w:rsid w:val="62FB1328"/>
    <w:rsid w:val="63144369"/>
    <w:rsid w:val="634C72C1"/>
    <w:rsid w:val="635A6B99"/>
    <w:rsid w:val="63664E96"/>
    <w:rsid w:val="637624D7"/>
    <w:rsid w:val="64AC2FCD"/>
    <w:rsid w:val="64FC4E92"/>
    <w:rsid w:val="65EE65FF"/>
    <w:rsid w:val="66136E48"/>
    <w:rsid w:val="66400DF1"/>
    <w:rsid w:val="66757482"/>
    <w:rsid w:val="66892C42"/>
    <w:rsid w:val="68231EE1"/>
    <w:rsid w:val="683F65DE"/>
    <w:rsid w:val="685F5C1D"/>
    <w:rsid w:val="688F5346"/>
    <w:rsid w:val="69134098"/>
    <w:rsid w:val="694D7AD4"/>
    <w:rsid w:val="698A5EB2"/>
    <w:rsid w:val="69E34264"/>
    <w:rsid w:val="69E841C9"/>
    <w:rsid w:val="6A305CD9"/>
    <w:rsid w:val="6AD75761"/>
    <w:rsid w:val="6AF52B68"/>
    <w:rsid w:val="6B2F71F7"/>
    <w:rsid w:val="6B5B0C75"/>
    <w:rsid w:val="6BFA0157"/>
    <w:rsid w:val="6D4F2ED2"/>
    <w:rsid w:val="6D535020"/>
    <w:rsid w:val="6D8A380B"/>
    <w:rsid w:val="6E2160B3"/>
    <w:rsid w:val="6E511297"/>
    <w:rsid w:val="6E6E0784"/>
    <w:rsid w:val="6ED629CC"/>
    <w:rsid w:val="6EDF0175"/>
    <w:rsid w:val="6EE22857"/>
    <w:rsid w:val="6F0966A1"/>
    <w:rsid w:val="6FAE2C40"/>
    <w:rsid w:val="6FB646F8"/>
    <w:rsid w:val="6FBD361A"/>
    <w:rsid w:val="6FC75E46"/>
    <w:rsid w:val="6FD07FEB"/>
    <w:rsid w:val="70557C99"/>
    <w:rsid w:val="708B29E4"/>
    <w:rsid w:val="71004AB9"/>
    <w:rsid w:val="71042E95"/>
    <w:rsid w:val="71D16151"/>
    <w:rsid w:val="725C4988"/>
    <w:rsid w:val="726440BD"/>
    <w:rsid w:val="72A82FD7"/>
    <w:rsid w:val="72FF3840"/>
    <w:rsid w:val="734C619C"/>
    <w:rsid w:val="74A047B3"/>
    <w:rsid w:val="753546FB"/>
    <w:rsid w:val="75650984"/>
    <w:rsid w:val="75983AB7"/>
    <w:rsid w:val="75BD450C"/>
    <w:rsid w:val="75BF0BC0"/>
    <w:rsid w:val="75D41116"/>
    <w:rsid w:val="75FE3ADC"/>
    <w:rsid w:val="76177005"/>
    <w:rsid w:val="76230B99"/>
    <w:rsid w:val="764279DB"/>
    <w:rsid w:val="76467637"/>
    <w:rsid w:val="766122EC"/>
    <w:rsid w:val="76E56C2E"/>
    <w:rsid w:val="77451B87"/>
    <w:rsid w:val="775E0FAF"/>
    <w:rsid w:val="77BE2BC9"/>
    <w:rsid w:val="77D310FF"/>
    <w:rsid w:val="78376D11"/>
    <w:rsid w:val="783E52C5"/>
    <w:rsid w:val="793E213A"/>
    <w:rsid w:val="7A210C9F"/>
    <w:rsid w:val="7A225FCE"/>
    <w:rsid w:val="7A7332EA"/>
    <w:rsid w:val="7B554003"/>
    <w:rsid w:val="7BBE24E4"/>
    <w:rsid w:val="7C244DF5"/>
    <w:rsid w:val="7C5C7C01"/>
    <w:rsid w:val="7CA2486A"/>
    <w:rsid w:val="7CD937EF"/>
    <w:rsid w:val="7D2C6284"/>
    <w:rsid w:val="7D447763"/>
    <w:rsid w:val="7E7749DA"/>
    <w:rsid w:val="7E95008F"/>
    <w:rsid w:val="7F315A30"/>
    <w:rsid w:val="7F552C0E"/>
    <w:rsid w:val="7F604E68"/>
    <w:rsid w:val="7F6D1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9">
    <w:name w:val="heading 5"/>
    <w:basedOn w:val="1"/>
    <w:next w:val="1"/>
    <w:unhideWhenUsed/>
    <w:qFormat/>
    <w:uiPriority w:val="9"/>
    <w:pPr>
      <w:keepNext/>
      <w:keepLines/>
      <w:numPr>
        <w:ilvl w:val="4"/>
        <w:numId w:val="1"/>
      </w:numPr>
      <w:spacing w:before="280" w:after="290" w:line="376" w:lineRule="auto"/>
      <w:outlineLvl w:val="4"/>
    </w:pPr>
    <w:rPr>
      <w:rFonts w:ascii="Times New Roman" w:hAnsi="Times New Roman"/>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99"/>
    <w:pPr>
      <w:autoSpaceDE w:val="0"/>
      <w:autoSpaceDN w:val="0"/>
      <w:adjustRightInd w:val="0"/>
      <w:ind w:firstLine="420"/>
      <w:jc w:val="left"/>
    </w:pPr>
    <w:rPr>
      <w:rFonts w:ascii="宋体"/>
      <w:kern w:val="0"/>
      <w:sz w:val="24"/>
      <w:szCs w:val="20"/>
    </w:rPr>
  </w:style>
  <w:style w:type="paragraph" w:styleId="10">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qFormat/>
    <w:uiPriority w:val="0"/>
    <w:rPr>
      <w:rFonts w:ascii="宋体" w:hAnsi="Courier New"/>
      <w:szCs w:val="20"/>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Body Text Indent 2"/>
    <w:basedOn w:val="1"/>
    <w:link w:val="54"/>
    <w:qFormat/>
    <w:uiPriority w:val="0"/>
    <w:pPr>
      <w:spacing w:after="120" w:line="480" w:lineRule="auto"/>
      <w:ind w:left="420" w:leftChars="200"/>
    </w:pPr>
    <w:rPr>
      <w:rFonts w:ascii="Times New Roman" w:hAnsi="Times New Roman"/>
    </w:r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0">
    <w:name w:val="footnote text"/>
    <w:basedOn w:val="1"/>
    <w:qFormat/>
    <w:uiPriority w:val="0"/>
    <w:pPr>
      <w:snapToGrid w:val="0"/>
      <w:jc w:val="left"/>
    </w:pPr>
    <w:rPr>
      <w:sz w:val="18"/>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unhideWhenUsed/>
    <w:qFormat/>
    <w:uiPriority w:val="99"/>
    <w:rPr>
      <w:color w:val="0563C1" w:themeColor="hyperlink"/>
      <w:u w:val="single"/>
    </w:rPr>
  </w:style>
  <w:style w:type="paragraph" w:customStyle="1" w:styleId="30">
    <w:name w:val="列出段落1"/>
    <w:basedOn w:val="1"/>
    <w:qFormat/>
    <w:uiPriority w:val="0"/>
    <w:pPr>
      <w:ind w:firstLine="420" w:firstLineChars="200"/>
    </w:pPr>
    <w:rPr>
      <w:szCs w:val="22"/>
    </w:rPr>
  </w:style>
  <w:style w:type="paragraph" w:styleId="31">
    <w:name w:val="List Paragraph"/>
    <w:basedOn w:val="1"/>
    <w:qFormat/>
    <w:uiPriority w:val="34"/>
    <w:pPr>
      <w:widowControl/>
      <w:ind w:firstLine="420" w:firstLineChars="200"/>
      <w:jc w:val="left"/>
    </w:pPr>
    <w:rPr>
      <w:kern w:val="0"/>
      <w:sz w:val="24"/>
    </w:rPr>
  </w:style>
  <w:style w:type="paragraph" w:customStyle="1" w:styleId="32">
    <w:name w:val="__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1"/>
    <w:basedOn w:val="1"/>
    <w:qFormat/>
    <w:uiPriority w:val="0"/>
    <w:rPr>
      <w:rFonts w:ascii="宋体" w:hAnsi="Courier New"/>
      <w:kern w:val="0"/>
      <w:sz w:val="20"/>
      <w:szCs w:val="20"/>
    </w:rPr>
  </w:style>
  <w:style w:type="paragraph" w:customStyle="1" w:styleId="3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37">
    <w:name w:val="font131"/>
    <w:basedOn w:val="27"/>
    <w:qFormat/>
    <w:uiPriority w:val="0"/>
    <w:rPr>
      <w:rFonts w:hint="default" w:ascii="Times New Roman" w:hAnsi="Times New Roman" w:cs="Times New Roman"/>
      <w:color w:val="000000"/>
      <w:sz w:val="18"/>
      <w:szCs w:val="18"/>
      <w:u w:val="none"/>
    </w:rPr>
  </w:style>
  <w:style w:type="character" w:customStyle="1" w:styleId="38">
    <w:name w:val="font11"/>
    <w:basedOn w:val="27"/>
    <w:qFormat/>
    <w:uiPriority w:val="0"/>
    <w:rPr>
      <w:rFonts w:hint="eastAsia" w:ascii="宋体" w:hAnsi="宋体" w:eastAsia="宋体" w:cs="宋体"/>
      <w:color w:val="000000"/>
      <w:sz w:val="18"/>
      <w:szCs w:val="18"/>
      <w:u w:val="none"/>
    </w:rPr>
  </w:style>
  <w:style w:type="character" w:customStyle="1" w:styleId="39">
    <w:name w:val="font191"/>
    <w:basedOn w:val="27"/>
    <w:qFormat/>
    <w:uiPriority w:val="0"/>
    <w:rPr>
      <w:rFonts w:hint="default" w:ascii="Times New Roman" w:hAnsi="Times New Roman" w:cs="Times New Roman"/>
      <w:color w:val="000000"/>
      <w:sz w:val="18"/>
      <w:szCs w:val="18"/>
      <w:u w:val="none"/>
    </w:rPr>
  </w:style>
  <w:style w:type="character" w:customStyle="1" w:styleId="40">
    <w:name w:val="font151"/>
    <w:basedOn w:val="27"/>
    <w:qFormat/>
    <w:uiPriority w:val="0"/>
    <w:rPr>
      <w:rFonts w:hint="eastAsia" w:ascii="宋体" w:hAnsi="宋体" w:eastAsia="宋体" w:cs="宋体"/>
      <w:color w:val="000000"/>
      <w:sz w:val="18"/>
      <w:szCs w:val="18"/>
      <w:u w:val="none"/>
    </w:rPr>
  </w:style>
  <w:style w:type="character" w:customStyle="1" w:styleId="41">
    <w:name w:val="font221"/>
    <w:basedOn w:val="27"/>
    <w:qFormat/>
    <w:uiPriority w:val="0"/>
    <w:rPr>
      <w:rFonts w:hint="default" w:ascii="Times New Roman" w:hAnsi="Times New Roman" w:cs="Times New Roman"/>
      <w:color w:val="000000"/>
      <w:sz w:val="18"/>
      <w:szCs w:val="18"/>
      <w:u w:val="none"/>
    </w:rPr>
  </w:style>
  <w:style w:type="character" w:customStyle="1" w:styleId="42">
    <w:name w:val="font121"/>
    <w:basedOn w:val="27"/>
    <w:qFormat/>
    <w:uiPriority w:val="0"/>
    <w:rPr>
      <w:rFonts w:hint="eastAsia" w:ascii="宋体" w:hAnsi="宋体" w:eastAsia="宋体" w:cs="宋体"/>
      <w:color w:val="000000"/>
      <w:sz w:val="18"/>
      <w:szCs w:val="18"/>
      <w:u w:val="none"/>
    </w:rPr>
  </w:style>
  <w:style w:type="character" w:customStyle="1" w:styleId="43">
    <w:name w:val="font12"/>
    <w:basedOn w:val="27"/>
    <w:qFormat/>
    <w:uiPriority w:val="0"/>
    <w:rPr>
      <w:rFonts w:hint="eastAsia" w:ascii="宋体" w:hAnsi="宋体" w:eastAsia="宋体" w:cs="宋体"/>
      <w:color w:val="000000"/>
      <w:sz w:val="18"/>
      <w:szCs w:val="18"/>
      <w:u w:val="none"/>
    </w:rPr>
  </w:style>
  <w:style w:type="character" w:customStyle="1" w:styleId="44">
    <w:name w:val="font51"/>
    <w:basedOn w:val="27"/>
    <w:qFormat/>
    <w:uiPriority w:val="0"/>
    <w:rPr>
      <w:rFonts w:hint="default" w:ascii="Times New Roman" w:hAnsi="Times New Roman" w:cs="Times New Roman"/>
      <w:color w:val="000000"/>
      <w:sz w:val="28"/>
      <w:szCs w:val="28"/>
      <w:u w:val="none"/>
    </w:rPr>
  </w:style>
  <w:style w:type="character" w:customStyle="1" w:styleId="45">
    <w:name w:val="font01"/>
    <w:basedOn w:val="27"/>
    <w:qFormat/>
    <w:uiPriority w:val="0"/>
    <w:rPr>
      <w:rFonts w:ascii="方正仿宋简体" w:hAnsi="方正仿宋简体" w:eastAsia="方正仿宋简体" w:cs="方正仿宋简体"/>
      <w:color w:val="000000"/>
      <w:sz w:val="28"/>
      <w:szCs w:val="28"/>
      <w:u w:val="none"/>
    </w:r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7">
    <w:name w:val="font81"/>
    <w:basedOn w:val="27"/>
    <w:qFormat/>
    <w:uiPriority w:val="0"/>
    <w:rPr>
      <w:rFonts w:hint="eastAsia" w:ascii="宋体" w:hAnsi="宋体" w:eastAsia="宋体" w:cs="宋体"/>
      <w:color w:val="000000"/>
      <w:sz w:val="20"/>
      <w:szCs w:val="20"/>
      <w:u w:val="none"/>
    </w:rPr>
  </w:style>
  <w:style w:type="paragraph" w:styleId="48">
    <w:name w:val="No Spacing"/>
    <w:qFormat/>
    <w:uiPriority w:val="1"/>
    <w:rPr>
      <w:rFonts w:asciiTheme="minorHAnsi" w:hAnsiTheme="minorHAnsi" w:eastAsiaTheme="minorEastAsia" w:cstheme="minorBidi"/>
      <w:sz w:val="22"/>
      <w:szCs w:val="22"/>
      <w:lang w:val="en-US" w:eastAsia="en-US" w:bidi="en-US"/>
    </w:rPr>
  </w:style>
  <w:style w:type="paragraph" w:customStyle="1" w:styleId="49">
    <w:name w:val="文档正文"/>
    <w:basedOn w:val="1"/>
    <w:qFormat/>
    <w:uiPriority w:val="0"/>
    <w:pPr>
      <w:adjustRightInd w:val="0"/>
      <w:spacing w:line="312" w:lineRule="atLeast"/>
      <w:ind w:firstLine="567"/>
      <w:textAlignment w:val="baseline"/>
    </w:pPr>
    <w:rPr>
      <w:rFonts w:ascii="长城仿宋" w:hAnsi="Times New Roman" w:eastAsia="长城仿宋"/>
      <w:kern w:val="0"/>
      <w:sz w:val="28"/>
      <w:szCs w:val="20"/>
    </w:rPr>
  </w:style>
  <w:style w:type="character" w:customStyle="1" w:styleId="50">
    <w:name w:val="concon"/>
    <w:qFormat/>
    <w:uiPriority w:val="0"/>
  </w:style>
  <w:style w:type="paragraph" w:customStyle="1" w:styleId="51">
    <w:name w:val="_Style 7"/>
    <w:basedOn w:val="1"/>
    <w:qFormat/>
    <w:uiPriority w:val="0"/>
    <w:pPr>
      <w:ind w:firstLine="420" w:firstLineChars="200"/>
    </w:pPr>
    <w:rPr>
      <w:rFonts w:ascii="Times New Roman" w:hAnsi="Times New Roman"/>
      <w:szCs w:val="20"/>
    </w:rPr>
  </w:style>
  <w:style w:type="paragraph" w:customStyle="1" w:styleId="52">
    <w:name w:val="正文列表"/>
    <w:basedOn w:val="1"/>
    <w:qFormat/>
    <w:uiPriority w:val="0"/>
    <w:pPr>
      <w:numPr>
        <w:ilvl w:val="1"/>
        <w:numId w:val="2"/>
      </w:numPr>
    </w:pPr>
    <w:rPr>
      <w:sz w:val="28"/>
    </w:rPr>
  </w:style>
  <w:style w:type="paragraph" w:customStyle="1" w:styleId="53">
    <w:name w:val="列出段落5"/>
    <w:basedOn w:val="1"/>
    <w:qFormat/>
    <w:uiPriority w:val="34"/>
    <w:pPr>
      <w:ind w:firstLine="420" w:firstLineChars="200"/>
    </w:pPr>
    <w:rPr>
      <w:rFonts w:ascii="Times New Roman" w:hAnsi="Times New Roman"/>
      <w:szCs w:val="20"/>
    </w:rPr>
  </w:style>
  <w:style w:type="character" w:customStyle="1" w:styleId="54">
    <w:name w:val="正文文本缩进 2 Char"/>
    <w:basedOn w:val="27"/>
    <w:link w:val="15"/>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61</Pages>
  <Words>5867</Words>
  <Characters>33448</Characters>
  <Lines>278</Lines>
  <Paragraphs>78</Paragraphs>
  <TotalTime>76</TotalTime>
  <ScaleCrop>false</ScaleCrop>
  <LinksUpToDate>false</LinksUpToDate>
  <CharactersWithSpaces>39237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2018-11-19T04:20:00Z</dcterms:created>
  <dc:creator>Administrator</dc:creator>
  <cp:lastModifiedBy>Beatahx</cp:lastModifiedBy>
  <cp:lastPrinted>2020-03-11T12:59:00Z</cp:lastPrinted>
  <dcterms:modified xsi:type="dcterms:W3CDTF">2020-07-16T03:35:34Z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