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7" w:after="1"/>
        <w:rPr>
          <w:rFonts w:ascii="Times New Roman"/>
        </w:rPr>
      </w:pPr>
    </w:p>
    <w:p>
      <w:pPr>
        <w:pStyle w:val="12"/>
        <w:ind w:left="337"/>
        <w:rPr>
          <w:rFonts w:ascii="Times New Roman"/>
          <w:sz w:val="20"/>
        </w:rPr>
      </w:pPr>
      <w:r>
        <w:rPr>
          <w:rFonts w:ascii="Times New Roman"/>
          <w:sz w:val="20"/>
        </w:rPr>
        <mc:AlternateContent>
          <mc:Choice Requires="wps">
            <w:drawing>
              <wp:inline distT="0" distB="0" distL="114300" distR="114300">
                <wp:extent cx="1384300" cy="305435"/>
                <wp:effectExtent l="4445" t="4445" r="20955" b="13970"/>
                <wp:docPr id="2" name="文本框 2"/>
                <wp:cNvGraphicFramePr/>
                <a:graphic xmlns:a="http://schemas.openxmlformats.org/drawingml/2006/main">
                  <a:graphicData uri="http://schemas.microsoft.com/office/word/2010/wordprocessingShape">
                    <wps:wsp>
                      <wps:cNvSpPr txBox="1"/>
                      <wps:spPr>
                        <a:xfrm>
                          <a:off x="0" y="0"/>
                          <a:ext cx="1384300" cy="305435"/>
                        </a:xfrm>
                        <a:prstGeom prst="rect">
                          <a:avLst/>
                        </a:prstGeom>
                        <a:solidFill>
                          <a:srgbClr val="E4E4E4"/>
                        </a:solidFill>
                        <a:ln w="6096" cap="flat" cmpd="sng">
                          <a:solidFill>
                            <a:srgbClr val="000000"/>
                          </a:solidFill>
                          <a:prstDash val="solid"/>
                          <a:miter/>
                          <a:headEnd type="none" w="med" len="med"/>
                          <a:tailEnd type="none" w="med" len="med"/>
                        </a:ln>
                      </wps:spPr>
                      <wps:txbx>
                        <w:txbxContent>
                          <w:p>
                            <w:pPr>
                              <w:spacing w:before="5"/>
                              <w:ind w:left="-1" w:right="0" w:firstLine="0"/>
                              <w:jc w:val="left"/>
                              <w:rPr>
                                <w:b/>
                                <w:sz w:val="36"/>
                              </w:rPr>
                            </w:pPr>
                            <w:r>
                              <w:rPr>
                                <w:b/>
                                <w:sz w:val="36"/>
                              </w:rPr>
                              <w:t>政府采购项目</w:t>
                            </w:r>
                          </w:p>
                        </w:txbxContent>
                      </wps:txbx>
                      <wps:bodyPr lIns="0" tIns="0" rIns="0" bIns="0" upright="1"/>
                    </wps:wsp>
                  </a:graphicData>
                </a:graphic>
              </wp:inline>
            </w:drawing>
          </mc:Choice>
          <mc:Fallback>
            <w:pict>
              <v:shape id="_x0000_s1026" o:spid="_x0000_s1026" o:spt="202" type="#_x0000_t202" style="height:24.05pt;width:109pt;" fillcolor="#E4E4E4" filled="t" stroked="t" coordsize="21600,21600" o:gfxdata="UEsDBAoAAAAAAIdO4kAAAAAAAAAAAAAAAAAEAAAAZHJzL1BLAwQUAAAACACHTuJAdMu2jtMAAAAE&#10;AQAADwAAAGRycy9kb3ducmV2LnhtbE2PQUvDQBCF74L/YRnBm92kljbEbHpoCXhRMNX7NDsmwexs&#10;yG7a6q939KKXB483vPdNsb24QZ1oCr1nA+kiAUXceNtza+D1UN1loEJEtjh4JgOfFGBbXl8VmFt/&#10;5hc61bFVUsIhRwNdjGOudWg6chgWfiSW7N1PDqPYqdV2wrOUu0Evk2StHfYsCx2OtOuo+ahnZ6Ch&#10;zdP9Y0Vjtdptvt7Wz3uq570xtzdp8gAq0iX+HcMPvqBDKUxHP7MNajAgj8RflWyZZmKPBlZZCros&#10;9H/48htQSwMEFAAAAAgAh07iQE62sOAbAgAAWgQAAA4AAABkcnMvZTJvRG9jLnhtbK1UzY7TMBC+&#10;I/EOlu802ba7WqKmK0F3ERICpIUHcG0nseQ/edwmfQF4A05cuPNcfQ7GTtv9gUMPJFL62TP+Zuab&#10;cRc3g9FkKwMoZ2t6MSkpkZY7oWxb069f7l5dUwKRWcG0s7KmOwn0ZvnyxaL3lZy6zmkhA0ESC1Xv&#10;a9rF6KuiAN5Jw2DivLRobFwwLOIytIUIrEd2o4tpWV4VvQvCB8clAO6uRiM9MIZzCF3TKC5Xjm+M&#10;tHFkDVKziCVBpzzQZc62aSSPn5oGZCS6plhpzF8MgnidvsVywao2MN8pfkiBnZPCs5oMUxaDnqhW&#10;LDKyCeovKqN4cOCaOOHOFGMhWRGs4qJ8ps19x7zMtaDU4E+iw/+j5R+3nwNRoqZTSiwz2PD9j+/7&#10;n7/3v76RaZKn91Ch171Hvzi8cQMOzXEfcDNVPTTBpF+sh6Adxd2dxJVDJDwdml3PZyWaONpm5eV8&#10;dploiofTPkB8J50hCdQ0YPOypmz7AeLoenRJwcBpJe6U1nkR2vVbHciWYaNv5+k9sD9x05b0Nb0q&#10;X19hHgynt8GpQWg8KgC2zfGenIDHxGV+/kWcElsx6MYEMkNyY5VRUYaMOsnErRUk7jyqbPFy0ZSM&#10;kYISLfEuJpQ9I1P6HE/UTluUMLVobEVCcVgPSJPg2okdtk2/tzgyafyPIBzB+gg2Pqi2Q9lzczMl&#10;jlzuz+F6pJl+vM6BH/4Sl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Mu2jtMAAAAEAQAADwAA&#10;AAAAAAABACAAAAAiAAAAZHJzL2Rvd25yZXYueG1sUEsBAhQAFAAAAAgAh07iQE62sOAbAgAAWgQA&#10;AA4AAAAAAAAAAQAgAAAAIgEAAGRycy9lMm9Eb2MueG1sUEsFBgAAAAAGAAYAWQEAAK8FAAAAAA==&#10;">
                <v:fill on="t" focussize="0,0"/>
                <v:stroke weight="0.48pt" color="#000000" joinstyle="miter"/>
                <v:imagedata o:title=""/>
                <o:lock v:ext="edit" aspectratio="f"/>
                <v:textbox inset="0mm,0mm,0mm,0mm">
                  <w:txbxContent>
                    <w:p>
                      <w:pPr>
                        <w:spacing w:before="5"/>
                        <w:ind w:left="-1" w:right="0" w:firstLine="0"/>
                        <w:jc w:val="left"/>
                        <w:rPr>
                          <w:b/>
                          <w:sz w:val="36"/>
                        </w:rPr>
                      </w:pPr>
                      <w:r>
                        <w:rPr>
                          <w:b/>
                          <w:sz w:val="36"/>
                        </w:rPr>
                        <w:t>政府采购项目</w:t>
                      </w:r>
                    </w:p>
                  </w:txbxContent>
                </v:textbox>
                <w10:wrap type="none"/>
                <w10:anchorlock/>
              </v:shape>
            </w:pict>
          </mc:Fallback>
        </mc:AlternateContent>
      </w: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spacing w:before="8"/>
        <w:rPr>
          <w:rFonts w:ascii="Times New Roman"/>
          <w:sz w:val="23"/>
        </w:rPr>
      </w:pPr>
    </w:p>
    <w:p>
      <w:pPr>
        <w:spacing w:before="48" w:line="254" w:lineRule="auto"/>
        <w:ind w:left="337" w:right="332" w:firstLine="0"/>
        <w:jc w:val="center"/>
        <w:rPr>
          <w:rFonts w:hint="eastAsia" w:eastAsia="宋体"/>
          <w:sz w:val="48"/>
          <w:lang w:val="en-US" w:eastAsia="zh-CN"/>
        </w:rPr>
      </w:pPr>
      <w:r>
        <w:rPr>
          <w:rFonts w:hint="eastAsia"/>
          <w:sz w:val="48"/>
          <w:lang w:eastAsia="zh-CN"/>
        </w:rPr>
        <w:t>阿克苏市城市道路清扫保洁、园林绿化管养、公厕管护购买社会化服务采购项目</w:t>
      </w:r>
    </w:p>
    <w:p>
      <w:pPr>
        <w:pStyle w:val="12"/>
        <w:rPr>
          <w:b/>
          <w:sz w:val="34"/>
        </w:rPr>
      </w:pPr>
    </w:p>
    <w:p>
      <w:pPr>
        <w:pStyle w:val="12"/>
        <w:spacing w:before="4"/>
        <w:rPr>
          <w:b/>
          <w:sz w:val="35"/>
        </w:rPr>
      </w:pPr>
    </w:p>
    <w:p>
      <w:pPr>
        <w:pStyle w:val="12"/>
        <w:spacing w:before="4"/>
        <w:rPr>
          <w:b/>
          <w:sz w:val="35"/>
        </w:rPr>
      </w:pPr>
    </w:p>
    <w:p>
      <w:pPr>
        <w:pStyle w:val="12"/>
        <w:spacing w:before="4"/>
        <w:rPr>
          <w:b/>
          <w:sz w:val="35"/>
        </w:rPr>
      </w:pPr>
    </w:p>
    <w:p>
      <w:pPr>
        <w:pStyle w:val="12"/>
        <w:spacing w:before="4"/>
        <w:rPr>
          <w:b/>
          <w:sz w:val="35"/>
        </w:rPr>
      </w:pPr>
    </w:p>
    <w:p>
      <w:pPr>
        <w:pStyle w:val="12"/>
        <w:spacing w:before="4"/>
        <w:rPr>
          <w:b/>
          <w:sz w:val="35"/>
        </w:rPr>
      </w:pPr>
    </w:p>
    <w:p>
      <w:pPr>
        <w:spacing w:before="1"/>
        <w:ind w:left="327" w:right="332" w:firstLine="0"/>
        <w:jc w:val="center"/>
        <w:rPr>
          <w:b/>
          <w:sz w:val="84"/>
        </w:rPr>
      </w:pPr>
      <w:r>
        <w:rPr>
          <w:b/>
          <w:sz w:val="84"/>
        </w:rPr>
        <w:t>公开招标文件</w:t>
      </w:r>
    </w:p>
    <w:p>
      <w:pPr>
        <w:pStyle w:val="2"/>
      </w:pPr>
    </w:p>
    <w:p/>
    <w:p>
      <w:pPr>
        <w:spacing w:before="210"/>
        <w:ind w:left="2939" w:right="0" w:firstLine="723" w:firstLineChars="200"/>
        <w:jc w:val="left"/>
        <w:rPr>
          <w:rFonts w:hint="eastAsia" w:ascii="Times New Roman"/>
          <w:b/>
          <w:sz w:val="36"/>
          <w:lang w:val="en-US" w:eastAsia="zh-CN"/>
        </w:rPr>
      </w:pPr>
      <w:r>
        <w:rPr>
          <w:b/>
          <w:sz w:val="36"/>
        </w:rPr>
        <w:t>项目编号</w:t>
      </w:r>
      <w:r>
        <w:rPr>
          <w:rFonts w:ascii="Times New Roman" w:eastAsia="Times New Roman"/>
          <w:b/>
          <w:sz w:val="36"/>
        </w:rPr>
        <w:t>: 2020-</w:t>
      </w:r>
      <w:r>
        <w:rPr>
          <w:rFonts w:hint="eastAsia" w:ascii="Times New Roman"/>
          <w:b/>
          <w:sz w:val="36"/>
          <w:lang w:val="en-US" w:eastAsia="zh-CN"/>
        </w:rPr>
        <w:t>701</w:t>
      </w:r>
    </w:p>
    <w:p>
      <w:pPr>
        <w:pStyle w:val="12"/>
        <w:rPr>
          <w:b/>
          <w:sz w:val="40"/>
        </w:rPr>
      </w:pPr>
    </w:p>
    <w:p>
      <w:pPr>
        <w:pStyle w:val="12"/>
        <w:rPr>
          <w:b/>
          <w:sz w:val="40"/>
        </w:rPr>
      </w:pPr>
    </w:p>
    <w:p>
      <w:pPr>
        <w:pStyle w:val="12"/>
        <w:rPr>
          <w:b/>
          <w:sz w:val="40"/>
        </w:rPr>
      </w:pPr>
    </w:p>
    <w:p>
      <w:pPr>
        <w:pStyle w:val="12"/>
        <w:rPr>
          <w:b/>
          <w:sz w:val="40"/>
        </w:rPr>
      </w:pPr>
    </w:p>
    <w:p>
      <w:pPr>
        <w:pStyle w:val="12"/>
        <w:spacing w:before="1"/>
        <w:rPr>
          <w:b/>
          <w:sz w:val="54"/>
        </w:rPr>
      </w:pPr>
    </w:p>
    <w:p>
      <w:pPr>
        <w:spacing w:before="0" w:line="340" w:lineRule="auto"/>
        <w:ind w:left="693" w:right="692" w:firstLine="0"/>
        <w:jc w:val="center"/>
        <w:rPr>
          <w:rFonts w:hint="eastAsia"/>
          <w:b/>
          <w:sz w:val="36"/>
          <w:lang w:eastAsia="zh-CN"/>
        </w:rPr>
      </w:pPr>
      <w:r>
        <w:rPr>
          <w:b/>
          <w:sz w:val="36"/>
        </w:rPr>
        <w:t>采购人：</w:t>
      </w:r>
      <w:r>
        <w:rPr>
          <w:rFonts w:hint="eastAsia"/>
          <w:b/>
          <w:sz w:val="36"/>
          <w:lang w:eastAsia="zh-CN"/>
        </w:rPr>
        <w:t>阿克苏市城市管理行政执法局</w:t>
      </w:r>
    </w:p>
    <w:p>
      <w:pPr>
        <w:pStyle w:val="2"/>
        <w:rPr>
          <w:rFonts w:hint="eastAsia"/>
          <w:lang w:eastAsia="zh-CN"/>
        </w:rPr>
      </w:pPr>
    </w:p>
    <w:p>
      <w:pPr>
        <w:spacing w:before="0" w:line="340" w:lineRule="auto"/>
        <w:ind w:left="693" w:right="692" w:firstLine="0"/>
        <w:jc w:val="center"/>
        <w:rPr>
          <w:rFonts w:hint="eastAsia"/>
          <w:b/>
          <w:sz w:val="36"/>
          <w:lang w:eastAsia="zh-CN"/>
        </w:rPr>
      </w:pPr>
      <w:r>
        <w:rPr>
          <w:b/>
          <w:sz w:val="36"/>
        </w:rPr>
        <w:t>采购代理机构：</w:t>
      </w:r>
      <w:r>
        <w:rPr>
          <w:rFonts w:hint="eastAsia"/>
          <w:b/>
          <w:sz w:val="36"/>
          <w:lang w:eastAsia="zh-CN"/>
        </w:rPr>
        <w:t>喀什铭远建设工程项目管理咨询有限公司</w:t>
      </w:r>
    </w:p>
    <w:p>
      <w:pPr>
        <w:pStyle w:val="2"/>
        <w:rPr>
          <w:rFonts w:hint="eastAsia"/>
          <w:lang w:eastAsia="zh-CN"/>
        </w:rPr>
      </w:pPr>
    </w:p>
    <w:p>
      <w:pPr>
        <w:spacing w:before="0" w:line="454" w:lineRule="exact"/>
        <w:ind w:left="332" w:right="332" w:firstLine="0"/>
        <w:jc w:val="center"/>
        <w:rPr>
          <w:sz w:val="36"/>
        </w:rPr>
        <w:sectPr>
          <w:type w:val="continuous"/>
          <w:pgSz w:w="11910" w:h="16840"/>
          <w:pgMar w:top="1580" w:right="740" w:bottom="280" w:left="740" w:header="720" w:footer="720" w:gutter="0"/>
        </w:sectPr>
      </w:pPr>
      <w:r>
        <w:rPr>
          <w:b/>
          <w:sz w:val="36"/>
        </w:rPr>
        <w:t>二零二</w:t>
      </w:r>
      <w:r>
        <w:rPr>
          <w:rFonts w:hint="eastAsia"/>
          <w:b/>
          <w:sz w:val="36"/>
          <w:lang w:eastAsia="zh-CN"/>
        </w:rPr>
        <w:t>一</w:t>
      </w:r>
      <w:r>
        <w:rPr>
          <w:b/>
          <w:sz w:val="36"/>
        </w:rPr>
        <w:t>年</w:t>
      </w:r>
      <w:r>
        <w:rPr>
          <w:rFonts w:hint="eastAsia"/>
          <w:b/>
          <w:sz w:val="36"/>
          <w:lang w:eastAsia="zh-CN"/>
        </w:rPr>
        <w:t>一月</w:t>
      </w:r>
    </w:p>
    <w:p>
      <w:pPr>
        <w:pStyle w:val="12"/>
        <w:rPr>
          <w:b/>
          <w:sz w:val="20"/>
        </w:rPr>
      </w:pPr>
    </w:p>
    <w:p>
      <w:pPr>
        <w:pStyle w:val="12"/>
        <w:rPr>
          <w:b/>
        </w:rPr>
      </w:pPr>
    </w:p>
    <w:p>
      <w:pPr>
        <w:spacing w:before="33"/>
        <w:ind w:left="332" w:right="332" w:firstLine="0"/>
        <w:jc w:val="center"/>
        <w:rPr>
          <w:b/>
          <w:sz w:val="48"/>
        </w:rPr>
      </w:pPr>
      <w:r>
        <w:rPr>
          <w:b/>
          <w:sz w:val="48"/>
        </w:rPr>
        <w:t>目录</w:t>
      </w:r>
    </w:p>
    <w:p>
      <w:pPr>
        <w:pStyle w:val="12"/>
        <w:rPr>
          <w:b/>
          <w:sz w:val="48"/>
        </w:rPr>
      </w:pPr>
    </w:p>
    <w:p>
      <w:pPr>
        <w:pStyle w:val="12"/>
        <w:rPr>
          <w:b/>
          <w:sz w:val="48"/>
        </w:rPr>
      </w:pPr>
    </w:p>
    <w:p>
      <w:pPr>
        <w:pStyle w:val="12"/>
        <w:rPr>
          <w:b/>
          <w:sz w:val="48"/>
        </w:rPr>
      </w:pPr>
    </w:p>
    <w:p>
      <w:pPr>
        <w:pStyle w:val="12"/>
        <w:spacing w:before="1"/>
        <w:rPr>
          <w:b/>
          <w:sz w:val="47"/>
        </w:rPr>
      </w:pPr>
    </w:p>
    <w:sdt>
      <w:sdtPr>
        <w:id w:val="0"/>
        <w:docPartObj>
          <w:docPartGallery w:val="Table of Contents"/>
          <w:docPartUnique/>
        </w:docPartObj>
      </w:sdtPr>
      <w:sdtContent>
        <w:p>
          <w:pPr>
            <w:pStyle w:val="15"/>
            <w:tabs>
              <w:tab w:val="left" w:pos="1744"/>
              <w:tab w:val="right" w:leader="dot" w:pos="10079"/>
            </w:tabs>
            <w:spacing w:before="0"/>
          </w:pPr>
          <w:r>
            <w:fldChar w:fldCharType="begin"/>
          </w:r>
          <w:r>
            <w:instrText xml:space="preserve">TOC \o "1-1" \h \z \u </w:instrText>
          </w:r>
          <w:r>
            <w:fldChar w:fldCharType="separate"/>
          </w:r>
          <w:r>
            <w:fldChar w:fldCharType="begin"/>
          </w:r>
          <w:r>
            <w:instrText xml:space="preserve"> HYPERLINK \l "_bookmark0" </w:instrText>
          </w:r>
          <w:r>
            <w:fldChar w:fldCharType="separate"/>
          </w:r>
          <w:r>
            <w:t>第一部分</w:t>
          </w:r>
          <w:r>
            <w:tab/>
          </w:r>
          <w:r>
            <w:t>招标公告</w:t>
          </w:r>
          <w:r>
            <w:tab/>
          </w:r>
          <w:r>
            <w:t>3</w:t>
          </w:r>
          <w:r>
            <w:fldChar w:fldCharType="end"/>
          </w:r>
        </w:p>
        <w:p>
          <w:pPr>
            <w:pStyle w:val="15"/>
            <w:tabs>
              <w:tab w:val="left" w:pos="1744"/>
              <w:tab w:val="right" w:leader="dot" w:pos="10079"/>
            </w:tabs>
          </w:pPr>
          <w:r>
            <w:fldChar w:fldCharType="begin"/>
          </w:r>
          <w:r>
            <w:instrText xml:space="preserve"> HYPERLINK \l "_TOC_250003" </w:instrText>
          </w:r>
          <w:r>
            <w:fldChar w:fldCharType="separate"/>
          </w:r>
          <w:r>
            <w:t>第二部分</w:t>
          </w:r>
          <w:r>
            <w:tab/>
          </w:r>
          <w:r>
            <w:t>投标人须知</w:t>
          </w:r>
          <w:r>
            <w:tab/>
          </w:r>
          <w:r>
            <w:t>8</w:t>
          </w:r>
          <w:r>
            <w:fldChar w:fldCharType="end"/>
          </w:r>
        </w:p>
        <w:p>
          <w:pPr>
            <w:pStyle w:val="15"/>
            <w:tabs>
              <w:tab w:val="left" w:pos="1744"/>
              <w:tab w:val="right" w:leader="dot" w:pos="10081"/>
            </w:tabs>
            <w:spacing w:before="292"/>
          </w:pPr>
          <w:r>
            <w:fldChar w:fldCharType="begin"/>
          </w:r>
          <w:r>
            <w:instrText xml:space="preserve"> HYPERLINK \l "_TOC_250002" </w:instrText>
          </w:r>
          <w:r>
            <w:fldChar w:fldCharType="separate"/>
          </w:r>
          <w:r>
            <w:t>第三部分</w:t>
          </w:r>
          <w:r>
            <w:tab/>
          </w:r>
          <w:r>
            <w:t>评标办法</w:t>
          </w:r>
          <w:r>
            <w:tab/>
          </w:r>
          <w:r>
            <w:t>25</w:t>
          </w:r>
          <w:r>
            <w:fldChar w:fldCharType="end"/>
          </w:r>
        </w:p>
        <w:p>
          <w:pPr>
            <w:pStyle w:val="15"/>
            <w:tabs>
              <w:tab w:val="left" w:pos="1744"/>
              <w:tab w:val="right" w:leader="dot" w:pos="10081"/>
            </w:tabs>
          </w:pPr>
          <w:r>
            <w:fldChar w:fldCharType="begin"/>
          </w:r>
          <w:r>
            <w:instrText xml:space="preserve"> HYPERLINK \l "_bookmark1" </w:instrText>
          </w:r>
          <w:r>
            <w:fldChar w:fldCharType="separate"/>
          </w:r>
          <w:r>
            <w:t>第四部分</w:t>
          </w:r>
          <w:r>
            <w:tab/>
          </w:r>
          <w:r>
            <w:t>商务及服务要求</w:t>
          </w:r>
          <w:r>
            <w:tab/>
          </w:r>
          <w:r>
            <w:t>32</w:t>
          </w:r>
          <w:r>
            <w:fldChar w:fldCharType="end"/>
          </w:r>
        </w:p>
        <w:p>
          <w:pPr>
            <w:pStyle w:val="15"/>
            <w:tabs>
              <w:tab w:val="left" w:pos="1744"/>
              <w:tab w:val="right" w:leader="dot" w:pos="10081"/>
            </w:tabs>
          </w:pPr>
          <w:r>
            <w:fldChar w:fldCharType="begin"/>
          </w:r>
          <w:r>
            <w:instrText xml:space="preserve"> HYPERLINK \l "_TOC_250001" </w:instrText>
          </w:r>
          <w:r>
            <w:fldChar w:fldCharType="separate"/>
          </w:r>
          <w:r>
            <w:t>第五部分</w:t>
          </w:r>
          <w:r>
            <w:tab/>
          </w:r>
          <w:r>
            <w:t>合同条款</w:t>
          </w:r>
          <w:r>
            <w:tab/>
          </w:r>
          <w:r>
            <w:t>50</w:t>
          </w:r>
          <w:r>
            <w:fldChar w:fldCharType="end"/>
          </w:r>
        </w:p>
        <w:p>
          <w:pPr>
            <w:pStyle w:val="15"/>
            <w:tabs>
              <w:tab w:val="left" w:pos="1744"/>
              <w:tab w:val="right" w:leader="dot" w:pos="10081"/>
            </w:tabs>
            <w:spacing w:before="292"/>
          </w:pPr>
          <w:r>
            <w:fldChar w:fldCharType="begin"/>
          </w:r>
          <w:r>
            <w:instrText xml:space="preserve"> HYPERLINK \l "_TOC_250000" </w:instrText>
          </w:r>
          <w:r>
            <w:fldChar w:fldCharType="separate"/>
          </w:r>
          <w:r>
            <w:t>第六部分</w:t>
          </w:r>
          <w:r>
            <w:tab/>
          </w:r>
          <w:r>
            <w:t>投标文件格式</w:t>
          </w:r>
          <w:r>
            <w:tab/>
          </w:r>
          <w:r>
            <w:t>56</w:t>
          </w:r>
          <w:r>
            <w:fldChar w:fldCharType="end"/>
          </w:r>
        </w:p>
        <w:p>
          <w:r>
            <w:fldChar w:fldCharType="end"/>
          </w:r>
        </w:p>
      </w:sdtContent>
    </w:sdt>
    <w:p>
      <w:pPr>
        <w:spacing w:after="0"/>
        <w:sectPr>
          <w:headerReference r:id="rId3" w:type="default"/>
          <w:footerReference r:id="rId4" w:type="default"/>
          <w:pgSz w:w="11910" w:h="16840"/>
          <w:pgMar w:top="1360" w:right="740" w:bottom="1080" w:left="740" w:header="880" w:footer="887" w:gutter="0"/>
          <w:pgNumType w:start="2"/>
        </w:sectPr>
      </w:pPr>
    </w:p>
    <w:p>
      <w:pPr>
        <w:pStyle w:val="3"/>
        <w:tabs>
          <w:tab w:val="left" w:pos="1809"/>
        </w:tabs>
        <w:spacing w:before="171"/>
      </w:pPr>
      <w:bookmarkStart w:id="0" w:name="第一部分  招标公告"/>
      <w:bookmarkEnd w:id="0"/>
      <w:bookmarkStart w:id="1" w:name="_bookmark0"/>
      <w:bookmarkEnd w:id="1"/>
      <w:r>
        <w:t>第一部分</w:t>
      </w:r>
      <w:r>
        <w:tab/>
      </w:r>
      <w:r>
        <w:t>招标公告</w:t>
      </w:r>
    </w:p>
    <w:p>
      <w:pPr>
        <w:pStyle w:val="3"/>
        <w:tabs>
          <w:tab w:val="left" w:pos="0"/>
        </w:tabs>
        <w:autoSpaceDE w:val="0"/>
        <w:autoSpaceDN w:val="0"/>
        <w:adjustRightInd w:val="0"/>
        <w:spacing w:before="0" w:after="0" w:line="360" w:lineRule="auto"/>
        <w:jc w:val="center"/>
      </w:pPr>
      <w:r>
        <w:rPr>
          <w:rFonts w:hint="eastAsia" w:ascii="黑体" w:hAnsi="黑体" w:eastAsia="黑体" w:cs="黑体"/>
          <w:lang w:val="en-US" w:eastAsia="zh-CN"/>
        </w:rPr>
        <w:t>公开招标公告</w:t>
      </w:r>
    </w:p>
    <w:p>
      <w:pPr>
        <w:pageBreakBefore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zh-CN" w:eastAsia="zh-CN" w:bidi="zh-CN"/>
        </w:rPr>
        <w:t>项目概况</w:t>
      </w:r>
      <w:r>
        <w:rPr>
          <w:rFonts w:hint="eastAsia" w:ascii="宋体" w:hAnsi="宋体" w:eastAsia="宋体" w:cs="宋体"/>
          <w:sz w:val="21"/>
          <w:szCs w:val="21"/>
          <w:lang w:val="en-US" w:eastAsia="zh-CN" w:bidi="zh-CN"/>
        </w:rPr>
        <w:t>:</w:t>
      </w:r>
    </w:p>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 xml:space="preserve"> </w:t>
      </w:r>
      <w:r>
        <w:rPr>
          <w:rFonts w:hint="eastAsia" w:ascii="宋体" w:hAnsi="宋体" w:eastAsia="宋体" w:cs="宋体"/>
          <w:sz w:val="21"/>
          <w:szCs w:val="21"/>
          <w:lang w:val="en-US" w:eastAsia="zh-CN" w:bidi="zh-CN"/>
        </w:rPr>
        <w:t xml:space="preserve">    阿克苏市城市道路清扫保洁、园林绿化管养、公厕管护</w:t>
      </w:r>
      <w:r>
        <w:rPr>
          <w:rFonts w:hint="eastAsia" w:cs="宋体"/>
          <w:sz w:val="21"/>
          <w:szCs w:val="21"/>
          <w:lang w:val="en-US" w:eastAsia="zh-CN" w:bidi="zh-CN"/>
        </w:rPr>
        <w:t>购买社会化服务</w:t>
      </w:r>
      <w:r>
        <w:rPr>
          <w:rFonts w:hint="eastAsia" w:ascii="宋体" w:hAnsi="宋体" w:eastAsia="宋体" w:cs="宋体"/>
          <w:sz w:val="21"/>
          <w:szCs w:val="21"/>
          <w:lang w:val="zh-CN" w:eastAsia="zh-CN" w:bidi="zh-CN"/>
        </w:rPr>
        <w:t>采购项目的潜在供应商应在新疆政府采购云平台获取采购文件，并于</w:t>
      </w:r>
      <w:r>
        <w:rPr>
          <w:rFonts w:hint="eastAsia" w:ascii="宋体" w:hAnsi="宋体" w:eastAsia="宋体" w:cs="宋体"/>
          <w:sz w:val="21"/>
          <w:szCs w:val="21"/>
          <w:lang w:val="en-US" w:eastAsia="zh-CN" w:bidi="zh-CN"/>
        </w:rPr>
        <w:t>2021</w:t>
      </w:r>
      <w:r>
        <w:rPr>
          <w:rFonts w:hint="eastAsia" w:ascii="宋体" w:hAnsi="宋体" w:eastAsia="宋体" w:cs="宋体"/>
          <w:sz w:val="21"/>
          <w:szCs w:val="21"/>
          <w:lang w:val="zh-CN" w:eastAsia="zh-CN" w:bidi="zh-CN"/>
        </w:rPr>
        <w:t>年</w:t>
      </w:r>
      <w:r>
        <w:rPr>
          <w:rFonts w:hint="eastAsia" w:cs="宋体"/>
          <w:sz w:val="21"/>
          <w:szCs w:val="21"/>
          <w:lang w:val="en-US" w:eastAsia="zh-CN" w:bidi="zh-CN"/>
        </w:rPr>
        <w:t>2</w:t>
      </w:r>
      <w:r>
        <w:rPr>
          <w:rFonts w:hint="eastAsia" w:ascii="宋体" w:hAnsi="宋体" w:eastAsia="宋体" w:cs="宋体"/>
          <w:sz w:val="21"/>
          <w:szCs w:val="21"/>
          <w:lang w:val="zh-CN" w:eastAsia="zh-CN" w:bidi="zh-CN"/>
        </w:rPr>
        <w:t>月</w:t>
      </w:r>
      <w:r>
        <w:rPr>
          <w:rFonts w:hint="eastAsia" w:ascii="宋体" w:hAnsi="宋体" w:eastAsia="宋体" w:cs="宋体"/>
          <w:sz w:val="21"/>
          <w:szCs w:val="21"/>
          <w:lang w:val="en-US" w:eastAsia="zh-CN" w:bidi="zh-CN"/>
        </w:rPr>
        <w:t>2日10</w:t>
      </w:r>
      <w:r>
        <w:rPr>
          <w:rFonts w:hint="eastAsia" w:ascii="宋体" w:hAnsi="宋体" w:eastAsia="宋体" w:cs="宋体"/>
          <w:sz w:val="21"/>
          <w:szCs w:val="21"/>
          <w:lang w:val="zh-CN" w:eastAsia="zh-CN" w:bidi="zh-CN"/>
        </w:rPr>
        <w:t>点</w:t>
      </w:r>
      <w:r>
        <w:rPr>
          <w:rFonts w:hint="eastAsia" w:ascii="宋体" w:hAnsi="宋体" w:eastAsia="宋体" w:cs="宋体"/>
          <w:sz w:val="21"/>
          <w:szCs w:val="21"/>
          <w:lang w:val="en-US" w:eastAsia="zh-CN" w:bidi="zh-CN"/>
        </w:rPr>
        <w:t>30</w:t>
      </w:r>
      <w:r>
        <w:rPr>
          <w:rFonts w:hint="eastAsia" w:ascii="宋体" w:hAnsi="宋体" w:eastAsia="宋体" w:cs="宋体"/>
          <w:sz w:val="21"/>
          <w:szCs w:val="21"/>
          <w:lang w:val="zh-CN" w:eastAsia="zh-CN" w:bidi="zh-CN"/>
        </w:rPr>
        <w:t>分（北京时间）前提交响应文件。</w:t>
      </w:r>
    </w:p>
    <w:p>
      <w:pPr>
        <w:pStyle w:val="4"/>
        <w:pageBreakBefore w:val="0"/>
        <w:kinsoku/>
        <w:wordWrap/>
        <w:overflowPunct/>
        <w:topLinePunct w:val="0"/>
        <w:autoSpaceDE/>
        <w:autoSpaceDN/>
        <w:bidi w:val="0"/>
        <w:adjustRightInd/>
        <w:snapToGrid/>
        <w:spacing w:before="0" w:after="0" w:line="500" w:lineRule="exact"/>
        <w:jc w:val="both"/>
        <w:textAlignment w:val="auto"/>
        <w:rPr>
          <w:rFonts w:hint="eastAsia" w:ascii="宋体" w:hAnsi="宋体" w:eastAsia="宋体" w:cs="宋体"/>
          <w:sz w:val="21"/>
          <w:szCs w:val="21"/>
          <w:lang w:val="zh-CN" w:eastAsia="zh-CN" w:bidi="zh-CN"/>
        </w:rPr>
      </w:pPr>
      <w:bookmarkStart w:id="2" w:name="_Toc35393629"/>
      <w:bookmarkStart w:id="3" w:name="_Toc35393798"/>
      <w:bookmarkStart w:id="4" w:name="_Toc28359089"/>
      <w:bookmarkStart w:id="5" w:name="_Toc28359012"/>
      <w:r>
        <w:rPr>
          <w:rFonts w:hint="eastAsia" w:ascii="宋体" w:hAnsi="宋体" w:eastAsia="宋体" w:cs="宋体"/>
          <w:sz w:val="21"/>
          <w:szCs w:val="21"/>
          <w:lang w:val="zh-CN" w:eastAsia="zh-CN" w:bidi="zh-CN"/>
        </w:rPr>
        <w:t>一、项目基本情况</w:t>
      </w:r>
      <w:bookmarkEnd w:id="2"/>
      <w:bookmarkEnd w:id="3"/>
      <w:bookmarkEnd w:id="4"/>
      <w:bookmarkEnd w:id="5"/>
    </w:p>
    <w:p>
      <w:pPr>
        <w:pageBreakBefore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zh-CN" w:eastAsia="zh-CN" w:bidi="zh-CN"/>
        </w:rPr>
        <w:t>项目编号：</w:t>
      </w:r>
      <w:r>
        <w:rPr>
          <w:rFonts w:hint="eastAsia" w:ascii="宋体" w:hAnsi="宋体" w:eastAsia="宋体" w:cs="宋体"/>
          <w:sz w:val="21"/>
          <w:szCs w:val="21"/>
          <w:lang w:val="en-US" w:eastAsia="zh-CN" w:bidi="zh-CN"/>
        </w:rPr>
        <w:t>2020-701</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项目名称：阿克苏市城市道路清扫保洁、园林绿化管养、公厕管护购买社会化服务采购项目</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采购方式：公开招标</w:t>
      </w:r>
    </w:p>
    <w:p>
      <w:pPr>
        <w:pageBreakBefore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zh-CN" w:eastAsia="zh-CN" w:bidi="zh-CN"/>
        </w:rPr>
        <w:t>预算金额：</w:t>
      </w:r>
      <w:r>
        <w:rPr>
          <w:rFonts w:hint="eastAsia" w:ascii="宋体" w:hAnsi="宋体" w:eastAsia="宋体" w:cs="宋体"/>
          <w:sz w:val="21"/>
          <w:szCs w:val="21"/>
          <w:lang w:val="en-US" w:eastAsia="zh-CN" w:bidi="zh-CN"/>
        </w:rPr>
        <w:t>46000000元</w:t>
      </w:r>
      <w:r>
        <w:rPr>
          <w:rFonts w:hint="eastAsia" w:cs="宋体"/>
          <w:sz w:val="21"/>
          <w:szCs w:val="21"/>
          <w:lang w:val="en-US" w:eastAsia="zh-CN" w:bidi="zh-CN"/>
        </w:rPr>
        <w:t>/年</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zh-CN" w:eastAsia="zh-CN" w:bidi="zh-CN"/>
        </w:rPr>
        <w:t>最高限价：</w:t>
      </w:r>
      <w:r>
        <w:rPr>
          <w:rFonts w:hint="eastAsia" w:ascii="宋体" w:hAnsi="宋体" w:eastAsia="宋体" w:cs="宋体"/>
          <w:sz w:val="21"/>
          <w:szCs w:val="21"/>
          <w:lang w:val="en-US" w:eastAsia="zh-CN" w:bidi="zh-CN"/>
        </w:rPr>
        <w:t>46000000元</w:t>
      </w:r>
      <w:r>
        <w:rPr>
          <w:rFonts w:hint="eastAsia" w:cs="宋体"/>
          <w:sz w:val="21"/>
          <w:szCs w:val="21"/>
          <w:lang w:val="en-US" w:eastAsia="zh-CN" w:bidi="zh-CN"/>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right="0" w:firstLine="640"/>
        <w:jc w:val="lef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采购需求：</w:t>
      </w:r>
    </w:p>
    <w:tbl>
      <w:tblPr>
        <w:tblStyle w:val="17"/>
        <w:tblW w:w="94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45"/>
        <w:gridCol w:w="1230"/>
        <w:gridCol w:w="705"/>
        <w:gridCol w:w="1348"/>
        <w:gridCol w:w="616"/>
        <w:gridCol w:w="3856"/>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39" w:hRule="atLeast"/>
          <w:jc w:val="center"/>
        </w:trPr>
        <w:tc>
          <w:tcPr>
            <w:tcW w:w="745" w:type="dxa"/>
            <w:tcBorders>
              <w:top w:val="single" w:color="auto" w:sz="8" w:space="0"/>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标项序号</w:t>
            </w:r>
          </w:p>
        </w:tc>
        <w:tc>
          <w:tcPr>
            <w:tcW w:w="1230" w:type="dxa"/>
            <w:tcBorders>
              <w:top w:val="single" w:color="auto" w:sz="8" w:space="0"/>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标项名称</w:t>
            </w:r>
          </w:p>
        </w:tc>
        <w:tc>
          <w:tcPr>
            <w:tcW w:w="705" w:type="dxa"/>
            <w:tcBorders>
              <w:top w:val="single" w:color="auto" w:sz="8" w:space="0"/>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数量</w:t>
            </w:r>
          </w:p>
        </w:tc>
        <w:tc>
          <w:tcPr>
            <w:tcW w:w="1348" w:type="dxa"/>
            <w:tcBorders>
              <w:top w:val="single" w:color="auto" w:sz="8" w:space="0"/>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预算金额(</w:t>
            </w:r>
            <w:r>
              <w:rPr>
                <w:rFonts w:hint="eastAsia" w:cs="宋体"/>
                <w:sz w:val="21"/>
                <w:szCs w:val="21"/>
                <w:lang w:val="en-US" w:eastAsia="zh-CN" w:bidi="zh-CN"/>
              </w:rPr>
              <w:t>万</w:t>
            </w:r>
            <w:r>
              <w:rPr>
                <w:rFonts w:hint="default" w:ascii="宋体" w:hAnsi="宋体" w:eastAsia="宋体" w:cs="宋体"/>
                <w:sz w:val="21"/>
                <w:szCs w:val="21"/>
                <w:lang w:val="en-US" w:eastAsia="zh-CN" w:bidi="zh-CN"/>
              </w:rPr>
              <w:t>元)</w:t>
            </w:r>
          </w:p>
        </w:tc>
        <w:tc>
          <w:tcPr>
            <w:tcW w:w="616" w:type="dxa"/>
            <w:tcBorders>
              <w:top w:val="single" w:color="auto" w:sz="8" w:space="0"/>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单位</w:t>
            </w:r>
          </w:p>
        </w:tc>
        <w:tc>
          <w:tcPr>
            <w:tcW w:w="3856" w:type="dxa"/>
            <w:tcBorders>
              <w:top w:val="single" w:color="auto" w:sz="8" w:space="0"/>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简要规格描述</w:t>
            </w:r>
          </w:p>
        </w:tc>
        <w:tc>
          <w:tcPr>
            <w:tcW w:w="945" w:type="dxa"/>
            <w:tcBorders>
              <w:top w:val="single" w:color="auto" w:sz="8" w:space="0"/>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37" w:hRule="atLeast"/>
          <w:jc w:val="center"/>
        </w:trPr>
        <w:tc>
          <w:tcPr>
            <w:tcW w:w="745" w:type="dxa"/>
            <w:tcBorders>
              <w:top w:val="nil"/>
              <w:left w:val="single" w:color="auto" w:sz="8" w:space="0"/>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1</w:t>
            </w:r>
          </w:p>
        </w:tc>
        <w:tc>
          <w:tcPr>
            <w:tcW w:w="1230" w:type="dxa"/>
            <w:tcBorders>
              <w:top w:val="nil"/>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阿克苏市城市道路清扫保洁、园林绿化管养、公厕管护购买社会化服务采购项目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p>
        </w:tc>
        <w:tc>
          <w:tcPr>
            <w:tcW w:w="705" w:type="dxa"/>
            <w:tcBorders>
              <w:top w:val="nil"/>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1</w:t>
            </w:r>
          </w:p>
        </w:tc>
        <w:tc>
          <w:tcPr>
            <w:tcW w:w="1348" w:type="dxa"/>
            <w:tcBorders>
              <w:top w:val="nil"/>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4600</w:t>
            </w:r>
            <w:r>
              <w:rPr>
                <w:rFonts w:hint="eastAsia" w:cs="宋体"/>
                <w:sz w:val="21"/>
                <w:szCs w:val="21"/>
                <w:lang w:val="en-US" w:eastAsia="zh-CN" w:bidi="zh-CN"/>
              </w:rPr>
              <w:t>万元/年</w:t>
            </w:r>
          </w:p>
        </w:tc>
        <w:tc>
          <w:tcPr>
            <w:tcW w:w="616" w:type="dxa"/>
            <w:tcBorders>
              <w:top w:val="nil"/>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项</w:t>
            </w:r>
          </w:p>
        </w:tc>
        <w:tc>
          <w:tcPr>
            <w:tcW w:w="3856" w:type="dxa"/>
            <w:tcBorders>
              <w:top w:val="nil"/>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pageBreakBefore w:val="0"/>
              <w:kinsoku/>
              <w:wordWrap/>
              <w:overflowPunct/>
              <w:topLinePunct w:val="0"/>
              <w:autoSpaceDE/>
              <w:autoSpaceDN/>
              <w:bidi w:val="0"/>
              <w:adjustRightInd/>
              <w:snapToGrid/>
              <w:spacing w:line="500" w:lineRule="exact"/>
              <w:textAlignment w:val="auto"/>
              <w:rPr>
                <w:rFonts w:hint="default"/>
                <w:lang w:val="en-US" w:eastAsia="zh-CN"/>
              </w:rPr>
            </w:pPr>
            <w:r>
              <w:rPr>
                <w:rFonts w:hint="eastAsia" w:ascii="宋体" w:hAnsi="宋体" w:eastAsia="宋体" w:cs="宋体"/>
                <w:sz w:val="21"/>
                <w:szCs w:val="21"/>
                <w:lang w:val="en-US" w:eastAsia="zh-CN" w:bidi="zh-CN"/>
              </w:rPr>
              <w:t>①阿克苏市城市68条主次干道约921万平方米（约13808亩）的道路清扫保洁，分为4界，东至温宿机场大道、西至西大桥阿瓦提路口、南至纺织工业城第一路口、北至阿温路中等职业技术学校。②城区35座公厕管护。③城区285万平方米（4283亩）园林绿化管养，包括儿童公园、胡杨林公园、新伟游园、世纪广场和西广场。④环卫一体化智慧平台软件建设。</w:t>
            </w:r>
          </w:p>
        </w:tc>
        <w:tc>
          <w:tcPr>
            <w:tcW w:w="945" w:type="dxa"/>
            <w:tcBorders>
              <w:top w:val="nil"/>
              <w:left w:val="nil"/>
              <w:bottom w:val="single" w:color="auto" w:sz="8" w:space="0"/>
              <w:right w:val="single" w:color="auto" w:sz="8" w:space="0"/>
            </w:tcBorders>
            <w:shd w:val="clear" w:color="auto" w:fill="FFFFFF"/>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w:t>
            </w:r>
          </w:p>
        </w:tc>
      </w:tr>
    </w:tbl>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合同履行期限：按照甲、乙双方约定并签订合同日期执行。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本项目不接受联合体。</w:t>
      </w:r>
    </w:p>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zh-CN" w:eastAsia="zh-CN" w:bidi="zh-CN"/>
        </w:rPr>
      </w:pPr>
      <w:bookmarkStart w:id="6" w:name="_Toc35393799"/>
      <w:bookmarkStart w:id="7" w:name="_Toc35393630"/>
      <w:bookmarkStart w:id="8" w:name="_Toc28359013"/>
      <w:bookmarkStart w:id="9" w:name="_Toc28359090"/>
      <w:r>
        <w:rPr>
          <w:rFonts w:hint="eastAsia" w:ascii="宋体" w:hAnsi="宋体" w:eastAsia="宋体" w:cs="宋体"/>
          <w:sz w:val="21"/>
          <w:szCs w:val="21"/>
          <w:lang w:val="zh-CN" w:eastAsia="zh-CN" w:bidi="zh-CN"/>
        </w:rPr>
        <w:t>二、申请人的资格要求：</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bookmarkStart w:id="10" w:name="_Toc28359091"/>
      <w:bookmarkStart w:id="11" w:name="_Toc28359014"/>
      <w:r>
        <w:rPr>
          <w:rFonts w:hint="eastAsia" w:ascii="宋体" w:hAnsi="宋体" w:eastAsia="宋体" w:cs="宋体"/>
          <w:sz w:val="21"/>
          <w:szCs w:val="21"/>
          <w:lang w:val="en-US" w:eastAsia="zh-CN" w:bidi="zh-CN"/>
        </w:rPr>
        <w:t>2</w:t>
      </w:r>
      <w:r>
        <w:rPr>
          <w:rFonts w:hint="eastAsia" w:ascii="宋体" w:hAnsi="宋体" w:eastAsia="宋体" w:cs="宋体"/>
          <w:sz w:val="21"/>
          <w:szCs w:val="21"/>
          <w:lang w:val="zh-CN" w:eastAsia="zh-CN" w:bidi="zh-CN"/>
        </w:rPr>
        <w:t>、</w:t>
      </w:r>
      <w:r>
        <w:rPr>
          <w:rFonts w:hint="eastAsia" w:ascii="宋体" w:hAnsi="宋体" w:eastAsia="宋体" w:cs="宋体"/>
          <w:sz w:val="21"/>
          <w:szCs w:val="21"/>
          <w:lang w:val="en-US" w:eastAsia="zh-CN" w:bidi="zh-CN"/>
        </w:rPr>
        <w:t>未被“信用中国”（www.creditchina.gov.cn）、中国政府采购网（www.ccgp.gov.cn）列入失信被执行人、重大税收违法案件当事人名单、政府采购严重违法失信行为记录名单</w:t>
      </w:r>
      <w:r>
        <w:rPr>
          <w:rFonts w:hint="eastAsia" w:cs="宋体"/>
          <w:sz w:val="21"/>
          <w:szCs w:val="21"/>
          <w:lang w:val="en-US" w:eastAsia="zh-CN" w:bidi="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3、有效经年检三证合一的营业执照原件；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4、法定代表人本人身份证原件或法人授权委托书及被委托人身份证原件；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5、相互关联存在实际控制、管理关系的两个企业，不得参加同一项目的报名；</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6、需提供社保局出具的法人或其委托代理人近六个月社保缴纳明细（盖有社保部门印章</w:t>
      </w:r>
      <w:r>
        <w:rPr>
          <w:rFonts w:hint="eastAsia" w:cs="宋体"/>
          <w:sz w:val="21"/>
          <w:szCs w:val="21"/>
          <w:lang w:val="en-US" w:eastAsia="zh-CN" w:bidi="zh-CN"/>
        </w:rPr>
        <w:t>）</w:t>
      </w:r>
      <w:r>
        <w:rPr>
          <w:rFonts w:hint="eastAsia" w:ascii="宋体" w:hAnsi="宋体" w:eastAsia="宋体" w:cs="宋体"/>
          <w:sz w:val="21"/>
          <w:szCs w:val="21"/>
          <w:lang w:val="en-US" w:eastAsia="zh-CN" w:bidi="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7、提供近一年的完税证明、提供近三年的年度财务审计报告；</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lang w:val="en-US" w:eastAsia="zh-CN"/>
        </w:rPr>
      </w:pPr>
      <w:r>
        <w:rPr>
          <w:rFonts w:hint="eastAsia" w:ascii="宋体" w:hAnsi="宋体" w:eastAsia="宋体" w:cs="宋体"/>
          <w:sz w:val="21"/>
          <w:szCs w:val="21"/>
          <w:lang w:val="en-US" w:eastAsia="zh-CN" w:bidi="zh-CN"/>
        </w:rPr>
        <w:t>8、并在人员、设备、资金等方面具有相应的服务能力；</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bidi="zh-CN"/>
        </w:rPr>
        <w:t>注</w:t>
      </w:r>
      <w:r>
        <w:rPr>
          <w:rFonts w:hint="default" w:ascii="宋体" w:hAnsi="宋体" w:eastAsia="宋体" w:cs="宋体"/>
          <w:sz w:val="21"/>
          <w:szCs w:val="21"/>
          <w:lang w:val="en-US" w:eastAsia="zh-CN" w:bidi="zh-CN"/>
        </w:rPr>
        <w:t>：报名时上传以上资料清晰的原件扫描件并加盖公章，否则不予认可。报名时的资料查验不代表最终资格资质的通过或合格。</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cs="宋体"/>
          <w:sz w:val="21"/>
          <w:szCs w:val="21"/>
          <w:lang w:val="en-US" w:eastAsia="zh-CN" w:bidi="zh-CN"/>
        </w:rPr>
        <w:t>9</w:t>
      </w:r>
      <w:r>
        <w:rPr>
          <w:rFonts w:hint="eastAsia" w:ascii="宋体" w:hAnsi="宋体" w:eastAsia="宋体" w:cs="宋体"/>
          <w:sz w:val="21"/>
          <w:szCs w:val="21"/>
          <w:lang w:val="en-US" w:eastAsia="zh-CN" w:bidi="zh-CN"/>
        </w:rPr>
        <w:t>、落实政府采购政策需满足的资格要求：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（1）《政府采购促进中小企业发展暂行办法》（财库〔2011〕181号）；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（2）《财政部、司法部关于政府采购支持监狱企业发展有关问题的通知》（财库〔2014〕68号）；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en-US" w:eastAsia="zh-CN" w:bidi="zh-CN"/>
        </w:rPr>
        <w:t>（3）《国务院办公厅关于建立政府强制采购节能产品制度的通知》（国办发〔2007〕51号）；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（4）《财政部民政部中国残疾人联合会关于促进残疾人就业政府采购政策的通知》财库〔2017〕141号。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bidi="zh-CN"/>
        </w:rPr>
        <w:t>（5）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w:t>
      </w:r>
    </w:p>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zh-CN" w:eastAsia="zh-CN" w:bidi="zh-CN"/>
        </w:rPr>
      </w:pPr>
      <w:bookmarkStart w:id="12" w:name="_Toc35393800"/>
      <w:bookmarkStart w:id="13" w:name="_Toc35393631"/>
      <w:r>
        <w:rPr>
          <w:rFonts w:hint="eastAsia" w:ascii="宋体" w:hAnsi="宋体" w:eastAsia="宋体" w:cs="宋体"/>
          <w:sz w:val="21"/>
          <w:szCs w:val="21"/>
          <w:lang w:val="zh-CN" w:eastAsia="zh-CN" w:bidi="zh-CN"/>
        </w:rPr>
        <w:t>三、获取采购文件</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时间：</w:t>
      </w:r>
      <w:r>
        <w:rPr>
          <w:rFonts w:hint="eastAsia" w:ascii="宋体" w:hAnsi="宋体" w:eastAsia="宋体" w:cs="宋体"/>
          <w:sz w:val="21"/>
          <w:szCs w:val="21"/>
          <w:lang w:val="en-US" w:eastAsia="zh-CN" w:bidi="zh-CN"/>
        </w:rPr>
        <w:t>2021</w:t>
      </w:r>
      <w:r>
        <w:rPr>
          <w:rFonts w:hint="eastAsia" w:ascii="宋体" w:hAnsi="宋体" w:eastAsia="宋体" w:cs="宋体"/>
          <w:sz w:val="21"/>
          <w:szCs w:val="21"/>
          <w:lang w:val="zh-CN" w:eastAsia="zh-CN" w:bidi="zh-CN"/>
        </w:rPr>
        <w:t xml:space="preserve"> 年</w:t>
      </w:r>
      <w:r>
        <w:rPr>
          <w:rFonts w:hint="eastAsia" w:ascii="宋体" w:hAnsi="宋体" w:eastAsia="宋体" w:cs="宋体"/>
          <w:sz w:val="21"/>
          <w:szCs w:val="21"/>
          <w:lang w:val="en-US" w:eastAsia="zh-CN" w:bidi="zh-CN"/>
        </w:rPr>
        <w:t>1</w:t>
      </w:r>
      <w:r>
        <w:rPr>
          <w:rFonts w:hint="eastAsia" w:ascii="宋体" w:hAnsi="宋体" w:eastAsia="宋体" w:cs="宋体"/>
          <w:sz w:val="21"/>
          <w:szCs w:val="21"/>
          <w:lang w:val="zh-CN" w:eastAsia="zh-CN" w:bidi="zh-CN"/>
        </w:rPr>
        <w:t>月</w:t>
      </w:r>
      <w:r>
        <w:rPr>
          <w:rFonts w:hint="eastAsia" w:cs="宋体"/>
          <w:sz w:val="21"/>
          <w:szCs w:val="21"/>
          <w:lang w:val="en-US" w:eastAsia="zh-CN" w:bidi="zh-CN"/>
        </w:rPr>
        <w:t>13</w:t>
      </w:r>
      <w:r>
        <w:rPr>
          <w:rFonts w:hint="eastAsia" w:ascii="宋体" w:hAnsi="宋体" w:eastAsia="宋体" w:cs="宋体"/>
          <w:sz w:val="21"/>
          <w:szCs w:val="21"/>
          <w:lang w:val="zh-CN" w:eastAsia="zh-CN" w:bidi="zh-CN"/>
        </w:rPr>
        <w:t>日至</w:t>
      </w:r>
      <w:r>
        <w:rPr>
          <w:rFonts w:hint="eastAsia" w:ascii="宋体" w:hAnsi="宋体" w:eastAsia="宋体" w:cs="宋体"/>
          <w:sz w:val="21"/>
          <w:szCs w:val="21"/>
          <w:lang w:val="en-US" w:eastAsia="zh-CN" w:bidi="zh-CN"/>
        </w:rPr>
        <w:t>202</w:t>
      </w:r>
      <w:r>
        <w:rPr>
          <w:rFonts w:hint="eastAsia" w:cs="宋体"/>
          <w:sz w:val="21"/>
          <w:szCs w:val="21"/>
          <w:lang w:val="en-US" w:eastAsia="zh-CN" w:bidi="zh-CN"/>
        </w:rPr>
        <w:t>1</w:t>
      </w:r>
      <w:r>
        <w:rPr>
          <w:rFonts w:hint="eastAsia" w:ascii="宋体" w:hAnsi="宋体" w:eastAsia="宋体" w:cs="宋体"/>
          <w:sz w:val="21"/>
          <w:szCs w:val="21"/>
          <w:lang w:val="zh-CN" w:eastAsia="zh-CN" w:bidi="zh-CN"/>
        </w:rPr>
        <w:t>年</w:t>
      </w:r>
      <w:r>
        <w:rPr>
          <w:rFonts w:hint="eastAsia" w:ascii="宋体" w:hAnsi="宋体" w:eastAsia="宋体" w:cs="宋体"/>
          <w:sz w:val="21"/>
          <w:szCs w:val="21"/>
          <w:lang w:val="en-US" w:eastAsia="zh-CN" w:bidi="zh-CN"/>
        </w:rPr>
        <w:t>1</w:t>
      </w:r>
      <w:r>
        <w:rPr>
          <w:rFonts w:hint="eastAsia" w:ascii="宋体" w:hAnsi="宋体" w:eastAsia="宋体" w:cs="宋体"/>
          <w:sz w:val="21"/>
          <w:szCs w:val="21"/>
          <w:lang w:val="zh-CN" w:eastAsia="zh-CN" w:bidi="zh-CN"/>
        </w:rPr>
        <w:t>月</w:t>
      </w:r>
      <w:r>
        <w:rPr>
          <w:rFonts w:hint="eastAsia" w:cs="宋体"/>
          <w:sz w:val="21"/>
          <w:szCs w:val="21"/>
          <w:lang w:val="en-US" w:eastAsia="zh-CN" w:bidi="zh-CN"/>
        </w:rPr>
        <w:t>19</w:t>
      </w:r>
      <w:r>
        <w:rPr>
          <w:rFonts w:hint="eastAsia" w:ascii="宋体" w:hAnsi="宋体" w:eastAsia="宋体" w:cs="宋体"/>
          <w:sz w:val="21"/>
          <w:szCs w:val="21"/>
          <w:lang w:val="zh-CN" w:eastAsia="zh-CN" w:bidi="zh-CN"/>
        </w:rPr>
        <w:t>日，每天上午</w:t>
      </w:r>
      <w:r>
        <w:rPr>
          <w:rFonts w:hint="eastAsia" w:ascii="宋体" w:hAnsi="宋体" w:eastAsia="宋体" w:cs="宋体"/>
          <w:sz w:val="21"/>
          <w:szCs w:val="21"/>
          <w:lang w:val="en-US" w:eastAsia="zh-CN" w:bidi="zh-CN"/>
        </w:rPr>
        <w:t>10：00</w:t>
      </w:r>
      <w:r>
        <w:rPr>
          <w:rFonts w:hint="eastAsia" w:ascii="宋体" w:hAnsi="宋体" w:eastAsia="宋体" w:cs="宋体"/>
          <w:sz w:val="21"/>
          <w:szCs w:val="21"/>
          <w:lang w:val="zh-CN" w:eastAsia="zh-CN" w:bidi="zh-CN"/>
        </w:rPr>
        <w:t>至</w:t>
      </w:r>
      <w:r>
        <w:rPr>
          <w:rFonts w:hint="eastAsia" w:ascii="宋体" w:hAnsi="宋体" w:eastAsia="宋体" w:cs="宋体"/>
          <w:sz w:val="21"/>
          <w:szCs w:val="21"/>
          <w:lang w:val="en-US" w:eastAsia="zh-CN" w:bidi="zh-CN"/>
        </w:rPr>
        <w:t>14:00</w:t>
      </w:r>
      <w:r>
        <w:rPr>
          <w:rFonts w:hint="eastAsia" w:ascii="宋体" w:hAnsi="宋体" w:eastAsia="宋体" w:cs="宋体"/>
          <w:sz w:val="21"/>
          <w:szCs w:val="21"/>
          <w:lang w:val="zh-CN" w:eastAsia="zh-CN" w:bidi="zh-CN"/>
        </w:rPr>
        <w:t>下午</w:t>
      </w:r>
      <w:r>
        <w:rPr>
          <w:rFonts w:hint="eastAsia" w:ascii="宋体" w:hAnsi="宋体" w:eastAsia="宋体" w:cs="宋体"/>
          <w:sz w:val="21"/>
          <w:szCs w:val="21"/>
          <w:lang w:val="en-US" w:eastAsia="zh-CN" w:bidi="zh-CN"/>
        </w:rPr>
        <w:t>15:30至19:30</w:t>
      </w:r>
      <w:r>
        <w:rPr>
          <w:rFonts w:hint="eastAsia" w:ascii="宋体" w:hAnsi="宋体" w:eastAsia="宋体" w:cs="宋体"/>
          <w:sz w:val="21"/>
          <w:szCs w:val="21"/>
          <w:lang w:val="zh-CN" w:eastAsia="zh-CN" w:bidi="zh-CN"/>
        </w:rPr>
        <w:t>（北京时间，法定节假日除外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地点：政府采购云平台</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方式：政府采购云平台报名成功后自行下载</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zh-CN" w:eastAsia="zh-CN" w:bidi="zh-CN"/>
        </w:rPr>
        <w:t>售价：</w:t>
      </w:r>
      <w:r>
        <w:rPr>
          <w:rFonts w:hint="eastAsia" w:cs="宋体"/>
          <w:sz w:val="21"/>
          <w:szCs w:val="21"/>
          <w:lang w:val="en-US" w:eastAsia="zh-CN" w:bidi="zh-CN"/>
        </w:rPr>
        <w:t>5</w:t>
      </w:r>
      <w:r>
        <w:rPr>
          <w:rFonts w:hint="eastAsia" w:ascii="宋体" w:hAnsi="宋体" w:eastAsia="宋体" w:cs="宋体"/>
          <w:sz w:val="21"/>
          <w:szCs w:val="21"/>
          <w:lang w:val="en-US" w:eastAsia="zh-CN" w:bidi="zh-CN"/>
        </w:rPr>
        <w:t>00元（售后不退）</w:t>
      </w:r>
    </w:p>
    <w:p>
      <w:pPr>
        <w:pStyle w:val="20"/>
        <w:rPr>
          <w:rFonts w:hint="eastAsia" w:ascii="宋体" w:hAnsi="宋体" w:eastAsia="宋体" w:cs="宋体"/>
          <w:sz w:val="21"/>
          <w:szCs w:val="21"/>
          <w:lang w:val="en-US" w:eastAsia="zh-CN" w:bidi="zh-CN"/>
        </w:rPr>
      </w:pPr>
      <w:r>
        <w:rPr>
          <w:rFonts w:hint="eastAsia" w:ascii="宋体" w:hAnsi="宋体" w:eastAsia="宋体" w:cs="宋体"/>
          <w:sz w:val="21"/>
          <w:szCs w:val="21"/>
          <w:lang w:val="en-US" w:eastAsia="zh-CN" w:bidi="zh-CN"/>
        </w:rPr>
        <w:t>四、响应文件提交</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截止时间：</w:t>
      </w:r>
      <w:r>
        <w:rPr>
          <w:rFonts w:hint="eastAsia" w:ascii="宋体" w:hAnsi="宋体" w:eastAsia="宋体" w:cs="宋体"/>
          <w:sz w:val="21"/>
          <w:szCs w:val="21"/>
          <w:lang w:val="en-US" w:eastAsia="zh-CN" w:bidi="zh-CN"/>
        </w:rPr>
        <w:t>2021</w:t>
      </w:r>
      <w:r>
        <w:rPr>
          <w:rFonts w:hint="eastAsia" w:ascii="宋体" w:hAnsi="宋体" w:eastAsia="宋体" w:cs="宋体"/>
          <w:sz w:val="21"/>
          <w:szCs w:val="21"/>
          <w:lang w:val="zh-CN" w:eastAsia="zh-CN" w:bidi="zh-CN"/>
        </w:rPr>
        <w:t>年</w:t>
      </w:r>
      <w:r>
        <w:rPr>
          <w:rFonts w:hint="eastAsia" w:cs="宋体"/>
          <w:sz w:val="21"/>
          <w:szCs w:val="21"/>
          <w:lang w:val="en-US" w:eastAsia="zh-CN" w:bidi="zh-CN"/>
        </w:rPr>
        <w:t>2</w:t>
      </w:r>
      <w:r>
        <w:rPr>
          <w:rFonts w:hint="eastAsia" w:ascii="宋体" w:hAnsi="宋体" w:eastAsia="宋体" w:cs="宋体"/>
          <w:sz w:val="21"/>
          <w:szCs w:val="21"/>
          <w:lang w:val="zh-CN" w:eastAsia="zh-CN" w:bidi="zh-CN"/>
        </w:rPr>
        <w:t>月</w:t>
      </w:r>
      <w:r>
        <w:rPr>
          <w:rFonts w:hint="eastAsia" w:ascii="宋体" w:hAnsi="宋体" w:eastAsia="宋体" w:cs="宋体"/>
          <w:sz w:val="21"/>
          <w:szCs w:val="21"/>
          <w:lang w:val="en-US" w:eastAsia="zh-CN" w:bidi="zh-CN"/>
        </w:rPr>
        <w:t>2</w:t>
      </w:r>
      <w:r>
        <w:rPr>
          <w:rFonts w:hint="eastAsia" w:ascii="宋体" w:hAnsi="宋体" w:eastAsia="宋体" w:cs="宋体"/>
          <w:sz w:val="21"/>
          <w:szCs w:val="21"/>
          <w:lang w:val="zh-CN" w:eastAsia="zh-CN" w:bidi="zh-CN"/>
        </w:rPr>
        <w:t>日</w:t>
      </w:r>
      <w:r>
        <w:rPr>
          <w:rFonts w:hint="eastAsia" w:ascii="宋体" w:hAnsi="宋体" w:eastAsia="宋体" w:cs="宋体"/>
          <w:sz w:val="21"/>
          <w:szCs w:val="21"/>
          <w:lang w:val="en-US" w:eastAsia="zh-CN" w:bidi="zh-CN"/>
        </w:rPr>
        <w:t>10</w:t>
      </w:r>
      <w:r>
        <w:rPr>
          <w:rFonts w:hint="eastAsia" w:ascii="宋体" w:hAnsi="宋体" w:eastAsia="宋体" w:cs="宋体"/>
          <w:sz w:val="21"/>
          <w:szCs w:val="21"/>
          <w:lang w:val="zh-CN" w:eastAsia="zh-CN" w:bidi="zh-CN"/>
        </w:rPr>
        <w:t>点</w:t>
      </w:r>
      <w:r>
        <w:rPr>
          <w:rFonts w:hint="eastAsia" w:ascii="宋体" w:hAnsi="宋体" w:eastAsia="宋体" w:cs="宋体"/>
          <w:sz w:val="21"/>
          <w:szCs w:val="21"/>
          <w:lang w:val="en-US" w:eastAsia="zh-CN" w:bidi="zh-CN"/>
        </w:rPr>
        <w:t>30</w:t>
      </w:r>
      <w:r>
        <w:rPr>
          <w:rFonts w:hint="eastAsia" w:ascii="宋体" w:hAnsi="宋体" w:eastAsia="宋体" w:cs="宋体"/>
          <w:sz w:val="21"/>
          <w:szCs w:val="21"/>
          <w:lang w:val="zh-CN" w:eastAsia="zh-CN" w:bidi="zh-CN"/>
        </w:rPr>
        <w:t>分（北京时间）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zh-CN" w:eastAsia="zh-CN" w:bidi="zh-CN"/>
        </w:rPr>
        <w:t>地点：阿克苏市市民服务中心一号楼4楼（公共资源交易中心）</w:t>
      </w:r>
    </w:p>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zh-CN" w:eastAsia="zh-CN" w:bidi="zh-CN"/>
        </w:rPr>
      </w:pPr>
      <w:bookmarkStart w:id="14" w:name="_Toc35393802"/>
      <w:bookmarkStart w:id="15" w:name="_Toc28359016"/>
      <w:bookmarkStart w:id="16" w:name="_Toc35393633"/>
      <w:bookmarkStart w:id="17" w:name="_Toc28359093"/>
      <w:r>
        <w:rPr>
          <w:rFonts w:hint="eastAsia" w:ascii="宋体" w:hAnsi="宋体" w:eastAsia="宋体" w:cs="宋体"/>
          <w:sz w:val="21"/>
          <w:szCs w:val="21"/>
          <w:lang w:val="zh-CN" w:eastAsia="zh-CN" w:bidi="zh-CN"/>
        </w:rPr>
        <w:t>五、开启</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时间：</w:t>
      </w:r>
      <w:r>
        <w:rPr>
          <w:rFonts w:hint="eastAsia" w:ascii="宋体" w:hAnsi="宋体" w:eastAsia="宋体" w:cs="宋体"/>
          <w:sz w:val="21"/>
          <w:szCs w:val="21"/>
          <w:lang w:val="en-US" w:eastAsia="zh-CN" w:bidi="zh-CN"/>
        </w:rPr>
        <w:t>2021</w:t>
      </w:r>
      <w:r>
        <w:rPr>
          <w:rFonts w:hint="eastAsia" w:ascii="宋体" w:hAnsi="宋体" w:eastAsia="宋体" w:cs="宋体"/>
          <w:sz w:val="21"/>
          <w:szCs w:val="21"/>
          <w:lang w:val="zh-CN" w:eastAsia="zh-CN" w:bidi="zh-CN"/>
        </w:rPr>
        <w:t xml:space="preserve"> 年</w:t>
      </w:r>
      <w:r>
        <w:rPr>
          <w:rFonts w:hint="eastAsia" w:cs="宋体"/>
          <w:sz w:val="21"/>
          <w:szCs w:val="21"/>
          <w:lang w:val="en-US" w:eastAsia="zh-CN" w:bidi="zh-CN"/>
        </w:rPr>
        <w:t>2</w:t>
      </w:r>
      <w:r>
        <w:rPr>
          <w:rFonts w:hint="eastAsia" w:ascii="宋体" w:hAnsi="宋体" w:eastAsia="宋体" w:cs="宋体"/>
          <w:sz w:val="21"/>
          <w:szCs w:val="21"/>
          <w:lang w:val="zh-CN" w:eastAsia="zh-CN" w:bidi="zh-CN"/>
        </w:rPr>
        <w:t xml:space="preserve">月 </w:t>
      </w:r>
      <w:r>
        <w:rPr>
          <w:rFonts w:hint="eastAsia" w:ascii="宋体" w:hAnsi="宋体" w:eastAsia="宋体" w:cs="宋体"/>
          <w:sz w:val="21"/>
          <w:szCs w:val="21"/>
          <w:lang w:val="en-US" w:eastAsia="zh-CN" w:bidi="zh-CN"/>
        </w:rPr>
        <w:t>2</w:t>
      </w:r>
      <w:r>
        <w:rPr>
          <w:rFonts w:hint="eastAsia" w:cs="宋体"/>
          <w:sz w:val="21"/>
          <w:szCs w:val="21"/>
          <w:lang w:val="en-US" w:eastAsia="zh-CN" w:bidi="zh-CN"/>
        </w:rPr>
        <w:t xml:space="preserve"> </w:t>
      </w:r>
      <w:r>
        <w:rPr>
          <w:rFonts w:hint="eastAsia" w:ascii="宋体" w:hAnsi="宋体" w:eastAsia="宋体" w:cs="宋体"/>
          <w:sz w:val="21"/>
          <w:szCs w:val="21"/>
          <w:lang w:val="zh-CN" w:eastAsia="zh-CN" w:bidi="zh-CN"/>
        </w:rPr>
        <w:t xml:space="preserve">日 </w:t>
      </w:r>
      <w:r>
        <w:rPr>
          <w:rFonts w:hint="eastAsia" w:ascii="宋体" w:hAnsi="宋体" w:eastAsia="宋体" w:cs="宋体"/>
          <w:sz w:val="21"/>
          <w:szCs w:val="21"/>
          <w:lang w:val="en-US" w:eastAsia="zh-CN" w:bidi="zh-CN"/>
        </w:rPr>
        <w:t>10</w:t>
      </w:r>
      <w:r>
        <w:rPr>
          <w:rFonts w:hint="eastAsia" w:ascii="宋体" w:hAnsi="宋体" w:eastAsia="宋体" w:cs="宋体"/>
          <w:sz w:val="21"/>
          <w:szCs w:val="21"/>
          <w:lang w:val="zh-CN" w:eastAsia="zh-CN" w:bidi="zh-CN"/>
        </w:rPr>
        <w:t xml:space="preserve"> 点 </w:t>
      </w:r>
      <w:r>
        <w:rPr>
          <w:rFonts w:hint="eastAsia" w:ascii="宋体" w:hAnsi="宋体" w:eastAsia="宋体" w:cs="宋体"/>
          <w:sz w:val="21"/>
          <w:szCs w:val="21"/>
          <w:lang w:val="en-US" w:eastAsia="zh-CN" w:bidi="zh-CN"/>
        </w:rPr>
        <w:t>30</w:t>
      </w:r>
      <w:r>
        <w:rPr>
          <w:rFonts w:hint="eastAsia" w:ascii="宋体" w:hAnsi="宋体" w:eastAsia="宋体" w:cs="宋体"/>
          <w:sz w:val="21"/>
          <w:szCs w:val="21"/>
          <w:lang w:val="zh-CN" w:eastAsia="zh-CN" w:bidi="zh-CN"/>
        </w:rPr>
        <w:t xml:space="preserve"> 分（北京时间）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地点：阿克苏市市民服务中心一号楼4楼（公共资源交易中心）</w:t>
      </w:r>
    </w:p>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zh-CN" w:eastAsia="zh-CN" w:bidi="zh-CN"/>
        </w:rPr>
      </w:pPr>
      <w:bookmarkStart w:id="18" w:name="_Toc28359017"/>
      <w:bookmarkStart w:id="19" w:name="_Toc28359094"/>
      <w:bookmarkStart w:id="20" w:name="_Toc35393803"/>
      <w:bookmarkStart w:id="21" w:name="_Toc35393634"/>
      <w:r>
        <w:rPr>
          <w:rFonts w:hint="eastAsia" w:ascii="宋体" w:hAnsi="宋体" w:eastAsia="宋体" w:cs="宋体"/>
          <w:sz w:val="21"/>
          <w:szCs w:val="21"/>
          <w:lang w:val="zh-CN" w:eastAsia="zh-CN" w:bidi="zh-CN"/>
        </w:rPr>
        <w:t>六、公告期限</w:t>
      </w:r>
      <w:bookmarkEnd w:id="18"/>
      <w:bookmarkEnd w:id="19"/>
      <w:bookmarkEnd w:id="20"/>
      <w:bookmarkEnd w:id="21"/>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自本公告发布之日起</w:t>
      </w:r>
      <w:r>
        <w:rPr>
          <w:rFonts w:hint="eastAsia" w:ascii="宋体" w:hAnsi="宋体" w:eastAsia="宋体" w:cs="宋体"/>
          <w:sz w:val="21"/>
          <w:szCs w:val="21"/>
          <w:lang w:val="en-US" w:eastAsia="zh-CN" w:bidi="zh-CN"/>
        </w:rPr>
        <w:t>5</w:t>
      </w:r>
      <w:r>
        <w:rPr>
          <w:rFonts w:hint="eastAsia" w:ascii="宋体" w:hAnsi="宋体" w:eastAsia="宋体" w:cs="宋体"/>
          <w:sz w:val="21"/>
          <w:szCs w:val="21"/>
          <w:lang w:val="zh-CN" w:eastAsia="zh-CN" w:bidi="zh-CN"/>
        </w:rPr>
        <w:t>个工作日。</w:t>
      </w:r>
    </w:p>
    <w:p>
      <w:pPr>
        <w:pStyle w:val="2"/>
        <w:rPr>
          <w:rFonts w:hint="eastAsia"/>
          <w:lang w:val="zh-CN" w:eastAsia="zh-CN"/>
        </w:rPr>
      </w:pPr>
    </w:p>
    <w:p>
      <w:pPr>
        <w:pStyle w:val="20"/>
        <w:rPr>
          <w:rFonts w:hint="eastAsia" w:ascii="宋体" w:hAnsi="宋体" w:eastAsia="宋体" w:cs="宋体"/>
          <w:sz w:val="21"/>
          <w:szCs w:val="21"/>
          <w:lang w:val="en-US" w:eastAsia="zh-CN" w:bidi="zh-CN"/>
        </w:rPr>
      </w:pPr>
      <w:r>
        <w:rPr>
          <w:rFonts w:hint="eastAsia" w:ascii="宋体" w:hAnsi="宋体" w:eastAsia="宋体" w:cs="宋体"/>
          <w:sz w:val="21"/>
          <w:szCs w:val="21"/>
          <w:lang w:val="zh-CN" w:eastAsia="zh-CN" w:bidi="zh-CN"/>
        </w:rPr>
        <w:t>七、</w:t>
      </w:r>
      <w:r>
        <w:rPr>
          <w:rFonts w:hint="eastAsia" w:ascii="宋体" w:hAnsi="宋体" w:eastAsia="宋体" w:cs="宋体"/>
          <w:sz w:val="21"/>
          <w:szCs w:val="21"/>
          <w:lang w:val="en-US" w:eastAsia="zh-CN" w:bidi="zh-CN"/>
        </w:rPr>
        <w:t>本公告同时在新疆政府采购网和阿克苏地区公共资源电子招投标平台发布。</w:t>
      </w:r>
    </w:p>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1"/>
          <w:szCs w:val="21"/>
          <w:lang w:val="zh-CN" w:eastAsia="zh-CN" w:bidi="zh-CN"/>
        </w:rPr>
      </w:pPr>
      <w:bookmarkStart w:id="22" w:name="_Toc28359018"/>
      <w:bookmarkStart w:id="23" w:name="_Toc35393636"/>
      <w:bookmarkStart w:id="24" w:name="_Toc35393805"/>
      <w:bookmarkStart w:id="25" w:name="_Toc28359095"/>
      <w:r>
        <w:rPr>
          <w:rFonts w:hint="eastAsia" w:ascii="宋体" w:hAnsi="宋体" w:eastAsia="宋体" w:cs="宋体"/>
          <w:sz w:val="21"/>
          <w:szCs w:val="21"/>
          <w:lang w:val="zh-CN" w:eastAsia="zh-CN" w:bidi="zh-CN"/>
        </w:rPr>
        <w:t>八、凡对本次采购提出询问，请按以下方式联系。</w:t>
      </w:r>
      <w:bookmarkEnd w:id="22"/>
      <w:bookmarkEnd w:id="23"/>
      <w:bookmarkEnd w:id="24"/>
      <w:bookmarkEnd w:id="25"/>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bookmarkStart w:id="26" w:name="_Toc35393806"/>
      <w:bookmarkStart w:id="27" w:name="_Toc35393637"/>
      <w:bookmarkStart w:id="28" w:name="_Toc28359019"/>
      <w:bookmarkStart w:id="29" w:name="_Toc28359096"/>
      <w:r>
        <w:rPr>
          <w:rFonts w:hint="eastAsia" w:ascii="宋体" w:hAnsi="宋体" w:eastAsia="宋体" w:cs="宋体"/>
          <w:sz w:val="21"/>
          <w:szCs w:val="21"/>
          <w:lang w:val="en-US" w:eastAsia="zh-CN" w:bidi="zh-CN"/>
        </w:rPr>
        <w:t>1、</w:t>
      </w:r>
      <w:r>
        <w:rPr>
          <w:rFonts w:hint="eastAsia" w:ascii="宋体" w:hAnsi="宋体" w:eastAsia="宋体" w:cs="宋体"/>
          <w:sz w:val="21"/>
          <w:szCs w:val="21"/>
          <w:lang w:val="zh-CN" w:eastAsia="zh-CN" w:bidi="zh-CN"/>
        </w:rPr>
        <w:t>采购人信息</w:t>
      </w:r>
      <w:bookmarkEnd w:id="26"/>
      <w:bookmarkEnd w:id="27"/>
      <w:bookmarkEnd w:id="28"/>
      <w:bookmarkEnd w:id="29"/>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名    称：阿克苏市城市管理行政执法局</w:t>
      </w:r>
    </w:p>
    <w:p>
      <w:pPr>
        <w:pageBreakBefore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zh-CN" w:eastAsia="zh-CN" w:bidi="zh-CN"/>
        </w:rPr>
        <w:t>地    址：</w:t>
      </w:r>
      <w:r>
        <w:rPr>
          <w:rFonts w:hint="eastAsia" w:ascii="宋体" w:hAnsi="宋体" w:eastAsia="宋体" w:cs="宋体"/>
          <w:sz w:val="21"/>
          <w:szCs w:val="21"/>
          <w:lang w:val="en-US" w:eastAsia="zh-CN" w:bidi="zh-CN"/>
        </w:rPr>
        <w:t>原阿克苏职业技术学院（现阿克苏市综合办公区1</w:t>
      </w:r>
      <w:r>
        <w:rPr>
          <w:rFonts w:hint="default" w:ascii="宋体" w:hAnsi="宋体" w:eastAsia="宋体" w:cs="宋体"/>
          <w:sz w:val="21"/>
          <w:szCs w:val="21"/>
          <w:lang w:val="en-US" w:eastAsia="zh-CN" w:bidi="zh-CN"/>
        </w:rPr>
        <w:t>号楼</w:t>
      </w:r>
      <w:r>
        <w:rPr>
          <w:rFonts w:hint="eastAsia" w:ascii="宋体" w:hAnsi="宋体" w:eastAsia="宋体" w:cs="宋体"/>
          <w:sz w:val="21"/>
          <w:szCs w:val="21"/>
          <w:lang w:val="en-US" w:eastAsia="zh-CN" w:bidi="zh-CN"/>
        </w:rPr>
        <w:t>6</w:t>
      </w:r>
      <w:r>
        <w:rPr>
          <w:rFonts w:hint="default" w:ascii="宋体" w:hAnsi="宋体" w:eastAsia="宋体" w:cs="宋体"/>
          <w:sz w:val="21"/>
          <w:szCs w:val="21"/>
          <w:lang w:val="en-US" w:eastAsia="zh-CN" w:bidi="zh-CN"/>
        </w:rPr>
        <w:t>楼）</w:t>
      </w:r>
    </w:p>
    <w:p>
      <w:pPr>
        <w:pStyle w:val="19"/>
        <w:rPr>
          <w:rFonts w:hint="eastAsia"/>
          <w:lang w:val="en-US" w:eastAsia="zh-CN"/>
        </w:rPr>
      </w:pPr>
    </w:p>
    <w:p>
      <w:pPr>
        <w:pStyle w:val="20"/>
        <w:ind w:firstLine="420" w:firstLineChars="200"/>
        <w:rPr>
          <w:rFonts w:hint="default" w:ascii="宋体" w:hAnsi="宋体" w:eastAsia="宋体" w:cs="宋体"/>
          <w:sz w:val="21"/>
          <w:szCs w:val="21"/>
          <w:lang w:val="en-US" w:eastAsia="zh-CN" w:bidi="zh-CN"/>
        </w:rPr>
      </w:pPr>
      <w:r>
        <w:rPr>
          <w:rFonts w:hint="eastAsia" w:ascii="宋体" w:hAnsi="宋体" w:eastAsia="宋体" w:cs="宋体"/>
          <w:sz w:val="21"/>
          <w:szCs w:val="21"/>
          <w:lang w:val="en-US" w:eastAsia="zh-CN" w:bidi="zh-CN"/>
        </w:rPr>
        <w:t>联 系 人：陈涛</w:t>
      </w:r>
    </w:p>
    <w:p>
      <w:pPr>
        <w:pageBreakBefore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zh-CN" w:eastAsia="zh-CN" w:bidi="zh-CN"/>
        </w:rPr>
        <w:t>联系方式：</w:t>
      </w:r>
      <w:r>
        <w:rPr>
          <w:rFonts w:hint="eastAsia" w:ascii="宋体" w:hAnsi="宋体" w:eastAsia="宋体" w:cs="宋体"/>
          <w:sz w:val="21"/>
          <w:szCs w:val="21"/>
          <w:lang w:val="en-US" w:eastAsia="zh-CN" w:bidi="zh-CN"/>
        </w:rPr>
        <w:t>0997-2627130</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bookmarkStart w:id="30" w:name="_Toc28359097"/>
      <w:bookmarkStart w:id="31" w:name="_Toc28359020"/>
      <w:bookmarkStart w:id="32" w:name="_Toc35393638"/>
      <w:bookmarkStart w:id="33" w:name="_Toc35393807"/>
      <w:r>
        <w:rPr>
          <w:rFonts w:hint="eastAsia" w:ascii="宋体" w:hAnsi="宋体" w:eastAsia="宋体" w:cs="宋体"/>
          <w:sz w:val="21"/>
          <w:szCs w:val="21"/>
          <w:lang w:val="en-US" w:eastAsia="zh-CN" w:bidi="zh-CN"/>
        </w:rPr>
        <w:t>2、</w:t>
      </w:r>
      <w:r>
        <w:rPr>
          <w:rFonts w:hint="eastAsia" w:ascii="宋体" w:hAnsi="宋体" w:eastAsia="宋体" w:cs="宋体"/>
          <w:sz w:val="21"/>
          <w:szCs w:val="21"/>
          <w:lang w:val="zh-CN" w:eastAsia="zh-CN" w:bidi="zh-CN"/>
        </w:rPr>
        <w:t>采购代理机构信息</w:t>
      </w:r>
      <w:bookmarkEnd w:id="30"/>
      <w:bookmarkEnd w:id="31"/>
      <w:bookmarkEnd w:id="32"/>
      <w:bookmarkEnd w:id="33"/>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名    称：</w:t>
      </w:r>
      <w:r>
        <w:rPr>
          <w:rFonts w:hint="eastAsia" w:ascii="宋体" w:hAnsi="宋体" w:eastAsia="宋体" w:cs="宋体"/>
          <w:sz w:val="21"/>
          <w:szCs w:val="21"/>
          <w:lang w:val="en-US" w:eastAsia="zh-CN" w:bidi="zh-CN"/>
        </w:rPr>
        <w:t>喀什铭远建设工程项目管理咨询有限公司</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zh-CN" w:eastAsia="zh-CN" w:bidi="zh-CN"/>
        </w:rPr>
        <w:t>地　　址：</w:t>
      </w:r>
      <w:r>
        <w:rPr>
          <w:rFonts w:hint="eastAsia" w:ascii="宋体" w:hAnsi="宋体" w:eastAsia="宋体" w:cs="宋体"/>
          <w:sz w:val="21"/>
          <w:szCs w:val="21"/>
          <w:lang w:val="en-US" w:eastAsia="zh-CN" w:bidi="zh-CN"/>
        </w:rPr>
        <w:t>新疆阿克苏地区阿克苏市新城区民主路62号和谐家苑1号楼201-1商铺</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zh-CN" w:eastAsia="zh-CN" w:bidi="zh-CN"/>
        </w:rPr>
      </w:pPr>
      <w:bookmarkStart w:id="34" w:name="_Toc35393808"/>
      <w:bookmarkStart w:id="35" w:name="_Toc35393639"/>
      <w:bookmarkStart w:id="36" w:name="_Toc28359098"/>
      <w:bookmarkStart w:id="37" w:name="_Toc28359021"/>
      <w:r>
        <w:rPr>
          <w:rFonts w:hint="eastAsia" w:ascii="宋体" w:hAnsi="宋体" w:eastAsia="宋体" w:cs="宋体"/>
          <w:sz w:val="21"/>
          <w:szCs w:val="21"/>
          <w:lang w:val="zh-CN" w:eastAsia="zh-CN" w:bidi="zh-CN"/>
        </w:rPr>
        <w:t>3、项联系方式</w:t>
      </w:r>
      <w:bookmarkEnd w:id="34"/>
      <w:bookmarkEnd w:id="35"/>
      <w:bookmarkEnd w:id="36"/>
      <w:bookmarkEnd w:id="37"/>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1"/>
          <w:szCs w:val="21"/>
          <w:lang w:val="en-US" w:eastAsia="zh-CN" w:bidi="zh-CN"/>
        </w:rPr>
      </w:pPr>
      <w:r>
        <w:rPr>
          <w:rFonts w:hint="eastAsia" w:ascii="宋体" w:hAnsi="宋体" w:eastAsia="宋体" w:cs="宋体"/>
          <w:sz w:val="21"/>
          <w:szCs w:val="21"/>
          <w:lang w:val="zh-CN" w:eastAsia="zh-CN" w:bidi="zh-CN"/>
        </w:rPr>
        <w:t>项目联系人：鲁冬梅</w:t>
      </w:r>
    </w:p>
    <w:p>
      <w:pPr>
        <w:pageBreakBefore w:val="0"/>
        <w:kinsoku/>
        <w:wordWrap/>
        <w:overflowPunct/>
        <w:topLinePunct w:val="0"/>
        <w:autoSpaceDE/>
        <w:autoSpaceDN/>
        <w:bidi w:val="0"/>
        <w:adjustRightInd/>
        <w:snapToGrid/>
        <w:spacing w:line="500" w:lineRule="exact"/>
        <w:ind w:firstLine="420" w:firstLineChars="200"/>
        <w:textAlignment w:val="auto"/>
        <w:rPr>
          <w:rFonts w:hint="default" w:ascii="宋体" w:hAnsi="宋体" w:eastAsia="宋体" w:cs="宋体"/>
          <w:sz w:val="21"/>
          <w:szCs w:val="21"/>
          <w:lang w:val="en-US" w:eastAsia="zh-CN" w:bidi="zh-CN"/>
        </w:rPr>
      </w:pPr>
      <w:r>
        <w:rPr>
          <w:rFonts w:hint="eastAsia" w:ascii="宋体" w:hAnsi="宋体" w:eastAsia="宋体" w:cs="宋体"/>
          <w:sz w:val="21"/>
          <w:szCs w:val="21"/>
          <w:lang w:val="zh-CN" w:eastAsia="zh-CN" w:bidi="zh-CN"/>
        </w:rPr>
        <w:t>电　　 话：</w:t>
      </w:r>
      <w:r>
        <w:rPr>
          <w:rFonts w:hint="eastAsia" w:ascii="宋体" w:hAnsi="宋体" w:eastAsia="宋体" w:cs="宋体"/>
          <w:sz w:val="21"/>
          <w:szCs w:val="21"/>
          <w:lang w:val="en-US" w:eastAsia="zh-CN" w:bidi="zh-CN"/>
        </w:rPr>
        <w:t>15770070829</w:t>
      </w:r>
    </w:p>
    <w:p>
      <w:pPr>
        <w:spacing w:line="360" w:lineRule="auto"/>
        <w:rPr>
          <w:rFonts w:ascii="宋体" w:hAnsi="宋体" w:eastAsia="宋体" w:cs="宋体"/>
          <w:sz w:val="21"/>
          <w:szCs w:val="21"/>
          <w:lang w:val="zh-CN" w:eastAsia="zh-CN" w:bidi="zh-CN"/>
        </w:rPr>
      </w:pPr>
    </w:p>
    <w:p>
      <w:pPr>
        <w:spacing w:after="0"/>
        <w:sectPr>
          <w:pgSz w:w="11910" w:h="16840"/>
          <w:pgMar w:top="1360" w:right="969" w:bottom="1080" w:left="1083" w:header="880" w:footer="887" w:gutter="0"/>
        </w:sectPr>
      </w:pPr>
    </w:p>
    <w:p>
      <w:pPr>
        <w:pStyle w:val="12"/>
        <w:spacing w:before="6"/>
        <w:rPr>
          <w:b/>
          <w:sz w:val="9"/>
        </w:rPr>
      </w:pPr>
    </w:p>
    <w:p>
      <w:pPr>
        <w:pStyle w:val="3"/>
        <w:tabs>
          <w:tab w:val="left" w:pos="1809"/>
        </w:tabs>
        <w:spacing w:before="49"/>
      </w:pPr>
      <w:bookmarkStart w:id="38" w:name="_TOC_250003"/>
      <w:bookmarkEnd w:id="38"/>
      <w:r>
        <w:t>第二部分</w:t>
      </w:r>
      <w:r>
        <w:tab/>
      </w:r>
      <w:r>
        <w:t>投标人须知</w:t>
      </w:r>
    </w:p>
    <w:p>
      <w:pPr>
        <w:pStyle w:val="12"/>
        <w:spacing w:before="2"/>
        <w:rPr>
          <w:b/>
          <w:sz w:val="14"/>
        </w:rPr>
      </w:pPr>
    </w:p>
    <w:p>
      <w:pPr>
        <w:pStyle w:val="6"/>
        <w:spacing w:before="62"/>
      </w:pPr>
      <w:r>
        <w:t>一、投标人须知前附表</w:t>
      </w:r>
    </w:p>
    <w:p>
      <w:pPr>
        <w:pStyle w:val="12"/>
        <w:spacing w:before="3"/>
        <w:rPr>
          <w:b/>
          <w:sz w:val="11"/>
        </w:rPr>
      </w:pPr>
    </w:p>
    <w:tbl>
      <w:tblPr>
        <w:tblStyle w:val="17"/>
        <w:tblW w:w="0" w:type="auto"/>
        <w:tblInd w:w="2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
        <w:gridCol w:w="2415"/>
        <w:gridCol w:w="6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19" w:type="dxa"/>
            <w:vAlign w:val="center"/>
          </w:tcPr>
          <w:p>
            <w:pPr>
              <w:pStyle w:val="23"/>
              <w:spacing w:before="29"/>
              <w:ind w:left="176" w:right="170"/>
              <w:jc w:val="center"/>
              <w:rPr>
                <w:b/>
                <w:sz w:val="21"/>
              </w:rPr>
            </w:pPr>
            <w:r>
              <w:rPr>
                <w:b/>
                <w:sz w:val="21"/>
              </w:rPr>
              <w:t>序号</w:t>
            </w:r>
          </w:p>
        </w:tc>
        <w:tc>
          <w:tcPr>
            <w:tcW w:w="2415" w:type="dxa"/>
            <w:vAlign w:val="center"/>
          </w:tcPr>
          <w:p>
            <w:pPr>
              <w:pStyle w:val="23"/>
              <w:spacing w:before="29"/>
              <w:ind w:left="136" w:right="128"/>
              <w:jc w:val="center"/>
              <w:rPr>
                <w:b/>
                <w:sz w:val="21"/>
              </w:rPr>
            </w:pPr>
            <w:r>
              <w:rPr>
                <w:b/>
                <w:sz w:val="21"/>
              </w:rPr>
              <w:t>条款名称</w:t>
            </w:r>
          </w:p>
        </w:tc>
        <w:tc>
          <w:tcPr>
            <w:tcW w:w="6735" w:type="dxa"/>
            <w:vAlign w:val="center"/>
          </w:tcPr>
          <w:p>
            <w:pPr>
              <w:pStyle w:val="23"/>
              <w:spacing w:before="29"/>
              <w:ind w:left="2819" w:right="2810"/>
              <w:jc w:val="center"/>
              <w:rPr>
                <w:b/>
                <w:sz w:val="21"/>
              </w:rPr>
            </w:pPr>
            <w:r>
              <w:rPr>
                <w:b/>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819" w:type="dxa"/>
          </w:tcPr>
          <w:p>
            <w:pPr>
              <w:pStyle w:val="23"/>
              <w:spacing w:before="9"/>
              <w:rPr>
                <w:b/>
                <w:sz w:val="28"/>
              </w:rPr>
            </w:pPr>
          </w:p>
          <w:p>
            <w:pPr>
              <w:pStyle w:val="23"/>
              <w:ind w:left="6"/>
              <w:jc w:val="center"/>
              <w:rPr>
                <w:rFonts w:ascii="Times New Roman"/>
                <w:sz w:val="21"/>
              </w:rPr>
            </w:pPr>
            <w:r>
              <w:rPr>
                <w:rFonts w:ascii="Times New Roman"/>
                <w:w w:val="100"/>
                <w:sz w:val="21"/>
              </w:rPr>
              <w:t>1</w:t>
            </w:r>
          </w:p>
        </w:tc>
        <w:tc>
          <w:tcPr>
            <w:tcW w:w="2415" w:type="dxa"/>
          </w:tcPr>
          <w:p>
            <w:pPr>
              <w:pStyle w:val="23"/>
              <w:spacing w:before="10"/>
              <w:rPr>
                <w:b/>
                <w:sz w:val="27"/>
              </w:rPr>
            </w:pPr>
          </w:p>
          <w:p>
            <w:pPr>
              <w:pStyle w:val="23"/>
              <w:ind w:left="136" w:right="128"/>
              <w:jc w:val="center"/>
              <w:rPr>
                <w:sz w:val="21"/>
              </w:rPr>
            </w:pPr>
            <w:r>
              <w:rPr>
                <w:sz w:val="21"/>
              </w:rPr>
              <w:t>采购人</w:t>
            </w:r>
          </w:p>
        </w:tc>
        <w:tc>
          <w:tcPr>
            <w:tcW w:w="6735" w:type="dxa"/>
          </w:tcPr>
          <w:p>
            <w:pPr>
              <w:pStyle w:val="23"/>
              <w:spacing w:before="29"/>
              <w:ind w:left="105"/>
              <w:rPr>
                <w:rFonts w:hint="eastAsia" w:eastAsia="宋体"/>
                <w:sz w:val="21"/>
                <w:lang w:eastAsia="zh-CN"/>
              </w:rPr>
            </w:pPr>
            <w:r>
              <w:rPr>
                <w:sz w:val="21"/>
              </w:rPr>
              <w:t>名称：</w:t>
            </w:r>
            <w:r>
              <w:rPr>
                <w:rFonts w:hint="eastAsia"/>
                <w:sz w:val="21"/>
                <w:lang w:eastAsia="zh-CN"/>
              </w:rPr>
              <w:t>阿克苏市城市管理行政执法局</w:t>
            </w:r>
          </w:p>
          <w:p>
            <w:pPr>
              <w:pStyle w:val="23"/>
              <w:spacing w:before="7" w:line="320" w:lineRule="atLeast"/>
              <w:ind w:left="105" w:right="314"/>
              <w:rPr>
                <w:rFonts w:hint="default" w:ascii="Times New Roman" w:eastAsia="宋体"/>
                <w:sz w:val="21"/>
                <w:lang w:val="en-US" w:eastAsia="zh-CN"/>
              </w:rPr>
            </w:pPr>
            <w:r>
              <w:rPr>
                <w:spacing w:val="-5"/>
                <w:sz w:val="21"/>
              </w:rPr>
              <w:t>地址：</w:t>
            </w:r>
            <w:r>
              <w:rPr>
                <w:rFonts w:hint="eastAsia" w:ascii="宋体" w:hAnsi="宋体" w:eastAsia="宋体" w:cs="宋体"/>
                <w:sz w:val="21"/>
                <w:lang w:val="en-US" w:eastAsia="zh-CN"/>
              </w:rPr>
              <w:t>原阿克苏职业技术学院（现阿克苏市综合办公区1</w:t>
            </w:r>
            <w:r>
              <w:rPr>
                <w:rFonts w:hint="default" w:ascii="宋体" w:hAnsi="宋体" w:eastAsia="宋体" w:cs="宋体"/>
                <w:sz w:val="21"/>
                <w:lang w:val="en-US" w:eastAsia="zh-CN"/>
              </w:rPr>
              <w:t>号楼</w:t>
            </w:r>
            <w:r>
              <w:rPr>
                <w:rFonts w:hint="eastAsia" w:ascii="宋体" w:hAnsi="宋体" w:eastAsia="宋体" w:cs="宋体"/>
                <w:sz w:val="21"/>
                <w:lang w:val="en-US" w:eastAsia="zh-CN"/>
              </w:rPr>
              <w:t>6</w:t>
            </w:r>
            <w:r>
              <w:rPr>
                <w:rFonts w:hint="default" w:ascii="宋体" w:hAnsi="宋体" w:eastAsia="宋体" w:cs="宋体"/>
                <w:sz w:val="21"/>
                <w:lang w:val="en-US" w:eastAsia="zh-CN"/>
              </w:rPr>
              <w:t>楼）</w:t>
            </w:r>
            <w:r>
              <w:rPr>
                <w:rFonts w:hint="eastAsia" w:ascii="宋体" w:hAnsi="宋体" w:eastAsia="宋体" w:cs="宋体"/>
                <w:sz w:val="21"/>
                <w:lang w:val="en-US" w:eastAsia="zh-CN"/>
              </w:rPr>
              <w:t xml:space="preserve"> </w:t>
            </w:r>
            <w:r>
              <w:rPr>
                <w:spacing w:val="-1"/>
                <w:sz w:val="21"/>
              </w:rPr>
              <w:t>联系</w:t>
            </w:r>
            <w:r>
              <w:rPr>
                <w:rFonts w:hint="eastAsia"/>
                <w:spacing w:val="-1"/>
                <w:sz w:val="21"/>
                <w:lang w:eastAsia="zh-CN"/>
              </w:rPr>
              <w:t>人：陈涛</w:t>
            </w:r>
            <w:r>
              <w:rPr>
                <w:rFonts w:hint="eastAsia"/>
                <w:spacing w:val="-1"/>
                <w:sz w:val="21"/>
                <w:lang w:val="en-US" w:eastAsia="zh-CN"/>
              </w:rPr>
              <w:t xml:space="preserve">         </w:t>
            </w:r>
            <w:r>
              <w:rPr>
                <w:rFonts w:hint="eastAsia"/>
                <w:spacing w:val="-1"/>
                <w:sz w:val="21"/>
                <w:lang w:eastAsia="zh-CN"/>
              </w:rPr>
              <w:t>联系</w:t>
            </w:r>
            <w:r>
              <w:rPr>
                <w:spacing w:val="-1"/>
                <w:sz w:val="21"/>
              </w:rPr>
              <w:t>方式：</w:t>
            </w:r>
            <w:r>
              <w:rPr>
                <w:rFonts w:hint="eastAsia"/>
                <w:spacing w:val="-1"/>
                <w:sz w:val="21"/>
                <w:lang w:val="en-US" w:eastAsia="zh-CN"/>
              </w:rPr>
              <w:t>0997-2627130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1" w:hRule="atLeast"/>
        </w:trPr>
        <w:tc>
          <w:tcPr>
            <w:tcW w:w="819" w:type="dxa"/>
          </w:tcPr>
          <w:p>
            <w:pPr>
              <w:pStyle w:val="23"/>
              <w:rPr>
                <w:b/>
                <w:sz w:val="22"/>
              </w:rPr>
            </w:pPr>
          </w:p>
          <w:p>
            <w:pPr>
              <w:pStyle w:val="23"/>
              <w:rPr>
                <w:b/>
                <w:sz w:val="22"/>
              </w:rPr>
            </w:pPr>
          </w:p>
          <w:p>
            <w:pPr>
              <w:pStyle w:val="23"/>
              <w:spacing w:before="11"/>
              <w:rPr>
                <w:b/>
                <w:sz w:val="22"/>
              </w:rPr>
            </w:pPr>
          </w:p>
          <w:p>
            <w:pPr>
              <w:pStyle w:val="23"/>
              <w:ind w:left="6"/>
              <w:jc w:val="center"/>
              <w:rPr>
                <w:rFonts w:ascii="Times New Roman"/>
                <w:sz w:val="21"/>
              </w:rPr>
            </w:pPr>
            <w:r>
              <w:rPr>
                <w:rFonts w:ascii="Times New Roman"/>
                <w:w w:val="100"/>
                <w:sz w:val="21"/>
              </w:rPr>
              <w:t>2</w:t>
            </w:r>
          </w:p>
        </w:tc>
        <w:tc>
          <w:tcPr>
            <w:tcW w:w="2415" w:type="dxa"/>
          </w:tcPr>
          <w:p>
            <w:pPr>
              <w:pStyle w:val="23"/>
              <w:rPr>
                <w:b/>
                <w:sz w:val="20"/>
              </w:rPr>
            </w:pPr>
          </w:p>
          <w:p>
            <w:pPr>
              <w:pStyle w:val="23"/>
              <w:rPr>
                <w:b/>
                <w:sz w:val="20"/>
              </w:rPr>
            </w:pPr>
          </w:p>
          <w:p>
            <w:pPr>
              <w:pStyle w:val="23"/>
              <w:rPr>
                <w:b/>
                <w:sz w:val="26"/>
              </w:rPr>
            </w:pPr>
          </w:p>
          <w:p>
            <w:pPr>
              <w:pStyle w:val="23"/>
              <w:ind w:left="136" w:right="128"/>
              <w:jc w:val="center"/>
              <w:rPr>
                <w:sz w:val="21"/>
              </w:rPr>
            </w:pPr>
            <w:r>
              <w:rPr>
                <w:sz w:val="21"/>
              </w:rPr>
              <w:t>采购代理机构</w:t>
            </w:r>
          </w:p>
        </w:tc>
        <w:tc>
          <w:tcPr>
            <w:tcW w:w="6735" w:type="dxa"/>
            <w:vAlign w:val="center"/>
          </w:tcPr>
          <w:p>
            <w:pPr>
              <w:pStyle w:val="23"/>
              <w:spacing w:before="29"/>
              <w:ind w:left="105"/>
              <w:rPr>
                <w:rFonts w:hint="eastAsia" w:ascii="宋体" w:hAnsi="宋体" w:eastAsia="宋体" w:cs="宋体"/>
                <w:sz w:val="21"/>
                <w:lang w:eastAsia="zh-CN"/>
              </w:rPr>
            </w:pPr>
            <w:r>
              <w:rPr>
                <w:rFonts w:ascii="宋体" w:hAnsi="宋体" w:eastAsia="宋体" w:cs="宋体"/>
                <w:sz w:val="21"/>
              </w:rPr>
              <w:t>名称：</w:t>
            </w:r>
            <w:r>
              <w:rPr>
                <w:rFonts w:hint="eastAsia" w:ascii="宋体" w:hAnsi="宋体" w:eastAsia="宋体" w:cs="宋体"/>
                <w:sz w:val="21"/>
                <w:lang w:eastAsia="zh-CN"/>
              </w:rPr>
              <w:t>喀什铭远建设工程项目管理咨询有限公司</w:t>
            </w:r>
          </w:p>
          <w:p>
            <w:pPr>
              <w:pStyle w:val="23"/>
              <w:spacing w:before="29"/>
              <w:ind w:left="733" w:leftChars="47" w:hanging="630" w:hangingChars="300"/>
              <w:rPr>
                <w:rFonts w:hint="eastAsia"/>
                <w:sz w:val="21"/>
                <w:lang w:eastAsia="zh-CN"/>
              </w:rPr>
            </w:pPr>
            <w:r>
              <w:rPr>
                <w:rFonts w:ascii="宋体" w:hAnsi="宋体" w:eastAsia="宋体" w:cs="宋体"/>
                <w:sz w:val="21"/>
              </w:rPr>
              <w:t>地址：</w:t>
            </w:r>
            <w:r>
              <w:rPr>
                <w:rFonts w:hint="eastAsia"/>
                <w:sz w:val="21"/>
                <w:lang w:val="en-US" w:eastAsia="zh-CN"/>
              </w:rPr>
              <w:t>新疆阿克苏地区阿克苏市新城区民主路62号和谐家苑1号楼201-1商铺</w:t>
            </w:r>
          </w:p>
          <w:p>
            <w:pPr>
              <w:pStyle w:val="23"/>
              <w:spacing w:before="29"/>
              <w:ind w:left="105"/>
              <w:rPr>
                <w:rFonts w:hint="eastAsia" w:ascii="宋体" w:hAnsi="宋体" w:eastAsia="宋体" w:cs="宋体"/>
                <w:sz w:val="21"/>
                <w:lang w:val="en-US" w:eastAsia="zh-CN"/>
              </w:rPr>
            </w:pPr>
            <w:r>
              <w:rPr>
                <w:rFonts w:ascii="宋体" w:hAnsi="宋体" w:eastAsia="宋体" w:cs="宋体"/>
                <w:sz w:val="21"/>
              </w:rPr>
              <w:t>联系人：</w:t>
            </w:r>
            <w:r>
              <w:rPr>
                <w:rFonts w:hint="eastAsia" w:ascii="宋体" w:hAnsi="宋体" w:eastAsia="宋体" w:cs="宋体"/>
                <w:sz w:val="21"/>
                <w:lang w:eastAsia="zh-CN"/>
              </w:rPr>
              <w:t>鲁冬梅</w:t>
            </w:r>
            <w:r>
              <w:rPr>
                <w:rFonts w:hint="eastAsia" w:ascii="宋体" w:hAnsi="宋体" w:eastAsia="宋体" w:cs="宋体"/>
                <w:sz w:val="21"/>
                <w:lang w:val="en-US" w:eastAsia="zh-CN"/>
              </w:rPr>
              <w:t xml:space="preserve">    </w:t>
            </w:r>
          </w:p>
          <w:p>
            <w:pPr>
              <w:pStyle w:val="23"/>
              <w:spacing w:before="29"/>
              <w:ind w:left="105"/>
              <w:rPr>
                <w:rFonts w:hint="default" w:eastAsia="宋体"/>
                <w:sz w:val="21"/>
                <w:lang w:val="en-US" w:eastAsia="zh-CN"/>
              </w:rPr>
            </w:pPr>
            <w:r>
              <w:rPr>
                <w:rFonts w:ascii="宋体" w:hAnsi="宋体" w:eastAsia="宋体" w:cs="宋体"/>
                <w:sz w:val="21"/>
              </w:rPr>
              <w:t>联系电话：</w:t>
            </w:r>
            <w:r>
              <w:rPr>
                <w:rFonts w:hint="eastAsia" w:ascii="宋体" w:hAnsi="宋体" w:eastAsia="宋体" w:cs="宋体"/>
                <w:sz w:val="21"/>
                <w:lang w:val="en-US" w:eastAsia="zh-CN"/>
              </w:rPr>
              <w:t>15770070829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19" w:type="dxa"/>
          </w:tcPr>
          <w:p>
            <w:pPr>
              <w:pStyle w:val="23"/>
              <w:spacing w:before="41"/>
              <w:ind w:left="6"/>
              <w:jc w:val="center"/>
              <w:rPr>
                <w:rFonts w:ascii="Times New Roman"/>
                <w:sz w:val="21"/>
              </w:rPr>
            </w:pPr>
            <w:r>
              <w:rPr>
                <w:rFonts w:ascii="Times New Roman"/>
                <w:w w:val="100"/>
                <w:sz w:val="21"/>
              </w:rPr>
              <w:t>3</w:t>
            </w:r>
          </w:p>
        </w:tc>
        <w:tc>
          <w:tcPr>
            <w:tcW w:w="2415" w:type="dxa"/>
            <w:vAlign w:val="center"/>
          </w:tcPr>
          <w:p>
            <w:pPr>
              <w:pStyle w:val="23"/>
              <w:spacing w:before="29"/>
              <w:ind w:left="136" w:right="128"/>
              <w:jc w:val="center"/>
              <w:rPr>
                <w:sz w:val="21"/>
              </w:rPr>
            </w:pPr>
            <w:r>
              <w:rPr>
                <w:sz w:val="21"/>
              </w:rPr>
              <w:t>监督管理机构</w:t>
            </w:r>
          </w:p>
        </w:tc>
        <w:tc>
          <w:tcPr>
            <w:tcW w:w="6735" w:type="dxa"/>
            <w:vAlign w:val="center"/>
          </w:tcPr>
          <w:p>
            <w:pPr>
              <w:pStyle w:val="23"/>
              <w:spacing w:before="29"/>
              <w:ind w:left="105"/>
              <w:jc w:val="both"/>
              <w:rPr>
                <w:sz w:val="21"/>
              </w:rPr>
            </w:pPr>
            <w:r>
              <w:rPr>
                <w:rFonts w:hint="eastAsia"/>
                <w:sz w:val="21"/>
                <w:lang w:eastAsia="zh-CN"/>
              </w:rPr>
              <w:t>阿克苏市</w:t>
            </w:r>
            <w:r>
              <w:rPr>
                <w:sz w:val="21"/>
              </w:rPr>
              <w:t>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819" w:type="dxa"/>
          </w:tcPr>
          <w:p>
            <w:pPr>
              <w:pStyle w:val="23"/>
              <w:spacing w:before="12"/>
              <w:rPr>
                <w:b/>
                <w:sz w:val="15"/>
              </w:rPr>
            </w:pPr>
          </w:p>
          <w:p>
            <w:pPr>
              <w:pStyle w:val="23"/>
              <w:ind w:left="6"/>
              <w:jc w:val="center"/>
              <w:rPr>
                <w:rFonts w:ascii="Times New Roman"/>
                <w:sz w:val="21"/>
              </w:rPr>
            </w:pPr>
            <w:r>
              <w:rPr>
                <w:rFonts w:ascii="Times New Roman"/>
                <w:w w:val="100"/>
                <w:sz w:val="21"/>
              </w:rPr>
              <w:t>4</w:t>
            </w:r>
          </w:p>
        </w:tc>
        <w:tc>
          <w:tcPr>
            <w:tcW w:w="2415" w:type="dxa"/>
            <w:vAlign w:val="center"/>
          </w:tcPr>
          <w:p>
            <w:pPr>
              <w:pStyle w:val="23"/>
              <w:jc w:val="center"/>
              <w:rPr>
                <w:b/>
                <w:sz w:val="15"/>
              </w:rPr>
            </w:pPr>
          </w:p>
          <w:p>
            <w:pPr>
              <w:pStyle w:val="23"/>
              <w:spacing w:before="1"/>
              <w:ind w:left="136" w:right="128"/>
              <w:jc w:val="center"/>
              <w:rPr>
                <w:sz w:val="21"/>
              </w:rPr>
            </w:pPr>
            <w:r>
              <w:rPr>
                <w:sz w:val="21"/>
              </w:rPr>
              <w:t>投标人</w:t>
            </w:r>
          </w:p>
        </w:tc>
        <w:tc>
          <w:tcPr>
            <w:tcW w:w="6735" w:type="dxa"/>
            <w:vAlign w:val="center"/>
          </w:tcPr>
          <w:p>
            <w:pPr>
              <w:pStyle w:val="23"/>
              <w:spacing w:before="29"/>
              <w:ind w:left="105"/>
              <w:jc w:val="both"/>
              <w:rPr>
                <w:sz w:val="21"/>
              </w:rPr>
            </w:pPr>
            <w:r>
              <w:rPr>
                <w:sz w:val="21"/>
              </w:rPr>
              <w:t>响应</w:t>
            </w:r>
            <w:r>
              <w:fldChar w:fldCharType="begin"/>
            </w:r>
            <w:r>
              <w:instrText xml:space="preserve"> HYPERLINK "http://baike.baidu.com/view/8707.htm" \h </w:instrText>
            </w:r>
            <w:r>
              <w:fldChar w:fldCharType="separate"/>
            </w:r>
            <w:r>
              <w:rPr>
                <w:sz w:val="21"/>
              </w:rPr>
              <w:t>招标</w:t>
            </w:r>
            <w:r>
              <w:rPr>
                <w:sz w:val="21"/>
              </w:rPr>
              <w:fldChar w:fldCharType="end"/>
            </w:r>
            <w:r>
              <w:rPr>
                <w:sz w:val="21"/>
              </w:rPr>
              <w:t>并且符合招标文件规定资格条件和参加投标竞争的法人、其他</w:t>
            </w:r>
          </w:p>
          <w:p>
            <w:pPr>
              <w:pStyle w:val="23"/>
              <w:spacing w:before="58"/>
              <w:ind w:left="105"/>
              <w:jc w:val="both"/>
              <w:rPr>
                <w:sz w:val="21"/>
              </w:rPr>
            </w:pPr>
            <w:r>
              <w:rPr>
                <w:sz w:val="21"/>
              </w:rPr>
              <w:t>组织或者自然人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819" w:type="dxa"/>
          </w:tcPr>
          <w:p>
            <w:pPr>
              <w:pStyle w:val="23"/>
              <w:spacing w:before="41"/>
              <w:ind w:left="6"/>
              <w:jc w:val="center"/>
              <w:rPr>
                <w:rFonts w:ascii="Times New Roman"/>
                <w:sz w:val="21"/>
              </w:rPr>
            </w:pPr>
            <w:r>
              <w:rPr>
                <w:rFonts w:ascii="Times New Roman"/>
                <w:w w:val="100"/>
                <w:sz w:val="21"/>
              </w:rPr>
              <w:t>5</w:t>
            </w:r>
          </w:p>
        </w:tc>
        <w:tc>
          <w:tcPr>
            <w:tcW w:w="2415" w:type="dxa"/>
            <w:vAlign w:val="center"/>
          </w:tcPr>
          <w:p>
            <w:pPr>
              <w:pStyle w:val="23"/>
              <w:spacing w:before="29"/>
              <w:ind w:left="137" w:right="126"/>
              <w:jc w:val="center"/>
              <w:rPr>
                <w:sz w:val="21"/>
              </w:rPr>
            </w:pPr>
            <w:r>
              <w:rPr>
                <w:sz w:val="21"/>
              </w:rPr>
              <w:t>项目名称</w:t>
            </w:r>
          </w:p>
        </w:tc>
        <w:tc>
          <w:tcPr>
            <w:tcW w:w="6735" w:type="dxa"/>
            <w:vAlign w:val="center"/>
          </w:tcPr>
          <w:p>
            <w:pPr>
              <w:pStyle w:val="23"/>
              <w:spacing w:before="29"/>
              <w:ind w:left="105"/>
              <w:jc w:val="both"/>
              <w:rPr>
                <w:rFonts w:hint="eastAsia" w:eastAsia="宋体"/>
                <w:sz w:val="21"/>
                <w:lang w:eastAsia="zh-CN"/>
              </w:rPr>
            </w:pPr>
            <w:r>
              <w:rPr>
                <w:rFonts w:hint="eastAsia"/>
                <w:sz w:val="21"/>
                <w:lang w:eastAsia="zh-CN"/>
              </w:rPr>
              <w:t>阿克苏市城市道路清扫保洁、园林绿化管养、公厕管护购买社会化服务采购项目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819" w:type="dxa"/>
          </w:tcPr>
          <w:p>
            <w:pPr>
              <w:pStyle w:val="23"/>
              <w:spacing w:before="41"/>
              <w:ind w:left="6"/>
              <w:jc w:val="center"/>
              <w:rPr>
                <w:rFonts w:ascii="Times New Roman"/>
                <w:sz w:val="21"/>
              </w:rPr>
            </w:pPr>
            <w:r>
              <w:rPr>
                <w:rFonts w:ascii="Times New Roman"/>
                <w:w w:val="100"/>
                <w:sz w:val="21"/>
              </w:rPr>
              <w:t>6</w:t>
            </w:r>
          </w:p>
        </w:tc>
        <w:tc>
          <w:tcPr>
            <w:tcW w:w="2415" w:type="dxa"/>
            <w:vAlign w:val="center"/>
          </w:tcPr>
          <w:p>
            <w:pPr>
              <w:pStyle w:val="23"/>
              <w:spacing w:before="30"/>
              <w:ind w:left="137" w:right="126"/>
              <w:jc w:val="center"/>
              <w:rPr>
                <w:sz w:val="21"/>
              </w:rPr>
            </w:pPr>
            <w:r>
              <w:rPr>
                <w:sz w:val="21"/>
              </w:rPr>
              <w:t>项目编号</w:t>
            </w:r>
          </w:p>
        </w:tc>
        <w:tc>
          <w:tcPr>
            <w:tcW w:w="6735" w:type="dxa"/>
            <w:vAlign w:val="center"/>
          </w:tcPr>
          <w:p>
            <w:pPr>
              <w:pStyle w:val="23"/>
              <w:spacing w:before="41"/>
              <w:ind w:left="105"/>
              <w:jc w:val="both"/>
              <w:rPr>
                <w:rFonts w:ascii="Times New Roman"/>
                <w:sz w:val="21"/>
              </w:rPr>
            </w:pPr>
            <w:r>
              <w:rPr>
                <w:rFonts w:hint="eastAsia" w:ascii="Times New Roman"/>
                <w:sz w:val="21"/>
                <w:lang w:val="en-US" w:eastAsia="zh-CN"/>
              </w:rPr>
              <w:t>2020-701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9" w:type="dxa"/>
          </w:tcPr>
          <w:p>
            <w:pPr>
              <w:pStyle w:val="23"/>
              <w:spacing w:before="41"/>
              <w:ind w:left="6"/>
              <w:jc w:val="center"/>
              <w:rPr>
                <w:rFonts w:ascii="Times New Roman"/>
                <w:sz w:val="21"/>
              </w:rPr>
            </w:pPr>
            <w:r>
              <w:rPr>
                <w:rFonts w:ascii="Times New Roman"/>
                <w:w w:val="100"/>
                <w:sz w:val="21"/>
              </w:rPr>
              <w:t>7</w:t>
            </w:r>
          </w:p>
        </w:tc>
        <w:tc>
          <w:tcPr>
            <w:tcW w:w="2415" w:type="dxa"/>
            <w:vAlign w:val="center"/>
          </w:tcPr>
          <w:p>
            <w:pPr>
              <w:pStyle w:val="23"/>
              <w:spacing w:before="29"/>
              <w:ind w:left="137" w:right="126"/>
              <w:jc w:val="center"/>
              <w:rPr>
                <w:sz w:val="21"/>
              </w:rPr>
            </w:pPr>
            <w:r>
              <w:rPr>
                <w:sz w:val="21"/>
              </w:rPr>
              <w:t>项目性质</w:t>
            </w:r>
          </w:p>
        </w:tc>
        <w:tc>
          <w:tcPr>
            <w:tcW w:w="6735" w:type="dxa"/>
            <w:vAlign w:val="center"/>
          </w:tcPr>
          <w:p>
            <w:pPr>
              <w:pStyle w:val="23"/>
              <w:spacing w:before="29"/>
              <w:ind w:left="105"/>
              <w:jc w:val="both"/>
              <w:rPr>
                <w:sz w:val="21"/>
              </w:rPr>
            </w:pPr>
            <w:r>
              <w:rPr>
                <w:sz w:val="21"/>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0" w:hRule="atLeast"/>
        </w:trPr>
        <w:tc>
          <w:tcPr>
            <w:tcW w:w="819" w:type="dxa"/>
          </w:tcPr>
          <w:p>
            <w:pPr>
              <w:pStyle w:val="23"/>
              <w:rPr>
                <w:b/>
                <w:sz w:val="22"/>
              </w:rPr>
            </w:pPr>
          </w:p>
          <w:p>
            <w:pPr>
              <w:pStyle w:val="23"/>
              <w:rPr>
                <w:b/>
                <w:sz w:val="22"/>
              </w:rPr>
            </w:pPr>
          </w:p>
          <w:p>
            <w:pPr>
              <w:pStyle w:val="23"/>
              <w:rPr>
                <w:b/>
                <w:sz w:val="22"/>
              </w:rPr>
            </w:pPr>
          </w:p>
          <w:p>
            <w:pPr>
              <w:pStyle w:val="23"/>
              <w:rPr>
                <w:b/>
                <w:sz w:val="22"/>
              </w:rPr>
            </w:pPr>
          </w:p>
          <w:p>
            <w:pPr>
              <w:pStyle w:val="23"/>
              <w:rPr>
                <w:b/>
                <w:sz w:val="22"/>
              </w:rPr>
            </w:pPr>
          </w:p>
          <w:p>
            <w:pPr>
              <w:pStyle w:val="23"/>
              <w:rPr>
                <w:b/>
                <w:sz w:val="22"/>
              </w:rPr>
            </w:pPr>
          </w:p>
          <w:p>
            <w:pPr>
              <w:pStyle w:val="23"/>
              <w:spacing w:before="143"/>
              <w:ind w:left="6"/>
              <w:jc w:val="center"/>
              <w:rPr>
                <w:rFonts w:ascii="Times New Roman"/>
                <w:sz w:val="21"/>
              </w:rPr>
            </w:pPr>
            <w:r>
              <w:rPr>
                <w:rFonts w:ascii="Times New Roman"/>
                <w:w w:val="100"/>
                <w:sz w:val="21"/>
              </w:rPr>
              <w:t>8</w:t>
            </w:r>
          </w:p>
        </w:tc>
        <w:tc>
          <w:tcPr>
            <w:tcW w:w="2415" w:type="dxa"/>
          </w:tcPr>
          <w:p>
            <w:pPr>
              <w:pStyle w:val="23"/>
              <w:rPr>
                <w:b/>
                <w:sz w:val="20"/>
              </w:rPr>
            </w:pPr>
          </w:p>
          <w:p>
            <w:pPr>
              <w:pStyle w:val="23"/>
              <w:rPr>
                <w:b/>
                <w:sz w:val="20"/>
              </w:rPr>
            </w:pPr>
          </w:p>
          <w:p>
            <w:pPr>
              <w:pStyle w:val="23"/>
              <w:rPr>
                <w:b/>
                <w:sz w:val="20"/>
              </w:rPr>
            </w:pPr>
          </w:p>
          <w:p>
            <w:pPr>
              <w:pStyle w:val="23"/>
              <w:rPr>
                <w:b/>
                <w:sz w:val="20"/>
              </w:rPr>
            </w:pPr>
          </w:p>
          <w:p>
            <w:pPr>
              <w:pStyle w:val="23"/>
              <w:rPr>
                <w:b/>
                <w:sz w:val="20"/>
              </w:rPr>
            </w:pPr>
          </w:p>
          <w:p>
            <w:pPr>
              <w:pStyle w:val="23"/>
              <w:rPr>
                <w:b/>
                <w:sz w:val="20"/>
              </w:rPr>
            </w:pPr>
          </w:p>
          <w:p>
            <w:pPr>
              <w:pStyle w:val="23"/>
              <w:spacing w:before="3"/>
              <w:rPr>
                <w:b/>
                <w:sz w:val="22"/>
              </w:rPr>
            </w:pPr>
          </w:p>
          <w:p>
            <w:pPr>
              <w:pStyle w:val="23"/>
              <w:ind w:left="136" w:right="128"/>
              <w:jc w:val="center"/>
              <w:rPr>
                <w:sz w:val="21"/>
              </w:rPr>
            </w:pPr>
            <w:r>
              <w:rPr>
                <w:sz w:val="21"/>
              </w:rPr>
              <w:t>投标报价及预算</w:t>
            </w:r>
          </w:p>
        </w:tc>
        <w:tc>
          <w:tcPr>
            <w:tcW w:w="6735" w:type="dxa"/>
          </w:tcPr>
          <w:p>
            <w:pPr>
              <w:pStyle w:val="23"/>
              <w:spacing w:before="29" w:line="290" w:lineRule="auto"/>
              <w:ind w:left="105" w:right="93"/>
              <w:rPr>
                <w:rFonts w:hint="eastAsia"/>
                <w:b/>
                <w:spacing w:val="-14"/>
                <w:sz w:val="21"/>
                <w:lang w:eastAsia="zh-CN"/>
              </w:rPr>
            </w:pPr>
            <w:r>
              <w:rPr>
                <w:b/>
                <w:spacing w:val="-2"/>
                <w:sz w:val="21"/>
              </w:rPr>
              <w:t>本项目采购</w:t>
            </w:r>
            <w:r>
              <w:rPr>
                <w:rFonts w:hint="eastAsia"/>
                <w:b/>
                <w:spacing w:val="-2"/>
                <w:sz w:val="21"/>
                <w:lang w:eastAsia="zh-CN"/>
              </w:rPr>
              <w:t>预算</w:t>
            </w:r>
            <w:r>
              <w:rPr>
                <w:b/>
                <w:spacing w:val="-2"/>
                <w:sz w:val="21"/>
              </w:rPr>
              <w:t>：</w:t>
            </w:r>
            <w:r>
              <w:rPr>
                <w:rFonts w:hint="eastAsia" w:ascii="Times New Roman"/>
                <w:b/>
                <w:spacing w:val="-3"/>
                <w:sz w:val="21"/>
                <w:lang w:val="en-US" w:eastAsia="zh-CN"/>
              </w:rPr>
              <w:t>4600</w:t>
            </w:r>
            <w:r>
              <w:rPr>
                <w:b/>
                <w:spacing w:val="-14"/>
                <w:sz w:val="21"/>
              </w:rPr>
              <w:t>万元</w:t>
            </w:r>
            <w:r>
              <w:rPr>
                <w:rFonts w:hint="eastAsia"/>
                <w:b/>
                <w:spacing w:val="-14"/>
                <w:sz w:val="21"/>
                <w:lang w:val="en-US" w:eastAsia="zh-CN"/>
              </w:rPr>
              <w:t>/年</w:t>
            </w:r>
            <w:r>
              <w:rPr>
                <w:rFonts w:hint="eastAsia"/>
                <w:b/>
                <w:spacing w:val="-14"/>
                <w:sz w:val="21"/>
                <w:lang w:eastAsia="zh-CN"/>
              </w:rPr>
              <w:t>（肆仟陆佰万元整）</w:t>
            </w:r>
          </w:p>
          <w:p>
            <w:pPr>
              <w:pStyle w:val="23"/>
              <w:spacing w:before="29" w:line="290" w:lineRule="auto"/>
              <w:ind w:left="105" w:right="93"/>
              <w:rPr>
                <w:b/>
                <w:sz w:val="21"/>
              </w:rPr>
            </w:pPr>
            <w:r>
              <w:rPr>
                <w:b/>
                <w:spacing w:val="-3"/>
                <w:sz w:val="21"/>
              </w:rPr>
              <w:t>报价超出采购预算及限价，按无效报价处理。</w:t>
            </w:r>
          </w:p>
          <w:p>
            <w:pPr>
              <w:pStyle w:val="23"/>
              <w:spacing w:before="2" w:line="290" w:lineRule="auto"/>
              <w:ind w:left="105" w:right="100"/>
              <w:rPr>
                <w:sz w:val="21"/>
              </w:rPr>
            </w:pPr>
            <w:r>
              <w:rPr>
                <w:sz w:val="21"/>
              </w:rPr>
              <w:t>各投标人根据招标文件的规定，结合企业自身管理水平及市场行情自主报价，投标总报价不得超过采购预算。</w:t>
            </w:r>
          </w:p>
          <w:p>
            <w:pPr>
              <w:pStyle w:val="23"/>
              <w:spacing w:line="290" w:lineRule="auto"/>
              <w:ind w:left="105" w:right="100"/>
              <w:jc w:val="both"/>
              <w:rPr>
                <w:sz w:val="21"/>
              </w:rPr>
            </w:pPr>
            <w:r>
              <w:rPr>
                <w:sz w:val="21"/>
              </w:rPr>
              <w:t>凡因投标人对招标文件阅读疏忽或误解，或因对现场、环境、市场行情等了解不清而造成的后果和风险，由投标人负责；如投标人因此而提出索赔或服务期延长，采购人将不予批准。</w:t>
            </w:r>
          </w:p>
          <w:p>
            <w:pPr>
              <w:pStyle w:val="23"/>
              <w:spacing w:before="2" w:line="290" w:lineRule="auto"/>
              <w:ind w:left="105" w:right="100"/>
              <w:jc w:val="both"/>
              <w:rPr>
                <w:sz w:val="21"/>
              </w:rPr>
            </w:pPr>
            <w:r>
              <w:rPr>
                <w:sz w:val="21"/>
              </w:rPr>
              <w:t>投标报价中应充分考虑本保洁服务的各项内容，包括完成项目所发生的人工费、材料设备费、服务费、管理费、利润人身意外伤害险、税金以及合同包含的所有风险、责任等各项应有费用，投标人漏报或不报，采购人或采购代理机构将视为有关费用已包括在投标报价中而不予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9" w:type="dxa"/>
          </w:tcPr>
          <w:p>
            <w:pPr>
              <w:pStyle w:val="23"/>
              <w:spacing w:before="41"/>
              <w:ind w:left="6"/>
              <w:jc w:val="center"/>
              <w:rPr>
                <w:rFonts w:ascii="Times New Roman"/>
                <w:sz w:val="21"/>
              </w:rPr>
            </w:pPr>
            <w:r>
              <w:rPr>
                <w:rFonts w:ascii="Times New Roman"/>
                <w:w w:val="100"/>
                <w:sz w:val="21"/>
              </w:rPr>
              <w:t>9</w:t>
            </w:r>
          </w:p>
        </w:tc>
        <w:tc>
          <w:tcPr>
            <w:tcW w:w="2415" w:type="dxa"/>
            <w:vAlign w:val="center"/>
          </w:tcPr>
          <w:p>
            <w:pPr>
              <w:pStyle w:val="23"/>
              <w:spacing w:before="30"/>
              <w:ind w:left="137" w:right="126"/>
              <w:jc w:val="center"/>
              <w:rPr>
                <w:sz w:val="21"/>
              </w:rPr>
            </w:pPr>
            <w:r>
              <w:rPr>
                <w:sz w:val="21"/>
              </w:rPr>
              <w:t>项目用途</w:t>
            </w:r>
          </w:p>
        </w:tc>
        <w:tc>
          <w:tcPr>
            <w:tcW w:w="6735" w:type="dxa"/>
            <w:vAlign w:val="center"/>
          </w:tcPr>
          <w:p>
            <w:pPr>
              <w:pStyle w:val="23"/>
              <w:spacing w:before="30"/>
              <w:ind w:left="105"/>
              <w:jc w:val="both"/>
              <w:rPr>
                <w:sz w:val="21"/>
              </w:rPr>
            </w:pPr>
            <w:r>
              <w:rPr>
                <w:sz w:val="21"/>
              </w:rPr>
              <w:t>道路清扫保洁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819" w:type="dxa"/>
          </w:tcPr>
          <w:p>
            <w:pPr>
              <w:pStyle w:val="23"/>
              <w:rPr>
                <w:b/>
                <w:sz w:val="22"/>
              </w:rPr>
            </w:pPr>
          </w:p>
          <w:p>
            <w:pPr>
              <w:pStyle w:val="23"/>
              <w:rPr>
                <w:b/>
                <w:sz w:val="22"/>
              </w:rPr>
            </w:pPr>
          </w:p>
          <w:p>
            <w:pPr>
              <w:pStyle w:val="23"/>
              <w:rPr>
                <w:b/>
                <w:sz w:val="22"/>
              </w:rPr>
            </w:pPr>
          </w:p>
          <w:p>
            <w:pPr>
              <w:pStyle w:val="23"/>
              <w:spacing w:before="5"/>
              <w:rPr>
                <w:b/>
                <w:sz w:val="26"/>
              </w:rPr>
            </w:pPr>
          </w:p>
          <w:p>
            <w:pPr>
              <w:pStyle w:val="23"/>
              <w:ind w:left="176" w:right="170"/>
              <w:jc w:val="center"/>
              <w:rPr>
                <w:rFonts w:ascii="Times New Roman"/>
                <w:sz w:val="21"/>
              </w:rPr>
            </w:pPr>
            <w:r>
              <w:rPr>
                <w:rFonts w:ascii="Times New Roman"/>
                <w:sz w:val="21"/>
              </w:rPr>
              <w:t>10</w:t>
            </w:r>
          </w:p>
        </w:tc>
        <w:tc>
          <w:tcPr>
            <w:tcW w:w="2415" w:type="dxa"/>
            <w:vAlign w:val="center"/>
          </w:tcPr>
          <w:p>
            <w:pPr>
              <w:pStyle w:val="23"/>
              <w:jc w:val="center"/>
              <w:rPr>
                <w:b/>
                <w:sz w:val="20"/>
              </w:rPr>
            </w:pPr>
          </w:p>
          <w:p>
            <w:pPr>
              <w:pStyle w:val="23"/>
              <w:spacing w:before="147"/>
              <w:ind w:left="136" w:right="128"/>
              <w:jc w:val="center"/>
              <w:rPr>
                <w:sz w:val="21"/>
              </w:rPr>
            </w:pPr>
            <w:r>
              <w:rPr>
                <w:sz w:val="21"/>
              </w:rPr>
              <w:t>采购内容和要求</w:t>
            </w:r>
          </w:p>
        </w:tc>
        <w:tc>
          <w:tcPr>
            <w:tcW w:w="6735" w:type="dxa"/>
            <w:vAlign w:val="center"/>
          </w:tcPr>
          <w:p>
            <w:pPr>
              <w:pStyle w:val="23"/>
              <w:spacing w:before="29" w:line="290" w:lineRule="auto"/>
              <w:ind w:left="105" w:right="100"/>
              <w:jc w:val="both"/>
              <w:rPr>
                <w:rFonts w:hint="eastAsia"/>
                <w:sz w:val="21"/>
                <w:lang w:val="en-US" w:eastAsia="zh-CN"/>
              </w:rPr>
            </w:pPr>
            <w:r>
              <w:rPr>
                <w:rFonts w:hint="eastAsia"/>
                <w:sz w:val="21"/>
                <w:lang w:eastAsia="zh-CN"/>
              </w:rPr>
              <w:t>①阿克苏市城市</w:t>
            </w:r>
            <w:r>
              <w:rPr>
                <w:rFonts w:hint="eastAsia"/>
                <w:sz w:val="21"/>
                <w:lang w:val="en-US" w:eastAsia="zh-CN"/>
              </w:rPr>
              <w:t>68条主次干道约921万平方米（约13808亩）的道路清扫保洁，分为4界，东至温宿机场大道、西至西大桥阿瓦提路口、南至纺织工业城第一路口、北至阿温路中等职业技术学校。②城区35座公厕管护。③城区285万平方米（4283亩）园林绿化管养，包括儿童公园、胡杨林公园、新伟游园、世纪广场和西广场。④环卫一体化智慧平台软件建设。</w:t>
            </w:r>
          </w:p>
          <w:p>
            <w:pPr>
              <w:pStyle w:val="23"/>
              <w:spacing w:before="29" w:line="290" w:lineRule="auto"/>
              <w:ind w:left="105" w:right="100"/>
              <w:jc w:val="both"/>
              <w:rPr>
                <w:rFonts w:hint="eastAsia" w:ascii="Times New Roman" w:eastAsia="宋体"/>
                <w:sz w:val="21"/>
                <w:lang w:eastAsia="zh-CN"/>
              </w:rPr>
            </w:pPr>
            <w:r>
              <w:rPr>
                <w:sz w:val="21"/>
              </w:rPr>
              <w:t>内容和要求须达到</w:t>
            </w:r>
            <w:r>
              <w:rPr>
                <w:rFonts w:hint="eastAsia"/>
                <w:sz w:val="21"/>
                <w:lang w:eastAsia="zh-CN"/>
              </w:rPr>
              <w:t>业主方对</w:t>
            </w:r>
            <w:r>
              <w:rPr>
                <w:sz w:val="21"/>
              </w:rPr>
              <w:t>城市道路清扫保洁技术规范</w:t>
            </w:r>
            <w:r>
              <w:rPr>
                <w:rFonts w:hint="eastAsia"/>
                <w:sz w:val="21"/>
                <w:lang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19" w:type="dxa"/>
            <w:vAlign w:val="center"/>
          </w:tcPr>
          <w:p>
            <w:pPr>
              <w:pStyle w:val="23"/>
              <w:spacing w:before="41"/>
              <w:ind w:left="176" w:right="170"/>
              <w:jc w:val="center"/>
              <w:rPr>
                <w:rFonts w:ascii="Times New Roman"/>
                <w:sz w:val="21"/>
              </w:rPr>
            </w:pPr>
            <w:r>
              <w:rPr>
                <w:rFonts w:ascii="Times New Roman"/>
                <w:sz w:val="21"/>
              </w:rPr>
              <w:t>11</w:t>
            </w:r>
          </w:p>
        </w:tc>
        <w:tc>
          <w:tcPr>
            <w:tcW w:w="2415" w:type="dxa"/>
            <w:vAlign w:val="center"/>
          </w:tcPr>
          <w:p>
            <w:pPr>
              <w:pStyle w:val="23"/>
              <w:spacing w:before="29"/>
              <w:ind w:left="137" w:right="126"/>
              <w:jc w:val="center"/>
              <w:rPr>
                <w:sz w:val="21"/>
              </w:rPr>
            </w:pPr>
            <w:r>
              <w:rPr>
                <w:sz w:val="21"/>
              </w:rPr>
              <w:t>服务期</w:t>
            </w:r>
          </w:p>
        </w:tc>
        <w:tc>
          <w:tcPr>
            <w:tcW w:w="6735" w:type="dxa"/>
            <w:vAlign w:val="center"/>
          </w:tcPr>
          <w:p>
            <w:pPr>
              <w:pStyle w:val="23"/>
              <w:spacing w:before="29"/>
              <w:ind w:left="105"/>
              <w:jc w:val="left"/>
              <w:rPr>
                <w:sz w:val="21"/>
              </w:rPr>
            </w:pPr>
            <w:r>
              <w:rPr>
                <w:sz w:val="21"/>
              </w:rPr>
              <w:t>服务期：</w:t>
            </w:r>
            <w:r>
              <w:rPr>
                <w:b/>
                <w:sz w:val="21"/>
              </w:rPr>
              <w:t>自合同签订</w:t>
            </w:r>
            <w:r>
              <w:rPr>
                <w:rFonts w:hint="eastAsia"/>
                <w:b/>
                <w:sz w:val="21"/>
                <w:lang w:eastAsia="zh-CN"/>
              </w:rPr>
              <w:t>后</w:t>
            </w:r>
            <w:r>
              <w:rPr>
                <w:rFonts w:hint="eastAsia"/>
                <w:b/>
                <w:sz w:val="21"/>
                <w:lang w:val="en-US" w:eastAsia="zh-CN"/>
              </w:rPr>
              <w:t>10年</w:t>
            </w:r>
            <w:r>
              <w:rPr>
                <w:sz w:val="21"/>
              </w:rPr>
              <w:t>；</w:t>
            </w:r>
          </w:p>
        </w:tc>
      </w:tr>
    </w:tbl>
    <w:p>
      <w:pPr>
        <w:spacing w:after="0"/>
        <w:rPr>
          <w:sz w:val="21"/>
        </w:rPr>
        <w:sectPr>
          <w:pgSz w:w="11910" w:h="16840"/>
          <w:pgMar w:top="1360" w:right="740" w:bottom="1080" w:left="740" w:header="880" w:footer="887" w:gutter="0"/>
        </w:sectPr>
      </w:pPr>
    </w:p>
    <w:p>
      <w:pPr>
        <w:pStyle w:val="12"/>
        <w:spacing w:before="5"/>
        <w:rPr>
          <w:rFonts w:ascii="Times New Roman"/>
          <w:sz w:val="6"/>
        </w:rPr>
      </w:pPr>
    </w:p>
    <w:tbl>
      <w:tblPr>
        <w:tblStyle w:val="17"/>
        <w:tblW w:w="0" w:type="auto"/>
        <w:tblInd w:w="2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
        <w:gridCol w:w="2415"/>
        <w:gridCol w:w="6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819" w:type="dxa"/>
          </w:tcPr>
          <w:p>
            <w:pPr>
              <w:pStyle w:val="23"/>
              <w:rPr>
                <w:rFonts w:ascii="Times New Roman"/>
                <w:sz w:val="20"/>
              </w:rPr>
            </w:pPr>
          </w:p>
        </w:tc>
        <w:tc>
          <w:tcPr>
            <w:tcW w:w="2415" w:type="dxa"/>
            <w:vAlign w:val="center"/>
          </w:tcPr>
          <w:p>
            <w:pPr>
              <w:pStyle w:val="23"/>
              <w:spacing w:before="29"/>
              <w:ind w:left="137" w:right="126"/>
              <w:jc w:val="center"/>
              <w:rPr>
                <w:sz w:val="21"/>
              </w:rPr>
            </w:pPr>
            <w:r>
              <w:rPr>
                <w:sz w:val="21"/>
              </w:rPr>
              <w:t>服务地点</w:t>
            </w:r>
          </w:p>
        </w:tc>
        <w:tc>
          <w:tcPr>
            <w:tcW w:w="6735" w:type="dxa"/>
            <w:vAlign w:val="center"/>
          </w:tcPr>
          <w:p>
            <w:pPr>
              <w:pStyle w:val="23"/>
              <w:spacing w:before="29"/>
              <w:ind w:left="105"/>
              <w:jc w:val="left"/>
              <w:rPr>
                <w:rFonts w:hint="eastAsia" w:eastAsia="宋体"/>
                <w:sz w:val="21"/>
                <w:lang w:val="en-US" w:eastAsia="zh-CN"/>
              </w:rPr>
            </w:pPr>
            <w:r>
              <w:rPr>
                <w:sz w:val="21"/>
              </w:rPr>
              <w:t>服务地点：</w:t>
            </w:r>
            <w:r>
              <w:rPr>
                <w:rFonts w:hint="eastAsia"/>
                <w:sz w:val="21"/>
                <w:lang w:eastAsia="zh-CN"/>
              </w:rPr>
              <w:t>阿克苏市城市管理行政执法局</w:t>
            </w:r>
            <w:r>
              <w:rPr>
                <w:sz w:val="21"/>
              </w:rPr>
              <w:t>指定</w:t>
            </w:r>
            <w:r>
              <w:rPr>
                <w:rFonts w:hint="eastAsia"/>
                <w:sz w:val="21"/>
                <w:lang w:eastAsia="zh-CN"/>
              </w:rPr>
              <w:t>本次</w:t>
            </w:r>
            <w:r>
              <w:rPr>
                <w:sz w:val="21"/>
              </w:rPr>
              <w:t>地点</w:t>
            </w:r>
            <w:r>
              <w:rPr>
                <w:rFonts w:hint="eastAsia"/>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819" w:type="dxa"/>
          </w:tcPr>
          <w:p>
            <w:pPr>
              <w:pStyle w:val="23"/>
              <w:spacing w:before="9"/>
              <w:rPr>
                <w:rFonts w:ascii="Times New Roman"/>
                <w:sz w:val="17"/>
              </w:rPr>
            </w:pPr>
          </w:p>
          <w:p>
            <w:pPr>
              <w:pStyle w:val="23"/>
              <w:ind w:right="293"/>
              <w:jc w:val="right"/>
              <w:rPr>
                <w:rFonts w:ascii="Times New Roman"/>
                <w:sz w:val="21"/>
              </w:rPr>
            </w:pPr>
            <w:r>
              <w:rPr>
                <w:rFonts w:ascii="Times New Roman"/>
                <w:sz w:val="21"/>
              </w:rPr>
              <w:t>12</w:t>
            </w:r>
          </w:p>
        </w:tc>
        <w:tc>
          <w:tcPr>
            <w:tcW w:w="2415" w:type="dxa"/>
            <w:vAlign w:val="center"/>
          </w:tcPr>
          <w:p>
            <w:pPr>
              <w:pStyle w:val="23"/>
              <w:spacing w:before="9"/>
              <w:jc w:val="center"/>
              <w:rPr>
                <w:rFonts w:ascii="Times New Roman"/>
                <w:sz w:val="16"/>
              </w:rPr>
            </w:pPr>
          </w:p>
          <w:p>
            <w:pPr>
              <w:pStyle w:val="23"/>
              <w:ind w:left="137" w:right="126"/>
              <w:jc w:val="center"/>
              <w:rPr>
                <w:sz w:val="21"/>
              </w:rPr>
            </w:pPr>
            <w:r>
              <w:rPr>
                <w:sz w:val="21"/>
              </w:rPr>
              <w:t>服务</w:t>
            </w:r>
            <w:r>
              <w:rPr>
                <w:rFonts w:hint="eastAsia"/>
                <w:sz w:val="21"/>
                <w:lang w:val="en-US" w:eastAsia="zh-CN"/>
              </w:rPr>
              <w:t>概况及</w:t>
            </w:r>
            <w:r>
              <w:rPr>
                <w:sz w:val="21"/>
              </w:rPr>
              <w:t>标准</w:t>
            </w:r>
          </w:p>
        </w:tc>
        <w:tc>
          <w:tcPr>
            <w:tcW w:w="6735" w:type="dxa"/>
            <w:vAlign w:val="center"/>
          </w:tcPr>
          <w:p>
            <w:pPr>
              <w:pStyle w:val="23"/>
              <w:spacing w:before="29"/>
              <w:ind w:left="105"/>
              <w:jc w:val="left"/>
              <w:rPr>
                <w:rFonts w:hint="eastAsia"/>
                <w:sz w:val="21"/>
                <w:lang w:val="en-US" w:eastAsia="zh-CN"/>
              </w:rPr>
            </w:pPr>
            <w:r>
              <w:rPr>
                <w:rFonts w:hint="eastAsia"/>
                <w:sz w:val="21"/>
                <w:lang w:val="zh-CN" w:eastAsia="zh-CN"/>
              </w:rPr>
              <w:t>阿克苏市城市</w:t>
            </w:r>
            <w:r>
              <w:rPr>
                <w:rFonts w:hint="eastAsia"/>
                <w:sz w:val="21"/>
                <w:lang w:val="en-US" w:eastAsia="zh-CN"/>
              </w:rPr>
              <w:t>68条主次干道约921万平方米（约13808亩）道路保洁清扫、35座公厕管护；城区285万平方米（4283亩）园林绿化管养，智慧环卫平台建设、车辆运营费用(环卫车辆采用有偿租赁的方式移交承包方，由第三方评估机构对移交的车辆进行核价并评估使用年限，在此基础上，确定租赁费用。移交使用期间，设备、设施及车辆的维护、修理、事故处理等费用由承包人承担。</w:t>
            </w:r>
          </w:p>
          <w:p>
            <w:pPr>
              <w:pStyle w:val="23"/>
              <w:spacing w:before="29"/>
              <w:ind w:left="105"/>
              <w:jc w:val="left"/>
              <w:rPr>
                <w:rFonts w:hint="eastAsia" w:eastAsia="宋体"/>
                <w:sz w:val="21"/>
                <w:lang w:val="en-US" w:eastAsia="zh-CN"/>
              </w:rPr>
            </w:pPr>
            <w:r>
              <w:rPr>
                <w:rFonts w:hint="eastAsia"/>
                <w:sz w:val="21"/>
                <w:lang w:eastAsia="zh-CN"/>
              </w:rPr>
              <w:t>达到业主方城市道路清扫保洁技术规范 及招标文件所要求的标准及要求。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7" w:hRule="atLeast"/>
        </w:trPr>
        <w:tc>
          <w:tcPr>
            <w:tcW w:w="819" w:type="dxa"/>
          </w:tcPr>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spacing w:before="143"/>
              <w:ind w:right="293"/>
              <w:jc w:val="right"/>
              <w:rPr>
                <w:rFonts w:ascii="Times New Roman"/>
                <w:sz w:val="21"/>
              </w:rPr>
            </w:pPr>
            <w:r>
              <w:rPr>
                <w:rFonts w:ascii="Times New Roman"/>
                <w:sz w:val="21"/>
              </w:rPr>
              <w:t>13</w:t>
            </w:r>
          </w:p>
        </w:tc>
        <w:tc>
          <w:tcPr>
            <w:tcW w:w="2415" w:type="dxa"/>
          </w:tcPr>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spacing w:before="4"/>
              <w:rPr>
                <w:rFonts w:ascii="Times New Roman"/>
                <w:sz w:val="25"/>
              </w:rPr>
            </w:pPr>
          </w:p>
          <w:p>
            <w:pPr>
              <w:pStyle w:val="23"/>
              <w:spacing w:before="1"/>
              <w:ind w:left="136" w:right="128"/>
              <w:jc w:val="center"/>
              <w:rPr>
                <w:sz w:val="21"/>
              </w:rPr>
            </w:pPr>
            <w:r>
              <w:rPr>
                <w:sz w:val="21"/>
              </w:rPr>
              <w:t>投标人资格要求</w:t>
            </w:r>
          </w:p>
        </w:tc>
        <w:tc>
          <w:tcPr>
            <w:tcW w:w="6735" w:type="dxa"/>
          </w:tcPr>
          <w:p>
            <w:pPr>
              <w:pStyle w:val="23"/>
              <w:spacing w:before="30" w:line="290" w:lineRule="auto"/>
              <w:ind w:left="105" w:right="91"/>
              <w:rPr>
                <w:sz w:val="21"/>
              </w:rPr>
            </w:pPr>
            <w:r>
              <w:rPr>
                <w:rFonts w:ascii="Times New Roman" w:eastAsia="Times New Roman"/>
                <w:sz w:val="21"/>
              </w:rPr>
              <w:t>1</w:t>
            </w:r>
            <w:r>
              <w:rPr>
                <w:spacing w:val="-10"/>
                <w:sz w:val="21"/>
              </w:rPr>
              <w:t>、符合《中华人民共和国政府采购法》第二十二条及《中华人民共和国</w:t>
            </w:r>
            <w:r>
              <w:rPr>
                <w:spacing w:val="-5"/>
                <w:sz w:val="21"/>
              </w:rPr>
              <w:t>政府采购法实施条例》第十七条规定的供应商条件：</w:t>
            </w:r>
          </w:p>
          <w:p>
            <w:pPr>
              <w:pStyle w:val="23"/>
              <w:numPr>
                <w:ilvl w:val="0"/>
                <w:numId w:val="0"/>
              </w:numPr>
              <w:tabs>
                <w:tab w:val="left" w:pos="635"/>
              </w:tabs>
              <w:spacing w:before="1" w:after="0" w:line="290" w:lineRule="auto"/>
              <w:ind w:left="105" w:leftChars="0" w:right="91" w:rightChars="0"/>
              <w:jc w:val="both"/>
              <w:rPr>
                <w:spacing w:val="-5"/>
                <w:sz w:val="21"/>
              </w:rPr>
            </w:pPr>
            <w:r>
              <w:rPr>
                <w:rFonts w:hint="eastAsia"/>
                <w:spacing w:val="-6"/>
                <w:sz w:val="21"/>
                <w:lang w:eastAsia="zh-CN"/>
              </w:rPr>
              <w:t>（</w:t>
            </w:r>
            <w:r>
              <w:rPr>
                <w:rFonts w:hint="eastAsia"/>
                <w:spacing w:val="-6"/>
                <w:sz w:val="21"/>
                <w:lang w:val="en-US" w:eastAsia="zh-CN"/>
              </w:rPr>
              <w:t>1</w:t>
            </w:r>
            <w:r>
              <w:rPr>
                <w:rFonts w:hint="eastAsia"/>
                <w:spacing w:val="-6"/>
                <w:sz w:val="21"/>
                <w:lang w:eastAsia="zh-CN"/>
              </w:rPr>
              <w:t>）</w:t>
            </w:r>
            <w:r>
              <w:rPr>
                <w:spacing w:val="-6"/>
                <w:sz w:val="21"/>
              </w:rPr>
              <w:t>具有独立承担民事责任能力的法人或其他组织，提供有效存续的</w:t>
            </w:r>
            <w:r>
              <w:rPr>
                <w:spacing w:val="-5"/>
                <w:sz w:val="21"/>
              </w:rPr>
              <w:t>营业执照或事业单位法人证书或非企业专业服务机构执业许可证或民办</w:t>
            </w:r>
            <w:r>
              <w:rPr>
                <w:spacing w:val="-4"/>
                <w:sz w:val="21"/>
              </w:rPr>
              <w:t>非企</w:t>
            </w:r>
            <w:r>
              <w:rPr>
                <w:spacing w:val="-5"/>
                <w:sz w:val="21"/>
              </w:rPr>
              <w:t>业单位登记证书；</w:t>
            </w:r>
          </w:p>
          <w:p>
            <w:pPr>
              <w:pStyle w:val="23"/>
              <w:numPr>
                <w:ilvl w:val="0"/>
                <w:numId w:val="0"/>
              </w:numPr>
              <w:tabs>
                <w:tab w:val="left" w:pos="635"/>
              </w:tabs>
              <w:spacing w:before="1" w:after="0" w:line="290" w:lineRule="auto"/>
              <w:ind w:left="105" w:leftChars="0" w:right="91" w:rightChars="0"/>
              <w:jc w:val="both"/>
              <w:rPr>
                <w:sz w:val="21"/>
                <w:highlight w:val="yellow"/>
              </w:rPr>
            </w:pPr>
            <w:r>
              <w:rPr>
                <w:rFonts w:hint="eastAsia"/>
                <w:spacing w:val="-5"/>
                <w:sz w:val="21"/>
                <w:lang w:eastAsia="zh-CN"/>
              </w:rPr>
              <w:t>（</w:t>
            </w:r>
            <w:r>
              <w:rPr>
                <w:rFonts w:hint="eastAsia"/>
                <w:spacing w:val="-5"/>
                <w:sz w:val="21"/>
                <w:lang w:val="en-US" w:eastAsia="zh-CN"/>
              </w:rPr>
              <w:t>2</w:t>
            </w:r>
            <w:r>
              <w:rPr>
                <w:rFonts w:hint="eastAsia"/>
                <w:spacing w:val="-5"/>
                <w:sz w:val="21"/>
                <w:lang w:eastAsia="zh-CN"/>
              </w:rPr>
              <w:t>）</w:t>
            </w:r>
            <w:r>
              <w:rPr>
                <w:spacing w:val="-5"/>
                <w:sz w:val="21"/>
              </w:rPr>
              <w:t xml:space="preserve">财务状况报告：提供审计事务所出具的 </w:t>
            </w:r>
            <w:r>
              <w:rPr>
                <w:rFonts w:hint="eastAsia"/>
                <w:spacing w:val="-5"/>
                <w:sz w:val="21"/>
                <w:lang w:val="en-US" w:eastAsia="zh-CN"/>
              </w:rPr>
              <w:t>2017、2018、2019</w:t>
            </w:r>
            <w:r>
              <w:rPr>
                <w:spacing w:val="-5"/>
                <w:sz w:val="21"/>
              </w:rPr>
              <w:t xml:space="preserve"> 年度的财务报告（至少包括审计报告、资产负债表和利润表，成立时间至提交投标</w:t>
            </w:r>
            <w:r>
              <w:rPr>
                <w:spacing w:val="-3"/>
                <w:sz w:val="21"/>
                <w:highlight w:val="none"/>
              </w:rPr>
              <w:t>文件截止时间不足一年的可提供</w:t>
            </w:r>
            <w:r>
              <w:rPr>
                <w:rFonts w:hint="eastAsia"/>
                <w:spacing w:val="-3"/>
                <w:sz w:val="21"/>
                <w:highlight w:val="none"/>
                <w:lang w:eastAsia="zh-CN"/>
              </w:rPr>
              <w:t>企业</w:t>
            </w:r>
            <w:r>
              <w:rPr>
                <w:spacing w:val="-3"/>
                <w:sz w:val="21"/>
                <w:highlight w:val="none"/>
              </w:rPr>
              <w:t>成立后</w:t>
            </w:r>
            <w:r>
              <w:rPr>
                <w:rFonts w:hint="eastAsia"/>
                <w:spacing w:val="-3"/>
                <w:sz w:val="21"/>
                <w:highlight w:val="none"/>
                <w:lang w:eastAsia="zh-CN"/>
              </w:rPr>
              <w:t>到至今</w:t>
            </w:r>
            <w:r>
              <w:rPr>
                <w:spacing w:val="-3"/>
                <w:sz w:val="21"/>
                <w:highlight w:val="none"/>
              </w:rPr>
              <w:t>的资产负债表</w:t>
            </w:r>
            <w:r>
              <w:rPr>
                <w:sz w:val="21"/>
                <w:highlight w:val="none"/>
              </w:rPr>
              <w:t>）</w:t>
            </w:r>
          </w:p>
          <w:p>
            <w:pPr>
              <w:pStyle w:val="23"/>
              <w:numPr>
                <w:ilvl w:val="0"/>
                <w:numId w:val="0"/>
              </w:numPr>
              <w:tabs>
                <w:tab w:val="left" w:pos="635"/>
              </w:tabs>
              <w:spacing w:before="4" w:after="0" w:line="290" w:lineRule="auto"/>
              <w:ind w:left="105" w:leftChars="0" w:right="91" w:rightChars="0"/>
              <w:jc w:val="both"/>
              <w:rPr>
                <w:sz w:val="21"/>
              </w:rPr>
            </w:pPr>
            <w:r>
              <w:rPr>
                <w:rFonts w:hint="eastAsia"/>
                <w:spacing w:val="-9"/>
                <w:sz w:val="21"/>
                <w:lang w:eastAsia="zh-CN"/>
              </w:rPr>
              <w:t>（</w:t>
            </w:r>
            <w:r>
              <w:rPr>
                <w:rFonts w:hint="eastAsia"/>
                <w:spacing w:val="-9"/>
                <w:sz w:val="21"/>
                <w:lang w:val="en-US" w:eastAsia="zh-CN"/>
              </w:rPr>
              <w:t>3</w:t>
            </w:r>
            <w:r>
              <w:rPr>
                <w:rFonts w:hint="eastAsia"/>
                <w:spacing w:val="-9"/>
                <w:sz w:val="21"/>
                <w:lang w:eastAsia="zh-CN"/>
              </w:rPr>
              <w:t>）</w:t>
            </w:r>
            <w:r>
              <w:rPr>
                <w:spacing w:val="-9"/>
                <w:sz w:val="21"/>
              </w:rPr>
              <w:t>税收缴纳证明：提供</w:t>
            </w:r>
            <w:r>
              <w:rPr>
                <w:rFonts w:hint="eastAsia"/>
                <w:spacing w:val="-9"/>
                <w:sz w:val="21"/>
                <w:lang w:eastAsia="zh-CN"/>
              </w:rPr>
              <w:t>企业近一年的</w:t>
            </w:r>
            <w:r>
              <w:rPr>
                <w:spacing w:val="-9"/>
                <w:sz w:val="21"/>
              </w:rPr>
              <w:t>纳税证</w:t>
            </w:r>
            <w:r>
              <w:rPr>
                <w:spacing w:val="-6"/>
                <w:sz w:val="21"/>
              </w:rPr>
              <w:t>明或完税证明，纳税证明或完税证明上应有代收机构或税务机关的公章</w:t>
            </w:r>
            <w:r>
              <w:rPr>
                <w:spacing w:val="-5"/>
                <w:sz w:val="21"/>
              </w:rPr>
              <w:t>。依法免税的供应商应提供相关文件证明；</w:t>
            </w:r>
          </w:p>
          <w:p>
            <w:pPr>
              <w:pStyle w:val="23"/>
              <w:numPr>
                <w:ilvl w:val="0"/>
                <w:numId w:val="0"/>
              </w:numPr>
              <w:tabs>
                <w:tab w:val="left" w:pos="635"/>
              </w:tabs>
              <w:spacing w:before="0" w:after="0" w:line="240" w:lineRule="auto"/>
              <w:ind w:left="104" w:leftChars="0" w:right="-15" w:rightChars="0"/>
              <w:jc w:val="left"/>
              <w:rPr>
                <w:sz w:val="21"/>
              </w:rPr>
            </w:pPr>
            <w:r>
              <w:rPr>
                <w:rFonts w:hint="eastAsia"/>
                <w:spacing w:val="-3"/>
                <w:sz w:val="21"/>
                <w:lang w:eastAsia="zh-CN"/>
              </w:rPr>
              <w:t>（</w:t>
            </w:r>
            <w:r>
              <w:rPr>
                <w:rFonts w:hint="eastAsia"/>
                <w:spacing w:val="-3"/>
                <w:sz w:val="21"/>
                <w:lang w:val="en-US" w:eastAsia="zh-CN"/>
              </w:rPr>
              <w:t>4</w:t>
            </w:r>
            <w:r>
              <w:rPr>
                <w:rFonts w:hint="eastAsia"/>
                <w:spacing w:val="-3"/>
                <w:sz w:val="21"/>
                <w:lang w:eastAsia="zh-CN"/>
              </w:rPr>
              <w:t>）</w:t>
            </w:r>
            <w:r>
              <w:rPr>
                <w:spacing w:val="-3"/>
                <w:sz w:val="21"/>
              </w:rPr>
              <w:t>供应商须提供具有履行合同所必需的设备和专业技术能力的承诺；</w:t>
            </w:r>
          </w:p>
          <w:p>
            <w:pPr>
              <w:pStyle w:val="23"/>
              <w:numPr>
                <w:ilvl w:val="0"/>
                <w:numId w:val="0"/>
              </w:numPr>
              <w:tabs>
                <w:tab w:val="left" w:pos="635"/>
              </w:tabs>
              <w:spacing w:before="58" w:after="0" w:line="290" w:lineRule="auto"/>
              <w:ind w:left="105" w:leftChars="0" w:right="91" w:rightChars="0"/>
              <w:jc w:val="both"/>
              <w:rPr>
                <w:sz w:val="21"/>
              </w:rPr>
            </w:pPr>
            <w:r>
              <w:rPr>
                <w:rFonts w:hint="eastAsia"/>
                <w:spacing w:val="-8"/>
                <w:sz w:val="21"/>
                <w:lang w:eastAsia="zh-CN"/>
              </w:rPr>
              <w:t>（</w:t>
            </w:r>
            <w:r>
              <w:rPr>
                <w:rFonts w:hint="eastAsia"/>
                <w:spacing w:val="-8"/>
                <w:sz w:val="21"/>
                <w:lang w:val="en-US" w:eastAsia="zh-CN"/>
              </w:rPr>
              <w:t>5</w:t>
            </w:r>
            <w:r>
              <w:rPr>
                <w:rFonts w:hint="eastAsia"/>
                <w:spacing w:val="-8"/>
                <w:sz w:val="21"/>
                <w:lang w:eastAsia="zh-CN"/>
              </w:rPr>
              <w:t>）</w:t>
            </w:r>
            <w:r>
              <w:rPr>
                <w:spacing w:val="-8"/>
                <w:sz w:val="21"/>
              </w:rPr>
              <w:t>社会保障资金缴纳证明：提供已缴存的</w:t>
            </w:r>
            <w:r>
              <w:rPr>
                <w:rFonts w:hint="eastAsia"/>
                <w:spacing w:val="-8"/>
                <w:sz w:val="21"/>
                <w:lang w:eastAsia="zh-CN"/>
              </w:rPr>
              <w:t>近六个月</w:t>
            </w:r>
            <w:r>
              <w:rPr>
                <w:spacing w:val="-8"/>
                <w:sz w:val="21"/>
              </w:rPr>
              <w:t>月份</w:t>
            </w:r>
            <w:r>
              <w:rPr>
                <w:spacing w:val="-6"/>
                <w:sz w:val="21"/>
              </w:rPr>
              <w:t>的社会保障资金缴存单据或社保机构开具的社会保险参保缴费情况证明</w:t>
            </w:r>
            <w:r>
              <w:rPr>
                <w:spacing w:val="-5"/>
                <w:sz w:val="21"/>
              </w:rPr>
              <w:t>，单据或证明上应有社保机构或代收机构的公章。</w:t>
            </w:r>
            <w:r>
              <w:rPr>
                <w:rFonts w:hint="eastAsia"/>
                <w:spacing w:val="-5"/>
                <w:sz w:val="21"/>
                <w:lang w:eastAsia="zh-CN"/>
              </w:rPr>
              <w:t>法人或其委托代理人必须在其中。</w:t>
            </w:r>
            <w:r>
              <w:rPr>
                <w:spacing w:val="-5"/>
                <w:sz w:val="21"/>
              </w:rPr>
              <w:t>依法不需要缴纳社会</w:t>
            </w:r>
            <w:r>
              <w:rPr>
                <w:spacing w:val="-4"/>
                <w:sz w:val="21"/>
              </w:rPr>
              <w:t>保障资金的供应商应提供相关文件证明；</w:t>
            </w:r>
          </w:p>
          <w:p>
            <w:pPr>
              <w:pStyle w:val="23"/>
              <w:numPr>
                <w:ilvl w:val="0"/>
                <w:numId w:val="0"/>
              </w:numPr>
              <w:tabs>
                <w:tab w:val="left" w:pos="635"/>
              </w:tabs>
              <w:spacing w:before="3" w:after="0" w:line="290" w:lineRule="auto"/>
              <w:ind w:left="105" w:leftChars="0" w:right="91" w:rightChars="0"/>
              <w:jc w:val="both"/>
              <w:rPr>
                <w:sz w:val="21"/>
              </w:rPr>
            </w:pPr>
            <w:r>
              <w:rPr>
                <w:rFonts w:hint="eastAsia"/>
                <w:spacing w:val="-3"/>
                <w:sz w:val="21"/>
                <w:lang w:eastAsia="zh-CN"/>
              </w:rPr>
              <w:t>（</w:t>
            </w:r>
            <w:r>
              <w:rPr>
                <w:rFonts w:hint="eastAsia"/>
                <w:spacing w:val="-3"/>
                <w:sz w:val="21"/>
                <w:lang w:val="en-US" w:eastAsia="zh-CN"/>
              </w:rPr>
              <w:t>6</w:t>
            </w:r>
            <w:r>
              <w:rPr>
                <w:rFonts w:hint="eastAsia"/>
                <w:spacing w:val="-3"/>
                <w:sz w:val="21"/>
                <w:lang w:eastAsia="zh-CN"/>
              </w:rPr>
              <w:t>）</w:t>
            </w:r>
            <w:r>
              <w:rPr>
                <w:spacing w:val="-3"/>
                <w:sz w:val="21"/>
              </w:rPr>
              <w:t>出具参加本次政府采购活动前三年内在经营活动中没有重大违法记录（包括但不限于未被列入失信被执行人、重大税收违法案件当事人名单、政府采购严重违法失信行为记录名单</w:t>
            </w:r>
            <w:r>
              <w:rPr>
                <w:sz w:val="21"/>
              </w:rPr>
              <w:t>）</w:t>
            </w:r>
            <w:r>
              <w:rPr>
                <w:spacing w:val="-3"/>
                <w:sz w:val="21"/>
              </w:rPr>
              <w:t>的书面声明；</w:t>
            </w:r>
          </w:p>
          <w:p>
            <w:pPr>
              <w:pStyle w:val="23"/>
              <w:spacing w:before="1"/>
              <w:ind w:left="105"/>
              <w:rPr>
                <w:sz w:val="21"/>
              </w:rPr>
            </w:pPr>
            <w:r>
              <w:rPr>
                <w:rFonts w:ascii="Times New Roman" w:eastAsia="Times New Roman"/>
                <w:sz w:val="21"/>
              </w:rPr>
              <w:t>2</w:t>
            </w:r>
            <w:r>
              <w:rPr>
                <w:rFonts w:hint="eastAsia" w:ascii="Times New Roman" w:eastAsia="宋体"/>
                <w:sz w:val="21"/>
                <w:lang w:eastAsia="zh-CN"/>
              </w:rPr>
              <w:t>、</w:t>
            </w:r>
            <w:r>
              <w:rPr>
                <w:sz w:val="21"/>
              </w:rPr>
              <w:t>法定代表人授权书（附法定代表人身份证复印件）及被授权人身份证</w:t>
            </w:r>
          </w:p>
          <w:p>
            <w:pPr>
              <w:pStyle w:val="23"/>
              <w:spacing w:before="57" w:line="290" w:lineRule="auto"/>
              <w:ind w:left="105" w:right="100"/>
              <w:rPr>
                <w:sz w:val="21"/>
              </w:rPr>
            </w:pPr>
            <w:r>
              <w:rPr>
                <w:sz w:val="21"/>
              </w:rPr>
              <w:t>（法定代表人直接参加投标只需提供法定代表人身份证）。</w:t>
            </w:r>
          </w:p>
          <w:p>
            <w:pPr>
              <w:pStyle w:val="23"/>
              <w:spacing w:before="2"/>
              <w:ind w:left="105"/>
              <w:rPr>
                <w:sz w:val="21"/>
              </w:rPr>
            </w:pPr>
            <w:r>
              <w:rPr>
                <w:rFonts w:ascii="Times New Roman" w:eastAsia="Times New Roman"/>
                <w:sz w:val="21"/>
              </w:rPr>
              <w:t>3</w:t>
            </w:r>
            <w:r>
              <w:rPr>
                <w:sz w:val="21"/>
              </w:rPr>
              <w:t>、投标保证金交纳凭证；</w:t>
            </w:r>
          </w:p>
          <w:p>
            <w:pPr>
              <w:pStyle w:val="23"/>
              <w:spacing w:before="55"/>
              <w:ind w:left="105"/>
              <w:rPr>
                <w:sz w:val="21"/>
              </w:rPr>
            </w:pPr>
            <w:r>
              <w:rPr>
                <w:rFonts w:ascii="Times New Roman" w:eastAsia="Times New Roman"/>
                <w:sz w:val="21"/>
              </w:rPr>
              <w:t>4</w:t>
            </w:r>
            <w:r>
              <w:rPr>
                <w:sz w:val="21"/>
              </w:rPr>
              <w:t>、本项目不接受联合体投标。</w:t>
            </w:r>
          </w:p>
          <w:p>
            <w:pPr>
              <w:pStyle w:val="23"/>
              <w:spacing w:before="55"/>
              <w:ind w:left="105"/>
              <w:rPr>
                <w:rFonts w:hint="eastAsia" w:eastAsia="宋体"/>
                <w:sz w:val="21"/>
                <w:lang w:eastAsia="zh-CN"/>
              </w:rPr>
            </w:pPr>
            <w:r>
              <w:rPr>
                <w:rFonts w:hint="eastAsia" w:ascii="宋体" w:hAnsi="宋体" w:eastAsia="宋体" w:cs="宋体"/>
                <w:b/>
                <w:sz w:val="21"/>
                <w:lang w:eastAsia="zh-CN"/>
              </w:rPr>
              <w:t>以上资料开标时须携带原件及复印件一份并加盖公章。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819" w:type="dxa"/>
          </w:tcPr>
          <w:p>
            <w:pPr>
              <w:pStyle w:val="23"/>
              <w:rPr>
                <w:rFonts w:ascii="Times New Roman"/>
                <w:sz w:val="20"/>
              </w:rPr>
            </w:pPr>
          </w:p>
          <w:p>
            <w:pPr>
              <w:pStyle w:val="23"/>
              <w:rPr>
                <w:rFonts w:ascii="Times New Roman"/>
                <w:sz w:val="20"/>
              </w:rPr>
            </w:pPr>
          </w:p>
          <w:p>
            <w:pPr>
              <w:pStyle w:val="23"/>
              <w:spacing w:before="2"/>
              <w:rPr>
                <w:rFonts w:ascii="Times New Roman"/>
                <w:sz w:val="25"/>
              </w:rPr>
            </w:pPr>
          </w:p>
          <w:p>
            <w:pPr>
              <w:pStyle w:val="23"/>
              <w:ind w:right="293"/>
              <w:jc w:val="right"/>
              <w:rPr>
                <w:sz w:val="21"/>
              </w:rPr>
            </w:pPr>
            <w:r>
              <w:rPr>
                <w:sz w:val="21"/>
              </w:rPr>
              <w:t>14</w:t>
            </w:r>
          </w:p>
        </w:tc>
        <w:tc>
          <w:tcPr>
            <w:tcW w:w="2415" w:type="dxa"/>
          </w:tcPr>
          <w:p>
            <w:pPr>
              <w:pStyle w:val="23"/>
              <w:rPr>
                <w:rFonts w:ascii="Times New Roman"/>
                <w:sz w:val="20"/>
              </w:rPr>
            </w:pPr>
          </w:p>
          <w:p>
            <w:pPr>
              <w:pStyle w:val="23"/>
              <w:rPr>
                <w:rFonts w:ascii="Times New Roman"/>
                <w:sz w:val="20"/>
              </w:rPr>
            </w:pPr>
          </w:p>
          <w:p>
            <w:pPr>
              <w:pStyle w:val="23"/>
              <w:spacing w:before="2"/>
              <w:rPr>
                <w:rFonts w:ascii="Times New Roman"/>
                <w:sz w:val="25"/>
              </w:rPr>
            </w:pPr>
          </w:p>
          <w:p>
            <w:pPr>
              <w:pStyle w:val="23"/>
              <w:ind w:left="136" w:right="128"/>
              <w:jc w:val="center"/>
              <w:rPr>
                <w:sz w:val="21"/>
              </w:rPr>
            </w:pPr>
            <w:r>
              <w:rPr>
                <w:sz w:val="21"/>
              </w:rPr>
              <w:t>信誉</w:t>
            </w:r>
          </w:p>
        </w:tc>
        <w:tc>
          <w:tcPr>
            <w:tcW w:w="6735" w:type="dxa"/>
          </w:tcPr>
          <w:p>
            <w:pPr>
              <w:pStyle w:val="23"/>
              <w:spacing w:before="173" w:line="427" w:lineRule="auto"/>
              <w:ind w:left="105" w:right="96"/>
              <w:rPr>
                <w:sz w:val="21"/>
                <w:highlight w:val="none"/>
              </w:rPr>
            </w:pPr>
            <w:r>
              <w:rPr>
                <w:spacing w:val="-3"/>
                <w:sz w:val="21"/>
                <w:highlight w:val="none"/>
              </w:rPr>
              <w:t>供应商未被列入“信用中国”网站(</w:t>
            </w:r>
            <w:r>
              <w:rPr>
                <w:sz w:val="21"/>
                <w:highlight w:val="none"/>
              </w:rPr>
              <w:t>www.creditchina.gov.cn</w:t>
            </w:r>
            <w:r>
              <w:rPr>
                <w:spacing w:val="-1"/>
                <w:sz w:val="21"/>
                <w:highlight w:val="none"/>
              </w:rPr>
              <w:t>)及中国政</w:t>
            </w:r>
            <w:r>
              <w:rPr>
                <w:spacing w:val="-2"/>
                <w:sz w:val="21"/>
                <w:highlight w:val="none"/>
              </w:rPr>
              <w:t>府采购网(</w:t>
            </w:r>
            <w:r>
              <w:rPr>
                <w:spacing w:val="-1"/>
                <w:sz w:val="21"/>
                <w:highlight w:val="none"/>
              </w:rPr>
              <w:t>www.ccgp.gov.cn)</w:t>
            </w:r>
            <w:r>
              <w:rPr>
                <w:spacing w:val="-12"/>
                <w:sz w:val="21"/>
                <w:highlight w:val="none"/>
              </w:rPr>
              <w:t>失信被执行人、重大税收违法案件当事人名</w:t>
            </w:r>
          </w:p>
          <w:p>
            <w:pPr>
              <w:pStyle w:val="23"/>
              <w:spacing w:before="3"/>
              <w:ind w:left="105"/>
              <w:rPr>
                <w:sz w:val="21"/>
                <w:highlight w:val="none"/>
              </w:rPr>
            </w:pPr>
            <w:r>
              <w:rPr>
                <w:sz w:val="21"/>
                <w:highlight w:val="none"/>
              </w:rPr>
              <w:t>单、政府采购严重违法失信行为记录名单。</w:t>
            </w:r>
          </w:p>
          <w:p>
            <w:pPr>
              <w:pStyle w:val="23"/>
              <w:spacing w:before="67"/>
              <w:ind w:left="105"/>
              <w:rPr>
                <w:rFonts w:hint="eastAsia" w:eastAsia="宋体"/>
                <w:b/>
                <w:sz w:val="21"/>
                <w:lang w:eastAsia="zh-CN"/>
              </w:rPr>
            </w:pPr>
            <w:r>
              <w:rPr>
                <w:b/>
                <w:sz w:val="21"/>
              </w:rPr>
              <w:t>注：</w:t>
            </w:r>
            <w:r>
              <w:rPr>
                <w:rFonts w:hint="eastAsia"/>
                <w:b/>
                <w:sz w:val="21"/>
                <w:lang w:eastAsia="zh-CN"/>
              </w:rPr>
              <w:t>开标前投标人</w:t>
            </w:r>
            <w:r>
              <w:rPr>
                <w:rFonts w:hint="eastAsia" w:ascii="宋体" w:hAnsi="宋体" w:eastAsia="宋体" w:cs="宋体"/>
                <w:b/>
                <w:sz w:val="21"/>
                <w:lang w:eastAsia="zh-CN"/>
              </w:rPr>
              <w:t>须</w:t>
            </w:r>
            <w:r>
              <w:rPr>
                <w:rFonts w:hint="eastAsia"/>
                <w:b/>
                <w:sz w:val="21"/>
                <w:lang w:eastAsia="zh-CN"/>
              </w:rPr>
              <w:t>自行查询并打印一份加盖公章</w:t>
            </w:r>
            <w:r>
              <w:rPr>
                <w:b/>
                <w:sz w:val="21"/>
              </w:rPr>
              <w:t>。</w:t>
            </w:r>
            <w:r>
              <w:rPr>
                <w:rFonts w:hint="eastAsia"/>
                <w:b/>
                <w:sz w:val="21"/>
                <w:lang w:eastAsia="zh-CN"/>
              </w:rPr>
              <w:t>（查询日期为开标前一周内）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9" w:type="dxa"/>
          </w:tcPr>
          <w:p>
            <w:pPr>
              <w:pStyle w:val="23"/>
              <w:spacing w:before="11"/>
              <w:jc w:val="both"/>
              <w:rPr>
                <w:rFonts w:ascii="Times New Roman"/>
                <w:sz w:val="31"/>
              </w:rPr>
            </w:pPr>
          </w:p>
          <w:p>
            <w:pPr>
              <w:pStyle w:val="23"/>
              <w:ind w:right="293"/>
              <w:jc w:val="center"/>
              <w:rPr>
                <w:rFonts w:ascii="Times New Roman"/>
                <w:sz w:val="21"/>
              </w:rPr>
            </w:pPr>
            <w:r>
              <w:rPr>
                <w:rFonts w:hint="eastAsia" w:ascii="Times New Roman"/>
                <w:sz w:val="21"/>
                <w:lang w:val="en-US" w:eastAsia="zh-CN"/>
              </w:rPr>
              <w:t xml:space="preserve">    </w:t>
            </w:r>
            <w:r>
              <w:rPr>
                <w:rFonts w:ascii="Times New Roman"/>
                <w:sz w:val="21"/>
              </w:rPr>
              <w:t>15</w:t>
            </w:r>
          </w:p>
        </w:tc>
        <w:tc>
          <w:tcPr>
            <w:tcW w:w="2415" w:type="dxa"/>
            <w:vAlign w:val="center"/>
          </w:tcPr>
          <w:p>
            <w:pPr>
              <w:pStyle w:val="23"/>
              <w:spacing w:before="126"/>
              <w:ind w:right="128"/>
              <w:jc w:val="center"/>
              <w:rPr>
                <w:sz w:val="21"/>
              </w:rPr>
            </w:pPr>
            <w:r>
              <w:rPr>
                <w:sz w:val="21"/>
              </w:rPr>
              <w:t>招标文件发售</w:t>
            </w:r>
          </w:p>
        </w:tc>
        <w:tc>
          <w:tcPr>
            <w:tcW w:w="6735" w:type="dxa"/>
            <w:vAlign w:val="center"/>
          </w:tcPr>
          <w:p>
            <w:pPr>
              <w:pStyle w:val="23"/>
              <w:spacing w:before="29"/>
              <w:ind w:left="105"/>
              <w:jc w:val="both"/>
              <w:rPr>
                <w:sz w:val="21"/>
              </w:rPr>
            </w:pPr>
            <w:r>
              <w:rPr>
                <w:sz w:val="21"/>
              </w:rPr>
              <w:t>获取时间：202</w:t>
            </w:r>
            <w:r>
              <w:rPr>
                <w:rFonts w:hint="eastAsia"/>
                <w:sz w:val="21"/>
                <w:lang w:val="en-US" w:eastAsia="zh-CN"/>
              </w:rPr>
              <w:t>1</w:t>
            </w:r>
            <w:r>
              <w:rPr>
                <w:rFonts w:hint="eastAsia"/>
                <w:sz w:val="21"/>
                <w:lang w:eastAsia="zh-CN"/>
              </w:rPr>
              <w:t>年</w:t>
            </w:r>
            <w:r>
              <w:rPr>
                <w:rFonts w:hint="eastAsia"/>
                <w:sz w:val="21"/>
                <w:lang w:val="en-US" w:eastAsia="zh-CN"/>
              </w:rPr>
              <w:t>1月13日</w:t>
            </w:r>
            <w:r>
              <w:rPr>
                <w:sz w:val="21"/>
              </w:rPr>
              <w:t>1</w:t>
            </w:r>
            <w:r>
              <w:rPr>
                <w:rFonts w:hint="eastAsia"/>
                <w:sz w:val="21"/>
                <w:lang w:val="en-US" w:eastAsia="zh-CN"/>
              </w:rPr>
              <w:t>0</w:t>
            </w:r>
            <w:r>
              <w:rPr>
                <w:sz w:val="21"/>
              </w:rPr>
              <w:t>:</w:t>
            </w:r>
            <w:r>
              <w:rPr>
                <w:rFonts w:hint="eastAsia"/>
                <w:sz w:val="21"/>
                <w:lang w:val="en-US" w:eastAsia="zh-CN"/>
              </w:rPr>
              <w:t>0</w:t>
            </w:r>
            <w:r>
              <w:rPr>
                <w:sz w:val="21"/>
              </w:rPr>
              <w:t>0:00 至 202</w:t>
            </w:r>
            <w:r>
              <w:rPr>
                <w:rFonts w:hint="eastAsia"/>
                <w:sz w:val="21"/>
                <w:lang w:val="en-US" w:eastAsia="zh-CN"/>
              </w:rPr>
              <w:t>1</w:t>
            </w:r>
            <w:r>
              <w:rPr>
                <w:rFonts w:hint="eastAsia"/>
                <w:sz w:val="21"/>
                <w:lang w:eastAsia="zh-CN"/>
              </w:rPr>
              <w:t>年</w:t>
            </w:r>
            <w:r>
              <w:rPr>
                <w:rFonts w:hint="eastAsia"/>
                <w:sz w:val="21"/>
                <w:lang w:val="en-US" w:eastAsia="zh-CN"/>
              </w:rPr>
              <w:t>1月19日19</w:t>
            </w:r>
            <w:r>
              <w:rPr>
                <w:sz w:val="21"/>
              </w:rPr>
              <w:t>:</w:t>
            </w:r>
            <w:r>
              <w:rPr>
                <w:rFonts w:hint="eastAsia"/>
                <w:sz w:val="21"/>
                <w:lang w:val="en-US" w:eastAsia="zh-CN"/>
              </w:rPr>
              <w:t>3</w:t>
            </w:r>
            <w:r>
              <w:rPr>
                <w:sz w:val="21"/>
              </w:rPr>
              <w:t>0:00</w:t>
            </w:r>
          </w:p>
          <w:p>
            <w:pPr>
              <w:pStyle w:val="23"/>
              <w:spacing w:before="7" w:line="320" w:lineRule="atLeast"/>
              <w:ind w:left="105" w:right="100"/>
              <w:jc w:val="both"/>
              <w:rPr>
                <w:rFonts w:hint="eastAsia" w:eastAsia="宋体"/>
                <w:sz w:val="21"/>
                <w:lang w:eastAsia="zh-CN"/>
              </w:rPr>
            </w:pPr>
            <w:r>
              <w:rPr>
                <w:sz w:val="21"/>
              </w:rPr>
              <w:t>获取方式：</w:t>
            </w:r>
            <w:r>
              <w:rPr>
                <w:rFonts w:hint="eastAsia"/>
                <w:sz w:val="21"/>
                <w:lang w:eastAsia="zh-CN"/>
              </w:rPr>
              <w:t>政府采购云平台报名成功后自行下载。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19" w:type="dxa"/>
          </w:tcPr>
          <w:p>
            <w:pPr>
              <w:pStyle w:val="23"/>
              <w:spacing w:before="41"/>
              <w:ind w:right="293"/>
              <w:jc w:val="right"/>
              <w:rPr>
                <w:rFonts w:ascii="Times New Roman"/>
                <w:sz w:val="21"/>
              </w:rPr>
            </w:pPr>
            <w:r>
              <w:rPr>
                <w:rFonts w:ascii="Times New Roman"/>
                <w:sz w:val="21"/>
              </w:rPr>
              <w:t>16</w:t>
            </w:r>
          </w:p>
        </w:tc>
        <w:tc>
          <w:tcPr>
            <w:tcW w:w="2415" w:type="dxa"/>
          </w:tcPr>
          <w:p>
            <w:pPr>
              <w:pStyle w:val="23"/>
              <w:spacing w:before="29"/>
              <w:ind w:left="137" w:right="126"/>
              <w:jc w:val="center"/>
              <w:rPr>
                <w:sz w:val="21"/>
              </w:rPr>
            </w:pPr>
            <w:r>
              <w:rPr>
                <w:sz w:val="21"/>
              </w:rPr>
              <w:t>联合体投标</w:t>
            </w:r>
          </w:p>
        </w:tc>
        <w:tc>
          <w:tcPr>
            <w:tcW w:w="6735" w:type="dxa"/>
          </w:tcPr>
          <w:p>
            <w:pPr>
              <w:pStyle w:val="23"/>
              <w:spacing w:before="29"/>
              <w:ind w:left="105"/>
              <w:rPr>
                <w:sz w:val="21"/>
              </w:rPr>
            </w:pPr>
            <w:r>
              <w:rPr>
                <w:sz w:val="21"/>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819" w:type="dxa"/>
          </w:tcPr>
          <w:p>
            <w:pPr>
              <w:pStyle w:val="23"/>
              <w:spacing w:before="41"/>
              <w:ind w:right="293"/>
              <w:jc w:val="right"/>
              <w:rPr>
                <w:rFonts w:ascii="Times New Roman"/>
                <w:sz w:val="21"/>
              </w:rPr>
            </w:pPr>
            <w:r>
              <w:rPr>
                <w:rFonts w:ascii="Times New Roman"/>
                <w:sz w:val="21"/>
              </w:rPr>
              <w:t>17</w:t>
            </w:r>
          </w:p>
        </w:tc>
        <w:tc>
          <w:tcPr>
            <w:tcW w:w="2415" w:type="dxa"/>
          </w:tcPr>
          <w:p>
            <w:pPr>
              <w:pStyle w:val="23"/>
              <w:spacing w:before="29"/>
              <w:ind w:left="137" w:right="128"/>
              <w:jc w:val="center"/>
              <w:rPr>
                <w:sz w:val="21"/>
              </w:rPr>
            </w:pPr>
            <w:r>
              <w:rPr>
                <w:sz w:val="21"/>
              </w:rPr>
              <w:t>现场勘查、标前答疑会</w:t>
            </w:r>
          </w:p>
        </w:tc>
        <w:tc>
          <w:tcPr>
            <w:tcW w:w="6735" w:type="dxa"/>
          </w:tcPr>
          <w:p>
            <w:pPr>
              <w:pStyle w:val="23"/>
              <w:spacing w:before="29"/>
              <w:ind w:left="105"/>
              <w:rPr>
                <w:sz w:val="21"/>
              </w:rPr>
            </w:pPr>
            <w:r>
              <w:rPr>
                <w:sz w:val="21"/>
              </w:rPr>
              <w:t>不组织。采购人认为有必要，另行书面通知。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819" w:type="dxa"/>
          </w:tcPr>
          <w:p>
            <w:pPr>
              <w:pStyle w:val="23"/>
              <w:spacing w:before="41"/>
              <w:ind w:right="293"/>
              <w:jc w:val="right"/>
              <w:rPr>
                <w:rFonts w:ascii="Times New Roman"/>
                <w:sz w:val="21"/>
              </w:rPr>
            </w:pPr>
            <w:r>
              <w:rPr>
                <w:rFonts w:ascii="Times New Roman"/>
                <w:sz w:val="21"/>
              </w:rPr>
              <w:t>18</w:t>
            </w:r>
          </w:p>
        </w:tc>
        <w:tc>
          <w:tcPr>
            <w:tcW w:w="2415" w:type="dxa"/>
          </w:tcPr>
          <w:p>
            <w:pPr>
              <w:pStyle w:val="23"/>
              <w:spacing w:before="30"/>
              <w:ind w:left="136" w:right="128"/>
              <w:jc w:val="center"/>
              <w:rPr>
                <w:sz w:val="21"/>
              </w:rPr>
            </w:pPr>
            <w:r>
              <w:rPr>
                <w:sz w:val="21"/>
              </w:rPr>
              <w:t>分包</w:t>
            </w:r>
          </w:p>
        </w:tc>
        <w:tc>
          <w:tcPr>
            <w:tcW w:w="6735" w:type="dxa"/>
          </w:tcPr>
          <w:p>
            <w:pPr>
              <w:pStyle w:val="23"/>
              <w:spacing w:before="30"/>
              <w:ind w:left="105"/>
              <w:rPr>
                <w:sz w:val="21"/>
              </w:rPr>
            </w:pPr>
            <w:r>
              <w:rPr>
                <w:sz w:val="21"/>
              </w:rPr>
              <w:t>不允许分包</w:t>
            </w:r>
          </w:p>
        </w:tc>
      </w:tr>
    </w:tbl>
    <w:p>
      <w:pPr>
        <w:spacing w:after="0"/>
        <w:rPr>
          <w:sz w:val="21"/>
        </w:rPr>
        <w:sectPr>
          <w:pgSz w:w="11910" w:h="16840"/>
          <w:pgMar w:top="1360" w:right="740" w:bottom="1080" w:left="740" w:header="880" w:footer="887" w:gutter="0"/>
        </w:sectPr>
      </w:pPr>
    </w:p>
    <w:p>
      <w:pPr>
        <w:pStyle w:val="12"/>
        <w:spacing w:before="5"/>
        <w:rPr>
          <w:rFonts w:ascii="Times New Roman"/>
          <w:sz w:val="6"/>
        </w:rPr>
      </w:pPr>
    </w:p>
    <w:tbl>
      <w:tblPr>
        <w:tblStyle w:val="17"/>
        <w:tblW w:w="0" w:type="auto"/>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415"/>
        <w:gridCol w:w="6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869" w:type="dxa"/>
          </w:tcPr>
          <w:p>
            <w:pPr>
              <w:pStyle w:val="23"/>
              <w:rPr>
                <w:rFonts w:ascii="Times New Roman"/>
                <w:sz w:val="32"/>
              </w:rPr>
            </w:pPr>
          </w:p>
          <w:p>
            <w:pPr>
              <w:pStyle w:val="23"/>
              <w:ind w:right="293"/>
              <w:jc w:val="right"/>
              <w:rPr>
                <w:rFonts w:ascii="Times New Roman"/>
                <w:sz w:val="21"/>
              </w:rPr>
            </w:pPr>
            <w:r>
              <w:rPr>
                <w:rFonts w:ascii="Times New Roman"/>
                <w:sz w:val="21"/>
              </w:rPr>
              <w:t>19</w:t>
            </w:r>
          </w:p>
        </w:tc>
        <w:tc>
          <w:tcPr>
            <w:tcW w:w="2415" w:type="dxa"/>
          </w:tcPr>
          <w:p>
            <w:pPr>
              <w:pStyle w:val="23"/>
              <w:spacing w:before="9"/>
              <w:rPr>
                <w:rFonts w:ascii="Times New Roman"/>
                <w:sz w:val="16"/>
              </w:rPr>
            </w:pPr>
          </w:p>
          <w:p>
            <w:pPr>
              <w:pStyle w:val="23"/>
              <w:spacing w:line="290" w:lineRule="auto"/>
              <w:ind w:left="681" w:right="144" w:hanging="526"/>
              <w:rPr>
                <w:sz w:val="21"/>
              </w:rPr>
            </w:pPr>
            <w:r>
              <w:rPr>
                <w:sz w:val="21"/>
              </w:rPr>
              <w:t>投标人对招标文件提出质疑的时间</w:t>
            </w:r>
          </w:p>
        </w:tc>
        <w:tc>
          <w:tcPr>
            <w:tcW w:w="6735" w:type="dxa"/>
          </w:tcPr>
          <w:p>
            <w:pPr>
              <w:pStyle w:val="23"/>
              <w:spacing w:before="29"/>
              <w:ind w:left="105" w:right="-15"/>
              <w:rPr>
                <w:sz w:val="21"/>
              </w:rPr>
            </w:pPr>
            <w:r>
              <w:rPr>
                <w:spacing w:val="-8"/>
                <w:sz w:val="21"/>
              </w:rPr>
              <w:t>潜在投标人已依法获取其可质疑的招标文件的，可以对该文件提出质疑。</w:t>
            </w:r>
          </w:p>
          <w:p>
            <w:pPr>
              <w:pStyle w:val="23"/>
              <w:spacing w:before="7" w:line="320" w:lineRule="atLeast"/>
              <w:ind w:left="105" w:right="100"/>
              <w:rPr>
                <w:sz w:val="21"/>
              </w:rPr>
            </w:pPr>
            <w:r>
              <w:rPr>
                <w:sz w:val="21"/>
              </w:rPr>
              <w:t xml:space="preserve">对招标文件提出质疑的，应当在获取招标文件或者招标文件公告期限届满之日起 </w:t>
            </w:r>
            <w:r>
              <w:rPr>
                <w:rFonts w:ascii="Times New Roman" w:eastAsia="Times New Roman"/>
                <w:sz w:val="21"/>
              </w:rPr>
              <w:t xml:space="preserve">7 </w:t>
            </w:r>
            <w:r>
              <w:rPr>
                <w:sz w:val="21"/>
              </w:rPr>
              <w:t>个工作日内提出。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69" w:type="dxa"/>
          </w:tcPr>
          <w:p>
            <w:pPr>
              <w:pStyle w:val="23"/>
              <w:spacing w:before="9"/>
              <w:rPr>
                <w:rFonts w:ascii="Times New Roman"/>
                <w:sz w:val="17"/>
              </w:rPr>
            </w:pPr>
          </w:p>
          <w:p>
            <w:pPr>
              <w:pStyle w:val="23"/>
              <w:ind w:right="293"/>
              <w:jc w:val="right"/>
              <w:rPr>
                <w:rFonts w:ascii="Times New Roman"/>
                <w:sz w:val="21"/>
              </w:rPr>
            </w:pPr>
            <w:r>
              <w:rPr>
                <w:rFonts w:ascii="Times New Roman"/>
                <w:sz w:val="21"/>
              </w:rPr>
              <w:t>20</w:t>
            </w:r>
          </w:p>
        </w:tc>
        <w:tc>
          <w:tcPr>
            <w:tcW w:w="2415" w:type="dxa"/>
          </w:tcPr>
          <w:p>
            <w:pPr>
              <w:pStyle w:val="23"/>
              <w:spacing w:before="30"/>
              <w:ind w:left="137" w:right="128"/>
              <w:jc w:val="center"/>
              <w:rPr>
                <w:sz w:val="21"/>
              </w:rPr>
            </w:pPr>
            <w:r>
              <w:rPr>
                <w:sz w:val="21"/>
              </w:rPr>
              <w:t>构成招标文件的其他文</w:t>
            </w:r>
          </w:p>
          <w:p>
            <w:pPr>
              <w:pStyle w:val="23"/>
              <w:spacing w:before="57"/>
              <w:ind w:left="8"/>
              <w:jc w:val="center"/>
              <w:rPr>
                <w:sz w:val="21"/>
              </w:rPr>
            </w:pPr>
            <w:r>
              <w:rPr>
                <w:w w:val="100"/>
                <w:sz w:val="21"/>
              </w:rPr>
              <w:t>件</w:t>
            </w:r>
          </w:p>
        </w:tc>
        <w:tc>
          <w:tcPr>
            <w:tcW w:w="6735" w:type="dxa"/>
            <w:vAlign w:val="center"/>
          </w:tcPr>
          <w:p>
            <w:pPr>
              <w:pStyle w:val="23"/>
              <w:spacing w:before="30"/>
              <w:ind w:left="105"/>
              <w:jc w:val="both"/>
              <w:rPr>
                <w:sz w:val="21"/>
              </w:rPr>
            </w:pPr>
            <w:r>
              <w:rPr>
                <w:sz w:val="21"/>
              </w:rPr>
              <w:t>招标文件的澄清、修改书及有关补充通知为招标文件的有效组成部分。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869" w:type="dxa"/>
          </w:tcPr>
          <w:p>
            <w:pPr>
              <w:pStyle w:val="23"/>
              <w:rPr>
                <w:rFonts w:ascii="Times New Roman"/>
                <w:sz w:val="22"/>
              </w:rPr>
            </w:pPr>
          </w:p>
          <w:p>
            <w:pPr>
              <w:pStyle w:val="23"/>
              <w:spacing w:before="2"/>
              <w:rPr>
                <w:rFonts w:ascii="Times New Roman"/>
                <w:sz w:val="24"/>
              </w:rPr>
            </w:pPr>
          </w:p>
          <w:p>
            <w:pPr>
              <w:pStyle w:val="23"/>
              <w:ind w:right="293"/>
              <w:jc w:val="right"/>
              <w:rPr>
                <w:rFonts w:ascii="Times New Roman"/>
                <w:sz w:val="21"/>
              </w:rPr>
            </w:pPr>
            <w:r>
              <w:rPr>
                <w:rFonts w:ascii="Times New Roman"/>
                <w:sz w:val="21"/>
              </w:rPr>
              <w:t>21</w:t>
            </w:r>
          </w:p>
        </w:tc>
        <w:tc>
          <w:tcPr>
            <w:tcW w:w="2415" w:type="dxa"/>
          </w:tcPr>
          <w:p>
            <w:pPr>
              <w:pStyle w:val="23"/>
              <w:rPr>
                <w:rFonts w:ascii="Times New Roman"/>
                <w:sz w:val="20"/>
              </w:rPr>
            </w:pPr>
          </w:p>
          <w:p>
            <w:pPr>
              <w:pStyle w:val="23"/>
              <w:spacing w:before="126" w:line="290" w:lineRule="auto"/>
              <w:ind w:left="107" w:right="192"/>
              <w:rPr>
                <w:sz w:val="21"/>
              </w:rPr>
            </w:pPr>
            <w:r>
              <w:rPr>
                <w:sz w:val="21"/>
              </w:rPr>
              <w:t>投标文件递交截止时间及开标时间和地点</w:t>
            </w:r>
          </w:p>
        </w:tc>
        <w:tc>
          <w:tcPr>
            <w:tcW w:w="6735" w:type="dxa"/>
          </w:tcPr>
          <w:p>
            <w:pPr>
              <w:pStyle w:val="23"/>
              <w:spacing w:before="30"/>
              <w:ind w:left="105"/>
              <w:jc w:val="both"/>
              <w:rPr>
                <w:rFonts w:hint="default" w:ascii="宋体" w:hAnsi="宋体" w:eastAsia="宋体" w:cs="宋体"/>
                <w:sz w:val="21"/>
                <w:lang w:val="en-US"/>
              </w:rPr>
            </w:pPr>
            <w:r>
              <w:rPr>
                <w:rFonts w:ascii="宋体" w:hAnsi="宋体" w:eastAsia="宋体" w:cs="宋体"/>
                <w:sz w:val="21"/>
              </w:rPr>
              <w:t>1、截止时间：202</w:t>
            </w:r>
            <w:r>
              <w:rPr>
                <w:rFonts w:hint="eastAsia" w:ascii="宋体" w:hAnsi="宋体" w:eastAsia="宋体" w:cs="宋体"/>
                <w:sz w:val="21"/>
                <w:lang w:val="en-US" w:eastAsia="zh-CN"/>
              </w:rPr>
              <w:t>1</w:t>
            </w:r>
            <w:r>
              <w:rPr>
                <w:rFonts w:ascii="宋体" w:hAnsi="宋体" w:eastAsia="宋体" w:cs="宋体"/>
                <w:sz w:val="21"/>
              </w:rPr>
              <w:t xml:space="preserve"> 年 </w:t>
            </w:r>
            <w:r>
              <w:rPr>
                <w:rFonts w:hint="eastAsia" w:cs="宋体"/>
                <w:sz w:val="21"/>
                <w:lang w:val="en-US" w:eastAsia="zh-CN"/>
              </w:rPr>
              <w:t xml:space="preserve">2 </w:t>
            </w:r>
            <w:r>
              <w:rPr>
                <w:rFonts w:ascii="宋体" w:hAnsi="宋体" w:eastAsia="宋体" w:cs="宋体"/>
                <w:sz w:val="21"/>
              </w:rPr>
              <w:t xml:space="preserve">月 </w:t>
            </w:r>
            <w:r>
              <w:rPr>
                <w:rFonts w:hint="eastAsia" w:ascii="宋体" w:hAnsi="宋体" w:eastAsia="宋体" w:cs="宋体"/>
                <w:sz w:val="21"/>
                <w:lang w:val="en-US" w:eastAsia="zh-CN"/>
              </w:rPr>
              <w:t>2</w:t>
            </w:r>
            <w:r>
              <w:rPr>
                <w:rFonts w:ascii="宋体" w:hAnsi="宋体" w:eastAsia="宋体" w:cs="宋体"/>
                <w:sz w:val="21"/>
              </w:rPr>
              <w:t xml:space="preserve"> 日</w:t>
            </w:r>
            <w:r>
              <w:rPr>
                <w:rFonts w:hint="eastAsia" w:ascii="宋体" w:hAnsi="宋体" w:eastAsia="宋体" w:cs="宋体"/>
                <w:sz w:val="21"/>
                <w:lang w:val="en-US" w:eastAsia="zh-CN"/>
              </w:rPr>
              <w:t>10点30分（北京时间）</w:t>
            </w:r>
          </w:p>
          <w:p>
            <w:pPr>
              <w:pStyle w:val="23"/>
              <w:spacing w:before="30"/>
              <w:ind w:left="105"/>
              <w:jc w:val="both"/>
              <w:rPr>
                <w:rFonts w:hint="eastAsia" w:ascii="宋体" w:hAnsi="宋体" w:eastAsia="宋体" w:cs="宋体"/>
                <w:sz w:val="21"/>
                <w:lang w:val="en-US" w:eastAsia="zh-CN"/>
              </w:rPr>
            </w:pPr>
            <w:r>
              <w:rPr>
                <w:rFonts w:ascii="宋体" w:hAnsi="宋体" w:eastAsia="宋体" w:cs="宋体"/>
                <w:sz w:val="21"/>
              </w:rPr>
              <w:t>2、开标时间：202</w:t>
            </w:r>
            <w:r>
              <w:rPr>
                <w:rFonts w:hint="eastAsia" w:ascii="宋体" w:hAnsi="宋体" w:eastAsia="宋体" w:cs="宋体"/>
                <w:sz w:val="21"/>
                <w:lang w:val="en-US" w:eastAsia="zh-CN"/>
              </w:rPr>
              <w:t>1</w:t>
            </w:r>
            <w:r>
              <w:rPr>
                <w:rFonts w:ascii="宋体" w:hAnsi="宋体" w:eastAsia="宋体" w:cs="宋体"/>
                <w:sz w:val="21"/>
              </w:rPr>
              <w:t xml:space="preserve"> 年 </w:t>
            </w:r>
            <w:r>
              <w:rPr>
                <w:rFonts w:hint="eastAsia" w:cs="宋体"/>
                <w:sz w:val="21"/>
                <w:lang w:val="en-US" w:eastAsia="zh-CN"/>
              </w:rPr>
              <w:t xml:space="preserve">2 </w:t>
            </w:r>
            <w:r>
              <w:rPr>
                <w:rFonts w:ascii="宋体" w:hAnsi="宋体" w:eastAsia="宋体" w:cs="宋体"/>
                <w:sz w:val="21"/>
              </w:rPr>
              <w:t xml:space="preserve">月 </w:t>
            </w:r>
            <w:r>
              <w:rPr>
                <w:rFonts w:hint="eastAsia" w:ascii="宋体" w:hAnsi="宋体" w:eastAsia="宋体" w:cs="宋体"/>
                <w:sz w:val="21"/>
                <w:lang w:val="en-US" w:eastAsia="zh-CN"/>
              </w:rPr>
              <w:t>2</w:t>
            </w:r>
            <w:r>
              <w:rPr>
                <w:rFonts w:ascii="宋体" w:hAnsi="宋体" w:eastAsia="宋体" w:cs="宋体"/>
                <w:sz w:val="21"/>
              </w:rPr>
              <w:t xml:space="preserve"> 日</w:t>
            </w:r>
            <w:r>
              <w:rPr>
                <w:rFonts w:hint="eastAsia" w:ascii="宋体" w:hAnsi="宋体" w:eastAsia="宋体" w:cs="宋体"/>
                <w:sz w:val="21"/>
                <w:lang w:val="en-US" w:eastAsia="zh-CN"/>
              </w:rPr>
              <w:t>10点30分（北京时间）</w:t>
            </w:r>
          </w:p>
          <w:p>
            <w:pPr>
              <w:pStyle w:val="23"/>
              <w:spacing w:before="30"/>
              <w:ind w:left="105"/>
              <w:jc w:val="both"/>
              <w:rPr>
                <w:rFonts w:ascii="宋体" w:hAnsi="宋体" w:eastAsia="宋体" w:cs="宋体"/>
                <w:sz w:val="21"/>
              </w:rPr>
            </w:pPr>
            <w:r>
              <w:rPr>
                <w:rFonts w:ascii="宋体" w:hAnsi="宋体" w:eastAsia="宋体" w:cs="宋体"/>
                <w:sz w:val="21"/>
              </w:rPr>
              <w:t>3、投标/开标地点</w:t>
            </w:r>
            <w:r>
              <w:rPr>
                <w:rFonts w:hint="eastAsia" w:ascii="宋体" w:hAnsi="宋体" w:eastAsia="宋体" w:cs="宋体"/>
                <w:sz w:val="21"/>
                <w:szCs w:val="22"/>
                <w:lang w:val="en-US" w:eastAsia="zh-CN" w:bidi="zh-CN"/>
              </w:rPr>
              <w:t>：阿克苏市市民服务中心一号楼4楼（公共资源交易中心）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869" w:type="dxa"/>
            <w:vAlign w:val="center"/>
          </w:tcPr>
          <w:p>
            <w:pPr>
              <w:pStyle w:val="23"/>
              <w:spacing w:before="41"/>
              <w:ind w:right="293"/>
              <w:jc w:val="center"/>
              <w:rPr>
                <w:rFonts w:ascii="Times New Roman"/>
                <w:sz w:val="21"/>
              </w:rPr>
            </w:pPr>
            <w:r>
              <w:rPr>
                <w:rFonts w:hint="eastAsia" w:ascii="Times New Roman"/>
                <w:sz w:val="21"/>
                <w:lang w:val="en-US" w:eastAsia="zh-CN"/>
              </w:rPr>
              <w:t xml:space="preserve">    </w:t>
            </w:r>
            <w:r>
              <w:rPr>
                <w:rFonts w:ascii="Times New Roman"/>
                <w:sz w:val="21"/>
              </w:rPr>
              <w:t>22</w:t>
            </w:r>
          </w:p>
        </w:tc>
        <w:tc>
          <w:tcPr>
            <w:tcW w:w="2415" w:type="dxa"/>
            <w:vAlign w:val="center"/>
          </w:tcPr>
          <w:p>
            <w:pPr>
              <w:pStyle w:val="23"/>
              <w:spacing w:before="30"/>
              <w:ind w:firstLine="630" w:firstLineChars="300"/>
              <w:jc w:val="both"/>
              <w:rPr>
                <w:sz w:val="21"/>
              </w:rPr>
            </w:pPr>
            <w:r>
              <w:rPr>
                <w:sz w:val="21"/>
              </w:rPr>
              <w:t>投标有效期</w:t>
            </w:r>
          </w:p>
        </w:tc>
        <w:tc>
          <w:tcPr>
            <w:tcW w:w="6735" w:type="dxa"/>
            <w:vAlign w:val="center"/>
          </w:tcPr>
          <w:p>
            <w:pPr>
              <w:pStyle w:val="23"/>
              <w:spacing w:before="30"/>
              <w:ind w:left="105"/>
              <w:jc w:val="left"/>
              <w:rPr>
                <w:sz w:val="21"/>
              </w:rPr>
            </w:pPr>
            <w:r>
              <w:rPr>
                <w:sz w:val="21"/>
              </w:rPr>
              <w:t xml:space="preserve">自投标截止日起不少于 </w:t>
            </w:r>
            <w:r>
              <w:rPr>
                <w:rFonts w:ascii="Times New Roman" w:eastAsia="Times New Roman"/>
                <w:sz w:val="21"/>
              </w:rPr>
              <w:t xml:space="preserve">90 </w:t>
            </w:r>
            <w:r>
              <w:rPr>
                <w:sz w:val="21"/>
              </w:rPr>
              <w:t xml:space="preserve">个日历日（包含 </w:t>
            </w:r>
            <w:r>
              <w:rPr>
                <w:rFonts w:ascii="Times New Roman" w:eastAsia="Times New Roman"/>
                <w:sz w:val="21"/>
              </w:rPr>
              <w:t xml:space="preserve">90 </w:t>
            </w:r>
            <w:r>
              <w:rPr>
                <w:sz w:val="21"/>
              </w:rPr>
              <w:t>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869" w:type="dxa"/>
            <w:vAlign w:val="center"/>
          </w:tcPr>
          <w:p>
            <w:pPr>
              <w:pStyle w:val="23"/>
              <w:spacing w:before="9"/>
              <w:jc w:val="center"/>
              <w:rPr>
                <w:rFonts w:ascii="Times New Roman"/>
                <w:sz w:val="17"/>
              </w:rPr>
            </w:pPr>
          </w:p>
          <w:p>
            <w:pPr>
              <w:pStyle w:val="23"/>
              <w:ind w:right="293"/>
              <w:jc w:val="center"/>
              <w:rPr>
                <w:rFonts w:ascii="Times New Roman"/>
                <w:sz w:val="21"/>
              </w:rPr>
            </w:pPr>
            <w:r>
              <w:rPr>
                <w:rFonts w:hint="eastAsia" w:ascii="Times New Roman"/>
                <w:sz w:val="21"/>
                <w:lang w:val="en-US" w:eastAsia="zh-CN"/>
              </w:rPr>
              <w:t xml:space="preserve">    </w:t>
            </w:r>
            <w:r>
              <w:rPr>
                <w:rFonts w:ascii="Times New Roman"/>
                <w:sz w:val="21"/>
              </w:rPr>
              <w:t>23</w:t>
            </w:r>
          </w:p>
        </w:tc>
        <w:tc>
          <w:tcPr>
            <w:tcW w:w="2415" w:type="dxa"/>
            <w:vAlign w:val="center"/>
          </w:tcPr>
          <w:p>
            <w:pPr>
              <w:pStyle w:val="23"/>
              <w:spacing w:before="30"/>
              <w:ind w:left="136" w:right="128" w:firstLine="420" w:firstLineChars="200"/>
              <w:jc w:val="both"/>
              <w:rPr>
                <w:sz w:val="21"/>
              </w:rPr>
            </w:pPr>
            <w:r>
              <w:rPr>
                <w:sz w:val="21"/>
              </w:rPr>
              <w:t>备选投标方案</w:t>
            </w:r>
          </w:p>
          <w:p>
            <w:pPr>
              <w:pStyle w:val="23"/>
              <w:spacing w:before="57"/>
              <w:ind w:left="136" w:right="128"/>
              <w:jc w:val="center"/>
              <w:rPr>
                <w:sz w:val="21"/>
              </w:rPr>
            </w:pPr>
            <w:r>
              <w:rPr>
                <w:sz w:val="21"/>
              </w:rPr>
              <w:t>和报价</w:t>
            </w:r>
          </w:p>
        </w:tc>
        <w:tc>
          <w:tcPr>
            <w:tcW w:w="6735" w:type="dxa"/>
            <w:vAlign w:val="center"/>
          </w:tcPr>
          <w:p>
            <w:pPr>
              <w:pStyle w:val="23"/>
              <w:spacing w:before="9"/>
              <w:jc w:val="left"/>
              <w:rPr>
                <w:rFonts w:ascii="Times New Roman"/>
                <w:sz w:val="16"/>
              </w:rPr>
            </w:pPr>
          </w:p>
          <w:p>
            <w:pPr>
              <w:pStyle w:val="23"/>
              <w:ind w:left="105"/>
              <w:jc w:val="left"/>
              <w:rPr>
                <w:sz w:val="21"/>
              </w:rPr>
            </w:pPr>
            <w:r>
              <w:rPr>
                <w:sz w:val="21"/>
              </w:rPr>
              <w:t>不接受备选投标方案和多个报价。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869" w:type="dxa"/>
            <w:vAlign w:val="center"/>
          </w:tcPr>
          <w:p>
            <w:pPr>
              <w:pStyle w:val="23"/>
              <w:spacing w:before="41"/>
              <w:ind w:right="293"/>
              <w:jc w:val="center"/>
              <w:rPr>
                <w:rFonts w:ascii="Times New Roman"/>
                <w:sz w:val="21"/>
              </w:rPr>
            </w:pPr>
            <w:r>
              <w:rPr>
                <w:rFonts w:hint="eastAsia" w:ascii="Times New Roman"/>
                <w:sz w:val="21"/>
                <w:lang w:val="en-US" w:eastAsia="zh-CN"/>
              </w:rPr>
              <w:t xml:space="preserve">    </w:t>
            </w:r>
            <w:r>
              <w:rPr>
                <w:rFonts w:ascii="Times New Roman"/>
                <w:sz w:val="21"/>
              </w:rPr>
              <w:t>24</w:t>
            </w:r>
          </w:p>
        </w:tc>
        <w:tc>
          <w:tcPr>
            <w:tcW w:w="2415" w:type="dxa"/>
            <w:vAlign w:val="center"/>
          </w:tcPr>
          <w:p>
            <w:pPr>
              <w:pStyle w:val="23"/>
              <w:spacing w:before="30"/>
              <w:ind w:firstLine="630" w:firstLineChars="300"/>
              <w:jc w:val="both"/>
              <w:rPr>
                <w:sz w:val="21"/>
              </w:rPr>
            </w:pPr>
            <w:r>
              <w:rPr>
                <w:sz w:val="21"/>
              </w:rPr>
              <w:t>盖章签字</w:t>
            </w:r>
          </w:p>
        </w:tc>
        <w:tc>
          <w:tcPr>
            <w:tcW w:w="6735" w:type="dxa"/>
            <w:vAlign w:val="center"/>
          </w:tcPr>
          <w:p>
            <w:pPr>
              <w:pStyle w:val="23"/>
              <w:spacing w:before="30"/>
              <w:ind w:left="105"/>
              <w:jc w:val="left"/>
              <w:rPr>
                <w:sz w:val="21"/>
              </w:rPr>
            </w:pPr>
            <w:r>
              <w:rPr>
                <w:sz w:val="21"/>
              </w:rPr>
              <w:t>投标人必须按照招标文件的规定和要求盖章、签字。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6" w:hRule="atLeast"/>
        </w:trPr>
        <w:tc>
          <w:tcPr>
            <w:tcW w:w="869" w:type="dxa"/>
          </w:tcPr>
          <w:p>
            <w:pPr>
              <w:pStyle w:val="23"/>
              <w:rPr>
                <w:rFonts w:ascii="Times New Roman"/>
                <w:sz w:val="22"/>
              </w:rPr>
            </w:pPr>
          </w:p>
          <w:p>
            <w:pPr>
              <w:pStyle w:val="23"/>
              <w:rPr>
                <w:rFonts w:ascii="Times New Roman"/>
                <w:sz w:val="22"/>
              </w:rPr>
            </w:pPr>
          </w:p>
          <w:p>
            <w:pPr>
              <w:pStyle w:val="23"/>
              <w:rPr>
                <w:rFonts w:ascii="Times New Roman"/>
                <w:sz w:val="22"/>
              </w:rPr>
            </w:pPr>
          </w:p>
          <w:p>
            <w:pPr>
              <w:pStyle w:val="23"/>
              <w:spacing w:before="6"/>
              <w:rPr>
                <w:rFonts w:ascii="Times New Roman"/>
                <w:sz w:val="22"/>
              </w:rPr>
            </w:pPr>
          </w:p>
          <w:p>
            <w:pPr>
              <w:pStyle w:val="23"/>
              <w:ind w:right="293"/>
              <w:jc w:val="right"/>
              <w:rPr>
                <w:rFonts w:ascii="Times New Roman"/>
                <w:sz w:val="21"/>
              </w:rPr>
            </w:pPr>
            <w:r>
              <w:rPr>
                <w:rFonts w:ascii="Times New Roman"/>
                <w:sz w:val="21"/>
              </w:rPr>
              <w:t>25</w:t>
            </w:r>
          </w:p>
        </w:tc>
        <w:tc>
          <w:tcPr>
            <w:tcW w:w="2415" w:type="dxa"/>
          </w:tcPr>
          <w:p>
            <w:pPr>
              <w:pStyle w:val="23"/>
              <w:rPr>
                <w:rFonts w:ascii="Times New Roman"/>
                <w:sz w:val="20"/>
              </w:rPr>
            </w:pPr>
          </w:p>
          <w:p>
            <w:pPr>
              <w:pStyle w:val="23"/>
              <w:rPr>
                <w:rFonts w:ascii="Times New Roman"/>
                <w:sz w:val="20"/>
              </w:rPr>
            </w:pPr>
          </w:p>
          <w:p>
            <w:pPr>
              <w:pStyle w:val="23"/>
              <w:rPr>
                <w:rFonts w:ascii="Times New Roman"/>
                <w:sz w:val="20"/>
              </w:rPr>
            </w:pPr>
          </w:p>
          <w:p>
            <w:pPr>
              <w:pStyle w:val="23"/>
              <w:spacing w:before="156" w:line="288" w:lineRule="auto"/>
              <w:ind w:left="1101" w:right="146" w:hanging="946"/>
              <w:rPr>
                <w:sz w:val="21"/>
              </w:rPr>
            </w:pPr>
            <w:r>
              <w:rPr>
                <w:sz w:val="21"/>
              </w:rPr>
              <w:t>投标文件数量、装订密封</w:t>
            </w:r>
          </w:p>
        </w:tc>
        <w:tc>
          <w:tcPr>
            <w:tcW w:w="6735" w:type="dxa"/>
          </w:tcPr>
          <w:p>
            <w:pPr>
              <w:pStyle w:val="23"/>
              <w:spacing w:before="30" w:line="290" w:lineRule="auto"/>
              <w:ind w:left="105" w:right="-15"/>
              <w:rPr>
                <w:sz w:val="21"/>
              </w:rPr>
            </w:pPr>
            <w:r>
              <w:rPr>
                <w:spacing w:val="-3"/>
                <w:sz w:val="21"/>
              </w:rPr>
              <w:t>投标文件一律采用书籍（</w:t>
            </w:r>
            <w:r>
              <w:rPr>
                <w:sz w:val="21"/>
              </w:rPr>
              <w:t>胶装</w:t>
            </w:r>
            <w:r>
              <w:rPr>
                <w:spacing w:val="-3"/>
                <w:sz w:val="21"/>
              </w:rPr>
              <w:t>）方式装订且单面或双面打印。投标文件</w:t>
            </w:r>
            <w:r>
              <w:rPr>
                <w:spacing w:val="-14"/>
                <w:sz w:val="21"/>
              </w:rPr>
              <w:t>正本一份，副本</w:t>
            </w:r>
            <w:r>
              <w:rPr>
                <w:rFonts w:hint="eastAsia"/>
                <w:spacing w:val="-14"/>
                <w:sz w:val="21"/>
                <w:lang w:eastAsia="zh-CN"/>
              </w:rPr>
              <w:t>三</w:t>
            </w:r>
            <w:r>
              <w:rPr>
                <w:spacing w:val="-14"/>
                <w:sz w:val="21"/>
              </w:rPr>
              <w:t xml:space="preserve">份，电子 </w:t>
            </w:r>
            <w:r>
              <w:rPr>
                <w:sz w:val="21"/>
              </w:rPr>
              <w:t>U</w:t>
            </w:r>
            <w:r>
              <w:rPr>
                <w:spacing w:val="-19"/>
                <w:sz w:val="21"/>
              </w:rPr>
              <w:t xml:space="preserve"> 盘一份。</w:t>
            </w:r>
            <w:r>
              <w:rPr>
                <w:b/>
                <w:spacing w:val="-9"/>
                <w:sz w:val="21"/>
              </w:rPr>
              <w:t xml:space="preserve">正本与电子 </w:t>
            </w:r>
            <w:r>
              <w:rPr>
                <w:b/>
                <w:sz w:val="21"/>
              </w:rPr>
              <w:t>U</w:t>
            </w:r>
            <w:r>
              <w:rPr>
                <w:b/>
                <w:spacing w:val="-7"/>
                <w:sz w:val="21"/>
              </w:rPr>
              <w:t xml:space="preserve"> 盘用一个封袋密封， 副本可以用一个封袋密封也可以用多个封袋单独密封</w:t>
            </w:r>
            <w:r>
              <w:rPr>
                <w:sz w:val="21"/>
              </w:rPr>
              <w:t>。</w:t>
            </w:r>
          </w:p>
          <w:p>
            <w:pPr>
              <w:pStyle w:val="23"/>
              <w:spacing w:line="290" w:lineRule="auto"/>
              <w:ind w:left="105" w:right="61"/>
              <w:rPr>
                <w:b/>
                <w:sz w:val="21"/>
              </w:rPr>
            </w:pPr>
            <w:r>
              <w:rPr>
                <w:b/>
                <w:sz w:val="21"/>
              </w:rPr>
              <w:t>注：1.未按照招标文件要求密封的投标文件，采购人、采购代理机构应当拒收。</w:t>
            </w:r>
          </w:p>
          <w:p>
            <w:pPr>
              <w:pStyle w:val="23"/>
              <w:spacing w:before="1"/>
              <w:ind w:left="105"/>
              <w:rPr>
                <w:b/>
                <w:sz w:val="21"/>
              </w:rPr>
            </w:pPr>
            <w:r>
              <w:rPr>
                <w:b/>
                <w:sz w:val="21"/>
              </w:rPr>
              <w:t>2.</w:t>
            </w:r>
            <w:r>
              <w:rPr>
                <w:b/>
                <w:spacing w:val="-18"/>
                <w:sz w:val="21"/>
              </w:rPr>
              <w:t xml:space="preserve">电子 </w:t>
            </w:r>
            <w:r>
              <w:rPr>
                <w:b/>
                <w:sz w:val="21"/>
              </w:rPr>
              <w:t>U</w:t>
            </w:r>
            <w:r>
              <w:rPr>
                <w:b/>
                <w:spacing w:val="-13"/>
                <w:sz w:val="21"/>
              </w:rPr>
              <w:t xml:space="preserve"> 盘内须附投标文件 </w:t>
            </w:r>
            <w:r>
              <w:rPr>
                <w:b/>
                <w:sz w:val="21"/>
              </w:rPr>
              <w:t>WORD</w:t>
            </w:r>
            <w:r>
              <w:rPr>
                <w:b/>
                <w:spacing w:val="-18"/>
                <w:sz w:val="21"/>
              </w:rPr>
              <w:t xml:space="preserve"> 版本</w:t>
            </w:r>
            <w:r>
              <w:rPr>
                <w:b/>
                <w:sz w:val="21"/>
              </w:rPr>
              <w:t>（可编辑）</w:t>
            </w:r>
            <w:r>
              <w:rPr>
                <w:b/>
                <w:spacing w:val="-2"/>
                <w:sz w:val="21"/>
              </w:rPr>
              <w:t>、完整彩色扫描件的</w:t>
            </w:r>
          </w:p>
          <w:p>
            <w:pPr>
              <w:pStyle w:val="23"/>
              <w:spacing w:before="58"/>
              <w:ind w:left="105" w:right="-15"/>
              <w:rPr>
                <w:b/>
                <w:sz w:val="21"/>
              </w:rPr>
            </w:pPr>
            <w:r>
              <w:rPr>
                <w:b/>
                <w:sz w:val="21"/>
              </w:rPr>
              <w:t>PDF</w:t>
            </w:r>
            <w:r>
              <w:rPr>
                <w:b/>
                <w:spacing w:val="-39"/>
                <w:sz w:val="21"/>
              </w:rPr>
              <w:t xml:space="preserve"> 版本</w:t>
            </w:r>
            <w:r>
              <w:rPr>
                <w:b/>
                <w:sz w:val="21"/>
              </w:rPr>
              <w:t>（</w:t>
            </w:r>
            <w:r>
              <w:rPr>
                <w:b/>
                <w:spacing w:val="-1"/>
                <w:sz w:val="21"/>
              </w:rPr>
              <w:t>包含签字盖章内容</w:t>
            </w:r>
            <w:r>
              <w:rPr>
                <w:b/>
                <w:spacing w:val="-63"/>
                <w:sz w:val="21"/>
              </w:rPr>
              <w:t>）</w:t>
            </w:r>
            <w:r>
              <w:rPr>
                <w:b/>
                <w:spacing w:val="-8"/>
                <w:sz w:val="21"/>
              </w:rPr>
              <w:t>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3" w:hRule="atLeast"/>
        </w:trPr>
        <w:tc>
          <w:tcPr>
            <w:tcW w:w="869" w:type="dxa"/>
          </w:tcPr>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spacing w:before="169"/>
              <w:ind w:right="293"/>
              <w:jc w:val="right"/>
              <w:rPr>
                <w:rFonts w:ascii="Times New Roman"/>
                <w:sz w:val="21"/>
              </w:rPr>
            </w:pPr>
            <w:r>
              <w:rPr>
                <w:rFonts w:ascii="Times New Roman"/>
                <w:sz w:val="21"/>
              </w:rPr>
              <w:t>26</w:t>
            </w:r>
          </w:p>
        </w:tc>
        <w:tc>
          <w:tcPr>
            <w:tcW w:w="2415" w:type="dxa"/>
          </w:tcPr>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spacing w:before="8"/>
              <w:rPr>
                <w:rFonts w:ascii="Times New Roman"/>
                <w:sz w:val="21"/>
              </w:rPr>
            </w:pPr>
          </w:p>
          <w:p>
            <w:pPr>
              <w:pStyle w:val="23"/>
              <w:ind w:left="786"/>
              <w:rPr>
                <w:sz w:val="21"/>
              </w:rPr>
            </w:pPr>
            <w:r>
              <w:rPr>
                <w:sz w:val="21"/>
              </w:rPr>
              <w:t>封套模板</w:t>
            </w:r>
          </w:p>
        </w:tc>
        <w:tc>
          <w:tcPr>
            <w:tcW w:w="6735" w:type="dxa"/>
            <w:vAlign w:val="center"/>
          </w:tcPr>
          <w:p>
            <w:pPr>
              <w:pStyle w:val="23"/>
              <w:spacing w:before="30"/>
              <w:ind w:left="105"/>
              <w:jc w:val="center"/>
              <w:rPr>
                <w:rFonts w:hint="eastAsia"/>
                <w:sz w:val="21"/>
                <w:lang w:eastAsia="zh-CN"/>
              </w:rPr>
            </w:pPr>
            <w:r>
              <w:rPr>
                <w:rFonts w:hint="eastAsia"/>
                <w:sz w:val="21"/>
                <w:lang w:eastAsia="zh-CN"/>
              </w:rPr>
              <w:t>阿克苏市城市道路清扫保洁、园林绿化管养、公厕管护购买社会化服务采购项目</w:t>
            </w:r>
          </w:p>
          <w:p>
            <w:pPr>
              <w:pStyle w:val="23"/>
              <w:spacing w:before="30"/>
              <w:ind w:left="105"/>
              <w:jc w:val="center"/>
              <w:rPr>
                <w:sz w:val="21"/>
              </w:rPr>
            </w:pPr>
            <w:r>
              <w:rPr>
                <w:sz w:val="21"/>
              </w:rPr>
              <w:t>投标文件</w:t>
            </w:r>
          </w:p>
          <w:p>
            <w:pPr>
              <w:pStyle w:val="23"/>
              <w:spacing w:before="30"/>
              <w:ind w:left="105"/>
              <w:jc w:val="center"/>
              <w:rPr>
                <w:sz w:val="21"/>
              </w:rPr>
            </w:pPr>
            <w:r>
              <w:rPr>
                <w:rFonts w:hint="eastAsia"/>
                <w:sz w:val="21"/>
                <w:lang w:val="en-US" w:eastAsia="zh-CN"/>
              </w:rPr>
              <w:t xml:space="preserve">  </w:t>
            </w:r>
            <w:r>
              <w:rPr>
                <w:sz w:val="21"/>
              </w:rPr>
              <w:t>项目编号：</w:t>
            </w:r>
          </w:p>
          <w:p>
            <w:pPr>
              <w:pStyle w:val="23"/>
              <w:spacing w:before="30"/>
              <w:ind w:left="105"/>
              <w:jc w:val="center"/>
              <w:rPr>
                <w:sz w:val="21"/>
              </w:rPr>
            </w:pPr>
            <w:r>
              <w:rPr>
                <w:sz w:val="21"/>
              </w:rPr>
              <w:t>在</w:t>
            </w:r>
            <w:r>
              <w:rPr>
                <w:rFonts w:hint="eastAsia"/>
                <w:sz w:val="21"/>
                <w:lang w:val="en-US" w:eastAsia="zh-CN"/>
              </w:rPr>
              <w:t xml:space="preserve">   </w:t>
            </w:r>
            <w:r>
              <w:rPr>
                <w:sz w:val="21"/>
              </w:rPr>
              <w:t>年</w:t>
            </w:r>
            <w:r>
              <w:rPr>
                <w:rFonts w:hint="eastAsia"/>
                <w:sz w:val="21"/>
                <w:lang w:val="en-US" w:eastAsia="zh-CN"/>
              </w:rPr>
              <w:t xml:space="preserve">  </w:t>
            </w:r>
            <w:r>
              <w:rPr>
                <w:sz w:val="21"/>
              </w:rPr>
              <w:t>月</w:t>
            </w:r>
            <w:r>
              <w:rPr>
                <w:rFonts w:hint="eastAsia"/>
                <w:sz w:val="21"/>
                <w:lang w:val="en-US" w:eastAsia="zh-CN"/>
              </w:rPr>
              <w:t xml:space="preserve">  </w:t>
            </w:r>
            <w:r>
              <w:rPr>
                <w:sz w:val="21"/>
              </w:rPr>
              <w:t>日</w:t>
            </w:r>
            <w:r>
              <w:rPr>
                <w:rFonts w:hint="eastAsia"/>
                <w:sz w:val="21"/>
                <w:lang w:val="en-US" w:eastAsia="zh-CN"/>
              </w:rPr>
              <w:t xml:space="preserve">    </w:t>
            </w:r>
            <w:r>
              <w:rPr>
                <w:sz w:val="21"/>
              </w:rPr>
              <w:t>时</w:t>
            </w:r>
            <w:r>
              <w:rPr>
                <w:rFonts w:hint="eastAsia"/>
                <w:sz w:val="21"/>
                <w:lang w:val="en-US" w:eastAsia="zh-CN"/>
              </w:rPr>
              <w:t xml:space="preserve">   </w:t>
            </w:r>
            <w:r>
              <w:rPr>
                <w:sz w:val="21"/>
              </w:rPr>
              <w:t>分前不得开启“开标时启封”</w:t>
            </w:r>
          </w:p>
          <w:p>
            <w:pPr>
              <w:pStyle w:val="23"/>
              <w:spacing w:before="30"/>
              <w:ind w:left="105"/>
              <w:jc w:val="center"/>
              <w:rPr>
                <w:sz w:val="21"/>
              </w:rPr>
            </w:pPr>
            <w:r>
              <w:rPr>
                <w:sz w:val="21"/>
              </w:rPr>
              <w:t>投标人名称：</w:t>
            </w:r>
          </w:p>
          <w:p>
            <w:pPr>
              <w:pStyle w:val="23"/>
              <w:spacing w:before="30"/>
              <w:ind w:left="105"/>
              <w:jc w:val="center"/>
              <w:rPr>
                <w:sz w:val="21"/>
              </w:rPr>
            </w:pPr>
            <w:r>
              <w:rPr>
                <w:sz w:val="21"/>
              </w:rPr>
              <w:t>时间：</w:t>
            </w:r>
            <w:r>
              <w:rPr>
                <w:rFonts w:hint="eastAsia"/>
                <w:sz w:val="21"/>
                <w:lang w:val="en-US" w:eastAsia="zh-CN"/>
              </w:rPr>
              <w:t xml:space="preserve">   </w:t>
            </w:r>
            <w:r>
              <w:rPr>
                <w:sz w:val="21"/>
              </w:rPr>
              <w:t>年</w:t>
            </w:r>
            <w:r>
              <w:rPr>
                <w:rFonts w:hint="eastAsia"/>
                <w:sz w:val="21"/>
                <w:lang w:val="en-US" w:eastAsia="zh-CN"/>
              </w:rPr>
              <w:t xml:space="preserve"> </w:t>
            </w:r>
            <w:r>
              <w:rPr>
                <w:sz w:val="21"/>
              </w:rPr>
              <w:tab/>
            </w:r>
            <w:r>
              <w:rPr>
                <w:sz w:val="21"/>
              </w:rPr>
              <w:t>月</w:t>
            </w:r>
            <w:r>
              <w:rPr>
                <w:rFonts w:hint="eastAsia"/>
                <w:sz w:val="21"/>
                <w:lang w:val="en-US" w:eastAsia="zh-CN"/>
              </w:rPr>
              <w:t xml:space="preserve">   </w:t>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869" w:type="dxa"/>
          </w:tcPr>
          <w:p>
            <w:pPr>
              <w:pStyle w:val="23"/>
              <w:spacing w:before="41"/>
              <w:ind w:right="293"/>
              <w:jc w:val="right"/>
              <w:rPr>
                <w:rFonts w:ascii="Times New Roman"/>
                <w:sz w:val="21"/>
              </w:rPr>
            </w:pPr>
            <w:r>
              <w:rPr>
                <w:rFonts w:ascii="Times New Roman"/>
                <w:sz w:val="21"/>
              </w:rPr>
              <w:t>27</w:t>
            </w:r>
          </w:p>
        </w:tc>
        <w:tc>
          <w:tcPr>
            <w:tcW w:w="2415" w:type="dxa"/>
            <w:vAlign w:val="center"/>
          </w:tcPr>
          <w:p>
            <w:pPr>
              <w:pStyle w:val="23"/>
              <w:spacing w:before="29"/>
              <w:ind w:left="469"/>
              <w:jc w:val="center"/>
              <w:rPr>
                <w:sz w:val="21"/>
              </w:rPr>
            </w:pPr>
            <w:r>
              <w:rPr>
                <w:sz w:val="21"/>
              </w:rPr>
              <w:t>评标办法及标准</w:t>
            </w:r>
          </w:p>
        </w:tc>
        <w:tc>
          <w:tcPr>
            <w:tcW w:w="6735" w:type="dxa"/>
            <w:vAlign w:val="center"/>
          </w:tcPr>
          <w:p>
            <w:pPr>
              <w:pStyle w:val="23"/>
              <w:spacing w:before="29"/>
              <w:ind w:left="105"/>
              <w:jc w:val="center"/>
              <w:rPr>
                <w:sz w:val="21"/>
              </w:rPr>
            </w:pPr>
            <w:r>
              <w:rPr>
                <w:sz w:val="21"/>
              </w:rPr>
              <w:t>详见招标文件第三部分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869" w:type="dxa"/>
          </w:tcPr>
          <w:p>
            <w:pPr>
              <w:pStyle w:val="23"/>
              <w:spacing w:before="11"/>
              <w:rPr>
                <w:rFonts w:ascii="Times New Roman"/>
                <w:sz w:val="31"/>
              </w:rPr>
            </w:pPr>
          </w:p>
          <w:p>
            <w:pPr>
              <w:pStyle w:val="23"/>
              <w:ind w:right="293"/>
              <w:jc w:val="right"/>
              <w:rPr>
                <w:rFonts w:ascii="Times New Roman"/>
                <w:sz w:val="21"/>
              </w:rPr>
            </w:pPr>
            <w:r>
              <w:rPr>
                <w:rFonts w:ascii="Times New Roman"/>
                <w:sz w:val="21"/>
              </w:rPr>
              <w:t>28</w:t>
            </w:r>
          </w:p>
        </w:tc>
        <w:tc>
          <w:tcPr>
            <w:tcW w:w="2415" w:type="dxa"/>
          </w:tcPr>
          <w:p>
            <w:pPr>
              <w:pStyle w:val="23"/>
              <w:jc w:val="center"/>
              <w:rPr>
                <w:rFonts w:ascii="Times New Roman"/>
                <w:sz w:val="20"/>
              </w:rPr>
            </w:pPr>
          </w:p>
          <w:p>
            <w:pPr>
              <w:pStyle w:val="23"/>
              <w:spacing w:before="126"/>
              <w:ind w:left="107"/>
              <w:jc w:val="center"/>
              <w:rPr>
                <w:sz w:val="21"/>
              </w:rPr>
            </w:pPr>
            <w:r>
              <w:rPr>
                <w:sz w:val="21"/>
              </w:rPr>
              <w:t>评标委员会的组建</w:t>
            </w:r>
          </w:p>
        </w:tc>
        <w:tc>
          <w:tcPr>
            <w:tcW w:w="6735" w:type="dxa"/>
          </w:tcPr>
          <w:p>
            <w:pPr>
              <w:pStyle w:val="23"/>
              <w:spacing w:before="29"/>
              <w:ind w:left="105"/>
              <w:rPr>
                <w:sz w:val="21"/>
                <w:highlight w:val="none"/>
              </w:rPr>
            </w:pPr>
            <w:r>
              <w:rPr>
                <w:sz w:val="21"/>
                <w:highlight w:val="none"/>
              </w:rPr>
              <w:t>评标委员会构成：</w:t>
            </w:r>
            <w:r>
              <w:rPr>
                <w:sz w:val="21"/>
                <w:highlight w:val="none"/>
                <w:u w:val="single"/>
              </w:rPr>
              <w:t xml:space="preserve"> </w:t>
            </w:r>
            <w:r>
              <w:rPr>
                <w:rFonts w:hint="eastAsia" w:ascii="Times New Roman"/>
                <w:sz w:val="21"/>
                <w:highlight w:val="none"/>
                <w:u w:val="single"/>
                <w:lang w:val="en-US" w:eastAsia="zh-CN"/>
              </w:rPr>
              <w:t>5</w:t>
            </w:r>
            <w:r>
              <w:rPr>
                <w:rFonts w:ascii="Times New Roman" w:eastAsia="Times New Roman"/>
                <w:sz w:val="21"/>
                <w:highlight w:val="none"/>
                <w:u w:val="single"/>
              </w:rPr>
              <w:t xml:space="preserve"> </w:t>
            </w:r>
            <w:r>
              <w:rPr>
                <w:sz w:val="21"/>
                <w:highlight w:val="none"/>
              </w:rPr>
              <w:t>人，其中：采购人代表</w:t>
            </w:r>
            <w:r>
              <w:rPr>
                <w:sz w:val="21"/>
                <w:highlight w:val="none"/>
                <w:u w:val="single"/>
              </w:rPr>
              <w:t xml:space="preserve"> </w:t>
            </w:r>
            <w:r>
              <w:rPr>
                <w:rFonts w:hint="eastAsia" w:ascii="Times New Roman"/>
                <w:sz w:val="21"/>
                <w:highlight w:val="none"/>
                <w:u w:val="single"/>
                <w:lang w:val="en-US" w:eastAsia="zh-CN"/>
              </w:rPr>
              <w:t xml:space="preserve">0 </w:t>
            </w:r>
            <w:r>
              <w:rPr>
                <w:rFonts w:ascii="Times New Roman" w:eastAsia="Times New Roman"/>
                <w:sz w:val="21"/>
                <w:highlight w:val="none"/>
                <w:u w:val="single"/>
              </w:rPr>
              <w:t xml:space="preserve"> </w:t>
            </w:r>
            <w:r>
              <w:rPr>
                <w:sz w:val="21"/>
                <w:highlight w:val="none"/>
              </w:rPr>
              <w:t>人；专家</w:t>
            </w:r>
            <w:r>
              <w:rPr>
                <w:sz w:val="21"/>
                <w:highlight w:val="none"/>
                <w:u w:val="single"/>
              </w:rPr>
              <w:t xml:space="preserve"> </w:t>
            </w:r>
            <w:r>
              <w:rPr>
                <w:rFonts w:hint="eastAsia" w:ascii="Times New Roman"/>
                <w:sz w:val="21"/>
                <w:highlight w:val="none"/>
                <w:u w:val="single"/>
                <w:lang w:val="en-US" w:eastAsia="zh-CN"/>
              </w:rPr>
              <w:t xml:space="preserve">5 </w:t>
            </w:r>
            <w:r>
              <w:rPr>
                <w:rFonts w:ascii="Times New Roman" w:eastAsia="Times New Roman"/>
                <w:sz w:val="21"/>
                <w:highlight w:val="none"/>
                <w:u w:val="single"/>
              </w:rPr>
              <w:t xml:space="preserve"> </w:t>
            </w:r>
            <w:r>
              <w:rPr>
                <w:sz w:val="21"/>
                <w:highlight w:val="none"/>
              </w:rPr>
              <w:t>人。</w:t>
            </w:r>
          </w:p>
          <w:p>
            <w:pPr>
              <w:pStyle w:val="23"/>
              <w:spacing w:before="7" w:line="320" w:lineRule="atLeast"/>
              <w:ind w:left="105" w:right="100"/>
              <w:rPr>
                <w:sz w:val="21"/>
              </w:rPr>
            </w:pPr>
            <w:r>
              <w:rPr>
                <w:sz w:val="21"/>
              </w:rPr>
              <w:t>评标专家确定方式：开标前在政府采购</w:t>
            </w:r>
            <w:r>
              <w:rPr>
                <w:rFonts w:hint="eastAsia"/>
                <w:sz w:val="21"/>
                <w:lang w:eastAsia="zh-CN"/>
              </w:rPr>
              <w:t>云平台的</w:t>
            </w:r>
            <w:r>
              <w:rPr>
                <w:sz w:val="21"/>
              </w:rPr>
              <w:t>评审专家库中，通过随机方式抽取评审专家。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69" w:type="dxa"/>
          </w:tcPr>
          <w:p>
            <w:pPr>
              <w:pStyle w:val="23"/>
              <w:spacing w:before="4"/>
              <w:rPr>
                <w:rFonts w:ascii="Times New Roman"/>
                <w:sz w:val="22"/>
              </w:rPr>
            </w:pPr>
          </w:p>
          <w:p>
            <w:pPr>
              <w:pStyle w:val="23"/>
              <w:ind w:right="293"/>
              <w:jc w:val="right"/>
              <w:rPr>
                <w:rFonts w:ascii="Times New Roman"/>
                <w:sz w:val="21"/>
              </w:rPr>
            </w:pPr>
            <w:r>
              <w:rPr>
                <w:rFonts w:ascii="Times New Roman"/>
                <w:sz w:val="21"/>
              </w:rPr>
              <w:t>29</w:t>
            </w:r>
          </w:p>
        </w:tc>
        <w:tc>
          <w:tcPr>
            <w:tcW w:w="2415" w:type="dxa"/>
          </w:tcPr>
          <w:p>
            <w:pPr>
              <w:pStyle w:val="23"/>
              <w:spacing w:before="82" w:line="290" w:lineRule="auto"/>
              <w:ind w:left="107" w:right="192"/>
              <w:jc w:val="center"/>
              <w:rPr>
                <w:sz w:val="21"/>
              </w:rPr>
            </w:pPr>
            <w:r>
              <w:rPr>
                <w:sz w:val="21"/>
              </w:rPr>
              <w:t>是否授权评标委员会确定中标人</w:t>
            </w:r>
          </w:p>
        </w:tc>
        <w:tc>
          <w:tcPr>
            <w:tcW w:w="6735" w:type="dxa"/>
          </w:tcPr>
          <w:p>
            <w:pPr>
              <w:pStyle w:val="23"/>
              <w:spacing w:before="4"/>
              <w:rPr>
                <w:rFonts w:ascii="Times New Roman"/>
                <w:sz w:val="21"/>
              </w:rPr>
            </w:pPr>
          </w:p>
          <w:p>
            <w:pPr>
              <w:pStyle w:val="23"/>
              <w:ind w:left="105"/>
              <w:rPr>
                <w:sz w:val="21"/>
              </w:rPr>
            </w:pPr>
            <w:r>
              <w:rPr>
                <w:sz w:val="21"/>
              </w:rPr>
              <w:t>否，推荐的中标候选人数：</w:t>
            </w:r>
            <w:r>
              <w:rPr>
                <w:rFonts w:ascii="Times New Roman" w:eastAsia="Times New Roman"/>
                <w:sz w:val="21"/>
              </w:rPr>
              <w:t xml:space="preserve">3 </w:t>
            </w:r>
            <w:r>
              <w:rPr>
                <w:sz w:val="21"/>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869" w:type="dxa"/>
          </w:tcPr>
          <w:p>
            <w:pPr>
              <w:pStyle w:val="23"/>
              <w:rPr>
                <w:rFonts w:ascii="Times New Roman"/>
                <w:sz w:val="32"/>
              </w:rPr>
            </w:pPr>
          </w:p>
          <w:p>
            <w:pPr>
              <w:pStyle w:val="23"/>
              <w:ind w:right="293"/>
              <w:jc w:val="right"/>
              <w:rPr>
                <w:rFonts w:ascii="Times New Roman"/>
                <w:sz w:val="21"/>
              </w:rPr>
            </w:pPr>
            <w:r>
              <w:rPr>
                <w:rFonts w:ascii="Times New Roman"/>
                <w:sz w:val="21"/>
              </w:rPr>
              <w:t>30</w:t>
            </w:r>
          </w:p>
        </w:tc>
        <w:tc>
          <w:tcPr>
            <w:tcW w:w="2415" w:type="dxa"/>
          </w:tcPr>
          <w:p>
            <w:pPr>
              <w:pStyle w:val="23"/>
              <w:jc w:val="center"/>
              <w:rPr>
                <w:rFonts w:ascii="Times New Roman"/>
                <w:sz w:val="20"/>
              </w:rPr>
            </w:pPr>
          </w:p>
          <w:p>
            <w:pPr>
              <w:pStyle w:val="23"/>
              <w:spacing w:before="127"/>
              <w:ind w:left="107"/>
              <w:jc w:val="center"/>
              <w:rPr>
                <w:sz w:val="21"/>
              </w:rPr>
            </w:pPr>
            <w:r>
              <w:rPr>
                <w:sz w:val="21"/>
              </w:rPr>
              <w:t>中标公告</w:t>
            </w:r>
          </w:p>
        </w:tc>
        <w:tc>
          <w:tcPr>
            <w:tcW w:w="6735" w:type="dxa"/>
          </w:tcPr>
          <w:p>
            <w:pPr>
              <w:pStyle w:val="23"/>
              <w:spacing w:before="30" w:line="292" w:lineRule="auto"/>
              <w:ind w:left="105" w:right="100"/>
              <w:rPr>
                <w:sz w:val="21"/>
              </w:rPr>
            </w:pPr>
            <w:r>
              <w:rPr>
                <w:sz w:val="21"/>
              </w:rPr>
              <w:t>公告媒体：</w:t>
            </w:r>
            <w:r>
              <w:rPr>
                <w:rFonts w:hint="eastAsia"/>
                <w:sz w:val="21"/>
                <w:lang w:eastAsia="zh-CN"/>
              </w:rPr>
              <w:t>在新疆政府采购网和阿克苏地区公共资源电子招投标平台上同时发布。</w:t>
            </w:r>
          </w:p>
          <w:p>
            <w:pPr>
              <w:pStyle w:val="23"/>
              <w:spacing w:line="264" w:lineRule="exact"/>
              <w:ind w:left="105"/>
              <w:rPr>
                <w:rFonts w:hint="eastAsia" w:eastAsia="宋体"/>
                <w:sz w:val="21"/>
                <w:lang w:eastAsia="zh-CN"/>
              </w:rPr>
            </w:pPr>
            <w:r>
              <w:rPr>
                <w:sz w:val="21"/>
              </w:rPr>
              <w:t>公告期限：</w:t>
            </w:r>
            <w:r>
              <w:rPr>
                <w:rFonts w:ascii="Times New Roman" w:eastAsia="Times New Roman"/>
                <w:sz w:val="21"/>
              </w:rPr>
              <w:t xml:space="preserve">1 </w:t>
            </w:r>
            <w:r>
              <w:rPr>
                <w:sz w:val="21"/>
              </w:rPr>
              <w:t>个工作日</w:t>
            </w:r>
            <w:r>
              <w:rPr>
                <w:rFonts w:hint="eastAsia"/>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6" w:hRule="atLeast"/>
        </w:trPr>
        <w:tc>
          <w:tcPr>
            <w:tcW w:w="869" w:type="dxa"/>
            <w:vAlign w:val="center"/>
          </w:tcPr>
          <w:p>
            <w:pPr>
              <w:pStyle w:val="23"/>
              <w:jc w:val="both"/>
              <w:rPr>
                <w:rFonts w:ascii="Times New Roman"/>
                <w:sz w:val="22"/>
              </w:rPr>
            </w:pPr>
          </w:p>
          <w:p>
            <w:pPr>
              <w:pStyle w:val="23"/>
              <w:jc w:val="center"/>
              <w:rPr>
                <w:rFonts w:ascii="Times New Roman"/>
                <w:sz w:val="25"/>
              </w:rPr>
            </w:pPr>
          </w:p>
          <w:p>
            <w:pPr>
              <w:pStyle w:val="23"/>
              <w:ind w:right="293"/>
              <w:jc w:val="center"/>
              <w:rPr>
                <w:rFonts w:ascii="Times New Roman"/>
                <w:sz w:val="21"/>
              </w:rPr>
            </w:pPr>
            <w:r>
              <w:rPr>
                <w:rFonts w:ascii="Times New Roman"/>
                <w:sz w:val="21"/>
              </w:rPr>
              <w:t>31</w:t>
            </w:r>
          </w:p>
        </w:tc>
        <w:tc>
          <w:tcPr>
            <w:tcW w:w="2415" w:type="dxa"/>
          </w:tcPr>
          <w:p>
            <w:pPr>
              <w:pStyle w:val="23"/>
              <w:rPr>
                <w:rFonts w:ascii="Times New Roman"/>
                <w:sz w:val="20"/>
              </w:rPr>
            </w:pPr>
          </w:p>
          <w:p>
            <w:pPr>
              <w:pStyle w:val="23"/>
              <w:rPr>
                <w:rFonts w:ascii="Times New Roman"/>
                <w:sz w:val="26"/>
              </w:rPr>
            </w:pPr>
          </w:p>
          <w:p>
            <w:pPr>
              <w:pStyle w:val="23"/>
              <w:rPr>
                <w:rFonts w:ascii="Times New Roman"/>
                <w:sz w:val="26"/>
              </w:rPr>
            </w:pPr>
          </w:p>
          <w:p>
            <w:pPr>
              <w:pStyle w:val="23"/>
              <w:rPr>
                <w:rFonts w:ascii="Times New Roman"/>
                <w:sz w:val="26"/>
              </w:rPr>
            </w:pPr>
          </w:p>
          <w:p>
            <w:pPr>
              <w:pStyle w:val="23"/>
              <w:rPr>
                <w:rFonts w:ascii="Times New Roman"/>
                <w:sz w:val="26"/>
              </w:rPr>
            </w:pPr>
          </w:p>
          <w:p>
            <w:pPr>
              <w:pStyle w:val="23"/>
              <w:rPr>
                <w:rFonts w:ascii="Times New Roman"/>
                <w:sz w:val="26"/>
              </w:rPr>
            </w:pPr>
          </w:p>
          <w:p>
            <w:pPr>
              <w:pStyle w:val="23"/>
              <w:rPr>
                <w:rFonts w:ascii="Times New Roman"/>
                <w:sz w:val="26"/>
              </w:rPr>
            </w:pPr>
          </w:p>
          <w:p>
            <w:pPr>
              <w:pStyle w:val="23"/>
              <w:rPr>
                <w:rFonts w:ascii="Times New Roman"/>
                <w:sz w:val="26"/>
              </w:rPr>
            </w:pPr>
          </w:p>
          <w:p>
            <w:pPr>
              <w:pStyle w:val="23"/>
              <w:rPr>
                <w:rFonts w:ascii="Times New Roman"/>
                <w:sz w:val="26"/>
              </w:rPr>
            </w:pPr>
          </w:p>
          <w:p>
            <w:pPr>
              <w:pStyle w:val="23"/>
              <w:rPr>
                <w:rFonts w:ascii="Times New Roman"/>
                <w:sz w:val="26"/>
              </w:rPr>
            </w:pPr>
          </w:p>
          <w:p>
            <w:pPr>
              <w:pStyle w:val="23"/>
              <w:rPr>
                <w:rFonts w:ascii="Times New Roman"/>
                <w:sz w:val="26"/>
              </w:rPr>
            </w:pPr>
          </w:p>
          <w:p>
            <w:pPr>
              <w:pStyle w:val="23"/>
              <w:ind w:firstLine="480" w:firstLineChars="200"/>
              <w:jc w:val="both"/>
              <w:rPr>
                <w:rFonts w:hint="eastAsia" w:eastAsia="宋体"/>
                <w:sz w:val="21"/>
                <w:lang w:eastAsia="zh-CN"/>
              </w:rPr>
            </w:pPr>
            <w:r>
              <w:rPr>
                <w:rFonts w:hint="eastAsia" w:ascii="宋体" w:hAnsi="宋体" w:eastAsia="宋体" w:cs="宋体"/>
                <w:color w:val="auto"/>
                <w:sz w:val="24"/>
                <w:szCs w:val="24"/>
                <w:lang w:val="zh-CN" w:eastAsia="zh-CN" w:bidi="zh-CN"/>
              </w:rPr>
              <w:t>投标保证金</w:t>
            </w:r>
          </w:p>
        </w:tc>
        <w:tc>
          <w:tcPr>
            <w:tcW w:w="6735" w:type="dxa"/>
          </w:tcPr>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cs="宋体"/>
                <w:b/>
                <w:bCs/>
                <w:color w:val="0000FF"/>
                <w:szCs w:val="21"/>
                <w:lang w:eastAsia="zh-CN"/>
              </w:rPr>
            </w:pPr>
            <w:r>
              <w:rPr>
                <w:rFonts w:hint="eastAsia" w:cs="宋体"/>
                <w:color w:val="auto"/>
                <w:sz w:val="24"/>
                <w:szCs w:val="24"/>
                <w:lang w:eastAsia="zh-CN"/>
              </w:rPr>
              <w:t>本项目</w:t>
            </w:r>
            <w:r>
              <w:rPr>
                <w:rFonts w:hint="eastAsia" w:ascii="宋体" w:hAnsi="宋体" w:eastAsia="宋体" w:cs="宋体"/>
                <w:color w:val="auto"/>
                <w:sz w:val="24"/>
                <w:szCs w:val="24"/>
              </w:rPr>
              <w:t>投标保证金</w:t>
            </w:r>
            <w:r>
              <w:rPr>
                <w:rFonts w:hint="eastAsia" w:ascii="宋体" w:hAnsi="宋体" w:eastAsia="宋体" w:cs="宋体"/>
                <w:color w:val="auto"/>
                <w:sz w:val="24"/>
                <w:szCs w:val="24"/>
                <w:lang w:val="en-US" w:eastAsia="zh-CN"/>
              </w:rPr>
              <w:t>：480000元（大写：肆拾捌万元整 ）</w:t>
            </w:r>
          </w:p>
          <w:p>
            <w:pPr>
              <w:keepNext w:val="0"/>
              <w:keepLines w:val="0"/>
              <w:pageBreakBefore w:val="0"/>
              <w:widowControl w:val="0"/>
              <w:kinsoku/>
              <w:wordWrap/>
              <w:overflowPunct/>
              <w:topLinePunct w:val="0"/>
              <w:autoSpaceDE/>
              <w:autoSpaceDN/>
              <w:bidi w:val="0"/>
              <w:adjustRightInd/>
              <w:snapToGrid/>
              <w:spacing w:line="360" w:lineRule="auto"/>
              <w:ind w:left="240" w:leftChars="109"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投标保证金提交方式：请于2021年</w:t>
            </w: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月</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日18:00之前从投标人所在基本账户</w:t>
            </w:r>
            <w:r>
              <w:rPr>
                <w:rFonts w:hint="eastAsia" w:cs="宋体"/>
                <w:color w:val="auto"/>
                <w:sz w:val="24"/>
                <w:szCs w:val="24"/>
                <w:lang w:val="en-US" w:eastAsia="zh-CN"/>
              </w:rPr>
              <w:t>以支票、汇票、本票或者金融机构、担保机构出具的保函等非现金形式提交</w:t>
            </w:r>
            <w:r>
              <w:rPr>
                <w:rFonts w:hint="eastAsia" w:ascii="宋体" w:hAnsi="宋体" w:eastAsia="宋体" w:cs="宋体"/>
                <w:color w:val="auto"/>
                <w:sz w:val="24"/>
                <w:szCs w:val="24"/>
                <w:lang w:val="en-US" w:eastAsia="zh-CN"/>
              </w:rPr>
              <w:t>到指定的投标保证金账户；</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行号：（1038 9103 5603）</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账号：（3035 6001 0400 02121）</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名称：中国农业银行股份有限公司阿克苏迎宾路</w:t>
            </w:r>
            <w:r>
              <w:rPr>
                <w:rFonts w:hint="eastAsia" w:cs="宋体"/>
                <w:color w:val="auto"/>
                <w:sz w:val="24"/>
                <w:szCs w:val="24"/>
                <w:lang w:val="en-US" w:eastAsia="zh-CN"/>
              </w:rPr>
              <w:t>分理部</w:t>
            </w:r>
          </w:p>
          <w:p>
            <w:pPr>
              <w:keepNext w:val="0"/>
              <w:keepLines w:val="0"/>
              <w:pageBreakBefore w:val="0"/>
              <w:widowControl w:val="0"/>
              <w:kinsoku/>
              <w:wordWrap/>
              <w:overflowPunct/>
              <w:topLinePunct w:val="0"/>
              <w:autoSpaceDE/>
              <w:autoSpaceDN/>
              <w:bidi w:val="0"/>
              <w:adjustRightInd/>
              <w:snapToGrid/>
              <w:spacing w:line="360" w:lineRule="auto"/>
              <w:ind w:left="240" w:leftChars="109"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收款人：喀什铭远建设工程项目管理咨询有限公司阿克苏分公司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240" w:leftChars="109"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投标人按上述要求递交投标保证金后，请携带银行凭据到</w:t>
            </w:r>
            <w:r>
              <w:rPr>
                <w:rFonts w:hint="default" w:ascii="宋体" w:hAnsi="宋体" w:eastAsia="宋体" w:cs="宋体"/>
                <w:color w:val="auto"/>
                <w:sz w:val="24"/>
                <w:szCs w:val="24"/>
                <w:lang w:val="en-US" w:eastAsia="zh-CN"/>
              </w:rPr>
              <w:t>喀什铭远建设工程项目管理咨询有限公司</w:t>
            </w:r>
            <w:r>
              <w:rPr>
                <w:rFonts w:hint="eastAsia" w:ascii="宋体" w:hAnsi="宋体" w:eastAsia="宋体" w:cs="宋体"/>
                <w:color w:val="auto"/>
                <w:sz w:val="24"/>
                <w:szCs w:val="24"/>
                <w:lang w:val="en-US" w:eastAsia="zh-CN"/>
              </w:rPr>
              <w:t>领取招标代理机构开具的投标保证金收款收据。</w:t>
            </w:r>
          </w:p>
          <w:p>
            <w:pPr>
              <w:pStyle w:val="19"/>
              <w:ind w:firstLine="240" w:firstLineChars="100"/>
              <w:rPr>
                <w:rFonts w:hint="eastAsia"/>
                <w:lang w:val="en-US" w:eastAsia="zh-CN"/>
              </w:rPr>
            </w:pPr>
            <w:r>
              <w:rPr>
                <w:rFonts w:hint="eastAsia" w:ascii="宋体" w:hAnsi="宋体" w:cs="宋体"/>
                <w:color w:val="auto"/>
                <w:sz w:val="24"/>
                <w:szCs w:val="24"/>
                <w:lang w:val="en-US" w:eastAsia="zh-CN"/>
              </w:rPr>
              <w:t>投标人未按照招标文件要求提交投标保证金的，投标无效。</w:t>
            </w:r>
          </w:p>
          <w:p>
            <w:pPr>
              <w:pStyle w:val="1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Times New Roman" w:eastAsia="Times New Roman"/>
                <w:sz w:val="21"/>
              </w:rPr>
            </w:pPr>
            <w:r>
              <w:rPr>
                <w:rFonts w:hint="eastAsia" w:ascii="宋体" w:hAnsi="宋体" w:eastAsia="宋体" w:cs="宋体"/>
                <w:color w:val="auto"/>
                <w:sz w:val="24"/>
                <w:szCs w:val="24"/>
                <w:lang w:eastAsia="zh-CN"/>
              </w:rPr>
              <w:t>招标文件每本</w:t>
            </w: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00元，售出概不退还。</w:t>
            </w:r>
          </w:p>
        </w:tc>
      </w:tr>
    </w:tbl>
    <w:tbl>
      <w:tblPr>
        <w:tblStyle w:val="17"/>
        <w:tblpPr w:leftFromText="180" w:rightFromText="180" w:vertAnchor="text" w:horzAnchor="page" w:tblpX="905" w:tblpY="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10070" w:type="dxa"/>
          </w:tcPr>
          <w:p>
            <w:pPr>
              <w:pStyle w:val="23"/>
              <w:spacing w:before="4"/>
              <w:rPr>
                <w:rFonts w:ascii="Times New Roman"/>
                <w:sz w:val="25"/>
              </w:rPr>
            </w:pPr>
          </w:p>
          <w:p>
            <w:pPr>
              <w:pStyle w:val="23"/>
              <w:ind w:left="107"/>
              <w:rPr>
                <w:b/>
                <w:sz w:val="21"/>
              </w:rPr>
            </w:pPr>
            <w:r>
              <w:rPr>
                <w:b/>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4" w:hRule="atLeast"/>
        </w:trPr>
        <w:tc>
          <w:tcPr>
            <w:tcW w:w="10070" w:type="dxa"/>
            <w:vAlign w:val="center"/>
          </w:tcPr>
          <w:p>
            <w:pPr>
              <w:pStyle w:val="23"/>
              <w:spacing w:before="2"/>
              <w:ind w:firstLine="422" w:firstLineChars="200"/>
              <w:jc w:val="both"/>
              <w:rPr>
                <w:sz w:val="21"/>
              </w:rPr>
            </w:pPr>
            <w:r>
              <w:rPr>
                <w:b/>
                <w:sz w:val="21"/>
              </w:rPr>
              <w:t>招标代理服务费：</w:t>
            </w:r>
            <w:r>
              <w:rPr>
                <w:sz w:val="21"/>
              </w:rPr>
              <w:t>代理服务费根据《招标代理服务收费管理暂行办法》计价格</w:t>
            </w:r>
            <w:r>
              <w:rPr>
                <w:rFonts w:ascii="Times New Roman" w:eastAsia="Times New Roman"/>
                <w:sz w:val="21"/>
              </w:rPr>
              <w:t xml:space="preserve">[2002]1980 </w:t>
            </w:r>
            <w:r>
              <w:rPr>
                <w:sz w:val="21"/>
              </w:rPr>
              <w:t>号文</w:t>
            </w:r>
            <w:r>
              <w:rPr>
                <w:rFonts w:ascii="Times New Roman" w:eastAsia="Times New Roman"/>
                <w:sz w:val="21"/>
              </w:rPr>
              <w:t>&amp;</w:t>
            </w:r>
            <w:r>
              <w:rPr>
                <w:sz w:val="21"/>
              </w:rPr>
              <w:t>发改价格</w:t>
            </w:r>
            <w:r>
              <w:rPr>
                <w:rFonts w:ascii="Times New Roman" w:eastAsia="Times New Roman"/>
                <w:sz w:val="21"/>
              </w:rPr>
              <w:t xml:space="preserve">[2011]534 </w:t>
            </w:r>
            <w:r>
              <w:rPr>
                <w:sz w:val="21"/>
              </w:rPr>
              <w:t>号国家规定的招标代理服务费标准计取。，由中标人在领取中标通知书前向采购代理机构一次性支付。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10070" w:type="dxa"/>
          </w:tcPr>
          <w:p>
            <w:pPr>
              <w:pStyle w:val="23"/>
              <w:spacing w:before="128" w:line="290" w:lineRule="auto"/>
              <w:ind w:left="107" w:right="-15" w:firstLine="422"/>
              <w:rPr>
                <w:b/>
                <w:sz w:val="21"/>
              </w:rPr>
            </w:pPr>
            <w:r>
              <w:rPr>
                <w:sz w:val="21"/>
              </w:rPr>
              <w:t>本</w:t>
            </w:r>
            <w:r>
              <w:rPr>
                <w:rFonts w:hint="eastAsia"/>
                <w:sz w:val="21"/>
                <w:lang w:eastAsia="zh-CN"/>
              </w:rPr>
              <w:t>项目</w:t>
            </w:r>
            <w:r>
              <w:rPr>
                <w:sz w:val="21"/>
              </w:rPr>
              <w:t>中标人应在合同签订之前提交履约保证金</w:t>
            </w:r>
            <w:r>
              <w:rPr>
                <w:rFonts w:hint="eastAsia"/>
                <w:sz w:val="21"/>
                <w:lang w:eastAsia="zh-CN"/>
              </w:rPr>
              <w:t>贰</w:t>
            </w:r>
            <w:r>
              <w:rPr>
                <w:sz w:val="21"/>
              </w:rPr>
              <w:t>拾万元整（¥：</w:t>
            </w:r>
            <w:r>
              <w:rPr>
                <w:rFonts w:hint="eastAsia"/>
                <w:sz w:val="21"/>
                <w:lang w:val="en-US" w:eastAsia="zh-CN"/>
              </w:rPr>
              <w:t>200000</w:t>
            </w:r>
            <w:r>
              <w:rPr>
                <w:sz w:val="21"/>
              </w:rPr>
              <w:t xml:space="preserve"> 元），转至甲方开户行。履约保证金可以</w:t>
            </w:r>
            <w:r>
              <w:rPr>
                <w:rFonts w:hint="eastAsia"/>
                <w:sz w:val="21"/>
                <w:lang w:eastAsia="zh-CN"/>
              </w:rPr>
              <w:t>以</w:t>
            </w:r>
            <w:r>
              <w:rPr>
                <w:sz w:val="21"/>
              </w:rPr>
              <w:t>履约保函形式或现金形式缴纳，在合同有效期期满后 5 天内退还给乙方，不计利息。</w:t>
            </w:r>
          </w:p>
        </w:tc>
      </w:tr>
    </w:tbl>
    <w:tbl>
      <w:tblPr>
        <w:tblStyle w:val="17"/>
        <w:tblpPr w:leftFromText="180" w:rightFromText="180" w:vertAnchor="text" w:horzAnchor="page" w:tblpX="920" w:tblpY="257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10085" w:type="dxa"/>
            <w:tcBorders>
              <w:top w:val="single" w:color="000000" w:sz="8" w:space="0"/>
            </w:tcBorders>
          </w:tcPr>
          <w:p>
            <w:pPr>
              <w:pStyle w:val="23"/>
              <w:spacing w:before="5"/>
              <w:rPr>
                <w:rFonts w:ascii="Times New Roman"/>
                <w:sz w:val="25"/>
              </w:rPr>
            </w:pPr>
          </w:p>
          <w:p>
            <w:pPr>
              <w:pStyle w:val="23"/>
              <w:spacing w:before="1"/>
              <w:ind w:left="528"/>
              <w:rPr>
                <w:sz w:val="21"/>
              </w:rPr>
            </w:pPr>
            <w:r>
              <w:rPr>
                <w:sz w:val="21"/>
              </w:rPr>
              <w:t>本招标文件未明确的其他事项，按照有关法律、法规或省市有关规定执行。</w:t>
            </w:r>
          </w:p>
        </w:tc>
      </w:tr>
    </w:tbl>
    <w:p>
      <w:pPr>
        <w:spacing w:after="0"/>
        <w:rPr>
          <w:rFonts w:hint="eastAsia"/>
          <w:sz w:val="21"/>
          <w:lang w:val="en-US" w:eastAsia="zh-CN"/>
        </w:rPr>
      </w:pPr>
      <w:r>
        <w:rPr>
          <w:rFonts w:hint="eastAsia"/>
          <w:sz w:val="21"/>
          <w:lang w:val="en-US" w:eastAsia="zh-CN"/>
        </w:rPr>
        <w:t xml:space="preserve"> </w:t>
      </w:r>
    </w:p>
    <w:p>
      <w:pPr>
        <w:bidi w:val="0"/>
        <w:rPr>
          <w:rFonts w:hint="eastAsia" w:ascii="宋体" w:hAnsi="宋体" w:eastAsia="宋体" w:cs="宋体"/>
          <w:sz w:val="22"/>
          <w:szCs w:val="22"/>
          <w:lang w:val="en-US" w:eastAsia="zh-CN" w:bidi="zh-CN"/>
        </w:rPr>
      </w:pPr>
    </w:p>
    <w:p>
      <w:pPr>
        <w:bidi w:val="0"/>
        <w:rPr>
          <w:rFonts w:hint="eastAsia"/>
          <w:lang w:val="en-US" w:eastAsia="zh-CN"/>
        </w:rPr>
      </w:pPr>
    </w:p>
    <w:p>
      <w:pPr>
        <w:tabs>
          <w:tab w:val="left" w:pos="5898"/>
        </w:tabs>
        <w:bidi w:val="0"/>
        <w:jc w:val="left"/>
        <w:rPr>
          <w:rFonts w:hint="eastAsia"/>
          <w:lang w:val="en-US" w:eastAsia="zh-CN"/>
        </w:rPr>
        <w:sectPr>
          <w:pgSz w:w="11910" w:h="16840"/>
          <w:pgMar w:top="1360" w:right="740" w:bottom="1080" w:left="740" w:header="880" w:footer="887" w:gutter="0"/>
        </w:sectPr>
      </w:pPr>
      <w:r>
        <w:rPr>
          <w:rFonts w:hint="eastAsia"/>
          <w:lang w:val="en-US" w:eastAsia="zh-CN"/>
        </w:rPr>
        <w:tab/>
      </w:r>
    </w:p>
    <w:p>
      <w:pPr>
        <w:pStyle w:val="6"/>
        <w:spacing w:before="147"/>
        <w:ind w:left="0" w:leftChars="0" w:firstLine="281" w:firstLineChars="100"/>
      </w:pPr>
      <w:r>
        <w:t>二、项目说明</w:t>
      </w:r>
    </w:p>
    <w:p>
      <w:pPr>
        <w:pStyle w:val="12"/>
        <w:spacing w:before="151"/>
        <w:ind w:left="719"/>
      </w:pPr>
      <w:r>
        <w:rPr>
          <w:rFonts w:ascii="Times New Roman" w:eastAsia="Times New Roman"/>
        </w:rPr>
        <w:t>1</w:t>
      </w:r>
      <w:r>
        <w:t>、本项目说明详见投标人须知前附表。</w:t>
      </w:r>
    </w:p>
    <w:p>
      <w:pPr>
        <w:pStyle w:val="12"/>
        <w:spacing w:before="172" w:line="391" w:lineRule="auto"/>
        <w:ind w:left="337" w:right="352" w:firstLine="382"/>
      </w:pPr>
      <w:r>
        <w:rPr>
          <w:rFonts w:ascii="Times New Roman" w:eastAsia="Times New Roman"/>
        </w:rPr>
        <w:t>2</w:t>
      </w:r>
      <w:r>
        <w:rPr>
          <w:spacing w:val="-3"/>
        </w:rPr>
        <w:t>、本项目按照《中华人民共和国政府采购法》等有关法律、行政法规和部门规章，通过公开招标方式择优选定中标人。</w:t>
      </w:r>
    </w:p>
    <w:p>
      <w:pPr>
        <w:pStyle w:val="6"/>
        <w:spacing w:line="290" w:lineRule="exact"/>
      </w:pPr>
      <w:r>
        <w:t>三、招标文件</w:t>
      </w:r>
    </w:p>
    <w:p>
      <w:pPr>
        <w:pStyle w:val="12"/>
        <w:spacing w:before="153" w:line="391" w:lineRule="auto"/>
        <w:ind w:left="337" w:right="352" w:firstLine="382"/>
      </w:pPr>
      <w:r>
        <w:rPr>
          <w:rFonts w:ascii="Times New Roman" w:eastAsia="Times New Roman"/>
        </w:rPr>
        <w:t>1</w:t>
      </w:r>
      <w:r>
        <w:t>、招标文件购买：投标人须经过正常渠道购买招标文件，且投标人名称与登记领取招标文件的单位名称一致，否则将作为无效投标处理。</w:t>
      </w:r>
    </w:p>
    <w:p>
      <w:pPr>
        <w:pStyle w:val="12"/>
        <w:spacing w:before="2"/>
        <w:ind w:left="719"/>
      </w:pPr>
      <w:r>
        <w:rPr>
          <w:rFonts w:ascii="Times New Roman" w:eastAsia="Times New Roman"/>
        </w:rPr>
        <w:t>2</w:t>
      </w:r>
      <w:r>
        <w:t>、招标文件的组成：包括目录中所列的前六部分。</w:t>
      </w:r>
    </w:p>
    <w:p>
      <w:pPr>
        <w:pStyle w:val="12"/>
        <w:spacing w:before="172" w:line="391" w:lineRule="auto"/>
        <w:ind w:left="337" w:right="352" w:firstLine="382"/>
      </w:pPr>
      <w:r>
        <w:rPr>
          <w:rFonts w:ascii="Times New Roman" w:eastAsia="Times New Roman"/>
        </w:rPr>
        <w:t>3</w:t>
      </w:r>
      <w:r>
        <w:t>、投标人应认真审阅和充分理解招标文件所有的事项、格式、条款和规范要求等，在投标文件中对招标文件的各方面都做出实质性的响应，按照招标文件的要求提交全部资料。</w:t>
      </w:r>
    </w:p>
    <w:p>
      <w:pPr>
        <w:pStyle w:val="12"/>
        <w:spacing w:before="2"/>
        <w:ind w:left="719"/>
      </w:pPr>
      <w:r>
        <w:rPr>
          <w:rFonts w:ascii="Times New Roman" w:eastAsia="Times New Roman"/>
        </w:rPr>
        <w:t>4</w:t>
      </w:r>
      <w:r>
        <w:t>、招标文件的澄清或修改：</w:t>
      </w:r>
    </w:p>
    <w:p>
      <w:pPr>
        <w:pStyle w:val="22"/>
        <w:numPr>
          <w:ilvl w:val="1"/>
          <w:numId w:val="1"/>
        </w:numPr>
        <w:tabs>
          <w:tab w:val="left" w:pos="1000"/>
        </w:tabs>
        <w:spacing w:before="172" w:after="0" w:line="391" w:lineRule="auto"/>
        <w:ind w:left="337" w:right="328" w:firstLine="382"/>
        <w:jc w:val="both"/>
      </w:pPr>
      <w:r>
        <w:rPr>
          <w:spacing w:val="-3"/>
          <w:sz w:val="21"/>
        </w:rPr>
        <w:t>、提交投标文件截止时间前，采购人、采购代理机构可以以书面形式对招标文件进行必要的澄清或修改，并在原信息发布媒体上发布变更公告。澄清或修改的内容均为招标文件的组成部分，并对及投标人</w:t>
      </w:r>
      <w:r>
        <w:rPr>
          <w:spacing w:val="-6"/>
          <w:sz w:val="21"/>
        </w:rPr>
        <w:t xml:space="preserve">起约束作用。澄清或修改的内容可能影响投标文件编制的，都将于提交投标文件截止时间 </w:t>
      </w:r>
      <w:r>
        <w:rPr>
          <w:rFonts w:ascii="Times New Roman" w:eastAsia="Times New Roman"/>
          <w:sz w:val="21"/>
        </w:rPr>
        <w:t>15</w:t>
      </w:r>
      <w:r>
        <w:rPr>
          <w:rFonts w:ascii="Times New Roman" w:eastAsia="Times New Roman"/>
          <w:spacing w:val="21"/>
          <w:sz w:val="21"/>
        </w:rPr>
        <w:t xml:space="preserve"> </w:t>
      </w:r>
      <w:r>
        <w:rPr>
          <w:spacing w:val="-3"/>
          <w:sz w:val="21"/>
        </w:rPr>
        <w:t>日前以书面形</w:t>
      </w:r>
      <w:r>
        <w:t xml:space="preserve">式发送给所有参加投标的投标人；不足 </w:t>
      </w:r>
      <w:r>
        <w:rPr>
          <w:rFonts w:ascii="Times New Roman" w:eastAsia="Times New Roman"/>
        </w:rPr>
        <w:t xml:space="preserve">15 </w:t>
      </w:r>
      <w:r>
        <w:t>日的，采购人、采购代理机构应顺延递交投标文件的截止时间。</w:t>
      </w:r>
    </w:p>
    <w:p>
      <w:pPr>
        <w:pStyle w:val="22"/>
        <w:numPr>
          <w:ilvl w:val="1"/>
          <w:numId w:val="1"/>
        </w:numPr>
        <w:tabs>
          <w:tab w:val="left" w:pos="1000"/>
        </w:tabs>
        <w:spacing w:before="170" w:after="0" w:line="393" w:lineRule="auto"/>
        <w:ind w:left="337" w:right="329" w:firstLine="382"/>
        <w:jc w:val="both"/>
        <w:rPr>
          <w:sz w:val="21"/>
        </w:rPr>
      </w:pPr>
      <w:r>
        <w:rPr>
          <w:spacing w:val="-3"/>
          <w:sz w:val="21"/>
        </w:rPr>
        <w:t>、投标人若对招标文件有任何疑问要求澄清，或认为有必要与采购人进行技术交流的，应当在提交</w:t>
      </w:r>
      <w:r>
        <w:rPr>
          <w:spacing w:val="-7"/>
          <w:sz w:val="21"/>
        </w:rPr>
        <w:t xml:space="preserve">投标文件截止时间 </w:t>
      </w:r>
      <w:r>
        <w:rPr>
          <w:sz w:val="21"/>
        </w:rPr>
        <w:t>15</w:t>
      </w:r>
      <w:r>
        <w:rPr>
          <w:spacing w:val="-8"/>
          <w:sz w:val="21"/>
        </w:rPr>
        <w:t xml:space="preserve"> 日前提出。以书面形式向采购代理机构提出，采购代理机构以书面形式予以答复，在</w:t>
      </w:r>
      <w:r>
        <w:rPr>
          <w:spacing w:val="-5"/>
          <w:sz w:val="21"/>
        </w:rPr>
        <w:t>此之后提出的无效，因此带来的一切不利后果由投标人自负。</w:t>
      </w:r>
    </w:p>
    <w:p>
      <w:pPr>
        <w:pStyle w:val="22"/>
        <w:numPr>
          <w:ilvl w:val="1"/>
          <w:numId w:val="1"/>
        </w:numPr>
        <w:tabs>
          <w:tab w:val="left" w:pos="1000"/>
        </w:tabs>
        <w:spacing w:before="0" w:after="0" w:line="393" w:lineRule="auto"/>
        <w:ind w:left="337" w:right="386" w:firstLine="382"/>
        <w:jc w:val="both"/>
        <w:rPr>
          <w:sz w:val="21"/>
        </w:rPr>
      </w:pPr>
      <w:r>
        <w:rPr>
          <w:spacing w:val="-3"/>
          <w:sz w:val="21"/>
        </w:rPr>
        <w:t>、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pStyle w:val="22"/>
        <w:numPr>
          <w:ilvl w:val="1"/>
          <w:numId w:val="1"/>
        </w:numPr>
        <w:tabs>
          <w:tab w:val="left" w:pos="1000"/>
        </w:tabs>
        <w:spacing w:before="0" w:after="0" w:line="393" w:lineRule="auto"/>
        <w:ind w:left="337" w:right="386" w:firstLine="382"/>
        <w:jc w:val="both"/>
        <w:rPr>
          <w:sz w:val="21"/>
        </w:rPr>
      </w:pPr>
      <w:r>
        <w:rPr>
          <w:spacing w:val="-3"/>
          <w:sz w:val="21"/>
        </w:rPr>
        <w:t>、在投标截止时间前，根据招标工作进展实际情况，采购人可酌情延长递交投标文件的截止时间， 若延长将另行以书面形式通知各投标人并在原信息发布媒体上发布变更公告。采购代理机构和投标人的权利和义务将受到新的截止期的约束。</w:t>
      </w:r>
    </w:p>
    <w:p>
      <w:pPr>
        <w:pStyle w:val="12"/>
        <w:spacing w:line="391" w:lineRule="auto"/>
        <w:ind w:left="337" w:right="352" w:firstLine="382"/>
      </w:pPr>
      <w:r>
        <w:rPr>
          <w:rFonts w:ascii="Times New Roman" w:eastAsia="Times New Roman"/>
        </w:rPr>
        <w:t>5</w:t>
      </w:r>
      <w:r>
        <w:t>、投标人必须从</w:t>
      </w:r>
      <w:r>
        <w:rPr>
          <w:rFonts w:hint="eastAsia"/>
          <w:lang w:eastAsia="zh-CN"/>
        </w:rPr>
        <w:t>新疆政府采购网平台下载</w:t>
      </w:r>
      <w:r>
        <w:t>招标文件，投标人自行转让或复制招标文件视为无效。招标文件售后不退，仅作为本次招标使用。</w:t>
      </w:r>
    </w:p>
    <w:p>
      <w:pPr>
        <w:pStyle w:val="12"/>
        <w:spacing w:line="391" w:lineRule="auto"/>
        <w:ind w:left="337" w:right="352" w:firstLine="382"/>
      </w:pPr>
      <w:r>
        <w:rPr>
          <w:rFonts w:ascii="Times New Roman" w:eastAsia="Times New Roman"/>
        </w:rPr>
        <w:t>6</w:t>
      </w:r>
      <w:r>
        <w:t>、招标文件的解释权归采购代理机构，如发现招标文件内容与现行法律法规不相符的情况，以现行法律法规为准。</w:t>
      </w:r>
    </w:p>
    <w:p>
      <w:pPr>
        <w:pStyle w:val="12"/>
        <w:ind w:left="719"/>
      </w:pPr>
      <w:r>
        <w:rPr>
          <w:rFonts w:ascii="Times New Roman" w:eastAsia="Times New Roman"/>
        </w:rPr>
        <w:t>7</w:t>
      </w:r>
      <w:r>
        <w:t>、现场勘查、标前答疑会：见须知前附表。</w:t>
      </w:r>
    </w:p>
    <w:p>
      <w:pPr>
        <w:pStyle w:val="12"/>
        <w:ind w:left="719"/>
      </w:pPr>
    </w:p>
    <w:p>
      <w:pPr>
        <w:pStyle w:val="12"/>
        <w:ind w:left="719"/>
      </w:pPr>
    </w:p>
    <w:p>
      <w:pPr>
        <w:pStyle w:val="6"/>
        <w:spacing w:before="97"/>
      </w:pPr>
      <w:r>
        <w:t>四、投标文件</w:t>
      </w:r>
    </w:p>
    <w:p>
      <w:pPr>
        <w:pStyle w:val="12"/>
        <w:spacing w:before="150"/>
        <w:ind w:left="750"/>
      </w:pPr>
      <w:r>
        <w:rPr>
          <w:rFonts w:ascii="Times New Roman" w:eastAsia="Times New Roman"/>
        </w:rPr>
        <w:t>1</w:t>
      </w:r>
      <w:r>
        <w:t>、投标人资格条件：</w:t>
      </w:r>
    </w:p>
    <w:p>
      <w:pPr>
        <w:pStyle w:val="12"/>
        <w:spacing w:before="10"/>
        <w:rPr>
          <w:sz w:val="10"/>
        </w:rPr>
      </w:pPr>
    </w:p>
    <w:p>
      <w:pPr>
        <w:pStyle w:val="22"/>
        <w:numPr>
          <w:ilvl w:val="1"/>
          <w:numId w:val="2"/>
        </w:numPr>
        <w:tabs>
          <w:tab w:val="left" w:pos="1038"/>
        </w:tabs>
        <w:spacing w:before="79" w:after="0" w:line="391" w:lineRule="auto"/>
        <w:ind w:left="337" w:right="348" w:firstLine="420"/>
        <w:jc w:val="left"/>
        <w:rPr>
          <w:sz w:val="21"/>
        </w:rPr>
      </w:pPr>
      <w:r>
        <w:rPr>
          <w:spacing w:val="-3"/>
          <w:sz w:val="21"/>
        </w:rPr>
        <w:t>、符合《中华人民共和国政府采购法》第二十二条及《中华人民共和国政府采购法实施条例》第十七条规定的投标人条件：</w:t>
      </w:r>
    </w:p>
    <w:p>
      <w:pPr>
        <w:pStyle w:val="23"/>
        <w:numPr>
          <w:ilvl w:val="0"/>
          <w:numId w:val="0"/>
        </w:numPr>
        <w:tabs>
          <w:tab w:val="left" w:pos="635"/>
        </w:tabs>
        <w:spacing w:before="1" w:after="0" w:line="290" w:lineRule="auto"/>
        <w:ind w:left="935" w:leftChars="333" w:right="91" w:rightChars="0" w:hanging="202" w:hangingChars="100"/>
        <w:jc w:val="left"/>
        <w:rPr>
          <w:rFonts w:ascii="宋体" w:hAnsi="宋体" w:eastAsia="宋体" w:cs="宋体"/>
          <w:spacing w:val="-4"/>
          <w:sz w:val="21"/>
          <w:szCs w:val="22"/>
          <w:lang w:val="zh-CN" w:eastAsia="zh-CN" w:bidi="zh-CN"/>
        </w:rPr>
      </w:pPr>
      <w:r>
        <w:rPr>
          <w:rFonts w:hint="eastAsia" w:ascii="宋体" w:hAnsi="宋体" w:eastAsia="宋体" w:cs="宋体"/>
          <w:spacing w:val="-4"/>
          <w:sz w:val="21"/>
          <w:szCs w:val="22"/>
          <w:lang w:val="en-US" w:eastAsia="zh-CN" w:bidi="zh-CN"/>
        </w:rPr>
        <w:t xml:space="preserve">（1） </w:t>
      </w:r>
      <w:r>
        <w:rPr>
          <w:rFonts w:ascii="宋体" w:hAnsi="宋体" w:eastAsia="宋体" w:cs="宋体"/>
          <w:spacing w:val="-4"/>
          <w:sz w:val="21"/>
          <w:szCs w:val="22"/>
          <w:lang w:val="zh-CN" w:eastAsia="zh-CN" w:bidi="zh-CN"/>
        </w:rPr>
        <w:t>具有独立承担民事责任能力的法人或其他组织，提供有效存续的营业执照或事业单位法人证书或非企业专业服务机构执业许可证或民办非企业单位登记证书；</w:t>
      </w:r>
    </w:p>
    <w:p>
      <w:pPr>
        <w:pStyle w:val="22"/>
        <w:numPr>
          <w:ilvl w:val="0"/>
          <w:numId w:val="0"/>
        </w:numPr>
        <w:tabs>
          <w:tab w:val="left" w:pos="1288"/>
        </w:tabs>
        <w:spacing w:before="4" w:after="0" w:line="391" w:lineRule="auto"/>
        <w:ind w:left="757" w:leftChars="0" w:right="328" w:rightChars="0"/>
        <w:jc w:val="left"/>
        <w:rPr>
          <w:rFonts w:hint="eastAsia" w:ascii="宋体" w:hAnsi="宋体" w:eastAsia="宋体" w:cs="宋体"/>
          <w:spacing w:val="-4"/>
          <w:sz w:val="21"/>
          <w:lang w:eastAsia="zh-CN"/>
        </w:rPr>
      </w:pPr>
      <w:r>
        <w:rPr>
          <w:rFonts w:hint="eastAsia" w:ascii="宋体" w:hAnsi="宋体" w:eastAsia="宋体" w:cs="宋体"/>
          <w:spacing w:val="-4"/>
          <w:sz w:val="21"/>
          <w:lang w:eastAsia="zh-CN"/>
        </w:rPr>
        <w:t>（</w:t>
      </w:r>
      <w:r>
        <w:rPr>
          <w:rFonts w:hint="eastAsia" w:ascii="宋体" w:hAnsi="宋体" w:eastAsia="宋体" w:cs="宋体"/>
          <w:spacing w:val="-4"/>
          <w:sz w:val="21"/>
          <w:lang w:val="en-US" w:eastAsia="zh-CN"/>
        </w:rPr>
        <w:t>2</w:t>
      </w:r>
      <w:r>
        <w:rPr>
          <w:rFonts w:hint="eastAsia" w:ascii="宋体" w:hAnsi="宋体" w:eastAsia="宋体" w:cs="宋体"/>
          <w:spacing w:val="-4"/>
          <w:sz w:val="21"/>
          <w:lang w:eastAsia="zh-CN"/>
        </w:rPr>
        <w:t>）</w:t>
      </w:r>
      <w:r>
        <w:rPr>
          <w:rFonts w:hint="eastAsia" w:ascii="宋体" w:hAnsi="宋体" w:eastAsia="宋体" w:cs="宋体"/>
          <w:spacing w:val="-4"/>
          <w:sz w:val="21"/>
          <w:lang w:val="en-US" w:eastAsia="zh-CN"/>
        </w:rPr>
        <w:t xml:space="preserve"> </w:t>
      </w:r>
      <w:r>
        <w:rPr>
          <w:rFonts w:ascii="宋体" w:hAnsi="宋体" w:eastAsia="宋体" w:cs="宋体"/>
          <w:spacing w:val="-4"/>
          <w:sz w:val="21"/>
        </w:rPr>
        <w:t xml:space="preserve">财务状况报告：提供审计事务所出具的 </w:t>
      </w:r>
      <w:r>
        <w:rPr>
          <w:rFonts w:hint="eastAsia" w:ascii="宋体" w:hAnsi="宋体" w:eastAsia="宋体" w:cs="宋体"/>
          <w:spacing w:val="-4"/>
          <w:sz w:val="21"/>
          <w:lang w:val="en-US" w:eastAsia="zh-CN"/>
        </w:rPr>
        <w:t>2017、2018、2019</w:t>
      </w:r>
      <w:r>
        <w:rPr>
          <w:rFonts w:ascii="宋体" w:hAnsi="宋体" w:eastAsia="宋体" w:cs="宋体"/>
          <w:spacing w:val="-4"/>
          <w:sz w:val="21"/>
        </w:rPr>
        <w:t xml:space="preserve"> 年度的财务报告（至少包括审计报告、资产负债表和利润表，成立时间至提交投标文件截止时间不足一年的可提供成立后</w:t>
      </w:r>
      <w:r>
        <w:rPr>
          <w:rFonts w:hint="eastAsia" w:ascii="宋体" w:hAnsi="宋体" w:eastAsia="宋体" w:cs="宋体"/>
          <w:spacing w:val="-4"/>
          <w:sz w:val="21"/>
          <w:lang w:eastAsia="zh-CN"/>
        </w:rPr>
        <w:t>到至今</w:t>
      </w:r>
      <w:r>
        <w:rPr>
          <w:rFonts w:ascii="宋体" w:hAnsi="宋体" w:eastAsia="宋体" w:cs="宋体"/>
          <w:spacing w:val="-4"/>
          <w:sz w:val="21"/>
        </w:rPr>
        <w:t>的资产负债表）</w:t>
      </w:r>
      <w:r>
        <w:rPr>
          <w:rFonts w:hint="eastAsia" w:cs="宋体"/>
          <w:spacing w:val="-4"/>
          <w:sz w:val="21"/>
          <w:lang w:eastAsia="zh-CN"/>
        </w:rPr>
        <w:t>。</w:t>
      </w:r>
    </w:p>
    <w:p>
      <w:pPr>
        <w:pStyle w:val="23"/>
        <w:numPr>
          <w:ilvl w:val="0"/>
          <w:numId w:val="0"/>
        </w:numPr>
        <w:tabs>
          <w:tab w:val="left" w:pos="635"/>
        </w:tabs>
        <w:spacing w:before="4" w:after="0" w:line="290" w:lineRule="auto"/>
        <w:ind w:left="935" w:leftChars="333" w:right="91" w:rightChars="0" w:hanging="202" w:hangingChars="100"/>
        <w:jc w:val="left"/>
        <w:rPr>
          <w:rFonts w:hint="eastAsia" w:ascii="宋体" w:hAnsi="宋体" w:eastAsia="宋体" w:cs="宋体"/>
          <w:spacing w:val="-4"/>
          <w:sz w:val="21"/>
          <w:szCs w:val="22"/>
          <w:lang w:val="zh-CN" w:eastAsia="zh-CN" w:bidi="zh-CN"/>
        </w:rPr>
      </w:pPr>
      <w:r>
        <w:rPr>
          <w:rFonts w:hint="eastAsia" w:ascii="宋体" w:hAnsi="宋体" w:eastAsia="宋体" w:cs="宋体"/>
          <w:spacing w:val="-4"/>
          <w:sz w:val="21"/>
          <w:szCs w:val="22"/>
          <w:lang w:val="zh-CN" w:eastAsia="zh-CN" w:bidi="zh-CN"/>
        </w:rPr>
        <w:t>（</w:t>
      </w:r>
      <w:r>
        <w:rPr>
          <w:rFonts w:hint="eastAsia" w:ascii="宋体" w:hAnsi="宋体" w:eastAsia="宋体" w:cs="宋体"/>
          <w:spacing w:val="-4"/>
          <w:sz w:val="21"/>
          <w:szCs w:val="22"/>
          <w:lang w:val="en-US" w:eastAsia="zh-CN" w:bidi="zh-CN"/>
        </w:rPr>
        <w:t>3</w:t>
      </w:r>
      <w:r>
        <w:rPr>
          <w:rFonts w:hint="eastAsia" w:ascii="宋体" w:hAnsi="宋体" w:eastAsia="宋体" w:cs="宋体"/>
          <w:spacing w:val="-4"/>
          <w:sz w:val="21"/>
          <w:szCs w:val="22"/>
          <w:lang w:val="zh-CN" w:eastAsia="zh-CN" w:bidi="zh-CN"/>
        </w:rPr>
        <w:t>）</w:t>
      </w:r>
      <w:r>
        <w:rPr>
          <w:rFonts w:hint="eastAsia" w:ascii="宋体" w:hAnsi="宋体" w:eastAsia="宋体" w:cs="宋体"/>
          <w:spacing w:val="-4"/>
          <w:sz w:val="21"/>
          <w:szCs w:val="22"/>
          <w:lang w:val="en-US" w:eastAsia="zh-CN" w:bidi="zh-CN"/>
        </w:rPr>
        <w:t xml:space="preserve"> </w:t>
      </w:r>
      <w:r>
        <w:rPr>
          <w:rFonts w:ascii="宋体" w:hAnsi="宋体" w:eastAsia="宋体" w:cs="宋体"/>
          <w:spacing w:val="-4"/>
          <w:sz w:val="21"/>
          <w:szCs w:val="22"/>
          <w:lang w:val="zh-CN" w:eastAsia="zh-CN" w:bidi="zh-CN"/>
        </w:rPr>
        <w:t>税收缴纳证明：提供</w:t>
      </w:r>
      <w:r>
        <w:rPr>
          <w:rFonts w:hint="eastAsia" w:ascii="宋体" w:hAnsi="宋体" w:eastAsia="宋体" w:cs="宋体"/>
          <w:spacing w:val="-4"/>
          <w:sz w:val="21"/>
          <w:szCs w:val="22"/>
          <w:lang w:val="zh-CN" w:eastAsia="zh-CN" w:bidi="zh-CN"/>
        </w:rPr>
        <w:t>企业近一年的</w:t>
      </w:r>
      <w:r>
        <w:rPr>
          <w:rFonts w:ascii="宋体" w:hAnsi="宋体" w:eastAsia="宋体" w:cs="宋体"/>
          <w:spacing w:val="-4"/>
          <w:sz w:val="21"/>
          <w:szCs w:val="22"/>
          <w:lang w:val="zh-CN" w:eastAsia="zh-CN" w:bidi="zh-CN"/>
        </w:rPr>
        <w:t>纳税证明或完税证明，纳税证明或完税证明上应有代收机构或税务</w:t>
      </w:r>
      <w:r>
        <w:rPr>
          <w:rFonts w:hint="eastAsia" w:ascii="宋体" w:hAnsi="宋体" w:eastAsia="宋体" w:cs="宋体"/>
          <w:spacing w:val="-4"/>
          <w:sz w:val="21"/>
          <w:szCs w:val="22"/>
          <w:lang w:val="zh-CN" w:eastAsia="zh-CN" w:bidi="zh-CN"/>
        </w:rPr>
        <w:t>机关的公章。依法免税的供应商应提供相关文件证明；</w:t>
      </w:r>
    </w:p>
    <w:p>
      <w:pPr>
        <w:pStyle w:val="23"/>
        <w:numPr>
          <w:ilvl w:val="0"/>
          <w:numId w:val="0"/>
        </w:numPr>
        <w:tabs>
          <w:tab w:val="left" w:pos="635"/>
        </w:tabs>
        <w:spacing w:before="1" w:after="0" w:line="290" w:lineRule="auto"/>
        <w:ind w:left="935" w:leftChars="333" w:right="91" w:rightChars="0" w:hanging="202" w:hangingChars="100"/>
        <w:jc w:val="left"/>
        <w:rPr>
          <w:rFonts w:hint="eastAsia" w:ascii="宋体" w:hAnsi="宋体" w:eastAsia="宋体" w:cs="宋体"/>
          <w:spacing w:val="-4"/>
          <w:sz w:val="21"/>
          <w:szCs w:val="22"/>
          <w:lang w:val="en-US" w:eastAsia="zh-CN" w:bidi="zh-CN"/>
        </w:rPr>
      </w:pPr>
      <w:r>
        <w:rPr>
          <w:rFonts w:hint="eastAsia" w:ascii="宋体" w:hAnsi="宋体" w:eastAsia="宋体" w:cs="宋体"/>
          <w:spacing w:val="-4"/>
          <w:sz w:val="21"/>
          <w:szCs w:val="22"/>
          <w:lang w:val="zh-CN" w:eastAsia="zh-CN" w:bidi="zh-CN"/>
        </w:rPr>
        <w:t>（</w:t>
      </w:r>
      <w:r>
        <w:rPr>
          <w:rFonts w:hint="eastAsia" w:ascii="宋体" w:hAnsi="宋体" w:eastAsia="宋体" w:cs="宋体"/>
          <w:spacing w:val="-4"/>
          <w:sz w:val="21"/>
          <w:szCs w:val="22"/>
          <w:lang w:val="en-US" w:eastAsia="zh-CN" w:bidi="zh-CN"/>
        </w:rPr>
        <w:t>4</w:t>
      </w:r>
      <w:r>
        <w:rPr>
          <w:rFonts w:hint="eastAsia" w:ascii="宋体" w:hAnsi="宋体" w:eastAsia="宋体" w:cs="宋体"/>
          <w:spacing w:val="-4"/>
          <w:sz w:val="21"/>
          <w:szCs w:val="22"/>
          <w:lang w:val="zh-CN" w:eastAsia="zh-CN" w:bidi="zh-CN"/>
        </w:rPr>
        <w:t>）</w:t>
      </w:r>
      <w:r>
        <w:rPr>
          <w:rFonts w:hint="eastAsia" w:ascii="宋体" w:hAnsi="宋体" w:eastAsia="宋体" w:cs="宋体"/>
          <w:spacing w:val="-4"/>
          <w:sz w:val="21"/>
          <w:szCs w:val="22"/>
          <w:lang w:val="en-US" w:eastAsia="zh-CN" w:bidi="zh-CN"/>
        </w:rPr>
        <w:t xml:space="preserve"> </w:t>
      </w:r>
      <w:r>
        <w:rPr>
          <w:rFonts w:hint="eastAsia" w:ascii="宋体" w:hAnsi="宋体" w:eastAsia="宋体" w:cs="宋体"/>
          <w:spacing w:val="-4"/>
          <w:sz w:val="21"/>
          <w:szCs w:val="22"/>
          <w:lang w:val="zh-CN" w:eastAsia="zh-CN" w:bidi="zh-CN"/>
        </w:rPr>
        <w:t>供应商须提供具</w:t>
      </w:r>
      <w:r>
        <w:rPr>
          <w:rFonts w:hint="eastAsia" w:ascii="宋体" w:hAnsi="宋体" w:eastAsia="宋体" w:cs="宋体"/>
          <w:spacing w:val="-4"/>
          <w:sz w:val="21"/>
          <w:szCs w:val="22"/>
          <w:lang w:val="en-US" w:eastAsia="zh-CN" w:bidi="zh-CN"/>
        </w:rPr>
        <w:t>有履行合同所必需的设备和专业技术能力的承诺；</w:t>
      </w:r>
    </w:p>
    <w:p>
      <w:pPr>
        <w:pStyle w:val="23"/>
        <w:numPr>
          <w:ilvl w:val="0"/>
          <w:numId w:val="0"/>
        </w:numPr>
        <w:tabs>
          <w:tab w:val="left" w:pos="635"/>
        </w:tabs>
        <w:spacing w:before="1" w:after="0" w:line="290" w:lineRule="auto"/>
        <w:ind w:left="935" w:leftChars="333" w:right="91" w:rightChars="0" w:hanging="202" w:hangingChars="100"/>
        <w:jc w:val="left"/>
        <w:rPr>
          <w:rFonts w:hint="eastAsia" w:ascii="宋体" w:hAnsi="宋体" w:eastAsia="宋体" w:cs="宋体"/>
          <w:spacing w:val="-4"/>
          <w:sz w:val="21"/>
          <w:szCs w:val="22"/>
          <w:lang w:val="zh-CN" w:eastAsia="zh-CN" w:bidi="zh-CN"/>
        </w:rPr>
      </w:pPr>
      <w:r>
        <w:rPr>
          <w:rFonts w:hint="eastAsia" w:ascii="宋体" w:hAnsi="宋体" w:eastAsia="宋体" w:cs="宋体"/>
          <w:spacing w:val="-4"/>
          <w:sz w:val="21"/>
          <w:szCs w:val="22"/>
          <w:lang w:val="zh-CN" w:eastAsia="zh-CN" w:bidi="zh-CN"/>
        </w:rPr>
        <w:t>（</w:t>
      </w:r>
      <w:r>
        <w:rPr>
          <w:rFonts w:hint="eastAsia" w:ascii="宋体" w:hAnsi="宋体" w:eastAsia="宋体" w:cs="宋体"/>
          <w:spacing w:val="-4"/>
          <w:sz w:val="21"/>
          <w:szCs w:val="22"/>
          <w:lang w:val="en-US" w:eastAsia="zh-CN" w:bidi="zh-CN"/>
        </w:rPr>
        <w:t>5</w:t>
      </w:r>
      <w:r>
        <w:rPr>
          <w:rFonts w:hint="eastAsia" w:ascii="宋体" w:hAnsi="宋体" w:eastAsia="宋体" w:cs="宋体"/>
          <w:spacing w:val="-4"/>
          <w:sz w:val="21"/>
          <w:szCs w:val="22"/>
          <w:lang w:val="zh-CN" w:eastAsia="zh-CN" w:bidi="zh-CN"/>
        </w:rPr>
        <w:t>）</w:t>
      </w:r>
      <w:r>
        <w:rPr>
          <w:rFonts w:hint="eastAsia" w:ascii="宋体" w:hAnsi="宋体" w:eastAsia="宋体" w:cs="宋体"/>
          <w:spacing w:val="-4"/>
          <w:sz w:val="21"/>
          <w:szCs w:val="22"/>
          <w:lang w:val="en-US" w:eastAsia="zh-CN" w:bidi="zh-CN"/>
        </w:rPr>
        <w:t xml:space="preserve"> </w:t>
      </w:r>
      <w:r>
        <w:rPr>
          <w:rFonts w:hint="eastAsia" w:ascii="宋体" w:hAnsi="宋体" w:eastAsia="宋体" w:cs="宋体"/>
          <w:spacing w:val="-4"/>
          <w:sz w:val="21"/>
          <w:szCs w:val="22"/>
          <w:lang w:val="zh-CN" w:eastAsia="zh-CN" w:bidi="zh-CN"/>
        </w:rPr>
        <w:t>社会保障资金缴纳证明：提供已缴存的近六个月月份的社会保障资金缴存单据或社保机构开具的社会保险参保缴费情况证明，单据或证明上应有社保机构或代收机构的公章。法人或其委托代理人必须在其中。依法不需要缴纳社会保障资金的供应商应提供相关文件证明；</w:t>
      </w:r>
    </w:p>
    <w:p>
      <w:pPr>
        <w:pStyle w:val="22"/>
        <w:numPr>
          <w:ilvl w:val="0"/>
          <w:numId w:val="0"/>
        </w:numPr>
        <w:tabs>
          <w:tab w:val="left" w:pos="1288"/>
        </w:tabs>
        <w:spacing w:before="0" w:after="0" w:line="391" w:lineRule="auto"/>
        <w:ind w:left="757" w:leftChars="0" w:right="328" w:rightChars="0"/>
        <w:jc w:val="left"/>
        <w:rPr>
          <w:sz w:val="21"/>
        </w:rPr>
      </w:pPr>
      <w:r>
        <w:rPr>
          <w:rFonts w:hint="eastAsia"/>
          <w:spacing w:val="-4"/>
          <w:sz w:val="21"/>
          <w:lang w:eastAsia="zh-CN"/>
        </w:rPr>
        <w:t>（</w:t>
      </w:r>
      <w:r>
        <w:rPr>
          <w:rFonts w:hint="eastAsia"/>
          <w:spacing w:val="-4"/>
          <w:sz w:val="21"/>
          <w:lang w:val="en-US" w:eastAsia="zh-CN"/>
        </w:rPr>
        <w:t>6</w:t>
      </w:r>
      <w:r>
        <w:rPr>
          <w:rFonts w:hint="eastAsia"/>
          <w:spacing w:val="-4"/>
          <w:sz w:val="21"/>
          <w:lang w:eastAsia="zh-CN"/>
        </w:rPr>
        <w:t>）</w:t>
      </w:r>
      <w:r>
        <w:rPr>
          <w:rFonts w:hint="eastAsia"/>
          <w:spacing w:val="-4"/>
          <w:sz w:val="21"/>
          <w:lang w:val="en-US" w:eastAsia="zh-CN"/>
        </w:rPr>
        <w:t xml:space="preserve"> </w:t>
      </w:r>
      <w:r>
        <w:rPr>
          <w:spacing w:val="-4"/>
          <w:sz w:val="21"/>
        </w:rPr>
        <w:t>出具参加本次政府采购活动前三年内在经营活动中没有重大违法记录</w:t>
      </w:r>
      <w:r>
        <w:rPr>
          <w:spacing w:val="-3"/>
          <w:sz w:val="21"/>
        </w:rPr>
        <w:t>（包括但不限于未被列入失信被执行人、重大税收违法案件当事人名单、政府采购严重违法失信行为记录名单</w:t>
      </w:r>
      <w:r>
        <w:rPr>
          <w:sz w:val="21"/>
        </w:rPr>
        <w:t>）</w:t>
      </w:r>
      <w:r>
        <w:rPr>
          <w:spacing w:val="-3"/>
          <w:sz w:val="21"/>
        </w:rPr>
        <w:t>的书面声明；</w:t>
      </w:r>
    </w:p>
    <w:p>
      <w:pPr>
        <w:pStyle w:val="22"/>
        <w:numPr>
          <w:ilvl w:val="1"/>
          <w:numId w:val="2"/>
        </w:numPr>
        <w:tabs>
          <w:tab w:val="left" w:pos="1038"/>
        </w:tabs>
        <w:spacing w:before="0" w:after="0" w:line="391" w:lineRule="auto"/>
        <w:ind w:left="337" w:right="348" w:firstLine="420"/>
        <w:jc w:val="left"/>
        <w:rPr>
          <w:sz w:val="21"/>
        </w:rPr>
      </w:pPr>
      <w:r>
        <w:rPr>
          <w:spacing w:val="-3"/>
          <w:sz w:val="21"/>
        </w:rPr>
        <w:t>、法定代表人授权书（附法定代表人身份证复印件</w:t>
      </w:r>
      <w:r>
        <w:rPr>
          <w:sz w:val="21"/>
        </w:rPr>
        <w:t>）</w:t>
      </w:r>
      <w:r>
        <w:rPr>
          <w:spacing w:val="-3"/>
          <w:sz w:val="21"/>
        </w:rPr>
        <w:t>及被授权人身份证（法定代表人直接参加投标</w:t>
      </w:r>
      <w:r>
        <w:rPr>
          <w:rFonts w:hint="eastAsia"/>
          <w:spacing w:val="-3"/>
          <w:sz w:val="21"/>
          <w:lang w:val="en-US" w:eastAsia="zh-CN"/>
        </w:rPr>
        <w:t xml:space="preserve">              </w:t>
      </w:r>
      <w:r>
        <w:rPr>
          <w:spacing w:val="-3"/>
          <w:sz w:val="21"/>
        </w:rPr>
        <w:t>只需提供法定代表人身份证</w:t>
      </w:r>
      <w:r>
        <w:rPr>
          <w:sz w:val="21"/>
        </w:rPr>
        <w:t>）</w:t>
      </w:r>
      <w:r>
        <w:rPr>
          <w:spacing w:val="-3"/>
          <w:sz w:val="21"/>
        </w:rPr>
        <w:t>。</w:t>
      </w:r>
    </w:p>
    <w:p>
      <w:pPr>
        <w:pStyle w:val="22"/>
        <w:numPr>
          <w:ilvl w:val="1"/>
          <w:numId w:val="2"/>
        </w:numPr>
        <w:tabs>
          <w:tab w:val="left" w:pos="1038"/>
        </w:tabs>
        <w:spacing w:before="2" w:after="0" w:line="240" w:lineRule="auto"/>
        <w:ind w:left="1037" w:right="0" w:hanging="280"/>
        <w:jc w:val="left"/>
        <w:rPr>
          <w:sz w:val="21"/>
        </w:rPr>
      </w:pPr>
      <w:r>
        <w:rPr>
          <w:spacing w:val="-3"/>
          <w:sz w:val="21"/>
        </w:rPr>
        <w:t>、投标保证金交纳凭证；</w:t>
      </w:r>
    </w:p>
    <w:p>
      <w:pPr>
        <w:pStyle w:val="22"/>
        <w:numPr>
          <w:ilvl w:val="0"/>
          <w:numId w:val="0"/>
        </w:numPr>
        <w:tabs>
          <w:tab w:val="left" w:pos="1038"/>
        </w:tabs>
        <w:spacing w:before="0" w:after="0" w:line="391" w:lineRule="auto"/>
        <w:ind w:left="757" w:leftChars="0" w:right="348" w:rightChars="0"/>
        <w:jc w:val="left"/>
        <w:rPr>
          <w:rFonts w:hint="eastAsia" w:ascii="宋体" w:hAnsi="宋体" w:eastAsia="宋体" w:cs="宋体"/>
          <w:spacing w:val="-3"/>
          <w:sz w:val="21"/>
          <w:lang w:eastAsia="zh-CN"/>
        </w:rPr>
      </w:pPr>
      <w:r>
        <w:rPr>
          <w:rFonts w:hint="eastAsia" w:ascii="宋体" w:hAnsi="宋体" w:eastAsia="宋体" w:cs="宋体"/>
          <w:spacing w:val="-3"/>
          <w:sz w:val="21"/>
          <w:lang w:val="en-US" w:eastAsia="zh-CN"/>
        </w:rPr>
        <w:t>1-4、</w:t>
      </w:r>
      <w:r>
        <w:rPr>
          <w:rFonts w:ascii="宋体" w:hAnsi="宋体" w:eastAsia="宋体" w:cs="宋体"/>
          <w:spacing w:val="-3"/>
          <w:sz w:val="21"/>
          <w:lang w:val="zh-CN" w:eastAsia="zh-CN"/>
        </w:rPr>
        <w:t>供应商未被列入“信用中国”网站(www.creditchina.gov.cn)及中国政府采购(www.ccgp.gov.cn)失信被执行人、重大税收违法案件当事人名</w:t>
      </w:r>
      <w:r>
        <w:rPr>
          <w:rFonts w:ascii="宋体" w:hAnsi="宋体" w:eastAsia="宋体" w:cs="宋体"/>
          <w:spacing w:val="-3"/>
          <w:sz w:val="21"/>
        </w:rPr>
        <w:t>单、政府采购严重违法失信行为记录名单。</w:t>
      </w:r>
      <w:r>
        <w:rPr>
          <w:rFonts w:hint="eastAsia" w:ascii="宋体" w:hAnsi="宋体" w:eastAsia="宋体" w:cs="宋体"/>
          <w:spacing w:val="-3"/>
          <w:sz w:val="21"/>
          <w:lang w:eastAsia="zh-CN"/>
        </w:rPr>
        <w:t>开标前投标人须自行查询并打印一份加盖公章</w:t>
      </w:r>
      <w:r>
        <w:rPr>
          <w:rFonts w:ascii="宋体" w:hAnsi="宋体" w:eastAsia="宋体" w:cs="宋体"/>
          <w:spacing w:val="-3"/>
          <w:sz w:val="21"/>
        </w:rPr>
        <w:t>。</w:t>
      </w:r>
      <w:r>
        <w:rPr>
          <w:rFonts w:hint="eastAsia" w:ascii="宋体" w:hAnsi="宋体" w:eastAsia="宋体" w:cs="宋体"/>
          <w:spacing w:val="-3"/>
          <w:sz w:val="21"/>
          <w:lang w:eastAsia="zh-CN"/>
        </w:rPr>
        <w:t>（</w:t>
      </w:r>
      <w:r>
        <w:rPr>
          <w:rFonts w:hint="eastAsia"/>
          <w:spacing w:val="-4"/>
          <w:sz w:val="21"/>
          <w:lang w:eastAsia="zh-CN"/>
        </w:rPr>
        <w:t>查询日期为开标前一周内）</w:t>
      </w:r>
      <w:r>
        <w:rPr>
          <w:spacing w:val="-4"/>
          <w:sz w:val="21"/>
        </w:rPr>
        <w:t>对列入失信被执行人、重大税收违法案件当事人名单、政府采购严重违法失信行为记</w:t>
      </w:r>
      <w:r>
        <w:rPr>
          <w:spacing w:val="-3"/>
          <w:sz w:val="21"/>
        </w:rPr>
        <w:t>录名单的投标人，其投标无效；</w:t>
      </w:r>
    </w:p>
    <w:p>
      <w:pPr>
        <w:pStyle w:val="22"/>
        <w:numPr>
          <w:ilvl w:val="0"/>
          <w:numId w:val="0"/>
        </w:numPr>
        <w:tabs>
          <w:tab w:val="left" w:pos="1038"/>
        </w:tabs>
        <w:spacing w:before="0" w:after="0" w:line="391" w:lineRule="auto"/>
        <w:ind w:left="757" w:leftChars="0" w:right="348" w:rightChars="0"/>
        <w:jc w:val="left"/>
        <w:rPr>
          <w:spacing w:val="-3"/>
          <w:sz w:val="21"/>
        </w:rPr>
      </w:pPr>
      <w:r>
        <w:rPr>
          <w:rFonts w:hint="eastAsia"/>
          <w:spacing w:val="-3"/>
          <w:sz w:val="21"/>
          <w:lang w:val="en-US" w:eastAsia="zh-CN"/>
        </w:rPr>
        <w:t>1-5</w:t>
      </w:r>
      <w:r>
        <w:rPr>
          <w:spacing w:val="-3"/>
          <w:sz w:val="21"/>
        </w:rPr>
        <w:t>、本项目不接受联合体投标。</w:t>
      </w:r>
    </w:p>
    <w:p>
      <w:pPr>
        <w:pStyle w:val="22"/>
        <w:numPr>
          <w:ilvl w:val="0"/>
          <w:numId w:val="0"/>
        </w:numPr>
        <w:tabs>
          <w:tab w:val="left" w:pos="1038"/>
        </w:tabs>
        <w:spacing w:before="0" w:after="0" w:line="391" w:lineRule="auto"/>
        <w:ind w:left="757" w:leftChars="0" w:right="348" w:rightChars="0"/>
        <w:jc w:val="left"/>
      </w:pPr>
      <w:r>
        <w:rPr>
          <w:rFonts w:ascii="Times New Roman" w:eastAsia="Times New Roman"/>
        </w:rPr>
        <w:t>2</w:t>
      </w:r>
      <w:r>
        <w:t>、合格投标人</w:t>
      </w:r>
    </w:p>
    <w:p>
      <w:pPr>
        <w:pStyle w:val="12"/>
        <w:spacing w:before="170" w:line="393" w:lineRule="auto"/>
        <w:ind w:left="337" w:right="424" w:firstLine="413"/>
      </w:pPr>
      <w:r>
        <w:t>依照《中华人民共和国公司法》合法注册的法人或其他组织、符合《中华人民共和国政府采购法》及其实施条例等有关法律法规的规定并满足本项目资格条件。不符合上述规定的投标人，投标无效。</w:t>
      </w:r>
    </w:p>
    <w:p>
      <w:pPr>
        <w:pStyle w:val="22"/>
        <w:numPr>
          <w:ilvl w:val="0"/>
          <w:numId w:val="0"/>
        </w:numPr>
        <w:tabs>
          <w:tab w:val="left" w:pos="1069"/>
        </w:tabs>
        <w:spacing w:before="0" w:after="0" w:line="267" w:lineRule="exact"/>
        <w:ind w:left="749" w:leftChars="0" w:right="0" w:rightChars="0"/>
        <w:jc w:val="left"/>
        <w:rPr>
          <w:sz w:val="21"/>
        </w:rPr>
      </w:pPr>
      <w:r>
        <w:rPr>
          <w:rFonts w:hint="eastAsia"/>
          <w:spacing w:val="-3"/>
          <w:sz w:val="21"/>
          <w:lang w:val="en-US" w:eastAsia="zh-CN"/>
        </w:rPr>
        <w:t>3</w:t>
      </w:r>
      <w:r>
        <w:rPr>
          <w:spacing w:val="-3"/>
          <w:sz w:val="21"/>
        </w:rPr>
        <w:t>、特别说明：</w:t>
      </w:r>
    </w:p>
    <w:p>
      <w:pPr>
        <w:pStyle w:val="12"/>
        <w:spacing w:before="4"/>
        <w:rPr>
          <w:sz w:val="11"/>
        </w:rPr>
      </w:pPr>
    </w:p>
    <w:p>
      <w:pPr>
        <w:pStyle w:val="22"/>
        <w:numPr>
          <w:ilvl w:val="0"/>
          <w:numId w:val="3"/>
        </w:numPr>
        <w:tabs>
          <w:tab w:val="left" w:pos="1280"/>
        </w:tabs>
        <w:spacing w:before="72" w:after="0" w:line="391" w:lineRule="auto"/>
        <w:ind w:left="337" w:right="328" w:firstLine="413"/>
        <w:jc w:val="left"/>
        <w:rPr>
          <w:sz w:val="21"/>
        </w:rPr>
      </w:pPr>
      <w:r>
        <w:rPr>
          <w:spacing w:val="-4"/>
          <w:sz w:val="21"/>
        </w:rPr>
        <w:t>投标人如在中标通知书发出前出现违法失信行为，采购人仍有权利提请评标委员会取消其中标资格；</w:t>
      </w:r>
    </w:p>
    <w:p>
      <w:pPr>
        <w:pStyle w:val="22"/>
        <w:numPr>
          <w:ilvl w:val="0"/>
          <w:numId w:val="3"/>
        </w:numPr>
        <w:tabs>
          <w:tab w:val="left" w:pos="1280"/>
        </w:tabs>
        <w:spacing w:before="4" w:after="0" w:line="240" w:lineRule="auto"/>
        <w:ind w:left="1279" w:right="0" w:hanging="530"/>
        <w:jc w:val="left"/>
        <w:rPr>
          <w:sz w:val="21"/>
        </w:rPr>
      </w:pPr>
      <w:r>
        <w:rPr>
          <w:spacing w:val="-3"/>
          <w:sz w:val="21"/>
        </w:rPr>
        <w:t>投标人在投标文件中已出具的信用查询结果并不能取代采购人或采购代理机构在评标前进行复查。</w:t>
      </w:r>
    </w:p>
    <w:p>
      <w:pPr>
        <w:pStyle w:val="22"/>
        <w:numPr>
          <w:ilvl w:val="0"/>
          <w:numId w:val="3"/>
        </w:numPr>
        <w:tabs>
          <w:tab w:val="left" w:pos="1280"/>
        </w:tabs>
        <w:spacing w:before="170" w:after="0" w:line="391" w:lineRule="auto"/>
        <w:ind w:left="337" w:right="231" w:firstLine="413"/>
        <w:jc w:val="left"/>
        <w:rPr>
          <w:sz w:val="21"/>
        </w:rPr>
      </w:pPr>
      <w:r>
        <w:rPr>
          <w:spacing w:val="-2"/>
          <w:sz w:val="21"/>
        </w:rPr>
        <w:t>投标人的信用查询结果以采购人或采购代理机构在资格审查时最终</w:t>
      </w:r>
      <w:r>
        <w:rPr>
          <w:rFonts w:hint="eastAsia"/>
          <w:spacing w:val="-2"/>
          <w:sz w:val="21"/>
          <w:lang w:eastAsia="zh-CN"/>
        </w:rPr>
        <w:t>递交的</w:t>
      </w:r>
      <w:r>
        <w:rPr>
          <w:spacing w:val="-2"/>
          <w:sz w:val="21"/>
        </w:rPr>
        <w:t>查询记录</w:t>
      </w:r>
      <w:r>
        <w:rPr>
          <w:rFonts w:hint="eastAsia"/>
          <w:spacing w:val="-2"/>
          <w:sz w:val="21"/>
          <w:lang w:eastAsia="zh-CN"/>
        </w:rPr>
        <w:t>日期</w:t>
      </w:r>
      <w:r>
        <w:rPr>
          <w:spacing w:val="-2"/>
          <w:sz w:val="21"/>
        </w:rPr>
        <w:t>为准</w:t>
      </w:r>
      <w:r>
        <w:rPr>
          <w:sz w:val="21"/>
        </w:rPr>
        <w:t>（</w:t>
      </w:r>
      <w:r>
        <w:rPr>
          <w:spacing w:val="-2"/>
          <w:sz w:val="21"/>
        </w:rPr>
        <w:t xml:space="preserve">“信用中国” </w:t>
      </w:r>
      <w:r>
        <w:rPr>
          <w:sz w:val="21"/>
        </w:rPr>
        <w:t>网站(www.creditchina.gov.cn</w:t>
      </w:r>
      <w:r>
        <w:rPr>
          <w:spacing w:val="-3"/>
          <w:sz w:val="21"/>
        </w:rPr>
        <w:t>)及中国政府采购网(</w:t>
      </w:r>
      <w:r>
        <w:rPr>
          <w:sz w:val="21"/>
        </w:rPr>
        <w:t>www.ccgp.gov.cn)）</w:t>
      </w:r>
      <w:r>
        <w:rPr>
          <w:spacing w:val="-3"/>
          <w:sz w:val="21"/>
        </w:rPr>
        <w:t>。</w:t>
      </w:r>
    </w:p>
    <w:p>
      <w:pPr>
        <w:pStyle w:val="12"/>
        <w:spacing w:before="4"/>
        <w:ind w:left="750"/>
      </w:pPr>
      <w:r>
        <w:rPr>
          <w:rFonts w:ascii="Times New Roman" w:eastAsia="Times New Roman"/>
        </w:rPr>
        <w:t>4</w:t>
      </w:r>
      <w:r>
        <w:t>、投标文件的组成：</w:t>
      </w:r>
    </w:p>
    <w:p>
      <w:pPr>
        <w:pStyle w:val="22"/>
        <w:numPr>
          <w:ilvl w:val="1"/>
          <w:numId w:val="4"/>
        </w:numPr>
        <w:tabs>
          <w:tab w:val="left" w:pos="1031"/>
        </w:tabs>
        <w:spacing w:before="170" w:after="0" w:line="240" w:lineRule="auto"/>
        <w:ind w:left="1030" w:right="0" w:hanging="281"/>
        <w:jc w:val="left"/>
        <w:rPr>
          <w:sz w:val="21"/>
        </w:rPr>
      </w:pPr>
      <w:r>
        <w:rPr>
          <w:spacing w:val="-3"/>
          <w:sz w:val="21"/>
        </w:rPr>
        <w:t>、各投标人应根据招标文件要求编制投标文件。</w:t>
      </w:r>
    </w:p>
    <w:p>
      <w:pPr>
        <w:pStyle w:val="22"/>
        <w:numPr>
          <w:ilvl w:val="1"/>
          <w:numId w:val="4"/>
        </w:numPr>
        <w:tabs>
          <w:tab w:val="left" w:pos="1031"/>
        </w:tabs>
        <w:spacing w:before="170" w:after="0" w:line="240" w:lineRule="auto"/>
        <w:ind w:left="1030" w:right="0" w:hanging="281"/>
        <w:jc w:val="left"/>
        <w:rPr>
          <w:sz w:val="21"/>
        </w:rPr>
      </w:pPr>
      <w:r>
        <w:rPr>
          <w:spacing w:val="-3"/>
          <w:sz w:val="21"/>
        </w:rPr>
        <w:t>、投标文件包括：以下内容。</w:t>
      </w:r>
    </w:p>
    <w:p>
      <w:pPr>
        <w:pStyle w:val="22"/>
        <w:numPr>
          <w:ilvl w:val="0"/>
          <w:numId w:val="5"/>
        </w:numPr>
        <w:tabs>
          <w:tab w:val="left" w:pos="1288"/>
        </w:tabs>
        <w:spacing w:before="173" w:after="0" w:line="240" w:lineRule="auto"/>
        <w:ind w:left="1287" w:right="0" w:hanging="530"/>
        <w:jc w:val="left"/>
        <w:rPr>
          <w:sz w:val="21"/>
        </w:rPr>
      </w:pPr>
      <w:r>
        <w:rPr>
          <w:spacing w:val="-2"/>
          <w:sz w:val="21"/>
        </w:rPr>
        <w:t>投标函</w:t>
      </w:r>
      <w:r>
        <w:rPr>
          <w:spacing w:val="-3"/>
          <w:sz w:val="21"/>
        </w:rPr>
        <w:t>（</w:t>
      </w:r>
      <w:r>
        <w:rPr>
          <w:spacing w:val="-2"/>
          <w:sz w:val="21"/>
        </w:rPr>
        <w:t>格式</w:t>
      </w:r>
      <w:r>
        <w:rPr>
          <w:sz w:val="21"/>
        </w:rPr>
        <w:t>）</w:t>
      </w:r>
    </w:p>
    <w:p>
      <w:pPr>
        <w:pStyle w:val="22"/>
        <w:numPr>
          <w:ilvl w:val="0"/>
          <w:numId w:val="5"/>
        </w:numPr>
        <w:tabs>
          <w:tab w:val="left" w:pos="1288"/>
        </w:tabs>
        <w:spacing w:before="170" w:after="0" w:line="240" w:lineRule="auto"/>
        <w:ind w:left="1287" w:right="0" w:hanging="530"/>
        <w:jc w:val="left"/>
        <w:rPr>
          <w:sz w:val="21"/>
        </w:rPr>
      </w:pPr>
      <w:r>
        <w:rPr>
          <w:spacing w:val="-3"/>
          <w:sz w:val="21"/>
        </w:rPr>
        <w:t>投标报价一览表（</w:t>
      </w:r>
      <w:r>
        <w:rPr>
          <w:spacing w:val="-2"/>
          <w:sz w:val="21"/>
        </w:rPr>
        <w:t>格式</w:t>
      </w:r>
      <w:r>
        <w:rPr>
          <w:sz w:val="21"/>
        </w:rPr>
        <w:t>）</w:t>
      </w:r>
    </w:p>
    <w:p>
      <w:pPr>
        <w:pStyle w:val="22"/>
        <w:numPr>
          <w:ilvl w:val="0"/>
          <w:numId w:val="5"/>
        </w:numPr>
        <w:tabs>
          <w:tab w:val="left" w:pos="1288"/>
        </w:tabs>
        <w:spacing w:before="171" w:after="0" w:line="240" w:lineRule="auto"/>
        <w:ind w:left="1287" w:right="0" w:hanging="530"/>
        <w:jc w:val="left"/>
        <w:rPr>
          <w:sz w:val="21"/>
        </w:rPr>
      </w:pPr>
      <w:r>
        <w:rPr>
          <w:spacing w:val="-3"/>
          <w:sz w:val="21"/>
        </w:rPr>
        <w:t>服务要求响应偏离表</w:t>
      </w:r>
      <w:r>
        <w:rPr>
          <w:sz w:val="21"/>
        </w:rPr>
        <w:t>（</w:t>
      </w:r>
      <w:r>
        <w:rPr>
          <w:spacing w:val="-2"/>
          <w:sz w:val="21"/>
        </w:rPr>
        <w:t>格式</w:t>
      </w:r>
      <w:r>
        <w:rPr>
          <w:sz w:val="21"/>
        </w:rPr>
        <w:t>）</w:t>
      </w:r>
    </w:p>
    <w:p>
      <w:pPr>
        <w:pStyle w:val="22"/>
        <w:numPr>
          <w:ilvl w:val="0"/>
          <w:numId w:val="5"/>
        </w:numPr>
        <w:tabs>
          <w:tab w:val="left" w:pos="1288"/>
        </w:tabs>
        <w:spacing w:before="172" w:after="0" w:line="240" w:lineRule="auto"/>
        <w:ind w:left="1287" w:right="0" w:hanging="530"/>
        <w:jc w:val="left"/>
        <w:rPr>
          <w:sz w:val="21"/>
        </w:rPr>
      </w:pPr>
      <w:r>
        <w:rPr>
          <w:spacing w:val="-3"/>
          <w:sz w:val="21"/>
        </w:rPr>
        <w:t>商务条款响应偏离表</w:t>
      </w:r>
      <w:r>
        <w:rPr>
          <w:sz w:val="21"/>
        </w:rPr>
        <w:t>（</w:t>
      </w:r>
      <w:r>
        <w:rPr>
          <w:spacing w:val="-2"/>
          <w:sz w:val="21"/>
        </w:rPr>
        <w:t>格式</w:t>
      </w:r>
      <w:r>
        <w:rPr>
          <w:sz w:val="21"/>
        </w:rPr>
        <w:t>）</w:t>
      </w:r>
    </w:p>
    <w:p>
      <w:pPr>
        <w:pStyle w:val="22"/>
        <w:numPr>
          <w:ilvl w:val="0"/>
          <w:numId w:val="5"/>
        </w:numPr>
        <w:tabs>
          <w:tab w:val="left" w:pos="1288"/>
        </w:tabs>
        <w:spacing w:before="170" w:after="0" w:line="240" w:lineRule="auto"/>
        <w:ind w:left="1287" w:right="0" w:hanging="530"/>
        <w:jc w:val="left"/>
        <w:rPr>
          <w:sz w:val="21"/>
        </w:rPr>
      </w:pPr>
      <w:r>
        <w:rPr>
          <w:spacing w:val="-3"/>
          <w:sz w:val="21"/>
        </w:rPr>
        <w:t>法定代表人资格证明书及法定代表人授权委托书</w:t>
      </w:r>
    </w:p>
    <w:p>
      <w:pPr>
        <w:pStyle w:val="22"/>
        <w:numPr>
          <w:ilvl w:val="0"/>
          <w:numId w:val="5"/>
        </w:numPr>
        <w:tabs>
          <w:tab w:val="left" w:pos="1288"/>
        </w:tabs>
        <w:spacing w:before="170" w:after="0" w:line="240" w:lineRule="auto"/>
        <w:ind w:left="1287" w:right="0" w:hanging="530"/>
        <w:jc w:val="left"/>
        <w:rPr>
          <w:sz w:val="21"/>
        </w:rPr>
      </w:pPr>
      <w:r>
        <w:rPr>
          <w:spacing w:val="-3"/>
          <w:sz w:val="21"/>
        </w:rPr>
        <w:t>资格证明文件</w:t>
      </w:r>
      <w:r>
        <w:rPr>
          <w:sz w:val="21"/>
        </w:rPr>
        <w:t>（</w:t>
      </w:r>
      <w:r>
        <w:rPr>
          <w:spacing w:val="-3"/>
          <w:sz w:val="21"/>
        </w:rPr>
        <w:t>以下文件须复印件加盖投标人公章</w:t>
      </w:r>
      <w:r>
        <w:rPr>
          <w:sz w:val="21"/>
        </w:rPr>
        <w:t>）</w:t>
      </w:r>
    </w:p>
    <w:p>
      <w:pPr>
        <w:pStyle w:val="22"/>
        <w:numPr>
          <w:ilvl w:val="0"/>
          <w:numId w:val="5"/>
        </w:numPr>
        <w:tabs>
          <w:tab w:val="left" w:pos="1288"/>
        </w:tabs>
        <w:spacing w:before="173" w:after="0" w:line="240" w:lineRule="auto"/>
        <w:ind w:left="1287" w:right="0" w:hanging="530"/>
        <w:jc w:val="left"/>
        <w:rPr>
          <w:sz w:val="21"/>
        </w:rPr>
      </w:pPr>
      <w:r>
        <w:rPr>
          <w:spacing w:val="-3"/>
          <w:sz w:val="21"/>
        </w:rPr>
        <w:t>提供近三年</w:t>
      </w:r>
      <w:r>
        <w:rPr>
          <w:rFonts w:hint="eastAsia"/>
          <w:spacing w:val="-3"/>
          <w:sz w:val="21"/>
          <w:lang w:eastAsia="zh-CN"/>
        </w:rPr>
        <w:t>企业</w:t>
      </w:r>
      <w:r>
        <w:rPr>
          <w:spacing w:val="-3"/>
          <w:sz w:val="21"/>
        </w:rPr>
        <w:t>业绩</w:t>
      </w:r>
      <w:r>
        <w:rPr>
          <w:sz w:val="21"/>
        </w:rPr>
        <w:t>（</w:t>
      </w:r>
      <w:r>
        <w:rPr>
          <w:spacing w:val="-3"/>
          <w:sz w:val="21"/>
        </w:rPr>
        <w:t>以合同为准，复印件加盖公章</w:t>
      </w:r>
      <w:r>
        <w:rPr>
          <w:sz w:val="21"/>
        </w:rPr>
        <w:t>）</w:t>
      </w:r>
    </w:p>
    <w:p>
      <w:pPr>
        <w:pStyle w:val="22"/>
        <w:numPr>
          <w:ilvl w:val="0"/>
          <w:numId w:val="5"/>
        </w:numPr>
        <w:tabs>
          <w:tab w:val="left" w:pos="1288"/>
        </w:tabs>
        <w:spacing w:before="170" w:after="0" w:line="240" w:lineRule="auto"/>
        <w:ind w:left="1287" w:right="0" w:hanging="530"/>
        <w:jc w:val="left"/>
        <w:rPr>
          <w:sz w:val="21"/>
        </w:rPr>
      </w:pPr>
      <w:r>
        <w:rPr>
          <w:spacing w:val="-3"/>
          <w:sz w:val="21"/>
        </w:rPr>
        <w:t>项目实施方案</w:t>
      </w:r>
      <w:r>
        <w:rPr>
          <w:sz w:val="21"/>
        </w:rPr>
        <w:t>（</w:t>
      </w:r>
      <w:r>
        <w:rPr>
          <w:spacing w:val="-3"/>
          <w:sz w:val="21"/>
        </w:rPr>
        <w:t>内容自拟，应包含但不限于评标办法中技术响应内容</w:t>
      </w:r>
      <w:r>
        <w:rPr>
          <w:sz w:val="21"/>
        </w:rPr>
        <w:t>）</w:t>
      </w:r>
    </w:p>
    <w:p>
      <w:pPr>
        <w:pStyle w:val="22"/>
        <w:numPr>
          <w:ilvl w:val="0"/>
          <w:numId w:val="5"/>
        </w:numPr>
        <w:tabs>
          <w:tab w:val="left" w:pos="1288"/>
        </w:tabs>
        <w:spacing w:before="170" w:after="0" w:line="240" w:lineRule="auto"/>
        <w:ind w:left="1287" w:right="0" w:hanging="530"/>
        <w:jc w:val="left"/>
        <w:rPr>
          <w:sz w:val="21"/>
        </w:rPr>
      </w:pPr>
      <w:r>
        <w:rPr>
          <w:spacing w:val="-2"/>
          <w:sz w:val="21"/>
        </w:rPr>
        <w:t>承诺</w:t>
      </w:r>
      <w:r>
        <w:rPr>
          <w:sz w:val="21"/>
        </w:rPr>
        <w:t>（</w:t>
      </w:r>
      <w:r>
        <w:rPr>
          <w:spacing w:val="-3"/>
          <w:sz w:val="21"/>
        </w:rPr>
        <w:t>内容自拟，应包含但不限于评标办法中承诺及合理化建议内容</w:t>
      </w:r>
      <w:r>
        <w:rPr>
          <w:sz w:val="21"/>
        </w:rPr>
        <w:t>）</w:t>
      </w:r>
    </w:p>
    <w:p>
      <w:pPr>
        <w:pStyle w:val="22"/>
        <w:numPr>
          <w:ilvl w:val="0"/>
          <w:numId w:val="5"/>
        </w:numPr>
        <w:tabs>
          <w:tab w:val="left" w:pos="1393"/>
        </w:tabs>
        <w:spacing w:before="173" w:after="0" w:line="240" w:lineRule="auto"/>
        <w:ind w:left="1392" w:right="0" w:hanging="635"/>
        <w:jc w:val="left"/>
        <w:rPr>
          <w:sz w:val="21"/>
        </w:rPr>
      </w:pPr>
      <w:r>
        <w:rPr>
          <w:spacing w:val="-3"/>
          <w:sz w:val="21"/>
        </w:rPr>
        <w:t>合理化建议（内容自拟，应包含但不限于评标办法中承诺及合理化建议内容</w:t>
      </w:r>
      <w:r>
        <w:rPr>
          <w:sz w:val="21"/>
        </w:rPr>
        <w:t>）</w:t>
      </w:r>
    </w:p>
    <w:p>
      <w:pPr>
        <w:pStyle w:val="22"/>
        <w:numPr>
          <w:ilvl w:val="0"/>
          <w:numId w:val="5"/>
        </w:numPr>
        <w:tabs>
          <w:tab w:val="left" w:pos="1393"/>
        </w:tabs>
        <w:spacing w:before="170" w:after="0" w:line="240" w:lineRule="auto"/>
        <w:ind w:left="1392" w:right="0" w:hanging="635"/>
        <w:jc w:val="left"/>
        <w:rPr>
          <w:sz w:val="21"/>
        </w:rPr>
      </w:pPr>
      <w:r>
        <w:rPr>
          <w:spacing w:val="-3"/>
          <w:sz w:val="21"/>
        </w:rPr>
        <w:t>投标人认为有必要补充说明的事宜</w:t>
      </w:r>
    </w:p>
    <w:p>
      <w:pPr>
        <w:pStyle w:val="22"/>
        <w:numPr>
          <w:ilvl w:val="0"/>
          <w:numId w:val="5"/>
        </w:numPr>
        <w:tabs>
          <w:tab w:val="left" w:pos="1393"/>
        </w:tabs>
        <w:spacing w:before="170" w:after="0" w:line="240" w:lineRule="auto"/>
        <w:ind w:left="1392" w:right="0" w:hanging="635"/>
        <w:jc w:val="left"/>
        <w:rPr>
          <w:sz w:val="21"/>
        </w:rPr>
      </w:pPr>
      <w:r>
        <w:rPr>
          <w:spacing w:val="-3"/>
          <w:sz w:val="21"/>
        </w:rPr>
        <w:t>投标声明书</w:t>
      </w:r>
    </w:p>
    <w:p>
      <w:pPr>
        <w:pStyle w:val="22"/>
        <w:numPr>
          <w:ilvl w:val="0"/>
          <w:numId w:val="5"/>
        </w:numPr>
        <w:tabs>
          <w:tab w:val="left" w:pos="1393"/>
        </w:tabs>
        <w:spacing w:before="173" w:after="0" w:line="240" w:lineRule="auto"/>
        <w:ind w:left="1392" w:right="0" w:hanging="635"/>
        <w:jc w:val="left"/>
        <w:rPr>
          <w:sz w:val="21"/>
        </w:rPr>
      </w:pPr>
      <w:r>
        <w:rPr>
          <w:spacing w:val="-3"/>
          <w:sz w:val="21"/>
        </w:rPr>
        <w:t>《拒绝政府采购领域商业贿赂承诺书》</w:t>
      </w:r>
      <w:r>
        <w:rPr>
          <w:sz w:val="21"/>
        </w:rPr>
        <w:t>（</w:t>
      </w:r>
      <w:r>
        <w:rPr>
          <w:spacing w:val="-2"/>
          <w:sz w:val="21"/>
        </w:rPr>
        <w:t>格式</w:t>
      </w:r>
      <w:r>
        <w:rPr>
          <w:sz w:val="21"/>
        </w:rPr>
        <w:t>）</w:t>
      </w:r>
    </w:p>
    <w:p>
      <w:pPr>
        <w:pStyle w:val="22"/>
        <w:numPr>
          <w:ilvl w:val="0"/>
          <w:numId w:val="5"/>
        </w:numPr>
        <w:tabs>
          <w:tab w:val="left" w:pos="1393"/>
        </w:tabs>
        <w:spacing w:before="170" w:after="0" w:line="240" w:lineRule="auto"/>
        <w:ind w:left="1392" w:right="0" w:hanging="635"/>
        <w:jc w:val="left"/>
        <w:rPr>
          <w:sz w:val="21"/>
        </w:rPr>
      </w:pPr>
      <w:r>
        <w:rPr>
          <w:spacing w:val="-3"/>
          <w:sz w:val="21"/>
        </w:rPr>
        <w:t>《小微企业声明函》</w:t>
      </w:r>
    </w:p>
    <w:p>
      <w:pPr>
        <w:pStyle w:val="22"/>
        <w:numPr>
          <w:ilvl w:val="0"/>
          <w:numId w:val="5"/>
        </w:numPr>
        <w:tabs>
          <w:tab w:val="left" w:pos="1393"/>
        </w:tabs>
        <w:spacing w:before="170" w:after="0" w:line="240" w:lineRule="auto"/>
        <w:ind w:left="1392" w:right="0" w:hanging="635"/>
        <w:jc w:val="left"/>
        <w:rPr>
          <w:sz w:val="21"/>
        </w:rPr>
      </w:pPr>
      <w:r>
        <w:rPr>
          <w:spacing w:val="-3"/>
          <w:sz w:val="21"/>
        </w:rPr>
        <w:t>《残疾人福利性单位声明函》</w:t>
      </w:r>
    </w:p>
    <w:p>
      <w:pPr>
        <w:pStyle w:val="22"/>
        <w:numPr>
          <w:ilvl w:val="0"/>
          <w:numId w:val="5"/>
        </w:numPr>
        <w:tabs>
          <w:tab w:val="left" w:pos="1393"/>
        </w:tabs>
        <w:spacing w:before="173" w:after="0" w:line="240" w:lineRule="auto"/>
        <w:ind w:left="1392" w:right="0" w:hanging="635"/>
        <w:jc w:val="left"/>
        <w:rPr>
          <w:sz w:val="21"/>
        </w:rPr>
      </w:pPr>
      <w:r>
        <w:rPr>
          <w:spacing w:val="-3"/>
          <w:sz w:val="21"/>
        </w:rPr>
        <w:t>《监狱企业声明函》及证明文件</w:t>
      </w:r>
    </w:p>
    <w:p>
      <w:pPr>
        <w:pStyle w:val="12"/>
        <w:spacing w:before="170"/>
        <w:ind w:left="758"/>
      </w:pPr>
      <w:r>
        <w:rPr>
          <w:rFonts w:ascii="Times New Roman" w:eastAsia="Times New Roman"/>
        </w:rPr>
        <w:t>5</w:t>
      </w:r>
      <w:r>
        <w:t>、投标文件编写说明</w:t>
      </w:r>
    </w:p>
    <w:p>
      <w:pPr>
        <w:pStyle w:val="22"/>
        <w:numPr>
          <w:ilvl w:val="1"/>
          <w:numId w:val="6"/>
        </w:numPr>
        <w:tabs>
          <w:tab w:val="left" w:pos="1038"/>
        </w:tabs>
        <w:spacing w:before="170" w:after="0" w:line="393" w:lineRule="auto"/>
        <w:ind w:left="337" w:right="228" w:firstLine="420"/>
        <w:jc w:val="left"/>
        <w:rPr>
          <w:sz w:val="21"/>
        </w:rPr>
      </w:pPr>
      <w:r>
        <w:rPr>
          <w:spacing w:val="-3"/>
          <w:sz w:val="21"/>
        </w:rPr>
        <w:t>、投标文件格式：投标文件应当使用招标文件规定的全部格式（表格可以按同样格式扩展</w:t>
      </w:r>
      <w:r>
        <w:rPr>
          <w:sz w:val="21"/>
        </w:rPr>
        <w:t>）</w:t>
      </w:r>
      <w:r>
        <w:rPr>
          <w:spacing w:val="-2"/>
          <w:sz w:val="21"/>
        </w:rPr>
        <w:t xml:space="preserve">编写， </w:t>
      </w:r>
      <w:r>
        <w:rPr>
          <w:spacing w:val="-3"/>
          <w:sz w:val="21"/>
        </w:rPr>
        <w:t>除明确允许投标人可以自行编写的外，投标人不得以</w:t>
      </w:r>
      <w:r>
        <w:rPr>
          <w:rFonts w:ascii="Times New Roman" w:hAnsi="Times New Roman" w:eastAsia="Times New Roman"/>
          <w:sz w:val="21"/>
        </w:rPr>
        <w:t>“</w:t>
      </w:r>
      <w:r>
        <w:rPr>
          <w:spacing w:val="-3"/>
          <w:sz w:val="21"/>
        </w:rPr>
        <w:t>投标文件格式</w:t>
      </w:r>
      <w:r>
        <w:rPr>
          <w:rFonts w:ascii="Times New Roman" w:hAnsi="Times New Roman" w:eastAsia="Times New Roman"/>
          <w:sz w:val="21"/>
        </w:rPr>
        <w:t>”</w:t>
      </w:r>
      <w:r>
        <w:rPr>
          <w:spacing w:val="-3"/>
          <w:sz w:val="21"/>
        </w:rPr>
        <w:t>规定之外的方式填写相关内容。否则， 将作为无效投标处理。</w:t>
      </w:r>
    </w:p>
    <w:p>
      <w:pPr>
        <w:pStyle w:val="22"/>
        <w:numPr>
          <w:ilvl w:val="1"/>
          <w:numId w:val="6"/>
        </w:numPr>
        <w:tabs>
          <w:tab w:val="left" w:pos="1038"/>
        </w:tabs>
        <w:spacing w:before="0" w:after="0" w:line="393" w:lineRule="auto"/>
        <w:ind w:left="337" w:right="348" w:firstLine="420"/>
        <w:jc w:val="left"/>
        <w:rPr>
          <w:sz w:val="21"/>
        </w:rPr>
      </w:pPr>
      <w:r>
        <w:rPr>
          <w:spacing w:val="-3"/>
          <w:sz w:val="21"/>
        </w:rPr>
        <w:t>、投标人必须按照招标文件的规定和要求由法定代表人或被授权人签字（</w:t>
      </w:r>
      <w:r>
        <w:rPr>
          <w:spacing w:val="-1"/>
          <w:sz w:val="21"/>
        </w:rPr>
        <w:t>或盖章</w:t>
      </w:r>
      <w:r>
        <w:rPr>
          <w:sz w:val="21"/>
        </w:rPr>
        <w:t>）</w:t>
      </w:r>
      <w:r>
        <w:rPr>
          <w:spacing w:val="-2"/>
          <w:sz w:val="21"/>
        </w:rPr>
        <w:t>，并加盖投标人</w:t>
      </w:r>
      <w:r>
        <w:rPr>
          <w:spacing w:val="-3"/>
          <w:sz w:val="21"/>
        </w:rPr>
        <w:t>公章，如有遗漏，将作为无效投标处理。</w:t>
      </w:r>
    </w:p>
    <w:p>
      <w:pPr>
        <w:pStyle w:val="22"/>
        <w:numPr>
          <w:ilvl w:val="1"/>
          <w:numId w:val="6"/>
        </w:numPr>
        <w:tabs>
          <w:tab w:val="left" w:pos="1038"/>
        </w:tabs>
        <w:spacing w:before="0" w:after="0" w:line="267" w:lineRule="exact"/>
        <w:ind w:left="1037" w:right="0" w:hanging="280"/>
        <w:jc w:val="left"/>
        <w:rPr>
          <w:sz w:val="11"/>
        </w:rPr>
      </w:pPr>
      <w:r>
        <w:rPr>
          <w:spacing w:val="-3"/>
          <w:sz w:val="21"/>
        </w:rPr>
        <w:t>、除投标人对错误处需修改外，全套投标文件应无涂改或行间插字或增删。如有修改，修改处应加</w:t>
      </w:r>
    </w:p>
    <w:p>
      <w:pPr>
        <w:pStyle w:val="12"/>
        <w:spacing w:before="72"/>
        <w:ind w:left="337"/>
      </w:pPr>
      <w:r>
        <w:t>盖投标人公章及法定代表人或被授权人签字（或盖章）确认。</w:t>
      </w:r>
    </w:p>
    <w:p>
      <w:pPr>
        <w:pStyle w:val="22"/>
        <w:numPr>
          <w:ilvl w:val="1"/>
          <w:numId w:val="6"/>
        </w:numPr>
        <w:tabs>
          <w:tab w:val="left" w:pos="1038"/>
        </w:tabs>
        <w:spacing w:before="171" w:after="0" w:line="393" w:lineRule="auto"/>
        <w:ind w:left="337" w:right="343" w:firstLine="420"/>
        <w:jc w:val="left"/>
        <w:rPr>
          <w:sz w:val="21"/>
        </w:rPr>
      </w:pPr>
      <w:r>
        <w:rPr>
          <w:spacing w:val="-3"/>
          <w:sz w:val="21"/>
        </w:rPr>
        <w:t>、投标文件的正本和副本均需</w:t>
      </w:r>
      <w:r>
        <w:rPr>
          <w:b/>
          <w:spacing w:val="-1"/>
          <w:sz w:val="21"/>
        </w:rPr>
        <w:t>单面或双面打印</w:t>
      </w:r>
      <w:r>
        <w:rPr>
          <w:spacing w:val="-3"/>
          <w:sz w:val="21"/>
        </w:rPr>
        <w:t>或用不褪色、不变质的墨水书写。因字迹潦草或表达不清所引起的后果由投标人自行负责。</w:t>
      </w:r>
    </w:p>
    <w:p>
      <w:pPr>
        <w:pStyle w:val="22"/>
        <w:numPr>
          <w:ilvl w:val="1"/>
          <w:numId w:val="6"/>
        </w:numPr>
        <w:tabs>
          <w:tab w:val="left" w:pos="1038"/>
        </w:tabs>
        <w:spacing w:before="0" w:after="0" w:line="391" w:lineRule="auto"/>
        <w:ind w:left="337" w:right="347" w:firstLine="420"/>
        <w:jc w:val="left"/>
        <w:rPr>
          <w:sz w:val="21"/>
        </w:rPr>
      </w:pPr>
      <w:r>
        <w:rPr>
          <w:spacing w:val="-3"/>
          <w:sz w:val="21"/>
        </w:rPr>
        <w:t>、投标文件电子版内容须与投标文件纸质版正本中的内容一致</w:t>
      </w:r>
      <w:r>
        <w:rPr>
          <w:rFonts w:hint="eastAsia"/>
          <w:spacing w:val="-3"/>
          <w:sz w:val="21"/>
          <w:lang w:eastAsia="zh-CN"/>
        </w:rPr>
        <w:t>。</w:t>
      </w:r>
    </w:p>
    <w:p>
      <w:pPr>
        <w:pStyle w:val="22"/>
        <w:numPr>
          <w:ilvl w:val="1"/>
          <w:numId w:val="6"/>
        </w:numPr>
        <w:tabs>
          <w:tab w:val="left" w:pos="1038"/>
        </w:tabs>
        <w:spacing w:before="2" w:after="0" w:line="391" w:lineRule="auto"/>
        <w:ind w:left="337" w:right="348" w:firstLine="420"/>
        <w:jc w:val="left"/>
        <w:rPr>
          <w:sz w:val="21"/>
        </w:rPr>
      </w:pPr>
      <w:r>
        <w:rPr>
          <w:spacing w:val="-3"/>
          <w:sz w:val="21"/>
        </w:rPr>
        <w:t>、投标报价一览表为在开标会议上唱标的内容，按格式要求填写。若投标人价格、日期格式或单位填写有误，采购代理机构将默认为招标文件要求进行唱标。</w:t>
      </w:r>
    </w:p>
    <w:p>
      <w:pPr>
        <w:pStyle w:val="12"/>
        <w:spacing w:before="1"/>
        <w:ind w:left="758"/>
      </w:pPr>
      <w:r>
        <w:rPr>
          <w:rFonts w:ascii="Times New Roman" w:eastAsia="Times New Roman"/>
        </w:rPr>
        <w:t>6</w:t>
      </w:r>
      <w:r>
        <w:t>、投标文件的装订、密封</w:t>
      </w:r>
    </w:p>
    <w:p>
      <w:pPr>
        <w:pStyle w:val="22"/>
        <w:numPr>
          <w:ilvl w:val="1"/>
          <w:numId w:val="7"/>
        </w:numPr>
        <w:tabs>
          <w:tab w:val="left" w:pos="1038"/>
        </w:tabs>
        <w:spacing w:before="172" w:after="0" w:line="391" w:lineRule="auto"/>
        <w:ind w:left="337" w:right="328" w:firstLine="420"/>
        <w:jc w:val="both"/>
        <w:rPr>
          <w:sz w:val="21"/>
        </w:rPr>
      </w:pPr>
      <w:r>
        <w:rPr>
          <w:spacing w:val="-3"/>
          <w:sz w:val="21"/>
        </w:rPr>
        <w:t>、投标时，投标人应自行将投标文件密封完好（封袋不得有破损</w:t>
      </w:r>
      <w:r>
        <w:rPr>
          <w:sz w:val="21"/>
        </w:rPr>
        <w:t>）</w:t>
      </w:r>
      <w:r>
        <w:rPr>
          <w:spacing w:val="-3"/>
          <w:sz w:val="21"/>
        </w:rPr>
        <w:t>。标袋上应写明项目名称、项目</w:t>
      </w:r>
      <w:r>
        <w:rPr>
          <w:spacing w:val="-5"/>
          <w:sz w:val="21"/>
        </w:rPr>
        <w:t>编号、投标人名称及</w:t>
      </w:r>
      <w:r>
        <w:rPr>
          <w:rFonts w:ascii="Times New Roman" w:hAnsi="Times New Roman" w:eastAsia="Times New Roman"/>
          <w:sz w:val="21"/>
        </w:rPr>
        <w:t>“</w:t>
      </w:r>
      <w:r>
        <w:rPr>
          <w:spacing w:val="-2"/>
          <w:sz w:val="21"/>
        </w:rPr>
        <w:t>正本</w:t>
      </w:r>
      <w:r>
        <w:rPr>
          <w:rFonts w:ascii="Times New Roman" w:hAnsi="Times New Roman" w:eastAsia="Times New Roman"/>
          <w:sz w:val="21"/>
        </w:rPr>
        <w:t>”</w:t>
      </w:r>
      <w:r>
        <w:rPr>
          <w:spacing w:val="-15"/>
          <w:sz w:val="21"/>
        </w:rPr>
        <w:t>、</w:t>
      </w:r>
      <w:r>
        <w:rPr>
          <w:rFonts w:ascii="Times New Roman" w:hAnsi="Times New Roman" w:eastAsia="Times New Roman"/>
          <w:sz w:val="21"/>
        </w:rPr>
        <w:t>“</w:t>
      </w:r>
      <w:r>
        <w:rPr>
          <w:spacing w:val="-2"/>
          <w:sz w:val="21"/>
        </w:rPr>
        <w:t>副本</w:t>
      </w:r>
      <w:r>
        <w:rPr>
          <w:rFonts w:ascii="Times New Roman" w:hAnsi="Times New Roman" w:eastAsia="Times New Roman"/>
          <w:sz w:val="21"/>
        </w:rPr>
        <w:t>”</w:t>
      </w:r>
      <w:r>
        <w:rPr>
          <w:spacing w:val="-6"/>
          <w:sz w:val="21"/>
        </w:rPr>
        <w:t>字样，并在密封条接缝处加盖单位公章</w:t>
      </w:r>
      <w:r>
        <w:rPr>
          <w:spacing w:val="-3"/>
          <w:sz w:val="21"/>
        </w:rPr>
        <w:t>（</w:t>
      </w:r>
      <w:r>
        <w:rPr>
          <w:sz w:val="21"/>
        </w:rPr>
        <w:t>鲜章</w:t>
      </w:r>
      <w:r>
        <w:rPr>
          <w:spacing w:val="-17"/>
          <w:sz w:val="21"/>
        </w:rPr>
        <w:t>）</w:t>
      </w:r>
      <w:r>
        <w:rPr>
          <w:spacing w:val="-3"/>
          <w:sz w:val="21"/>
        </w:rPr>
        <w:t>和法定代表人或被授权人签字</w:t>
      </w:r>
      <w:r>
        <w:rPr>
          <w:rFonts w:ascii="Times New Roman" w:hAnsi="Times New Roman" w:eastAsia="Times New Roman"/>
          <w:spacing w:val="-4"/>
          <w:sz w:val="21"/>
        </w:rPr>
        <w:t>(</w:t>
      </w:r>
      <w:r>
        <w:rPr>
          <w:spacing w:val="-2"/>
          <w:sz w:val="21"/>
        </w:rPr>
        <w:t>或盖章</w:t>
      </w:r>
      <w:r>
        <w:rPr>
          <w:sz w:val="21"/>
        </w:rPr>
        <w:t>）；</w:t>
      </w:r>
    </w:p>
    <w:p>
      <w:pPr>
        <w:pStyle w:val="22"/>
        <w:numPr>
          <w:ilvl w:val="1"/>
          <w:numId w:val="7"/>
        </w:numPr>
        <w:tabs>
          <w:tab w:val="left" w:pos="1038"/>
        </w:tabs>
        <w:spacing w:before="5" w:after="0" w:line="391" w:lineRule="auto"/>
        <w:ind w:left="337" w:right="331" w:firstLine="420"/>
        <w:jc w:val="left"/>
        <w:rPr>
          <w:b/>
          <w:sz w:val="21"/>
        </w:rPr>
      </w:pPr>
      <w:r>
        <w:rPr>
          <w:spacing w:val="-3"/>
          <w:sz w:val="21"/>
        </w:rPr>
        <w:t>、投标文件一律采用书籍</w:t>
      </w:r>
      <w:r>
        <w:rPr>
          <w:sz w:val="21"/>
        </w:rPr>
        <w:t>（</w:t>
      </w:r>
      <w:r>
        <w:rPr>
          <w:spacing w:val="-2"/>
          <w:sz w:val="21"/>
        </w:rPr>
        <w:t>胶装</w:t>
      </w:r>
      <w:r>
        <w:rPr>
          <w:spacing w:val="-3"/>
          <w:sz w:val="21"/>
        </w:rPr>
        <w:t>）方式装订。投标文件正本一份，副本</w:t>
      </w:r>
      <w:r>
        <w:rPr>
          <w:rFonts w:hint="eastAsia"/>
          <w:spacing w:val="-3"/>
          <w:sz w:val="21"/>
          <w:lang w:eastAsia="zh-CN"/>
        </w:rPr>
        <w:t>三</w:t>
      </w:r>
      <w:r>
        <w:rPr>
          <w:spacing w:val="-3"/>
          <w:sz w:val="21"/>
        </w:rPr>
        <w:t>份，电子文件一份</w:t>
      </w:r>
      <w:r>
        <w:rPr>
          <w:sz w:val="21"/>
        </w:rPr>
        <w:t>（U</w:t>
      </w:r>
      <w:r>
        <w:rPr>
          <w:spacing w:val="-18"/>
          <w:sz w:val="21"/>
        </w:rPr>
        <w:t xml:space="preserve"> 盘一份</w:t>
      </w:r>
      <w:r>
        <w:rPr>
          <w:spacing w:val="-10"/>
          <w:sz w:val="21"/>
        </w:rPr>
        <w:t>）</w:t>
      </w:r>
      <w:r>
        <w:rPr>
          <w:spacing w:val="-7"/>
          <w:sz w:val="21"/>
        </w:rPr>
        <w:t xml:space="preserve">。投标文件的正本和副本均须 </w:t>
      </w:r>
      <w:r>
        <w:rPr>
          <w:sz w:val="21"/>
        </w:rPr>
        <w:t>A4</w:t>
      </w:r>
      <w:r>
        <w:rPr>
          <w:spacing w:val="-21"/>
          <w:sz w:val="21"/>
        </w:rPr>
        <w:t xml:space="preserve"> 纸</w:t>
      </w:r>
      <w:r>
        <w:rPr>
          <w:b/>
          <w:sz w:val="21"/>
        </w:rPr>
        <w:t>单面或双面打印</w:t>
      </w:r>
      <w:r>
        <w:rPr>
          <w:spacing w:val="-5"/>
          <w:sz w:val="21"/>
        </w:rPr>
        <w:t>，并编制目录和页码。</w:t>
      </w:r>
      <w:r>
        <w:rPr>
          <w:b/>
          <w:spacing w:val="-1"/>
          <w:sz w:val="21"/>
        </w:rPr>
        <w:t>正本与电子版一起用封袋</w:t>
      </w:r>
      <w:r>
        <w:rPr>
          <w:b/>
          <w:spacing w:val="-3"/>
          <w:sz w:val="21"/>
        </w:rPr>
        <w:t>密封，副本可以用封袋一起密封或单独密封</w:t>
      </w:r>
      <w:r>
        <w:rPr>
          <w:spacing w:val="-3"/>
          <w:sz w:val="21"/>
        </w:rPr>
        <w:t>。电子版放置“正本”密封袋内。投标文件正副本须按规定和要求进行签字(或盖章</w:t>
      </w:r>
      <w:r>
        <w:rPr>
          <w:spacing w:val="-5"/>
          <w:sz w:val="21"/>
        </w:rPr>
        <w:t>）</w:t>
      </w:r>
      <w:r>
        <w:rPr>
          <w:spacing w:val="-4"/>
          <w:sz w:val="21"/>
        </w:rPr>
        <w:t>，并加盖公章</w:t>
      </w:r>
      <w:r>
        <w:rPr>
          <w:spacing w:val="-3"/>
          <w:sz w:val="21"/>
        </w:rPr>
        <w:t>（</w:t>
      </w:r>
      <w:r>
        <w:rPr>
          <w:spacing w:val="-2"/>
          <w:sz w:val="21"/>
        </w:rPr>
        <w:t>鲜章</w:t>
      </w:r>
      <w:r>
        <w:rPr>
          <w:spacing w:val="-5"/>
          <w:sz w:val="21"/>
        </w:rPr>
        <w:t>）</w:t>
      </w:r>
      <w:r>
        <w:rPr>
          <w:spacing w:val="-4"/>
          <w:sz w:val="21"/>
        </w:rPr>
        <w:t>。如果正本与副本不符，以正本为准。</w:t>
      </w:r>
      <w:r>
        <w:rPr>
          <w:b/>
          <w:spacing w:val="-1"/>
          <w:sz w:val="21"/>
        </w:rPr>
        <w:t>电子投标文件与纸质</w:t>
      </w:r>
      <w:r>
        <w:rPr>
          <w:b/>
          <w:spacing w:val="-3"/>
          <w:sz w:val="21"/>
        </w:rPr>
        <w:t>文件不一致以纸质文件为准。</w:t>
      </w:r>
    </w:p>
    <w:p>
      <w:pPr>
        <w:pStyle w:val="11"/>
        <w:spacing w:before="6"/>
        <w:ind w:left="760"/>
      </w:pPr>
      <w:r>
        <w:t>注：</w:t>
      </w:r>
      <w:r>
        <w:rPr>
          <w:u w:val="single"/>
        </w:rPr>
        <w:t>未按照招标文件要求密封的投标文件，采购人、采购代理机构应当拒收。</w:t>
      </w:r>
    </w:p>
    <w:p>
      <w:pPr>
        <w:pStyle w:val="12"/>
        <w:spacing w:before="172"/>
        <w:ind w:left="758"/>
      </w:pPr>
      <w:r>
        <w:rPr>
          <w:rFonts w:ascii="Times New Roman" w:eastAsia="Times New Roman"/>
        </w:rPr>
        <w:t>7</w:t>
      </w:r>
      <w:r>
        <w:t>、投标文件的计量单位</w:t>
      </w:r>
    </w:p>
    <w:p>
      <w:pPr>
        <w:pStyle w:val="12"/>
        <w:spacing w:before="171"/>
        <w:ind w:left="758"/>
      </w:pPr>
      <w:r>
        <w:t>投标文件中所使用的计量单位，除有特殊要求外，均采用国家法定计量单位。</w:t>
      </w:r>
    </w:p>
    <w:p>
      <w:pPr>
        <w:pStyle w:val="12"/>
        <w:spacing w:before="170"/>
        <w:ind w:left="758"/>
      </w:pPr>
      <w:r>
        <w:rPr>
          <w:rFonts w:ascii="Times New Roman" w:eastAsia="Times New Roman"/>
        </w:rPr>
        <w:t>8</w:t>
      </w:r>
      <w:r>
        <w:t>、投标报价</w:t>
      </w:r>
    </w:p>
    <w:p>
      <w:pPr>
        <w:pStyle w:val="22"/>
        <w:numPr>
          <w:ilvl w:val="1"/>
          <w:numId w:val="8"/>
        </w:numPr>
        <w:tabs>
          <w:tab w:val="left" w:pos="1038"/>
          <w:tab w:val="left" w:pos="3561"/>
        </w:tabs>
        <w:spacing w:before="173" w:after="0" w:line="240" w:lineRule="auto"/>
        <w:ind w:left="1037" w:right="0" w:hanging="280"/>
        <w:jc w:val="left"/>
        <w:rPr>
          <w:rFonts w:ascii="Times New Roman" w:eastAsia="Times New Roman"/>
          <w:sz w:val="19"/>
        </w:rPr>
      </w:pPr>
      <w:r>
        <w:rPr>
          <w:sz w:val="21"/>
        </w:rPr>
        <w:t>、投标</w:t>
      </w:r>
      <w:r>
        <w:rPr>
          <w:spacing w:val="-3"/>
          <w:sz w:val="21"/>
        </w:rPr>
        <w:t>货</w:t>
      </w:r>
      <w:r>
        <w:rPr>
          <w:sz w:val="21"/>
        </w:rPr>
        <w:t>币</w:t>
      </w:r>
      <w:r>
        <w:rPr>
          <w:spacing w:val="-3"/>
          <w:sz w:val="21"/>
        </w:rPr>
        <w:t>：</w:t>
      </w:r>
      <w:r>
        <w:rPr>
          <w:sz w:val="21"/>
        </w:rPr>
        <w:t>人</w:t>
      </w:r>
      <w:r>
        <w:rPr>
          <w:spacing w:val="-3"/>
          <w:sz w:val="21"/>
        </w:rPr>
        <w:t>民</w:t>
      </w:r>
      <w:r>
        <w:rPr>
          <w:sz w:val="21"/>
        </w:rPr>
        <w:t>币</w:t>
      </w:r>
      <w:r>
        <w:rPr>
          <w:sz w:val="21"/>
        </w:rPr>
        <w:tab/>
      </w:r>
      <w:r>
        <w:rPr>
          <w:spacing w:val="-3"/>
          <w:sz w:val="21"/>
        </w:rPr>
        <w:t>单</w:t>
      </w:r>
      <w:r>
        <w:rPr>
          <w:sz w:val="21"/>
        </w:rPr>
        <w:t>位</w:t>
      </w:r>
      <w:r>
        <w:rPr>
          <w:rFonts w:ascii="Times New Roman" w:eastAsia="Times New Roman"/>
          <w:sz w:val="21"/>
        </w:rPr>
        <w:t>:</w:t>
      </w:r>
      <w:r>
        <w:rPr>
          <w:spacing w:val="-3"/>
          <w:sz w:val="21"/>
        </w:rPr>
        <w:t>元。</w:t>
      </w:r>
    </w:p>
    <w:p>
      <w:pPr>
        <w:pStyle w:val="22"/>
        <w:numPr>
          <w:ilvl w:val="1"/>
          <w:numId w:val="8"/>
        </w:numPr>
        <w:tabs>
          <w:tab w:val="left" w:pos="1043"/>
        </w:tabs>
        <w:spacing w:before="170" w:after="0" w:line="391" w:lineRule="auto"/>
        <w:ind w:left="337" w:right="341" w:firstLine="422"/>
        <w:jc w:val="left"/>
        <w:rPr>
          <w:rFonts w:ascii="Times New Roman" w:eastAsia="Times New Roman"/>
          <w:b/>
          <w:sz w:val="19"/>
        </w:rPr>
      </w:pPr>
      <w:r>
        <w:rPr>
          <w:b/>
          <w:sz w:val="21"/>
        </w:rPr>
        <w:t>、投标报价：</w:t>
      </w:r>
      <w:r>
        <w:rPr>
          <w:spacing w:val="-3"/>
          <w:sz w:val="21"/>
        </w:rPr>
        <w:t>人工费、材料设备费、服务费、管理费、利润、人身意外伤害险、税金以及合同包含的所有风险、责任等各项应有费用</w:t>
      </w:r>
      <w:r>
        <w:rPr>
          <w:b/>
          <w:sz w:val="21"/>
        </w:rPr>
        <w:t>。</w:t>
      </w:r>
    </w:p>
    <w:p>
      <w:pPr>
        <w:pStyle w:val="22"/>
        <w:numPr>
          <w:ilvl w:val="1"/>
          <w:numId w:val="8"/>
        </w:numPr>
        <w:tabs>
          <w:tab w:val="left" w:pos="1038"/>
        </w:tabs>
        <w:spacing w:before="3" w:after="0" w:line="391" w:lineRule="auto"/>
        <w:ind w:left="337" w:right="348" w:firstLine="420"/>
        <w:jc w:val="left"/>
        <w:rPr>
          <w:rFonts w:ascii="Times New Roman" w:eastAsia="Times New Roman"/>
          <w:sz w:val="19"/>
        </w:rPr>
      </w:pPr>
      <w:r>
        <w:rPr>
          <w:spacing w:val="-3"/>
          <w:sz w:val="21"/>
        </w:rPr>
        <w:t>、投标人须对《技术要求》中技术要求进行完整报价，采购代理机构拒绝只对部分服务进行报价的投标。投标人应在投标文件中的投标报价表上标明对本次招标拟提供服务的单价或总价。任何有选择的报价将不予接受，每项服务只允许有一个报价。</w:t>
      </w:r>
    </w:p>
    <w:p>
      <w:pPr>
        <w:pStyle w:val="22"/>
        <w:numPr>
          <w:ilvl w:val="1"/>
          <w:numId w:val="8"/>
        </w:numPr>
        <w:tabs>
          <w:tab w:val="left" w:pos="1038"/>
        </w:tabs>
        <w:spacing w:before="5" w:after="0" w:line="391" w:lineRule="auto"/>
        <w:ind w:left="337" w:right="348" w:firstLine="420"/>
        <w:jc w:val="left"/>
        <w:rPr>
          <w:rFonts w:ascii="Times New Roman" w:eastAsia="Times New Roman"/>
          <w:sz w:val="19"/>
        </w:rPr>
      </w:pPr>
      <w:r>
        <w:rPr>
          <w:spacing w:val="-3"/>
          <w:sz w:val="21"/>
        </w:rPr>
        <w:t>、投标人所报的投标价应为履行合同的固定价格，不得以任何理由予以变更。任何包含价格调整要求的投标，将被认为是非响应性投标而予以拒绝。若因国家政策调整合同价格应在合同中约定。</w:t>
      </w:r>
    </w:p>
    <w:p>
      <w:pPr>
        <w:pStyle w:val="12"/>
        <w:spacing w:before="1"/>
        <w:ind w:left="758"/>
      </w:pPr>
      <w:r>
        <w:rPr>
          <w:rFonts w:ascii="Times New Roman" w:eastAsia="Times New Roman"/>
        </w:rPr>
        <w:t>9</w:t>
      </w:r>
      <w:r>
        <w:t>、各投标人须对以下内容做出承诺：</w:t>
      </w:r>
    </w:p>
    <w:p>
      <w:pPr>
        <w:pStyle w:val="22"/>
        <w:numPr>
          <w:ilvl w:val="1"/>
          <w:numId w:val="9"/>
        </w:numPr>
        <w:tabs>
          <w:tab w:val="left" w:pos="1038"/>
        </w:tabs>
        <w:spacing w:before="173" w:after="0" w:line="240" w:lineRule="auto"/>
        <w:ind w:left="1037" w:right="0" w:hanging="280"/>
        <w:jc w:val="left"/>
        <w:rPr>
          <w:sz w:val="21"/>
        </w:rPr>
      </w:pPr>
      <w:r>
        <w:rPr>
          <w:spacing w:val="-3"/>
          <w:sz w:val="21"/>
        </w:rPr>
        <w:t>、投标人不得以他人名义投标和串通投标。</w:t>
      </w:r>
    </w:p>
    <w:p>
      <w:pPr>
        <w:pStyle w:val="22"/>
        <w:numPr>
          <w:ilvl w:val="1"/>
          <w:numId w:val="9"/>
        </w:numPr>
        <w:tabs>
          <w:tab w:val="left" w:pos="1038"/>
        </w:tabs>
        <w:spacing w:before="170" w:after="0" w:line="240" w:lineRule="auto"/>
        <w:ind w:left="1037" w:right="0" w:hanging="280"/>
        <w:jc w:val="left"/>
        <w:rPr>
          <w:sz w:val="21"/>
        </w:rPr>
      </w:pPr>
      <w:r>
        <w:rPr>
          <w:spacing w:val="-3"/>
          <w:sz w:val="21"/>
        </w:rPr>
        <w:t>、必须根据招标文件要求进行服务等。</w:t>
      </w:r>
    </w:p>
    <w:p>
      <w:pPr>
        <w:pStyle w:val="12"/>
        <w:spacing w:before="10"/>
        <w:rPr>
          <w:sz w:val="10"/>
        </w:rPr>
      </w:pPr>
    </w:p>
    <w:p>
      <w:pPr>
        <w:pStyle w:val="22"/>
        <w:numPr>
          <w:ilvl w:val="1"/>
          <w:numId w:val="9"/>
        </w:numPr>
        <w:tabs>
          <w:tab w:val="left" w:pos="1038"/>
        </w:tabs>
        <w:spacing w:before="79" w:after="0" w:line="393" w:lineRule="auto"/>
        <w:ind w:left="337" w:right="348" w:firstLine="420"/>
        <w:jc w:val="left"/>
        <w:rPr>
          <w:sz w:val="21"/>
        </w:rPr>
      </w:pPr>
      <w:r>
        <w:rPr>
          <w:spacing w:val="-3"/>
          <w:sz w:val="21"/>
        </w:rPr>
        <w:t>、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pStyle w:val="22"/>
        <w:numPr>
          <w:ilvl w:val="1"/>
          <w:numId w:val="9"/>
        </w:numPr>
        <w:tabs>
          <w:tab w:val="left" w:pos="1038"/>
        </w:tabs>
        <w:spacing w:before="0" w:after="0" w:line="391" w:lineRule="auto"/>
        <w:ind w:left="337" w:right="348" w:firstLine="420"/>
        <w:jc w:val="left"/>
        <w:rPr>
          <w:sz w:val="21"/>
        </w:rPr>
      </w:pPr>
      <w:r>
        <w:rPr>
          <w:spacing w:val="-3"/>
          <w:sz w:val="21"/>
        </w:rPr>
        <w:t>、接受采购人委托的相关单位对服务内容、质量、进度、实施方案、价款支付与结算审核等的监督和管理。</w:t>
      </w:r>
    </w:p>
    <w:p>
      <w:pPr>
        <w:pStyle w:val="22"/>
        <w:numPr>
          <w:ilvl w:val="1"/>
          <w:numId w:val="9"/>
        </w:numPr>
        <w:tabs>
          <w:tab w:val="left" w:pos="1038"/>
        </w:tabs>
        <w:spacing w:before="0" w:after="0" w:line="391" w:lineRule="auto"/>
        <w:ind w:left="337" w:right="348" w:firstLine="420"/>
        <w:jc w:val="left"/>
        <w:rPr>
          <w:sz w:val="21"/>
        </w:rPr>
      </w:pPr>
      <w:r>
        <w:rPr>
          <w:spacing w:val="-3"/>
          <w:sz w:val="21"/>
        </w:rPr>
        <w:t>、投标人应保证在本项目使用的任何产品和服务的任何一部分，不会产生因第三方提出的侵犯其专利权、商标权、著作权或其它知识产权而引起的法律和经济纠纷，由此引起的纠纷，由投标人承担所有相关责任。</w:t>
      </w:r>
    </w:p>
    <w:p>
      <w:pPr>
        <w:pStyle w:val="22"/>
        <w:numPr>
          <w:ilvl w:val="1"/>
          <w:numId w:val="9"/>
        </w:numPr>
        <w:tabs>
          <w:tab w:val="left" w:pos="1038"/>
        </w:tabs>
        <w:spacing w:before="4" w:after="0" w:line="393" w:lineRule="auto"/>
        <w:ind w:left="337" w:right="348" w:firstLine="420"/>
        <w:jc w:val="left"/>
        <w:rPr>
          <w:sz w:val="21"/>
        </w:rPr>
      </w:pPr>
      <w:r>
        <w:rPr>
          <w:spacing w:val="-3"/>
          <w:sz w:val="21"/>
        </w:rPr>
        <w:t>、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pStyle w:val="22"/>
        <w:numPr>
          <w:ilvl w:val="1"/>
          <w:numId w:val="9"/>
        </w:numPr>
        <w:tabs>
          <w:tab w:val="left" w:pos="1038"/>
        </w:tabs>
        <w:spacing w:before="0" w:after="0" w:line="391" w:lineRule="auto"/>
        <w:ind w:left="337" w:right="396" w:firstLine="420"/>
        <w:jc w:val="left"/>
        <w:rPr>
          <w:sz w:val="21"/>
        </w:rPr>
      </w:pPr>
      <w:r>
        <w:rPr>
          <w:spacing w:val="-2"/>
          <w:sz w:val="21"/>
        </w:rPr>
        <w:t>、投标人不能以</w:t>
      </w:r>
      <w:r>
        <w:rPr>
          <w:rFonts w:ascii="Times New Roman" w:hAnsi="Times New Roman" w:eastAsia="Times New Roman"/>
          <w:sz w:val="21"/>
        </w:rPr>
        <w:t>“</w:t>
      </w:r>
      <w:r>
        <w:rPr>
          <w:spacing w:val="-2"/>
          <w:sz w:val="21"/>
        </w:rPr>
        <w:t>赠送</w:t>
      </w:r>
      <w:r>
        <w:rPr>
          <w:rFonts w:ascii="Times New Roman" w:hAnsi="Times New Roman" w:eastAsia="Times New Roman"/>
          <w:spacing w:val="-3"/>
          <w:sz w:val="21"/>
        </w:rPr>
        <w:t>”</w:t>
      </w:r>
      <w:r>
        <w:rPr>
          <w:sz w:val="21"/>
        </w:rPr>
        <w:t>、</w:t>
      </w:r>
      <w:r>
        <w:rPr>
          <w:rFonts w:ascii="Times New Roman" w:hAnsi="Times New Roman" w:eastAsia="Times New Roman"/>
          <w:sz w:val="21"/>
        </w:rPr>
        <w:t>“</w:t>
      </w:r>
      <w:r>
        <w:rPr>
          <w:spacing w:val="-2"/>
          <w:sz w:val="21"/>
        </w:rPr>
        <w:t>赠予</w:t>
      </w:r>
      <w:r>
        <w:rPr>
          <w:rFonts w:ascii="Times New Roman" w:hAnsi="Times New Roman" w:eastAsia="Times New Roman"/>
          <w:sz w:val="21"/>
        </w:rPr>
        <w:t>”</w:t>
      </w:r>
      <w:r>
        <w:rPr>
          <w:spacing w:val="-3"/>
          <w:sz w:val="21"/>
        </w:rPr>
        <w:t>等任何名义提供货物和服务以规避招标文件的约束。否则，将作为无效投标处理。投标人的行为将作为以不正当手段排挤其他投标人认定。</w:t>
      </w:r>
    </w:p>
    <w:p>
      <w:pPr>
        <w:pStyle w:val="6"/>
        <w:spacing w:line="292" w:lineRule="exact"/>
        <w:rPr>
          <w:rFonts w:hint="eastAsia" w:eastAsia="宋体"/>
          <w:lang w:eastAsia="zh-CN"/>
        </w:rPr>
      </w:pPr>
      <w:r>
        <w:t>五、投标</w:t>
      </w:r>
      <w:r>
        <w:rPr>
          <w:rFonts w:hint="eastAsia"/>
          <w:lang w:eastAsia="zh-CN"/>
        </w:rPr>
        <w:t>保证金</w:t>
      </w:r>
    </w:p>
    <w:p>
      <w:pPr>
        <w:pStyle w:val="12"/>
        <w:spacing w:before="5"/>
        <w:ind w:left="758"/>
      </w:pPr>
      <w:r>
        <w:rPr>
          <w:rFonts w:hint="eastAsia" w:ascii="Times New Roman"/>
          <w:lang w:val="en-US" w:eastAsia="zh-CN"/>
        </w:rPr>
        <w:t>1</w:t>
      </w:r>
      <w:r>
        <w:t>、退还投标保证金：</w:t>
      </w:r>
    </w:p>
    <w:p>
      <w:pPr>
        <w:pStyle w:val="11"/>
        <w:numPr>
          <w:ilvl w:val="0"/>
          <w:numId w:val="10"/>
        </w:numPr>
        <w:tabs>
          <w:tab w:val="left" w:pos="1177"/>
        </w:tabs>
        <w:spacing w:before="170" w:after="0" w:line="391" w:lineRule="auto"/>
        <w:ind w:left="337" w:right="394" w:firstLine="310"/>
        <w:jc w:val="left"/>
      </w:pPr>
      <w:r>
        <w:rPr>
          <w:spacing w:val="-4"/>
          <w:u w:val="single"/>
        </w:rPr>
        <w:t>在投标截止时间前撤回已提交投标文件的投标人的投标保证金，将在采购代理机构收到投标人书</w:t>
      </w:r>
      <w:r>
        <w:rPr>
          <w:spacing w:val="-192"/>
          <w:u w:val="single"/>
        </w:rPr>
        <w:t>面</w:t>
      </w:r>
      <w:r>
        <w:rPr>
          <w:spacing w:val="-7"/>
          <w:u w:val="single"/>
        </w:rPr>
        <w:t xml:space="preserve">撤回通知之日起 </w:t>
      </w:r>
      <w:r>
        <w:rPr>
          <w:rFonts w:ascii="Times New Roman" w:eastAsia="Times New Roman"/>
          <w:u w:val="single"/>
        </w:rPr>
        <w:t>5</w:t>
      </w:r>
      <w:r>
        <w:rPr>
          <w:rFonts w:ascii="Times New Roman" w:eastAsia="Times New Roman"/>
          <w:spacing w:val="-3"/>
          <w:u w:val="single"/>
        </w:rPr>
        <w:t xml:space="preserve"> </w:t>
      </w:r>
      <w:r>
        <w:rPr>
          <w:spacing w:val="-2"/>
          <w:u w:val="single"/>
        </w:rPr>
        <w:t>个工作日内退还。</w:t>
      </w:r>
    </w:p>
    <w:p>
      <w:pPr>
        <w:pStyle w:val="11"/>
        <w:numPr>
          <w:ilvl w:val="0"/>
          <w:numId w:val="10"/>
        </w:numPr>
        <w:tabs>
          <w:tab w:val="left" w:pos="1175"/>
        </w:tabs>
        <w:spacing w:before="4" w:after="0" w:line="240" w:lineRule="auto"/>
        <w:ind w:left="1174" w:right="0" w:hanging="530"/>
        <w:jc w:val="left"/>
      </w:pPr>
      <w:r>
        <w:rPr>
          <w:spacing w:val="-6"/>
          <w:u w:val="single"/>
        </w:rPr>
        <w:t xml:space="preserve">所有未中标人的投标保证金，将在中标通知书发出后 </w:t>
      </w:r>
      <w:r>
        <w:rPr>
          <w:rFonts w:ascii="Times New Roman" w:eastAsia="Times New Roman"/>
          <w:u w:val="single"/>
        </w:rPr>
        <w:t>5</w:t>
      </w:r>
      <w:r>
        <w:rPr>
          <w:rFonts w:ascii="Times New Roman" w:eastAsia="Times New Roman"/>
          <w:spacing w:val="-3"/>
          <w:u w:val="single"/>
        </w:rPr>
        <w:t xml:space="preserve"> </w:t>
      </w:r>
      <w:r>
        <w:rPr>
          <w:spacing w:val="-1"/>
          <w:u w:val="single"/>
        </w:rPr>
        <w:t>个工作日内退还。</w:t>
      </w:r>
    </w:p>
    <w:p>
      <w:pPr>
        <w:pStyle w:val="11"/>
        <w:numPr>
          <w:ilvl w:val="0"/>
          <w:numId w:val="10"/>
        </w:numPr>
        <w:tabs>
          <w:tab w:val="left" w:pos="1177"/>
        </w:tabs>
        <w:spacing w:before="170" w:after="0" w:line="240" w:lineRule="auto"/>
        <w:ind w:left="1176" w:right="0" w:hanging="530"/>
        <w:jc w:val="left"/>
      </w:pPr>
      <w:r>
        <w:rPr>
          <w:spacing w:val="-5"/>
          <w:u w:val="single"/>
        </w:rPr>
        <w:t xml:space="preserve">中标人的投标保证金，将在签订合同后 </w:t>
      </w:r>
      <w:r>
        <w:rPr>
          <w:rFonts w:ascii="Times New Roman" w:eastAsia="Times New Roman"/>
          <w:u w:val="single"/>
        </w:rPr>
        <w:t>5</w:t>
      </w:r>
      <w:r>
        <w:rPr>
          <w:rFonts w:ascii="Times New Roman" w:eastAsia="Times New Roman"/>
          <w:spacing w:val="-3"/>
          <w:u w:val="single"/>
        </w:rPr>
        <w:t xml:space="preserve"> </w:t>
      </w:r>
      <w:r>
        <w:rPr>
          <w:spacing w:val="-3"/>
          <w:u w:val="single"/>
        </w:rPr>
        <w:t>个工作日内执合同予以退还。</w:t>
      </w:r>
    </w:p>
    <w:p>
      <w:pPr>
        <w:pStyle w:val="12"/>
        <w:spacing w:before="170" w:line="393" w:lineRule="auto"/>
        <w:ind w:left="337" w:right="328" w:firstLine="420"/>
      </w:pPr>
      <w:r>
        <w:rPr>
          <w:rFonts w:hint="eastAsia"/>
          <w:spacing w:val="-5"/>
          <w:lang w:val="en-US" w:eastAsia="zh-CN"/>
        </w:rPr>
        <w:t>2</w:t>
      </w:r>
      <w:r>
        <w:rPr>
          <w:spacing w:val="-5"/>
        </w:rPr>
        <w:t>、发生下列情况之一时，投标保证金将不予退还，提供担保函的投标人将由专业担保机构先行偿付采</w:t>
      </w:r>
      <w:r>
        <w:rPr>
          <w:spacing w:val="-4"/>
        </w:rPr>
        <w:t>购人损失：</w:t>
      </w:r>
    </w:p>
    <w:p>
      <w:pPr>
        <w:pStyle w:val="22"/>
        <w:numPr>
          <w:ilvl w:val="0"/>
          <w:numId w:val="0"/>
        </w:numPr>
        <w:tabs>
          <w:tab w:val="left" w:pos="617"/>
        </w:tabs>
        <w:spacing w:before="0" w:after="0" w:line="268" w:lineRule="exact"/>
        <w:ind w:left="337" w:leftChars="0" w:right="0" w:rightChars="0"/>
        <w:jc w:val="left"/>
        <w:rPr>
          <w:sz w:val="21"/>
        </w:rPr>
      </w:pPr>
      <w:r>
        <w:rPr>
          <w:rFonts w:hint="eastAsia"/>
          <w:sz w:val="21"/>
          <w:lang w:val="en-US" w:eastAsia="zh-CN"/>
        </w:rPr>
        <w:t>2-1</w:t>
      </w:r>
      <w:r>
        <w:rPr>
          <w:sz w:val="21"/>
        </w:rPr>
        <w:t>、</w:t>
      </w:r>
      <w:r>
        <w:rPr>
          <w:spacing w:val="-3"/>
          <w:sz w:val="21"/>
          <w:u w:val="single"/>
        </w:rPr>
        <w:t>投标人提供虚假资质谋取中标的；</w:t>
      </w:r>
    </w:p>
    <w:p>
      <w:pPr>
        <w:pStyle w:val="22"/>
        <w:numPr>
          <w:ilvl w:val="0"/>
          <w:numId w:val="0"/>
        </w:numPr>
        <w:tabs>
          <w:tab w:val="left" w:pos="617"/>
        </w:tabs>
        <w:spacing w:before="170" w:after="0" w:line="240" w:lineRule="auto"/>
        <w:ind w:left="337" w:leftChars="0" w:right="0" w:rightChars="0"/>
        <w:jc w:val="left"/>
        <w:rPr>
          <w:sz w:val="21"/>
        </w:rPr>
      </w:pPr>
      <w:r>
        <w:rPr>
          <w:rFonts w:hint="eastAsia"/>
          <w:sz w:val="21"/>
          <w:lang w:val="en-US" w:eastAsia="zh-CN"/>
        </w:rPr>
        <w:t>2-2</w:t>
      </w:r>
      <w:r>
        <w:rPr>
          <w:sz w:val="21"/>
        </w:rPr>
        <w:t>、</w:t>
      </w:r>
      <w:r>
        <w:rPr>
          <w:spacing w:val="-3"/>
          <w:sz w:val="21"/>
          <w:u w:val="single"/>
        </w:rPr>
        <w:t>有围标、串标现象，经查证属实的；</w:t>
      </w:r>
    </w:p>
    <w:p>
      <w:pPr>
        <w:pStyle w:val="22"/>
        <w:numPr>
          <w:ilvl w:val="0"/>
          <w:numId w:val="0"/>
        </w:numPr>
        <w:tabs>
          <w:tab w:val="left" w:pos="617"/>
        </w:tabs>
        <w:spacing w:before="173" w:after="0" w:line="240" w:lineRule="auto"/>
        <w:ind w:left="337" w:leftChars="0" w:right="0" w:rightChars="0"/>
        <w:jc w:val="left"/>
        <w:rPr>
          <w:spacing w:val="-3"/>
          <w:sz w:val="21"/>
          <w:u w:val="single"/>
        </w:rPr>
      </w:pPr>
      <w:r>
        <w:rPr>
          <w:rFonts w:hint="eastAsia"/>
          <w:sz w:val="21"/>
          <w:lang w:val="en-US" w:eastAsia="zh-CN"/>
        </w:rPr>
        <w:t>2-3</w:t>
      </w:r>
      <w:r>
        <w:rPr>
          <w:sz w:val="21"/>
        </w:rPr>
        <w:t>、</w:t>
      </w:r>
      <w:r>
        <w:rPr>
          <w:spacing w:val="-3"/>
          <w:sz w:val="21"/>
          <w:u w:val="single"/>
        </w:rPr>
        <w:t>投标人在招标文件规定的投标有效期内撤回投标的；</w:t>
      </w:r>
    </w:p>
    <w:p>
      <w:pPr>
        <w:pStyle w:val="22"/>
        <w:numPr>
          <w:ilvl w:val="0"/>
          <w:numId w:val="0"/>
        </w:numPr>
        <w:tabs>
          <w:tab w:val="left" w:pos="617"/>
        </w:tabs>
        <w:spacing w:before="0" w:after="0" w:line="268" w:lineRule="exact"/>
        <w:ind w:right="0" w:rightChars="0"/>
        <w:jc w:val="left"/>
        <w:rPr>
          <w:rFonts w:hint="eastAsia"/>
          <w:sz w:val="21"/>
          <w:lang w:val="en-US" w:eastAsia="zh-CN"/>
        </w:rPr>
      </w:pPr>
    </w:p>
    <w:p>
      <w:pPr>
        <w:pStyle w:val="22"/>
        <w:numPr>
          <w:ilvl w:val="0"/>
          <w:numId w:val="0"/>
        </w:numPr>
        <w:tabs>
          <w:tab w:val="left" w:pos="617"/>
        </w:tabs>
        <w:spacing w:before="0" w:after="0" w:line="268" w:lineRule="exact"/>
        <w:ind w:right="0" w:rightChars="0" w:firstLine="420" w:firstLineChars="200"/>
        <w:jc w:val="left"/>
        <w:rPr>
          <w:rFonts w:hint="eastAsia"/>
          <w:sz w:val="21"/>
          <w:lang w:val="en-US" w:eastAsia="zh-CN"/>
        </w:rPr>
      </w:pPr>
      <w:r>
        <w:rPr>
          <w:rFonts w:hint="eastAsia"/>
          <w:sz w:val="21"/>
          <w:lang w:val="en-US" w:eastAsia="zh-CN"/>
        </w:rPr>
        <w:t>2-4、投标人自行放弃投标资格而未在开标前一天以书面形式告知采购代理机构的；</w:t>
      </w:r>
    </w:p>
    <w:p>
      <w:pPr>
        <w:pStyle w:val="22"/>
        <w:numPr>
          <w:ilvl w:val="0"/>
          <w:numId w:val="0"/>
        </w:numPr>
        <w:tabs>
          <w:tab w:val="left" w:pos="617"/>
        </w:tabs>
        <w:spacing w:before="0" w:after="0" w:line="268" w:lineRule="exact"/>
        <w:ind w:left="337" w:leftChars="0" w:right="0" w:rightChars="0"/>
        <w:jc w:val="left"/>
        <w:rPr>
          <w:rFonts w:hint="eastAsia"/>
          <w:sz w:val="21"/>
          <w:lang w:val="en-US" w:eastAsia="zh-CN"/>
        </w:rPr>
      </w:pPr>
    </w:p>
    <w:p>
      <w:pPr>
        <w:pStyle w:val="22"/>
        <w:numPr>
          <w:ilvl w:val="0"/>
          <w:numId w:val="0"/>
        </w:numPr>
        <w:tabs>
          <w:tab w:val="left" w:pos="617"/>
        </w:tabs>
        <w:spacing w:before="0" w:after="0" w:line="268" w:lineRule="exact"/>
        <w:ind w:left="337" w:leftChars="0" w:right="0" w:rightChars="0"/>
        <w:jc w:val="left"/>
        <w:rPr>
          <w:rFonts w:hint="eastAsia"/>
          <w:sz w:val="21"/>
          <w:lang w:val="en-US" w:eastAsia="zh-CN"/>
        </w:rPr>
      </w:pPr>
      <w:r>
        <w:rPr>
          <w:rFonts w:hint="eastAsia"/>
          <w:sz w:val="21"/>
          <w:lang w:val="en-US" w:eastAsia="zh-CN"/>
        </w:rPr>
        <w:t>2-5、投标人自行放弃中标资格的；</w:t>
      </w:r>
    </w:p>
    <w:p>
      <w:pPr>
        <w:pStyle w:val="22"/>
        <w:numPr>
          <w:ilvl w:val="0"/>
          <w:numId w:val="0"/>
        </w:numPr>
        <w:tabs>
          <w:tab w:val="left" w:pos="617"/>
        </w:tabs>
        <w:spacing w:before="0" w:after="0" w:line="268" w:lineRule="exact"/>
        <w:ind w:left="337" w:leftChars="0" w:right="0" w:rightChars="0"/>
        <w:jc w:val="left"/>
        <w:rPr>
          <w:rFonts w:hint="eastAsia"/>
          <w:sz w:val="21"/>
          <w:lang w:val="en-US" w:eastAsia="zh-CN"/>
        </w:rPr>
      </w:pPr>
    </w:p>
    <w:p>
      <w:pPr>
        <w:pStyle w:val="22"/>
        <w:numPr>
          <w:ilvl w:val="0"/>
          <w:numId w:val="0"/>
        </w:numPr>
        <w:tabs>
          <w:tab w:val="left" w:pos="617"/>
        </w:tabs>
        <w:spacing w:before="0" w:after="0" w:line="268" w:lineRule="exact"/>
        <w:ind w:left="337" w:leftChars="0" w:right="0" w:rightChars="0"/>
        <w:jc w:val="left"/>
        <w:rPr>
          <w:rFonts w:hint="eastAsia"/>
          <w:sz w:val="21"/>
          <w:lang w:val="en-US" w:eastAsia="zh-CN"/>
        </w:rPr>
      </w:pPr>
      <w:r>
        <w:rPr>
          <w:rFonts w:hint="eastAsia"/>
          <w:sz w:val="21"/>
          <w:lang w:val="en-US" w:eastAsia="zh-CN"/>
        </w:rPr>
        <w:t>2-6、中标单位不在规定的时效内领取《中标通知书》的；</w:t>
      </w:r>
    </w:p>
    <w:p>
      <w:pPr>
        <w:pStyle w:val="22"/>
        <w:numPr>
          <w:ilvl w:val="0"/>
          <w:numId w:val="0"/>
        </w:numPr>
        <w:tabs>
          <w:tab w:val="left" w:pos="617"/>
        </w:tabs>
        <w:spacing w:before="0" w:after="0" w:line="268" w:lineRule="exact"/>
        <w:ind w:left="337" w:leftChars="0" w:right="0" w:rightChars="0"/>
        <w:jc w:val="left"/>
        <w:rPr>
          <w:rFonts w:hint="eastAsia"/>
          <w:sz w:val="21"/>
          <w:lang w:val="en-US" w:eastAsia="zh-CN"/>
        </w:rPr>
      </w:pPr>
    </w:p>
    <w:p>
      <w:pPr>
        <w:pStyle w:val="22"/>
        <w:numPr>
          <w:ilvl w:val="0"/>
          <w:numId w:val="0"/>
        </w:numPr>
        <w:tabs>
          <w:tab w:val="left" w:pos="617"/>
        </w:tabs>
        <w:spacing w:before="0" w:after="0" w:line="268" w:lineRule="exact"/>
        <w:ind w:left="337" w:leftChars="0" w:right="0" w:rightChars="0"/>
        <w:jc w:val="left"/>
        <w:rPr>
          <w:rFonts w:hint="eastAsia"/>
          <w:sz w:val="21"/>
          <w:lang w:val="en-US" w:eastAsia="zh-CN"/>
        </w:rPr>
      </w:pPr>
      <w:r>
        <w:rPr>
          <w:rFonts w:hint="eastAsia"/>
          <w:sz w:val="21"/>
          <w:lang w:val="en-US" w:eastAsia="zh-CN"/>
        </w:rPr>
        <w:t>2-7、中标人不按规定支付招标服务费的；</w:t>
      </w:r>
    </w:p>
    <w:p>
      <w:pPr>
        <w:pStyle w:val="22"/>
        <w:numPr>
          <w:ilvl w:val="0"/>
          <w:numId w:val="0"/>
        </w:numPr>
        <w:tabs>
          <w:tab w:val="left" w:pos="617"/>
        </w:tabs>
        <w:spacing w:before="0" w:after="0" w:line="268" w:lineRule="exact"/>
        <w:ind w:left="337" w:leftChars="0" w:right="0" w:rightChars="0"/>
        <w:jc w:val="left"/>
        <w:rPr>
          <w:rFonts w:hint="eastAsia"/>
          <w:sz w:val="21"/>
          <w:lang w:val="en-US" w:eastAsia="zh-CN"/>
        </w:rPr>
      </w:pPr>
    </w:p>
    <w:p>
      <w:pPr>
        <w:pStyle w:val="22"/>
        <w:numPr>
          <w:ilvl w:val="0"/>
          <w:numId w:val="0"/>
        </w:numPr>
        <w:tabs>
          <w:tab w:val="left" w:pos="617"/>
        </w:tabs>
        <w:spacing w:before="0" w:after="0" w:line="268" w:lineRule="exact"/>
        <w:ind w:left="337" w:leftChars="0" w:right="0" w:rightChars="0"/>
        <w:jc w:val="left"/>
        <w:rPr>
          <w:rFonts w:hint="eastAsia"/>
          <w:sz w:val="21"/>
          <w:lang w:val="en-US" w:eastAsia="zh-CN"/>
        </w:rPr>
        <w:sectPr>
          <w:pgSz w:w="11910" w:h="16840"/>
          <w:pgMar w:top="1360" w:right="740" w:bottom="1080" w:left="740" w:header="880" w:footer="887" w:gutter="0"/>
        </w:sectPr>
      </w:pPr>
      <w:r>
        <w:rPr>
          <w:rFonts w:hint="eastAsia"/>
          <w:sz w:val="21"/>
          <w:lang w:val="en-US" w:eastAsia="zh-CN"/>
        </w:rPr>
        <w:t>2-8、中标人因自身原因未能在规定期限内与采购人签订合同的；</w:t>
      </w:r>
    </w:p>
    <w:p>
      <w:pPr>
        <w:pStyle w:val="6"/>
        <w:spacing w:before="100"/>
        <w:ind w:left="0" w:leftChars="0" w:firstLine="0" w:firstLineChars="0"/>
      </w:pPr>
      <w:r>
        <w:t>六、投标</w:t>
      </w:r>
    </w:p>
    <w:p>
      <w:pPr>
        <w:pStyle w:val="12"/>
        <w:spacing w:before="153"/>
        <w:ind w:left="758"/>
      </w:pPr>
      <w:r>
        <w:rPr>
          <w:rFonts w:ascii="Times New Roman" w:eastAsia="Times New Roman"/>
        </w:rPr>
        <w:t>1</w:t>
      </w:r>
      <w:r>
        <w:t>、投标文件、必备资质文件的递交：</w:t>
      </w:r>
    </w:p>
    <w:p>
      <w:pPr>
        <w:pStyle w:val="22"/>
        <w:numPr>
          <w:ilvl w:val="1"/>
          <w:numId w:val="11"/>
        </w:numPr>
        <w:tabs>
          <w:tab w:val="left" w:pos="1038"/>
        </w:tabs>
        <w:spacing w:before="170" w:after="0" w:line="240" w:lineRule="auto"/>
        <w:ind w:left="1037" w:right="0" w:hanging="280"/>
        <w:jc w:val="left"/>
        <w:rPr>
          <w:sz w:val="21"/>
        </w:rPr>
      </w:pPr>
      <w:r>
        <w:rPr>
          <w:spacing w:val="-3"/>
          <w:sz w:val="21"/>
        </w:rPr>
        <w:t>、投标人应在投标截止时间前将投标文件密封送达投标地点；</w:t>
      </w:r>
    </w:p>
    <w:p>
      <w:pPr>
        <w:pStyle w:val="22"/>
        <w:numPr>
          <w:ilvl w:val="1"/>
          <w:numId w:val="11"/>
        </w:numPr>
        <w:tabs>
          <w:tab w:val="left" w:pos="1038"/>
        </w:tabs>
        <w:spacing w:before="170" w:after="0" w:line="240" w:lineRule="auto"/>
        <w:ind w:left="1037" w:right="0" w:hanging="280"/>
        <w:jc w:val="left"/>
        <w:rPr>
          <w:sz w:val="21"/>
        </w:rPr>
      </w:pPr>
      <w:r>
        <w:rPr>
          <w:spacing w:val="-3"/>
          <w:sz w:val="21"/>
        </w:rPr>
        <w:t>、逾期送达或者未按照招标文件要求密封的投标文件，将被拒收；</w:t>
      </w:r>
    </w:p>
    <w:p>
      <w:pPr>
        <w:pStyle w:val="22"/>
        <w:numPr>
          <w:ilvl w:val="1"/>
          <w:numId w:val="11"/>
        </w:numPr>
        <w:tabs>
          <w:tab w:val="left" w:pos="1038"/>
        </w:tabs>
        <w:spacing w:before="173" w:after="0" w:line="240" w:lineRule="auto"/>
        <w:ind w:left="1037" w:right="0" w:hanging="280"/>
        <w:jc w:val="left"/>
        <w:rPr>
          <w:sz w:val="21"/>
        </w:rPr>
      </w:pPr>
      <w:r>
        <w:rPr>
          <w:spacing w:val="-3"/>
          <w:sz w:val="21"/>
        </w:rPr>
        <w:t>、逾期送达的必备资质文件，将被拒收；</w:t>
      </w:r>
    </w:p>
    <w:p>
      <w:pPr>
        <w:pStyle w:val="22"/>
        <w:numPr>
          <w:ilvl w:val="1"/>
          <w:numId w:val="11"/>
        </w:numPr>
        <w:tabs>
          <w:tab w:val="left" w:pos="1038"/>
        </w:tabs>
        <w:spacing w:before="171" w:after="0" w:line="240" w:lineRule="auto"/>
        <w:ind w:left="1037" w:right="0" w:hanging="280"/>
        <w:jc w:val="left"/>
        <w:rPr>
          <w:sz w:val="21"/>
        </w:rPr>
      </w:pPr>
      <w:r>
        <w:rPr>
          <w:spacing w:val="-3"/>
          <w:sz w:val="21"/>
        </w:rPr>
        <w:t>、本次招标不接受邮寄的投标文件、必备资质文件。</w:t>
      </w:r>
    </w:p>
    <w:p>
      <w:pPr>
        <w:pStyle w:val="12"/>
        <w:spacing w:before="170"/>
        <w:ind w:left="758"/>
      </w:pPr>
      <w:r>
        <w:rPr>
          <w:rFonts w:ascii="Times New Roman" w:eastAsia="Times New Roman"/>
        </w:rPr>
        <w:t>2</w:t>
      </w:r>
      <w:r>
        <w:t>、投标文件的补充、修改与撤回：</w:t>
      </w:r>
    </w:p>
    <w:p>
      <w:pPr>
        <w:pStyle w:val="22"/>
        <w:numPr>
          <w:ilvl w:val="1"/>
          <w:numId w:val="12"/>
        </w:numPr>
        <w:tabs>
          <w:tab w:val="left" w:pos="1038"/>
        </w:tabs>
        <w:spacing w:before="172" w:after="0" w:line="391" w:lineRule="auto"/>
        <w:ind w:left="337" w:right="329" w:firstLine="420"/>
        <w:jc w:val="both"/>
        <w:rPr>
          <w:sz w:val="21"/>
        </w:rPr>
      </w:pPr>
      <w:r>
        <w:rPr>
          <w:spacing w:val="-5"/>
          <w:sz w:val="21"/>
        </w:rPr>
        <w:t>、投标人在递交投标文件以后，在规定的投标截止时间之前</w:t>
      </w:r>
      <w:r>
        <w:rPr>
          <w:rFonts w:ascii="Times New Roman" w:eastAsia="Times New Roman"/>
          <w:sz w:val="21"/>
        </w:rPr>
        <w:t>,</w:t>
      </w:r>
      <w:r>
        <w:rPr>
          <w:spacing w:val="-4"/>
          <w:sz w:val="21"/>
        </w:rPr>
        <w:t>可以书面形式补充、修改或撤回已递交</w:t>
      </w:r>
      <w:r>
        <w:rPr>
          <w:spacing w:val="-11"/>
          <w:sz w:val="21"/>
        </w:rPr>
        <w:t xml:space="preserve">的投标文件，并以书面形式通知采购代理机构。补充、修改的内容应当按招标文件要求密封、签署、盖章， </w:t>
      </w:r>
      <w:r>
        <w:rPr>
          <w:spacing w:val="-6"/>
          <w:sz w:val="21"/>
        </w:rPr>
        <w:t>并作为投标文件的组成部分；补充、修改的内容与投标文件不一致的，以补充、修改的内容为准。</w:t>
      </w:r>
    </w:p>
    <w:p>
      <w:pPr>
        <w:pStyle w:val="22"/>
        <w:numPr>
          <w:ilvl w:val="1"/>
          <w:numId w:val="12"/>
        </w:numPr>
        <w:tabs>
          <w:tab w:val="left" w:pos="1038"/>
        </w:tabs>
        <w:spacing w:before="5" w:after="0" w:line="391" w:lineRule="auto"/>
        <w:ind w:left="337" w:right="328" w:firstLine="420"/>
        <w:jc w:val="left"/>
        <w:rPr>
          <w:sz w:val="21"/>
        </w:rPr>
      </w:pPr>
      <w:r>
        <w:rPr>
          <w:spacing w:val="-9"/>
          <w:sz w:val="21"/>
        </w:rPr>
        <w:t>、投标人提出修改和撤标要求的，须在投标截止时间前密封送到采购代理机构，并在封面上加注</w:t>
      </w:r>
      <w:r>
        <w:rPr>
          <w:rFonts w:ascii="Times New Roman" w:hAnsi="Times New Roman" w:eastAsia="Times New Roman"/>
          <w:spacing w:val="-3"/>
          <w:sz w:val="21"/>
        </w:rPr>
        <w:t>“</w:t>
      </w:r>
      <w:r>
        <w:rPr>
          <w:sz w:val="21"/>
        </w:rPr>
        <w:t>修改</w:t>
      </w:r>
      <w:r>
        <w:rPr>
          <w:rFonts w:ascii="Times New Roman" w:hAnsi="Times New Roman" w:eastAsia="Times New Roman"/>
          <w:sz w:val="21"/>
        </w:rPr>
        <w:t>”</w:t>
      </w:r>
      <w:r>
        <w:rPr>
          <w:spacing w:val="-2"/>
          <w:sz w:val="21"/>
        </w:rPr>
        <w:t>字样。</w:t>
      </w:r>
    </w:p>
    <w:p>
      <w:pPr>
        <w:pStyle w:val="22"/>
        <w:numPr>
          <w:ilvl w:val="1"/>
          <w:numId w:val="12"/>
        </w:numPr>
        <w:tabs>
          <w:tab w:val="left" w:pos="1038"/>
        </w:tabs>
        <w:spacing w:before="1" w:after="0" w:line="393" w:lineRule="auto"/>
        <w:ind w:left="337" w:right="328" w:firstLine="420"/>
        <w:jc w:val="left"/>
        <w:rPr>
          <w:sz w:val="21"/>
        </w:rPr>
      </w:pPr>
      <w:r>
        <w:rPr>
          <w:spacing w:val="-3"/>
          <w:sz w:val="21"/>
        </w:rPr>
        <w:t>、投标人提出撤标要求的，须在投标截止时间前以书面形式</w:t>
      </w:r>
      <w:r>
        <w:rPr>
          <w:sz w:val="21"/>
        </w:rPr>
        <w:t>（</w:t>
      </w:r>
      <w:r>
        <w:rPr>
          <w:spacing w:val="-3"/>
          <w:sz w:val="21"/>
        </w:rPr>
        <w:t>经由法定代表人或被授权人签字</w:t>
      </w:r>
      <w:r>
        <w:rPr>
          <w:sz w:val="21"/>
        </w:rPr>
        <w:t>）通</w:t>
      </w:r>
      <w:r>
        <w:rPr>
          <w:spacing w:val="-3"/>
          <w:sz w:val="21"/>
        </w:rPr>
        <w:t>知采购代理机构。如采取传真形式撤回投标，随后必须补充有法定代表人或被授权人签署的要求撤回投标</w:t>
      </w:r>
      <w:r>
        <w:rPr>
          <w:spacing w:val="-7"/>
          <w:sz w:val="21"/>
        </w:rPr>
        <w:t>的正式文件。采购代理机构摄像留存后，将要</w:t>
      </w:r>
      <w:r>
        <w:rPr>
          <w:rFonts w:ascii="Times New Roman" w:hAnsi="Times New Roman" w:eastAsia="Times New Roman"/>
          <w:spacing w:val="-3"/>
          <w:sz w:val="21"/>
        </w:rPr>
        <w:t>“</w:t>
      </w:r>
      <w:r>
        <w:rPr>
          <w:spacing w:val="-2"/>
          <w:sz w:val="21"/>
        </w:rPr>
        <w:t>撤回</w:t>
      </w:r>
      <w:r>
        <w:rPr>
          <w:rFonts w:ascii="Times New Roman" w:hAnsi="Times New Roman" w:eastAsia="Times New Roman"/>
          <w:sz w:val="21"/>
        </w:rPr>
        <w:t>”</w:t>
      </w:r>
      <w:r>
        <w:rPr>
          <w:spacing w:val="-7"/>
          <w:sz w:val="21"/>
        </w:rPr>
        <w:t>的投标文件</w:t>
      </w:r>
      <w:r>
        <w:rPr>
          <w:sz w:val="21"/>
        </w:rPr>
        <w:t>（</w:t>
      </w:r>
      <w:r>
        <w:rPr>
          <w:spacing w:val="-3"/>
          <w:sz w:val="21"/>
        </w:rPr>
        <w:t>包含纸质及电子版</w:t>
      </w:r>
      <w:r>
        <w:rPr>
          <w:spacing w:val="-20"/>
          <w:sz w:val="21"/>
        </w:rPr>
        <w:t>）</w:t>
      </w:r>
      <w:r>
        <w:rPr>
          <w:spacing w:val="-6"/>
          <w:sz w:val="21"/>
        </w:rPr>
        <w:t>退还投标人，投标人</w:t>
      </w:r>
      <w:r>
        <w:rPr>
          <w:spacing w:val="-4"/>
          <w:sz w:val="21"/>
        </w:rPr>
        <w:t>签字确认领取。</w:t>
      </w:r>
    </w:p>
    <w:p>
      <w:pPr>
        <w:pStyle w:val="22"/>
        <w:numPr>
          <w:ilvl w:val="1"/>
          <w:numId w:val="12"/>
        </w:numPr>
        <w:tabs>
          <w:tab w:val="left" w:pos="1038"/>
        </w:tabs>
        <w:spacing w:before="0" w:after="0" w:line="266" w:lineRule="exact"/>
        <w:ind w:left="1037" w:right="0" w:hanging="280"/>
        <w:jc w:val="left"/>
        <w:rPr>
          <w:sz w:val="21"/>
        </w:rPr>
      </w:pPr>
      <w:r>
        <w:rPr>
          <w:spacing w:val="-3"/>
          <w:sz w:val="21"/>
        </w:rPr>
        <w:t>、投标截止时间之后，投标人不得补充、修改投标文件；</w:t>
      </w:r>
    </w:p>
    <w:p>
      <w:pPr>
        <w:pStyle w:val="22"/>
        <w:numPr>
          <w:ilvl w:val="1"/>
          <w:numId w:val="12"/>
        </w:numPr>
        <w:tabs>
          <w:tab w:val="left" w:pos="1038"/>
        </w:tabs>
        <w:spacing w:before="170" w:after="0" w:line="240" w:lineRule="auto"/>
        <w:ind w:left="1037" w:right="0" w:hanging="280"/>
        <w:jc w:val="left"/>
        <w:rPr>
          <w:sz w:val="21"/>
        </w:rPr>
      </w:pPr>
      <w:r>
        <w:rPr>
          <w:spacing w:val="-3"/>
          <w:sz w:val="21"/>
        </w:rPr>
        <w:t>、在投标截止时间至投标有效期</w:t>
      </w:r>
    </w:p>
    <w:p>
      <w:pPr>
        <w:pStyle w:val="12"/>
        <w:spacing w:before="170" w:line="393" w:lineRule="auto"/>
        <w:ind w:left="337" w:right="417" w:firstLine="420"/>
      </w:pPr>
      <w:r>
        <w:t>满之前，投标人不得撤回其投标文件，否则其投标保证金将不予退还，提供投标担保的投标人将由专业担保机构先行偿付损失。</w:t>
      </w:r>
    </w:p>
    <w:p>
      <w:pPr>
        <w:pStyle w:val="12"/>
        <w:spacing w:line="267" w:lineRule="exact"/>
        <w:ind w:left="758"/>
      </w:pPr>
      <w:r>
        <w:rPr>
          <w:rFonts w:ascii="Times New Roman" w:eastAsia="Times New Roman"/>
        </w:rPr>
        <w:t>3</w:t>
      </w:r>
      <w:r>
        <w:t>、投标有效期：</w:t>
      </w:r>
    </w:p>
    <w:p>
      <w:pPr>
        <w:pStyle w:val="22"/>
        <w:numPr>
          <w:ilvl w:val="1"/>
          <w:numId w:val="13"/>
        </w:numPr>
        <w:tabs>
          <w:tab w:val="left" w:pos="1038"/>
        </w:tabs>
        <w:spacing w:before="170" w:after="0" w:line="393" w:lineRule="auto"/>
        <w:ind w:left="337" w:right="348" w:firstLine="420"/>
        <w:jc w:val="left"/>
        <w:rPr>
          <w:sz w:val="21"/>
        </w:rPr>
      </w:pPr>
      <w:r>
        <w:rPr>
          <w:spacing w:val="-7"/>
          <w:sz w:val="21"/>
        </w:rPr>
        <w:t xml:space="preserve">、自投标截止日起不少于 </w:t>
      </w:r>
      <w:r>
        <w:rPr>
          <w:rFonts w:ascii="Times New Roman" w:eastAsia="Times New Roman"/>
          <w:sz w:val="21"/>
        </w:rPr>
        <w:t>90</w:t>
      </w:r>
      <w:r>
        <w:rPr>
          <w:rFonts w:ascii="Times New Roman" w:eastAsia="Times New Roman"/>
          <w:spacing w:val="9"/>
          <w:sz w:val="21"/>
        </w:rPr>
        <w:t xml:space="preserve"> </w:t>
      </w:r>
      <w:r>
        <w:rPr>
          <w:spacing w:val="-3"/>
          <w:sz w:val="21"/>
        </w:rPr>
        <w:t>个日历日</w:t>
      </w:r>
      <w:r>
        <w:rPr>
          <w:sz w:val="21"/>
        </w:rPr>
        <w:t>（</w:t>
      </w:r>
      <w:r>
        <w:rPr>
          <w:spacing w:val="-16"/>
          <w:sz w:val="21"/>
        </w:rPr>
        <w:t xml:space="preserve">包含 </w:t>
      </w:r>
      <w:r>
        <w:rPr>
          <w:rFonts w:ascii="Times New Roman" w:eastAsia="Times New Roman"/>
          <w:sz w:val="21"/>
        </w:rPr>
        <w:t>90</w:t>
      </w:r>
      <w:r>
        <w:rPr>
          <w:rFonts w:ascii="Times New Roman" w:eastAsia="Times New Roman"/>
          <w:spacing w:val="9"/>
          <w:sz w:val="21"/>
        </w:rPr>
        <w:t xml:space="preserve"> </w:t>
      </w:r>
      <w:r>
        <w:rPr>
          <w:spacing w:val="-1"/>
          <w:sz w:val="21"/>
        </w:rPr>
        <w:t>个日历日</w:t>
      </w:r>
      <w:r>
        <w:rPr>
          <w:spacing w:val="-3"/>
          <w:sz w:val="21"/>
        </w:rPr>
        <w:t>）。投标人投标有效期短于招标文件规定的投标有效期，按无效投标处理。中标单位的投标有效期延长至合同执行完毕。</w:t>
      </w:r>
    </w:p>
    <w:p>
      <w:pPr>
        <w:pStyle w:val="22"/>
        <w:numPr>
          <w:ilvl w:val="1"/>
          <w:numId w:val="13"/>
        </w:numPr>
        <w:tabs>
          <w:tab w:val="left" w:pos="1038"/>
        </w:tabs>
        <w:spacing w:before="0" w:after="0" w:line="393" w:lineRule="auto"/>
        <w:ind w:left="337" w:right="348" w:firstLine="420"/>
        <w:jc w:val="left"/>
        <w:rPr>
          <w:sz w:val="21"/>
        </w:rPr>
      </w:pPr>
      <w:r>
        <w:rPr>
          <w:spacing w:val="-3"/>
          <w:sz w:val="21"/>
        </w:rPr>
        <w:t>、在原投标有效期结束前，采购代理机构可要求投标人延长投标有效期。拒绝延长投标有效期的投标人有权收回投标保证金，但不得参与该项目后续采购活动。同意延长投标有效期的投标人应相应延长投标担保的有效期，但不得修改投标文件的实质性内容。</w:t>
      </w:r>
    </w:p>
    <w:p>
      <w:pPr>
        <w:pStyle w:val="12"/>
        <w:spacing w:before="72"/>
        <w:ind w:firstLine="630" w:firstLineChars="300"/>
      </w:pPr>
      <w:r>
        <w:rPr>
          <w:rFonts w:ascii="Times New Roman" w:eastAsia="Times New Roman"/>
        </w:rPr>
        <w:t>4</w:t>
      </w:r>
      <w:r>
        <w:t>、投标人有下列情形之一的，属于恶意串通，对其依照《中华人民共和国政府采购法》第七十七条第一款的规定追究法律责任，投标无效：</w:t>
      </w:r>
    </w:p>
    <w:p>
      <w:pPr>
        <w:spacing w:after="0" w:line="265" w:lineRule="exact"/>
        <w:sectPr>
          <w:pgSz w:w="11910" w:h="16840"/>
          <w:pgMar w:top="1360" w:right="740" w:bottom="1080" w:left="740" w:header="880" w:footer="887" w:gutter="0"/>
        </w:sectPr>
      </w:pPr>
    </w:p>
    <w:p>
      <w:pPr>
        <w:pStyle w:val="12"/>
        <w:spacing w:before="4"/>
        <w:rPr>
          <w:sz w:val="11"/>
        </w:rPr>
      </w:pPr>
    </w:p>
    <w:p>
      <w:pPr>
        <w:pStyle w:val="22"/>
        <w:numPr>
          <w:ilvl w:val="1"/>
          <w:numId w:val="14"/>
        </w:numPr>
        <w:tabs>
          <w:tab w:val="left" w:pos="1038"/>
        </w:tabs>
        <w:spacing w:before="171" w:after="0" w:line="240" w:lineRule="auto"/>
        <w:ind w:left="1037" w:right="0" w:hanging="280"/>
        <w:jc w:val="left"/>
        <w:rPr>
          <w:sz w:val="21"/>
        </w:rPr>
      </w:pPr>
      <w:r>
        <w:rPr>
          <w:spacing w:val="-3"/>
          <w:sz w:val="21"/>
        </w:rPr>
        <w:t>、投标人直接或者间接从采购人或采购代理机构处获得其他投标人的相关情况并修改其投标文件；</w:t>
      </w:r>
    </w:p>
    <w:p>
      <w:pPr>
        <w:pStyle w:val="22"/>
        <w:numPr>
          <w:ilvl w:val="1"/>
          <w:numId w:val="14"/>
        </w:numPr>
        <w:tabs>
          <w:tab w:val="left" w:pos="1038"/>
        </w:tabs>
        <w:spacing w:before="172" w:after="0" w:line="240" w:lineRule="auto"/>
        <w:ind w:left="1037" w:right="0" w:hanging="280"/>
        <w:jc w:val="left"/>
        <w:rPr>
          <w:sz w:val="21"/>
        </w:rPr>
      </w:pPr>
      <w:r>
        <w:rPr>
          <w:spacing w:val="-3"/>
          <w:sz w:val="21"/>
        </w:rPr>
        <w:t>、投标人按照采购人或采购代理机构的授意撤换、修改投标文件；</w:t>
      </w:r>
    </w:p>
    <w:p>
      <w:pPr>
        <w:pStyle w:val="22"/>
        <w:numPr>
          <w:ilvl w:val="1"/>
          <w:numId w:val="14"/>
        </w:numPr>
        <w:tabs>
          <w:tab w:val="left" w:pos="1038"/>
        </w:tabs>
        <w:spacing w:before="170" w:after="0" w:line="240" w:lineRule="auto"/>
        <w:ind w:left="1037" w:right="0" w:hanging="280"/>
        <w:jc w:val="left"/>
        <w:rPr>
          <w:sz w:val="21"/>
        </w:rPr>
      </w:pPr>
      <w:r>
        <w:rPr>
          <w:spacing w:val="-3"/>
          <w:sz w:val="21"/>
        </w:rPr>
        <w:t>、投标人之间协商报价、技术方案等投标文件的实质性内容；</w:t>
      </w:r>
    </w:p>
    <w:p>
      <w:pPr>
        <w:pStyle w:val="22"/>
        <w:numPr>
          <w:ilvl w:val="1"/>
          <w:numId w:val="14"/>
        </w:numPr>
        <w:tabs>
          <w:tab w:val="left" w:pos="1038"/>
        </w:tabs>
        <w:spacing w:before="170" w:after="0" w:line="240" w:lineRule="auto"/>
        <w:ind w:left="1037" w:right="0" w:hanging="280"/>
        <w:jc w:val="left"/>
        <w:rPr>
          <w:sz w:val="21"/>
        </w:rPr>
      </w:pPr>
      <w:r>
        <w:rPr>
          <w:spacing w:val="-3"/>
          <w:sz w:val="21"/>
        </w:rPr>
        <w:t>、属于同一集团、协会、商会等组织成员的投标人按照该组织要求协同参加政府采购活动；</w:t>
      </w:r>
    </w:p>
    <w:p>
      <w:pPr>
        <w:pStyle w:val="22"/>
        <w:numPr>
          <w:ilvl w:val="1"/>
          <w:numId w:val="14"/>
        </w:numPr>
        <w:tabs>
          <w:tab w:val="left" w:pos="1038"/>
        </w:tabs>
        <w:spacing w:before="173" w:after="0" w:line="240" w:lineRule="auto"/>
        <w:ind w:left="1037" w:right="0" w:hanging="280"/>
        <w:jc w:val="left"/>
        <w:rPr>
          <w:sz w:val="21"/>
        </w:rPr>
      </w:pPr>
      <w:r>
        <w:rPr>
          <w:spacing w:val="-3"/>
          <w:sz w:val="21"/>
        </w:rPr>
        <w:t>、投标人之间事先约定由某一特定投标人中标；</w:t>
      </w:r>
    </w:p>
    <w:p>
      <w:pPr>
        <w:pStyle w:val="22"/>
        <w:numPr>
          <w:ilvl w:val="1"/>
          <w:numId w:val="14"/>
        </w:numPr>
        <w:tabs>
          <w:tab w:val="left" w:pos="1038"/>
        </w:tabs>
        <w:spacing w:before="170" w:after="0" w:line="240" w:lineRule="auto"/>
        <w:ind w:left="1037" w:right="0" w:hanging="280"/>
        <w:jc w:val="left"/>
        <w:rPr>
          <w:sz w:val="21"/>
        </w:rPr>
      </w:pPr>
      <w:r>
        <w:rPr>
          <w:spacing w:val="-3"/>
          <w:sz w:val="21"/>
        </w:rPr>
        <w:t>、投标人之间商定部分投标人放弃参加政府采购活动或放弃中标；</w:t>
      </w:r>
    </w:p>
    <w:p>
      <w:pPr>
        <w:pStyle w:val="22"/>
        <w:numPr>
          <w:ilvl w:val="1"/>
          <w:numId w:val="14"/>
        </w:numPr>
        <w:tabs>
          <w:tab w:val="left" w:pos="1038"/>
        </w:tabs>
        <w:spacing w:before="170" w:after="0" w:line="240" w:lineRule="auto"/>
        <w:ind w:left="1037" w:right="0" w:hanging="280"/>
        <w:jc w:val="left"/>
        <w:rPr>
          <w:sz w:val="21"/>
        </w:rPr>
      </w:pPr>
      <w:r>
        <w:rPr>
          <w:spacing w:val="-3"/>
          <w:sz w:val="21"/>
        </w:rPr>
        <w:t>、投标人相互之间，为谋求特定投标人中标或排斥其他投标人的其他串通行为。</w:t>
      </w:r>
    </w:p>
    <w:p>
      <w:pPr>
        <w:pStyle w:val="12"/>
        <w:spacing w:before="173"/>
        <w:ind w:left="758"/>
      </w:pPr>
      <w:r>
        <w:rPr>
          <w:rFonts w:ascii="Times New Roman" w:eastAsia="Times New Roman"/>
        </w:rPr>
        <w:t>5</w:t>
      </w:r>
      <w:r>
        <w:t>、有下列情形之一的，视为投标人串通投标，其投标无效：</w:t>
      </w:r>
    </w:p>
    <w:p>
      <w:pPr>
        <w:pStyle w:val="22"/>
        <w:numPr>
          <w:ilvl w:val="1"/>
          <w:numId w:val="15"/>
        </w:numPr>
        <w:tabs>
          <w:tab w:val="left" w:pos="1038"/>
        </w:tabs>
        <w:spacing w:before="171" w:after="0" w:line="240" w:lineRule="auto"/>
        <w:ind w:left="1037" w:right="0" w:hanging="280"/>
        <w:jc w:val="left"/>
        <w:rPr>
          <w:sz w:val="21"/>
        </w:rPr>
      </w:pPr>
      <w:r>
        <w:rPr>
          <w:spacing w:val="-3"/>
          <w:sz w:val="21"/>
        </w:rPr>
        <w:t>、不同投标人的投标文件由同一单位或者个人编制；</w:t>
      </w:r>
    </w:p>
    <w:p>
      <w:pPr>
        <w:pStyle w:val="22"/>
        <w:numPr>
          <w:ilvl w:val="1"/>
          <w:numId w:val="15"/>
        </w:numPr>
        <w:tabs>
          <w:tab w:val="left" w:pos="1038"/>
        </w:tabs>
        <w:spacing w:before="170" w:after="0" w:line="240" w:lineRule="auto"/>
        <w:ind w:left="1037" w:right="0" w:hanging="280"/>
        <w:jc w:val="left"/>
        <w:rPr>
          <w:sz w:val="21"/>
        </w:rPr>
      </w:pPr>
      <w:r>
        <w:rPr>
          <w:spacing w:val="-3"/>
          <w:sz w:val="21"/>
        </w:rPr>
        <w:t>、不同投标人委托同一单位或者个人办理投标事宜；</w:t>
      </w:r>
    </w:p>
    <w:p>
      <w:pPr>
        <w:pStyle w:val="22"/>
        <w:numPr>
          <w:ilvl w:val="1"/>
          <w:numId w:val="15"/>
        </w:numPr>
        <w:tabs>
          <w:tab w:val="left" w:pos="1038"/>
        </w:tabs>
        <w:spacing w:before="172" w:after="0" w:line="240" w:lineRule="auto"/>
        <w:ind w:left="1037" w:right="0" w:hanging="280"/>
        <w:jc w:val="left"/>
        <w:rPr>
          <w:sz w:val="21"/>
        </w:rPr>
      </w:pPr>
      <w:r>
        <w:rPr>
          <w:spacing w:val="-3"/>
          <w:sz w:val="21"/>
        </w:rPr>
        <w:t>、不同投标人的投标文件载明的项目管理成员或者联系人为同一人；</w:t>
      </w:r>
    </w:p>
    <w:p>
      <w:pPr>
        <w:pStyle w:val="22"/>
        <w:numPr>
          <w:ilvl w:val="1"/>
          <w:numId w:val="15"/>
        </w:numPr>
        <w:tabs>
          <w:tab w:val="left" w:pos="1038"/>
        </w:tabs>
        <w:spacing w:before="170" w:after="0" w:line="240" w:lineRule="auto"/>
        <w:ind w:left="1037" w:right="0" w:hanging="280"/>
        <w:jc w:val="left"/>
        <w:rPr>
          <w:sz w:val="21"/>
        </w:rPr>
      </w:pPr>
      <w:r>
        <w:rPr>
          <w:spacing w:val="-3"/>
          <w:sz w:val="21"/>
        </w:rPr>
        <w:t>、不同投标人的投标文件异常一致或者投标报价呈现规律性差异；</w:t>
      </w:r>
    </w:p>
    <w:p>
      <w:pPr>
        <w:pStyle w:val="22"/>
        <w:numPr>
          <w:ilvl w:val="1"/>
          <w:numId w:val="15"/>
        </w:numPr>
        <w:tabs>
          <w:tab w:val="left" w:pos="1038"/>
        </w:tabs>
        <w:spacing w:before="170" w:after="0" w:line="240" w:lineRule="auto"/>
        <w:ind w:left="1037" w:right="0" w:hanging="280"/>
        <w:jc w:val="left"/>
        <w:rPr>
          <w:sz w:val="21"/>
        </w:rPr>
      </w:pPr>
      <w:r>
        <w:rPr>
          <w:spacing w:val="-3"/>
          <w:sz w:val="21"/>
        </w:rPr>
        <w:t>、不同投标人的投标文件相互混装；</w:t>
      </w:r>
    </w:p>
    <w:p>
      <w:pPr>
        <w:pStyle w:val="22"/>
        <w:numPr>
          <w:ilvl w:val="1"/>
          <w:numId w:val="15"/>
        </w:numPr>
        <w:tabs>
          <w:tab w:val="left" w:pos="1038"/>
        </w:tabs>
        <w:spacing w:before="173" w:after="0" w:line="240" w:lineRule="auto"/>
        <w:ind w:left="1037" w:right="0" w:hanging="280"/>
        <w:jc w:val="left"/>
        <w:rPr>
          <w:sz w:val="21"/>
        </w:rPr>
      </w:pPr>
      <w:r>
        <w:rPr>
          <w:spacing w:val="-3"/>
          <w:sz w:val="21"/>
        </w:rPr>
        <w:t>、不同投标人的投标保证金从同一单位或者个人的账户转出。</w:t>
      </w:r>
    </w:p>
    <w:p>
      <w:pPr>
        <w:pStyle w:val="12"/>
        <w:spacing w:before="170"/>
        <w:ind w:left="758"/>
      </w:pPr>
      <w:r>
        <w:rPr>
          <w:rFonts w:ascii="Times New Roman" w:eastAsia="Times New Roman"/>
        </w:rPr>
        <w:t>6</w:t>
      </w:r>
      <w:r>
        <w:t>、有下列情形之一的，视为投标人不响应招标文件。其投标无效：</w:t>
      </w:r>
    </w:p>
    <w:p>
      <w:pPr>
        <w:pStyle w:val="22"/>
        <w:numPr>
          <w:ilvl w:val="1"/>
          <w:numId w:val="16"/>
        </w:numPr>
        <w:tabs>
          <w:tab w:val="left" w:pos="1038"/>
        </w:tabs>
        <w:spacing w:before="170" w:after="0" w:line="240" w:lineRule="auto"/>
        <w:ind w:left="1037" w:right="0" w:hanging="280"/>
        <w:jc w:val="left"/>
        <w:rPr>
          <w:sz w:val="21"/>
        </w:rPr>
      </w:pPr>
      <w:r>
        <w:rPr>
          <w:spacing w:val="-3"/>
          <w:sz w:val="21"/>
        </w:rPr>
        <w:t>、未按照招标文件的规定提交投标保证金的；</w:t>
      </w:r>
    </w:p>
    <w:p>
      <w:pPr>
        <w:pStyle w:val="22"/>
        <w:numPr>
          <w:ilvl w:val="1"/>
          <w:numId w:val="16"/>
        </w:numPr>
        <w:tabs>
          <w:tab w:val="left" w:pos="1038"/>
        </w:tabs>
        <w:spacing w:before="173" w:after="0" w:line="240" w:lineRule="auto"/>
        <w:ind w:left="1037" w:right="0" w:hanging="280"/>
        <w:jc w:val="left"/>
        <w:rPr>
          <w:sz w:val="21"/>
        </w:rPr>
      </w:pPr>
      <w:r>
        <w:rPr>
          <w:spacing w:val="-3"/>
          <w:sz w:val="21"/>
        </w:rPr>
        <w:t>、投标文件未按招标文件要求签署、盖章及装订密封的；</w:t>
      </w:r>
    </w:p>
    <w:p>
      <w:pPr>
        <w:pStyle w:val="22"/>
        <w:numPr>
          <w:ilvl w:val="1"/>
          <w:numId w:val="16"/>
        </w:numPr>
        <w:tabs>
          <w:tab w:val="left" w:pos="1038"/>
        </w:tabs>
        <w:spacing w:before="170" w:after="0" w:line="240" w:lineRule="auto"/>
        <w:ind w:left="1037" w:right="0" w:hanging="280"/>
        <w:jc w:val="left"/>
        <w:rPr>
          <w:sz w:val="21"/>
        </w:rPr>
      </w:pPr>
      <w:r>
        <w:rPr>
          <w:spacing w:val="-3"/>
          <w:sz w:val="21"/>
        </w:rPr>
        <w:t>、不具备招标文件中规定的资格要求的；</w:t>
      </w:r>
    </w:p>
    <w:p>
      <w:pPr>
        <w:pStyle w:val="22"/>
        <w:numPr>
          <w:ilvl w:val="1"/>
          <w:numId w:val="16"/>
        </w:numPr>
        <w:tabs>
          <w:tab w:val="left" w:pos="1038"/>
        </w:tabs>
        <w:spacing w:before="170" w:after="0" w:line="240" w:lineRule="auto"/>
        <w:ind w:left="1037" w:right="0" w:hanging="280"/>
        <w:jc w:val="left"/>
        <w:rPr>
          <w:sz w:val="21"/>
        </w:rPr>
      </w:pPr>
      <w:r>
        <w:rPr>
          <w:spacing w:val="-3"/>
          <w:sz w:val="21"/>
        </w:rPr>
        <w:t>、报价超过招标文件中规定的预算金额的；</w:t>
      </w:r>
    </w:p>
    <w:p>
      <w:pPr>
        <w:pStyle w:val="22"/>
        <w:numPr>
          <w:ilvl w:val="1"/>
          <w:numId w:val="16"/>
        </w:numPr>
        <w:tabs>
          <w:tab w:val="left" w:pos="1038"/>
        </w:tabs>
        <w:spacing w:before="173" w:after="0" w:line="240" w:lineRule="auto"/>
        <w:ind w:left="1037" w:right="0" w:hanging="280"/>
        <w:jc w:val="left"/>
        <w:rPr>
          <w:sz w:val="21"/>
        </w:rPr>
      </w:pPr>
      <w:r>
        <w:rPr>
          <w:spacing w:val="-3"/>
          <w:sz w:val="21"/>
        </w:rPr>
        <w:t>、投标文件含有采购人不能接受的附加条件的；</w:t>
      </w:r>
    </w:p>
    <w:p>
      <w:pPr>
        <w:pStyle w:val="22"/>
        <w:numPr>
          <w:ilvl w:val="1"/>
          <w:numId w:val="16"/>
        </w:numPr>
        <w:tabs>
          <w:tab w:val="left" w:pos="1038"/>
        </w:tabs>
        <w:spacing w:before="170" w:after="0" w:line="240" w:lineRule="auto"/>
        <w:ind w:left="1037" w:right="0" w:hanging="280"/>
        <w:jc w:val="left"/>
        <w:rPr>
          <w:sz w:val="21"/>
        </w:rPr>
      </w:pPr>
      <w:r>
        <w:rPr>
          <w:spacing w:val="-3"/>
          <w:sz w:val="21"/>
        </w:rPr>
        <w:t>、提供虚假材料谋取中标的；</w:t>
      </w:r>
    </w:p>
    <w:p>
      <w:pPr>
        <w:pStyle w:val="22"/>
        <w:numPr>
          <w:ilvl w:val="1"/>
          <w:numId w:val="16"/>
        </w:numPr>
        <w:tabs>
          <w:tab w:val="left" w:pos="1038"/>
        </w:tabs>
        <w:spacing w:before="170" w:after="0" w:line="240" w:lineRule="auto"/>
        <w:ind w:left="1037" w:right="0" w:hanging="280"/>
        <w:jc w:val="left"/>
        <w:rPr>
          <w:sz w:val="21"/>
        </w:rPr>
      </w:pPr>
      <w:r>
        <w:rPr>
          <w:spacing w:val="-3"/>
          <w:sz w:val="21"/>
        </w:rPr>
        <w:t>、采取不正当手段诋毁、排挤其他投标人的；</w:t>
      </w:r>
    </w:p>
    <w:p>
      <w:pPr>
        <w:pStyle w:val="22"/>
        <w:numPr>
          <w:ilvl w:val="1"/>
          <w:numId w:val="16"/>
        </w:numPr>
        <w:tabs>
          <w:tab w:val="left" w:pos="1038"/>
        </w:tabs>
        <w:spacing w:before="173" w:after="0" w:line="240" w:lineRule="auto"/>
        <w:ind w:left="1037" w:right="0" w:hanging="280"/>
        <w:jc w:val="left"/>
        <w:rPr>
          <w:sz w:val="21"/>
        </w:rPr>
      </w:pPr>
      <w:r>
        <w:rPr>
          <w:spacing w:val="-3"/>
          <w:sz w:val="21"/>
        </w:rPr>
        <w:t>、法律、法规和招标文件规定的其他无效情形；</w:t>
      </w:r>
    </w:p>
    <w:p>
      <w:pPr>
        <w:pStyle w:val="22"/>
        <w:numPr>
          <w:ilvl w:val="1"/>
          <w:numId w:val="16"/>
        </w:numPr>
        <w:tabs>
          <w:tab w:val="left" w:pos="1038"/>
        </w:tabs>
        <w:spacing w:before="170" w:after="0" w:line="240" w:lineRule="auto"/>
        <w:ind w:left="1037" w:right="0" w:hanging="280"/>
        <w:jc w:val="left"/>
        <w:rPr>
          <w:sz w:val="21"/>
        </w:rPr>
      </w:pPr>
      <w:r>
        <w:rPr>
          <w:spacing w:val="-3"/>
          <w:sz w:val="21"/>
        </w:rPr>
        <w:t>、不响应第四部分要求；</w:t>
      </w:r>
    </w:p>
    <w:p>
      <w:pPr>
        <w:pStyle w:val="6"/>
        <w:spacing w:before="100"/>
      </w:pPr>
      <w:r>
        <w:t>七、开标、评标和定标</w:t>
      </w:r>
    </w:p>
    <w:p>
      <w:pPr>
        <w:pStyle w:val="11"/>
        <w:spacing w:before="151"/>
        <w:ind w:left="750"/>
      </w:pPr>
      <w:r>
        <w:rPr>
          <w:rFonts w:ascii="Times New Roman" w:eastAsia="Times New Roman"/>
        </w:rPr>
        <w:t>1</w:t>
      </w:r>
      <w:r>
        <w:t>、开标</w:t>
      </w:r>
    </w:p>
    <w:p>
      <w:pPr>
        <w:pStyle w:val="22"/>
        <w:numPr>
          <w:ilvl w:val="1"/>
          <w:numId w:val="17"/>
        </w:numPr>
        <w:tabs>
          <w:tab w:val="left" w:pos="1031"/>
        </w:tabs>
        <w:spacing w:before="172" w:after="0" w:line="240" w:lineRule="auto"/>
        <w:ind w:left="1030" w:right="0" w:hanging="281"/>
        <w:jc w:val="left"/>
        <w:rPr>
          <w:sz w:val="21"/>
        </w:rPr>
      </w:pPr>
      <w:r>
        <w:rPr>
          <w:spacing w:val="-3"/>
          <w:sz w:val="21"/>
        </w:rPr>
        <w:t>、采购代理机构按招标文件规定的时间和地点组织开标。</w:t>
      </w:r>
    </w:p>
    <w:p>
      <w:pPr>
        <w:pStyle w:val="22"/>
        <w:numPr>
          <w:ilvl w:val="1"/>
          <w:numId w:val="17"/>
        </w:numPr>
        <w:tabs>
          <w:tab w:val="left" w:pos="1031"/>
        </w:tabs>
        <w:spacing w:before="170" w:after="0" w:line="240" w:lineRule="auto"/>
        <w:ind w:left="1030" w:right="0" w:hanging="281"/>
        <w:jc w:val="left"/>
        <w:rPr>
          <w:sz w:val="21"/>
        </w:rPr>
      </w:pPr>
      <w:r>
        <w:rPr>
          <w:spacing w:val="-3"/>
          <w:sz w:val="21"/>
        </w:rPr>
        <w:t>、所有参会人员应签名报到，以证明其出席。投标人未参加开标的，视同认可开标结果。</w:t>
      </w:r>
    </w:p>
    <w:p>
      <w:pPr>
        <w:pStyle w:val="12"/>
        <w:spacing w:before="10"/>
        <w:rPr>
          <w:sz w:val="10"/>
        </w:rPr>
      </w:pPr>
    </w:p>
    <w:p>
      <w:pPr>
        <w:pStyle w:val="22"/>
        <w:numPr>
          <w:ilvl w:val="1"/>
          <w:numId w:val="17"/>
        </w:numPr>
        <w:tabs>
          <w:tab w:val="left" w:pos="1031"/>
        </w:tabs>
        <w:spacing w:before="79" w:after="0" w:line="391" w:lineRule="auto"/>
        <w:ind w:left="337" w:right="355" w:firstLine="413"/>
        <w:jc w:val="left"/>
        <w:rPr>
          <w:sz w:val="21"/>
        </w:rPr>
      </w:pPr>
      <w:r>
        <w:rPr>
          <w:spacing w:val="-3"/>
          <w:sz w:val="21"/>
        </w:rPr>
        <w:t>、开标会议由采购代理机构主持。主持人宣读开标会议开始，宣读会场纪律，宣布参加会议的投标人名单。</w:t>
      </w:r>
    </w:p>
    <w:p>
      <w:pPr>
        <w:pStyle w:val="22"/>
        <w:numPr>
          <w:ilvl w:val="1"/>
          <w:numId w:val="17"/>
        </w:numPr>
        <w:tabs>
          <w:tab w:val="left" w:pos="1031"/>
        </w:tabs>
        <w:spacing w:before="4" w:after="0" w:line="391" w:lineRule="auto"/>
        <w:ind w:left="337" w:right="355" w:firstLine="413"/>
        <w:jc w:val="left"/>
        <w:rPr>
          <w:sz w:val="21"/>
        </w:rPr>
      </w:pPr>
      <w:r>
        <w:rPr>
          <w:spacing w:val="-3"/>
          <w:sz w:val="21"/>
        </w:rPr>
        <w:t>、投标人法定代表人或被授权人与监标人当众检查投标文件的密封情况，签字确认并宣读检查结果。</w:t>
      </w:r>
    </w:p>
    <w:p>
      <w:pPr>
        <w:pStyle w:val="22"/>
        <w:numPr>
          <w:ilvl w:val="1"/>
          <w:numId w:val="17"/>
        </w:numPr>
        <w:tabs>
          <w:tab w:val="left" w:pos="1031"/>
        </w:tabs>
        <w:spacing w:before="1" w:after="0" w:line="240" w:lineRule="auto"/>
        <w:ind w:left="1030" w:right="0" w:hanging="281"/>
        <w:jc w:val="left"/>
        <w:rPr>
          <w:sz w:val="21"/>
        </w:rPr>
      </w:pPr>
      <w:r>
        <w:rPr>
          <w:sz w:val="21"/>
        </w:rPr>
        <w:t>、唱价：</w:t>
      </w:r>
    </w:p>
    <w:p>
      <w:pPr>
        <w:pStyle w:val="12"/>
        <w:spacing w:before="172" w:line="393" w:lineRule="auto"/>
        <w:ind w:left="337" w:right="331" w:firstLine="413"/>
      </w:pPr>
      <w:r>
        <w:rPr>
          <w:spacing w:val="-3"/>
        </w:rPr>
        <w:t>采购代理机构对提交的投标文件随机拆封并宣读投标人名称、投标价格和投标文件的其它主要内容并做记录。投标人确认无误后，由投标人的法定代表人或被授权人及监标人签字确认唱标内容。如投标人对宣读的</w:t>
      </w:r>
      <w:r>
        <w:rPr>
          <w:rFonts w:ascii="Times New Roman" w:hAnsi="Times New Roman" w:eastAsia="Times New Roman"/>
          <w:spacing w:val="-3"/>
        </w:rPr>
        <w:t>“</w:t>
      </w:r>
      <w:r>
        <w:rPr>
          <w:spacing w:val="-3"/>
        </w:rPr>
        <w:t>报价一览表</w:t>
      </w:r>
      <w:r>
        <w:rPr>
          <w:rFonts w:ascii="Times New Roman" w:hAnsi="Times New Roman" w:eastAsia="Times New Roman"/>
          <w:spacing w:val="-3"/>
        </w:rPr>
        <w:t>”</w:t>
      </w:r>
      <w:r>
        <w:rPr>
          <w:spacing w:val="-10"/>
        </w:rPr>
        <w:t>上的内容有异议，应在获得主持人同意后当场提出，如属于宣读错误，经现场监督人员</w:t>
      </w:r>
      <w:r>
        <w:rPr>
          <w:spacing w:val="-5"/>
        </w:rPr>
        <w:t>核实后，当场予以更正。</w:t>
      </w:r>
    </w:p>
    <w:p>
      <w:pPr>
        <w:pStyle w:val="22"/>
        <w:numPr>
          <w:ilvl w:val="1"/>
          <w:numId w:val="17"/>
        </w:numPr>
        <w:tabs>
          <w:tab w:val="left" w:pos="1031"/>
        </w:tabs>
        <w:spacing w:before="0" w:after="0" w:line="263" w:lineRule="exact"/>
        <w:ind w:left="1030" w:right="0" w:hanging="281"/>
        <w:jc w:val="left"/>
        <w:rPr>
          <w:sz w:val="21"/>
        </w:rPr>
      </w:pPr>
      <w:r>
        <w:rPr>
          <w:spacing w:val="-3"/>
          <w:sz w:val="21"/>
        </w:rPr>
        <w:t>、主持人宣布开标会议结束，所有投标人离场。</w:t>
      </w:r>
    </w:p>
    <w:p>
      <w:pPr>
        <w:pStyle w:val="22"/>
        <w:numPr>
          <w:ilvl w:val="1"/>
          <w:numId w:val="17"/>
        </w:numPr>
        <w:tabs>
          <w:tab w:val="left" w:pos="1031"/>
        </w:tabs>
        <w:spacing w:before="171" w:after="0" w:line="240" w:lineRule="auto"/>
        <w:ind w:left="1030" w:right="0" w:hanging="281"/>
        <w:jc w:val="left"/>
        <w:rPr>
          <w:sz w:val="21"/>
        </w:rPr>
      </w:pPr>
      <w:r>
        <w:rPr>
          <w:spacing w:val="-3"/>
          <w:sz w:val="21"/>
        </w:rPr>
        <w:t>、采购代理机构对开标过程进行全程录音录像，并存档备查。</w:t>
      </w:r>
    </w:p>
    <w:p>
      <w:pPr>
        <w:pStyle w:val="22"/>
        <w:numPr>
          <w:ilvl w:val="1"/>
          <w:numId w:val="17"/>
        </w:numPr>
        <w:tabs>
          <w:tab w:val="left" w:pos="1031"/>
        </w:tabs>
        <w:spacing w:before="172" w:after="0" w:line="391" w:lineRule="auto"/>
        <w:ind w:left="337" w:right="355" w:firstLine="413"/>
        <w:jc w:val="both"/>
        <w:rPr>
          <w:sz w:val="21"/>
        </w:rPr>
      </w:pPr>
      <w:r>
        <w:rPr>
          <w:spacing w:val="-3"/>
          <w:sz w:val="21"/>
        </w:rPr>
        <w:t>、采购代理机构对开标过程进行文字记录，由参加开标的各投标人代表和相关工作人员签字确认， 并存档备查。投标人代表对开标过程和开标记录有疑义的，以及认为采购人、采购代理机构相关工作人员有需要回避的情形的，应当场提出询问或回避申请。</w:t>
      </w:r>
    </w:p>
    <w:p>
      <w:pPr>
        <w:pStyle w:val="11"/>
        <w:spacing w:before="5"/>
        <w:ind w:left="750"/>
      </w:pPr>
      <w:r>
        <w:rPr>
          <w:rFonts w:ascii="Times New Roman" w:eastAsia="Times New Roman"/>
        </w:rPr>
        <w:t>2</w:t>
      </w:r>
      <w:r>
        <w:t>、评标</w:t>
      </w:r>
    </w:p>
    <w:p>
      <w:pPr>
        <w:pStyle w:val="11"/>
        <w:spacing w:before="170"/>
        <w:ind w:left="760"/>
      </w:pPr>
      <w:r>
        <w:t>详见第三部分评标办法</w:t>
      </w:r>
    </w:p>
    <w:p>
      <w:pPr>
        <w:pStyle w:val="11"/>
        <w:spacing w:before="170"/>
        <w:ind w:left="760"/>
      </w:pPr>
      <w:r>
        <w:rPr>
          <w:rFonts w:ascii="Times New Roman" w:eastAsia="Times New Roman"/>
        </w:rPr>
        <w:t>3</w:t>
      </w:r>
      <w:r>
        <w:t>、中标通知书及未中标通知书</w:t>
      </w:r>
    </w:p>
    <w:p>
      <w:pPr>
        <w:pStyle w:val="22"/>
        <w:numPr>
          <w:ilvl w:val="1"/>
          <w:numId w:val="18"/>
        </w:numPr>
        <w:tabs>
          <w:tab w:val="left" w:pos="1038"/>
        </w:tabs>
        <w:spacing w:before="173" w:after="0" w:line="240" w:lineRule="auto"/>
        <w:ind w:left="1037" w:right="0" w:hanging="280"/>
        <w:jc w:val="left"/>
        <w:rPr>
          <w:sz w:val="21"/>
        </w:rPr>
      </w:pPr>
      <w:r>
        <w:rPr>
          <w:spacing w:val="-3"/>
          <w:sz w:val="21"/>
        </w:rPr>
        <w:t>、中标通知书及未中标通知书将在中标公告发布的同时由采购代理机构发出。</w:t>
      </w:r>
    </w:p>
    <w:p>
      <w:pPr>
        <w:pStyle w:val="22"/>
        <w:numPr>
          <w:ilvl w:val="1"/>
          <w:numId w:val="18"/>
        </w:numPr>
        <w:tabs>
          <w:tab w:val="left" w:pos="1038"/>
        </w:tabs>
        <w:spacing w:before="170" w:after="0" w:line="391" w:lineRule="auto"/>
        <w:ind w:left="337" w:right="348" w:firstLine="420"/>
        <w:jc w:val="left"/>
        <w:rPr>
          <w:sz w:val="21"/>
        </w:rPr>
      </w:pPr>
      <w:r>
        <w:rPr>
          <w:spacing w:val="-3"/>
          <w:sz w:val="21"/>
        </w:rPr>
        <w:t>、中标人应在接到采购代理机构通知之日起七日内领取中标通知书。未在规定时间内领取中标通知书的，投标保证金不予退还。</w:t>
      </w:r>
    </w:p>
    <w:p>
      <w:pPr>
        <w:pStyle w:val="22"/>
        <w:numPr>
          <w:ilvl w:val="1"/>
          <w:numId w:val="18"/>
        </w:numPr>
        <w:tabs>
          <w:tab w:val="left" w:pos="1038"/>
        </w:tabs>
        <w:spacing w:before="4" w:after="0" w:line="240" w:lineRule="auto"/>
        <w:ind w:left="1037" w:right="0" w:hanging="280"/>
        <w:jc w:val="left"/>
        <w:rPr>
          <w:sz w:val="21"/>
        </w:rPr>
      </w:pPr>
      <w:r>
        <w:rPr>
          <w:spacing w:val="-3"/>
          <w:sz w:val="21"/>
        </w:rPr>
        <w:t>、中标通知书发出后，采购人不得违法改变中标结果，中标人无正当理由不得弃中标。</w:t>
      </w:r>
    </w:p>
    <w:p>
      <w:pPr>
        <w:pStyle w:val="6"/>
        <w:spacing w:before="100"/>
      </w:pPr>
      <w:r>
        <w:t>八、合同</w:t>
      </w:r>
    </w:p>
    <w:p>
      <w:pPr>
        <w:pStyle w:val="12"/>
        <w:spacing w:before="151"/>
        <w:ind w:left="758"/>
      </w:pPr>
      <w:r>
        <w:rPr>
          <w:rFonts w:ascii="Times New Roman" w:eastAsia="Times New Roman"/>
        </w:rPr>
        <w:t>1</w:t>
      </w:r>
      <w:r>
        <w:t>、中标人在收到中标通知书后三十（</w:t>
      </w:r>
      <w:r>
        <w:rPr>
          <w:rFonts w:ascii="Times New Roman" w:eastAsia="Times New Roman"/>
        </w:rPr>
        <w:t>30</w:t>
      </w:r>
      <w:r>
        <w:t>）个日历日内，应按招标文件的要求与采购人签订合同。</w:t>
      </w:r>
    </w:p>
    <w:p>
      <w:pPr>
        <w:pStyle w:val="12"/>
        <w:spacing w:before="172" w:line="391" w:lineRule="auto"/>
        <w:ind w:left="337" w:right="328" w:firstLine="420"/>
      </w:pPr>
      <w:r>
        <w:rPr>
          <w:rFonts w:ascii="Times New Roman" w:eastAsia="Times New Roman"/>
        </w:rPr>
        <w:t>2</w:t>
      </w:r>
      <w:r>
        <w:t>、中标人因自身原因不按规定与采购人签订服务合同或者拒绝与采购人签订合同的，则采购人将废除授标，投标保证金不予退还。给采购人造成损失超过投标保证金额的，还应当对超过部分予以赔偿，并依法承担相应法律责任。同时，采购人可以按照评审报告推荐的中标候选人名单排序，确定下一候选人为中标人，以此类推，也可以重新开展政府采购活动。因自身原因拒绝签订政府采购合同的或者未按合同约定进行履约的，中标人不得参加对该项目重新开展的招标活动。</w:t>
      </w:r>
    </w:p>
    <w:p>
      <w:pPr>
        <w:pStyle w:val="12"/>
        <w:spacing w:line="391" w:lineRule="auto"/>
        <w:ind w:left="337" w:right="328" w:firstLine="420"/>
      </w:pPr>
      <w:r>
        <w:rPr>
          <w:rFonts w:ascii="Times New Roman" w:eastAsia="Times New Roman"/>
        </w:rPr>
        <w:t>3</w:t>
      </w:r>
      <w:r>
        <w:rPr>
          <w:spacing w:val="-5"/>
        </w:rPr>
        <w:t>、中标通知书将是合同的重要组成部分。招标文件、中标人的投标文件及评议过程中有关的澄清文件</w:t>
      </w:r>
      <w:r>
        <w:rPr>
          <w:spacing w:val="-4"/>
        </w:rPr>
        <w:t>均作为合同附件。</w:t>
      </w:r>
    </w:p>
    <w:p>
      <w:pPr>
        <w:pStyle w:val="12"/>
        <w:spacing w:line="391" w:lineRule="auto"/>
        <w:ind w:left="337" w:right="331" w:firstLine="420"/>
      </w:pPr>
      <w:r>
        <w:rPr>
          <w:rFonts w:ascii="Times New Roman" w:eastAsia="Times New Roman"/>
        </w:rPr>
        <w:t>4</w:t>
      </w:r>
      <w:r>
        <w:rPr>
          <w:spacing w:val="-5"/>
        </w:rPr>
        <w:t>、中标后，中标人应按照合同约定履行义务，完成招标项目的服务，经采购人同意，中标人可以依法</w:t>
      </w:r>
      <w:r>
        <w:rPr>
          <w:spacing w:val="-4"/>
        </w:rPr>
        <w:t>采取分包方式履行合同。分包部分为中标项目的部分非主体、非关键性工作。接受分包的投标人应当具备</w:t>
      </w:r>
      <w:r>
        <w:rPr>
          <w:spacing w:val="-3"/>
        </w:rPr>
        <w:t>相应的资格条件，并不得再次分包。分包履行的，中标人就采购项目和分包项目向采购人负责，分包投标人就分包项目承担责任。中小企业根据《政府采购促进中小企业发展暂行办法》（</w:t>
      </w:r>
      <w:r>
        <w:t>财库</w:t>
      </w:r>
      <w:r>
        <w:rPr>
          <w:rFonts w:ascii="Times New Roman" w:eastAsia="Times New Roman"/>
        </w:rPr>
        <w:t xml:space="preserve">[2011]181 </w:t>
      </w:r>
      <w:r>
        <w:t>号</w:t>
      </w:r>
      <w:r>
        <w:rPr>
          <w:spacing w:val="-3"/>
        </w:rPr>
        <w:t>）</w:t>
      </w:r>
      <w:r>
        <w:t>规定</w:t>
      </w:r>
      <w:r>
        <w:rPr>
          <w:spacing w:val="-3"/>
        </w:rPr>
        <w:t>的政策获取政府采购合同后，小型、微型企业不得分包或转包给大型、中型企业，中型企业不得分包或转包给大型企业。</w:t>
      </w:r>
    </w:p>
    <w:p>
      <w:pPr>
        <w:pStyle w:val="12"/>
        <w:spacing w:before="10"/>
        <w:ind w:left="758"/>
      </w:pPr>
      <w:r>
        <w:rPr>
          <w:rFonts w:ascii="Times New Roman" w:eastAsia="Times New Roman"/>
        </w:rPr>
        <w:t>5</w:t>
      </w:r>
      <w:r>
        <w:t>、所签订的合同不得对招标文件确定的事项和中标人投标文件作实质性修改。</w:t>
      </w:r>
    </w:p>
    <w:p>
      <w:pPr>
        <w:pStyle w:val="12"/>
        <w:spacing w:before="170" w:line="391" w:lineRule="auto"/>
        <w:ind w:left="337" w:right="290" w:firstLine="420"/>
      </w:pPr>
      <w:r>
        <w:rPr>
          <w:rFonts w:ascii="Times New Roman" w:eastAsia="Times New Roman"/>
        </w:rPr>
        <w:t>6</w:t>
      </w:r>
      <w:r>
        <w:t>、采购人需追加与合同标的相同的货物、工程或服务的，在不改变合同其他条款的前提下，可以与中标人协商签订补充合同，但所有补充合同的采购金额不得超过原合同采购金额的百分之十。</w:t>
      </w:r>
    </w:p>
    <w:p>
      <w:pPr>
        <w:pStyle w:val="6"/>
        <w:spacing w:line="292" w:lineRule="exact"/>
      </w:pPr>
      <w:r>
        <w:t>九、合同的履约验收</w:t>
      </w:r>
    </w:p>
    <w:p>
      <w:pPr>
        <w:pStyle w:val="12"/>
        <w:spacing w:before="150" w:line="391" w:lineRule="auto"/>
        <w:ind w:left="337" w:right="417" w:firstLine="420"/>
      </w:pPr>
      <w:r>
        <w:t>采购人应按照政府采购合同约定的技术、服务、安全标准组织对投标人每一项技术、服务、安全标准的履约情况进行验收，并出具验收书。</w:t>
      </w:r>
    </w:p>
    <w:p>
      <w:pPr>
        <w:pStyle w:val="6"/>
        <w:spacing w:line="292" w:lineRule="exact"/>
      </w:pPr>
      <w:r>
        <w:t>十、代理服务费</w:t>
      </w:r>
    </w:p>
    <w:p>
      <w:pPr>
        <w:pStyle w:val="12"/>
        <w:spacing w:before="151" w:line="391" w:lineRule="auto"/>
        <w:ind w:left="337" w:right="225" w:firstLine="420"/>
      </w:pPr>
      <w:r>
        <w:rPr>
          <w:spacing w:val="-6"/>
        </w:rPr>
        <w:t>各标段中标人在领取中标通知书时，根据《招标代理服务收费管理暂行办法》计价格</w:t>
      </w:r>
      <w:r>
        <w:rPr>
          <w:rFonts w:ascii="Times New Roman" w:eastAsia="Times New Roman"/>
        </w:rPr>
        <w:t xml:space="preserve">[2002]1980 </w:t>
      </w:r>
      <w:r>
        <w:rPr>
          <w:spacing w:val="-2"/>
        </w:rPr>
        <w:t>号文</w:t>
      </w:r>
      <w:r>
        <w:rPr>
          <w:rFonts w:ascii="Times New Roman" w:eastAsia="Times New Roman"/>
        </w:rPr>
        <w:t xml:space="preserve">&amp; </w:t>
      </w:r>
      <w:r>
        <w:rPr>
          <w:spacing w:val="-1"/>
        </w:rPr>
        <w:t>发改价格</w:t>
      </w:r>
      <w:r>
        <w:rPr>
          <w:rFonts w:ascii="Times New Roman" w:eastAsia="Times New Roman"/>
        </w:rPr>
        <w:t xml:space="preserve">[2011]534 </w:t>
      </w:r>
      <w:r>
        <w:rPr>
          <w:spacing w:val="-9"/>
        </w:rPr>
        <w:t>号国家规定的招标代理服务费标准计取，向</w:t>
      </w:r>
      <w:r>
        <w:rPr>
          <w:rFonts w:hint="eastAsia"/>
          <w:spacing w:val="-9"/>
          <w:lang w:eastAsia="zh-CN"/>
        </w:rPr>
        <w:t>招标代理机构</w:t>
      </w:r>
      <w:r>
        <w:rPr>
          <w:spacing w:val="-9"/>
        </w:rPr>
        <w:t>交纳招标服务费。</w:t>
      </w:r>
    </w:p>
    <w:p>
      <w:pPr>
        <w:pStyle w:val="6"/>
        <w:spacing w:line="292" w:lineRule="exact"/>
      </w:pPr>
      <w:r>
        <w:t>十一、废标及变更采购方式</w:t>
      </w:r>
    </w:p>
    <w:p>
      <w:pPr>
        <w:pStyle w:val="12"/>
        <w:spacing w:before="150"/>
        <w:ind w:left="758"/>
      </w:pPr>
      <w:r>
        <w:rPr>
          <w:rFonts w:ascii="Times New Roman" w:eastAsia="Times New Roman"/>
        </w:rPr>
        <w:t>1</w:t>
      </w:r>
      <w:r>
        <w:t>、如果发生下列情况之一，采购人和采购代理机构将按《政府采购法》等有关规定重新组织采购：</w:t>
      </w:r>
    </w:p>
    <w:p>
      <w:pPr>
        <w:pStyle w:val="22"/>
        <w:numPr>
          <w:ilvl w:val="0"/>
          <w:numId w:val="19"/>
        </w:numPr>
        <w:tabs>
          <w:tab w:val="left" w:pos="1288"/>
        </w:tabs>
        <w:spacing w:before="171" w:after="0" w:line="240" w:lineRule="auto"/>
        <w:ind w:left="1287" w:right="0" w:hanging="530"/>
        <w:jc w:val="left"/>
        <w:rPr>
          <w:sz w:val="21"/>
        </w:rPr>
      </w:pPr>
      <w:r>
        <w:rPr>
          <w:spacing w:val="-3"/>
          <w:sz w:val="21"/>
        </w:rPr>
        <w:t>因重大变故，采购任务取消的；</w:t>
      </w:r>
    </w:p>
    <w:p>
      <w:pPr>
        <w:pStyle w:val="22"/>
        <w:numPr>
          <w:ilvl w:val="0"/>
          <w:numId w:val="19"/>
        </w:numPr>
        <w:tabs>
          <w:tab w:val="left" w:pos="1288"/>
        </w:tabs>
        <w:spacing w:before="172" w:after="0" w:line="240" w:lineRule="auto"/>
        <w:ind w:left="1287" w:right="0" w:hanging="530"/>
        <w:jc w:val="left"/>
        <w:rPr>
          <w:sz w:val="21"/>
        </w:rPr>
      </w:pPr>
      <w:r>
        <w:rPr>
          <w:spacing w:val="-3"/>
          <w:sz w:val="21"/>
        </w:rPr>
        <w:t>出现影响采购公正的违法、违规行为的；</w:t>
      </w:r>
    </w:p>
    <w:p>
      <w:pPr>
        <w:pStyle w:val="22"/>
        <w:numPr>
          <w:ilvl w:val="0"/>
          <w:numId w:val="19"/>
        </w:numPr>
        <w:tabs>
          <w:tab w:val="left" w:pos="1288"/>
        </w:tabs>
        <w:spacing w:before="170" w:after="0" w:line="240" w:lineRule="auto"/>
        <w:ind w:left="1287" w:right="0" w:hanging="530"/>
        <w:jc w:val="left"/>
        <w:rPr>
          <w:sz w:val="21"/>
        </w:rPr>
      </w:pPr>
      <w:r>
        <w:rPr>
          <w:spacing w:val="-3"/>
          <w:sz w:val="21"/>
        </w:rPr>
        <w:t>符合专业条件的投标人或者对招标文件实质响应的投标人不足三家的；</w:t>
      </w:r>
    </w:p>
    <w:p>
      <w:pPr>
        <w:pStyle w:val="22"/>
        <w:numPr>
          <w:ilvl w:val="0"/>
          <w:numId w:val="19"/>
        </w:numPr>
        <w:tabs>
          <w:tab w:val="left" w:pos="1288"/>
        </w:tabs>
        <w:spacing w:before="170" w:after="0" w:line="240" w:lineRule="auto"/>
        <w:ind w:left="1287" w:right="0" w:hanging="530"/>
        <w:jc w:val="left"/>
        <w:rPr>
          <w:sz w:val="21"/>
        </w:rPr>
      </w:pPr>
      <w:r>
        <w:rPr>
          <w:spacing w:val="-3"/>
          <w:sz w:val="21"/>
        </w:rPr>
        <w:t>所有投标人的报价均超出采购预算，采购人不能支付的。</w:t>
      </w:r>
    </w:p>
    <w:p>
      <w:pPr>
        <w:pStyle w:val="12"/>
        <w:spacing w:before="173" w:line="391" w:lineRule="auto"/>
        <w:ind w:left="337" w:right="228" w:firstLine="420"/>
      </w:pPr>
      <w:r>
        <w:rPr>
          <w:rFonts w:ascii="Times New Roman" w:eastAsia="Times New Roman"/>
        </w:rPr>
        <w:t>2</w:t>
      </w:r>
      <w:r>
        <w:t xml:space="preserve">、若出现投标截止时间后提交投标文件的投标人或通过资格审查或符合性审查的投标人不足 </w:t>
      </w:r>
      <w:r>
        <w:rPr>
          <w:rFonts w:ascii="Times New Roman" w:eastAsia="Times New Roman"/>
        </w:rPr>
        <w:t xml:space="preserve">3 </w:t>
      </w:r>
      <w:r>
        <w:t>家的， 按照相关法律法规的规定，经报财政部门批准后可变更为其他采购方式。</w:t>
      </w:r>
    </w:p>
    <w:p>
      <w:pPr>
        <w:pStyle w:val="22"/>
        <w:numPr>
          <w:ilvl w:val="0"/>
          <w:numId w:val="20"/>
        </w:numPr>
        <w:tabs>
          <w:tab w:val="left" w:pos="1288"/>
        </w:tabs>
        <w:spacing w:before="2" w:after="0" w:line="240" w:lineRule="auto"/>
        <w:ind w:left="1287" w:right="0" w:hanging="530"/>
        <w:jc w:val="left"/>
        <w:rPr>
          <w:sz w:val="21"/>
        </w:rPr>
      </w:pPr>
      <w:r>
        <w:rPr>
          <w:spacing w:val="-3"/>
          <w:sz w:val="21"/>
        </w:rPr>
        <w:t>评标委员会及招标文件仍继续沿用，若有重大变动，以书面形式通知参加竞争的全体投标人；</w:t>
      </w:r>
    </w:p>
    <w:p>
      <w:pPr>
        <w:pStyle w:val="22"/>
        <w:numPr>
          <w:ilvl w:val="0"/>
          <w:numId w:val="20"/>
        </w:numPr>
        <w:tabs>
          <w:tab w:val="left" w:pos="1288"/>
        </w:tabs>
        <w:spacing w:before="171" w:after="0" w:line="240" w:lineRule="auto"/>
        <w:ind w:left="1287" w:right="0" w:hanging="530"/>
        <w:jc w:val="left"/>
        <w:rPr>
          <w:sz w:val="21"/>
        </w:rPr>
      </w:pPr>
      <w:r>
        <w:rPr>
          <w:spacing w:val="-3"/>
          <w:sz w:val="21"/>
        </w:rPr>
        <w:t>定标原则按照有关法律法规执行。</w:t>
      </w:r>
    </w:p>
    <w:p>
      <w:pPr>
        <w:pStyle w:val="12"/>
        <w:spacing w:before="172" w:line="391" w:lineRule="auto"/>
        <w:ind w:left="337" w:right="262" w:firstLine="420"/>
      </w:pPr>
      <w:r>
        <w:rPr>
          <w:rFonts w:ascii="Times New Roman" w:eastAsia="Times New Roman"/>
        </w:rPr>
        <w:t>3</w:t>
      </w:r>
      <w:r>
        <w:t xml:space="preserve">、若出现提交投标文件或经评审实质性响应招标文件要求的投标人只有 </w:t>
      </w:r>
      <w:r>
        <w:rPr>
          <w:rFonts w:ascii="Times New Roman" w:eastAsia="Times New Roman"/>
        </w:rPr>
        <w:t xml:space="preserve">1 </w:t>
      </w:r>
      <w:r>
        <w:t>家时，按废标处理，重新开展采购活动。</w:t>
      </w:r>
    </w:p>
    <w:p>
      <w:pPr>
        <w:pStyle w:val="6"/>
        <w:spacing w:line="290" w:lineRule="exact"/>
      </w:pPr>
      <w:r>
        <w:t>十二、询问、质疑与投诉</w:t>
      </w:r>
    </w:p>
    <w:p>
      <w:pPr>
        <w:pStyle w:val="12"/>
        <w:spacing w:before="153"/>
        <w:ind w:left="758"/>
      </w:pPr>
      <w:r>
        <w:rPr>
          <w:rFonts w:ascii="Times New Roman" w:eastAsia="Times New Roman"/>
        </w:rPr>
        <w:t>1</w:t>
      </w:r>
      <w:r>
        <w:t>、询问</w:t>
      </w:r>
    </w:p>
    <w:p>
      <w:pPr>
        <w:pStyle w:val="12"/>
        <w:spacing w:before="170" w:line="391" w:lineRule="auto"/>
        <w:ind w:left="758" w:right="2309"/>
        <w:rPr>
          <w:spacing w:val="-3"/>
        </w:rPr>
      </w:pPr>
      <w:r>
        <w:rPr>
          <w:spacing w:val="-3"/>
        </w:rPr>
        <w:t>投标人对政府采购活动事项有疑问的，可以向采购人、采购代理机构提出询问。</w:t>
      </w:r>
    </w:p>
    <w:p>
      <w:pPr>
        <w:pStyle w:val="12"/>
        <w:spacing w:before="170" w:line="391" w:lineRule="auto"/>
        <w:ind w:left="758" w:right="2309"/>
      </w:pPr>
      <w:r>
        <w:rPr>
          <w:spacing w:val="-3"/>
        </w:rPr>
        <w:t>2、质疑提出与答复</w:t>
      </w:r>
    </w:p>
    <w:p>
      <w:pPr>
        <w:pStyle w:val="22"/>
        <w:numPr>
          <w:ilvl w:val="0"/>
          <w:numId w:val="21"/>
        </w:numPr>
        <w:tabs>
          <w:tab w:val="left" w:pos="1285"/>
        </w:tabs>
        <w:spacing w:before="4" w:after="0" w:line="391" w:lineRule="auto"/>
        <w:ind w:left="337" w:right="328" w:firstLine="420"/>
        <w:jc w:val="left"/>
        <w:rPr>
          <w:sz w:val="21"/>
        </w:rPr>
      </w:pPr>
      <w:r>
        <w:rPr>
          <w:spacing w:val="-4"/>
          <w:sz w:val="21"/>
        </w:rPr>
        <w:t>投标人认为采购文件、采购过程、中标结果使自己的权益受到损害的，可以在知道或者应知其权</w:t>
      </w:r>
      <w:r>
        <w:rPr>
          <w:spacing w:val="-3"/>
          <w:sz w:val="21"/>
        </w:rPr>
        <w:t>益受到损害之日起七个工作日内，以书面形式向采购代理机构提出</w:t>
      </w:r>
      <w:r>
        <w:rPr>
          <w:sz w:val="21"/>
        </w:rPr>
        <w:t>（</w:t>
      </w:r>
      <w:r>
        <w:rPr>
          <w:spacing w:val="-3"/>
          <w:sz w:val="21"/>
        </w:rPr>
        <w:t>质疑函接收联系人、联系电话和通讯地址等详见招标公告</w:t>
      </w:r>
      <w:r>
        <w:rPr>
          <w:sz w:val="21"/>
        </w:rPr>
        <w:t>）。</w:t>
      </w:r>
    </w:p>
    <w:p>
      <w:pPr>
        <w:pStyle w:val="22"/>
        <w:numPr>
          <w:ilvl w:val="0"/>
          <w:numId w:val="21"/>
        </w:numPr>
        <w:tabs>
          <w:tab w:val="left" w:pos="1285"/>
        </w:tabs>
        <w:spacing w:before="5" w:after="0" w:line="391" w:lineRule="auto"/>
        <w:ind w:left="337" w:right="331" w:firstLine="420"/>
        <w:jc w:val="left"/>
        <w:rPr>
          <w:sz w:val="21"/>
        </w:rPr>
      </w:pPr>
      <w:r>
        <w:rPr>
          <w:spacing w:val="-5"/>
          <w:sz w:val="21"/>
        </w:rPr>
        <w:t>质疑投标人法定代表人提交质疑的，须出具法定代表人资格证明书；委托代理人提交质疑的，必</w:t>
      </w:r>
      <w:r>
        <w:rPr>
          <w:spacing w:val="-4"/>
          <w:sz w:val="21"/>
        </w:rPr>
        <w:t>须向其出具授权委托书，授权委托书应当载明代理人的姓名或者名称、代理事项、具体权限、期限和相关</w:t>
      </w:r>
      <w:r>
        <w:rPr>
          <w:spacing w:val="-3"/>
          <w:sz w:val="21"/>
        </w:rPr>
        <w:t>事项，由法定代表人签字或者盖章，并加盖单位公章。</w:t>
      </w:r>
    </w:p>
    <w:p>
      <w:pPr>
        <w:pStyle w:val="12"/>
        <w:spacing w:before="4"/>
        <w:ind w:left="758"/>
      </w:pPr>
      <w:r>
        <w:t>质疑函应当包括下列内容：</w:t>
      </w:r>
    </w:p>
    <w:p>
      <w:pPr>
        <w:pStyle w:val="12"/>
        <w:spacing w:before="170"/>
        <w:ind w:left="758"/>
      </w:pPr>
      <w:r>
        <w:t>1、投标人的姓名或者名称、地址、邮编、联系人及联系电话；</w:t>
      </w:r>
    </w:p>
    <w:p>
      <w:pPr>
        <w:pStyle w:val="12"/>
        <w:spacing w:before="170"/>
        <w:ind w:left="758"/>
      </w:pPr>
      <w:r>
        <w:t>2、质疑项目的名称、编号；</w:t>
      </w:r>
    </w:p>
    <w:p>
      <w:pPr>
        <w:pStyle w:val="12"/>
        <w:spacing w:before="173"/>
        <w:ind w:left="758"/>
      </w:pPr>
      <w:r>
        <w:t>3、具体、明确的质疑事项和与质疑事项相关的请求；</w:t>
      </w:r>
    </w:p>
    <w:p>
      <w:pPr>
        <w:pStyle w:val="12"/>
        <w:spacing w:before="170"/>
        <w:ind w:left="758"/>
      </w:pPr>
      <w:r>
        <w:t>4、事实依据；</w:t>
      </w:r>
    </w:p>
    <w:p>
      <w:pPr>
        <w:pStyle w:val="12"/>
        <w:spacing w:before="170"/>
        <w:ind w:left="758"/>
      </w:pPr>
      <w:r>
        <w:t>5</w:t>
      </w:r>
      <w:r>
        <w:rPr>
          <w:spacing w:val="-3"/>
        </w:rPr>
        <w:t>、必要的法律依据；</w:t>
      </w:r>
    </w:p>
    <w:p>
      <w:pPr>
        <w:pStyle w:val="12"/>
        <w:spacing w:before="173"/>
        <w:ind w:left="758"/>
      </w:pPr>
      <w:r>
        <w:t>6</w:t>
      </w:r>
      <w:r>
        <w:rPr>
          <w:spacing w:val="-3"/>
        </w:rPr>
        <w:t>、提出质疑的日期。</w:t>
      </w:r>
    </w:p>
    <w:p>
      <w:pPr>
        <w:pStyle w:val="12"/>
        <w:spacing w:before="170"/>
        <w:ind w:left="758"/>
      </w:pPr>
      <w:r>
        <w:t>备注：投标人须在法定质疑期内一次性提出针对同一采购程序环节的质疑。</w:t>
      </w:r>
    </w:p>
    <w:p>
      <w:pPr>
        <w:pStyle w:val="22"/>
        <w:numPr>
          <w:ilvl w:val="0"/>
          <w:numId w:val="21"/>
        </w:numPr>
        <w:tabs>
          <w:tab w:val="left" w:pos="1288"/>
        </w:tabs>
        <w:spacing w:before="170" w:after="0" w:line="393" w:lineRule="auto"/>
        <w:ind w:left="758" w:right="4517" w:firstLine="0"/>
        <w:jc w:val="left"/>
        <w:rPr>
          <w:sz w:val="21"/>
        </w:rPr>
      </w:pPr>
      <w:r>
        <w:rPr>
          <w:spacing w:val="-3"/>
          <w:sz w:val="21"/>
        </w:rPr>
        <w:t>质疑有以下情形之一的，采购代理机构不予受理： 1、未按规定程序和渠道提出质疑的；</w:t>
      </w:r>
    </w:p>
    <w:p>
      <w:pPr>
        <w:pStyle w:val="12"/>
        <w:spacing w:line="267" w:lineRule="exact"/>
        <w:ind w:left="758"/>
      </w:pPr>
      <w:r>
        <w:t>2、超过法定质疑期限的；</w:t>
      </w:r>
    </w:p>
    <w:p>
      <w:pPr>
        <w:pStyle w:val="12"/>
        <w:spacing w:before="170"/>
        <w:ind w:left="758"/>
      </w:pPr>
      <w:r>
        <w:t>3、书面质疑的形式和内容不符合上述要求的；</w:t>
      </w:r>
    </w:p>
    <w:p>
      <w:pPr>
        <w:pStyle w:val="12"/>
        <w:spacing w:before="174"/>
        <w:ind w:left="758"/>
      </w:pPr>
      <w:r>
        <w:t>4、提出的质疑事项已经明确答复的；</w:t>
      </w:r>
    </w:p>
    <w:p>
      <w:pPr>
        <w:pStyle w:val="12"/>
        <w:spacing w:before="170"/>
        <w:ind w:left="758"/>
      </w:pPr>
      <w:r>
        <w:t>5、法律法规规定的其他不予受理的条件。</w:t>
      </w:r>
    </w:p>
    <w:p>
      <w:pPr>
        <w:pStyle w:val="22"/>
        <w:numPr>
          <w:ilvl w:val="0"/>
          <w:numId w:val="21"/>
        </w:numPr>
        <w:tabs>
          <w:tab w:val="left" w:pos="1288"/>
        </w:tabs>
        <w:spacing w:before="170" w:after="0" w:line="393" w:lineRule="auto"/>
        <w:ind w:left="337" w:right="328" w:firstLine="420"/>
        <w:jc w:val="left"/>
        <w:rPr>
          <w:sz w:val="21"/>
        </w:rPr>
      </w:pPr>
      <w:r>
        <w:rPr>
          <w:spacing w:val="-4"/>
          <w:sz w:val="21"/>
        </w:rPr>
        <w:t>采购代理机构应当在收到质疑函后七个工作日内做出书面答复。答复内容同时通知与处理结果有</w:t>
      </w:r>
      <w:r>
        <w:rPr>
          <w:spacing w:val="-3"/>
          <w:sz w:val="21"/>
        </w:rPr>
        <w:t>关的投标人，但答复内容不得涉及投标人的商业秘密。</w:t>
      </w:r>
    </w:p>
    <w:p>
      <w:pPr>
        <w:pStyle w:val="12"/>
        <w:spacing w:line="267" w:lineRule="exact"/>
        <w:ind w:left="758"/>
      </w:pPr>
      <w:r>
        <w:t>3、投诉</w:t>
      </w:r>
    </w:p>
    <w:p>
      <w:pPr>
        <w:pStyle w:val="12"/>
        <w:spacing w:before="4"/>
        <w:rPr>
          <w:sz w:val="11"/>
        </w:rPr>
      </w:pPr>
    </w:p>
    <w:p>
      <w:pPr>
        <w:pStyle w:val="12"/>
        <w:spacing w:before="72" w:line="391" w:lineRule="auto"/>
        <w:ind w:left="337" w:right="417" w:firstLine="420"/>
      </w:pPr>
      <w:r>
        <w:t xml:space="preserve">质疑投标人对采购人、采购代理机构的答复不满意或者采购人、采购代理机构未在规定的时间内作出答复的，可按《政府采购法》第 </w:t>
      </w:r>
      <w:r>
        <w:rPr>
          <w:rFonts w:ascii="Times New Roman" w:eastAsia="Times New Roman"/>
        </w:rPr>
        <w:t xml:space="preserve">55 </w:t>
      </w:r>
      <w:r>
        <w:t>条等有关规定执行。</w:t>
      </w:r>
    </w:p>
    <w:p>
      <w:pPr>
        <w:pStyle w:val="6"/>
        <w:spacing w:line="293" w:lineRule="exact"/>
      </w:pPr>
      <w:r>
        <w:t>十三、拒绝商业贿赂</w:t>
      </w:r>
    </w:p>
    <w:p>
      <w:pPr>
        <w:pStyle w:val="12"/>
        <w:spacing w:before="151" w:line="391" w:lineRule="auto"/>
        <w:ind w:left="337" w:right="328" w:firstLine="420"/>
      </w:pPr>
      <w:r>
        <w:rPr>
          <w:rFonts w:ascii="Times New Roman" w:eastAsia="Times New Roman"/>
        </w:rPr>
        <w:t>1</w:t>
      </w:r>
      <w:r>
        <w:rPr>
          <w:spacing w:val="-15"/>
        </w:rPr>
        <w:t>、遵照</w:t>
      </w:r>
      <w:r>
        <w:rPr>
          <w:rFonts w:hint="eastAsia"/>
          <w:spacing w:val="-15"/>
          <w:lang w:eastAsia="zh-CN"/>
        </w:rPr>
        <w:t>阿克苏市</w:t>
      </w:r>
      <w:r>
        <w:rPr>
          <w:spacing w:val="-15"/>
        </w:rPr>
        <w:t>财政厅的规定，采购代理机构、投标人和评审专家在招投标活动中，都要签订相应的《拒</w:t>
      </w:r>
      <w:r>
        <w:rPr>
          <w:spacing w:val="-7"/>
        </w:rPr>
        <w:t>绝政府采购领域商业贿赂承诺书》，并对违反承诺的行为承担全部责任。</w:t>
      </w:r>
    </w:p>
    <w:p>
      <w:pPr>
        <w:pStyle w:val="12"/>
        <w:spacing w:before="3"/>
        <w:ind w:left="758"/>
      </w:pPr>
      <w:r>
        <w:rPr>
          <w:rFonts w:ascii="Times New Roman" w:eastAsia="Times New Roman"/>
        </w:rPr>
        <w:t>2</w:t>
      </w:r>
      <w:r>
        <w:t>、投标人必须填写《拒绝政府采购领域商业贿赂承诺书》附在投标文件中。</w:t>
      </w:r>
    </w:p>
    <w:p>
      <w:pPr>
        <w:spacing w:after="0"/>
        <w:sectPr>
          <w:pgSz w:w="11910" w:h="16840"/>
          <w:pgMar w:top="1360" w:right="740" w:bottom="1080" w:left="740" w:header="880" w:footer="887" w:gutter="0"/>
        </w:sectPr>
      </w:pPr>
    </w:p>
    <w:p>
      <w:pPr>
        <w:pStyle w:val="12"/>
        <w:spacing w:before="6"/>
        <w:rPr>
          <w:sz w:val="9"/>
        </w:rPr>
      </w:pPr>
    </w:p>
    <w:p>
      <w:pPr>
        <w:spacing w:after="0"/>
        <w:rPr>
          <w:sz w:val="9"/>
        </w:rPr>
        <w:sectPr>
          <w:pgSz w:w="11910" w:h="16840"/>
          <w:pgMar w:top="1360" w:right="740" w:bottom="1080" w:left="740" w:header="880" w:footer="887" w:gutter="0"/>
        </w:sectPr>
      </w:pPr>
    </w:p>
    <w:p>
      <w:pPr>
        <w:pStyle w:val="12"/>
        <w:rPr>
          <w:sz w:val="28"/>
        </w:rPr>
      </w:pPr>
    </w:p>
    <w:p>
      <w:pPr>
        <w:pStyle w:val="12"/>
        <w:rPr>
          <w:sz w:val="25"/>
        </w:rPr>
      </w:pPr>
    </w:p>
    <w:p>
      <w:pPr>
        <w:pStyle w:val="6"/>
      </w:pPr>
      <w:bookmarkStart w:id="39" w:name="第三部分  评标办法"/>
      <w:bookmarkEnd w:id="39"/>
      <w:r>
        <w:t>一、评标方法</w:t>
      </w:r>
    </w:p>
    <w:p>
      <w:pPr>
        <w:pStyle w:val="3"/>
        <w:tabs>
          <w:tab w:val="left" w:pos="2147"/>
        </w:tabs>
        <w:spacing w:before="49"/>
        <w:ind w:left="337"/>
        <w:jc w:val="left"/>
      </w:pPr>
      <w:bookmarkStart w:id="40" w:name="_TOC_250002"/>
      <w:r>
        <w:rPr>
          <w:b w:val="0"/>
        </w:rPr>
        <w:br w:type="column"/>
      </w:r>
      <w:bookmarkEnd w:id="40"/>
      <w:r>
        <w:t>第三部分</w:t>
      </w:r>
      <w:r>
        <w:tab/>
      </w:r>
      <w:r>
        <w:t>评标办法</w:t>
      </w:r>
    </w:p>
    <w:p>
      <w:pPr>
        <w:spacing w:after="0"/>
        <w:jc w:val="left"/>
        <w:sectPr>
          <w:type w:val="continuous"/>
          <w:pgSz w:w="11910" w:h="16840"/>
          <w:pgMar w:top="1580" w:right="740" w:bottom="280" w:left="740" w:header="720" w:footer="720" w:gutter="0"/>
          <w:cols w:equalWidth="0" w:num="2">
            <w:col w:w="2065" w:space="1545"/>
            <w:col w:w="6820"/>
          </w:cols>
        </w:sectPr>
      </w:pPr>
    </w:p>
    <w:p>
      <w:pPr>
        <w:pStyle w:val="12"/>
        <w:spacing w:before="150"/>
        <w:ind w:left="758"/>
      </w:pPr>
      <w:r>
        <w:t xml:space="preserve">按照《中华人民共和国政府采购法》、中华人民共和国 </w:t>
      </w:r>
      <w:r>
        <w:rPr>
          <w:rFonts w:ascii="Times New Roman" w:eastAsia="Times New Roman"/>
        </w:rPr>
        <w:t xml:space="preserve">2015 </w:t>
      </w:r>
      <w:r>
        <w:t xml:space="preserve">年第 </w:t>
      </w:r>
      <w:r>
        <w:rPr>
          <w:rFonts w:ascii="Times New Roman" w:eastAsia="Times New Roman"/>
        </w:rPr>
        <w:t xml:space="preserve">658 </w:t>
      </w:r>
      <w:r>
        <w:t>号国务院令</w:t>
      </w:r>
      <w:r>
        <w:rPr>
          <w:rFonts w:ascii="Times New Roman" w:eastAsia="Times New Roman"/>
        </w:rPr>
        <w:t>--</w:t>
      </w:r>
      <w:r>
        <w:t>《中华人民共和国</w:t>
      </w:r>
    </w:p>
    <w:p>
      <w:pPr>
        <w:pStyle w:val="12"/>
        <w:spacing w:before="170" w:line="393" w:lineRule="auto"/>
        <w:ind w:left="337" w:right="329"/>
      </w:pPr>
      <w:r>
        <w:rPr>
          <w:spacing w:val="-8"/>
        </w:rPr>
        <w:t xml:space="preserve">政府采购法实施条例》和中华人民共和国财政部 </w:t>
      </w:r>
      <w:r>
        <w:rPr>
          <w:rFonts w:ascii="Times New Roman" w:eastAsia="Times New Roman"/>
        </w:rPr>
        <w:t xml:space="preserve">2017 </w:t>
      </w:r>
      <w:r>
        <w:rPr>
          <w:spacing w:val="-16"/>
        </w:rPr>
        <w:t xml:space="preserve">年第 </w:t>
      </w:r>
      <w:r>
        <w:rPr>
          <w:rFonts w:ascii="Times New Roman" w:eastAsia="Times New Roman"/>
        </w:rPr>
        <w:t xml:space="preserve">87 </w:t>
      </w:r>
      <w:r>
        <w:rPr>
          <w:spacing w:val="-2"/>
        </w:rPr>
        <w:t>号部长令</w:t>
      </w:r>
      <w:r>
        <w:rPr>
          <w:rFonts w:ascii="Times New Roman" w:eastAsia="Times New Roman"/>
          <w:spacing w:val="-16"/>
        </w:rPr>
        <w:t>--</w:t>
      </w:r>
      <w:r>
        <w:rPr>
          <w:spacing w:val="-3"/>
        </w:rPr>
        <w:t>《政府采购货物和服务招标投标管理办法》的规定，本次评标采用综合评分法，即在最大限度地满足招标文件实质性要求前提下，按照招标文件中规定的各项因素和相应的权重分值进行综合评审后，以总得分最高的投标人作为中标候选投标人并依次排序。</w:t>
      </w:r>
    </w:p>
    <w:p>
      <w:pPr>
        <w:spacing w:before="0" w:line="285" w:lineRule="exact"/>
        <w:ind w:left="337" w:right="0" w:firstLine="0"/>
        <w:jc w:val="left"/>
        <w:rPr>
          <w:sz w:val="21"/>
        </w:rPr>
      </w:pPr>
      <w:r>
        <w:rPr>
          <w:b/>
          <w:sz w:val="28"/>
        </w:rPr>
        <w:t>二、评标程序</w:t>
      </w:r>
      <w:r>
        <w:rPr>
          <w:sz w:val="21"/>
        </w:rPr>
        <w:t>（</w:t>
      </w:r>
      <w:r>
        <w:rPr>
          <w:b/>
          <w:sz w:val="21"/>
        </w:rPr>
        <w:t>本项目评标顺序按照标段编号顺序进行评标。</w:t>
      </w:r>
      <w:r>
        <w:rPr>
          <w:sz w:val="21"/>
        </w:rPr>
        <w:t>）</w:t>
      </w:r>
    </w:p>
    <w:p>
      <w:pPr>
        <w:pStyle w:val="11"/>
        <w:spacing w:before="151"/>
        <w:ind w:left="750"/>
      </w:pPr>
      <w:r>
        <w:rPr>
          <w:rFonts w:ascii="Times New Roman" w:eastAsia="Times New Roman"/>
        </w:rPr>
        <w:t>1.</w:t>
      </w:r>
      <w:r>
        <w:t>资格审查</w:t>
      </w:r>
    </w:p>
    <w:p>
      <w:pPr>
        <w:pStyle w:val="12"/>
        <w:spacing w:before="171" w:line="393" w:lineRule="auto"/>
        <w:ind w:left="337" w:right="424" w:firstLine="413"/>
      </w:pPr>
      <w:r>
        <w:t>开标结束后，由采购人或者采购代理机构依法对投标人的资格进行审查，审查合格的投标人方可进入评标阶段，不合格的投标人其投标无效。</w:t>
      </w:r>
    </w:p>
    <w:p>
      <w:pPr>
        <w:pStyle w:val="11"/>
        <w:spacing w:line="267" w:lineRule="exact"/>
        <w:ind w:left="750"/>
      </w:pPr>
      <w:r>
        <w:rPr>
          <w:rFonts w:ascii="Times New Roman" w:eastAsia="Times New Roman"/>
        </w:rPr>
        <w:t>2</w:t>
      </w:r>
      <w:r>
        <w:t>、评标</w:t>
      </w:r>
    </w:p>
    <w:p>
      <w:pPr>
        <w:pStyle w:val="22"/>
        <w:numPr>
          <w:ilvl w:val="1"/>
          <w:numId w:val="22"/>
        </w:numPr>
        <w:tabs>
          <w:tab w:val="left" w:pos="1031"/>
        </w:tabs>
        <w:spacing w:before="170" w:after="0" w:line="240" w:lineRule="auto"/>
        <w:ind w:left="1030" w:right="0" w:hanging="281"/>
        <w:jc w:val="left"/>
        <w:rPr>
          <w:sz w:val="21"/>
        </w:rPr>
      </w:pPr>
      <w:r>
        <w:rPr>
          <w:spacing w:val="-1"/>
          <w:sz w:val="21"/>
        </w:rPr>
        <w:t>、评标委员会</w:t>
      </w:r>
    </w:p>
    <w:p>
      <w:pPr>
        <w:pStyle w:val="22"/>
        <w:numPr>
          <w:ilvl w:val="0"/>
          <w:numId w:val="23"/>
        </w:numPr>
        <w:tabs>
          <w:tab w:val="left" w:pos="1278"/>
        </w:tabs>
        <w:spacing w:before="172" w:after="0" w:line="391" w:lineRule="auto"/>
        <w:ind w:left="337" w:right="328" w:firstLine="413"/>
        <w:jc w:val="left"/>
        <w:rPr>
          <w:sz w:val="21"/>
        </w:rPr>
      </w:pPr>
      <w:r>
        <w:rPr>
          <w:spacing w:val="-3"/>
          <w:sz w:val="21"/>
        </w:rPr>
        <w:t>采购代理机构根据《中华人民共和国政府采购法》及其实施条例、《政府采购货物和服务招标投标管理办法》（</w:t>
      </w:r>
      <w:r>
        <w:rPr>
          <w:spacing w:val="-12"/>
          <w:sz w:val="21"/>
        </w:rPr>
        <w:t xml:space="preserve">财政部令第 </w:t>
      </w:r>
      <w:r>
        <w:rPr>
          <w:rFonts w:ascii="Times New Roman" w:eastAsia="Times New Roman"/>
          <w:sz w:val="21"/>
        </w:rPr>
        <w:t>87</w:t>
      </w:r>
      <w:r>
        <w:rPr>
          <w:rFonts w:ascii="Times New Roman" w:eastAsia="Times New Roman"/>
          <w:spacing w:val="-3"/>
          <w:sz w:val="21"/>
        </w:rPr>
        <w:t xml:space="preserve"> </w:t>
      </w:r>
      <w:r>
        <w:rPr>
          <w:sz w:val="21"/>
        </w:rPr>
        <w:t>号</w:t>
      </w:r>
      <w:r>
        <w:rPr>
          <w:spacing w:val="-3"/>
          <w:sz w:val="21"/>
        </w:rPr>
        <w:t>）等规定，依法组建评标委员会。</w:t>
      </w:r>
    </w:p>
    <w:p>
      <w:pPr>
        <w:pStyle w:val="22"/>
        <w:numPr>
          <w:ilvl w:val="0"/>
          <w:numId w:val="23"/>
        </w:numPr>
        <w:tabs>
          <w:tab w:val="left" w:pos="1280"/>
        </w:tabs>
        <w:spacing w:before="2" w:after="0" w:line="240" w:lineRule="auto"/>
        <w:ind w:left="1279" w:right="0" w:hanging="530"/>
        <w:jc w:val="left"/>
        <w:rPr>
          <w:sz w:val="21"/>
        </w:rPr>
      </w:pPr>
      <w:r>
        <w:rPr>
          <w:spacing w:val="-3"/>
          <w:sz w:val="21"/>
        </w:rPr>
        <w:t>采购人派代表进入评标委员会时，须向采购代理机构出具授权函。</w:t>
      </w:r>
    </w:p>
    <w:p>
      <w:pPr>
        <w:pStyle w:val="22"/>
        <w:numPr>
          <w:ilvl w:val="0"/>
          <w:numId w:val="23"/>
        </w:numPr>
        <w:tabs>
          <w:tab w:val="left" w:pos="1280"/>
        </w:tabs>
        <w:spacing w:before="172" w:after="0" w:line="391" w:lineRule="auto"/>
        <w:ind w:left="337" w:right="328" w:firstLine="413"/>
        <w:jc w:val="left"/>
        <w:rPr>
          <w:sz w:val="21"/>
        </w:rPr>
      </w:pPr>
      <w:r>
        <w:rPr>
          <w:spacing w:val="-3"/>
          <w:sz w:val="21"/>
        </w:rPr>
        <w:t>评标委员会应推荐一名评审专家担任评审组长，并由评审组长牵头组织该项目评审工作，采购人代表不得担任评审组长。</w:t>
      </w:r>
    </w:p>
    <w:p>
      <w:pPr>
        <w:pStyle w:val="22"/>
        <w:numPr>
          <w:ilvl w:val="0"/>
          <w:numId w:val="23"/>
        </w:numPr>
        <w:tabs>
          <w:tab w:val="left" w:pos="1280"/>
        </w:tabs>
        <w:spacing w:before="2" w:after="0" w:line="240" w:lineRule="auto"/>
        <w:ind w:left="1279" w:right="0" w:hanging="530"/>
        <w:jc w:val="left"/>
        <w:rPr>
          <w:sz w:val="21"/>
        </w:rPr>
      </w:pPr>
      <w:r>
        <w:rPr>
          <w:spacing w:val="-3"/>
          <w:sz w:val="21"/>
        </w:rPr>
        <w:t>评标委员会成员不得参加开标活动。</w:t>
      </w:r>
    </w:p>
    <w:p>
      <w:pPr>
        <w:pStyle w:val="22"/>
        <w:numPr>
          <w:ilvl w:val="0"/>
          <w:numId w:val="23"/>
        </w:numPr>
        <w:tabs>
          <w:tab w:val="left" w:pos="1280"/>
        </w:tabs>
        <w:spacing w:before="172" w:after="0" w:line="240" w:lineRule="auto"/>
        <w:ind w:left="1279" w:right="0" w:hanging="530"/>
        <w:jc w:val="left"/>
        <w:rPr>
          <w:sz w:val="21"/>
        </w:rPr>
      </w:pPr>
      <w:r>
        <w:rPr>
          <w:spacing w:val="-3"/>
          <w:sz w:val="21"/>
        </w:rPr>
        <w:t>评标委员会成员应当遵守并履行下列职责义务：</w:t>
      </w:r>
    </w:p>
    <w:p>
      <w:pPr>
        <w:pStyle w:val="12"/>
        <w:spacing w:before="170" w:line="391" w:lineRule="auto"/>
        <w:ind w:left="337" w:right="333" w:firstLine="413"/>
      </w:pPr>
      <w:r>
        <w:rPr>
          <w:rFonts w:ascii="Times New Roman" w:eastAsia="Times New Roman"/>
        </w:rPr>
        <w:t>a</w:t>
      </w:r>
      <w:r>
        <w:t>、遵纪守法，客观、公正、认真负责地履行职责，根据招标文件规定的评标程序、评标方法和评标标准审查投标文件；</w:t>
      </w:r>
    </w:p>
    <w:p>
      <w:pPr>
        <w:pStyle w:val="12"/>
        <w:spacing w:before="4" w:line="391" w:lineRule="auto"/>
        <w:ind w:left="750" w:right="2446"/>
      </w:pPr>
      <w:r>
        <w:rPr>
          <w:rFonts w:ascii="Times New Roman" w:eastAsia="Times New Roman"/>
        </w:rPr>
        <w:t>b</w:t>
      </w:r>
      <w:r>
        <w:rPr>
          <w:spacing w:val="-3"/>
        </w:rPr>
        <w:t xml:space="preserve">、符合性审查、评价投标文件是否符合招标文件的商务、技术等实质性要求； </w:t>
      </w:r>
      <w:r>
        <w:rPr>
          <w:rFonts w:ascii="Times New Roman" w:eastAsia="Times New Roman"/>
          <w:spacing w:val="-3"/>
        </w:rPr>
        <w:t>c</w:t>
      </w:r>
      <w:r>
        <w:rPr>
          <w:spacing w:val="-3"/>
        </w:rPr>
        <w:t>、要求投标人对投标文件有关事项作出澄清或者说明；</w:t>
      </w:r>
    </w:p>
    <w:p>
      <w:pPr>
        <w:pStyle w:val="12"/>
        <w:spacing w:before="1"/>
        <w:ind w:left="750"/>
      </w:pPr>
      <w:r>
        <w:rPr>
          <w:rFonts w:ascii="Times New Roman" w:eastAsia="Times New Roman"/>
        </w:rPr>
        <w:t>d</w:t>
      </w:r>
      <w:r>
        <w:t>、对投标文件进行比较和评价；</w:t>
      </w:r>
    </w:p>
    <w:p>
      <w:pPr>
        <w:pStyle w:val="12"/>
        <w:spacing w:before="173"/>
        <w:ind w:left="750"/>
      </w:pPr>
      <w:r>
        <w:rPr>
          <w:rFonts w:ascii="Times New Roman" w:eastAsia="Times New Roman"/>
        </w:rPr>
        <w:t>e</w:t>
      </w:r>
      <w:r>
        <w:t>、确定中标候选人名单，以及根据采购人委托直接确定中标人；</w:t>
      </w:r>
    </w:p>
    <w:p>
      <w:pPr>
        <w:pStyle w:val="12"/>
        <w:spacing w:before="171" w:line="391" w:lineRule="auto"/>
        <w:ind w:left="750" w:right="3149"/>
      </w:pPr>
      <w:r>
        <w:rPr>
          <w:rFonts w:ascii="Times New Roman" w:eastAsia="Times New Roman"/>
        </w:rPr>
        <w:t>f</w:t>
      </w:r>
      <w:r>
        <w:rPr>
          <w:spacing w:val="-3"/>
        </w:rPr>
        <w:t xml:space="preserve">、向采购人、采购代理机构或者有关部门报告评标中发现的违法行为； </w:t>
      </w:r>
      <w:r>
        <w:rPr>
          <w:rFonts w:ascii="Times New Roman" w:eastAsia="Times New Roman"/>
          <w:spacing w:val="-3"/>
        </w:rPr>
        <w:t>g</w:t>
      </w:r>
      <w:r>
        <w:rPr>
          <w:spacing w:val="-3"/>
        </w:rPr>
        <w:t>、对评标过程及各投标人的商业机密予以保密；</w:t>
      </w:r>
    </w:p>
    <w:p>
      <w:pPr>
        <w:pStyle w:val="12"/>
        <w:spacing w:before="3" w:line="391" w:lineRule="auto"/>
        <w:ind w:left="750" w:right="4313"/>
      </w:pPr>
      <w:r>
        <w:rPr>
          <w:rFonts w:ascii="Times New Roman" w:eastAsia="Times New Roman"/>
        </w:rPr>
        <w:t>h</w:t>
      </w:r>
      <w:r>
        <w:rPr>
          <w:spacing w:val="-3"/>
        </w:rPr>
        <w:t xml:space="preserve">、配合采购人、采购代理机构答复各投标人提出的质疑； </w:t>
      </w:r>
      <w:r>
        <w:rPr>
          <w:rFonts w:ascii="Times New Roman" w:eastAsia="Times New Roman"/>
          <w:spacing w:val="-3"/>
        </w:rPr>
        <w:t>i</w:t>
      </w:r>
      <w:r>
        <w:rPr>
          <w:spacing w:val="-3"/>
        </w:rPr>
        <w:t>、配合各部门的投诉处理和监督检查工作。</w:t>
      </w:r>
    </w:p>
    <w:p>
      <w:pPr>
        <w:pStyle w:val="22"/>
        <w:numPr>
          <w:ilvl w:val="1"/>
          <w:numId w:val="22"/>
        </w:numPr>
        <w:tabs>
          <w:tab w:val="left" w:pos="1031"/>
        </w:tabs>
        <w:spacing w:before="1" w:after="0" w:line="240" w:lineRule="auto"/>
        <w:ind w:left="1030" w:right="0" w:hanging="281"/>
        <w:jc w:val="left"/>
        <w:rPr>
          <w:sz w:val="21"/>
        </w:rPr>
      </w:pPr>
      <w:r>
        <w:rPr>
          <w:spacing w:val="-3"/>
          <w:sz w:val="21"/>
        </w:rPr>
        <w:t>、在政府采购活动中，采购人员及相关人员</w:t>
      </w:r>
      <w:r>
        <w:rPr>
          <w:sz w:val="21"/>
        </w:rPr>
        <w:t>（</w:t>
      </w:r>
      <w:r>
        <w:rPr>
          <w:spacing w:val="-3"/>
          <w:sz w:val="21"/>
        </w:rPr>
        <w:t>包括评标委员会）与投标人有下列利害关系之一的，</w:t>
      </w:r>
    </w:p>
    <w:p>
      <w:pPr>
        <w:spacing w:after="0" w:line="240" w:lineRule="auto"/>
        <w:jc w:val="left"/>
        <w:rPr>
          <w:sz w:val="21"/>
        </w:rPr>
        <w:sectPr>
          <w:type w:val="continuous"/>
          <w:pgSz w:w="11910" w:h="16840"/>
          <w:pgMar w:top="1580" w:right="740" w:bottom="280" w:left="740" w:header="720" w:footer="720" w:gutter="0"/>
        </w:sectPr>
      </w:pPr>
    </w:p>
    <w:p>
      <w:pPr>
        <w:pStyle w:val="12"/>
        <w:spacing w:before="4"/>
        <w:rPr>
          <w:sz w:val="11"/>
        </w:rPr>
      </w:pPr>
    </w:p>
    <w:p>
      <w:pPr>
        <w:pStyle w:val="12"/>
        <w:spacing w:before="72"/>
        <w:ind w:left="337"/>
      </w:pPr>
      <w:r>
        <w:t>应当回避：</w:t>
      </w:r>
    </w:p>
    <w:p>
      <w:pPr>
        <w:pStyle w:val="22"/>
        <w:numPr>
          <w:ilvl w:val="0"/>
          <w:numId w:val="24"/>
        </w:numPr>
        <w:tabs>
          <w:tab w:val="left" w:pos="1280"/>
        </w:tabs>
        <w:spacing w:before="171" w:after="0" w:line="240" w:lineRule="auto"/>
        <w:ind w:left="1279" w:right="0" w:hanging="530"/>
        <w:jc w:val="left"/>
        <w:rPr>
          <w:sz w:val="21"/>
        </w:rPr>
      </w:pPr>
      <w:r>
        <w:rPr>
          <w:spacing w:val="-10"/>
          <w:sz w:val="21"/>
        </w:rPr>
        <w:t xml:space="preserve">参加采购活动前 </w:t>
      </w:r>
      <w:r>
        <w:rPr>
          <w:rFonts w:ascii="Times New Roman" w:eastAsia="Times New Roman"/>
          <w:sz w:val="21"/>
        </w:rPr>
        <w:t>3</w:t>
      </w:r>
      <w:r>
        <w:rPr>
          <w:rFonts w:ascii="Times New Roman" w:eastAsia="Times New Roman"/>
          <w:spacing w:val="-3"/>
          <w:sz w:val="21"/>
        </w:rPr>
        <w:t xml:space="preserve"> </w:t>
      </w:r>
      <w:r>
        <w:rPr>
          <w:spacing w:val="-3"/>
          <w:sz w:val="21"/>
        </w:rPr>
        <w:t>年内与投标人存在劳动关系；</w:t>
      </w:r>
    </w:p>
    <w:p>
      <w:pPr>
        <w:pStyle w:val="22"/>
        <w:numPr>
          <w:ilvl w:val="0"/>
          <w:numId w:val="24"/>
        </w:numPr>
        <w:tabs>
          <w:tab w:val="left" w:pos="1280"/>
        </w:tabs>
        <w:spacing w:before="172" w:after="0" w:line="240" w:lineRule="auto"/>
        <w:ind w:left="1279" w:right="0" w:hanging="530"/>
        <w:jc w:val="left"/>
        <w:rPr>
          <w:sz w:val="21"/>
        </w:rPr>
      </w:pPr>
      <w:r>
        <w:rPr>
          <w:spacing w:val="-10"/>
          <w:sz w:val="21"/>
        </w:rPr>
        <w:t xml:space="preserve">参加采购活动前 </w:t>
      </w:r>
      <w:r>
        <w:rPr>
          <w:rFonts w:ascii="Times New Roman" w:eastAsia="Times New Roman"/>
          <w:sz w:val="21"/>
        </w:rPr>
        <w:t>3</w:t>
      </w:r>
      <w:r>
        <w:rPr>
          <w:rFonts w:ascii="Times New Roman" w:eastAsia="Times New Roman"/>
          <w:spacing w:val="-3"/>
          <w:sz w:val="21"/>
        </w:rPr>
        <w:t xml:space="preserve"> </w:t>
      </w:r>
      <w:r>
        <w:rPr>
          <w:spacing w:val="-3"/>
          <w:sz w:val="21"/>
        </w:rPr>
        <w:t>年内担任投标人的董事、监事；</w:t>
      </w:r>
    </w:p>
    <w:p>
      <w:pPr>
        <w:pStyle w:val="22"/>
        <w:numPr>
          <w:ilvl w:val="0"/>
          <w:numId w:val="24"/>
        </w:numPr>
        <w:tabs>
          <w:tab w:val="left" w:pos="1280"/>
        </w:tabs>
        <w:spacing w:before="170" w:after="0" w:line="240" w:lineRule="auto"/>
        <w:ind w:left="1279" w:right="0" w:hanging="530"/>
        <w:jc w:val="left"/>
        <w:rPr>
          <w:sz w:val="21"/>
        </w:rPr>
      </w:pPr>
      <w:r>
        <w:rPr>
          <w:spacing w:val="-10"/>
          <w:sz w:val="21"/>
        </w:rPr>
        <w:t xml:space="preserve">参加采购活动前 </w:t>
      </w:r>
      <w:r>
        <w:rPr>
          <w:rFonts w:ascii="Times New Roman" w:eastAsia="Times New Roman"/>
          <w:sz w:val="21"/>
        </w:rPr>
        <w:t>3</w:t>
      </w:r>
      <w:r>
        <w:rPr>
          <w:rFonts w:ascii="Times New Roman" w:eastAsia="Times New Roman"/>
          <w:spacing w:val="-3"/>
          <w:sz w:val="21"/>
        </w:rPr>
        <w:t xml:space="preserve"> </w:t>
      </w:r>
      <w:r>
        <w:rPr>
          <w:spacing w:val="-3"/>
          <w:sz w:val="21"/>
        </w:rPr>
        <w:t>年内是投标人的控股股东或者实际控制人；</w:t>
      </w:r>
    </w:p>
    <w:p>
      <w:pPr>
        <w:pStyle w:val="22"/>
        <w:numPr>
          <w:ilvl w:val="0"/>
          <w:numId w:val="24"/>
        </w:numPr>
        <w:tabs>
          <w:tab w:val="left" w:pos="1280"/>
        </w:tabs>
        <w:spacing w:before="170" w:after="0" w:line="240" w:lineRule="auto"/>
        <w:ind w:left="1279" w:right="0" w:hanging="530"/>
        <w:jc w:val="left"/>
        <w:rPr>
          <w:sz w:val="21"/>
        </w:rPr>
      </w:pPr>
      <w:r>
        <w:rPr>
          <w:spacing w:val="-3"/>
          <w:sz w:val="21"/>
        </w:rPr>
        <w:t>与投标人的法定代表人或者负责人有夫妻、直系血亲、三代以内旁系血亲或者近姻亲关系；</w:t>
      </w:r>
    </w:p>
    <w:p>
      <w:pPr>
        <w:pStyle w:val="22"/>
        <w:numPr>
          <w:ilvl w:val="0"/>
          <w:numId w:val="24"/>
        </w:numPr>
        <w:tabs>
          <w:tab w:val="left" w:pos="1280"/>
        </w:tabs>
        <w:spacing w:before="173" w:after="0" w:line="240" w:lineRule="auto"/>
        <w:ind w:left="1279" w:right="0" w:hanging="530"/>
        <w:jc w:val="left"/>
        <w:rPr>
          <w:sz w:val="21"/>
        </w:rPr>
      </w:pPr>
      <w:r>
        <w:rPr>
          <w:spacing w:val="-3"/>
          <w:sz w:val="21"/>
        </w:rPr>
        <w:t>与投标人有其他可能影响政府采购活动公平、公正进行的关系。</w:t>
      </w:r>
    </w:p>
    <w:p>
      <w:pPr>
        <w:pStyle w:val="22"/>
        <w:numPr>
          <w:ilvl w:val="1"/>
          <w:numId w:val="22"/>
        </w:numPr>
        <w:tabs>
          <w:tab w:val="left" w:pos="1031"/>
        </w:tabs>
        <w:spacing w:before="170" w:after="0" w:line="240" w:lineRule="auto"/>
        <w:ind w:left="1030" w:right="0" w:hanging="281"/>
        <w:jc w:val="left"/>
        <w:rPr>
          <w:sz w:val="21"/>
        </w:rPr>
      </w:pPr>
      <w:r>
        <w:rPr>
          <w:spacing w:val="-3"/>
          <w:sz w:val="21"/>
        </w:rPr>
        <w:t>、评标原则：坚持公平、公正、科学、择优原则，禁止不正当竞争。</w:t>
      </w:r>
    </w:p>
    <w:p>
      <w:pPr>
        <w:pStyle w:val="22"/>
        <w:numPr>
          <w:ilvl w:val="1"/>
          <w:numId w:val="22"/>
        </w:numPr>
        <w:tabs>
          <w:tab w:val="left" w:pos="1031"/>
        </w:tabs>
        <w:spacing w:before="170" w:after="0" w:line="240" w:lineRule="auto"/>
        <w:ind w:left="1030" w:right="0" w:hanging="281"/>
        <w:jc w:val="left"/>
        <w:rPr>
          <w:sz w:val="21"/>
        </w:rPr>
      </w:pPr>
      <w:r>
        <w:rPr>
          <w:spacing w:val="-3"/>
          <w:sz w:val="21"/>
        </w:rPr>
        <w:t>、评标办法：本次招标采用综合评分法</w:t>
      </w:r>
      <w:r>
        <w:rPr>
          <w:sz w:val="21"/>
        </w:rPr>
        <w:t>（</w:t>
      </w:r>
      <w:r>
        <w:rPr>
          <w:spacing w:val="-3"/>
          <w:sz w:val="21"/>
        </w:rPr>
        <w:t>详见本节评分标准</w:t>
      </w:r>
      <w:r>
        <w:rPr>
          <w:sz w:val="21"/>
        </w:rPr>
        <w:t>）。</w:t>
      </w:r>
    </w:p>
    <w:p>
      <w:pPr>
        <w:pStyle w:val="22"/>
        <w:numPr>
          <w:ilvl w:val="1"/>
          <w:numId w:val="22"/>
        </w:numPr>
        <w:tabs>
          <w:tab w:val="left" w:pos="1031"/>
        </w:tabs>
        <w:spacing w:before="173" w:after="0" w:line="240" w:lineRule="auto"/>
        <w:ind w:left="1030" w:right="0" w:hanging="281"/>
        <w:jc w:val="left"/>
        <w:rPr>
          <w:sz w:val="21"/>
        </w:rPr>
      </w:pPr>
      <w:r>
        <w:rPr>
          <w:spacing w:val="-3"/>
          <w:sz w:val="21"/>
        </w:rPr>
        <w:t>、评标工作程序：符合性审查、澄清、评价、推荐中标候选人的工作程序进行评标。</w:t>
      </w:r>
    </w:p>
    <w:p>
      <w:pPr>
        <w:pStyle w:val="22"/>
        <w:numPr>
          <w:ilvl w:val="2"/>
          <w:numId w:val="22"/>
        </w:numPr>
        <w:tabs>
          <w:tab w:val="left" w:pos="1206"/>
        </w:tabs>
        <w:spacing w:before="171" w:after="0" w:line="240" w:lineRule="auto"/>
        <w:ind w:left="1205" w:right="0" w:hanging="456"/>
        <w:jc w:val="left"/>
        <w:rPr>
          <w:sz w:val="21"/>
        </w:rPr>
      </w:pPr>
      <w:r>
        <w:rPr>
          <w:spacing w:val="-3"/>
          <w:sz w:val="21"/>
        </w:rPr>
        <w:t>、投标文件符合性审查</w:t>
      </w:r>
    </w:p>
    <w:p>
      <w:pPr>
        <w:pStyle w:val="12"/>
        <w:spacing w:before="170" w:line="393" w:lineRule="auto"/>
        <w:ind w:left="337" w:right="424" w:firstLine="413"/>
      </w:pPr>
      <w:r>
        <w:t>依据招标文件的规定，对资格合格者投标文件的完整性、有效性和对招标文件的响应程度进行审查， 出现（包含但不限于）以下内容视为不通过符合性审查：</w:t>
      </w:r>
    </w:p>
    <w:p>
      <w:pPr>
        <w:pStyle w:val="22"/>
        <w:numPr>
          <w:ilvl w:val="0"/>
          <w:numId w:val="25"/>
        </w:numPr>
        <w:tabs>
          <w:tab w:val="left" w:pos="1280"/>
        </w:tabs>
        <w:spacing w:before="0" w:after="0" w:line="267" w:lineRule="exact"/>
        <w:ind w:left="1279" w:right="0" w:hanging="530"/>
        <w:jc w:val="left"/>
        <w:rPr>
          <w:sz w:val="21"/>
        </w:rPr>
      </w:pPr>
      <w:r>
        <w:rPr>
          <w:spacing w:val="-3"/>
          <w:sz w:val="21"/>
        </w:rPr>
        <w:t>除明确允许投标人可以自行编写的外，投标文件未按照招标文件要求的格式编制；</w:t>
      </w:r>
    </w:p>
    <w:p>
      <w:pPr>
        <w:pStyle w:val="22"/>
        <w:numPr>
          <w:ilvl w:val="0"/>
          <w:numId w:val="25"/>
        </w:numPr>
        <w:tabs>
          <w:tab w:val="left" w:pos="1280"/>
        </w:tabs>
        <w:spacing w:before="170" w:after="0" w:line="240" w:lineRule="auto"/>
        <w:ind w:left="1279" w:right="0" w:hanging="530"/>
        <w:jc w:val="left"/>
        <w:rPr>
          <w:sz w:val="21"/>
        </w:rPr>
      </w:pPr>
      <w:r>
        <w:rPr>
          <w:spacing w:val="-3"/>
          <w:sz w:val="21"/>
        </w:rPr>
        <w:t>投标文件未按照招标文件要求的方式装订、盖章签字；</w:t>
      </w:r>
    </w:p>
    <w:p>
      <w:pPr>
        <w:pStyle w:val="22"/>
        <w:numPr>
          <w:ilvl w:val="0"/>
          <w:numId w:val="25"/>
        </w:numPr>
        <w:tabs>
          <w:tab w:val="left" w:pos="1280"/>
        </w:tabs>
        <w:spacing w:before="172" w:after="0" w:line="240" w:lineRule="auto"/>
        <w:ind w:left="1279" w:right="0" w:hanging="530"/>
        <w:jc w:val="left"/>
        <w:rPr>
          <w:sz w:val="21"/>
        </w:rPr>
      </w:pPr>
      <w:r>
        <w:rPr>
          <w:spacing w:val="-3"/>
          <w:sz w:val="21"/>
        </w:rPr>
        <w:t>投标文件内容有重大缺漏项；</w:t>
      </w:r>
    </w:p>
    <w:p>
      <w:pPr>
        <w:pStyle w:val="22"/>
        <w:numPr>
          <w:ilvl w:val="0"/>
          <w:numId w:val="25"/>
        </w:numPr>
        <w:tabs>
          <w:tab w:val="left" w:pos="1280"/>
        </w:tabs>
        <w:spacing w:before="170" w:after="0" w:line="240" w:lineRule="auto"/>
        <w:ind w:left="1279" w:right="0" w:hanging="530"/>
        <w:jc w:val="left"/>
        <w:rPr>
          <w:sz w:val="21"/>
        </w:rPr>
      </w:pPr>
      <w:r>
        <w:rPr>
          <w:spacing w:val="-3"/>
          <w:sz w:val="21"/>
        </w:rPr>
        <w:t>投标报价超过采购预算或最高限价；非唯一报价；不合理报价；</w:t>
      </w:r>
    </w:p>
    <w:p>
      <w:pPr>
        <w:pStyle w:val="22"/>
        <w:numPr>
          <w:ilvl w:val="0"/>
          <w:numId w:val="25"/>
        </w:numPr>
        <w:tabs>
          <w:tab w:val="left" w:pos="1280"/>
        </w:tabs>
        <w:spacing w:before="171" w:after="0" w:line="240" w:lineRule="auto"/>
        <w:ind w:left="1279" w:right="0" w:hanging="530"/>
        <w:jc w:val="left"/>
        <w:rPr>
          <w:sz w:val="21"/>
        </w:rPr>
      </w:pPr>
      <w:r>
        <w:rPr>
          <w:spacing w:val="-2"/>
          <w:sz w:val="21"/>
        </w:rPr>
        <w:t>对招标文件商务要求、技术要求未作明确且实质性响应；对不得偏离的要求未作出实质性响应；</w:t>
      </w:r>
    </w:p>
    <w:p>
      <w:pPr>
        <w:pStyle w:val="12"/>
        <w:spacing w:before="5"/>
        <w:ind w:left="750"/>
      </w:pPr>
    </w:p>
    <w:p>
      <w:pPr>
        <w:pStyle w:val="11"/>
        <w:spacing w:before="170" w:line="391" w:lineRule="auto"/>
        <w:ind w:left="337" w:right="329" w:firstLine="413"/>
      </w:pPr>
      <w:r>
        <w:rPr>
          <w:spacing w:val="-7"/>
        </w:rPr>
        <w:t xml:space="preserve">注：若投标文件中未对不合理报价进行说明，评标委员会应按照下文 </w:t>
      </w:r>
      <w:r>
        <w:t>2-5-2</w:t>
      </w:r>
      <w:r>
        <w:rPr>
          <w:spacing w:val="-31"/>
        </w:rPr>
        <w:t xml:space="preserve"> 中</w:t>
      </w:r>
      <w:r>
        <w:rPr>
          <w:spacing w:val="-5"/>
        </w:rPr>
        <w:t>（3）</w:t>
      </w:r>
      <w:r>
        <w:rPr>
          <w:spacing w:val="-2"/>
        </w:rPr>
        <w:t>要求投标人提供相</w:t>
      </w:r>
      <w:r>
        <w:t>关资料。</w:t>
      </w:r>
    </w:p>
    <w:p>
      <w:pPr>
        <w:pStyle w:val="22"/>
        <w:numPr>
          <w:ilvl w:val="2"/>
          <w:numId w:val="22"/>
        </w:numPr>
        <w:tabs>
          <w:tab w:val="left" w:pos="1206"/>
        </w:tabs>
        <w:spacing w:before="4" w:after="0" w:line="240" w:lineRule="auto"/>
        <w:ind w:left="1205" w:right="0" w:hanging="456"/>
        <w:jc w:val="left"/>
        <w:rPr>
          <w:sz w:val="21"/>
        </w:rPr>
      </w:pPr>
      <w:r>
        <w:rPr>
          <w:spacing w:val="-3"/>
          <w:sz w:val="21"/>
        </w:rPr>
        <w:t>、投标文件的澄清：</w:t>
      </w:r>
    </w:p>
    <w:p>
      <w:pPr>
        <w:pStyle w:val="22"/>
        <w:numPr>
          <w:ilvl w:val="0"/>
          <w:numId w:val="26"/>
        </w:numPr>
        <w:tabs>
          <w:tab w:val="left" w:pos="1280"/>
        </w:tabs>
        <w:spacing w:before="170" w:after="0" w:line="393" w:lineRule="auto"/>
        <w:ind w:left="337" w:right="328" w:firstLine="413"/>
        <w:jc w:val="left"/>
        <w:rPr>
          <w:sz w:val="21"/>
        </w:rPr>
      </w:pPr>
      <w:r>
        <w:rPr>
          <w:spacing w:val="-4"/>
          <w:sz w:val="21"/>
        </w:rPr>
        <w:t>对于投标文件中含义不明确、同类问题表述不一致或者有明显文字和计算错误的内容，评标委员</w:t>
      </w:r>
      <w:r>
        <w:rPr>
          <w:spacing w:val="-3"/>
          <w:sz w:val="21"/>
        </w:rPr>
        <w:t>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pStyle w:val="22"/>
        <w:numPr>
          <w:ilvl w:val="0"/>
          <w:numId w:val="26"/>
        </w:numPr>
        <w:tabs>
          <w:tab w:val="left" w:pos="1280"/>
        </w:tabs>
        <w:spacing w:before="0" w:after="0" w:line="264" w:lineRule="exact"/>
        <w:ind w:left="1279" w:right="0" w:hanging="530"/>
        <w:jc w:val="left"/>
        <w:rPr>
          <w:sz w:val="21"/>
        </w:rPr>
      </w:pPr>
      <w:r>
        <w:rPr>
          <w:spacing w:val="-3"/>
          <w:sz w:val="21"/>
        </w:rPr>
        <w:t>书写错误的评审标准：</w:t>
      </w:r>
    </w:p>
    <w:p>
      <w:pPr>
        <w:pStyle w:val="12"/>
        <w:spacing w:before="172"/>
        <w:ind w:left="750"/>
      </w:pPr>
      <w:r>
        <w:t>评标委员会在评标过程中，发现投标文件出现下列情况之一者，按以下原则修正：</w:t>
      </w:r>
    </w:p>
    <w:p>
      <w:pPr>
        <w:pStyle w:val="12"/>
        <w:spacing w:before="170"/>
        <w:ind w:left="750"/>
      </w:pPr>
      <w:r>
        <w:rPr>
          <w:rFonts w:ascii="Times New Roman" w:hAnsi="Times New Roman" w:eastAsia="Times New Roman"/>
        </w:rPr>
        <w:t>a</w:t>
      </w:r>
      <w:r>
        <w:t>、投标文件有关内容与</w:t>
      </w:r>
      <w:r>
        <w:rPr>
          <w:rFonts w:ascii="Times New Roman" w:hAnsi="Times New Roman" w:eastAsia="Times New Roman"/>
        </w:rPr>
        <w:t>“</w:t>
      </w:r>
      <w:r>
        <w:t>开标一览表</w:t>
      </w:r>
      <w:r>
        <w:rPr>
          <w:rFonts w:ascii="Times New Roman" w:hAnsi="Times New Roman" w:eastAsia="Times New Roman"/>
        </w:rPr>
        <w:t>”</w:t>
      </w:r>
      <w:r>
        <w:t>不一致的，以</w:t>
      </w:r>
      <w:r>
        <w:rPr>
          <w:rFonts w:ascii="Times New Roman" w:hAnsi="Times New Roman" w:eastAsia="Times New Roman"/>
        </w:rPr>
        <w:t>“</w:t>
      </w:r>
      <w:r>
        <w:t>开标一览表</w:t>
      </w:r>
      <w:r>
        <w:rPr>
          <w:rFonts w:ascii="Times New Roman" w:hAnsi="Times New Roman" w:eastAsia="Times New Roman"/>
        </w:rPr>
        <w:t>”</w:t>
      </w:r>
      <w:r>
        <w:t>为准；</w:t>
      </w:r>
    </w:p>
    <w:p>
      <w:pPr>
        <w:pStyle w:val="12"/>
        <w:spacing w:before="10"/>
        <w:rPr>
          <w:sz w:val="10"/>
        </w:rPr>
      </w:pPr>
    </w:p>
    <w:p>
      <w:pPr>
        <w:pStyle w:val="12"/>
        <w:spacing w:before="79"/>
        <w:ind w:left="750"/>
      </w:pPr>
      <w:r>
        <w:rPr>
          <w:rFonts w:ascii="Times New Roman" w:eastAsia="Times New Roman"/>
        </w:rPr>
        <w:t>b</w:t>
      </w:r>
      <w:r>
        <w:t>、大写金额与小写金额不一致的，以大写金额为准；</w:t>
      </w:r>
    </w:p>
    <w:p>
      <w:pPr>
        <w:pStyle w:val="12"/>
        <w:spacing w:before="170" w:line="393" w:lineRule="auto"/>
        <w:ind w:left="750" w:right="1469"/>
      </w:pPr>
      <w:r>
        <w:rPr>
          <w:rFonts w:ascii="Times New Roman" w:hAnsi="Times New Roman" w:eastAsia="Times New Roman"/>
        </w:rPr>
        <w:t>c</w:t>
      </w:r>
      <w:r>
        <w:rPr>
          <w:spacing w:val="-3"/>
        </w:rPr>
        <w:t>、单价金额小数点或者百分比有明显错位的，以</w:t>
      </w:r>
      <w:r>
        <w:rPr>
          <w:rFonts w:ascii="Times New Roman" w:hAnsi="Times New Roman" w:eastAsia="Times New Roman"/>
          <w:spacing w:val="-3"/>
        </w:rPr>
        <w:t>“</w:t>
      </w:r>
      <w:r>
        <w:rPr>
          <w:spacing w:val="-3"/>
        </w:rPr>
        <w:t>开标一览表</w:t>
      </w:r>
      <w:r>
        <w:rPr>
          <w:rFonts w:ascii="Times New Roman" w:hAnsi="Times New Roman" w:eastAsia="Times New Roman"/>
          <w:spacing w:val="-3"/>
        </w:rPr>
        <w:t>”</w:t>
      </w:r>
      <w:r>
        <w:rPr>
          <w:spacing w:val="-3"/>
        </w:rPr>
        <w:t xml:space="preserve">的总价为准，并修改单价； </w:t>
      </w:r>
      <w:r>
        <w:rPr>
          <w:rFonts w:ascii="Times New Roman" w:hAnsi="Times New Roman" w:eastAsia="Times New Roman"/>
          <w:spacing w:val="-3"/>
        </w:rPr>
        <w:t>d</w:t>
      </w:r>
      <w:r>
        <w:rPr>
          <w:spacing w:val="-3"/>
        </w:rPr>
        <w:t>、总价金额与按单价汇总金额不一致的，以单价乘以数量的计算结果为准；</w:t>
      </w:r>
    </w:p>
    <w:p>
      <w:pPr>
        <w:pStyle w:val="12"/>
        <w:spacing w:line="391" w:lineRule="auto"/>
        <w:ind w:left="750" w:right="5379"/>
      </w:pPr>
      <w:r>
        <w:rPr>
          <w:rFonts w:ascii="Times New Roman" w:eastAsia="Times New Roman"/>
        </w:rPr>
        <w:t>e</w:t>
      </w:r>
      <w:r>
        <w:rPr>
          <w:spacing w:val="-3"/>
        </w:rPr>
        <w:t xml:space="preserve">、投标文件图表与文字不符时，以文字为准； </w:t>
      </w:r>
      <w:r>
        <w:rPr>
          <w:rFonts w:ascii="Times New Roman" w:eastAsia="Times New Roman"/>
          <w:spacing w:val="-3"/>
        </w:rPr>
        <w:t>f</w:t>
      </w:r>
      <w:r>
        <w:rPr>
          <w:spacing w:val="-3"/>
        </w:rPr>
        <w:t>、投标文件正本与副本不符时，以正本为准；</w:t>
      </w:r>
    </w:p>
    <w:p>
      <w:pPr>
        <w:pStyle w:val="12"/>
        <w:spacing w:before="2" w:line="391" w:lineRule="auto"/>
        <w:ind w:left="750" w:right="3473"/>
      </w:pPr>
      <w:r>
        <w:rPr>
          <w:rFonts w:ascii="Times New Roman" w:eastAsia="Times New Roman"/>
        </w:rPr>
        <w:t>g</w:t>
      </w:r>
      <w:r>
        <w:t xml:space="preserve">、对不同文字文本投标文件的解释发生异议的，以中文文本为准； </w:t>
      </w:r>
      <w:r>
        <w:rPr>
          <w:rFonts w:ascii="Times New Roman" w:eastAsia="Times New Roman"/>
        </w:rPr>
        <w:t>h</w:t>
      </w:r>
      <w:r>
        <w:t>、多处内容交叉不符时，以评标委员会评审结果为准。</w:t>
      </w:r>
    </w:p>
    <w:p>
      <w:pPr>
        <w:pStyle w:val="12"/>
        <w:spacing w:before="2"/>
        <w:ind w:left="750"/>
      </w:pPr>
      <w:r>
        <w:rPr>
          <w:rFonts w:ascii="Times New Roman" w:eastAsia="Times New Roman"/>
        </w:rPr>
        <w:t>i</w:t>
      </w:r>
      <w:r>
        <w:t>、电子</w:t>
      </w:r>
      <w:r>
        <w:rPr>
          <w:rFonts w:hint="eastAsia"/>
          <w:lang w:eastAsia="zh-CN"/>
        </w:rPr>
        <w:t>版</w:t>
      </w:r>
      <w:r>
        <w:t>投标文件与纸质版文件不符时，以纸质版文件为准。</w:t>
      </w:r>
    </w:p>
    <w:p>
      <w:pPr>
        <w:pStyle w:val="11"/>
        <w:spacing w:before="172" w:line="391" w:lineRule="auto"/>
        <w:ind w:left="337" w:right="332" w:firstLine="413"/>
      </w:pPr>
      <w:r>
        <w:rPr>
          <w:spacing w:val="-15"/>
        </w:rPr>
        <w:t>注：按上述方法修正的内容</w:t>
      </w:r>
      <w:r>
        <w:t>（</w:t>
      </w:r>
      <w:r>
        <w:rPr>
          <w:spacing w:val="-14"/>
        </w:rPr>
        <w:t xml:space="preserve">其中，同时出现上述 </w:t>
      </w:r>
      <w:r>
        <w:rPr>
          <w:rFonts w:ascii="Times New Roman" w:eastAsia="Times New Roman"/>
        </w:rPr>
        <w:t xml:space="preserve">a </w:t>
      </w:r>
      <w:r>
        <w:rPr>
          <w:spacing w:val="50"/>
        </w:rPr>
        <w:t>至</w:t>
      </w:r>
      <w:r>
        <w:rPr>
          <w:rFonts w:ascii="Times New Roman" w:eastAsia="Times New Roman"/>
        </w:rPr>
        <w:t xml:space="preserve">d </w:t>
      </w:r>
      <w:r>
        <w:rPr>
          <w:spacing w:val="-9"/>
        </w:rPr>
        <w:t>两种以上不一致的，按上述规定的顺序修正</w:t>
      </w:r>
      <w:r>
        <w:rPr>
          <w:spacing w:val="-44"/>
        </w:rPr>
        <w:t xml:space="preserve">）， </w:t>
      </w:r>
      <w:r>
        <w:rPr>
          <w:spacing w:val="-3"/>
        </w:rPr>
        <w:t>经投标人确认后产生约束力，投标人不确认的，其投标无效。</w:t>
      </w:r>
    </w:p>
    <w:p>
      <w:pPr>
        <w:pStyle w:val="22"/>
        <w:numPr>
          <w:ilvl w:val="0"/>
          <w:numId w:val="26"/>
        </w:numPr>
        <w:tabs>
          <w:tab w:val="left" w:pos="1280"/>
        </w:tabs>
        <w:spacing w:before="2" w:after="0" w:line="393" w:lineRule="auto"/>
        <w:ind w:left="337" w:right="328" w:firstLine="413"/>
        <w:jc w:val="left"/>
        <w:rPr>
          <w:sz w:val="21"/>
        </w:rPr>
      </w:pPr>
      <w:r>
        <w:rPr>
          <w:spacing w:val="-3"/>
          <w:sz w:val="21"/>
        </w:rPr>
        <w:t>评标委员会认为投标人的报价明显低于其他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22"/>
        <w:numPr>
          <w:ilvl w:val="2"/>
          <w:numId w:val="22"/>
        </w:numPr>
        <w:tabs>
          <w:tab w:val="left" w:pos="1206"/>
        </w:tabs>
        <w:spacing w:before="0" w:after="0" w:line="265" w:lineRule="exact"/>
        <w:ind w:left="1205" w:right="0" w:hanging="456"/>
        <w:jc w:val="left"/>
        <w:rPr>
          <w:sz w:val="21"/>
        </w:rPr>
      </w:pPr>
      <w:r>
        <w:rPr>
          <w:sz w:val="21"/>
        </w:rPr>
        <w:t>、评议：</w:t>
      </w:r>
    </w:p>
    <w:p>
      <w:pPr>
        <w:pStyle w:val="22"/>
        <w:numPr>
          <w:ilvl w:val="0"/>
          <w:numId w:val="27"/>
        </w:numPr>
        <w:tabs>
          <w:tab w:val="left" w:pos="1280"/>
        </w:tabs>
        <w:spacing w:before="173" w:after="0" w:line="391" w:lineRule="auto"/>
        <w:ind w:left="337" w:right="328" w:firstLine="413"/>
        <w:jc w:val="left"/>
        <w:rPr>
          <w:sz w:val="21"/>
        </w:rPr>
      </w:pPr>
      <w:r>
        <w:rPr>
          <w:spacing w:val="-4"/>
          <w:sz w:val="21"/>
        </w:rPr>
        <w:t>评标委员会评审投标文件符合性</w:t>
      </w:r>
      <w:r>
        <w:rPr>
          <w:sz w:val="21"/>
        </w:rPr>
        <w:t>（</w:t>
      </w:r>
      <w:r>
        <w:rPr>
          <w:spacing w:val="-3"/>
          <w:sz w:val="21"/>
        </w:rPr>
        <w:t>除不合理报价外</w:t>
      </w:r>
      <w:r>
        <w:rPr>
          <w:spacing w:val="-5"/>
          <w:sz w:val="21"/>
        </w:rPr>
        <w:t>）</w:t>
      </w:r>
      <w:r>
        <w:rPr>
          <w:spacing w:val="-3"/>
          <w:sz w:val="21"/>
        </w:rPr>
        <w:t>只根据招标文件要求和投标人投标文件本身的内容，而不寻求其他外部证据。</w:t>
      </w:r>
    </w:p>
    <w:p>
      <w:pPr>
        <w:pStyle w:val="22"/>
        <w:numPr>
          <w:ilvl w:val="0"/>
          <w:numId w:val="27"/>
        </w:numPr>
        <w:tabs>
          <w:tab w:val="left" w:pos="1280"/>
        </w:tabs>
        <w:spacing w:before="1" w:after="0" w:line="393" w:lineRule="auto"/>
        <w:ind w:left="337" w:right="328" w:firstLine="413"/>
        <w:jc w:val="left"/>
        <w:rPr>
          <w:sz w:val="21"/>
        </w:rPr>
      </w:pPr>
      <w:r>
        <w:rPr>
          <w:spacing w:val="-4"/>
          <w:sz w:val="21"/>
        </w:rPr>
        <w:t>评标采取逐项分步评审方式，每一步评审不符合者，不进入下一步评审，全部评审合格的投标人</w:t>
      </w:r>
      <w:r>
        <w:rPr>
          <w:spacing w:val="-3"/>
          <w:sz w:val="21"/>
        </w:rPr>
        <w:t>进行最后的综合评审和打分，按最后得分由高向低排序，推荐中标候选人。</w:t>
      </w:r>
    </w:p>
    <w:p>
      <w:pPr>
        <w:pStyle w:val="22"/>
        <w:numPr>
          <w:ilvl w:val="0"/>
          <w:numId w:val="27"/>
        </w:numPr>
        <w:tabs>
          <w:tab w:val="left" w:pos="1280"/>
        </w:tabs>
        <w:spacing w:before="0" w:after="0" w:line="268" w:lineRule="exact"/>
        <w:ind w:left="1279" w:right="0" w:hanging="530"/>
        <w:jc w:val="left"/>
        <w:rPr>
          <w:sz w:val="21"/>
        </w:rPr>
      </w:pPr>
      <w:r>
        <w:rPr>
          <w:spacing w:val="-3"/>
          <w:sz w:val="21"/>
        </w:rPr>
        <w:t>其他需说明的情况：</w:t>
      </w:r>
    </w:p>
    <w:p>
      <w:pPr>
        <w:pStyle w:val="12"/>
        <w:spacing w:before="170" w:line="393" w:lineRule="auto"/>
        <w:ind w:left="337" w:right="333" w:firstLine="413"/>
      </w:pPr>
      <w:r>
        <w:rPr>
          <w:rFonts w:ascii="Times New Roman" w:eastAsia="Times New Roman"/>
        </w:rPr>
        <w:t>a</w:t>
      </w:r>
      <w:r>
        <w:t>、对于投标文件中不构成实质性偏差的小的不正规、不一致或不规则，采购人可以接受，但这种接受不能损害或影响任何投标人的相对排序；</w:t>
      </w:r>
    </w:p>
    <w:p>
      <w:pPr>
        <w:pStyle w:val="12"/>
        <w:spacing w:line="267" w:lineRule="exact"/>
        <w:ind w:left="750"/>
      </w:pPr>
      <w:r>
        <w:rPr>
          <w:rFonts w:ascii="Times New Roman" w:eastAsia="Times New Roman"/>
        </w:rPr>
        <w:t>b</w:t>
      </w:r>
      <w:r>
        <w:t>、最低报价不是中标的唯一条件；</w:t>
      </w:r>
    </w:p>
    <w:p>
      <w:pPr>
        <w:pStyle w:val="12"/>
        <w:spacing w:before="170" w:line="393" w:lineRule="auto"/>
        <w:ind w:left="337" w:right="333" w:firstLine="413"/>
      </w:pPr>
      <w:r>
        <w:rPr>
          <w:rFonts w:ascii="Times New Roman" w:eastAsia="Times New Roman"/>
        </w:rPr>
        <w:t>c</w:t>
      </w:r>
      <w:r>
        <w:t>、如果投标实质上没有响应招标文件的要求，其投标将被拒绝，投标人不得通过修正或撤消不合要求的偏离或保留从而使其投标成为实质上响应的投标。</w:t>
      </w:r>
    </w:p>
    <w:p>
      <w:pPr>
        <w:pStyle w:val="12"/>
        <w:spacing w:line="267" w:lineRule="exact"/>
        <w:ind w:left="750"/>
      </w:pPr>
      <w:r>
        <w:rPr>
          <w:rFonts w:ascii="Times New Roman" w:eastAsia="Times New Roman"/>
        </w:rPr>
        <w:t>d</w:t>
      </w:r>
      <w:r>
        <w:t>、无论投标的结果如何，投标期间一切费用自理。</w:t>
      </w: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12"/>
        <w:spacing w:line="267" w:lineRule="exact"/>
        <w:ind w:left="750"/>
      </w:pPr>
    </w:p>
    <w:p>
      <w:pPr>
        <w:pStyle w:val="6"/>
        <w:spacing w:before="175"/>
      </w:pPr>
      <w:r>
        <w:t>三、评分标准</w:t>
      </w:r>
    </w:p>
    <w:p>
      <w:pPr>
        <w:pStyle w:val="12"/>
        <w:spacing w:before="5" w:after="1"/>
        <w:rPr>
          <w:b/>
          <w:sz w:val="11"/>
        </w:rPr>
      </w:pPr>
    </w:p>
    <w:tbl>
      <w:tblPr>
        <w:tblStyle w:val="17"/>
        <w:tblW w:w="0" w:type="auto"/>
        <w:tblInd w:w="2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9"/>
        <w:gridCol w:w="632"/>
        <w:gridCol w:w="8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8" w:hRule="atLeast"/>
        </w:trPr>
        <w:tc>
          <w:tcPr>
            <w:tcW w:w="969" w:type="dxa"/>
            <w:vAlign w:val="center"/>
          </w:tcPr>
          <w:p>
            <w:pPr>
              <w:pStyle w:val="23"/>
              <w:jc w:val="both"/>
              <w:rPr>
                <w:b/>
                <w:sz w:val="20"/>
              </w:rPr>
            </w:pPr>
          </w:p>
          <w:p>
            <w:pPr>
              <w:pStyle w:val="23"/>
              <w:jc w:val="both"/>
              <w:rPr>
                <w:b/>
                <w:sz w:val="20"/>
              </w:rPr>
            </w:pPr>
          </w:p>
          <w:p>
            <w:pPr>
              <w:pStyle w:val="23"/>
              <w:spacing w:before="170" w:line="290" w:lineRule="auto"/>
              <w:ind w:left="206" w:right="221"/>
              <w:jc w:val="both"/>
              <w:rPr>
                <w:sz w:val="21"/>
              </w:rPr>
            </w:pPr>
            <w:r>
              <w:rPr>
                <w:sz w:val="21"/>
              </w:rPr>
              <w:t>投标报价</w:t>
            </w:r>
          </w:p>
        </w:tc>
        <w:tc>
          <w:tcPr>
            <w:tcW w:w="632" w:type="dxa"/>
            <w:vAlign w:val="center"/>
          </w:tcPr>
          <w:p>
            <w:pPr>
              <w:pStyle w:val="23"/>
              <w:jc w:val="both"/>
              <w:rPr>
                <w:b/>
                <w:sz w:val="22"/>
              </w:rPr>
            </w:pPr>
          </w:p>
          <w:p>
            <w:pPr>
              <w:pStyle w:val="23"/>
              <w:jc w:val="both"/>
              <w:rPr>
                <w:b/>
                <w:sz w:val="22"/>
              </w:rPr>
            </w:pPr>
          </w:p>
          <w:p>
            <w:pPr>
              <w:pStyle w:val="23"/>
              <w:jc w:val="both"/>
              <w:rPr>
                <w:b/>
                <w:sz w:val="22"/>
              </w:rPr>
            </w:pPr>
          </w:p>
          <w:p>
            <w:pPr>
              <w:pStyle w:val="23"/>
              <w:ind w:left="117"/>
              <w:jc w:val="both"/>
              <w:rPr>
                <w:sz w:val="21"/>
              </w:rPr>
            </w:pPr>
            <w:r>
              <w:rPr>
                <w:rFonts w:ascii="Times New Roman" w:eastAsia="Times New Roman"/>
                <w:sz w:val="21"/>
              </w:rPr>
              <w:t xml:space="preserve">10 </w:t>
            </w:r>
            <w:r>
              <w:rPr>
                <w:sz w:val="21"/>
              </w:rPr>
              <w:t>分</w:t>
            </w:r>
          </w:p>
        </w:tc>
        <w:tc>
          <w:tcPr>
            <w:tcW w:w="8368" w:type="dxa"/>
            <w:vAlign w:val="center"/>
          </w:tcPr>
          <w:p>
            <w:pPr>
              <w:pStyle w:val="23"/>
              <w:spacing w:before="30" w:line="290" w:lineRule="auto"/>
              <w:ind w:left="107" w:right="91" w:firstLine="422"/>
              <w:jc w:val="both"/>
              <w:rPr>
                <w:sz w:val="21"/>
              </w:rPr>
            </w:pPr>
            <w:r>
              <w:rPr>
                <w:spacing w:val="-3"/>
                <w:sz w:val="21"/>
              </w:rPr>
              <w:t xml:space="preserve">按照财政部《政府采购货物和服务招标投标管理办法》（财政部令第 </w:t>
            </w:r>
            <w:r>
              <w:rPr>
                <w:rFonts w:ascii="Times New Roman" w:eastAsia="Times New Roman"/>
                <w:sz w:val="21"/>
              </w:rPr>
              <w:t>87</w:t>
            </w:r>
            <w:r>
              <w:rPr>
                <w:rFonts w:ascii="Times New Roman" w:eastAsia="Times New Roman"/>
                <w:spacing w:val="52"/>
                <w:sz w:val="21"/>
              </w:rPr>
              <w:t xml:space="preserve"> </w:t>
            </w:r>
            <w:r>
              <w:rPr>
                <w:spacing w:val="-3"/>
                <w:sz w:val="21"/>
              </w:rPr>
              <w:t>号</w:t>
            </w:r>
            <w:r>
              <w:rPr>
                <w:sz w:val="21"/>
              </w:rPr>
              <w:t>）</w:t>
            </w:r>
            <w:r>
              <w:rPr>
                <w:spacing w:val="-2"/>
                <w:sz w:val="21"/>
              </w:rPr>
              <w:t>的有关</w:t>
            </w:r>
            <w:r>
              <w:rPr>
                <w:spacing w:val="-7"/>
                <w:sz w:val="21"/>
              </w:rPr>
              <w:t>规定：价格分采用低价优先法计算，即满足招标文件要求且投标价格最低的投标报价为评</w:t>
            </w:r>
            <w:r>
              <w:rPr>
                <w:spacing w:val="-5"/>
                <w:sz w:val="21"/>
              </w:rPr>
              <w:t>标基准价，其价格分为满分。其他投标人的价格分统一按照下列公式计算：</w:t>
            </w:r>
          </w:p>
          <w:p>
            <w:pPr>
              <w:pStyle w:val="23"/>
              <w:spacing w:before="3"/>
              <w:ind w:left="107"/>
              <w:jc w:val="both"/>
              <w:rPr>
                <w:rFonts w:ascii="Times New Roman" w:hAnsi="Times New Roman" w:eastAsia="Times New Roman"/>
                <w:sz w:val="21"/>
              </w:rPr>
            </w:pPr>
            <w:r>
              <w:rPr>
                <w:sz w:val="21"/>
              </w:rPr>
              <w:t>投标报价得分</w:t>
            </w:r>
            <w:r>
              <w:rPr>
                <w:rFonts w:ascii="Times New Roman" w:hAnsi="Times New Roman" w:eastAsia="Times New Roman"/>
                <w:sz w:val="21"/>
              </w:rPr>
              <w:t>=</w:t>
            </w:r>
            <w:r>
              <w:rPr>
                <w:sz w:val="21"/>
              </w:rPr>
              <w:t>（评标基准价</w:t>
            </w:r>
            <w:r>
              <w:rPr>
                <w:rFonts w:ascii="Times New Roman" w:hAnsi="Times New Roman" w:eastAsia="Times New Roman"/>
                <w:sz w:val="21"/>
              </w:rPr>
              <w:t>/</w:t>
            </w:r>
            <w:r>
              <w:rPr>
                <w:sz w:val="21"/>
              </w:rPr>
              <w:t>投标报价）</w:t>
            </w:r>
            <w:r>
              <w:rPr>
                <w:rFonts w:ascii="Times New Roman" w:hAnsi="Times New Roman" w:eastAsia="Times New Roman"/>
                <w:sz w:val="21"/>
              </w:rPr>
              <w:t>×</w:t>
            </w:r>
            <w:r>
              <w:rPr>
                <w:sz w:val="21"/>
              </w:rPr>
              <w:t>价格权值</w:t>
            </w:r>
            <w:r>
              <w:rPr>
                <w:rFonts w:ascii="Times New Roman" w:hAnsi="Times New Roman" w:eastAsia="Times New Roman"/>
                <w:sz w:val="21"/>
              </w:rPr>
              <w:t>×100%</w:t>
            </w:r>
          </w:p>
          <w:p>
            <w:pPr>
              <w:pStyle w:val="23"/>
              <w:spacing w:before="4" w:line="326" w:lineRule="exact"/>
              <w:ind w:left="107" w:right="53"/>
              <w:jc w:val="both"/>
              <w:rPr>
                <w:sz w:val="21"/>
              </w:rPr>
            </w:pPr>
            <w:r>
              <w:rPr>
                <w:sz w:val="21"/>
              </w:rPr>
              <w:t>（因落实政府采购政策进行价格调整的，以调整后的价格计算评标基准价和投标报价，详见第四部分第四条）</w:t>
            </w:r>
          </w:p>
        </w:tc>
      </w:tr>
    </w:tbl>
    <w:tbl>
      <w:tblPr>
        <w:tblStyle w:val="17"/>
        <w:tblpPr w:leftFromText="180" w:rightFromText="180" w:vertAnchor="text" w:horzAnchor="page" w:tblpX="984" w:tblpY="2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9"/>
        <w:gridCol w:w="617"/>
        <w:gridCol w:w="8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979" w:type="dxa"/>
            <w:vMerge w:val="restart"/>
          </w:tcPr>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20"/>
              </w:rPr>
            </w:pPr>
          </w:p>
          <w:p>
            <w:pPr>
              <w:pStyle w:val="23"/>
              <w:rPr>
                <w:rFonts w:ascii="Times New Roman"/>
                <w:sz w:val="18"/>
              </w:rPr>
            </w:pPr>
          </w:p>
          <w:p>
            <w:pPr>
              <w:pStyle w:val="23"/>
              <w:spacing w:line="290" w:lineRule="auto"/>
              <w:ind w:left="206" w:right="221"/>
              <w:rPr>
                <w:sz w:val="21"/>
              </w:rPr>
            </w:pPr>
            <w:r>
              <w:rPr>
                <w:sz w:val="21"/>
              </w:rPr>
              <w:t>技术响应</w:t>
            </w:r>
          </w:p>
        </w:tc>
        <w:tc>
          <w:tcPr>
            <w:tcW w:w="617" w:type="dxa"/>
            <w:vMerge w:val="restart"/>
          </w:tcPr>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rPr>
                <w:rFonts w:ascii="Times New Roman"/>
                <w:sz w:val="22"/>
              </w:rPr>
            </w:pPr>
          </w:p>
          <w:p>
            <w:pPr>
              <w:pStyle w:val="23"/>
              <w:spacing w:before="2"/>
              <w:rPr>
                <w:rFonts w:ascii="Times New Roman"/>
                <w:sz w:val="22"/>
              </w:rPr>
            </w:pPr>
          </w:p>
          <w:p>
            <w:pPr>
              <w:pStyle w:val="23"/>
              <w:spacing w:before="1"/>
              <w:ind w:left="117"/>
              <w:rPr>
                <w:sz w:val="21"/>
              </w:rPr>
            </w:pPr>
            <w:r>
              <w:rPr>
                <w:rFonts w:ascii="Times New Roman" w:eastAsia="Times New Roman"/>
                <w:sz w:val="21"/>
              </w:rPr>
              <w:t xml:space="preserve">70 </w:t>
            </w:r>
            <w:r>
              <w:rPr>
                <w:sz w:val="21"/>
              </w:rPr>
              <w:t>分</w:t>
            </w:r>
          </w:p>
        </w:tc>
        <w:tc>
          <w:tcPr>
            <w:tcW w:w="8368" w:type="dxa"/>
            <w:vAlign w:val="center"/>
          </w:tcPr>
          <w:p>
            <w:pPr>
              <w:pStyle w:val="23"/>
              <w:numPr>
                <w:ilvl w:val="0"/>
                <w:numId w:val="28"/>
              </w:numPr>
              <w:tabs>
                <w:tab w:val="left" w:pos="268"/>
              </w:tabs>
              <w:spacing w:before="29" w:after="0" w:line="240" w:lineRule="auto"/>
              <w:ind w:left="267" w:right="0" w:hanging="161"/>
              <w:jc w:val="both"/>
              <w:rPr>
                <w:sz w:val="21"/>
              </w:rPr>
            </w:pPr>
            <w:r>
              <w:rPr>
                <w:spacing w:val="-3"/>
                <w:sz w:val="21"/>
              </w:rPr>
              <w:t>服务方案：</w:t>
            </w:r>
            <w:r>
              <w:rPr>
                <w:spacing w:val="-6"/>
                <w:sz w:val="21"/>
              </w:rPr>
              <w:t>评标委员会根据各投标人针对本项目总体的认识，从项目情况论述、项目难度，服务</w:t>
            </w:r>
            <w:r>
              <w:rPr>
                <w:spacing w:val="-4"/>
                <w:sz w:val="21"/>
              </w:rPr>
              <w:t>计划以及采购人需求等方面进行打分；</w:t>
            </w:r>
          </w:p>
          <w:p>
            <w:pPr>
              <w:pStyle w:val="23"/>
              <w:numPr>
                <w:ilvl w:val="1"/>
                <w:numId w:val="28"/>
              </w:numPr>
              <w:tabs>
                <w:tab w:val="left" w:pos="1057"/>
              </w:tabs>
              <w:spacing w:before="2" w:after="0" w:line="240" w:lineRule="auto"/>
              <w:ind w:left="1057" w:right="0" w:hanging="530"/>
              <w:jc w:val="both"/>
              <w:rPr>
                <w:rFonts w:ascii="Times New Roman" w:eastAsia="Times New Roman"/>
                <w:sz w:val="21"/>
              </w:rPr>
            </w:pPr>
            <w:r>
              <w:rPr>
                <w:spacing w:val="-3"/>
                <w:sz w:val="21"/>
              </w:rPr>
              <w:t>服务内容完整详尽，且不限于上述所要求内容的计</w:t>
            </w:r>
            <w:r>
              <w:rPr>
                <w:sz w:val="21"/>
              </w:rPr>
              <w:t>（</w:t>
            </w:r>
            <w:r>
              <w:rPr>
                <w:rFonts w:hint="eastAsia"/>
                <w:sz w:val="21"/>
                <w:lang w:val="en-US" w:eastAsia="zh-CN"/>
              </w:rPr>
              <w:t>8</w:t>
            </w:r>
            <w:r>
              <w:rPr>
                <w:rFonts w:ascii="Times New Roman" w:eastAsia="Times New Roman"/>
                <w:sz w:val="21"/>
              </w:rPr>
              <w:t xml:space="preserve">-10 </w:t>
            </w:r>
            <w:r>
              <w:rPr>
                <w:sz w:val="21"/>
              </w:rPr>
              <w:t>分</w:t>
            </w:r>
            <w:r>
              <w:rPr>
                <w:rFonts w:hint="eastAsia"/>
                <w:sz w:val="21"/>
                <w:lang w:eastAsia="zh-CN"/>
              </w:rPr>
              <w:t>）</w:t>
            </w:r>
            <w:r>
              <w:rPr>
                <w:rFonts w:ascii="Times New Roman" w:eastAsia="Times New Roman"/>
                <w:sz w:val="21"/>
              </w:rPr>
              <w:t>;</w:t>
            </w:r>
          </w:p>
          <w:p>
            <w:pPr>
              <w:pStyle w:val="23"/>
              <w:numPr>
                <w:ilvl w:val="1"/>
                <w:numId w:val="28"/>
              </w:numPr>
              <w:tabs>
                <w:tab w:val="left" w:pos="1057"/>
              </w:tabs>
              <w:spacing w:before="55" w:after="0" w:line="240" w:lineRule="auto"/>
              <w:ind w:left="1057" w:right="0" w:hanging="530"/>
              <w:jc w:val="both"/>
              <w:rPr>
                <w:sz w:val="21"/>
              </w:rPr>
            </w:pPr>
            <w:r>
              <w:rPr>
                <w:spacing w:val="-3"/>
                <w:sz w:val="21"/>
              </w:rPr>
              <w:t>服务内容无缺漏，对上述所要求内容描述符合招标文件的计</w:t>
            </w:r>
            <w:r>
              <w:rPr>
                <w:sz w:val="21"/>
              </w:rPr>
              <w:t>（</w:t>
            </w:r>
            <w:r>
              <w:rPr>
                <w:rFonts w:ascii="Times New Roman" w:eastAsia="Times New Roman"/>
                <w:sz w:val="21"/>
              </w:rPr>
              <w:t>5-</w:t>
            </w:r>
            <w:r>
              <w:rPr>
                <w:rFonts w:hint="eastAsia" w:ascii="Times New Roman" w:eastAsia="宋体"/>
                <w:sz w:val="21"/>
                <w:lang w:val="en-US" w:eastAsia="zh-CN"/>
              </w:rPr>
              <w:t>7</w:t>
            </w:r>
            <w:r>
              <w:rPr>
                <w:sz w:val="21"/>
              </w:rPr>
              <w:t>分</w:t>
            </w:r>
            <w:r>
              <w:rPr>
                <w:rFonts w:hint="eastAsia"/>
                <w:sz w:val="21"/>
                <w:lang w:eastAsia="zh-CN"/>
              </w:rPr>
              <w:t>）</w:t>
            </w:r>
            <w:r>
              <w:rPr>
                <w:sz w:val="21"/>
              </w:rPr>
              <w:t>；</w:t>
            </w:r>
          </w:p>
          <w:p>
            <w:pPr>
              <w:pStyle w:val="23"/>
              <w:numPr>
                <w:ilvl w:val="1"/>
                <w:numId w:val="28"/>
              </w:numPr>
              <w:tabs>
                <w:tab w:val="left" w:pos="1057"/>
              </w:tabs>
              <w:spacing w:before="57" w:after="0" w:line="240" w:lineRule="auto"/>
              <w:ind w:left="1057" w:right="0" w:hanging="530"/>
              <w:jc w:val="both"/>
              <w:rPr>
                <w:sz w:val="21"/>
              </w:rPr>
            </w:pPr>
            <w:r>
              <w:rPr>
                <w:spacing w:val="-3"/>
                <w:sz w:val="21"/>
              </w:rPr>
              <w:t>不符合上述两种情形的计</w:t>
            </w:r>
            <w:r>
              <w:rPr>
                <w:rFonts w:hint="eastAsia"/>
                <w:spacing w:val="-3"/>
                <w:sz w:val="21"/>
                <w:lang w:eastAsia="zh-CN"/>
              </w:rPr>
              <w:t>（</w:t>
            </w:r>
            <w:r>
              <w:rPr>
                <w:rFonts w:ascii="Times New Roman" w:eastAsia="Times New Roman"/>
                <w:sz w:val="21"/>
              </w:rPr>
              <w:t>0</w:t>
            </w:r>
            <w:r>
              <w:rPr>
                <w:rFonts w:hint="eastAsia" w:ascii="Times New Roman" w:eastAsia="宋体"/>
                <w:sz w:val="21"/>
                <w:lang w:val="en-US" w:eastAsia="zh-CN"/>
              </w:rPr>
              <w:t>-4</w:t>
            </w:r>
            <w:r>
              <w:rPr>
                <w:sz w:val="21"/>
              </w:rPr>
              <w:t>分</w:t>
            </w:r>
            <w:r>
              <w:rPr>
                <w:rFonts w:hint="eastAsia"/>
                <w:spacing w:val="-3"/>
                <w:sz w:val="21"/>
                <w:lang w:eastAsia="zh-CN"/>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trPr>
        <w:tc>
          <w:tcPr>
            <w:tcW w:w="979"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8368" w:type="dxa"/>
            <w:vAlign w:val="center"/>
          </w:tcPr>
          <w:p>
            <w:pPr>
              <w:pStyle w:val="23"/>
              <w:numPr>
                <w:ilvl w:val="0"/>
                <w:numId w:val="29"/>
              </w:numPr>
              <w:tabs>
                <w:tab w:val="left" w:pos="268"/>
              </w:tabs>
              <w:spacing w:before="29" w:after="0" w:line="240" w:lineRule="auto"/>
              <w:ind w:left="267" w:right="0" w:hanging="161"/>
              <w:jc w:val="both"/>
              <w:rPr>
                <w:sz w:val="21"/>
              </w:rPr>
            </w:pPr>
            <w:r>
              <w:rPr>
                <w:spacing w:val="-3"/>
                <w:sz w:val="21"/>
              </w:rPr>
              <w:t>保证措施：评标委员会根据各投标人针对本项目的保证措施（包括但不限于资金、质量、人员、安全等方面</w:t>
            </w:r>
            <w:r>
              <w:rPr>
                <w:sz w:val="21"/>
              </w:rPr>
              <w:t>）。</w:t>
            </w:r>
          </w:p>
          <w:p>
            <w:pPr>
              <w:pStyle w:val="23"/>
              <w:numPr>
                <w:ilvl w:val="1"/>
                <w:numId w:val="29"/>
              </w:numPr>
              <w:tabs>
                <w:tab w:val="left" w:pos="1057"/>
              </w:tabs>
              <w:spacing w:before="2" w:after="0" w:line="240" w:lineRule="auto"/>
              <w:ind w:left="1057" w:right="0" w:hanging="530"/>
              <w:jc w:val="both"/>
              <w:rPr>
                <w:sz w:val="21"/>
              </w:rPr>
            </w:pPr>
            <w:r>
              <w:rPr>
                <w:spacing w:val="-3"/>
                <w:sz w:val="21"/>
              </w:rPr>
              <w:t>措施内容完整详尽，且不限于上述所要求内容</w:t>
            </w:r>
            <w:r>
              <w:rPr>
                <w:sz w:val="21"/>
              </w:rPr>
              <w:t>（</w:t>
            </w:r>
            <w:r>
              <w:rPr>
                <w:rFonts w:hint="eastAsia"/>
                <w:sz w:val="21"/>
                <w:lang w:val="en-US" w:eastAsia="zh-CN"/>
              </w:rPr>
              <w:t>8</w:t>
            </w:r>
            <w:r>
              <w:rPr>
                <w:rFonts w:ascii="Times New Roman" w:eastAsia="Times New Roman"/>
                <w:sz w:val="21"/>
              </w:rPr>
              <w:t xml:space="preserve">-10 </w:t>
            </w:r>
            <w:r>
              <w:rPr>
                <w:sz w:val="21"/>
              </w:rPr>
              <w:t>分</w:t>
            </w:r>
            <w:r>
              <w:rPr>
                <w:rFonts w:hint="eastAsia"/>
                <w:sz w:val="21"/>
                <w:lang w:eastAsia="zh-CN"/>
              </w:rPr>
              <w:t>）</w:t>
            </w:r>
            <w:r>
              <w:rPr>
                <w:sz w:val="21"/>
              </w:rPr>
              <w:t>；</w:t>
            </w:r>
          </w:p>
          <w:p>
            <w:pPr>
              <w:pStyle w:val="23"/>
              <w:numPr>
                <w:ilvl w:val="1"/>
                <w:numId w:val="29"/>
              </w:numPr>
              <w:tabs>
                <w:tab w:val="left" w:pos="1057"/>
              </w:tabs>
              <w:spacing w:before="57" w:after="0" w:line="240" w:lineRule="auto"/>
              <w:ind w:left="1057" w:right="0" w:hanging="530"/>
              <w:jc w:val="both"/>
              <w:rPr>
                <w:sz w:val="21"/>
              </w:rPr>
            </w:pPr>
            <w:r>
              <w:rPr>
                <w:spacing w:val="-3"/>
                <w:sz w:val="21"/>
              </w:rPr>
              <w:t>措施内容无缺漏，对上述所要求内容描述符合招标文件的计</w:t>
            </w:r>
            <w:r>
              <w:rPr>
                <w:sz w:val="21"/>
              </w:rPr>
              <w:t>（</w:t>
            </w:r>
            <w:r>
              <w:rPr>
                <w:rFonts w:ascii="Times New Roman" w:eastAsia="Times New Roman"/>
                <w:sz w:val="21"/>
              </w:rPr>
              <w:t>5-</w:t>
            </w:r>
            <w:r>
              <w:rPr>
                <w:rFonts w:hint="eastAsia" w:ascii="Times New Roman" w:eastAsia="宋体"/>
                <w:sz w:val="21"/>
                <w:lang w:val="en-US" w:eastAsia="zh-CN"/>
              </w:rPr>
              <w:t>7</w:t>
            </w:r>
            <w:r>
              <w:rPr>
                <w:sz w:val="21"/>
              </w:rPr>
              <w:t>分</w:t>
            </w:r>
            <w:r>
              <w:rPr>
                <w:rFonts w:hint="eastAsia"/>
                <w:sz w:val="21"/>
                <w:lang w:eastAsia="zh-CN"/>
              </w:rPr>
              <w:t>）</w:t>
            </w:r>
            <w:r>
              <w:rPr>
                <w:sz w:val="21"/>
              </w:rPr>
              <w:t>；</w:t>
            </w:r>
          </w:p>
          <w:p>
            <w:pPr>
              <w:pStyle w:val="23"/>
              <w:numPr>
                <w:ilvl w:val="1"/>
                <w:numId w:val="29"/>
              </w:numPr>
              <w:tabs>
                <w:tab w:val="left" w:pos="1057"/>
              </w:tabs>
              <w:spacing w:before="55" w:after="0" w:line="240" w:lineRule="auto"/>
              <w:ind w:left="1057" w:right="0" w:hanging="530"/>
              <w:jc w:val="both"/>
              <w:rPr>
                <w:sz w:val="21"/>
              </w:rPr>
            </w:pPr>
            <w:r>
              <w:rPr>
                <w:spacing w:val="-3"/>
                <w:sz w:val="21"/>
              </w:rPr>
              <w:t>不符合上述两种情形的计</w:t>
            </w:r>
            <w:r>
              <w:rPr>
                <w:rFonts w:hint="eastAsia"/>
                <w:spacing w:val="-3"/>
                <w:sz w:val="21"/>
                <w:lang w:eastAsia="zh-CN"/>
              </w:rPr>
              <w:t>（</w:t>
            </w:r>
            <w:r>
              <w:rPr>
                <w:rFonts w:ascii="Times New Roman" w:eastAsia="Times New Roman"/>
                <w:sz w:val="21"/>
              </w:rPr>
              <w:t xml:space="preserve">0 </w:t>
            </w:r>
            <w:r>
              <w:rPr>
                <w:rFonts w:hint="eastAsia" w:ascii="Times New Roman" w:eastAsia="宋体"/>
                <w:sz w:val="21"/>
                <w:lang w:val="en-US" w:eastAsia="zh-CN"/>
              </w:rPr>
              <w:t>-4</w:t>
            </w:r>
            <w:r>
              <w:rPr>
                <w:sz w:val="21"/>
              </w:rPr>
              <w:t>分</w:t>
            </w:r>
            <w:r>
              <w:rPr>
                <w:rFonts w:hint="eastAsia"/>
                <w:spacing w:val="-3"/>
                <w:sz w:val="21"/>
                <w:lang w:eastAsia="zh-CN"/>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8" w:hRule="atLeast"/>
        </w:trPr>
        <w:tc>
          <w:tcPr>
            <w:tcW w:w="979"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8368" w:type="dxa"/>
            <w:vAlign w:val="center"/>
          </w:tcPr>
          <w:p>
            <w:pPr>
              <w:pStyle w:val="23"/>
              <w:numPr>
                <w:ilvl w:val="0"/>
                <w:numId w:val="30"/>
              </w:numPr>
              <w:tabs>
                <w:tab w:val="left" w:pos="268"/>
              </w:tabs>
              <w:spacing w:before="30" w:after="0" w:line="240" w:lineRule="auto"/>
              <w:ind w:left="267" w:right="0" w:hanging="161"/>
              <w:jc w:val="both"/>
              <w:rPr>
                <w:rFonts w:hint="eastAsia" w:eastAsia="宋体"/>
                <w:sz w:val="21"/>
                <w:lang w:eastAsia="zh-CN"/>
              </w:rPr>
            </w:pPr>
            <w:r>
              <w:rPr>
                <w:spacing w:val="-3"/>
                <w:sz w:val="21"/>
              </w:rPr>
              <w:t>针对本项目的人员管理方案：</w:t>
            </w:r>
            <w:r>
              <w:rPr>
                <w:sz w:val="21"/>
              </w:rPr>
              <w:t>评标委员会根据各投标人针对本项目的人员管理方案（包含但不限于道路清扫保洁服务规章制度、奖惩措施以及人员管理方法等）</w:t>
            </w:r>
            <w:r>
              <w:rPr>
                <w:rFonts w:hint="eastAsia"/>
                <w:sz w:val="21"/>
                <w:lang w:eastAsia="zh-CN"/>
              </w:rPr>
              <w:t>。</w:t>
            </w:r>
          </w:p>
          <w:p>
            <w:pPr>
              <w:pStyle w:val="23"/>
              <w:numPr>
                <w:ilvl w:val="1"/>
                <w:numId w:val="30"/>
              </w:numPr>
              <w:tabs>
                <w:tab w:val="left" w:pos="1057"/>
              </w:tabs>
              <w:spacing w:before="2" w:after="0" w:line="240" w:lineRule="auto"/>
              <w:ind w:left="1057" w:right="0" w:hanging="530"/>
              <w:jc w:val="both"/>
              <w:rPr>
                <w:rFonts w:ascii="Times New Roman" w:eastAsia="Times New Roman"/>
                <w:sz w:val="21"/>
              </w:rPr>
            </w:pPr>
            <w:r>
              <w:rPr>
                <w:spacing w:val="-3"/>
                <w:sz w:val="21"/>
              </w:rPr>
              <w:t>方案内容完整详尽，且不限于上述所要求内容的计</w:t>
            </w:r>
            <w:r>
              <w:rPr>
                <w:sz w:val="21"/>
              </w:rPr>
              <w:t>（</w:t>
            </w:r>
            <w:r>
              <w:rPr>
                <w:rFonts w:hint="eastAsia"/>
                <w:sz w:val="21"/>
                <w:lang w:val="en-US" w:eastAsia="zh-CN"/>
              </w:rPr>
              <w:t>8</w:t>
            </w:r>
            <w:r>
              <w:rPr>
                <w:rFonts w:ascii="Times New Roman" w:eastAsia="Times New Roman"/>
                <w:sz w:val="21"/>
              </w:rPr>
              <w:t xml:space="preserve">-10 </w:t>
            </w:r>
            <w:r>
              <w:rPr>
                <w:sz w:val="21"/>
              </w:rPr>
              <w:t>分</w:t>
            </w:r>
            <w:r>
              <w:rPr>
                <w:rFonts w:hint="eastAsia"/>
                <w:sz w:val="21"/>
                <w:lang w:eastAsia="zh-CN"/>
              </w:rPr>
              <w:t>）</w:t>
            </w:r>
            <w:r>
              <w:rPr>
                <w:rFonts w:ascii="Times New Roman" w:eastAsia="Times New Roman"/>
                <w:sz w:val="21"/>
              </w:rPr>
              <w:t>;</w:t>
            </w:r>
          </w:p>
          <w:p>
            <w:pPr>
              <w:pStyle w:val="23"/>
              <w:numPr>
                <w:ilvl w:val="1"/>
                <w:numId w:val="30"/>
              </w:numPr>
              <w:tabs>
                <w:tab w:val="left" w:pos="1057"/>
              </w:tabs>
              <w:spacing w:before="57" w:after="0" w:line="240" w:lineRule="auto"/>
              <w:ind w:left="1057" w:right="0" w:hanging="530"/>
              <w:jc w:val="both"/>
              <w:rPr>
                <w:sz w:val="21"/>
              </w:rPr>
            </w:pPr>
            <w:r>
              <w:rPr>
                <w:spacing w:val="-3"/>
                <w:sz w:val="21"/>
              </w:rPr>
              <w:t>方案内容无缺漏，对上述所要求内容描述符合招标文件的计</w:t>
            </w:r>
            <w:r>
              <w:rPr>
                <w:sz w:val="21"/>
              </w:rPr>
              <w:t>（</w:t>
            </w:r>
            <w:r>
              <w:rPr>
                <w:rFonts w:ascii="Times New Roman" w:eastAsia="Times New Roman"/>
                <w:sz w:val="21"/>
              </w:rPr>
              <w:t>5-7</w:t>
            </w:r>
            <w:r>
              <w:rPr>
                <w:rFonts w:ascii="Times New Roman" w:eastAsia="Times New Roman"/>
                <w:spacing w:val="1"/>
                <w:sz w:val="21"/>
              </w:rPr>
              <w:t xml:space="preserve"> </w:t>
            </w:r>
            <w:r>
              <w:rPr>
                <w:sz w:val="21"/>
              </w:rPr>
              <w:t>分</w:t>
            </w:r>
            <w:r>
              <w:rPr>
                <w:rFonts w:hint="eastAsia"/>
                <w:sz w:val="21"/>
                <w:lang w:eastAsia="zh-CN"/>
              </w:rPr>
              <w:t>）</w:t>
            </w:r>
            <w:r>
              <w:rPr>
                <w:sz w:val="21"/>
              </w:rPr>
              <w:t>；</w:t>
            </w:r>
          </w:p>
          <w:p>
            <w:pPr>
              <w:pStyle w:val="23"/>
              <w:numPr>
                <w:ilvl w:val="1"/>
                <w:numId w:val="30"/>
              </w:numPr>
              <w:tabs>
                <w:tab w:val="left" w:pos="1057"/>
              </w:tabs>
              <w:spacing w:before="58" w:after="0" w:line="240" w:lineRule="auto"/>
              <w:ind w:left="1057" w:right="0" w:hanging="530"/>
              <w:jc w:val="both"/>
              <w:rPr>
                <w:sz w:val="21"/>
              </w:rPr>
            </w:pPr>
            <w:r>
              <w:rPr>
                <w:spacing w:val="-3"/>
                <w:sz w:val="21"/>
              </w:rPr>
              <w:t>不符合上述两种情形的计</w:t>
            </w:r>
            <w:r>
              <w:rPr>
                <w:rFonts w:hint="eastAsia"/>
                <w:spacing w:val="-3"/>
                <w:sz w:val="21"/>
                <w:lang w:eastAsia="zh-CN"/>
              </w:rPr>
              <w:t>（</w:t>
            </w:r>
            <w:r>
              <w:rPr>
                <w:rFonts w:ascii="Times New Roman" w:eastAsia="Times New Roman"/>
                <w:sz w:val="21"/>
              </w:rPr>
              <w:t>0-</w:t>
            </w:r>
            <w:r>
              <w:rPr>
                <w:rFonts w:hint="eastAsia" w:ascii="Times New Roman" w:eastAsia="宋体"/>
                <w:sz w:val="21"/>
                <w:lang w:val="en-US" w:eastAsia="zh-CN"/>
              </w:rPr>
              <w:t>4</w:t>
            </w:r>
            <w:r>
              <w:rPr>
                <w:rFonts w:ascii="Times New Roman" w:eastAsia="Times New Roman"/>
                <w:sz w:val="21"/>
              </w:rPr>
              <w:t xml:space="preserve"> </w:t>
            </w:r>
            <w:r>
              <w:rPr>
                <w:sz w:val="21"/>
              </w:rPr>
              <w:t>分</w:t>
            </w:r>
            <w:r>
              <w:rPr>
                <w:rFonts w:hint="eastAsia"/>
                <w:spacing w:val="-3"/>
                <w:sz w:val="21"/>
                <w:lang w:eastAsia="zh-CN"/>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3" w:hRule="atLeast"/>
        </w:trPr>
        <w:tc>
          <w:tcPr>
            <w:tcW w:w="979"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8368" w:type="dxa"/>
            <w:vAlign w:val="center"/>
          </w:tcPr>
          <w:p>
            <w:pPr>
              <w:pStyle w:val="23"/>
              <w:numPr>
                <w:ilvl w:val="0"/>
                <w:numId w:val="31"/>
              </w:numPr>
              <w:tabs>
                <w:tab w:val="left" w:pos="268"/>
              </w:tabs>
              <w:spacing w:before="32" w:after="0" w:line="240" w:lineRule="auto"/>
              <w:ind w:left="267" w:right="0" w:hanging="161"/>
              <w:jc w:val="both"/>
              <w:rPr>
                <w:sz w:val="21"/>
              </w:rPr>
            </w:pPr>
            <w:r>
              <w:rPr>
                <w:spacing w:val="-3"/>
                <w:sz w:val="21"/>
              </w:rPr>
              <w:t>人员分配方案及培训计划：</w:t>
            </w:r>
            <w:r>
              <w:rPr>
                <w:sz w:val="21"/>
              </w:rPr>
              <w:t>评标委员会根据各投标人针对本项目的人员分配方案及培训计划（包括但不限于人员分配、培训计划、机械安排等）。</w:t>
            </w:r>
          </w:p>
          <w:p>
            <w:pPr>
              <w:pStyle w:val="23"/>
              <w:numPr>
                <w:ilvl w:val="1"/>
                <w:numId w:val="31"/>
              </w:numPr>
              <w:tabs>
                <w:tab w:val="left" w:pos="1057"/>
              </w:tabs>
              <w:spacing w:before="2" w:after="0" w:line="240" w:lineRule="auto"/>
              <w:ind w:left="1057" w:right="0" w:hanging="530"/>
              <w:jc w:val="both"/>
              <w:rPr>
                <w:rFonts w:ascii="Times New Roman" w:eastAsia="Times New Roman"/>
                <w:sz w:val="21"/>
              </w:rPr>
            </w:pPr>
            <w:r>
              <w:rPr>
                <w:spacing w:val="-3"/>
                <w:sz w:val="21"/>
              </w:rPr>
              <w:t>方案内容完整详尽，且不限于上述所要求内容的计</w:t>
            </w:r>
            <w:r>
              <w:rPr>
                <w:sz w:val="21"/>
              </w:rPr>
              <w:t>（</w:t>
            </w:r>
            <w:r>
              <w:rPr>
                <w:rFonts w:hint="eastAsia"/>
                <w:sz w:val="21"/>
                <w:lang w:val="en-US" w:eastAsia="zh-CN"/>
              </w:rPr>
              <w:t>8</w:t>
            </w:r>
            <w:r>
              <w:rPr>
                <w:rFonts w:ascii="Times New Roman" w:eastAsia="Times New Roman"/>
                <w:sz w:val="21"/>
              </w:rPr>
              <w:t xml:space="preserve">-10 </w:t>
            </w:r>
            <w:r>
              <w:rPr>
                <w:sz w:val="21"/>
              </w:rPr>
              <w:t>分</w:t>
            </w:r>
            <w:r>
              <w:rPr>
                <w:rFonts w:hint="eastAsia"/>
                <w:sz w:val="21"/>
                <w:lang w:eastAsia="zh-CN"/>
              </w:rPr>
              <w:t>）</w:t>
            </w:r>
            <w:r>
              <w:rPr>
                <w:rFonts w:ascii="Times New Roman" w:eastAsia="Times New Roman"/>
                <w:sz w:val="21"/>
              </w:rPr>
              <w:t>;</w:t>
            </w:r>
          </w:p>
          <w:p>
            <w:pPr>
              <w:pStyle w:val="23"/>
              <w:numPr>
                <w:ilvl w:val="1"/>
                <w:numId w:val="31"/>
              </w:numPr>
              <w:tabs>
                <w:tab w:val="left" w:pos="1057"/>
              </w:tabs>
              <w:spacing w:before="57" w:after="0" w:line="240" w:lineRule="auto"/>
              <w:ind w:left="1057" w:right="0" w:hanging="530"/>
              <w:jc w:val="both"/>
              <w:rPr>
                <w:sz w:val="21"/>
              </w:rPr>
            </w:pPr>
            <w:r>
              <w:rPr>
                <w:spacing w:val="-3"/>
                <w:sz w:val="21"/>
              </w:rPr>
              <w:t>方案内容无缺漏，对上述所要求内容描述符合招标文件的计</w:t>
            </w:r>
            <w:r>
              <w:rPr>
                <w:sz w:val="21"/>
              </w:rPr>
              <w:t>（</w:t>
            </w:r>
            <w:r>
              <w:rPr>
                <w:rFonts w:ascii="Times New Roman" w:eastAsia="Times New Roman"/>
                <w:sz w:val="21"/>
              </w:rPr>
              <w:t>5-7</w:t>
            </w:r>
            <w:r>
              <w:rPr>
                <w:rFonts w:ascii="Times New Roman" w:eastAsia="Times New Roman"/>
                <w:spacing w:val="1"/>
                <w:sz w:val="21"/>
              </w:rPr>
              <w:t xml:space="preserve"> </w:t>
            </w:r>
            <w:r>
              <w:rPr>
                <w:sz w:val="21"/>
              </w:rPr>
              <w:t>分</w:t>
            </w:r>
            <w:r>
              <w:rPr>
                <w:rFonts w:hint="eastAsia"/>
                <w:sz w:val="21"/>
                <w:lang w:eastAsia="zh-CN"/>
              </w:rPr>
              <w:t>）</w:t>
            </w:r>
            <w:r>
              <w:rPr>
                <w:sz w:val="21"/>
              </w:rPr>
              <w:t>；</w:t>
            </w:r>
          </w:p>
          <w:p>
            <w:pPr>
              <w:pStyle w:val="23"/>
              <w:numPr>
                <w:ilvl w:val="1"/>
                <w:numId w:val="31"/>
              </w:numPr>
              <w:tabs>
                <w:tab w:val="left" w:pos="1057"/>
              </w:tabs>
              <w:spacing w:before="57" w:after="0" w:line="240" w:lineRule="auto"/>
              <w:ind w:left="1057" w:right="0" w:hanging="530"/>
              <w:jc w:val="both"/>
              <w:rPr>
                <w:sz w:val="21"/>
              </w:rPr>
            </w:pPr>
            <w:r>
              <w:rPr>
                <w:spacing w:val="-3"/>
                <w:sz w:val="21"/>
              </w:rPr>
              <w:t>不符合上述两种情形的计</w:t>
            </w:r>
            <w:r>
              <w:rPr>
                <w:rFonts w:hint="eastAsia"/>
                <w:spacing w:val="-3"/>
                <w:sz w:val="21"/>
                <w:lang w:eastAsia="zh-CN"/>
              </w:rPr>
              <w:t>（</w:t>
            </w:r>
            <w:r>
              <w:rPr>
                <w:rFonts w:ascii="Times New Roman" w:eastAsia="Times New Roman"/>
                <w:sz w:val="21"/>
              </w:rPr>
              <w:t>0-</w:t>
            </w:r>
            <w:r>
              <w:rPr>
                <w:rFonts w:hint="eastAsia" w:ascii="Times New Roman" w:eastAsia="宋体"/>
                <w:sz w:val="21"/>
                <w:lang w:val="en-US" w:eastAsia="zh-CN"/>
              </w:rPr>
              <w:t>4</w:t>
            </w:r>
            <w:r>
              <w:rPr>
                <w:rFonts w:ascii="Times New Roman" w:eastAsia="Times New Roman"/>
                <w:sz w:val="21"/>
              </w:rPr>
              <w:t xml:space="preserve"> </w:t>
            </w:r>
            <w:r>
              <w:rPr>
                <w:sz w:val="21"/>
              </w:rPr>
              <w:t>分</w:t>
            </w:r>
            <w:r>
              <w:rPr>
                <w:rFonts w:hint="eastAsia"/>
                <w:spacing w:val="-3"/>
                <w:sz w:val="21"/>
                <w:lang w:eastAsia="zh-CN"/>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5" w:hRule="atLeast"/>
        </w:trPr>
        <w:tc>
          <w:tcPr>
            <w:tcW w:w="979"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8368" w:type="dxa"/>
            <w:vAlign w:val="center"/>
          </w:tcPr>
          <w:p>
            <w:pPr>
              <w:pStyle w:val="23"/>
              <w:numPr>
                <w:ilvl w:val="0"/>
                <w:numId w:val="32"/>
              </w:numPr>
              <w:tabs>
                <w:tab w:val="left" w:pos="268"/>
              </w:tabs>
              <w:spacing w:before="30" w:after="0" w:line="240" w:lineRule="auto"/>
              <w:ind w:left="267" w:right="0" w:hanging="161"/>
              <w:jc w:val="both"/>
              <w:rPr>
                <w:sz w:val="21"/>
              </w:rPr>
            </w:pPr>
            <w:r>
              <w:rPr>
                <w:spacing w:val="-3"/>
                <w:sz w:val="21"/>
              </w:rPr>
              <w:t>安全保障制度：</w:t>
            </w:r>
            <w:r>
              <w:rPr>
                <w:sz w:val="21"/>
              </w:rPr>
              <w:t>评标委员会根据各投标人针对本项目的安全保障制度（包括但不限于人员安全、机械操作安全、工作安全等）</w:t>
            </w:r>
          </w:p>
          <w:p>
            <w:pPr>
              <w:pStyle w:val="23"/>
              <w:numPr>
                <w:ilvl w:val="1"/>
                <w:numId w:val="32"/>
              </w:numPr>
              <w:tabs>
                <w:tab w:val="left" w:pos="1057"/>
              </w:tabs>
              <w:spacing w:before="5" w:after="0" w:line="240" w:lineRule="auto"/>
              <w:ind w:left="1057" w:right="0" w:hanging="530"/>
              <w:jc w:val="both"/>
              <w:rPr>
                <w:rFonts w:ascii="Times New Roman" w:eastAsia="Times New Roman"/>
                <w:sz w:val="21"/>
              </w:rPr>
            </w:pPr>
            <w:r>
              <w:rPr>
                <w:spacing w:val="-3"/>
                <w:sz w:val="21"/>
              </w:rPr>
              <w:t>制度内容完整详尽，且不限于上述所要求内容的计</w:t>
            </w:r>
            <w:r>
              <w:rPr>
                <w:sz w:val="21"/>
              </w:rPr>
              <w:t>（</w:t>
            </w:r>
            <w:r>
              <w:rPr>
                <w:rFonts w:hint="eastAsia"/>
                <w:sz w:val="21"/>
                <w:lang w:val="en-US" w:eastAsia="zh-CN"/>
              </w:rPr>
              <w:t>8</w:t>
            </w:r>
            <w:r>
              <w:rPr>
                <w:rFonts w:ascii="Times New Roman" w:eastAsia="Times New Roman"/>
                <w:sz w:val="21"/>
              </w:rPr>
              <w:t xml:space="preserve">-10 </w:t>
            </w:r>
            <w:r>
              <w:rPr>
                <w:sz w:val="21"/>
              </w:rPr>
              <w:t>分</w:t>
            </w:r>
            <w:r>
              <w:rPr>
                <w:rFonts w:hint="eastAsia"/>
                <w:sz w:val="21"/>
                <w:lang w:eastAsia="zh-CN"/>
              </w:rPr>
              <w:t>）</w:t>
            </w:r>
            <w:r>
              <w:rPr>
                <w:rFonts w:ascii="Times New Roman" w:eastAsia="Times New Roman"/>
                <w:sz w:val="21"/>
              </w:rPr>
              <w:t>;</w:t>
            </w:r>
          </w:p>
          <w:p>
            <w:pPr>
              <w:pStyle w:val="23"/>
              <w:numPr>
                <w:ilvl w:val="1"/>
                <w:numId w:val="32"/>
              </w:numPr>
              <w:tabs>
                <w:tab w:val="left" w:pos="1057"/>
              </w:tabs>
              <w:spacing w:before="57" w:after="0" w:line="240" w:lineRule="auto"/>
              <w:ind w:left="1057" w:right="0" w:hanging="530"/>
              <w:jc w:val="both"/>
              <w:rPr>
                <w:sz w:val="21"/>
              </w:rPr>
            </w:pPr>
            <w:r>
              <w:rPr>
                <w:spacing w:val="-3"/>
                <w:sz w:val="21"/>
              </w:rPr>
              <w:t>制度内容无缺漏，对上述所要求内容描述符合招标文件的计</w:t>
            </w:r>
            <w:r>
              <w:rPr>
                <w:sz w:val="21"/>
              </w:rPr>
              <w:t>（</w:t>
            </w:r>
            <w:r>
              <w:rPr>
                <w:rFonts w:ascii="Times New Roman" w:eastAsia="Times New Roman"/>
                <w:sz w:val="21"/>
              </w:rPr>
              <w:t>5-7</w:t>
            </w:r>
            <w:r>
              <w:rPr>
                <w:rFonts w:ascii="Times New Roman" w:eastAsia="Times New Roman"/>
                <w:spacing w:val="1"/>
                <w:sz w:val="21"/>
              </w:rPr>
              <w:t xml:space="preserve"> </w:t>
            </w:r>
            <w:r>
              <w:rPr>
                <w:sz w:val="21"/>
              </w:rPr>
              <w:t>分</w:t>
            </w:r>
            <w:r>
              <w:rPr>
                <w:rFonts w:hint="eastAsia"/>
                <w:sz w:val="21"/>
                <w:lang w:eastAsia="zh-CN"/>
              </w:rPr>
              <w:t>）</w:t>
            </w:r>
            <w:r>
              <w:rPr>
                <w:sz w:val="21"/>
              </w:rPr>
              <w:t>；</w:t>
            </w:r>
          </w:p>
          <w:p>
            <w:pPr>
              <w:pStyle w:val="23"/>
              <w:numPr>
                <w:ilvl w:val="1"/>
                <w:numId w:val="32"/>
              </w:numPr>
              <w:tabs>
                <w:tab w:val="left" w:pos="1057"/>
              </w:tabs>
              <w:spacing w:before="58" w:after="0" w:line="240" w:lineRule="auto"/>
              <w:ind w:left="1057" w:right="0" w:hanging="530"/>
              <w:jc w:val="both"/>
              <w:rPr>
                <w:sz w:val="21"/>
              </w:rPr>
            </w:pPr>
            <w:r>
              <w:rPr>
                <w:spacing w:val="-3"/>
                <w:sz w:val="21"/>
              </w:rPr>
              <w:t>不符合上述两种情形的计</w:t>
            </w:r>
            <w:r>
              <w:rPr>
                <w:rFonts w:hint="eastAsia"/>
                <w:spacing w:val="-3"/>
                <w:sz w:val="21"/>
                <w:lang w:eastAsia="zh-CN"/>
              </w:rPr>
              <w:t>（</w:t>
            </w:r>
            <w:r>
              <w:rPr>
                <w:rFonts w:ascii="Times New Roman" w:eastAsia="Times New Roman"/>
                <w:sz w:val="21"/>
              </w:rPr>
              <w:t>0-</w:t>
            </w:r>
            <w:r>
              <w:rPr>
                <w:rFonts w:hint="eastAsia" w:ascii="Times New Roman" w:eastAsia="宋体"/>
                <w:sz w:val="21"/>
                <w:lang w:val="en-US" w:eastAsia="zh-CN"/>
              </w:rPr>
              <w:t>4</w:t>
            </w:r>
            <w:r>
              <w:rPr>
                <w:rFonts w:ascii="Times New Roman" w:eastAsia="Times New Roman"/>
                <w:sz w:val="21"/>
              </w:rPr>
              <w:t xml:space="preserve"> </w:t>
            </w:r>
            <w:r>
              <w:rPr>
                <w:sz w:val="21"/>
              </w:rPr>
              <w:t>分</w:t>
            </w:r>
            <w:r>
              <w:rPr>
                <w:rFonts w:hint="eastAsia"/>
                <w:spacing w:val="-3"/>
                <w:sz w:val="21"/>
                <w:lang w:eastAsia="zh-CN"/>
              </w:rPr>
              <w:t>）</w:t>
            </w:r>
            <w:r>
              <w:rPr>
                <w:spacing w:val="-3"/>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1" w:hRule="atLeast"/>
        </w:trPr>
        <w:tc>
          <w:tcPr>
            <w:tcW w:w="979"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8368" w:type="dxa"/>
            <w:vAlign w:val="center"/>
          </w:tcPr>
          <w:p>
            <w:pPr>
              <w:pStyle w:val="23"/>
              <w:numPr>
                <w:ilvl w:val="0"/>
                <w:numId w:val="33"/>
              </w:numPr>
              <w:tabs>
                <w:tab w:val="left" w:pos="268"/>
              </w:tabs>
              <w:spacing w:before="30" w:after="0" w:line="240" w:lineRule="auto"/>
              <w:ind w:left="267" w:right="0" w:hanging="161"/>
              <w:jc w:val="both"/>
              <w:rPr>
                <w:sz w:val="21"/>
              </w:rPr>
            </w:pPr>
            <w:r>
              <w:rPr>
                <w:spacing w:val="-3"/>
                <w:sz w:val="21"/>
              </w:rPr>
              <w:t>应急处理方案：</w:t>
            </w:r>
            <w:r>
              <w:rPr>
                <w:sz w:val="21"/>
              </w:rPr>
              <w:t>评标委员会根据各投标人针对本项目的应急处理方案（包含但不限于突发情况，恶劣天气影响，重大节假日或活动等特殊情况）。</w:t>
            </w:r>
          </w:p>
          <w:p>
            <w:pPr>
              <w:pStyle w:val="23"/>
              <w:numPr>
                <w:ilvl w:val="1"/>
                <w:numId w:val="33"/>
              </w:numPr>
              <w:tabs>
                <w:tab w:val="left" w:pos="1057"/>
              </w:tabs>
              <w:spacing w:before="0" w:after="0" w:line="268" w:lineRule="exact"/>
              <w:ind w:left="1057" w:right="0" w:hanging="530"/>
              <w:jc w:val="both"/>
              <w:rPr>
                <w:rFonts w:ascii="Times New Roman" w:eastAsia="Times New Roman"/>
                <w:sz w:val="21"/>
              </w:rPr>
            </w:pPr>
            <w:r>
              <w:rPr>
                <w:spacing w:val="-3"/>
                <w:sz w:val="21"/>
              </w:rPr>
              <w:t>方案内容完整详尽，且不限于上述所要求内容的计</w:t>
            </w:r>
            <w:r>
              <w:rPr>
                <w:sz w:val="21"/>
              </w:rPr>
              <w:t>（</w:t>
            </w:r>
            <w:r>
              <w:rPr>
                <w:rFonts w:hint="eastAsia"/>
                <w:sz w:val="21"/>
                <w:lang w:val="en-US" w:eastAsia="zh-CN"/>
              </w:rPr>
              <w:t>8</w:t>
            </w:r>
            <w:r>
              <w:rPr>
                <w:rFonts w:ascii="Times New Roman" w:eastAsia="Times New Roman"/>
                <w:sz w:val="21"/>
              </w:rPr>
              <w:t xml:space="preserve">-10 </w:t>
            </w:r>
            <w:r>
              <w:rPr>
                <w:sz w:val="21"/>
              </w:rPr>
              <w:t>分</w:t>
            </w:r>
            <w:r>
              <w:rPr>
                <w:rFonts w:ascii="Times New Roman" w:eastAsia="Times New Roman"/>
                <w:sz w:val="21"/>
              </w:rPr>
              <w:t>];</w:t>
            </w:r>
          </w:p>
          <w:p>
            <w:pPr>
              <w:pStyle w:val="23"/>
              <w:numPr>
                <w:ilvl w:val="1"/>
                <w:numId w:val="33"/>
              </w:numPr>
              <w:tabs>
                <w:tab w:val="left" w:pos="1057"/>
              </w:tabs>
              <w:spacing w:before="57" w:after="0" w:line="240" w:lineRule="auto"/>
              <w:ind w:left="1057" w:right="0" w:hanging="530"/>
              <w:jc w:val="both"/>
              <w:rPr>
                <w:sz w:val="21"/>
              </w:rPr>
            </w:pPr>
            <w:r>
              <w:rPr>
                <w:spacing w:val="-3"/>
                <w:sz w:val="21"/>
              </w:rPr>
              <w:t>方案内容无缺漏，对上述所要求内容描述符合招标文件的计</w:t>
            </w:r>
            <w:r>
              <w:rPr>
                <w:sz w:val="21"/>
              </w:rPr>
              <w:t>（</w:t>
            </w:r>
            <w:r>
              <w:rPr>
                <w:rFonts w:ascii="Times New Roman" w:eastAsia="Times New Roman"/>
                <w:sz w:val="21"/>
              </w:rPr>
              <w:t>5-7</w:t>
            </w:r>
            <w:r>
              <w:rPr>
                <w:rFonts w:ascii="Times New Roman" w:eastAsia="Times New Roman"/>
                <w:spacing w:val="1"/>
                <w:sz w:val="21"/>
              </w:rPr>
              <w:t xml:space="preserve"> </w:t>
            </w:r>
            <w:r>
              <w:rPr>
                <w:sz w:val="21"/>
              </w:rPr>
              <w:t>分</w:t>
            </w:r>
            <w:r>
              <w:rPr>
                <w:rFonts w:ascii="Times New Roman" w:eastAsia="Times New Roman"/>
                <w:sz w:val="21"/>
              </w:rPr>
              <w:t>]</w:t>
            </w:r>
            <w:r>
              <w:rPr>
                <w:sz w:val="21"/>
              </w:rPr>
              <w:t>；</w:t>
            </w:r>
          </w:p>
          <w:p>
            <w:pPr>
              <w:pStyle w:val="23"/>
              <w:numPr>
                <w:ilvl w:val="1"/>
                <w:numId w:val="33"/>
              </w:numPr>
              <w:tabs>
                <w:tab w:val="left" w:pos="1057"/>
              </w:tabs>
              <w:spacing w:before="58" w:after="0" w:line="240" w:lineRule="auto"/>
              <w:ind w:left="1057" w:right="0" w:hanging="530"/>
              <w:jc w:val="both"/>
              <w:rPr>
                <w:sz w:val="21"/>
              </w:rPr>
            </w:pPr>
            <w:r>
              <w:rPr>
                <w:spacing w:val="-3"/>
                <w:sz w:val="21"/>
              </w:rPr>
              <w:t>不符合上述两种情形的计</w:t>
            </w:r>
            <w:r>
              <w:rPr>
                <w:rFonts w:hint="eastAsia"/>
                <w:spacing w:val="-3"/>
                <w:sz w:val="21"/>
                <w:lang w:eastAsia="zh-CN"/>
              </w:rPr>
              <w:t>（</w:t>
            </w:r>
            <w:r>
              <w:rPr>
                <w:rFonts w:ascii="Times New Roman" w:eastAsia="Times New Roman"/>
                <w:sz w:val="21"/>
              </w:rPr>
              <w:t>0-</w:t>
            </w:r>
            <w:r>
              <w:rPr>
                <w:rFonts w:hint="eastAsia" w:ascii="Times New Roman" w:eastAsia="宋体"/>
                <w:sz w:val="21"/>
                <w:lang w:val="en-US" w:eastAsia="zh-CN"/>
              </w:rPr>
              <w:t>4</w:t>
            </w:r>
            <w:r>
              <w:rPr>
                <w:sz w:val="21"/>
              </w:rPr>
              <w:t>分</w:t>
            </w:r>
            <w:r>
              <w:rPr>
                <w:rFonts w:hint="eastAsia"/>
                <w:spacing w:val="-3"/>
                <w:sz w:val="21"/>
                <w:lang w:eastAsia="zh-CN"/>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4" w:hRule="atLeast"/>
        </w:trPr>
        <w:tc>
          <w:tcPr>
            <w:tcW w:w="979" w:type="dxa"/>
            <w:vMerge w:val="continue"/>
            <w:tcBorders>
              <w:top w:val="nil"/>
            </w:tcBorders>
          </w:tcPr>
          <w:p>
            <w:pPr>
              <w:rPr>
                <w:sz w:val="2"/>
                <w:szCs w:val="2"/>
              </w:rPr>
            </w:pPr>
          </w:p>
        </w:tc>
        <w:tc>
          <w:tcPr>
            <w:tcW w:w="617" w:type="dxa"/>
            <w:vMerge w:val="continue"/>
            <w:tcBorders>
              <w:top w:val="nil"/>
            </w:tcBorders>
          </w:tcPr>
          <w:p>
            <w:pPr>
              <w:rPr>
                <w:sz w:val="2"/>
                <w:szCs w:val="2"/>
              </w:rPr>
            </w:pPr>
          </w:p>
        </w:tc>
        <w:tc>
          <w:tcPr>
            <w:tcW w:w="8368" w:type="dxa"/>
            <w:vAlign w:val="center"/>
          </w:tcPr>
          <w:p>
            <w:pPr>
              <w:pStyle w:val="23"/>
              <w:numPr>
                <w:ilvl w:val="0"/>
                <w:numId w:val="34"/>
              </w:numPr>
              <w:tabs>
                <w:tab w:val="left" w:pos="268"/>
              </w:tabs>
              <w:spacing w:before="29" w:after="0" w:line="240" w:lineRule="auto"/>
              <w:ind w:left="267" w:right="0" w:hanging="161"/>
              <w:jc w:val="both"/>
              <w:rPr>
                <w:sz w:val="21"/>
              </w:rPr>
            </w:pPr>
            <w:r>
              <w:rPr>
                <w:spacing w:val="-3"/>
                <w:sz w:val="21"/>
              </w:rPr>
              <w:t>环卫作业机械及工具方案：</w:t>
            </w:r>
            <w:r>
              <w:rPr>
                <w:sz w:val="21"/>
              </w:rPr>
              <w:t>评标委员会根据各投标人针对本项目的环卫作业机械及工具方案。</w:t>
            </w:r>
          </w:p>
          <w:p>
            <w:pPr>
              <w:pStyle w:val="23"/>
              <w:numPr>
                <w:ilvl w:val="1"/>
                <w:numId w:val="34"/>
              </w:numPr>
              <w:tabs>
                <w:tab w:val="left" w:pos="1057"/>
              </w:tabs>
              <w:spacing w:before="57" w:after="0" w:line="240" w:lineRule="auto"/>
              <w:ind w:left="1057" w:right="0" w:hanging="530"/>
              <w:jc w:val="both"/>
              <w:rPr>
                <w:rFonts w:ascii="Times New Roman" w:eastAsia="Times New Roman"/>
                <w:sz w:val="21"/>
              </w:rPr>
            </w:pPr>
            <w:r>
              <w:rPr>
                <w:spacing w:val="-3"/>
                <w:sz w:val="21"/>
              </w:rPr>
              <w:t>方案内容完整详尽，且不限于招标文件所要求内容的计</w:t>
            </w:r>
            <w:r>
              <w:rPr>
                <w:sz w:val="21"/>
              </w:rPr>
              <w:t>（</w:t>
            </w:r>
            <w:r>
              <w:rPr>
                <w:rFonts w:hint="eastAsia"/>
                <w:sz w:val="21"/>
                <w:lang w:val="en-US" w:eastAsia="zh-CN"/>
              </w:rPr>
              <w:t>8</w:t>
            </w:r>
            <w:r>
              <w:rPr>
                <w:rFonts w:ascii="Times New Roman" w:eastAsia="Times New Roman"/>
                <w:sz w:val="21"/>
              </w:rPr>
              <w:t xml:space="preserve">-10 </w:t>
            </w:r>
            <w:r>
              <w:rPr>
                <w:sz w:val="21"/>
              </w:rPr>
              <w:t>分</w:t>
            </w:r>
            <w:r>
              <w:rPr>
                <w:rFonts w:hint="eastAsia"/>
                <w:sz w:val="21"/>
                <w:lang w:eastAsia="zh-CN"/>
              </w:rPr>
              <w:t>）</w:t>
            </w:r>
            <w:r>
              <w:rPr>
                <w:rFonts w:ascii="Times New Roman" w:eastAsia="Times New Roman"/>
                <w:sz w:val="21"/>
              </w:rPr>
              <w:t>;</w:t>
            </w:r>
          </w:p>
          <w:p>
            <w:pPr>
              <w:pStyle w:val="23"/>
              <w:numPr>
                <w:ilvl w:val="1"/>
                <w:numId w:val="34"/>
              </w:numPr>
              <w:tabs>
                <w:tab w:val="left" w:pos="1057"/>
              </w:tabs>
              <w:spacing w:before="58" w:after="0" w:line="240" w:lineRule="auto"/>
              <w:ind w:left="1057" w:right="0" w:hanging="530"/>
              <w:jc w:val="both"/>
              <w:rPr>
                <w:sz w:val="21"/>
              </w:rPr>
            </w:pPr>
            <w:r>
              <w:rPr>
                <w:spacing w:val="-3"/>
                <w:sz w:val="21"/>
              </w:rPr>
              <w:t>方案内容描述符合招标文件的计</w:t>
            </w:r>
            <w:r>
              <w:rPr>
                <w:sz w:val="21"/>
              </w:rPr>
              <w:t>（</w:t>
            </w:r>
            <w:r>
              <w:rPr>
                <w:rFonts w:ascii="Times New Roman" w:eastAsia="Times New Roman"/>
                <w:sz w:val="21"/>
              </w:rPr>
              <w:t xml:space="preserve">5-7 </w:t>
            </w:r>
            <w:r>
              <w:rPr>
                <w:sz w:val="21"/>
              </w:rPr>
              <w:t>分</w:t>
            </w:r>
            <w:r>
              <w:rPr>
                <w:rFonts w:hint="eastAsia"/>
                <w:sz w:val="21"/>
                <w:lang w:eastAsia="zh-CN"/>
              </w:rPr>
              <w:t>）</w:t>
            </w:r>
            <w:r>
              <w:rPr>
                <w:sz w:val="21"/>
              </w:rPr>
              <w:t>；</w:t>
            </w:r>
          </w:p>
          <w:p>
            <w:pPr>
              <w:pStyle w:val="23"/>
              <w:numPr>
                <w:ilvl w:val="1"/>
                <w:numId w:val="34"/>
              </w:numPr>
              <w:tabs>
                <w:tab w:val="left" w:pos="1057"/>
              </w:tabs>
              <w:spacing w:before="54" w:after="0" w:line="240" w:lineRule="auto"/>
              <w:ind w:left="1057" w:right="0" w:hanging="530"/>
              <w:jc w:val="both"/>
              <w:rPr>
                <w:sz w:val="21"/>
              </w:rPr>
            </w:pPr>
            <w:r>
              <w:rPr>
                <w:spacing w:val="-3"/>
                <w:sz w:val="21"/>
              </w:rPr>
              <w:t>不符合上述两种情形的计</w:t>
            </w:r>
            <w:r>
              <w:rPr>
                <w:rFonts w:hint="eastAsia"/>
                <w:spacing w:val="-3"/>
                <w:sz w:val="21"/>
                <w:lang w:eastAsia="zh-CN"/>
              </w:rPr>
              <w:t>（</w:t>
            </w:r>
            <w:r>
              <w:rPr>
                <w:rFonts w:ascii="Times New Roman" w:eastAsia="Times New Roman"/>
                <w:sz w:val="21"/>
              </w:rPr>
              <w:t>0-</w:t>
            </w:r>
            <w:r>
              <w:rPr>
                <w:rFonts w:hint="eastAsia" w:ascii="Times New Roman" w:eastAsia="宋体"/>
                <w:sz w:val="21"/>
                <w:lang w:val="en-US" w:eastAsia="zh-CN"/>
              </w:rPr>
              <w:t>4</w:t>
            </w:r>
            <w:r>
              <w:rPr>
                <w:sz w:val="21"/>
              </w:rPr>
              <w:t>分</w:t>
            </w:r>
            <w:r>
              <w:rPr>
                <w:rFonts w:hint="eastAsia"/>
                <w:spacing w:val="-3"/>
                <w:sz w:val="21"/>
                <w:lang w:eastAsia="zh-CN"/>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979" w:type="dxa"/>
            <w:vAlign w:val="center"/>
          </w:tcPr>
          <w:p>
            <w:pPr>
              <w:pStyle w:val="23"/>
              <w:spacing w:before="29"/>
              <w:ind w:left="-3"/>
              <w:jc w:val="center"/>
              <w:rPr>
                <w:rFonts w:hint="eastAsia" w:eastAsia="宋体"/>
                <w:sz w:val="21"/>
                <w:lang w:eastAsia="zh-CN"/>
              </w:rPr>
            </w:pPr>
            <w:r>
              <w:rPr>
                <w:rFonts w:hint="eastAsia"/>
                <w:sz w:val="21"/>
                <w:lang w:eastAsia="zh-CN"/>
              </w:rPr>
              <w:t>体系证书</w:t>
            </w:r>
          </w:p>
        </w:tc>
        <w:tc>
          <w:tcPr>
            <w:tcW w:w="617" w:type="dxa"/>
            <w:vAlign w:val="center"/>
          </w:tcPr>
          <w:p>
            <w:pPr>
              <w:pStyle w:val="23"/>
              <w:spacing w:before="29"/>
              <w:ind w:left="117"/>
              <w:jc w:val="center"/>
              <w:rPr>
                <w:rFonts w:hint="default" w:ascii="Times New Roman" w:eastAsia="宋体"/>
                <w:sz w:val="21"/>
                <w:lang w:val="en-US" w:eastAsia="zh-CN"/>
              </w:rPr>
            </w:pPr>
            <w:r>
              <w:rPr>
                <w:rFonts w:hint="eastAsia" w:ascii="Times New Roman" w:eastAsia="宋体"/>
                <w:sz w:val="21"/>
                <w:lang w:val="en-US" w:eastAsia="zh-CN"/>
              </w:rPr>
              <w:t>6分</w:t>
            </w:r>
          </w:p>
        </w:tc>
        <w:tc>
          <w:tcPr>
            <w:tcW w:w="8368" w:type="dxa"/>
            <w:vAlign w:val="center"/>
          </w:tcPr>
          <w:p>
            <w:pPr>
              <w:pStyle w:val="23"/>
              <w:spacing w:before="29"/>
              <w:ind w:left="107"/>
              <w:jc w:val="left"/>
              <w:rPr>
                <w:rFonts w:hint="default" w:ascii="Times New Roman" w:eastAsia="宋体"/>
                <w:sz w:val="21"/>
                <w:lang w:val="en-US" w:eastAsia="zh-CN"/>
              </w:rPr>
            </w:pPr>
            <w:r>
              <w:rPr>
                <w:rFonts w:hint="eastAsia" w:ascii="Times New Roman" w:eastAsia="宋体"/>
                <w:sz w:val="21"/>
                <w:lang w:eastAsia="zh-CN"/>
              </w:rPr>
              <w:t>质量管理体系认证证书（</w:t>
            </w:r>
            <w:r>
              <w:rPr>
                <w:rFonts w:hint="eastAsia" w:ascii="Times New Roman" w:eastAsia="宋体"/>
                <w:sz w:val="21"/>
                <w:lang w:val="en-US" w:eastAsia="zh-CN"/>
              </w:rPr>
              <w:t>2分）环境管理体系认证证书（2分）职业健康安全管理体系认证证书(2分）共计6分。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6" w:hRule="atLeast"/>
        </w:trPr>
        <w:tc>
          <w:tcPr>
            <w:tcW w:w="979" w:type="dxa"/>
            <w:vAlign w:val="center"/>
          </w:tcPr>
          <w:p>
            <w:pPr>
              <w:pStyle w:val="23"/>
              <w:spacing w:before="29"/>
              <w:ind w:left="-3"/>
              <w:jc w:val="center"/>
              <w:rPr>
                <w:sz w:val="21"/>
              </w:rPr>
            </w:pPr>
            <w:r>
              <w:rPr>
                <w:sz w:val="21"/>
              </w:rPr>
              <w:t>承诺及合</w:t>
            </w:r>
            <w:r>
              <w:rPr>
                <w:spacing w:val="-5"/>
                <w:sz w:val="21"/>
              </w:rPr>
              <w:t>理化建议</w:t>
            </w:r>
          </w:p>
        </w:tc>
        <w:tc>
          <w:tcPr>
            <w:tcW w:w="617" w:type="dxa"/>
            <w:vAlign w:val="center"/>
          </w:tcPr>
          <w:p>
            <w:pPr>
              <w:pStyle w:val="23"/>
              <w:spacing w:before="29"/>
              <w:ind w:left="117"/>
              <w:jc w:val="center"/>
              <w:rPr>
                <w:sz w:val="21"/>
              </w:rPr>
            </w:pPr>
            <w:r>
              <w:rPr>
                <w:rFonts w:hint="eastAsia" w:ascii="Times New Roman" w:eastAsia="宋体"/>
                <w:sz w:val="21"/>
                <w:lang w:val="en-US" w:eastAsia="zh-CN"/>
              </w:rPr>
              <w:t>4</w:t>
            </w:r>
            <w:r>
              <w:rPr>
                <w:rFonts w:ascii="Times New Roman" w:eastAsia="Times New Roman"/>
                <w:sz w:val="21"/>
              </w:rPr>
              <w:t xml:space="preserve"> </w:t>
            </w:r>
            <w:r>
              <w:rPr>
                <w:sz w:val="21"/>
              </w:rPr>
              <w:t>分</w:t>
            </w:r>
          </w:p>
        </w:tc>
        <w:tc>
          <w:tcPr>
            <w:tcW w:w="8368" w:type="dxa"/>
            <w:vAlign w:val="center"/>
          </w:tcPr>
          <w:p>
            <w:pPr>
              <w:pStyle w:val="23"/>
              <w:spacing w:before="29" w:line="290" w:lineRule="auto"/>
              <w:ind w:right="38"/>
              <w:jc w:val="both"/>
              <w:rPr>
                <w:sz w:val="21"/>
              </w:rPr>
            </w:pPr>
            <w:r>
              <w:rPr>
                <w:rFonts w:ascii="Times New Roman" w:eastAsia="Times New Roman"/>
                <w:sz w:val="21"/>
              </w:rPr>
              <w:t>1.</w:t>
            </w:r>
            <w:r>
              <w:rPr>
                <w:sz w:val="21"/>
              </w:rPr>
              <w:t>承诺：评标委员会根据各投标人针对本项目的承诺（包括但保洁人员的劳动保障、服务质量承诺、成交后项目实施等方面）。</w:t>
            </w:r>
          </w:p>
          <w:p>
            <w:pPr>
              <w:pStyle w:val="23"/>
              <w:spacing w:before="58"/>
              <w:ind w:left="107"/>
              <w:jc w:val="both"/>
              <w:rPr>
                <w:rFonts w:ascii="Times New Roman" w:eastAsia="Times New Roman"/>
                <w:sz w:val="21"/>
              </w:rPr>
            </w:pPr>
            <w:r>
              <w:rPr>
                <w:rFonts w:hint="eastAsia" w:ascii="Times New Roman" w:eastAsia="Times New Roman"/>
                <w:sz w:val="21"/>
                <w:lang w:eastAsia="zh-CN"/>
              </w:rPr>
              <w:t>承诺内容</w:t>
            </w:r>
            <w:r>
              <w:rPr>
                <w:rFonts w:ascii="Times New Roman" w:eastAsia="Times New Roman"/>
                <w:sz w:val="21"/>
              </w:rPr>
              <w:t>完善，对所要求内容描述详尽的计（</w:t>
            </w:r>
            <w:r>
              <w:rPr>
                <w:rFonts w:hint="eastAsia" w:ascii="Times New Roman" w:eastAsia="Times New Roman"/>
                <w:sz w:val="21"/>
                <w:lang w:val="en-US" w:eastAsia="zh-CN"/>
              </w:rPr>
              <w:t>2</w:t>
            </w:r>
            <w:r>
              <w:rPr>
                <w:rFonts w:ascii="Times New Roman" w:eastAsia="Times New Roman"/>
                <w:sz w:val="21"/>
              </w:rPr>
              <w:t xml:space="preserve"> 分</w:t>
            </w:r>
            <w:r>
              <w:rPr>
                <w:rFonts w:hint="eastAsia" w:ascii="Times New Roman" w:eastAsia="Times New Roman"/>
                <w:sz w:val="21"/>
                <w:lang w:eastAsia="zh-CN"/>
              </w:rPr>
              <w:t>）；</w:t>
            </w:r>
          </w:p>
          <w:p>
            <w:pPr>
              <w:pStyle w:val="23"/>
              <w:numPr>
                <w:ilvl w:val="0"/>
                <w:numId w:val="0"/>
              </w:numPr>
              <w:spacing w:before="29"/>
              <w:ind w:right="0" w:rightChars="0"/>
              <w:jc w:val="both"/>
              <w:rPr>
                <w:rFonts w:hint="eastAsia" w:ascii="Times New Roman" w:eastAsia="宋体"/>
                <w:sz w:val="21"/>
                <w:lang w:eastAsia="zh-CN"/>
              </w:rPr>
            </w:pPr>
            <w:r>
              <w:rPr>
                <w:rFonts w:hint="eastAsia" w:ascii="Times New Roman" w:eastAsia="宋体"/>
                <w:sz w:val="21"/>
                <w:lang w:val="en-US" w:eastAsia="zh-CN"/>
              </w:rPr>
              <w:t>2.</w:t>
            </w:r>
            <w:r>
              <w:rPr>
                <w:rFonts w:ascii="Times New Roman" w:eastAsia="Times New Roman"/>
                <w:sz w:val="21"/>
              </w:rPr>
              <w:t>合理化建议</w:t>
            </w:r>
            <w:r>
              <w:rPr>
                <w:rFonts w:hint="eastAsia" w:ascii="Times New Roman" w:eastAsia="宋体"/>
                <w:sz w:val="21"/>
                <w:lang w:eastAsia="zh-CN"/>
              </w:rPr>
              <w:t>：</w:t>
            </w:r>
          </w:p>
          <w:p>
            <w:pPr>
              <w:pStyle w:val="23"/>
              <w:numPr>
                <w:ilvl w:val="0"/>
                <w:numId w:val="0"/>
              </w:numPr>
              <w:spacing w:before="29"/>
              <w:ind w:left="106" w:leftChars="0" w:right="0" w:rightChars="0"/>
              <w:jc w:val="both"/>
              <w:rPr>
                <w:sz w:val="21"/>
              </w:rPr>
            </w:pPr>
            <w:r>
              <w:rPr>
                <w:rFonts w:ascii="Times New Roman" w:eastAsia="Times New Roman"/>
                <w:sz w:val="21"/>
              </w:rPr>
              <w:t>从积极意义、可行性、合理性等方面综合考虑计</w:t>
            </w:r>
            <w:r>
              <w:rPr>
                <w:rFonts w:hint="eastAsia" w:ascii="Times New Roman" w:eastAsia="Times New Roman"/>
                <w:sz w:val="21"/>
                <w:lang w:val="en-US" w:eastAsia="zh-CN"/>
              </w:rPr>
              <w:t>2</w:t>
            </w:r>
            <w:r>
              <w:rPr>
                <w:rFonts w:ascii="Times New Roman" w:eastAsia="Times New Roman"/>
                <w:sz w:val="21"/>
              </w:rPr>
              <w:t xml:space="preserve"> 分，没有合理化建议的，本项不计分</w:t>
            </w:r>
            <w:r>
              <w:rPr>
                <w:rFonts w:hint="eastAsia" w:ascii="Times New Roman" w:eastAsia="Times New Roman"/>
                <w:sz w:val="21"/>
                <w:lang w:eastAsia="zh-CN"/>
              </w:rPr>
              <w:t>。</w:t>
            </w:r>
          </w:p>
        </w:tc>
      </w:tr>
    </w:tbl>
    <w:tbl>
      <w:tblPr>
        <w:tblStyle w:val="17"/>
        <w:tblpPr w:leftFromText="180" w:rightFromText="180" w:vertAnchor="text" w:horzAnchor="page" w:tblpX="954" w:tblpY="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5"/>
        <w:gridCol w:w="591"/>
        <w:gridCol w:w="8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005" w:type="dxa"/>
          </w:tcPr>
          <w:p>
            <w:pPr>
              <w:pStyle w:val="23"/>
              <w:spacing w:before="9"/>
              <w:rPr>
                <w:rFonts w:ascii="Times New Roman"/>
                <w:sz w:val="16"/>
              </w:rPr>
            </w:pPr>
          </w:p>
          <w:p>
            <w:pPr>
              <w:pStyle w:val="23"/>
              <w:ind w:left="188" w:right="203"/>
              <w:jc w:val="center"/>
              <w:rPr>
                <w:sz w:val="21"/>
              </w:rPr>
            </w:pPr>
            <w:r>
              <w:rPr>
                <w:sz w:val="21"/>
              </w:rPr>
              <w:t>业绩</w:t>
            </w:r>
          </w:p>
        </w:tc>
        <w:tc>
          <w:tcPr>
            <w:tcW w:w="591" w:type="dxa"/>
          </w:tcPr>
          <w:p>
            <w:pPr>
              <w:pStyle w:val="23"/>
              <w:spacing w:before="193"/>
              <w:ind w:left="117"/>
              <w:jc w:val="center"/>
              <w:rPr>
                <w:sz w:val="21"/>
              </w:rPr>
            </w:pPr>
            <w:r>
              <w:rPr>
                <w:rFonts w:hint="eastAsia"/>
                <w:sz w:val="21"/>
                <w:lang w:val="en-US" w:eastAsia="zh-CN"/>
              </w:rPr>
              <w:t>6</w:t>
            </w:r>
            <w:r>
              <w:rPr>
                <w:sz w:val="21"/>
              </w:rPr>
              <w:t>分</w:t>
            </w:r>
          </w:p>
        </w:tc>
        <w:tc>
          <w:tcPr>
            <w:tcW w:w="8368" w:type="dxa"/>
            <w:vAlign w:val="center"/>
          </w:tcPr>
          <w:p>
            <w:pPr>
              <w:pStyle w:val="23"/>
              <w:spacing w:before="29"/>
              <w:ind w:left="107"/>
              <w:jc w:val="both"/>
              <w:rPr>
                <w:sz w:val="21"/>
              </w:rPr>
            </w:pPr>
            <w:r>
              <w:rPr>
                <w:rFonts w:hint="eastAsia"/>
                <w:sz w:val="21"/>
                <w:lang w:eastAsia="zh-CN"/>
              </w:rPr>
              <w:t>企业</w:t>
            </w:r>
            <w:r>
              <w:rPr>
                <w:sz w:val="21"/>
              </w:rPr>
              <w:t xml:space="preserve">业绩（以签订日期自 </w:t>
            </w:r>
            <w:r>
              <w:rPr>
                <w:rFonts w:ascii="Times New Roman" w:eastAsia="Times New Roman"/>
                <w:sz w:val="21"/>
              </w:rPr>
              <w:t xml:space="preserve">2017 </w:t>
            </w:r>
            <w:r>
              <w:rPr>
                <w:sz w:val="21"/>
              </w:rPr>
              <w:t xml:space="preserve">年 </w:t>
            </w:r>
            <w:r>
              <w:rPr>
                <w:rFonts w:ascii="Times New Roman" w:eastAsia="Times New Roman"/>
                <w:sz w:val="21"/>
              </w:rPr>
              <w:t xml:space="preserve">1 </w:t>
            </w:r>
            <w:r>
              <w:rPr>
                <w:sz w:val="21"/>
              </w:rPr>
              <w:t xml:space="preserve">月 </w:t>
            </w:r>
            <w:r>
              <w:rPr>
                <w:rFonts w:ascii="Times New Roman" w:eastAsia="Times New Roman"/>
                <w:sz w:val="21"/>
              </w:rPr>
              <w:t xml:space="preserve">1 </w:t>
            </w:r>
            <w:r>
              <w:rPr>
                <w:sz w:val="21"/>
              </w:rPr>
              <w:t>日至今的合同为准，复印件加盖公章），每提供</w:t>
            </w:r>
          </w:p>
          <w:p>
            <w:pPr>
              <w:pStyle w:val="23"/>
              <w:spacing w:before="58"/>
              <w:ind w:left="107"/>
              <w:jc w:val="both"/>
              <w:rPr>
                <w:sz w:val="21"/>
              </w:rPr>
            </w:pPr>
            <w:r>
              <w:rPr>
                <w:sz w:val="21"/>
              </w:rPr>
              <w:t xml:space="preserve">一份计 </w:t>
            </w:r>
            <w:r>
              <w:rPr>
                <w:rFonts w:ascii="Times New Roman" w:eastAsia="Times New Roman"/>
                <w:sz w:val="21"/>
              </w:rPr>
              <w:t xml:space="preserve">2 </w:t>
            </w:r>
            <w:r>
              <w:rPr>
                <w:sz w:val="21"/>
              </w:rPr>
              <w:t>分，</w:t>
            </w:r>
            <w:r>
              <w:rPr>
                <w:rFonts w:hint="eastAsia"/>
                <w:sz w:val="21"/>
                <w:lang w:eastAsia="zh-CN"/>
              </w:rPr>
              <w:t>共得</w:t>
            </w:r>
            <w:r>
              <w:rPr>
                <w:rFonts w:hint="eastAsia"/>
                <w:sz w:val="21"/>
                <w:lang w:val="en-US" w:eastAsia="zh-CN"/>
              </w:rPr>
              <w:t>6</w:t>
            </w:r>
            <w:r>
              <w:rPr>
                <w:sz w:val="21"/>
              </w:rPr>
              <w:t>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005" w:type="dxa"/>
            <w:vAlign w:val="center"/>
          </w:tcPr>
          <w:p>
            <w:pPr>
              <w:pStyle w:val="23"/>
              <w:ind w:right="203"/>
              <w:jc w:val="right"/>
              <w:rPr>
                <w:rFonts w:hint="eastAsia" w:eastAsia="宋体"/>
                <w:sz w:val="21"/>
                <w:lang w:eastAsia="zh-CN"/>
              </w:rPr>
            </w:pPr>
            <w:r>
              <w:rPr>
                <w:rFonts w:hint="eastAsia"/>
                <w:sz w:val="21"/>
                <w:lang w:eastAsia="zh-CN"/>
              </w:rPr>
              <w:t>云平台</w:t>
            </w:r>
          </w:p>
        </w:tc>
        <w:tc>
          <w:tcPr>
            <w:tcW w:w="591" w:type="dxa"/>
            <w:vAlign w:val="top"/>
          </w:tcPr>
          <w:p>
            <w:pPr>
              <w:pStyle w:val="23"/>
              <w:spacing w:before="193"/>
              <w:ind w:left="117"/>
              <w:jc w:val="center"/>
              <w:rPr>
                <w:rFonts w:hint="default"/>
                <w:sz w:val="21"/>
                <w:lang w:val="en-US" w:eastAsia="zh-CN"/>
              </w:rPr>
            </w:pPr>
            <w:r>
              <w:rPr>
                <w:rFonts w:hint="eastAsia"/>
                <w:sz w:val="21"/>
                <w:lang w:val="en-US" w:eastAsia="zh-CN"/>
              </w:rPr>
              <w:t>4分</w:t>
            </w:r>
          </w:p>
        </w:tc>
        <w:tc>
          <w:tcPr>
            <w:tcW w:w="8368" w:type="dxa"/>
            <w:vAlign w:val="center"/>
          </w:tcPr>
          <w:p>
            <w:pPr>
              <w:pStyle w:val="23"/>
              <w:spacing w:before="58"/>
              <w:ind w:left="107"/>
              <w:jc w:val="both"/>
              <w:rPr>
                <w:rFonts w:hint="eastAsia" w:eastAsia="宋体"/>
                <w:sz w:val="21"/>
                <w:lang w:val="en-US" w:eastAsia="zh-CN"/>
              </w:rPr>
            </w:pPr>
            <w:r>
              <w:rPr>
                <w:rFonts w:hint="eastAsia"/>
                <w:sz w:val="21"/>
                <w:lang w:val="en-US" w:eastAsia="zh-CN"/>
              </w:rPr>
              <w:t>环卫一体化智慧平台软件建设（以方案可行性为主）</w:t>
            </w:r>
          </w:p>
        </w:tc>
      </w:tr>
    </w:tbl>
    <w:p>
      <w:pPr>
        <w:pStyle w:val="12"/>
        <w:spacing w:before="5"/>
        <w:rPr>
          <w:rFonts w:ascii="Times New Roman"/>
          <w:sz w:val="6"/>
        </w:rPr>
      </w:pPr>
    </w:p>
    <w:p>
      <w:pPr>
        <w:pStyle w:val="12"/>
        <w:spacing w:before="5"/>
        <w:rPr>
          <w:rFonts w:ascii="Times New Roman"/>
          <w:sz w:val="6"/>
        </w:rPr>
      </w:pPr>
    </w:p>
    <w:p>
      <w:pPr>
        <w:pStyle w:val="12"/>
        <w:spacing w:before="143"/>
        <w:ind w:left="337"/>
      </w:pPr>
      <w:r>
        <w:t>注：</w:t>
      </w:r>
      <w:r>
        <w:rPr>
          <w:rFonts w:hint="eastAsia"/>
          <w:lang w:val="en-US" w:eastAsia="zh-CN"/>
        </w:rPr>
        <w:t xml:space="preserve"> </w:t>
      </w:r>
      <w:r>
        <w:rPr>
          <w:rFonts w:ascii="Times New Roman" w:eastAsia="Times New Roman"/>
        </w:rPr>
        <w:t>1</w:t>
      </w:r>
      <w:r>
        <w:t>）评委打分超过得分界限或未按本方法赋分时，该评委的打分无效。</w:t>
      </w:r>
    </w:p>
    <w:p>
      <w:pPr>
        <w:pStyle w:val="12"/>
        <w:spacing w:before="170"/>
        <w:ind w:left="897"/>
      </w:pPr>
      <w:r>
        <w:rPr>
          <w:rFonts w:ascii="Times New Roman" w:hAnsi="Times New Roman" w:eastAsia="Times New Roman"/>
        </w:rPr>
        <w:t>2</w:t>
      </w:r>
      <w:r>
        <w:t>）各种计算数字均保留两位小数，第三位</w:t>
      </w:r>
      <w:r>
        <w:rPr>
          <w:rFonts w:ascii="Times New Roman" w:hAnsi="Times New Roman" w:eastAsia="Times New Roman"/>
        </w:rPr>
        <w:t>“</w:t>
      </w:r>
      <w:r>
        <w:t>四舍五入</w:t>
      </w:r>
      <w:r>
        <w:rPr>
          <w:rFonts w:ascii="Times New Roman" w:hAnsi="Times New Roman" w:eastAsia="Times New Roman"/>
        </w:rPr>
        <w:t>”</w:t>
      </w:r>
      <w:r>
        <w:t>。</w:t>
      </w:r>
    </w:p>
    <w:p>
      <w:pPr>
        <w:pStyle w:val="11"/>
        <w:spacing w:before="173"/>
        <w:ind w:left="760"/>
        <w:rPr>
          <w:b w:val="0"/>
        </w:rPr>
      </w:pPr>
      <w:r>
        <w:rPr>
          <w:rFonts w:ascii="Times New Roman" w:eastAsia="Times New Roman"/>
        </w:rPr>
        <w:t>3</w:t>
      </w:r>
      <w:r>
        <w:t>）特殊情况处理</w:t>
      </w:r>
      <w:r>
        <w:rPr>
          <w:b w:val="0"/>
        </w:rPr>
        <w:t>：</w:t>
      </w:r>
    </w:p>
    <w:p>
      <w:pPr>
        <w:pStyle w:val="12"/>
        <w:spacing w:before="170" w:line="391" w:lineRule="auto"/>
        <w:ind w:left="758" w:right="746"/>
        <w:rPr>
          <w:spacing w:val="-3"/>
        </w:rPr>
      </w:pPr>
      <w:r>
        <w:rPr>
          <w:rFonts w:ascii="Times New Roman" w:eastAsia="Times New Roman"/>
        </w:rPr>
        <w:t>a</w:t>
      </w:r>
      <w:r>
        <w:rPr>
          <w:spacing w:val="-3"/>
        </w:rPr>
        <w:t>、当投标人某评分项出现未报、漏报或零报价时，该分项得零分，并不参与投标报价分的计算。</w:t>
      </w:r>
    </w:p>
    <w:p>
      <w:pPr>
        <w:pStyle w:val="12"/>
        <w:spacing w:before="170" w:line="391" w:lineRule="auto"/>
        <w:ind w:left="758" w:right="746"/>
      </w:pPr>
      <w:r>
        <w:rPr>
          <w:rFonts w:ascii="Times New Roman" w:eastAsia="Times New Roman"/>
          <w:spacing w:val="-3"/>
        </w:rPr>
        <w:t>b</w:t>
      </w:r>
      <w:r>
        <w:rPr>
          <w:spacing w:val="-3"/>
        </w:rPr>
        <w:t>、相同品牌产品</w:t>
      </w:r>
    </w:p>
    <w:p>
      <w:pPr>
        <w:pStyle w:val="12"/>
        <w:spacing w:before="4" w:line="393" w:lineRule="auto"/>
        <w:ind w:left="337" w:right="417" w:firstLine="420"/>
        <w:jc w:val="both"/>
      </w:pPr>
      <w:r>
        <w:t>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pStyle w:val="12"/>
        <w:spacing w:line="263" w:lineRule="exact"/>
        <w:ind w:left="758"/>
      </w:pPr>
      <w:r>
        <w:t>非单一产品采购项目，多家投标人提供的核心产品品牌相同的，按照前款规定处理。</w:t>
      </w:r>
    </w:p>
    <w:p>
      <w:pPr>
        <w:pStyle w:val="12"/>
        <w:spacing w:before="170" w:line="393" w:lineRule="auto"/>
        <w:ind w:left="337" w:right="333" w:firstLine="420"/>
      </w:pPr>
      <w:r>
        <w:rPr>
          <w:rFonts w:ascii="Times New Roman" w:eastAsia="Times New Roman"/>
        </w:rPr>
        <w:t>c</w:t>
      </w:r>
      <w:r>
        <w:rPr>
          <w:spacing w:val="-3"/>
        </w:rPr>
        <w:t>、若出现综合得分相同时，投标报价得分高者为第一中标候选人，若投标报价得分相同，技术得分高者为第一中标候选人，若上述两项得分相同，则由全体评标委员会成员无记名投票，得票高者为第一中标候选人。</w:t>
      </w:r>
    </w:p>
    <w:p>
      <w:pPr>
        <w:pStyle w:val="12"/>
        <w:spacing w:line="266" w:lineRule="exact"/>
        <w:ind w:left="758"/>
      </w:pPr>
      <w:r>
        <w:rPr>
          <w:rFonts w:ascii="Times New Roman" w:eastAsia="Times New Roman"/>
        </w:rPr>
        <w:t>d</w:t>
      </w:r>
      <w:r>
        <w:t>、评标过程中，若出现本评标方法以外的特殊情况时，将暂停评标，待评委商榷后再进行复会。</w:t>
      </w:r>
    </w:p>
    <w:p>
      <w:pPr>
        <w:pStyle w:val="6"/>
        <w:spacing w:before="103"/>
      </w:pPr>
      <w:r>
        <w:t>四、政府采购政策评分标准</w:t>
      </w:r>
    </w:p>
    <w:p>
      <w:pPr>
        <w:pStyle w:val="12"/>
        <w:spacing w:before="150"/>
        <w:ind w:left="758"/>
      </w:pPr>
      <w:r>
        <w:rPr>
          <w:rFonts w:ascii="Times New Roman" w:eastAsia="Times New Roman"/>
        </w:rPr>
        <w:t>1</w:t>
      </w:r>
      <w:r>
        <w:t>、小微企业的价格评分标准</w:t>
      </w:r>
    </w:p>
    <w:p>
      <w:pPr>
        <w:pStyle w:val="22"/>
        <w:numPr>
          <w:ilvl w:val="0"/>
          <w:numId w:val="35"/>
        </w:numPr>
        <w:tabs>
          <w:tab w:val="left" w:pos="1288"/>
        </w:tabs>
        <w:spacing w:before="170" w:after="0" w:line="240" w:lineRule="auto"/>
        <w:ind w:left="1287" w:right="0" w:hanging="530"/>
        <w:jc w:val="left"/>
        <w:rPr>
          <w:rFonts w:ascii="Times New Roman" w:eastAsia="Times New Roman"/>
          <w:sz w:val="21"/>
        </w:rPr>
      </w:pPr>
      <w:r>
        <w:rPr>
          <w:spacing w:val="-6"/>
          <w:sz w:val="21"/>
        </w:rPr>
        <w:t xml:space="preserve">对小型、微型企业产品的价格给予 </w:t>
      </w:r>
      <w:r>
        <w:rPr>
          <w:rFonts w:ascii="Times New Roman" w:eastAsia="Times New Roman"/>
          <w:sz w:val="21"/>
        </w:rPr>
        <w:t>6%</w:t>
      </w:r>
      <w:r>
        <w:rPr>
          <w:spacing w:val="-3"/>
          <w:sz w:val="21"/>
        </w:rPr>
        <w:t>的扣除，用扣除后的价格参与评审，其评标价</w:t>
      </w:r>
      <w:r>
        <w:rPr>
          <w:rFonts w:ascii="Times New Roman" w:eastAsia="Times New Roman"/>
          <w:sz w:val="21"/>
        </w:rPr>
        <w:t>=</w:t>
      </w:r>
      <w:r>
        <w:rPr>
          <w:spacing w:val="-2"/>
          <w:sz w:val="21"/>
        </w:rPr>
        <w:t>投标报价</w:t>
      </w:r>
      <w:r>
        <w:rPr>
          <w:rFonts w:ascii="Times New Roman" w:eastAsia="Times New Roman"/>
          <w:sz w:val="21"/>
        </w:rPr>
        <w:t>*</w:t>
      </w:r>
    </w:p>
    <w:p>
      <w:pPr>
        <w:pStyle w:val="12"/>
        <w:spacing w:before="173"/>
        <w:ind w:left="337"/>
      </w:pPr>
      <w:r>
        <w:t>（</w:t>
      </w:r>
      <w:r>
        <w:rPr>
          <w:rFonts w:ascii="Times New Roman" w:eastAsia="Times New Roman"/>
        </w:rPr>
        <w:t>1-6%</w:t>
      </w:r>
      <w:r>
        <w:t>）。</w:t>
      </w:r>
    </w:p>
    <w:p>
      <w:pPr>
        <w:pStyle w:val="22"/>
        <w:numPr>
          <w:ilvl w:val="0"/>
          <w:numId w:val="35"/>
        </w:numPr>
        <w:tabs>
          <w:tab w:val="left" w:pos="1288"/>
        </w:tabs>
        <w:spacing w:before="170" w:after="0" w:line="393" w:lineRule="auto"/>
        <w:ind w:left="337" w:right="328" w:firstLine="420"/>
        <w:jc w:val="both"/>
        <w:rPr>
          <w:sz w:val="21"/>
        </w:rPr>
      </w:pPr>
      <w:r>
        <w:rPr>
          <w:spacing w:val="-5"/>
          <w:sz w:val="21"/>
        </w:rPr>
        <w:t>联合体共同参加非专门面向中小企业的政府采购活动，联合协议中约定，小型和微型企业的协议</w:t>
      </w:r>
      <w:r>
        <w:rPr>
          <w:spacing w:val="-2"/>
          <w:sz w:val="21"/>
        </w:rPr>
        <w:t>合同金额占到联合体协议合同金额的</w:t>
      </w:r>
      <w:r>
        <w:rPr>
          <w:rFonts w:ascii="Times New Roman" w:eastAsia="Times New Roman"/>
          <w:sz w:val="21"/>
        </w:rPr>
        <w:t>30%</w:t>
      </w:r>
      <w:r>
        <w:rPr>
          <w:spacing w:val="-12"/>
          <w:sz w:val="21"/>
        </w:rPr>
        <w:t>以上的，可给予联合体</w:t>
      </w:r>
      <w:r>
        <w:rPr>
          <w:rFonts w:ascii="Times New Roman" w:eastAsia="Times New Roman"/>
          <w:sz w:val="21"/>
        </w:rPr>
        <w:t>2%</w:t>
      </w:r>
      <w:r>
        <w:rPr>
          <w:spacing w:val="-13"/>
          <w:sz w:val="21"/>
        </w:rPr>
        <w:t xml:space="preserve">的价格扣除，用扣除后的价格参与评审， </w:t>
      </w:r>
      <w:r>
        <w:rPr>
          <w:spacing w:val="-8"/>
          <w:sz w:val="21"/>
        </w:rPr>
        <w:t>其评标价</w:t>
      </w:r>
      <w:r>
        <w:rPr>
          <w:rFonts w:ascii="Times New Roman" w:eastAsia="Times New Roman"/>
          <w:sz w:val="21"/>
        </w:rPr>
        <w:t>=</w:t>
      </w:r>
      <w:r>
        <w:rPr>
          <w:spacing w:val="-3"/>
          <w:sz w:val="21"/>
        </w:rPr>
        <w:t>投标报价</w:t>
      </w:r>
      <w:r>
        <w:rPr>
          <w:rFonts w:ascii="Times New Roman" w:eastAsia="Times New Roman"/>
          <w:sz w:val="21"/>
        </w:rPr>
        <w:t>*</w:t>
      </w:r>
      <w:r>
        <w:rPr>
          <w:sz w:val="21"/>
        </w:rPr>
        <w:t>（</w:t>
      </w:r>
      <w:r>
        <w:rPr>
          <w:rFonts w:ascii="Times New Roman" w:eastAsia="Times New Roman"/>
          <w:sz w:val="21"/>
        </w:rPr>
        <w:t>1-2%</w:t>
      </w:r>
      <w:r>
        <w:rPr>
          <w:sz w:val="21"/>
        </w:rPr>
        <w:t>）。</w:t>
      </w:r>
    </w:p>
    <w:p>
      <w:pPr>
        <w:pStyle w:val="22"/>
        <w:numPr>
          <w:ilvl w:val="0"/>
          <w:numId w:val="35"/>
        </w:numPr>
        <w:tabs>
          <w:tab w:val="left" w:pos="1288"/>
        </w:tabs>
        <w:spacing w:before="0" w:after="0" w:line="393" w:lineRule="auto"/>
        <w:ind w:left="337" w:right="328" w:firstLine="420"/>
        <w:jc w:val="left"/>
        <w:rPr>
          <w:sz w:val="21"/>
        </w:rPr>
      </w:pPr>
      <w:r>
        <w:rPr>
          <w:spacing w:val="-4"/>
          <w:sz w:val="21"/>
        </w:rPr>
        <w:t>参加本项目的小微企业须提供《小微企业声明函》</w:t>
      </w:r>
      <w:r>
        <w:rPr>
          <w:spacing w:val="-3"/>
          <w:sz w:val="21"/>
        </w:rPr>
        <w:t>（</w:t>
      </w:r>
      <w:r>
        <w:rPr>
          <w:sz w:val="21"/>
        </w:rPr>
        <w:t>附件</w:t>
      </w:r>
      <w:r>
        <w:rPr>
          <w:spacing w:val="-4"/>
          <w:sz w:val="21"/>
        </w:rPr>
        <w:t>）</w:t>
      </w:r>
      <w:r>
        <w:rPr>
          <w:spacing w:val="-3"/>
          <w:sz w:val="21"/>
        </w:rPr>
        <w:t>，未提供的不视为小微企业。本项目提供的货物不包括使用大型企业注册商标的货物，小型、微型企业提供中型企业制造的货物的，视同为中型企业。投标人须做出承诺，保证真实性，如有虚假，将依法承担相应责任。</w:t>
      </w:r>
    </w:p>
    <w:p>
      <w:pPr>
        <w:pStyle w:val="22"/>
        <w:numPr>
          <w:ilvl w:val="0"/>
          <w:numId w:val="35"/>
        </w:numPr>
        <w:tabs>
          <w:tab w:val="left" w:pos="1288"/>
        </w:tabs>
        <w:spacing w:before="0" w:after="0" w:line="265" w:lineRule="exact"/>
        <w:ind w:left="1287" w:right="0" w:hanging="530"/>
        <w:jc w:val="left"/>
        <w:rPr>
          <w:sz w:val="21"/>
        </w:rPr>
      </w:pPr>
      <w:r>
        <w:rPr>
          <w:spacing w:val="-3"/>
          <w:sz w:val="21"/>
        </w:rPr>
        <w:t>小微企业按《政府采购促进中小企业发展暂行办法》</w:t>
      </w:r>
      <w:r>
        <w:rPr>
          <w:sz w:val="21"/>
        </w:rPr>
        <w:t>（</w:t>
      </w:r>
      <w:r>
        <w:rPr>
          <w:spacing w:val="-3"/>
          <w:sz w:val="21"/>
        </w:rPr>
        <w:t>财库【</w:t>
      </w:r>
      <w:r>
        <w:rPr>
          <w:rFonts w:ascii="Times New Roman" w:eastAsia="Times New Roman"/>
          <w:sz w:val="21"/>
        </w:rPr>
        <w:t>2011</w:t>
      </w:r>
      <w:r>
        <w:rPr>
          <w:sz w:val="21"/>
        </w:rPr>
        <w:t>】</w:t>
      </w:r>
      <w:r>
        <w:rPr>
          <w:rFonts w:ascii="Times New Roman" w:eastAsia="Times New Roman"/>
          <w:sz w:val="21"/>
        </w:rPr>
        <w:t>181</w:t>
      </w:r>
      <w:r>
        <w:rPr>
          <w:rFonts w:ascii="Times New Roman" w:eastAsia="Times New Roman"/>
          <w:spacing w:val="5"/>
          <w:sz w:val="21"/>
        </w:rPr>
        <w:t xml:space="preserve"> </w:t>
      </w:r>
      <w:r>
        <w:rPr>
          <w:sz w:val="21"/>
        </w:rPr>
        <w:t>号</w:t>
      </w:r>
      <w:r>
        <w:rPr>
          <w:spacing w:val="-3"/>
          <w:sz w:val="21"/>
        </w:rPr>
        <w:t>）和《工业和信息化</w:t>
      </w:r>
    </w:p>
    <w:p>
      <w:pPr>
        <w:pStyle w:val="12"/>
        <w:spacing w:before="10"/>
        <w:rPr>
          <w:sz w:val="10"/>
        </w:rPr>
      </w:pPr>
    </w:p>
    <w:p>
      <w:pPr>
        <w:pStyle w:val="12"/>
        <w:spacing w:before="79" w:line="391" w:lineRule="auto"/>
        <w:ind w:left="337" w:right="393"/>
      </w:pPr>
      <w:r>
        <w:t>部、国家统计局、国家发展和改革委员会、财政部关于印发</w:t>
      </w:r>
      <w:r>
        <w:rPr>
          <w:rFonts w:ascii="Times New Roman" w:eastAsia="Times New Roman"/>
        </w:rPr>
        <w:t>&lt;</w:t>
      </w:r>
      <w:r>
        <w:t>中小企业划型标准规定</w:t>
      </w:r>
      <w:r>
        <w:rPr>
          <w:rFonts w:ascii="Times New Roman" w:eastAsia="Times New Roman"/>
        </w:rPr>
        <w:t>&gt;</w:t>
      </w:r>
      <w:r>
        <w:t>的通知》（工信部联企业【</w:t>
      </w:r>
      <w:r>
        <w:rPr>
          <w:rFonts w:ascii="Times New Roman" w:eastAsia="Times New Roman"/>
        </w:rPr>
        <w:t>2011</w:t>
      </w:r>
      <w:r>
        <w:t>】</w:t>
      </w:r>
      <w:r>
        <w:rPr>
          <w:rFonts w:ascii="Times New Roman" w:eastAsia="Times New Roman"/>
        </w:rPr>
        <w:t xml:space="preserve">300 </w:t>
      </w:r>
      <w:r>
        <w:t>号）文件规定标准确认。</w:t>
      </w:r>
    </w:p>
    <w:p>
      <w:pPr>
        <w:pStyle w:val="12"/>
        <w:spacing w:before="4"/>
        <w:ind w:left="758"/>
      </w:pPr>
      <w:r>
        <w:rPr>
          <w:rFonts w:ascii="Times New Roman" w:eastAsia="Times New Roman"/>
        </w:rPr>
        <w:t>2</w:t>
      </w:r>
      <w:r>
        <w:t>、监狱企业的价格评分标准</w:t>
      </w:r>
    </w:p>
    <w:p>
      <w:pPr>
        <w:pStyle w:val="22"/>
        <w:numPr>
          <w:ilvl w:val="0"/>
          <w:numId w:val="36"/>
        </w:numPr>
        <w:tabs>
          <w:tab w:val="left" w:pos="1288"/>
        </w:tabs>
        <w:spacing w:before="170" w:after="0" w:line="393" w:lineRule="auto"/>
        <w:ind w:left="337" w:right="328" w:firstLine="420"/>
        <w:jc w:val="both"/>
        <w:rPr>
          <w:sz w:val="21"/>
        </w:rPr>
      </w:pPr>
      <w:r>
        <w:rPr>
          <w:spacing w:val="-5"/>
          <w:sz w:val="21"/>
        </w:rPr>
        <w:t>在政府采购活动中，监狱企业视同小型、微型企业，享受预留份额、评审中价格扣除等政府采购</w:t>
      </w:r>
      <w:r>
        <w:rPr>
          <w:spacing w:val="-6"/>
          <w:sz w:val="21"/>
        </w:rPr>
        <w:t xml:space="preserve">促进中小企业发展的政府采购政策。对监狱企业产品的价格给予 </w:t>
      </w:r>
      <w:r>
        <w:rPr>
          <w:rFonts w:ascii="Times New Roman" w:eastAsia="Times New Roman"/>
          <w:sz w:val="21"/>
        </w:rPr>
        <w:t>6%</w:t>
      </w:r>
      <w:r>
        <w:rPr>
          <w:spacing w:val="-6"/>
          <w:sz w:val="21"/>
        </w:rPr>
        <w:t>的扣除，用扣除后的价格参与评审，其评标价</w:t>
      </w:r>
      <w:r>
        <w:rPr>
          <w:rFonts w:ascii="Times New Roman" w:eastAsia="Times New Roman"/>
          <w:spacing w:val="-6"/>
          <w:sz w:val="21"/>
        </w:rPr>
        <w:t>=</w:t>
      </w:r>
      <w:r>
        <w:rPr>
          <w:spacing w:val="-3"/>
          <w:sz w:val="21"/>
        </w:rPr>
        <w:t>投标报价</w:t>
      </w:r>
      <w:r>
        <w:rPr>
          <w:rFonts w:ascii="Times New Roman" w:eastAsia="Times New Roman"/>
          <w:sz w:val="21"/>
        </w:rPr>
        <w:t>*</w:t>
      </w:r>
      <w:r>
        <w:rPr>
          <w:sz w:val="21"/>
        </w:rPr>
        <w:t>（</w:t>
      </w:r>
      <w:r>
        <w:rPr>
          <w:rFonts w:ascii="Times New Roman" w:eastAsia="Times New Roman"/>
          <w:sz w:val="21"/>
        </w:rPr>
        <w:t>1-6%</w:t>
      </w:r>
      <w:r>
        <w:rPr>
          <w:sz w:val="21"/>
        </w:rPr>
        <w:t>）。</w:t>
      </w:r>
    </w:p>
    <w:p>
      <w:pPr>
        <w:pStyle w:val="22"/>
        <w:numPr>
          <w:ilvl w:val="0"/>
          <w:numId w:val="36"/>
        </w:numPr>
        <w:tabs>
          <w:tab w:val="left" w:pos="1288"/>
        </w:tabs>
        <w:spacing w:before="0" w:after="0" w:line="265" w:lineRule="exact"/>
        <w:ind w:left="1287" w:right="0" w:hanging="530"/>
        <w:jc w:val="left"/>
        <w:rPr>
          <w:sz w:val="21"/>
        </w:rPr>
      </w:pPr>
      <w:r>
        <w:rPr>
          <w:spacing w:val="-3"/>
          <w:sz w:val="21"/>
        </w:rPr>
        <w:t>监狱企业属于小型、微型企业的，不重复享受政策。</w:t>
      </w:r>
    </w:p>
    <w:p>
      <w:pPr>
        <w:pStyle w:val="22"/>
        <w:numPr>
          <w:ilvl w:val="0"/>
          <w:numId w:val="36"/>
        </w:numPr>
        <w:tabs>
          <w:tab w:val="left" w:pos="1285"/>
        </w:tabs>
        <w:spacing w:before="170" w:after="0" w:line="393" w:lineRule="auto"/>
        <w:ind w:left="337" w:right="330" w:firstLine="420"/>
        <w:jc w:val="left"/>
        <w:rPr>
          <w:sz w:val="21"/>
        </w:rPr>
      </w:pPr>
      <w:r>
        <w:rPr>
          <w:spacing w:val="-4"/>
          <w:sz w:val="21"/>
        </w:rPr>
        <w:t>监狱企业参加政府采购活动时，应当提供由省级以上监狱管理局、戒毒管理局</w:t>
      </w:r>
      <w:r>
        <w:rPr>
          <w:spacing w:val="-3"/>
          <w:sz w:val="21"/>
        </w:rPr>
        <w:t>（含新疆生产建设兵团）出具的属于监狱企业的证明文件。</w:t>
      </w:r>
    </w:p>
    <w:p>
      <w:pPr>
        <w:pStyle w:val="22"/>
        <w:numPr>
          <w:ilvl w:val="0"/>
          <w:numId w:val="36"/>
        </w:numPr>
        <w:tabs>
          <w:tab w:val="left" w:pos="1288"/>
        </w:tabs>
        <w:spacing w:before="0" w:after="0" w:line="268" w:lineRule="exact"/>
        <w:ind w:left="1287" w:right="0" w:hanging="528"/>
        <w:jc w:val="left"/>
        <w:rPr>
          <w:sz w:val="21"/>
        </w:rPr>
      </w:pPr>
      <w:r>
        <w:rPr>
          <w:spacing w:val="-3"/>
          <w:sz w:val="21"/>
        </w:rPr>
        <w:t>监狱企业按《财政部、司法部关于政府采购支持监狱企业发展有关问题的通知》</w:t>
      </w:r>
      <w:r>
        <w:rPr>
          <w:sz w:val="21"/>
        </w:rPr>
        <w:t>（</w:t>
      </w:r>
      <w:r>
        <w:rPr>
          <w:spacing w:val="2"/>
          <w:sz w:val="21"/>
        </w:rPr>
        <w:t>财库〔</w:t>
      </w:r>
      <w:r>
        <w:rPr>
          <w:rFonts w:ascii="Times New Roman" w:eastAsia="Times New Roman"/>
          <w:sz w:val="21"/>
        </w:rPr>
        <w:t>2014</w:t>
      </w:r>
      <w:r>
        <w:rPr>
          <w:sz w:val="21"/>
        </w:rPr>
        <w:t>〕</w:t>
      </w:r>
    </w:p>
    <w:p>
      <w:pPr>
        <w:pStyle w:val="12"/>
        <w:spacing w:before="170"/>
        <w:ind w:left="337"/>
      </w:pPr>
      <w:r>
        <w:rPr>
          <w:rFonts w:ascii="Times New Roman" w:eastAsia="Times New Roman"/>
        </w:rPr>
        <w:t xml:space="preserve">68 </w:t>
      </w:r>
      <w:r>
        <w:t>号）文件规定标准执行。</w:t>
      </w:r>
    </w:p>
    <w:p>
      <w:pPr>
        <w:pStyle w:val="12"/>
        <w:spacing w:before="173"/>
        <w:ind w:left="758"/>
      </w:pPr>
      <w:r>
        <w:rPr>
          <w:rFonts w:ascii="Times New Roman" w:eastAsia="Times New Roman"/>
        </w:rPr>
        <w:t>3</w:t>
      </w:r>
      <w:r>
        <w:t>、残疾人福利性单位的价格评分标准</w:t>
      </w:r>
    </w:p>
    <w:p>
      <w:pPr>
        <w:pStyle w:val="22"/>
        <w:numPr>
          <w:ilvl w:val="0"/>
          <w:numId w:val="37"/>
        </w:numPr>
        <w:tabs>
          <w:tab w:val="left" w:pos="1288"/>
        </w:tabs>
        <w:spacing w:before="170" w:after="0" w:line="393" w:lineRule="auto"/>
        <w:ind w:left="337" w:right="329" w:firstLine="420"/>
        <w:jc w:val="both"/>
        <w:rPr>
          <w:sz w:val="21"/>
        </w:rPr>
      </w:pPr>
      <w:r>
        <w:rPr>
          <w:spacing w:val="-5"/>
          <w:sz w:val="21"/>
        </w:rPr>
        <w:t>在政府采购活动中，残疾人福利性单位视同小型、微型企业，享受预留份额、评审中价格扣除等</w:t>
      </w:r>
      <w:r>
        <w:rPr>
          <w:spacing w:val="-6"/>
          <w:sz w:val="21"/>
        </w:rPr>
        <w:t xml:space="preserve">政府采购促进中小企业发展的政府采购政策。对残疾人福利性单位产品的价格给予 </w:t>
      </w:r>
      <w:r>
        <w:rPr>
          <w:rFonts w:ascii="Times New Roman" w:eastAsia="Times New Roman"/>
          <w:sz w:val="21"/>
        </w:rPr>
        <w:t>6%</w:t>
      </w:r>
      <w:r>
        <w:rPr>
          <w:spacing w:val="-6"/>
          <w:sz w:val="21"/>
        </w:rPr>
        <w:t>的扣除，用扣除后的</w:t>
      </w:r>
      <w:r>
        <w:rPr>
          <w:spacing w:val="-4"/>
          <w:sz w:val="21"/>
        </w:rPr>
        <w:t>价格参与评审，其评标价</w:t>
      </w:r>
      <w:r>
        <w:rPr>
          <w:rFonts w:ascii="Times New Roman" w:eastAsia="Times New Roman"/>
          <w:sz w:val="21"/>
        </w:rPr>
        <w:t>=</w:t>
      </w:r>
      <w:r>
        <w:rPr>
          <w:spacing w:val="-1"/>
          <w:sz w:val="21"/>
        </w:rPr>
        <w:t>投标报价</w:t>
      </w:r>
      <w:r>
        <w:rPr>
          <w:rFonts w:ascii="Times New Roman" w:eastAsia="Times New Roman"/>
          <w:sz w:val="21"/>
        </w:rPr>
        <w:t>*</w:t>
      </w:r>
      <w:r>
        <w:rPr>
          <w:sz w:val="21"/>
        </w:rPr>
        <w:t>（</w:t>
      </w:r>
      <w:r>
        <w:rPr>
          <w:rFonts w:ascii="Times New Roman" w:eastAsia="Times New Roman"/>
          <w:sz w:val="21"/>
        </w:rPr>
        <w:t>1-6%</w:t>
      </w:r>
      <w:r>
        <w:rPr>
          <w:sz w:val="21"/>
        </w:rPr>
        <w:t>）。</w:t>
      </w:r>
    </w:p>
    <w:p>
      <w:pPr>
        <w:pStyle w:val="22"/>
        <w:numPr>
          <w:ilvl w:val="0"/>
          <w:numId w:val="37"/>
        </w:numPr>
        <w:tabs>
          <w:tab w:val="left" w:pos="1288"/>
        </w:tabs>
        <w:spacing w:before="0" w:after="0" w:line="265" w:lineRule="exact"/>
        <w:ind w:left="1287" w:right="0" w:hanging="530"/>
        <w:jc w:val="left"/>
        <w:rPr>
          <w:sz w:val="21"/>
        </w:rPr>
      </w:pPr>
      <w:r>
        <w:rPr>
          <w:spacing w:val="-3"/>
          <w:sz w:val="21"/>
        </w:rPr>
        <w:t>残疾人福利性单位属于小型、微型企业的，不重复享受政策。</w:t>
      </w:r>
    </w:p>
    <w:p>
      <w:pPr>
        <w:pStyle w:val="22"/>
        <w:numPr>
          <w:ilvl w:val="0"/>
          <w:numId w:val="37"/>
        </w:numPr>
        <w:tabs>
          <w:tab w:val="left" w:pos="1288"/>
        </w:tabs>
        <w:spacing w:before="170" w:after="0" w:line="393" w:lineRule="auto"/>
        <w:ind w:left="337" w:right="328" w:firstLine="420"/>
        <w:jc w:val="left"/>
        <w:rPr>
          <w:sz w:val="21"/>
        </w:rPr>
      </w:pPr>
      <w:r>
        <w:rPr>
          <w:spacing w:val="-5"/>
          <w:sz w:val="21"/>
        </w:rPr>
        <w:t>符合条件的残疾人福利性单位在参加政府采购活动时，应当提供本通知规定的《残疾人福利性单</w:t>
      </w:r>
      <w:r>
        <w:rPr>
          <w:spacing w:val="-4"/>
          <w:sz w:val="21"/>
        </w:rPr>
        <w:t>位声明函》</w:t>
      </w:r>
      <w:r>
        <w:rPr>
          <w:sz w:val="21"/>
        </w:rPr>
        <w:t>（</w:t>
      </w:r>
      <w:r>
        <w:rPr>
          <w:spacing w:val="-3"/>
          <w:sz w:val="21"/>
        </w:rPr>
        <w:t>见附件</w:t>
      </w:r>
      <w:r>
        <w:rPr>
          <w:sz w:val="21"/>
        </w:rPr>
        <w:t>）</w:t>
      </w:r>
      <w:r>
        <w:rPr>
          <w:spacing w:val="-3"/>
          <w:sz w:val="21"/>
        </w:rPr>
        <w:t>，并对声明的真实性负责，未提供的不视为残疾人福利性单位。</w:t>
      </w:r>
    </w:p>
    <w:p>
      <w:pPr>
        <w:pStyle w:val="12"/>
        <w:spacing w:line="268" w:lineRule="exact"/>
        <w:ind w:left="758"/>
      </w:pPr>
      <w:r>
        <w:rPr>
          <w:rFonts w:ascii="Times New Roman" w:eastAsia="Times New Roman"/>
        </w:rPr>
        <w:t>4</w:t>
      </w:r>
      <w:r>
        <w:t>、节能产品、环境标志产品政策</w:t>
      </w:r>
    </w:p>
    <w:p>
      <w:pPr>
        <w:pStyle w:val="22"/>
        <w:numPr>
          <w:ilvl w:val="0"/>
          <w:numId w:val="38"/>
        </w:numPr>
        <w:tabs>
          <w:tab w:val="left" w:pos="1288"/>
        </w:tabs>
        <w:spacing w:before="170" w:after="0" w:line="240" w:lineRule="auto"/>
        <w:ind w:left="1287" w:right="0" w:hanging="530"/>
        <w:jc w:val="left"/>
        <w:rPr>
          <w:sz w:val="21"/>
        </w:rPr>
      </w:pPr>
      <w:r>
        <w:rPr>
          <w:spacing w:val="-3"/>
          <w:sz w:val="21"/>
        </w:rPr>
        <w:t>节能产品根据《财政部、国家发展和改革委员会关于印发</w:t>
      </w:r>
      <w:r>
        <w:rPr>
          <w:rFonts w:ascii="Times New Roman" w:eastAsia="Times New Roman"/>
          <w:sz w:val="21"/>
        </w:rPr>
        <w:t>&lt;</w:t>
      </w:r>
      <w:r>
        <w:rPr>
          <w:sz w:val="21"/>
        </w:rPr>
        <w:t>节能产品政府采购实施意见</w:t>
      </w:r>
      <w:r>
        <w:rPr>
          <w:rFonts w:ascii="Times New Roman" w:eastAsia="Times New Roman"/>
          <w:spacing w:val="3"/>
          <w:sz w:val="21"/>
        </w:rPr>
        <w:t>&gt;</w:t>
      </w:r>
      <w:r>
        <w:rPr>
          <w:sz w:val="21"/>
        </w:rPr>
        <w:t>的通知》</w:t>
      </w:r>
    </w:p>
    <w:p>
      <w:pPr>
        <w:pStyle w:val="12"/>
        <w:spacing w:before="173" w:line="393" w:lineRule="auto"/>
        <w:ind w:left="337" w:right="228"/>
      </w:pPr>
      <w:r>
        <w:t>（</w:t>
      </w:r>
      <w:r>
        <w:rPr>
          <w:spacing w:val="-2"/>
        </w:rPr>
        <w:t>财库【</w:t>
      </w:r>
      <w:r>
        <w:rPr>
          <w:rFonts w:ascii="Times New Roman" w:eastAsia="Times New Roman"/>
        </w:rPr>
        <w:t>2004</w:t>
      </w:r>
      <w:r>
        <w:rPr>
          <w:spacing w:val="-3"/>
        </w:rPr>
        <w:t>】</w:t>
      </w:r>
      <w:r>
        <w:rPr>
          <w:rFonts w:ascii="Times New Roman" w:eastAsia="Times New Roman"/>
        </w:rPr>
        <w:t xml:space="preserve">185 </w:t>
      </w:r>
      <w:r>
        <w:t>号</w:t>
      </w:r>
      <w:r>
        <w:rPr>
          <w:spacing w:val="-3"/>
        </w:rPr>
        <w:t>）、《国务院办公厅关于建立政府强制采购节能产品制度的通知》</w:t>
      </w:r>
      <w:r>
        <w:t>（国办发〔</w:t>
      </w:r>
      <w:r>
        <w:rPr>
          <w:rFonts w:ascii="Times New Roman" w:eastAsia="Times New Roman"/>
        </w:rPr>
        <w:t>2007</w:t>
      </w:r>
      <w:r>
        <w:t>〕</w:t>
      </w:r>
      <w:r>
        <w:rPr>
          <w:rFonts w:ascii="Times New Roman" w:eastAsia="Times New Roman"/>
        </w:rPr>
        <w:t xml:space="preserve">51 </w:t>
      </w:r>
      <w:r>
        <w:rPr>
          <w:spacing w:val="-3"/>
        </w:rPr>
        <w:t>号</w:t>
      </w:r>
      <w:r>
        <w:t>）</w:t>
      </w:r>
      <w:r>
        <w:rPr>
          <w:spacing w:val="-3"/>
        </w:rPr>
        <w:t>以及《关于调整优化节能产品、环境标志产品政府采购执行机制的通知》财库〔</w:t>
      </w:r>
      <w:r>
        <w:rPr>
          <w:rFonts w:ascii="Times New Roman" w:eastAsia="Times New Roman"/>
        </w:rPr>
        <w:t>2019</w:t>
      </w:r>
      <w:r>
        <w:t>〕</w:t>
      </w:r>
      <w:r>
        <w:rPr>
          <w:rFonts w:ascii="Times New Roman" w:eastAsia="Times New Roman"/>
        </w:rPr>
        <w:t xml:space="preserve">9 </w:t>
      </w:r>
      <w:r>
        <w:rPr>
          <w:spacing w:val="-2"/>
        </w:rPr>
        <w:t>号的有关</w:t>
      </w:r>
      <w:r>
        <w:rPr>
          <w:spacing w:val="-7"/>
        </w:rPr>
        <w:t xml:space="preserve">规定。对经核实产品属于清单中品目的，所投产品评审中价格扣除 </w:t>
      </w:r>
      <w:r>
        <w:rPr>
          <w:rFonts w:ascii="Times New Roman" w:eastAsia="Times New Roman"/>
          <w:spacing w:val="-4"/>
        </w:rPr>
        <w:t>3%</w:t>
      </w:r>
      <w:r>
        <w:rPr>
          <w:spacing w:val="-4"/>
        </w:rPr>
        <w:t>，用扣除后的价格参与评审，其评标价</w:t>
      </w:r>
      <w:r>
        <w:rPr>
          <w:rFonts w:ascii="Times New Roman" w:eastAsia="Times New Roman"/>
          <w:spacing w:val="-4"/>
        </w:rPr>
        <w:t>=</w:t>
      </w:r>
      <w:r>
        <w:rPr>
          <w:spacing w:val="-3"/>
        </w:rPr>
        <w:t>投标报价</w:t>
      </w:r>
      <w:r>
        <w:rPr>
          <w:rFonts w:ascii="Times New Roman" w:eastAsia="Times New Roman"/>
        </w:rPr>
        <w:t>*</w:t>
      </w:r>
      <w:r>
        <w:t>（</w:t>
      </w:r>
      <w:r>
        <w:rPr>
          <w:rFonts w:ascii="Times New Roman" w:eastAsia="Times New Roman"/>
        </w:rPr>
        <w:t>1-3%</w:t>
      </w:r>
      <w:r>
        <w:t>）。</w:t>
      </w:r>
    </w:p>
    <w:p>
      <w:pPr>
        <w:pStyle w:val="22"/>
        <w:numPr>
          <w:ilvl w:val="0"/>
          <w:numId w:val="38"/>
        </w:numPr>
        <w:tabs>
          <w:tab w:val="left" w:pos="1288"/>
        </w:tabs>
        <w:spacing w:before="0" w:after="0" w:line="263" w:lineRule="exact"/>
        <w:ind w:left="1287" w:right="0" w:hanging="530"/>
        <w:jc w:val="left"/>
        <w:rPr>
          <w:sz w:val="21"/>
        </w:rPr>
      </w:pPr>
      <w:r>
        <w:rPr>
          <w:spacing w:val="-3"/>
          <w:sz w:val="21"/>
        </w:rPr>
        <w:t>环境标志产品根据《财政部、国家环保总局联合印发</w:t>
      </w:r>
      <w:r>
        <w:rPr>
          <w:rFonts w:ascii="Times New Roman" w:eastAsia="Times New Roman"/>
          <w:sz w:val="21"/>
        </w:rPr>
        <w:t>&lt;</w:t>
      </w:r>
      <w:r>
        <w:rPr>
          <w:sz w:val="21"/>
        </w:rPr>
        <w:t>关于环境标志产品政府采购实施的意见</w:t>
      </w:r>
      <w:r>
        <w:rPr>
          <w:rFonts w:ascii="Times New Roman" w:eastAsia="Times New Roman"/>
          <w:spacing w:val="3"/>
          <w:sz w:val="21"/>
        </w:rPr>
        <w:t>&gt;</w:t>
      </w:r>
      <w:r>
        <w:rPr>
          <w:sz w:val="21"/>
        </w:rPr>
        <w:t>》</w:t>
      </w:r>
    </w:p>
    <w:p>
      <w:pPr>
        <w:pStyle w:val="12"/>
        <w:spacing w:before="170" w:line="393" w:lineRule="auto"/>
        <w:ind w:left="337" w:right="331"/>
        <w:jc w:val="both"/>
      </w:pPr>
      <w:r>
        <w:t>（</w:t>
      </w:r>
      <w:r>
        <w:rPr>
          <w:spacing w:val="-20"/>
        </w:rPr>
        <w:t>财库【</w:t>
      </w:r>
      <w:r>
        <w:rPr>
          <w:rFonts w:ascii="Times New Roman" w:eastAsia="Times New Roman"/>
        </w:rPr>
        <w:t>2006</w:t>
      </w:r>
      <w:r>
        <w:rPr>
          <w:spacing w:val="-56"/>
        </w:rPr>
        <w:t>】</w:t>
      </w:r>
      <w:r>
        <w:rPr>
          <w:rFonts w:ascii="Times New Roman" w:eastAsia="Times New Roman"/>
        </w:rPr>
        <w:t>90</w:t>
      </w:r>
      <w:r>
        <w:rPr>
          <w:rFonts w:ascii="Times New Roman" w:eastAsia="Times New Roman"/>
          <w:spacing w:val="35"/>
        </w:rPr>
        <w:t xml:space="preserve"> </w:t>
      </w:r>
      <w:r>
        <w:t>号</w:t>
      </w:r>
      <w:r>
        <w:rPr>
          <w:spacing w:val="-58"/>
        </w:rPr>
        <w:t>）</w:t>
      </w:r>
      <w:r>
        <w:rPr>
          <w:spacing w:val="-17"/>
        </w:rPr>
        <w:t>以及《关于调整优化节能产品、环境标志产品政府采购执行机制的通知》财库〔</w:t>
      </w:r>
      <w:r>
        <w:rPr>
          <w:rFonts w:ascii="Times New Roman" w:eastAsia="Times New Roman"/>
          <w:spacing w:val="-3"/>
        </w:rPr>
        <w:t>2019</w:t>
      </w:r>
      <w:r>
        <w:t>〕</w:t>
      </w:r>
      <w:r>
        <w:rPr>
          <w:rFonts w:ascii="Times New Roman" w:eastAsia="Times New Roman"/>
        </w:rPr>
        <w:t>9</w:t>
      </w:r>
      <w:r>
        <w:rPr>
          <w:rFonts w:ascii="Times New Roman" w:eastAsia="Times New Roman"/>
          <w:spacing w:val="18"/>
        </w:rPr>
        <w:t xml:space="preserve"> </w:t>
      </w:r>
      <w:r>
        <w:rPr>
          <w:spacing w:val="-4"/>
        </w:rPr>
        <w:t xml:space="preserve">号的规定。对经核实产品属于清单中品目的，所投评审中价格扣除 </w:t>
      </w:r>
      <w:r>
        <w:rPr>
          <w:rFonts w:ascii="Times New Roman" w:eastAsia="Times New Roman"/>
        </w:rPr>
        <w:t>3%</w:t>
      </w:r>
      <w:r>
        <w:rPr>
          <w:spacing w:val="-3"/>
        </w:rPr>
        <w:t>，用扣除后的价格参与评审，其评标价</w:t>
      </w:r>
      <w:r>
        <w:rPr>
          <w:rFonts w:ascii="Times New Roman" w:eastAsia="Times New Roman"/>
          <w:spacing w:val="-3"/>
        </w:rPr>
        <w:t>=</w:t>
      </w:r>
      <w:r>
        <w:rPr>
          <w:spacing w:val="-3"/>
        </w:rPr>
        <w:t>投标报价</w:t>
      </w:r>
      <w:r>
        <w:rPr>
          <w:rFonts w:ascii="Times New Roman" w:eastAsia="Times New Roman"/>
        </w:rPr>
        <w:t>*</w:t>
      </w:r>
      <w:r>
        <w:t>（</w:t>
      </w:r>
      <w:r>
        <w:rPr>
          <w:rFonts w:ascii="Times New Roman" w:eastAsia="Times New Roman"/>
        </w:rPr>
        <w:t>1-3%</w:t>
      </w:r>
      <w:r>
        <w:t>）。</w:t>
      </w:r>
    </w:p>
    <w:p>
      <w:pPr>
        <w:pStyle w:val="6"/>
        <w:spacing w:line="286" w:lineRule="exact"/>
      </w:pPr>
      <w:r>
        <w:t>五、定标</w:t>
      </w:r>
    </w:p>
    <w:p>
      <w:pPr>
        <w:pStyle w:val="12"/>
        <w:spacing w:before="153"/>
        <w:ind w:left="969"/>
      </w:pPr>
      <w:r>
        <w:rPr>
          <w:rFonts w:ascii="Times New Roman" w:eastAsia="Times New Roman"/>
        </w:rPr>
        <w:t>1</w:t>
      </w:r>
      <w:r>
        <w:t>、定标程序</w:t>
      </w:r>
    </w:p>
    <w:p>
      <w:pPr>
        <w:pStyle w:val="22"/>
        <w:numPr>
          <w:ilvl w:val="0"/>
          <w:numId w:val="39"/>
        </w:numPr>
        <w:tabs>
          <w:tab w:val="left" w:pos="1288"/>
        </w:tabs>
        <w:spacing w:before="57" w:after="0" w:line="290" w:lineRule="auto"/>
        <w:ind w:left="337" w:right="328" w:firstLine="420"/>
        <w:jc w:val="left"/>
        <w:rPr>
          <w:sz w:val="21"/>
        </w:rPr>
      </w:pPr>
      <w:r>
        <w:rPr>
          <w:spacing w:val="-5"/>
          <w:sz w:val="21"/>
        </w:rPr>
        <w:t>评标委员会依据评标办法，经过初审、澄清、比较与评价等程序后，在最大限度满足招标文件实</w:t>
      </w:r>
      <w:r>
        <w:rPr>
          <w:spacing w:val="-10"/>
          <w:sz w:val="21"/>
        </w:rPr>
        <w:t xml:space="preserve">质性要求前提下进行综合评审，以评标总得分最高到低的顺序推荐 </w:t>
      </w:r>
      <w:r>
        <w:rPr>
          <w:rFonts w:ascii="Times New Roman" w:eastAsia="Times New Roman"/>
          <w:sz w:val="21"/>
        </w:rPr>
        <w:t>3</w:t>
      </w:r>
      <w:r>
        <w:rPr>
          <w:rFonts w:ascii="Times New Roman" w:eastAsia="Times New Roman"/>
          <w:spacing w:val="23"/>
          <w:sz w:val="21"/>
        </w:rPr>
        <w:t xml:space="preserve"> </w:t>
      </w:r>
      <w:r>
        <w:rPr>
          <w:spacing w:val="-10"/>
          <w:sz w:val="21"/>
        </w:rPr>
        <w:t>名以上中标候选人，并编写评标报告。</w:t>
      </w:r>
    </w:p>
    <w:p>
      <w:pPr>
        <w:pStyle w:val="22"/>
        <w:numPr>
          <w:ilvl w:val="0"/>
          <w:numId w:val="39"/>
        </w:numPr>
        <w:tabs>
          <w:tab w:val="left" w:pos="1288"/>
        </w:tabs>
        <w:spacing w:before="57" w:after="0" w:line="290" w:lineRule="auto"/>
        <w:ind w:left="337" w:right="328" w:firstLine="420"/>
        <w:jc w:val="left"/>
        <w:rPr>
          <w:sz w:val="21"/>
        </w:rPr>
      </w:pPr>
      <w:r>
        <w:rPr>
          <w:spacing w:val="-5"/>
          <w:sz w:val="21"/>
        </w:rPr>
        <w:t>评标委员会成员应当在评标报告上签字，对自己的评审意见承担法律责任。评标委员会成员对评</w:t>
      </w:r>
      <w:r>
        <w:rPr>
          <w:spacing w:val="-4"/>
          <w:sz w:val="21"/>
        </w:rPr>
        <w:t>标报告有异议的，评标委员会按照少数服从多数的原则推荐中标候选人。对评标报告有异议的，应当在评</w:t>
      </w:r>
      <w:r>
        <w:rPr>
          <w:spacing w:val="-3"/>
          <w:sz w:val="21"/>
        </w:rPr>
        <w:t>标报告上签署不同意见并说明理由，否则视为同意评标报告。</w:t>
      </w:r>
    </w:p>
    <w:p>
      <w:pPr>
        <w:pStyle w:val="12"/>
        <w:spacing w:before="172" w:line="391" w:lineRule="auto"/>
        <w:ind w:right="417" w:firstLine="792" w:firstLineChars="400"/>
        <w:jc w:val="both"/>
      </w:pPr>
      <w:r>
        <w:rPr>
          <w:rFonts w:hint="eastAsia"/>
          <w:spacing w:val="-6"/>
          <w:sz w:val="21"/>
          <w:lang w:eastAsia="zh-CN"/>
        </w:rPr>
        <w:t>（</w:t>
      </w:r>
      <w:r>
        <w:rPr>
          <w:rFonts w:hint="eastAsia"/>
          <w:spacing w:val="-6"/>
          <w:sz w:val="21"/>
          <w:lang w:val="en-US" w:eastAsia="zh-CN"/>
        </w:rPr>
        <w:t>3</w:t>
      </w:r>
      <w:r>
        <w:rPr>
          <w:rFonts w:hint="eastAsia"/>
          <w:spacing w:val="-6"/>
          <w:sz w:val="21"/>
          <w:lang w:eastAsia="zh-CN"/>
        </w:rPr>
        <w:t>）</w:t>
      </w:r>
      <w:r>
        <w:rPr>
          <w:spacing w:val="-6"/>
          <w:sz w:val="21"/>
        </w:rPr>
        <w:t>采购代理机构应当自评审结束之日起</w:t>
      </w:r>
      <w:r>
        <w:rPr>
          <w:spacing w:val="-4"/>
          <w:sz w:val="21"/>
        </w:rPr>
        <w:t>将评审报告送交采购人。</w:t>
      </w:r>
    </w:p>
    <w:p>
      <w:pPr>
        <w:pStyle w:val="12"/>
        <w:spacing w:before="170"/>
        <w:ind w:left="337" w:firstLine="392" w:firstLineChars="200"/>
      </w:pPr>
      <w:r>
        <w:rPr>
          <w:rFonts w:hint="eastAsia"/>
          <w:spacing w:val="-7"/>
          <w:sz w:val="21"/>
          <w:lang w:eastAsia="zh-CN"/>
        </w:rPr>
        <w:t>（</w:t>
      </w:r>
      <w:r>
        <w:rPr>
          <w:rFonts w:hint="eastAsia"/>
          <w:spacing w:val="-7"/>
          <w:sz w:val="21"/>
          <w:lang w:val="en-US" w:eastAsia="zh-CN"/>
        </w:rPr>
        <w:t>4</w:t>
      </w:r>
      <w:r>
        <w:rPr>
          <w:rFonts w:hint="eastAsia"/>
          <w:spacing w:val="-7"/>
          <w:sz w:val="21"/>
          <w:lang w:eastAsia="zh-CN"/>
        </w:rPr>
        <w:t>）</w:t>
      </w:r>
      <w:r>
        <w:rPr>
          <w:spacing w:val="-7"/>
          <w:sz w:val="21"/>
        </w:rPr>
        <w:t>采购代理机构</w:t>
      </w:r>
      <w:r>
        <w:rPr>
          <w:rFonts w:hint="eastAsia"/>
          <w:spacing w:val="-7"/>
          <w:sz w:val="21"/>
          <w:lang w:eastAsia="zh-CN"/>
        </w:rPr>
        <w:t>将中标</w:t>
      </w:r>
      <w:r>
        <w:t xml:space="preserve">公告发布 </w:t>
      </w:r>
      <w:r>
        <w:rPr>
          <w:rFonts w:ascii="Times New Roman" w:eastAsia="Times New Roman"/>
        </w:rPr>
        <w:t xml:space="preserve">1 </w:t>
      </w:r>
      <w:r>
        <w:t xml:space="preserve">个工作日，其他投标人若有异议，按《政府采购法》第 </w:t>
      </w:r>
      <w:r>
        <w:rPr>
          <w:rFonts w:ascii="Times New Roman" w:eastAsia="Times New Roman"/>
        </w:rPr>
        <w:t xml:space="preserve">52 </w:t>
      </w:r>
      <w:r>
        <w:t>条执行。</w:t>
      </w:r>
    </w:p>
    <w:p>
      <w:pPr>
        <w:pStyle w:val="12"/>
        <w:spacing w:before="173" w:line="391" w:lineRule="auto"/>
        <w:ind w:left="337" w:right="328" w:firstLine="420"/>
      </w:pPr>
      <w:r>
        <w:rPr>
          <w:rFonts w:ascii="Times New Roman" w:eastAsia="Times New Roman"/>
        </w:rPr>
        <w:t>2</w:t>
      </w:r>
      <w:r>
        <w:t>、中标人确定后，采购人和采购代理机构对未中标原因不作任何解释，投标文件不予退还（含纸质及电子版文件）。</w:t>
      </w:r>
    </w:p>
    <w:p>
      <w:pPr>
        <w:pStyle w:val="12"/>
        <w:spacing w:before="173" w:line="391" w:lineRule="auto"/>
        <w:ind w:left="337" w:right="328" w:firstLine="420"/>
        <w:rPr>
          <w:rFonts w:hint="eastAsia" w:eastAsia="宋体"/>
          <w:lang w:val="en-US" w:eastAsia="zh-CN"/>
        </w:rPr>
      </w:pPr>
      <w:r>
        <w:rPr>
          <w:rFonts w:hint="eastAsia"/>
          <w:lang w:val="en-US" w:eastAsia="zh-CN"/>
        </w:rPr>
        <w:t>3、中标企业须在当地注册分支机构。</w:t>
      </w:r>
    </w:p>
    <w:p>
      <w:pPr>
        <w:pStyle w:val="6"/>
        <w:spacing w:line="290" w:lineRule="exact"/>
      </w:pPr>
      <w:r>
        <w:t>六、投标无效的情形：</w:t>
      </w:r>
    </w:p>
    <w:p>
      <w:pPr>
        <w:pStyle w:val="12"/>
        <w:spacing w:before="153"/>
        <w:ind w:left="758"/>
      </w:pPr>
      <w:r>
        <w:rPr>
          <w:rFonts w:ascii="Times New Roman" w:eastAsia="Times New Roman"/>
        </w:rPr>
        <w:t>1</w:t>
      </w:r>
      <w:r>
        <w:t>、未按照招标文件的规定提交投标保证金的；</w:t>
      </w:r>
    </w:p>
    <w:p>
      <w:pPr>
        <w:pStyle w:val="12"/>
        <w:spacing w:before="170"/>
        <w:ind w:left="758"/>
      </w:pPr>
      <w:r>
        <w:rPr>
          <w:rFonts w:ascii="Times New Roman" w:eastAsia="Times New Roman"/>
        </w:rPr>
        <w:t>2</w:t>
      </w:r>
      <w:r>
        <w:t>、投标文件未按招标文件要求签署、盖章及装订密封的；</w:t>
      </w:r>
    </w:p>
    <w:p>
      <w:pPr>
        <w:pStyle w:val="12"/>
        <w:spacing w:before="170"/>
        <w:ind w:left="758"/>
      </w:pPr>
      <w:r>
        <w:rPr>
          <w:rFonts w:ascii="Times New Roman" w:eastAsia="Times New Roman"/>
        </w:rPr>
        <w:t>3</w:t>
      </w:r>
      <w:r>
        <w:t>、不具备招标文件中规定的资格要求的；</w:t>
      </w:r>
    </w:p>
    <w:p>
      <w:pPr>
        <w:pStyle w:val="12"/>
        <w:spacing w:before="173"/>
        <w:ind w:left="758"/>
      </w:pPr>
      <w:r>
        <w:rPr>
          <w:rFonts w:ascii="Times New Roman" w:eastAsia="Times New Roman"/>
        </w:rPr>
        <w:t>4</w:t>
      </w:r>
      <w:r>
        <w:t>、报价超过招标文件中规定的预算金额的；</w:t>
      </w:r>
    </w:p>
    <w:p>
      <w:pPr>
        <w:pStyle w:val="12"/>
        <w:spacing w:before="170"/>
        <w:ind w:left="758"/>
      </w:pPr>
      <w:r>
        <w:rPr>
          <w:rFonts w:ascii="Times New Roman" w:eastAsia="Times New Roman"/>
        </w:rPr>
        <w:t>5</w:t>
      </w:r>
      <w:r>
        <w:t>、投标文件含有采购人不能接受的附加条件的；</w:t>
      </w:r>
    </w:p>
    <w:p>
      <w:pPr>
        <w:pStyle w:val="12"/>
        <w:spacing w:before="170"/>
        <w:ind w:left="758"/>
      </w:pPr>
      <w:r>
        <w:rPr>
          <w:rFonts w:ascii="Times New Roman" w:eastAsia="Times New Roman"/>
        </w:rPr>
        <w:t>6</w:t>
      </w:r>
      <w:r>
        <w:t>、提供虚假材料谋取中标的；</w:t>
      </w:r>
    </w:p>
    <w:p>
      <w:pPr>
        <w:pStyle w:val="12"/>
        <w:spacing w:before="173"/>
        <w:ind w:left="758"/>
      </w:pPr>
      <w:r>
        <w:rPr>
          <w:rFonts w:ascii="Times New Roman" w:eastAsia="Times New Roman"/>
        </w:rPr>
        <w:t>7</w:t>
      </w:r>
      <w:r>
        <w:t>、采取不正当手段诋毁、排挤其他投标人的；</w:t>
      </w:r>
    </w:p>
    <w:p>
      <w:pPr>
        <w:pStyle w:val="12"/>
        <w:spacing w:before="170"/>
        <w:ind w:left="758"/>
      </w:pPr>
      <w:r>
        <w:rPr>
          <w:rFonts w:ascii="Times New Roman" w:eastAsia="Times New Roman"/>
        </w:rPr>
        <w:t>8</w:t>
      </w:r>
      <w:r>
        <w:t>、法律、法规和招标文件规定的其他无效情形；</w:t>
      </w:r>
    </w:p>
    <w:p>
      <w:pPr>
        <w:pStyle w:val="12"/>
        <w:spacing w:before="170"/>
        <w:ind w:left="758"/>
      </w:pPr>
      <w:r>
        <w:rPr>
          <w:rFonts w:ascii="Times New Roman" w:eastAsia="Times New Roman"/>
        </w:rPr>
        <w:t>9</w:t>
      </w:r>
      <w:r>
        <w:t>、不响应第四部分要求；</w:t>
      </w:r>
    </w:p>
    <w:p>
      <w:pPr>
        <w:pStyle w:val="12"/>
        <w:spacing w:before="171"/>
        <w:ind w:left="758"/>
      </w:pPr>
    </w:p>
    <w:p>
      <w:pPr>
        <w:spacing w:after="0"/>
        <w:sectPr>
          <w:pgSz w:w="11910" w:h="16840"/>
          <w:pgMar w:top="1360" w:right="740" w:bottom="1080" w:left="740" w:header="880" w:footer="887" w:gutter="0"/>
        </w:sectPr>
      </w:pPr>
    </w:p>
    <w:p>
      <w:pPr>
        <w:pStyle w:val="12"/>
        <w:spacing w:before="6"/>
        <w:rPr>
          <w:sz w:val="9"/>
        </w:rPr>
      </w:pPr>
    </w:p>
    <w:p>
      <w:pPr>
        <w:pStyle w:val="3"/>
        <w:tabs>
          <w:tab w:val="left" w:pos="1811"/>
        </w:tabs>
        <w:spacing w:before="49"/>
        <w:ind w:left="1"/>
        <w:rPr>
          <w:rFonts w:hint="eastAsia" w:ascii="宋体" w:hAnsi="宋体" w:eastAsia="宋体" w:cs="宋体"/>
          <w:b w:val="0"/>
          <w:bCs w:val="0"/>
          <w:sz w:val="36"/>
          <w:szCs w:val="36"/>
          <w:lang w:val="zh-CN" w:eastAsia="zh-CN" w:bidi="zh-CN"/>
        </w:rPr>
      </w:pPr>
      <w:bookmarkStart w:id="41" w:name="第四部分  商务及服务要求"/>
      <w:bookmarkEnd w:id="41"/>
      <w:bookmarkStart w:id="42" w:name="_bookmark1"/>
      <w:bookmarkEnd w:id="42"/>
      <w:r>
        <w:rPr>
          <w:rFonts w:hint="eastAsia" w:ascii="宋体" w:hAnsi="宋体" w:eastAsia="宋体" w:cs="宋体"/>
          <w:b w:val="0"/>
          <w:bCs w:val="0"/>
          <w:sz w:val="36"/>
          <w:szCs w:val="36"/>
          <w:lang w:val="zh-CN" w:eastAsia="zh-CN" w:bidi="zh-CN"/>
        </w:rPr>
        <w:t>第四部分</w:t>
      </w:r>
      <w:r>
        <w:rPr>
          <w:rFonts w:hint="eastAsia" w:ascii="宋体" w:hAnsi="宋体" w:eastAsia="宋体" w:cs="宋体"/>
          <w:b w:val="0"/>
          <w:bCs w:val="0"/>
          <w:sz w:val="36"/>
          <w:szCs w:val="36"/>
          <w:lang w:val="zh-CN" w:eastAsia="zh-CN" w:bidi="zh-CN"/>
        </w:rPr>
        <w:tab/>
      </w:r>
      <w:r>
        <w:rPr>
          <w:rFonts w:hint="eastAsia" w:ascii="宋体" w:hAnsi="宋体" w:eastAsia="宋体" w:cs="宋体"/>
          <w:b w:val="0"/>
          <w:bCs w:val="0"/>
          <w:sz w:val="36"/>
          <w:szCs w:val="36"/>
          <w:lang w:val="zh-CN" w:eastAsia="zh-CN" w:bidi="zh-CN"/>
        </w:rPr>
        <w:t>商务及服务要求</w:t>
      </w:r>
    </w:p>
    <w:p>
      <w:pPr>
        <w:pStyle w:val="12"/>
        <w:rPr>
          <w:b/>
          <w:sz w:val="13"/>
        </w:rPr>
      </w:pPr>
    </w:p>
    <w:p>
      <w:pPr>
        <w:pStyle w:val="12"/>
        <w:spacing w:before="72"/>
        <w:ind w:left="758"/>
      </w:pPr>
      <w:r>
        <w:t>一、商务要求：</w:t>
      </w:r>
    </w:p>
    <w:p>
      <w:pPr>
        <w:pStyle w:val="12"/>
        <w:spacing w:before="170"/>
        <w:ind w:left="758"/>
      </w:pPr>
      <w:r>
        <w:t>1、服务期及地点：</w:t>
      </w:r>
    </w:p>
    <w:p>
      <w:pPr>
        <w:pStyle w:val="22"/>
        <w:numPr>
          <w:ilvl w:val="1"/>
          <w:numId w:val="39"/>
        </w:numPr>
        <w:tabs>
          <w:tab w:val="left" w:pos="1182"/>
        </w:tabs>
        <w:spacing w:before="170" w:after="0" w:line="240" w:lineRule="auto"/>
        <w:ind w:left="1181" w:right="0" w:hanging="319"/>
        <w:jc w:val="left"/>
        <w:rPr>
          <w:rFonts w:hint="eastAsia"/>
          <w:spacing w:val="-3"/>
          <w:sz w:val="21"/>
          <w:lang w:eastAsia="zh-CN"/>
        </w:rPr>
      </w:pPr>
      <w:r>
        <w:rPr>
          <w:spacing w:val="-3"/>
          <w:sz w:val="21"/>
        </w:rPr>
        <w:t>服务期</w:t>
      </w:r>
      <w:r>
        <w:rPr>
          <w:rFonts w:hint="eastAsia"/>
          <w:spacing w:val="-3"/>
          <w:sz w:val="21"/>
          <w:lang w:eastAsia="zh-CN"/>
        </w:rPr>
        <w:t>：自合同签订后</w:t>
      </w:r>
      <w:r>
        <w:rPr>
          <w:rFonts w:hint="eastAsia"/>
          <w:spacing w:val="-3"/>
          <w:sz w:val="21"/>
          <w:lang w:val="en-US" w:eastAsia="zh-CN"/>
        </w:rPr>
        <w:t>10年</w:t>
      </w:r>
    </w:p>
    <w:p>
      <w:pPr>
        <w:pStyle w:val="22"/>
        <w:numPr>
          <w:ilvl w:val="1"/>
          <w:numId w:val="39"/>
        </w:numPr>
        <w:tabs>
          <w:tab w:val="left" w:pos="1182"/>
        </w:tabs>
        <w:spacing w:before="173" w:after="0" w:line="240" w:lineRule="auto"/>
        <w:ind w:left="1181" w:right="0" w:hanging="319"/>
        <w:jc w:val="left"/>
        <w:rPr>
          <w:sz w:val="21"/>
        </w:rPr>
      </w:pPr>
      <w:r>
        <w:rPr>
          <w:spacing w:val="-3"/>
          <w:sz w:val="21"/>
        </w:rPr>
        <w:t>服务地点：</w:t>
      </w:r>
      <w:r>
        <w:rPr>
          <w:rFonts w:hint="eastAsia"/>
          <w:sz w:val="21"/>
          <w:lang w:eastAsia="zh-CN"/>
        </w:rPr>
        <w:t>阿克苏市城市管理行政执法局</w:t>
      </w:r>
      <w:r>
        <w:rPr>
          <w:sz w:val="21"/>
        </w:rPr>
        <w:t>指定地点</w:t>
      </w:r>
      <w:r>
        <w:rPr>
          <w:rFonts w:hint="eastAsia"/>
          <w:sz w:val="21"/>
          <w:lang w:eastAsia="zh-CN"/>
        </w:rPr>
        <w:t>。</w:t>
      </w:r>
    </w:p>
    <w:p>
      <w:pPr>
        <w:pStyle w:val="12"/>
        <w:spacing w:before="170"/>
        <w:ind w:left="750"/>
      </w:pPr>
      <w:r>
        <w:t>2、付款方式：</w:t>
      </w:r>
    </w:p>
    <w:p>
      <w:pPr>
        <w:pStyle w:val="22"/>
        <w:numPr>
          <w:ilvl w:val="0"/>
          <w:numId w:val="40"/>
        </w:numPr>
        <w:tabs>
          <w:tab w:val="left" w:pos="1228"/>
        </w:tabs>
        <w:spacing w:before="170" w:after="0" w:line="240" w:lineRule="auto"/>
        <w:ind w:left="1227" w:right="0" w:hanging="319"/>
        <w:jc w:val="left"/>
        <w:rPr>
          <w:sz w:val="21"/>
        </w:rPr>
      </w:pPr>
      <w:r>
        <w:rPr>
          <w:spacing w:val="-3"/>
          <w:sz w:val="21"/>
        </w:rPr>
        <w:t>付款方式：根据甲方对环卫作业的实际考核结果，</w:t>
      </w:r>
      <w:r>
        <w:rPr>
          <w:rFonts w:hint="eastAsia"/>
          <w:spacing w:val="-3"/>
          <w:sz w:val="21"/>
          <w:lang w:eastAsia="zh-CN"/>
        </w:rPr>
        <w:t>按合同条款执行</w:t>
      </w:r>
      <w:r>
        <w:rPr>
          <w:spacing w:val="-3"/>
          <w:sz w:val="21"/>
        </w:rPr>
        <w:t>。</w:t>
      </w:r>
    </w:p>
    <w:p>
      <w:pPr>
        <w:pStyle w:val="22"/>
        <w:numPr>
          <w:ilvl w:val="0"/>
          <w:numId w:val="40"/>
        </w:numPr>
        <w:tabs>
          <w:tab w:val="left" w:pos="1228"/>
        </w:tabs>
        <w:spacing w:before="173" w:after="0" w:line="240" w:lineRule="auto"/>
        <w:ind w:left="1227" w:right="0" w:hanging="319"/>
        <w:jc w:val="left"/>
        <w:rPr>
          <w:spacing w:val="-3"/>
          <w:sz w:val="21"/>
        </w:rPr>
      </w:pPr>
      <w:r>
        <w:rPr>
          <w:spacing w:val="-3"/>
          <w:sz w:val="21"/>
        </w:rPr>
        <w:t>结算方式：采取银行转账方式支付。付款前，乙方须按照甲方要求提供等额发票。</w:t>
      </w:r>
    </w:p>
    <w:p>
      <w:pPr>
        <w:pStyle w:val="22"/>
        <w:numPr>
          <w:ilvl w:val="0"/>
          <w:numId w:val="40"/>
        </w:numPr>
        <w:tabs>
          <w:tab w:val="left" w:pos="1228"/>
        </w:tabs>
        <w:spacing w:before="170" w:after="0" w:line="240" w:lineRule="auto"/>
        <w:ind w:left="1227" w:right="0" w:hanging="319"/>
        <w:jc w:val="left"/>
        <w:rPr>
          <w:sz w:val="21"/>
        </w:rPr>
      </w:pPr>
      <w:r>
        <w:rPr>
          <w:spacing w:val="-3"/>
          <w:sz w:val="21"/>
        </w:rPr>
        <w:t>结算单位：由甲方负责结算，乙方开具相应等额发票交甲方。</w:t>
      </w:r>
    </w:p>
    <w:p>
      <w:pPr>
        <w:pStyle w:val="12"/>
        <w:spacing w:before="171"/>
        <w:ind w:left="758"/>
      </w:pPr>
      <w:r>
        <w:t>3、合同实施：</w:t>
      </w:r>
    </w:p>
    <w:p>
      <w:pPr>
        <w:pStyle w:val="22"/>
        <w:numPr>
          <w:ilvl w:val="0"/>
          <w:numId w:val="41"/>
        </w:numPr>
        <w:tabs>
          <w:tab w:val="left" w:pos="1182"/>
        </w:tabs>
        <w:spacing w:before="172" w:after="0" w:line="240" w:lineRule="auto"/>
        <w:ind w:left="1181" w:right="0" w:hanging="319"/>
        <w:jc w:val="left"/>
        <w:rPr>
          <w:sz w:val="21"/>
        </w:rPr>
      </w:pPr>
      <w:r>
        <w:rPr>
          <w:spacing w:val="-8"/>
          <w:sz w:val="21"/>
        </w:rPr>
        <w:t xml:space="preserve">中标人应在合同签订后 </w:t>
      </w:r>
      <w:r>
        <w:rPr>
          <w:sz w:val="21"/>
        </w:rPr>
        <w:t>7</w:t>
      </w:r>
      <w:r>
        <w:rPr>
          <w:spacing w:val="-9"/>
          <w:sz w:val="21"/>
        </w:rPr>
        <w:t xml:space="preserve"> 个日历日内安排人员与采购单位就工作进行安排、部署。</w:t>
      </w:r>
    </w:p>
    <w:p>
      <w:pPr>
        <w:pStyle w:val="22"/>
        <w:numPr>
          <w:ilvl w:val="0"/>
          <w:numId w:val="41"/>
        </w:numPr>
        <w:tabs>
          <w:tab w:val="left" w:pos="1182"/>
        </w:tabs>
        <w:spacing w:before="170" w:after="0" w:line="391" w:lineRule="auto"/>
        <w:ind w:left="337" w:right="420" w:firstLine="526"/>
        <w:jc w:val="left"/>
        <w:rPr>
          <w:sz w:val="21"/>
        </w:rPr>
      </w:pPr>
      <w:r>
        <w:rPr>
          <w:spacing w:val="-3"/>
          <w:sz w:val="21"/>
        </w:rPr>
        <w:t>若未能在服务期内完成合同规定的义务，由此对采购人造成的延误和一切损失，由中标人承担和赔偿。</w:t>
      </w:r>
    </w:p>
    <w:p>
      <w:pPr>
        <w:pStyle w:val="22"/>
        <w:numPr>
          <w:ilvl w:val="0"/>
          <w:numId w:val="41"/>
        </w:numPr>
        <w:tabs>
          <w:tab w:val="left" w:pos="1182"/>
        </w:tabs>
        <w:spacing w:before="4" w:after="0" w:line="391" w:lineRule="auto"/>
        <w:ind w:left="337" w:right="328" w:firstLine="526"/>
        <w:jc w:val="left"/>
        <w:rPr>
          <w:sz w:val="21"/>
        </w:rPr>
      </w:pPr>
      <w:r>
        <w:rPr>
          <w:spacing w:val="-3"/>
          <w:sz w:val="21"/>
        </w:rPr>
        <w:t>中标后中标人应在合同签订之前提交履约保证金</w:t>
      </w:r>
      <w:r>
        <w:rPr>
          <w:rFonts w:hint="eastAsia"/>
          <w:spacing w:val="-3"/>
          <w:sz w:val="21"/>
          <w:lang w:eastAsia="zh-CN"/>
        </w:rPr>
        <w:t>贰拾</w:t>
      </w:r>
      <w:r>
        <w:rPr>
          <w:spacing w:val="-3"/>
          <w:sz w:val="21"/>
        </w:rPr>
        <w:t>万元整（¥：</w:t>
      </w:r>
      <w:r>
        <w:rPr>
          <w:rFonts w:hint="eastAsia"/>
          <w:spacing w:val="-3"/>
          <w:sz w:val="21"/>
          <w:lang w:val="en-US" w:eastAsia="zh-CN"/>
        </w:rPr>
        <w:t>200000</w:t>
      </w:r>
      <w:r>
        <w:rPr>
          <w:spacing w:val="-3"/>
          <w:sz w:val="21"/>
        </w:rPr>
        <w:t>.00 元），</w:t>
      </w:r>
      <w:r>
        <w:rPr>
          <w:spacing w:val="-2"/>
          <w:sz w:val="21"/>
        </w:rPr>
        <w:t>转至甲方开</w:t>
      </w:r>
      <w:r>
        <w:rPr>
          <w:spacing w:val="-11"/>
          <w:sz w:val="21"/>
        </w:rPr>
        <w:t xml:space="preserve">户行。履约保证金可以履约保函形式或现金形式缴纳，在合同有效期期满后 </w:t>
      </w:r>
      <w:r>
        <w:rPr>
          <w:sz w:val="21"/>
        </w:rPr>
        <w:t>5</w:t>
      </w:r>
      <w:r>
        <w:rPr>
          <w:spacing w:val="-10"/>
          <w:sz w:val="21"/>
        </w:rPr>
        <w:t xml:space="preserve"> 天内退还给乙方，不计利息。</w:t>
      </w:r>
    </w:p>
    <w:p>
      <w:pPr>
        <w:pStyle w:val="12"/>
        <w:spacing w:before="1" w:line="393" w:lineRule="auto"/>
        <w:ind w:left="758" w:right="5672" w:hanging="421"/>
      </w:pPr>
      <w:r>
        <w:t>（注：履约保证金作为本合同签订的必要条件） 4、验收</w:t>
      </w:r>
    </w:p>
    <w:p>
      <w:pPr>
        <w:pStyle w:val="22"/>
        <w:numPr>
          <w:ilvl w:val="0"/>
          <w:numId w:val="42"/>
        </w:numPr>
        <w:tabs>
          <w:tab w:val="left" w:pos="1182"/>
        </w:tabs>
        <w:spacing w:before="0" w:after="0" w:line="268" w:lineRule="exact"/>
        <w:ind w:left="1181" w:right="0" w:hanging="319"/>
        <w:jc w:val="left"/>
        <w:rPr>
          <w:sz w:val="21"/>
        </w:rPr>
      </w:pPr>
      <w:r>
        <w:rPr>
          <w:spacing w:val="-3"/>
          <w:sz w:val="21"/>
        </w:rPr>
        <w:t>由甲方组织或委托相关部门服务期间进行现场巡检</w:t>
      </w:r>
      <w:r>
        <w:rPr>
          <w:rFonts w:hint="eastAsia"/>
          <w:spacing w:val="-3"/>
          <w:sz w:val="21"/>
          <w:lang w:eastAsia="zh-CN"/>
        </w:rPr>
        <w:t>考核</w:t>
      </w:r>
      <w:r>
        <w:rPr>
          <w:spacing w:val="-3"/>
          <w:sz w:val="21"/>
        </w:rPr>
        <w:t>。</w:t>
      </w:r>
    </w:p>
    <w:p>
      <w:pPr>
        <w:pStyle w:val="22"/>
        <w:numPr>
          <w:ilvl w:val="0"/>
          <w:numId w:val="42"/>
        </w:numPr>
        <w:tabs>
          <w:tab w:val="left" w:pos="1182"/>
        </w:tabs>
        <w:spacing w:before="170" w:after="0" w:line="240" w:lineRule="auto"/>
        <w:ind w:left="1181" w:right="0" w:hanging="319"/>
        <w:jc w:val="left"/>
        <w:rPr>
          <w:sz w:val="21"/>
        </w:rPr>
      </w:pPr>
      <w:r>
        <w:rPr>
          <w:spacing w:val="-3"/>
          <w:sz w:val="21"/>
        </w:rPr>
        <w:t>验收依据：合同文本、合同附件、招标文件及响应文件。</w:t>
      </w:r>
    </w:p>
    <w:p>
      <w:pPr>
        <w:pStyle w:val="12"/>
        <w:spacing w:before="173"/>
        <w:ind w:left="758"/>
      </w:pPr>
      <w:r>
        <w:t>5、违约责任：</w:t>
      </w:r>
    </w:p>
    <w:p>
      <w:pPr>
        <w:pStyle w:val="22"/>
        <w:numPr>
          <w:ilvl w:val="0"/>
          <w:numId w:val="43"/>
        </w:numPr>
        <w:tabs>
          <w:tab w:val="left" w:pos="1182"/>
        </w:tabs>
        <w:spacing w:before="170" w:after="0" w:line="240" w:lineRule="auto"/>
        <w:ind w:left="1181" w:right="0" w:hanging="319"/>
        <w:jc w:val="left"/>
        <w:rPr>
          <w:sz w:val="21"/>
        </w:rPr>
      </w:pPr>
      <w:r>
        <w:rPr>
          <w:spacing w:val="-3"/>
          <w:sz w:val="21"/>
        </w:rPr>
        <w:t>按《中华人民共和国合同法》中的相关条款执行。</w:t>
      </w:r>
    </w:p>
    <w:p>
      <w:pPr>
        <w:pStyle w:val="22"/>
        <w:numPr>
          <w:ilvl w:val="0"/>
          <w:numId w:val="43"/>
        </w:numPr>
        <w:tabs>
          <w:tab w:val="left" w:pos="1182"/>
        </w:tabs>
        <w:spacing w:before="170" w:after="0" w:line="393" w:lineRule="auto"/>
        <w:ind w:left="337" w:right="419" w:firstLine="526"/>
        <w:jc w:val="left"/>
        <w:rPr>
          <w:sz w:val="21"/>
        </w:rPr>
      </w:pPr>
      <w:r>
        <w:rPr>
          <w:spacing w:val="-3"/>
          <w:sz w:val="21"/>
        </w:rPr>
        <w:t>未按合同要求提供服务或服务质量不能满足技术要求，采购人有权终止合同，并对供方违约行为进行追究，同时按《政府采购法》的有关规定进行处罚。</w:t>
      </w:r>
    </w:p>
    <w:p>
      <w:pPr>
        <w:pStyle w:val="12"/>
        <w:numPr>
          <w:ilvl w:val="0"/>
          <w:numId w:val="44"/>
        </w:numPr>
        <w:spacing w:line="364" w:lineRule="auto"/>
        <w:ind w:left="758" w:right="90" w:rightChars="0"/>
        <w:rPr>
          <w:rFonts w:hint="eastAsia"/>
          <w:lang w:eastAsia="zh-CN"/>
        </w:rPr>
      </w:pPr>
      <w:r>
        <w:t>服务要求：</w:t>
      </w:r>
    </w:p>
    <w:p>
      <w:pPr>
        <w:pStyle w:val="12"/>
        <w:numPr>
          <w:ilvl w:val="0"/>
          <w:numId w:val="0"/>
        </w:numPr>
        <w:spacing w:line="364" w:lineRule="auto"/>
        <w:ind w:left="418" w:leftChars="190" w:right="90" w:rightChars="0" w:firstLine="210" w:firstLineChars="100"/>
        <w:rPr>
          <w:rFonts w:hint="default" w:ascii="宋体" w:hAnsi="宋体" w:eastAsia="宋体" w:cs="宋体"/>
          <w:spacing w:val="-3"/>
          <w:sz w:val="21"/>
          <w:szCs w:val="22"/>
          <w:lang w:val="en-US" w:eastAsia="zh-CN" w:bidi="zh-CN"/>
        </w:rPr>
      </w:pPr>
      <w:r>
        <w:t xml:space="preserve"> 1、</w:t>
      </w:r>
      <w:r>
        <w:rPr>
          <w:rFonts w:hint="eastAsia"/>
          <w:lang w:eastAsia="zh-CN"/>
        </w:rPr>
        <w:t>概况：</w:t>
      </w:r>
      <w:r>
        <w:rPr>
          <w:rFonts w:hint="eastAsia" w:ascii="宋体" w:hAnsi="宋体" w:eastAsia="宋体" w:cs="宋体"/>
          <w:spacing w:val="-3"/>
          <w:sz w:val="21"/>
          <w:szCs w:val="22"/>
          <w:lang w:val="zh-CN" w:eastAsia="zh-CN" w:bidi="zh-CN"/>
        </w:rPr>
        <w:t>阿克苏市城市</w:t>
      </w:r>
      <w:r>
        <w:rPr>
          <w:rFonts w:hint="eastAsia" w:ascii="宋体" w:hAnsi="宋体" w:eastAsia="宋体" w:cs="宋体"/>
          <w:spacing w:val="-3"/>
          <w:sz w:val="21"/>
          <w:szCs w:val="22"/>
          <w:lang w:val="en-US" w:eastAsia="zh-CN" w:bidi="zh-CN"/>
        </w:rPr>
        <w:t>68条主次干道约921万平方米（约13808亩）道路保洁清扫、35座公厕管护；城区285万平方米（4283亩）园林绿化管养，智慧环卫平台建设、车辆运营费用(环卫车辆采用有偿租赁的方式移交承包方，由第三方评估机构对移交的车辆进行核价并评估使用年限，在此基础上，确定租赁费用。移交使用期间，设备、设施及车辆的维护、修理、事故处理等费用由承包人承担。</w:t>
      </w:r>
    </w:p>
    <w:p>
      <w:pPr>
        <w:pStyle w:val="22"/>
        <w:numPr>
          <w:ilvl w:val="0"/>
          <w:numId w:val="0"/>
        </w:numPr>
        <w:tabs>
          <w:tab w:val="left" w:pos="1182"/>
        </w:tabs>
        <w:spacing w:before="0" w:after="0" w:line="499" w:lineRule="auto"/>
        <w:ind w:left="418" w:leftChars="190" w:right="417" w:rightChars="0" w:firstLine="204" w:firstLineChars="100"/>
        <w:jc w:val="both"/>
        <w:rPr>
          <w:rFonts w:hint="default"/>
          <w:lang w:val="en-US" w:eastAsia="zh-CN"/>
        </w:rPr>
      </w:pPr>
      <w:r>
        <w:rPr>
          <w:rFonts w:hint="eastAsia" w:ascii="宋体" w:hAnsi="宋体" w:eastAsia="宋体" w:cs="宋体"/>
          <w:spacing w:val="-3"/>
          <w:sz w:val="21"/>
          <w:szCs w:val="22"/>
          <w:lang w:val="en-US" w:eastAsia="zh-CN" w:bidi="zh-CN"/>
        </w:rPr>
        <w:t>2、服务内容：①</w:t>
      </w:r>
      <w:r>
        <w:rPr>
          <w:rFonts w:hint="eastAsia"/>
          <w:sz w:val="21"/>
          <w:lang w:eastAsia="zh-CN"/>
        </w:rPr>
        <w:t>阿克苏市城市</w:t>
      </w:r>
      <w:r>
        <w:rPr>
          <w:rFonts w:hint="eastAsia"/>
          <w:sz w:val="21"/>
          <w:lang w:val="en-US" w:eastAsia="zh-CN"/>
        </w:rPr>
        <w:t>68条主次干道约921万平方米（约13808亩）的道路清扫保洁，分为4界，东至温宿机场大道、西至西大桥阿瓦提路口、南至纺织工业城第一路口、北至阿温路中等职业技术学校。②城区35座公厕管护。③城区285万平方米（4283亩）园林绿化管养，包括儿童公园、胡杨林公园、新伟 游园、世纪广场和西广场。④环卫一体化智慧平台软件建设。</w:t>
      </w:r>
    </w:p>
    <w:p>
      <w:pPr>
        <w:pStyle w:val="12"/>
        <w:ind w:left="758"/>
      </w:pPr>
      <w:r>
        <w:t>3、道路清扫保洁作业内容</w:t>
      </w:r>
    </w:p>
    <w:p>
      <w:pPr>
        <w:pStyle w:val="12"/>
        <w:spacing w:before="11"/>
        <w:rPr>
          <w:sz w:val="22"/>
        </w:rPr>
      </w:pPr>
    </w:p>
    <w:p>
      <w:pPr>
        <w:pStyle w:val="22"/>
        <w:numPr>
          <w:ilvl w:val="1"/>
          <w:numId w:val="45"/>
        </w:numPr>
        <w:tabs>
          <w:tab w:val="left" w:pos="1128"/>
        </w:tabs>
        <w:spacing w:before="0" w:after="0" w:line="499" w:lineRule="auto"/>
        <w:ind w:left="337" w:right="333" w:firstLine="420"/>
        <w:jc w:val="left"/>
        <w:rPr>
          <w:sz w:val="21"/>
        </w:rPr>
      </w:pPr>
      <w:r>
        <w:rPr>
          <w:spacing w:val="-10"/>
          <w:sz w:val="21"/>
        </w:rPr>
        <w:t>负责道路车行道、人行道、绿化带、树坑及下水井的清扫保洁工作。包括垃圾、杂物的清除，各类</w:t>
      </w:r>
      <w:r>
        <w:rPr>
          <w:spacing w:val="-5"/>
          <w:sz w:val="21"/>
        </w:rPr>
        <w:t>抛撒、砖块、碎石等固体废弃物清理清除。</w:t>
      </w:r>
    </w:p>
    <w:p>
      <w:pPr>
        <w:pStyle w:val="22"/>
        <w:numPr>
          <w:ilvl w:val="0"/>
          <w:numId w:val="46"/>
        </w:numPr>
        <w:tabs>
          <w:tab w:val="left" w:pos="1288"/>
        </w:tabs>
        <w:spacing w:before="0" w:after="0" w:line="268" w:lineRule="exact"/>
        <w:ind w:left="1287" w:right="0" w:hanging="530"/>
        <w:jc w:val="left"/>
        <w:rPr>
          <w:sz w:val="21"/>
        </w:rPr>
      </w:pPr>
      <w:r>
        <w:rPr>
          <w:spacing w:val="-3"/>
          <w:sz w:val="21"/>
        </w:rPr>
        <w:t>负责道路延伸的车行隧道、高架桥、人行过街天桥、立交桥及广场的清扫保洁工作。</w:t>
      </w:r>
    </w:p>
    <w:p>
      <w:pPr>
        <w:pStyle w:val="12"/>
        <w:spacing w:before="11"/>
        <w:rPr>
          <w:sz w:val="22"/>
        </w:rPr>
      </w:pPr>
    </w:p>
    <w:p>
      <w:pPr>
        <w:pStyle w:val="22"/>
        <w:numPr>
          <w:ilvl w:val="0"/>
          <w:numId w:val="46"/>
        </w:numPr>
        <w:tabs>
          <w:tab w:val="left" w:pos="1288"/>
        </w:tabs>
        <w:spacing w:before="0" w:after="0" w:line="240" w:lineRule="auto"/>
        <w:ind w:left="1287" w:right="0" w:hanging="530"/>
        <w:jc w:val="left"/>
        <w:rPr>
          <w:sz w:val="21"/>
        </w:rPr>
      </w:pPr>
      <w:r>
        <w:rPr>
          <w:spacing w:val="-3"/>
          <w:sz w:val="21"/>
        </w:rPr>
        <w:t>负责道路人行道的清扫保洁工作。</w:t>
      </w:r>
    </w:p>
    <w:p>
      <w:pPr>
        <w:pStyle w:val="12"/>
        <w:spacing w:before="8"/>
        <w:rPr>
          <w:sz w:val="22"/>
        </w:rPr>
      </w:pPr>
    </w:p>
    <w:p>
      <w:pPr>
        <w:pStyle w:val="22"/>
        <w:numPr>
          <w:ilvl w:val="0"/>
          <w:numId w:val="46"/>
        </w:numPr>
        <w:tabs>
          <w:tab w:val="left" w:pos="1288"/>
        </w:tabs>
        <w:spacing w:before="0" w:after="0" w:line="240" w:lineRule="auto"/>
        <w:ind w:left="1287" w:right="0" w:hanging="530"/>
        <w:jc w:val="left"/>
        <w:rPr>
          <w:sz w:val="21"/>
        </w:rPr>
      </w:pPr>
      <w:r>
        <w:rPr>
          <w:spacing w:val="-3"/>
          <w:sz w:val="21"/>
        </w:rPr>
        <w:t>负责道路、人行道至广场的清扫保洁工作。</w:t>
      </w:r>
    </w:p>
    <w:p>
      <w:pPr>
        <w:pStyle w:val="12"/>
        <w:spacing w:before="8"/>
        <w:rPr>
          <w:sz w:val="22"/>
        </w:rPr>
      </w:pPr>
    </w:p>
    <w:p>
      <w:pPr>
        <w:pStyle w:val="22"/>
        <w:numPr>
          <w:ilvl w:val="0"/>
          <w:numId w:val="46"/>
        </w:numPr>
        <w:tabs>
          <w:tab w:val="left" w:pos="1288"/>
        </w:tabs>
        <w:spacing w:before="1" w:after="0" w:line="240" w:lineRule="auto"/>
        <w:ind w:left="1287" w:right="0" w:hanging="530"/>
        <w:jc w:val="left"/>
        <w:rPr>
          <w:sz w:val="21"/>
        </w:rPr>
      </w:pPr>
      <w:r>
        <w:rPr>
          <w:spacing w:val="-6"/>
          <w:sz w:val="21"/>
        </w:rPr>
        <w:t xml:space="preserve">负责作业区内两侧背街小巷和喇叭口延伸 </w:t>
      </w:r>
      <w:r>
        <w:rPr>
          <w:rFonts w:hint="eastAsia"/>
          <w:spacing w:val="-6"/>
          <w:sz w:val="21"/>
          <w:lang w:val="en-US" w:eastAsia="zh-CN"/>
        </w:rPr>
        <w:t>10</w:t>
      </w:r>
      <w:r>
        <w:rPr>
          <w:spacing w:val="-9"/>
          <w:sz w:val="21"/>
        </w:rPr>
        <w:t xml:space="preserve"> 米的清扫保洁工作。</w:t>
      </w:r>
    </w:p>
    <w:p>
      <w:pPr>
        <w:pStyle w:val="12"/>
        <w:spacing w:before="11"/>
        <w:rPr>
          <w:sz w:val="22"/>
        </w:rPr>
      </w:pPr>
    </w:p>
    <w:p>
      <w:pPr>
        <w:pStyle w:val="22"/>
        <w:numPr>
          <w:ilvl w:val="0"/>
          <w:numId w:val="46"/>
        </w:numPr>
        <w:tabs>
          <w:tab w:val="left" w:pos="1288"/>
        </w:tabs>
        <w:spacing w:before="0" w:after="0" w:line="240" w:lineRule="auto"/>
        <w:ind w:left="1287" w:right="0" w:hanging="530"/>
        <w:jc w:val="left"/>
        <w:rPr>
          <w:sz w:val="21"/>
        </w:rPr>
      </w:pPr>
      <w:r>
        <w:rPr>
          <w:spacing w:val="-3"/>
          <w:sz w:val="21"/>
        </w:rPr>
        <w:t>负责路面因抛洒的建筑垃圾、轮胎带泥上路或油渍等被污染的路面清理工作。</w:t>
      </w:r>
    </w:p>
    <w:p>
      <w:pPr>
        <w:pStyle w:val="12"/>
        <w:spacing w:before="8"/>
        <w:rPr>
          <w:sz w:val="22"/>
        </w:rPr>
      </w:pPr>
    </w:p>
    <w:p>
      <w:pPr>
        <w:pStyle w:val="22"/>
        <w:numPr>
          <w:ilvl w:val="1"/>
          <w:numId w:val="45"/>
        </w:numPr>
        <w:tabs>
          <w:tab w:val="left" w:pos="1128"/>
        </w:tabs>
        <w:spacing w:before="0" w:after="0" w:line="240" w:lineRule="auto"/>
        <w:ind w:left="1127" w:right="0" w:hanging="370"/>
        <w:jc w:val="left"/>
        <w:rPr>
          <w:sz w:val="21"/>
        </w:rPr>
      </w:pPr>
      <w:r>
        <w:rPr>
          <w:spacing w:val="-3"/>
          <w:sz w:val="21"/>
        </w:rPr>
        <w:t>负责作业区内果皮箱擦洗、管护工作。</w:t>
      </w:r>
    </w:p>
    <w:p>
      <w:pPr>
        <w:pStyle w:val="12"/>
        <w:spacing w:before="8"/>
        <w:rPr>
          <w:sz w:val="22"/>
        </w:rPr>
      </w:pPr>
    </w:p>
    <w:p>
      <w:pPr>
        <w:pStyle w:val="22"/>
        <w:numPr>
          <w:ilvl w:val="1"/>
          <w:numId w:val="45"/>
        </w:numPr>
        <w:tabs>
          <w:tab w:val="left" w:pos="1128"/>
        </w:tabs>
        <w:spacing w:before="0" w:after="0" w:line="240" w:lineRule="auto"/>
        <w:ind w:left="1127" w:right="0" w:hanging="370"/>
        <w:jc w:val="left"/>
        <w:rPr>
          <w:sz w:val="21"/>
        </w:rPr>
      </w:pPr>
      <w:r>
        <w:rPr>
          <w:spacing w:val="-3"/>
          <w:sz w:val="21"/>
        </w:rPr>
        <w:t>负责作业区内平面及立面各类“野广告”的清除工作。</w:t>
      </w:r>
    </w:p>
    <w:p>
      <w:pPr>
        <w:pStyle w:val="12"/>
        <w:spacing w:before="11"/>
        <w:rPr>
          <w:sz w:val="18"/>
        </w:rPr>
      </w:pPr>
    </w:p>
    <w:p>
      <w:pPr>
        <w:pStyle w:val="22"/>
        <w:numPr>
          <w:ilvl w:val="1"/>
          <w:numId w:val="45"/>
        </w:numPr>
        <w:tabs>
          <w:tab w:val="left" w:pos="1128"/>
        </w:tabs>
        <w:spacing w:before="0" w:after="0" w:line="360" w:lineRule="auto"/>
        <w:ind w:left="1127" w:right="0" w:hanging="370"/>
        <w:jc w:val="left"/>
        <w:rPr>
          <w:spacing w:val="-3"/>
          <w:sz w:val="21"/>
        </w:rPr>
      </w:pPr>
      <w:r>
        <w:rPr>
          <w:spacing w:val="-3"/>
          <w:sz w:val="21"/>
        </w:rPr>
        <w:t>负责作业区内指定城市家具的擦洗和保洁工作。</w:t>
      </w:r>
    </w:p>
    <w:p>
      <w:pPr>
        <w:pStyle w:val="22"/>
        <w:numPr>
          <w:ilvl w:val="1"/>
          <w:numId w:val="45"/>
        </w:numPr>
        <w:tabs>
          <w:tab w:val="left" w:pos="1128"/>
        </w:tabs>
        <w:spacing w:before="0" w:after="0" w:line="360" w:lineRule="auto"/>
        <w:ind w:left="1127" w:right="0" w:hanging="370"/>
        <w:jc w:val="left"/>
        <w:rPr>
          <w:spacing w:val="-3"/>
          <w:sz w:val="21"/>
        </w:rPr>
      </w:pPr>
      <w:r>
        <w:rPr>
          <w:rFonts w:hint="eastAsia"/>
          <w:spacing w:val="-3"/>
          <w:sz w:val="21"/>
          <w:lang w:eastAsia="zh-CN"/>
        </w:rPr>
        <w:t>负责对城区</w:t>
      </w:r>
      <w:r>
        <w:rPr>
          <w:rFonts w:hint="eastAsia"/>
          <w:spacing w:val="-3"/>
          <w:sz w:val="21"/>
          <w:lang w:val="en-US" w:eastAsia="zh-CN"/>
        </w:rPr>
        <w:t>35座公厕的管护工作；</w:t>
      </w:r>
    </w:p>
    <w:p>
      <w:pPr>
        <w:pStyle w:val="22"/>
        <w:numPr>
          <w:ilvl w:val="1"/>
          <w:numId w:val="45"/>
        </w:numPr>
        <w:tabs>
          <w:tab w:val="left" w:pos="1128"/>
        </w:tabs>
        <w:spacing w:before="0" w:after="0" w:line="240" w:lineRule="auto"/>
        <w:ind w:left="1127" w:right="0" w:hanging="370"/>
        <w:jc w:val="left"/>
        <w:rPr>
          <w:sz w:val="21"/>
        </w:rPr>
      </w:pPr>
      <w:r>
        <w:rPr>
          <w:spacing w:val="-3"/>
          <w:sz w:val="21"/>
        </w:rPr>
        <w:t>雨、雪过后道路上的积水、积雪、积冰清扫、清理和清除工作。</w:t>
      </w:r>
    </w:p>
    <w:p>
      <w:pPr>
        <w:pStyle w:val="12"/>
        <w:spacing w:before="11"/>
        <w:rPr>
          <w:sz w:val="22"/>
        </w:rPr>
      </w:pPr>
    </w:p>
    <w:p>
      <w:pPr>
        <w:pStyle w:val="22"/>
        <w:numPr>
          <w:ilvl w:val="1"/>
          <w:numId w:val="45"/>
        </w:numPr>
        <w:tabs>
          <w:tab w:val="left" w:pos="1128"/>
        </w:tabs>
        <w:spacing w:before="0" w:after="0" w:line="499" w:lineRule="auto"/>
        <w:ind w:left="758" w:right="470" w:firstLine="0"/>
        <w:jc w:val="left"/>
        <w:rPr>
          <w:sz w:val="21"/>
        </w:rPr>
      </w:pPr>
      <w:r>
        <w:rPr>
          <w:spacing w:val="-2"/>
          <w:sz w:val="21"/>
        </w:rPr>
        <w:t>重大</w:t>
      </w:r>
      <w:r>
        <w:rPr>
          <w:spacing w:val="-3"/>
          <w:sz w:val="21"/>
        </w:rPr>
        <w:t>（</w:t>
      </w:r>
      <w:r>
        <w:rPr>
          <w:sz w:val="21"/>
        </w:rPr>
        <w:t>要</w:t>
      </w:r>
      <w:r>
        <w:rPr>
          <w:spacing w:val="-3"/>
          <w:sz w:val="21"/>
        </w:rPr>
        <w:t>）活动或遇突发性事件时，市、区业务主管部门临时交办必须完成的特殊性工作任务。</w:t>
      </w:r>
    </w:p>
    <w:p>
      <w:pPr>
        <w:pStyle w:val="22"/>
        <w:numPr>
          <w:ilvl w:val="0"/>
          <w:numId w:val="0"/>
        </w:numPr>
        <w:tabs>
          <w:tab w:val="left" w:pos="1128"/>
        </w:tabs>
        <w:spacing w:before="0" w:after="0" w:line="499" w:lineRule="auto"/>
        <w:ind w:left="758" w:leftChars="0" w:right="470" w:rightChars="0"/>
        <w:jc w:val="left"/>
        <w:rPr>
          <w:b/>
          <w:bCs/>
          <w:sz w:val="21"/>
        </w:rPr>
      </w:pPr>
      <w:r>
        <w:rPr>
          <w:b/>
          <w:bCs/>
          <w:spacing w:val="-3"/>
          <w:sz w:val="21"/>
        </w:rPr>
        <w:t>4、人员及设备配备</w:t>
      </w:r>
    </w:p>
    <w:p>
      <w:pPr>
        <w:pStyle w:val="11"/>
        <w:numPr>
          <w:ilvl w:val="1"/>
          <w:numId w:val="47"/>
        </w:numPr>
        <w:tabs>
          <w:tab w:val="left" w:pos="1131"/>
        </w:tabs>
        <w:spacing w:before="0" w:after="0" w:line="268" w:lineRule="exact"/>
        <w:ind w:left="1130" w:right="0" w:hanging="371"/>
        <w:jc w:val="left"/>
      </w:pPr>
      <w:r>
        <w:t>人员配备</w:t>
      </w:r>
    </w:p>
    <w:p>
      <w:pPr>
        <w:pStyle w:val="12"/>
        <w:spacing w:before="10"/>
        <w:rPr>
          <w:b/>
          <w:sz w:val="22"/>
        </w:rPr>
      </w:pPr>
    </w:p>
    <w:p>
      <w:pPr>
        <w:pStyle w:val="12"/>
        <w:spacing w:line="499" w:lineRule="auto"/>
        <w:ind w:left="337" w:right="417" w:firstLine="420"/>
        <w:jc w:val="both"/>
      </w:pPr>
      <w:r>
        <w:t>各中标单位必须配备包括区域经理、管理员、班组长等的管理岗位。同时严格按照人员配备表配备保洁员，不得出现保洁员缺失和虚报现象。路段管理实行路段长负责制，每条道路为一个作业路段，设路段长一名。各条道路“划线设岗”，保洁员编号定位。</w:t>
      </w:r>
    </w:p>
    <w:p>
      <w:pPr>
        <w:pStyle w:val="11"/>
        <w:numPr>
          <w:ilvl w:val="1"/>
          <w:numId w:val="47"/>
        </w:numPr>
        <w:tabs>
          <w:tab w:val="left" w:pos="1121"/>
        </w:tabs>
        <w:spacing w:before="2" w:after="0" w:line="240" w:lineRule="auto"/>
        <w:ind w:left="1120" w:right="0" w:hanging="371"/>
        <w:jc w:val="left"/>
      </w:pPr>
      <w:r>
        <w:t>工具配备</w:t>
      </w:r>
    </w:p>
    <w:p>
      <w:pPr>
        <w:pStyle w:val="12"/>
        <w:spacing w:before="8"/>
        <w:rPr>
          <w:b/>
          <w:sz w:val="22"/>
        </w:rPr>
      </w:pPr>
    </w:p>
    <w:p>
      <w:pPr>
        <w:pStyle w:val="12"/>
        <w:spacing w:line="499" w:lineRule="auto"/>
        <w:ind w:left="337" w:right="417" w:firstLine="420"/>
        <w:jc w:val="both"/>
      </w:pPr>
      <w:r>
        <w:rPr>
          <w:rFonts w:hint="eastAsia"/>
          <w:lang w:eastAsia="zh-CN"/>
        </w:rPr>
        <w:t>中标企业</w:t>
      </w:r>
      <w:r>
        <w:t>需给每名保洁员配备大扫把 1 把、小扫把 1 把，簸箕 1 个、杂物捡拾夹 1 个。工具配备要统一尺寸、统一规格、统一要求。</w:t>
      </w:r>
    </w:p>
    <w:p>
      <w:pPr>
        <w:pStyle w:val="12"/>
        <w:spacing w:line="265" w:lineRule="exact"/>
        <w:ind w:left="758"/>
      </w:pPr>
      <w:r>
        <w:t>5、清扫保洁作业要求</w:t>
      </w:r>
    </w:p>
    <w:p>
      <w:pPr>
        <w:pStyle w:val="12"/>
        <w:spacing w:before="8"/>
        <w:rPr>
          <w:sz w:val="22"/>
        </w:rPr>
      </w:pPr>
    </w:p>
    <w:p>
      <w:pPr>
        <w:pStyle w:val="22"/>
        <w:numPr>
          <w:ilvl w:val="1"/>
          <w:numId w:val="48"/>
        </w:numPr>
        <w:tabs>
          <w:tab w:val="left" w:pos="1339"/>
        </w:tabs>
        <w:spacing w:before="0" w:after="0" w:line="501" w:lineRule="auto"/>
        <w:ind w:left="337" w:right="328" w:firstLine="631"/>
        <w:jc w:val="left"/>
        <w:rPr>
          <w:sz w:val="21"/>
        </w:rPr>
      </w:pPr>
      <w:r>
        <w:rPr>
          <w:spacing w:val="-9"/>
          <w:sz w:val="21"/>
        </w:rPr>
        <w:t xml:space="preserve">道路全段清扫保洁质量达到一类道路管理标准，实行“两扫全保”，早 </w:t>
      </w:r>
      <w:r>
        <w:rPr>
          <w:rFonts w:hint="eastAsia"/>
          <w:spacing w:val="-9"/>
          <w:sz w:val="21"/>
          <w:lang w:val="en-US" w:eastAsia="zh-CN"/>
        </w:rPr>
        <w:t>6</w:t>
      </w:r>
      <w:r>
        <w:rPr>
          <w:sz w:val="21"/>
        </w:rPr>
        <w:t>:</w:t>
      </w:r>
      <w:r>
        <w:rPr>
          <w:rFonts w:hint="eastAsia"/>
          <w:sz w:val="21"/>
          <w:lang w:val="en-US" w:eastAsia="zh-CN"/>
        </w:rPr>
        <w:t>3</w:t>
      </w:r>
      <w:r>
        <w:rPr>
          <w:sz w:val="21"/>
        </w:rPr>
        <w:t>0</w:t>
      </w:r>
      <w:r>
        <w:rPr>
          <w:spacing w:val="-22"/>
          <w:sz w:val="21"/>
        </w:rPr>
        <w:t xml:space="preserve"> 前</w:t>
      </w:r>
      <w:r>
        <w:rPr>
          <w:spacing w:val="-13"/>
          <w:sz w:val="21"/>
        </w:rPr>
        <w:t>普</w:t>
      </w:r>
      <w:r>
        <w:rPr>
          <w:spacing w:val="-16"/>
          <w:sz w:val="21"/>
        </w:rPr>
        <w:t>扫一次，</w:t>
      </w:r>
      <w:r>
        <w:rPr>
          <w:rFonts w:hint="eastAsia"/>
          <w:spacing w:val="-16"/>
          <w:sz w:val="21"/>
          <w:lang w:eastAsia="zh-CN"/>
        </w:rPr>
        <w:t>中</w:t>
      </w:r>
      <w:r>
        <w:rPr>
          <w:spacing w:val="-16"/>
          <w:sz w:val="21"/>
        </w:rPr>
        <w:t xml:space="preserve">午 </w:t>
      </w:r>
      <w:r>
        <w:rPr>
          <w:sz w:val="21"/>
        </w:rPr>
        <w:t>13:00</w:t>
      </w:r>
      <w:r>
        <w:rPr>
          <w:spacing w:val="-12"/>
          <w:sz w:val="21"/>
        </w:rPr>
        <w:t xml:space="preserve"> 后补扫一次，晚保洁至 </w:t>
      </w:r>
      <w:r>
        <w:rPr>
          <w:sz w:val="21"/>
        </w:rPr>
        <w:t>2</w:t>
      </w:r>
      <w:r>
        <w:rPr>
          <w:rFonts w:hint="eastAsia"/>
          <w:sz w:val="21"/>
          <w:lang w:val="en-US" w:eastAsia="zh-CN"/>
        </w:rPr>
        <w:t>2:00</w:t>
      </w:r>
      <w:r>
        <w:rPr>
          <w:spacing w:val="-23"/>
          <w:sz w:val="21"/>
        </w:rPr>
        <w:t xml:space="preserve">时，早 </w:t>
      </w:r>
      <w:r>
        <w:rPr>
          <w:rFonts w:hint="eastAsia"/>
          <w:spacing w:val="-23"/>
          <w:sz w:val="21"/>
          <w:lang w:val="en-US" w:eastAsia="zh-CN"/>
        </w:rPr>
        <w:t xml:space="preserve">9 </w:t>
      </w:r>
      <w:r>
        <w:rPr>
          <w:spacing w:val="-9"/>
          <w:sz w:val="21"/>
        </w:rPr>
        <w:t>时后不得用大扫帚保洁。</w:t>
      </w:r>
    </w:p>
    <w:p>
      <w:pPr>
        <w:pStyle w:val="22"/>
        <w:numPr>
          <w:ilvl w:val="1"/>
          <w:numId w:val="48"/>
        </w:numPr>
        <w:tabs>
          <w:tab w:val="left" w:pos="1339"/>
        </w:tabs>
        <w:spacing w:before="0" w:after="0" w:line="266" w:lineRule="exact"/>
        <w:ind w:left="1338" w:right="0" w:hanging="370"/>
        <w:jc w:val="left"/>
        <w:rPr>
          <w:sz w:val="21"/>
        </w:rPr>
      </w:pPr>
      <w:r>
        <w:rPr>
          <w:spacing w:val="-3"/>
          <w:sz w:val="21"/>
        </w:rPr>
        <w:t>做好道路果皮箱清洁、保管、维护等工作，做到随满随掏、随脏随擦。</w:t>
      </w:r>
    </w:p>
    <w:p>
      <w:pPr>
        <w:pStyle w:val="12"/>
        <w:spacing w:before="8"/>
        <w:rPr>
          <w:sz w:val="22"/>
        </w:rPr>
      </w:pPr>
    </w:p>
    <w:p>
      <w:pPr>
        <w:pStyle w:val="22"/>
        <w:numPr>
          <w:ilvl w:val="1"/>
          <w:numId w:val="48"/>
        </w:numPr>
        <w:tabs>
          <w:tab w:val="left" w:pos="1339"/>
        </w:tabs>
        <w:spacing w:before="0" w:after="0" w:line="265" w:lineRule="exact"/>
        <w:ind w:left="1338" w:right="0" w:hanging="370"/>
        <w:jc w:val="left"/>
        <w:rPr>
          <w:sz w:val="21"/>
        </w:rPr>
      </w:pPr>
      <w:r>
        <w:rPr>
          <w:spacing w:val="-3"/>
          <w:sz w:val="21"/>
        </w:rPr>
        <w:t>加大管理、巡查力度，做好道路抛撒清理、冲洒水工作，达到“路面见本色”的作业要求。</w:t>
      </w:r>
    </w:p>
    <w:p>
      <w:pPr>
        <w:pStyle w:val="12"/>
        <w:spacing w:before="8"/>
        <w:rPr>
          <w:sz w:val="22"/>
        </w:rPr>
      </w:pPr>
    </w:p>
    <w:p>
      <w:pPr>
        <w:pStyle w:val="22"/>
        <w:numPr>
          <w:ilvl w:val="1"/>
          <w:numId w:val="48"/>
        </w:numPr>
        <w:tabs>
          <w:tab w:val="left" w:pos="1339"/>
        </w:tabs>
        <w:spacing w:before="0" w:after="0" w:line="501" w:lineRule="auto"/>
        <w:ind w:left="337" w:right="328" w:firstLine="631"/>
        <w:jc w:val="left"/>
      </w:pPr>
      <w:r>
        <w:rPr>
          <w:spacing w:val="-8"/>
          <w:sz w:val="21"/>
        </w:rPr>
        <w:t>提早制定冬季除雪工作预案，按照《</w:t>
      </w:r>
      <w:r>
        <w:rPr>
          <w:rFonts w:hint="eastAsia"/>
          <w:spacing w:val="-8"/>
          <w:sz w:val="21"/>
          <w:lang w:eastAsia="zh-CN"/>
        </w:rPr>
        <w:t>阿克苏</w:t>
      </w:r>
      <w:r>
        <w:rPr>
          <w:spacing w:val="-8"/>
          <w:sz w:val="21"/>
        </w:rPr>
        <w:t>市冬季清除积雪积冰规定》要求，以雪为令，做好道路</w:t>
      </w:r>
      <w:r>
        <w:rPr>
          <w:spacing w:val="-5"/>
          <w:sz w:val="21"/>
        </w:rPr>
        <w:t>积雪积冰的清除工作。</w:t>
      </w:r>
      <w:r>
        <w:rPr>
          <w:spacing w:val="-8"/>
          <w:sz w:val="21"/>
        </w:rPr>
        <w:t>承包人应严格按照《</w:t>
      </w:r>
      <w:r>
        <w:rPr>
          <w:rFonts w:hint="eastAsia"/>
          <w:spacing w:val="-8"/>
          <w:sz w:val="21"/>
          <w:lang w:eastAsia="zh-CN"/>
        </w:rPr>
        <w:t>阿克苏</w:t>
      </w:r>
      <w:r>
        <w:rPr>
          <w:spacing w:val="-8"/>
          <w:sz w:val="21"/>
        </w:rPr>
        <w:t>市城市市容和环境卫生管理条例》、</w:t>
      </w:r>
      <w:r>
        <w:t>相关内容规范管理，做好道路清扫保洁工作。</w:t>
      </w:r>
    </w:p>
    <w:p>
      <w:pPr>
        <w:pStyle w:val="12"/>
        <w:spacing w:before="1"/>
        <w:ind w:left="758"/>
      </w:pPr>
      <w:r>
        <w:t>6、保洁员行为规范要求</w:t>
      </w:r>
    </w:p>
    <w:p>
      <w:pPr>
        <w:pStyle w:val="12"/>
        <w:spacing w:before="8"/>
        <w:rPr>
          <w:sz w:val="22"/>
        </w:rPr>
      </w:pPr>
    </w:p>
    <w:p>
      <w:pPr>
        <w:pStyle w:val="22"/>
        <w:numPr>
          <w:ilvl w:val="1"/>
          <w:numId w:val="49"/>
        </w:numPr>
        <w:tabs>
          <w:tab w:val="left" w:pos="1339"/>
        </w:tabs>
        <w:spacing w:before="1" w:after="0" w:line="240" w:lineRule="auto"/>
        <w:ind w:left="1338" w:right="0" w:hanging="370"/>
        <w:jc w:val="left"/>
        <w:rPr>
          <w:sz w:val="21"/>
        </w:rPr>
      </w:pPr>
      <w:r>
        <w:rPr>
          <w:spacing w:val="-3"/>
          <w:sz w:val="21"/>
        </w:rPr>
        <w:t>保洁员上岗时间，必须穿着配有反光标志保洁服，并保持干净整洁。</w:t>
      </w:r>
    </w:p>
    <w:p>
      <w:pPr>
        <w:pStyle w:val="12"/>
        <w:spacing w:before="8"/>
        <w:rPr>
          <w:sz w:val="22"/>
        </w:rPr>
      </w:pPr>
    </w:p>
    <w:p>
      <w:pPr>
        <w:pStyle w:val="22"/>
        <w:numPr>
          <w:ilvl w:val="1"/>
          <w:numId w:val="49"/>
        </w:numPr>
        <w:tabs>
          <w:tab w:val="left" w:pos="1339"/>
        </w:tabs>
        <w:spacing w:before="0" w:after="0" w:line="240" w:lineRule="auto"/>
        <w:ind w:left="1338" w:right="0" w:hanging="370"/>
        <w:jc w:val="left"/>
        <w:rPr>
          <w:sz w:val="21"/>
        </w:rPr>
      </w:pPr>
      <w:r>
        <w:rPr>
          <w:spacing w:val="-3"/>
          <w:sz w:val="21"/>
        </w:rPr>
        <w:t>男保洁员不得留胡须、长发，女保洁员不得留披肩发。</w:t>
      </w:r>
    </w:p>
    <w:p>
      <w:pPr>
        <w:pStyle w:val="12"/>
        <w:spacing w:before="10"/>
        <w:rPr>
          <w:sz w:val="22"/>
        </w:rPr>
      </w:pPr>
    </w:p>
    <w:p>
      <w:pPr>
        <w:pStyle w:val="22"/>
        <w:numPr>
          <w:ilvl w:val="1"/>
          <w:numId w:val="49"/>
        </w:numPr>
        <w:tabs>
          <w:tab w:val="left" w:pos="1339"/>
        </w:tabs>
        <w:spacing w:before="0" w:after="0" w:line="240" w:lineRule="auto"/>
        <w:ind w:left="1338" w:right="0" w:hanging="370"/>
        <w:jc w:val="left"/>
        <w:rPr>
          <w:sz w:val="21"/>
        </w:rPr>
      </w:pPr>
      <w:r>
        <w:rPr>
          <w:spacing w:val="-3"/>
          <w:sz w:val="21"/>
        </w:rPr>
        <w:t>夏季作业，保洁员不得敞胸露背，赤脚或穿拖鞋，做到文明作业。</w:t>
      </w:r>
    </w:p>
    <w:p>
      <w:pPr>
        <w:pStyle w:val="12"/>
        <w:spacing w:before="9"/>
        <w:rPr>
          <w:sz w:val="22"/>
        </w:rPr>
      </w:pPr>
    </w:p>
    <w:p>
      <w:pPr>
        <w:pStyle w:val="22"/>
        <w:numPr>
          <w:ilvl w:val="1"/>
          <w:numId w:val="49"/>
        </w:numPr>
        <w:tabs>
          <w:tab w:val="left" w:pos="1339"/>
        </w:tabs>
        <w:spacing w:before="0" w:after="0" w:line="240" w:lineRule="auto"/>
        <w:ind w:left="1338" w:right="0" w:hanging="370"/>
        <w:jc w:val="left"/>
        <w:rPr>
          <w:sz w:val="21"/>
        </w:rPr>
      </w:pPr>
      <w:r>
        <w:rPr>
          <w:spacing w:val="-3"/>
          <w:sz w:val="21"/>
        </w:rPr>
        <w:t>工作时间内严禁聚堆，闲谈或干与工作无关的事。</w:t>
      </w:r>
    </w:p>
    <w:p>
      <w:pPr>
        <w:pStyle w:val="12"/>
        <w:spacing w:before="8"/>
        <w:rPr>
          <w:sz w:val="22"/>
        </w:rPr>
      </w:pPr>
    </w:p>
    <w:p>
      <w:pPr>
        <w:pStyle w:val="22"/>
        <w:numPr>
          <w:ilvl w:val="1"/>
          <w:numId w:val="49"/>
        </w:numPr>
        <w:tabs>
          <w:tab w:val="left" w:pos="1339"/>
        </w:tabs>
        <w:spacing w:before="1" w:after="0" w:line="240" w:lineRule="auto"/>
        <w:ind w:left="1338" w:right="0" w:hanging="370"/>
        <w:jc w:val="left"/>
        <w:rPr>
          <w:sz w:val="21"/>
        </w:rPr>
      </w:pPr>
      <w:r>
        <w:rPr>
          <w:spacing w:val="-3"/>
          <w:sz w:val="21"/>
        </w:rPr>
        <w:t>保洁工作过程中，严禁将扫把等工具挂在树上、放在护栏上或靠在墙上。</w:t>
      </w:r>
    </w:p>
    <w:p>
      <w:pPr>
        <w:pStyle w:val="12"/>
        <w:spacing w:before="10"/>
        <w:rPr>
          <w:sz w:val="22"/>
        </w:rPr>
      </w:pPr>
    </w:p>
    <w:p>
      <w:pPr>
        <w:pStyle w:val="22"/>
        <w:numPr>
          <w:ilvl w:val="1"/>
          <w:numId w:val="49"/>
        </w:numPr>
        <w:tabs>
          <w:tab w:val="left" w:pos="1339"/>
        </w:tabs>
        <w:spacing w:before="0" w:after="0" w:line="240" w:lineRule="auto"/>
        <w:ind w:left="1338" w:right="0" w:hanging="370"/>
        <w:jc w:val="left"/>
        <w:rPr>
          <w:sz w:val="21"/>
        </w:rPr>
      </w:pPr>
      <w:r>
        <w:rPr>
          <w:spacing w:val="-3"/>
          <w:sz w:val="21"/>
        </w:rPr>
        <w:t>经常检查、维修、更新清扫保洁工具，保证处于良好状态。</w:t>
      </w:r>
    </w:p>
    <w:p>
      <w:pPr>
        <w:pStyle w:val="12"/>
        <w:spacing w:before="8"/>
        <w:rPr>
          <w:sz w:val="22"/>
        </w:rPr>
      </w:pPr>
    </w:p>
    <w:p>
      <w:pPr>
        <w:pStyle w:val="22"/>
        <w:numPr>
          <w:ilvl w:val="1"/>
          <w:numId w:val="49"/>
        </w:numPr>
        <w:tabs>
          <w:tab w:val="left" w:pos="1339"/>
        </w:tabs>
        <w:spacing w:before="1" w:after="0" w:line="240" w:lineRule="auto"/>
        <w:ind w:left="1338" w:right="0" w:hanging="370"/>
        <w:jc w:val="left"/>
        <w:rPr>
          <w:sz w:val="21"/>
        </w:rPr>
      </w:pPr>
      <w:r>
        <w:rPr>
          <w:spacing w:val="-3"/>
          <w:sz w:val="21"/>
        </w:rPr>
        <w:t>禁止将垃圾倾倒在非垃圾收集点等区域。</w:t>
      </w:r>
    </w:p>
    <w:p>
      <w:pPr>
        <w:pStyle w:val="12"/>
        <w:spacing w:before="8"/>
        <w:rPr>
          <w:sz w:val="22"/>
        </w:rPr>
      </w:pPr>
    </w:p>
    <w:p>
      <w:pPr>
        <w:pStyle w:val="22"/>
        <w:numPr>
          <w:ilvl w:val="1"/>
          <w:numId w:val="49"/>
        </w:numPr>
        <w:tabs>
          <w:tab w:val="left" w:pos="1375"/>
        </w:tabs>
        <w:spacing w:before="0" w:after="0" w:line="240" w:lineRule="auto"/>
        <w:ind w:left="1374" w:right="0" w:hanging="370"/>
        <w:jc w:val="left"/>
        <w:rPr>
          <w:sz w:val="21"/>
        </w:rPr>
      </w:pPr>
      <w:r>
        <w:rPr>
          <w:spacing w:val="-3"/>
          <w:sz w:val="21"/>
        </w:rPr>
        <w:t>清扫保洁人员应遵守劳动纪律，服从管理。</w:t>
      </w:r>
    </w:p>
    <w:p>
      <w:pPr>
        <w:pStyle w:val="12"/>
        <w:spacing w:before="10"/>
        <w:rPr>
          <w:sz w:val="22"/>
        </w:rPr>
      </w:pPr>
    </w:p>
    <w:p>
      <w:pPr>
        <w:pStyle w:val="22"/>
        <w:numPr>
          <w:ilvl w:val="1"/>
          <w:numId w:val="49"/>
        </w:numPr>
        <w:tabs>
          <w:tab w:val="left" w:pos="1375"/>
        </w:tabs>
        <w:spacing w:before="0" w:after="0" w:line="240" w:lineRule="auto"/>
        <w:ind w:left="1374" w:right="0" w:hanging="370"/>
        <w:jc w:val="left"/>
        <w:rPr>
          <w:sz w:val="21"/>
        </w:rPr>
      </w:pPr>
      <w:r>
        <w:rPr>
          <w:spacing w:val="-3"/>
          <w:sz w:val="21"/>
        </w:rPr>
        <w:t>清扫保洁人员在在岗期间必须文明用语。</w:t>
      </w:r>
    </w:p>
    <w:p>
      <w:pPr>
        <w:pStyle w:val="12"/>
        <w:spacing w:before="9"/>
        <w:rPr>
          <w:sz w:val="22"/>
        </w:rPr>
      </w:pPr>
    </w:p>
    <w:p>
      <w:pPr>
        <w:pStyle w:val="22"/>
        <w:numPr>
          <w:ilvl w:val="1"/>
          <w:numId w:val="49"/>
        </w:numPr>
        <w:tabs>
          <w:tab w:val="left" w:pos="1478"/>
        </w:tabs>
        <w:spacing w:before="0" w:after="0" w:line="240" w:lineRule="auto"/>
        <w:ind w:left="1478" w:right="0" w:hanging="473"/>
        <w:jc w:val="left"/>
        <w:rPr>
          <w:sz w:val="21"/>
        </w:rPr>
      </w:pPr>
      <w:r>
        <w:rPr>
          <w:spacing w:val="-3"/>
          <w:sz w:val="21"/>
        </w:rPr>
        <w:t>发现有人随地乱扔垃圾，应及时进行劝阻。</w:t>
      </w:r>
    </w:p>
    <w:p>
      <w:pPr>
        <w:pStyle w:val="12"/>
        <w:spacing w:before="8"/>
        <w:rPr>
          <w:sz w:val="22"/>
        </w:rPr>
      </w:pPr>
    </w:p>
    <w:p>
      <w:pPr>
        <w:pStyle w:val="22"/>
        <w:numPr>
          <w:ilvl w:val="1"/>
          <w:numId w:val="49"/>
        </w:numPr>
        <w:tabs>
          <w:tab w:val="left" w:pos="1478"/>
        </w:tabs>
        <w:spacing w:before="0" w:after="0" w:line="240" w:lineRule="auto"/>
        <w:ind w:left="1478" w:right="0" w:hanging="473"/>
        <w:jc w:val="left"/>
        <w:rPr>
          <w:sz w:val="21"/>
        </w:rPr>
      </w:pPr>
      <w:r>
        <w:rPr>
          <w:spacing w:val="-3"/>
          <w:sz w:val="21"/>
        </w:rPr>
        <w:t>清扫保洁人员作业过程中应遵守交通规则和安全作业规程。</w:t>
      </w:r>
    </w:p>
    <w:p>
      <w:pPr>
        <w:pStyle w:val="12"/>
        <w:spacing w:before="11"/>
        <w:rPr>
          <w:sz w:val="22"/>
        </w:rPr>
      </w:pPr>
    </w:p>
    <w:p>
      <w:pPr>
        <w:pStyle w:val="22"/>
        <w:numPr>
          <w:ilvl w:val="1"/>
          <w:numId w:val="49"/>
        </w:numPr>
        <w:tabs>
          <w:tab w:val="left" w:pos="1478"/>
        </w:tabs>
        <w:spacing w:before="0" w:after="0" w:line="499" w:lineRule="auto"/>
        <w:ind w:left="758" w:right="331" w:firstLine="247"/>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不应将作业工具堆在绿化带或摆放在通行路口、道路中央、车辆转弯处及道路狭窄处等场所。</w:t>
      </w:r>
    </w:p>
    <w:p>
      <w:pPr>
        <w:pStyle w:val="22"/>
        <w:numPr>
          <w:ilvl w:val="0"/>
          <w:numId w:val="0"/>
        </w:numPr>
        <w:tabs>
          <w:tab w:val="left" w:pos="1478"/>
        </w:tabs>
        <w:spacing w:before="0" w:after="0" w:line="499" w:lineRule="auto"/>
        <w:ind w:right="331" w:rightChars="0" w:firstLine="630" w:firstLineChars="300"/>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7、作业方式</w:t>
      </w:r>
    </w:p>
    <w:p>
      <w:pPr>
        <w:pStyle w:val="11"/>
        <w:numPr>
          <w:ilvl w:val="1"/>
          <w:numId w:val="50"/>
        </w:numPr>
        <w:tabs>
          <w:tab w:val="left" w:pos="1131"/>
        </w:tabs>
        <w:spacing w:before="0" w:after="0" w:line="268" w:lineRule="exact"/>
        <w:ind w:left="1130" w:right="0" w:hanging="371"/>
        <w:jc w:val="left"/>
      </w:pPr>
      <w:r>
        <w:t>人工清扫</w:t>
      </w:r>
    </w:p>
    <w:p>
      <w:pPr>
        <w:pStyle w:val="12"/>
        <w:spacing w:before="11"/>
        <w:rPr>
          <w:b/>
          <w:sz w:val="22"/>
        </w:rPr>
      </w:pPr>
    </w:p>
    <w:p>
      <w:pPr>
        <w:pStyle w:val="12"/>
        <w:ind w:left="760"/>
      </w:pPr>
      <w:r>
        <w:t>道路清扫保洁实行动态管理，按照“一扫、二转、三捡、四掏、五清”的方式进行作业。</w:t>
      </w:r>
    </w:p>
    <w:p>
      <w:pPr>
        <w:pStyle w:val="12"/>
        <w:spacing w:before="8"/>
        <w:rPr>
          <w:sz w:val="22"/>
        </w:rPr>
      </w:pPr>
    </w:p>
    <w:p>
      <w:pPr>
        <w:pStyle w:val="12"/>
        <w:spacing w:line="499" w:lineRule="auto"/>
        <w:ind w:left="337" w:right="417" w:firstLine="420"/>
      </w:pPr>
      <w:r>
        <w:t>一扫：清除路面垃圾尘土和积水等物质，包括清除道路环境突发事件产生的垃圾。一、二类道路实行“三扫全保”，三类道路实行“二扫全保”。</w:t>
      </w:r>
    </w:p>
    <w:p>
      <w:pPr>
        <w:pStyle w:val="12"/>
        <w:spacing w:before="1" w:line="499" w:lineRule="auto"/>
        <w:ind w:left="337" w:right="307" w:firstLine="420"/>
      </w:pPr>
      <w:r>
        <w:t>二转</w:t>
      </w:r>
      <w:r>
        <w:rPr>
          <w:b/>
        </w:rPr>
        <w:t>：</w:t>
      </w:r>
      <w:r>
        <w:t>实行全天候、全时段巡回保洁，晚保洁至 22：00，重大活动期间延时保洁。做到路面见本色， 无杂物、落叶、积尘及污水横流。</w:t>
      </w:r>
    </w:p>
    <w:p>
      <w:pPr>
        <w:pStyle w:val="12"/>
        <w:spacing w:line="269" w:lineRule="exact"/>
        <w:ind w:left="758"/>
      </w:pPr>
      <w:r>
        <w:t>三捡：巡回捡拾道路和绿化带各类杂物，清掏树坑杂物。</w:t>
      </w:r>
    </w:p>
    <w:p>
      <w:pPr>
        <w:pStyle w:val="12"/>
        <w:spacing w:before="11"/>
        <w:rPr>
          <w:sz w:val="22"/>
        </w:rPr>
      </w:pPr>
    </w:p>
    <w:p>
      <w:pPr>
        <w:pStyle w:val="12"/>
        <w:ind w:left="758"/>
        <w:rPr>
          <w:sz w:val="18"/>
        </w:rPr>
      </w:pPr>
      <w:r>
        <w:t>四掏：每日早普扫和晚普扫结束前，应集中对果皮箱进行清掏，全天清掏不少于三次，垃圾量大时随</w:t>
      </w:r>
    </w:p>
    <w:p>
      <w:pPr>
        <w:pStyle w:val="12"/>
        <w:spacing w:before="72"/>
      </w:pPr>
      <w:r>
        <w:t>满随掏。</w:t>
      </w:r>
    </w:p>
    <w:p>
      <w:pPr>
        <w:pStyle w:val="12"/>
        <w:spacing w:before="8"/>
        <w:rPr>
          <w:sz w:val="22"/>
        </w:rPr>
      </w:pPr>
    </w:p>
    <w:p>
      <w:pPr>
        <w:pStyle w:val="12"/>
        <w:spacing w:line="501" w:lineRule="auto"/>
        <w:ind w:left="337" w:right="418" w:firstLine="420"/>
      </w:pPr>
      <w:r>
        <w:rPr>
          <w:spacing w:val="-7"/>
        </w:rPr>
        <w:t xml:space="preserve">五清：每班次 </w:t>
      </w:r>
      <w:r>
        <w:rPr>
          <w:rFonts w:hint="eastAsia"/>
          <w:spacing w:val="-7"/>
          <w:lang w:val="en-US" w:eastAsia="zh-CN"/>
        </w:rPr>
        <w:t>9</w:t>
      </w:r>
      <w:r>
        <w:t>：00</w:t>
      </w:r>
      <w:r>
        <w:rPr>
          <w:spacing w:val="-7"/>
        </w:rPr>
        <w:t xml:space="preserve"> 前将路面、立面各类“野广告”清理完毕，小张贴及时铲除，乱写、乱画及时覆</w:t>
      </w:r>
      <w:r>
        <w:rPr>
          <w:spacing w:val="-5"/>
        </w:rPr>
        <w:t>盖，与底色保持一致。</w:t>
      </w:r>
    </w:p>
    <w:p>
      <w:pPr>
        <w:pStyle w:val="11"/>
        <w:numPr>
          <w:ilvl w:val="1"/>
          <w:numId w:val="50"/>
        </w:numPr>
        <w:tabs>
          <w:tab w:val="left" w:pos="1131"/>
        </w:tabs>
        <w:spacing w:before="0" w:after="0" w:line="265" w:lineRule="exact"/>
        <w:ind w:left="1130" w:right="0" w:hanging="371"/>
        <w:jc w:val="left"/>
      </w:pPr>
      <w:r>
        <w:t>作业时间</w:t>
      </w:r>
    </w:p>
    <w:p>
      <w:pPr>
        <w:pStyle w:val="12"/>
        <w:spacing w:before="8"/>
        <w:rPr>
          <w:b/>
          <w:sz w:val="22"/>
        </w:rPr>
      </w:pPr>
    </w:p>
    <w:p>
      <w:pPr>
        <w:pStyle w:val="11"/>
        <w:ind w:left="758"/>
      </w:pPr>
      <w:r>
        <w:rPr>
          <w:b w:val="0"/>
        </w:rPr>
        <w:t>（1）</w:t>
      </w:r>
      <w:r>
        <w:t>道路全天保洁</w:t>
      </w:r>
    </w:p>
    <w:p>
      <w:pPr>
        <w:pStyle w:val="12"/>
        <w:spacing w:before="11"/>
        <w:rPr>
          <w:b/>
          <w:sz w:val="22"/>
        </w:rPr>
      </w:pPr>
    </w:p>
    <w:p>
      <w:pPr>
        <w:pStyle w:val="12"/>
        <w:spacing w:line="499" w:lineRule="auto"/>
        <w:ind w:left="337" w:right="328"/>
        <w:rPr>
          <w:sz w:val="22"/>
        </w:rPr>
      </w:pPr>
      <w:r>
        <w:t xml:space="preserve">人工清扫保洁时间：每日两次普扫的，晨扫春夏季 </w:t>
      </w:r>
      <w:r>
        <w:rPr>
          <w:rFonts w:hint="eastAsia"/>
          <w:lang w:val="en-US" w:eastAsia="zh-CN"/>
        </w:rPr>
        <w:t>8</w:t>
      </w:r>
      <w:r>
        <w:t>:</w:t>
      </w:r>
      <w:r>
        <w:rPr>
          <w:rFonts w:hint="eastAsia"/>
          <w:lang w:val="en-US" w:eastAsia="zh-CN"/>
        </w:rPr>
        <w:t>0</w:t>
      </w:r>
      <w:r>
        <w:t xml:space="preserve">0 前结束，秋冬季 </w:t>
      </w:r>
      <w:r>
        <w:rPr>
          <w:rFonts w:hint="eastAsia"/>
          <w:lang w:val="en-US" w:eastAsia="zh-CN"/>
        </w:rPr>
        <w:t>9</w:t>
      </w:r>
      <w:r>
        <w:t>:</w:t>
      </w:r>
      <w:r>
        <w:rPr>
          <w:rFonts w:hint="eastAsia"/>
          <w:lang w:val="en-US" w:eastAsia="zh-CN"/>
        </w:rPr>
        <w:t>0</w:t>
      </w:r>
      <w:r>
        <w:t>0 前结束。</w:t>
      </w:r>
    </w:p>
    <w:p>
      <w:pPr>
        <w:pStyle w:val="22"/>
        <w:numPr>
          <w:ilvl w:val="1"/>
          <w:numId w:val="50"/>
        </w:numPr>
        <w:tabs>
          <w:tab w:val="left" w:pos="1131"/>
        </w:tabs>
        <w:spacing w:before="0" w:after="0" w:line="499" w:lineRule="auto"/>
        <w:ind w:left="758" w:right="8027" w:firstLine="2"/>
        <w:jc w:val="left"/>
        <w:rPr>
          <w:sz w:val="21"/>
        </w:rPr>
      </w:pPr>
      <w:r>
        <w:rPr>
          <w:b/>
          <w:spacing w:val="-3"/>
          <w:sz w:val="21"/>
        </w:rPr>
        <w:t>保洁服务标准</w:t>
      </w:r>
      <w:r>
        <w:rPr>
          <w:sz w:val="21"/>
        </w:rPr>
        <w:t>1.</w:t>
      </w:r>
      <w:r>
        <w:rPr>
          <w:spacing w:val="-3"/>
          <w:sz w:val="21"/>
        </w:rPr>
        <w:t>感官质量要求</w:t>
      </w:r>
    </w:p>
    <w:p>
      <w:pPr>
        <w:pStyle w:val="22"/>
        <w:numPr>
          <w:ilvl w:val="1"/>
          <w:numId w:val="51"/>
        </w:numPr>
        <w:tabs>
          <w:tab w:val="left" w:pos="1181"/>
        </w:tabs>
        <w:spacing w:before="0" w:after="0" w:line="499" w:lineRule="auto"/>
        <w:ind w:left="337" w:right="328" w:firstLine="420"/>
        <w:jc w:val="left"/>
        <w:rPr>
          <w:sz w:val="21"/>
        </w:rPr>
      </w:pPr>
      <w:r>
        <w:rPr>
          <w:spacing w:val="-15"/>
          <w:sz w:val="21"/>
        </w:rPr>
        <w:t xml:space="preserve">车行道整体路面见本色，无积尘、积水、污渍、垃圾等，道沿两侧无积灰，交通隔离栏下无积 灰， </w:t>
      </w:r>
      <w:r>
        <w:rPr>
          <w:spacing w:val="-11"/>
          <w:sz w:val="21"/>
        </w:rPr>
        <w:t>收水井</w:t>
      </w:r>
      <w:r>
        <w:rPr>
          <w:sz w:val="21"/>
        </w:rPr>
        <w:t>（</w:t>
      </w:r>
      <w:r>
        <w:rPr>
          <w:spacing w:val="-3"/>
          <w:sz w:val="21"/>
        </w:rPr>
        <w:t>口</w:t>
      </w:r>
      <w:r>
        <w:rPr>
          <w:sz w:val="21"/>
        </w:rPr>
        <w:t>）</w:t>
      </w:r>
      <w:r>
        <w:rPr>
          <w:spacing w:val="-3"/>
          <w:sz w:val="21"/>
        </w:rPr>
        <w:t>无垃圾，机动车驶过后道路无明显浮尘。</w:t>
      </w:r>
    </w:p>
    <w:p>
      <w:pPr>
        <w:pStyle w:val="22"/>
        <w:numPr>
          <w:ilvl w:val="1"/>
          <w:numId w:val="51"/>
        </w:numPr>
        <w:tabs>
          <w:tab w:val="left" w:pos="1181"/>
        </w:tabs>
        <w:spacing w:before="0" w:after="0" w:line="268" w:lineRule="exact"/>
        <w:ind w:left="1180" w:right="0" w:hanging="423"/>
        <w:jc w:val="left"/>
        <w:rPr>
          <w:sz w:val="21"/>
        </w:rPr>
      </w:pPr>
      <w:r>
        <w:rPr>
          <w:spacing w:val="-3"/>
          <w:sz w:val="21"/>
        </w:rPr>
        <w:t>人行道、广场无积存沙土，无明显积水，无油渍污染，石块、杂草、粪便等其他废弃物。</w:t>
      </w:r>
    </w:p>
    <w:p>
      <w:pPr>
        <w:pStyle w:val="12"/>
        <w:spacing w:before="8"/>
        <w:rPr>
          <w:sz w:val="22"/>
        </w:rPr>
      </w:pPr>
    </w:p>
    <w:p>
      <w:pPr>
        <w:pStyle w:val="22"/>
        <w:numPr>
          <w:ilvl w:val="1"/>
          <w:numId w:val="51"/>
        </w:numPr>
        <w:tabs>
          <w:tab w:val="left" w:pos="1181"/>
        </w:tabs>
        <w:spacing w:before="1" w:after="0" w:line="240" w:lineRule="auto"/>
        <w:ind w:left="1180" w:right="0" w:hanging="423"/>
        <w:jc w:val="left"/>
        <w:rPr>
          <w:sz w:val="21"/>
        </w:rPr>
      </w:pPr>
      <w:r>
        <w:rPr>
          <w:spacing w:val="-3"/>
          <w:sz w:val="21"/>
        </w:rPr>
        <w:t>人行道、广场石砖无污垢，路沿石面干净；树坑无杂物、杂草。</w:t>
      </w:r>
    </w:p>
    <w:p>
      <w:pPr>
        <w:pStyle w:val="12"/>
        <w:spacing w:before="8"/>
        <w:rPr>
          <w:sz w:val="22"/>
        </w:rPr>
      </w:pPr>
    </w:p>
    <w:p>
      <w:pPr>
        <w:pStyle w:val="22"/>
        <w:numPr>
          <w:ilvl w:val="1"/>
          <w:numId w:val="51"/>
        </w:numPr>
        <w:tabs>
          <w:tab w:val="left" w:pos="1181"/>
        </w:tabs>
        <w:spacing w:before="0" w:after="0" w:line="240" w:lineRule="auto"/>
        <w:ind w:left="1180" w:right="0" w:hanging="423"/>
        <w:jc w:val="left"/>
        <w:rPr>
          <w:sz w:val="21"/>
        </w:rPr>
      </w:pPr>
      <w:r>
        <w:rPr>
          <w:spacing w:val="-3"/>
          <w:sz w:val="21"/>
        </w:rPr>
        <w:t>道路边坡和边沟无垃圾。</w:t>
      </w:r>
    </w:p>
    <w:p>
      <w:pPr>
        <w:pStyle w:val="12"/>
        <w:spacing w:before="9"/>
        <w:rPr>
          <w:sz w:val="22"/>
        </w:rPr>
      </w:pPr>
    </w:p>
    <w:p>
      <w:pPr>
        <w:pStyle w:val="22"/>
        <w:numPr>
          <w:ilvl w:val="1"/>
          <w:numId w:val="51"/>
        </w:numPr>
        <w:tabs>
          <w:tab w:val="left" w:pos="1181"/>
        </w:tabs>
        <w:spacing w:before="0" w:after="0" w:line="501" w:lineRule="auto"/>
        <w:ind w:left="337" w:right="331" w:firstLine="420"/>
        <w:jc w:val="left"/>
        <w:rPr>
          <w:sz w:val="21"/>
        </w:rPr>
      </w:pPr>
      <w:r>
        <w:rPr>
          <w:spacing w:val="-14"/>
          <w:sz w:val="21"/>
        </w:rPr>
        <w:t xml:space="preserve">人行天桥、地下通道路面应干净，无积存污水、垃圾；阶梯、扶手、栏杆、灯饰等应干净、整 洁， </w:t>
      </w:r>
      <w:r>
        <w:rPr>
          <w:spacing w:val="-3"/>
          <w:sz w:val="21"/>
        </w:rPr>
        <w:t>道路两侧墙面应无乱贴、乱画。</w:t>
      </w:r>
    </w:p>
    <w:p>
      <w:pPr>
        <w:pStyle w:val="22"/>
        <w:numPr>
          <w:ilvl w:val="1"/>
          <w:numId w:val="51"/>
        </w:numPr>
        <w:tabs>
          <w:tab w:val="left" w:pos="1181"/>
        </w:tabs>
        <w:spacing w:before="72" w:after="0" w:line="240" w:lineRule="auto"/>
        <w:ind w:left="1180" w:right="0" w:hanging="423"/>
        <w:jc w:val="left"/>
        <w:rPr>
          <w:sz w:val="21"/>
        </w:rPr>
      </w:pPr>
      <w:r>
        <w:rPr>
          <w:spacing w:val="-3"/>
          <w:sz w:val="21"/>
        </w:rPr>
        <w:t>人行天桥、地下通道的保洁质量应与端口所连接路段保洁质量标准相同。</w:t>
      </w:r>
    </w:p>
    <w:p>
      <w:pPr>
        <w:pStyle w:val="12"/>
        <w:spacing w:before="8"/>
        <w:rPr>
          <w:sz w:val="22"/>
        </w:rPr>
      </w:pPr>
    </w:p>
    <w:p>
      <w:pPr>
        <w:pStyle w:val="22"/>
        <w:numPr>
          <w:ilvl w:val="1"/>
          <w:numId w:val="51"/>
        </w:numPr>
        <w:tabs>
          <w:tab w:val="left" w:pos="1181"/>
        </w:tabs>
        <w:spacing w:before="0" w:after="0" w:line="240" w:lineRule="auto"/>
        <w:ind w:left="1180" w:right="0" w:hanging="423"/>
        <w:jc w:val="left"/>
        <w:rPr>
          <w:sz w:val="21"/>
        </w:rPr>
      </w:pPr>
      <w:r>
        <w:rPr>
          <w:spacing w:val="-3"/>
          <w:sz w:val="21"/>
        </w:rPr>
        <w:t>高架桥、立交桥、下穿隧道、快速干道等应与所连接道路保持同等清扫保洁质量。</w:t>
      </w:r>
    </w:p>
    <w:p>
      <w:pPr>
        <w:pStyle w:val="12"/>
        <w:spacing w:before="11"/>
        <w:rPr>
          <w:sz w:val="22"/>
        </w:rPr>
      </w:pPr>
    </w:p>
    <w:p>
      <w:pPr>
        <w:pStyle w:val="22"/>
        <w:numPr>
          <w:ilvl w:val="1"/>
          <w:numId w:val="51"/>
        </w:numPr>
        <w:tabs>
          <w:tab w:val="left" w:pos="1181"/>
        </w:tabs>
        <w:spacing w:before="0" w:after="0" w:line="240" w:lineRule="auto"/>
        <w:ind w:left="1180" w:right="0" w:hanging="423"/>
        <w:jc w:val="left"/>
        <w:rPr>
          <w:sz w:val="21"/>
        </w:rPr>
      </w:pPr>
      <w:r>
        <w:rPr>
          <w:spacing w:val="-3"/>
          <w:sz w:val="21"/>
        </w:rPr>
        <w:t>人行天桥、地下通道的内外立面、桥体、通道顶面应保持干净整洁。</w:t>
      </w:r>
    </w:p>
    <w:p>
      <w:pPr>
        <w:pStyle w:val="12"/>
        <w:spacing w:before="8"/>
        <w:rPr>
          <w:sz w:val="22"/>
        </w:rPr>
      </w:pPr>
    </w:p>
    <w:p>
      <w:pPr>
        <w:pStyle w:val="22"/>
        <w:numPr>
          <w:ilvl w:val="1"/>
          <w:numId w:val="51"/>
        </w:numPr>
        <w:tabs>
          <w:tab w:val="left" w:pos="1181"/>
        </w:tabs>
        <w:spacing w:before="0" w:after="0" w:line="499" w:lineRule="auto"/>
        <w:ind w:left="337" w:right="331" w:firstLine="420"/>
        <w:jc w:val="left"/>
        <w:rPr>
          <w:sz w:val="21"/>
        </w:rPr>
      </w:pPr>
      <w:r>
        <w:rPr>
          <w:spacing w:val="-5"/>
          <w:sz w:val="21"/>
        </w:rPr>
        <w:t>垃圾桶</w:t>
      </w:r>
      <w:r>
        <w:rPr>
          <w:spacing w:val="-3"/>
          <w:sz w:val="21"/>
        </w:rPr>
        <w:t>（果皮箱</w:t>
      </w:r>
      <w:r>
        <w:rPr>
          <w:spacing w:val="-10"/>
          <w:sz w:val="21"/>
        </w:rPr>
        <w:t>）</w:t>
      </w:r>
      <w:r>
        <w:rPr>
          <w:spacing w:val="-8"/>
          <w:sz w:val="21"/>
        </w:rPr>
        <w:t xml:space="preserve">、灭烟柱应完好整洁，表面无乱张贴、无乱涂写、无污物、无痰迹；周边 </w:t>
      </w:r>
      <w:r>
        <w:rPr>
          <w:sz w:val="21"/>
        </w:rPr>
        <w:t>1m</w:t>
      </w:r>
      <w:r>
        <w:rPr>
          <w:spacing w:val="-20"/>
          <w:sz w:val="21"/>
        </w:rPr>
        <w:t xml:space="preserve"> 范</w:t>
      </w:r>
      <w:r>
        <w:rPr>
          <w:spacing w:val="-8"/>
          <w:sz w:val="21"/>
        </w:rPr>
        <w:t>围整洁，无散落垃圾和污水。</w:t>
      </w:r>
    </w:p>
    <w:p>
      <w:pPr>
        <w:pStyle w:val="22"/>
        <w:numPr>
          <w:ilvl w:val="1"/>
          <w:numId w:val="51"/>
        </w:numPr>
        <w:tabs>
          <w:tab w:val="left" w:pos="1231"/>
        </w:tabs>
        <w:spacing w:before="1" w:after="0" w:line="499" w:lineRule="auto"/>
        <w:ind w:left="760" w:right="3098" w:hanging="3"/>
        <w:jc w:val="left"/>
        <w:rPr>
          <w:b/>
          <w:sz w:val="21"/>
        </w:rPr>
      </w:pPr>
      <w:r>
        <w:rPr>
          <w:spacing w:val="-3"/>
          <w:sz w:val="21"/>
        </w:rPr>
        <w:t>其他城市家具应无明显污迹，无乱张贴、乱涂写和过时破损标语。</w:t>
      </w:r>
      <w:r>
        <w:rPr>
          <w:b/>
          <w:spacing w:val="-3"/>
          <w:sz w:val="21"/>
        </w:rPr>
        <w:t>2.定量要求</w:t>
      </w:r>
    </w:p>
    <w:p>
      <w:pPr>
        <w:pStyle w:val="11"/>
        <w:numPr>
          <w:ilvl w:val="0"/>
          <w:numId w:val="52"/>
        </w:numPr>
        <w:tabs>
          <w:tab w:val="left" w:pos="1290"/>
        </w:tabs>
        <w:spacing w:before="0" w:after="55" w:line="269" w:lineRule="exact"/>
        <w:ind w:left="1289" w:right="0" w:hanging="530"/>
        <w:jc w:val="left"/>
      </w:pPr>
      <w:r>
        <w:rPr>
          <w:spacing w:val="-2"/>
        </w:rPr>
        <w:t>城市道路清扫保洁质量</w:t>
      </w:r>
    </w:p>
    <w:p>
      <w:pPr>
        <w:pStyle w:val="12"/>
        <w:spacing w:before="8"/>
        <w:rPr>
          <w:b/>
          <w:sz w:val="18"/>
        </w:rPr>
      </w:pPr>
    </w:p>
    <w:p>
      <w:pPr>
        <w:pStyle w:val="22"/>
        <w:numPr>
          <w:ilvl w:val="0"/>
          <w:numId w:val="52"/>
        </w:numPr>
        <w:tabs>
          <w:tab w:val="left" w:pos="1290"/>
        </w:tabs>
        <w:spacing w:before="0" w:after="0" w:line="240" w:lineRule="auto"/>
        <w:ind w:left="1289" w:right="0" w:hanging="530"/>
        <w:jc w:val="left"/>
        <w:rPr>
          <w:sz w:val="21"/>
        </w:rPr>
      </w:pPr>
      <w:r>
        <w:rPr>
          <w:spacing w:val="-3"/>
          <w:sz w:val="21"/>
        </w:rPr>
        <w:t>道路排水篦不堵塞，周围无成片积水；</w:t>
      </w:r>
    </w:p>
    <w:p>
      <w:pPr>
        <w:pStyle w:val="12"/>
        <w:spacing w:before="9"/>
        <w:rPr>
          <w:sz w:val="22"/>
        </w:rPr>
      </w:pPr>
    </w:p>
    <w:p>
      <w:pPr>
        <w:pStyle w:val="22"/>
        <w:numPr>
          <w:ilvl w:val="0"/>
          <w:numId w:val="52"/>
        </w:numPr>
        <w:tabs>
          <w:tab w:val="left" w:pos="1290"/>
        </w:tabs>
        <w:spacing w:before="0" w:after="0" w:line="240" w:lineRule="auto"/>
        <w:ind w:left="1289" w:right="0" w:hanging="530"/>
        <w:jc w:val="left"/>
        <w:rPr>
          <w:sz w:val="21"/>
        </w:rPr>
      </w:pPr>
      <w:r>
        <w:rPr>
          <w:spacing w:val="-19"/>
          <w:sz w:val="21"/>
        </w:rPr>
        <w:t xml:space="preserve">雨后 </w:t>
      </w:r>
      <w:r>
        <w:rPr>
          <w:sz w:val="21"/>
        </w:rPr>
        <w:t>4</w:t>
      </w:r>
      <w:r>
        <w:rPr>
          <w:spacing w:val="-8"/>
          <w:sz w:val="21"/>
        </w:rPr>
        <w:t xml:space="preserve"> 小时道路无成片积水。</w:t>
      </w:r>
    </w:p>
    <w:p>
      <w:pPr>
        <w:pStyle w:val="12"/>
        <w:spacing w:before="8"/>
        <w:rPr>
          <w:sz w:val="22"/>
        </w:rPr>
      </w:pPr>
    </w:p>
    <w:p>
      <w:pPr>
        <w:pStyle w:val="22"/>
        <w:numPr>
          <w:ilvl w:val="0"/>
          <w:numId w:val="52"/>
        </w:numPr>
        <w:tabs>
          <w:tab w:val="left" w:pos="1290"/>
        </w:tabs>
        <w:spacing w:before="0" w:after="0" w:line="240" w:lineRule="auto"/>
        <w:ind w:left="1289" w:right="0" w:hanging="530"/>
        <w:jc w:val="left"/>
        <w:rPr>
          <w:sz w:val="21"/>
        </w:rPr>
      </w:pPr>
      <w:r>
        <w:rPr>
          <w:spacing w:val="-17"/>
          <w:sz w:val="21"/>
        </w:rPr>
        <w:t xml:space="preserve">雪后 </w:t>
      </w:r>
      <w:r>
        <w:rPr>
          <w:sz w:val="21"/>
        </w:rPr>
        <w:t>12</w:t>
      </w:r>
      <w:r>
        <w:rPr>
          <w:spacing w:val="-8"/>
          <w:sz w:val="21"/>
        </w:rPr>
        <w:t xml:space="preserve"> 小时道路无积雪。</w:t>
      </w:r>
    </w:p>
    <w:p>
      <w:pPr>
        <w:pStyle w:val="12"/>
        <w:spacing w:before="10"/>
        <w:rPr>
          <w:sz w:val="22"/>
        </w:rPr>
      </w:pPr>
    </w:p>
    <w:p>
      <w:pPr>
        <w:pStyle w:val="11"/>
        <w:numPr>
          <w:ilvl w:val="1"/>
          <w:numId w:val="53"/>
        </w:numPr>
        <w:tabs>
          <w:tab w:val="left" w:pos="1131"/>
        </w:tabs>
        <w:spacing w:before="1" w:after="0" w:line="240" w:lineRule="auto"/>
        <w:ind w:left="1130" w:right="0" w:hanging="371"/>
        <w:jc w:val="left"/>
      </w:pPr>
      <w:r>
        <w:rPr>
          <w:spacing w:val="-1"/>
        </w:rPr>
        <w:t>清扫保洁及垃圾收集运输要求</w:t>
      </w:r>
    </w:p>
    <w:p>
      <w:pPr>
        <w:pStyle w:val="12"/>
        <w:spacing w:before="11"/>
        <w:rPr>
          <w:b/>
          <w:sz w:val="18"/>
        </w:rPr>
      </w:pPr>
    </w:p>
    <w:p>
      <w:pPr>
        <w:pStyle w:val="22"/>
        <w:numPr>
          <w:ilvl w:val="0"/>
          <w:numId w:val="54"/>
        </w:numPr>
        <w:tabs>
          <w:tab w:val="left" w:pos="1280"/>
        </w:tabs>
        <w:spacing w:before="72" w:after="0" w:line="240" w:lineRule="auto"/>
        <w:ind w:left="1279" w:right="0" w:hanging="530"/>
        <w:jc w:val="left"/>
        <w:rPr>
          <w:rFonts w:ascii="宋体" w:hAnsi="宋体" w:eastAsia="宋体" w:cs="宋体"/>
          <w:sz w:val="21"/>
          <w:szCs w:val="21"/>
          <w:lang w:val="zh-CN" w:eastAsia="zh-CN" w:bidi="zh-CN"/>
        </w:rPr>
      </w:pPr>
      <w:r>
        <w:rPr>
          <w:b/>
          <w:sz w:val="21"/>
        </w:rPr>
        <w:t>清扫要求：</w:t>
      </w:r>
      <w:r>
        <w:rPr>
          <w:spacing w:val="-12"/>
          <w:sz w:val="21"/>
          <w:lang w:val="zh-CN" w:eastAsia="zh-CN"/>
        </w:rPr>
        <w:t>全面</w:t>
      </w:r>
      <w:r>
        <w:rPr>
          <w:rFonts w:ascii="宋体" w:hAnsi="宋体" w:eastAsia="宋体" w:cs="宋体"/>
          <w:sz w:val="21"/>
          <w:szCs w:val="21"/>
          <w:lang w:val="zh-CN" w:eastAsia="zh-CN" w:bidi="zh-CN"/>
        </w:rPr>
        <w:t>清扫，做到“</w:t>
      </w:r>
      <w:r>
        <w:rPr>
          <w:rFonts w:hint="eastAsia" w:ascii="宋体" w:hAnsi="宋体" w:eastAsia="宋体" w:cs="宋体"/>
          <w:sz w:val="21"/>
          <w:szCs w:val="21"/>
          <w:lang w:val="zh-CN" w:eastAsia="zh-CN" w:bidi="zh-CN"/>
        </w:rPr>
        <w:t>六</w:t>
      </w:r>
      <w:r>
        <w:rPr>
          <w:rFonts w:ascii="宋体" w:hAnsi="宋体" w:eastAsia="宋体" w:cs="宋体"/>
          <w:sz w:val="21"/>
          <w:szCs w:val="21"/>
          <w:lang w:val="zh-CN" w:eastAsia="zh-CN" w:bidi="zh-CN"/>
        </w:rPr>
        <w:t>无</w:t>
      </w:r>
      <w:r>
        <w:rPr>
          <w:rFonts w:hint="eastAsia" w:ascii="宋体" w:hAnsi="宋体" w:eastAsia="宋体" w:cs="宋体"/>
          <w:sz w:val="21"/>
          <w:szCs w:val="21"/>
          <w:lang w:val="zh-CN" w:eastAsia="zh-CN" w:bidi="zh-CN"/>
        </w:rPr>
        <w:t>六</w:t>
      </w:r>
      <w:r>
        <w:rPr>
          <w:rFonts w:ascii="宋体" w:hAnsi="宋体" w:eastAsia="宋体" w:cs="宋体"/>
          <w:sz w:val="21"/>
          <w:szCs w:val="21"/>
          <w:lang w:val="zh-CN" w:eastAsia="zh-CN" w:bidi="zh-CN"/>
        </w:rPr>
        <w:t>净”</w:t>
      </w:r>
      <w:r>
        <w:rPr>
          <w:rFonts w:hint="eastAsia" w:ascii="宋体" w:hAnsi="宋体" w:eastAsia="宋体" w:cs="宋体"/>
          <w:sz w:val="21"/>
          <w:szCs w:val="21"/>
          <w:lang w:val="zh-CN" w:eastAsia="zh-CN" w:bidi="zh-CN"/>
        </w:rPr>
        <w:t>（即：“六无”为无废弃堆积物、无果皮纸屑和树叶、无</w:t>
      </w:r>
    </w:p>
    <w:p>
      <w:pPr>
        <w:pStyle w:val="22"/>
        <w:numPr>
          <w:ilvl w:val="0"/>
          <w:numId w:val="0"/>
        </w:numPr>
        <w:tabs>
          <w:tab w:val="left" w:pos="1280"/>
        </w:tabs>
        <w:spacing w:before="72" w:after="0" w:line="240" w:lineRule="auto"/>
        <w:ind w:left="749" w:leftChars="0" w:right="0" w:rightChars="0"/>
        <w:jc w:val="left"/>
        <w:rPr>
          <w:rFonts w:hint="eastAsia" w:ascii="宋体" w:hAnsi="宋体" w:eastAsia="宋体" w:cs="宋体"/>
          <w:sz w:val="21"/>
          <w:szCs w:val="21"/>
          <w:lang w:val="zh-CN" w:eastAsia="zh-CN" w:bidi="zh-CN"/>
        </w:rPr>
      </w:pPr>
    </w:p>
    <w:p>
      <w:pPr>
        <w:pStyle w:val="22"/>
        <w:numPr>
          <w:ilvl w:val="0"/>
          <w:numId w:val="0"/>
        </w:numPr>
        <w:tabs>
          <w:tab w:val="left" w:pos="1280"/>
        </w:tabs>
        <w:spacing w:before="72" w:after="0" w:line="240" w:lineRule="auto"/>
        <w:ind w:left="749" w:leftChars="0" w:right="0" w:rightChars="0"/>
        <w:jc w:val="both"/>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砖瓦砂石、无泼撒物、无污泥积水、无人畜喷便</w:t>
      </w:r>
      <w:r>
        <w:rPr>
          <w:rFonts w:hint="eastAsia" w:cs="宋体"/>
          <w:sz w:val="21"/>
          <w:szCs w:val="21"/>
          <w:lang w:val="zh-CN" w:eastAsia="zh-CN" w:bidi="zh-CN"/>
        </w:rPr>
        <w:t>；</w:t>
      </w:r>
      <w:r>
        <w:rPr>
          <w:rFonts w:hint="eastAsia" w:ascii="宋体" w:hAnsi="宋体" w:eastAsia="宋体" w:cs="宋体"/>
          <w:sz w:val="21"/>
          <w:szCs w:val="21"/>
          <w:lang w:val="zh-CN" w:eastAsia="zh-CN" w:bidi="zh-CN"/>
        </w:rPr>
        <w:t>“六净”为路面净、沟眼净、树穴净、落沙井净、花坛</w:t>
      </w:r>
    </w:p>
    <w:p>
      <w:pPr>
        <w:pStyle w:val="22"/>
        <w:numPr>
          <w:ilvl w:val="0"/>
          <w:numId w:val="0"/>
        </w:numPr>
        <w:tabs>
          <w:tab w:val="left" w:pos="1280"/>
        </w:tabs>
        <w:spacing w:before="72" w:after="0" w:line="240" w:lineRule="auto"/>
        <w:ind w:left="749" w:leftChars="0" w:right="0" w:rightChars="0"/>
        <w:jc w:val="both"/>
        <w:rPr>
          <w:rFonts w:hint="eastAsia" w:ascii="宋体" w:hAnsi="宋体" w:eastAsia="宋体" w:cs="宋体"/>
          <w:sz w:val="21"/>
          <w:szCs w:val="21"/>
          <w:lang w:val="zh-CN" w:eastAsia="zh-CN" w:bidi="zh-CN"/>
        </w:rPr>
      </w:pPr>
    </w:p>
    <w:p>
      <w:pPr>
        <w:pStyle w:val="22"/>
        <w:numPr>
          <w:ilvl w:val="0"/>
          <w:numId w:val="0"/>
        </w:numPr>
        <w:tabs>
          <w:tab w:val="left" w:pos="1280"/>
        </w:tabs>
        <w:spacing w:before="72" w:after="0" w:line="240" w:lineRule="auto"/>
        <w:ind w:left="749" w:leftChars="0" w:right="0" w:rightChars="0"/>
        <w:jc w:val="both"/>
        <w:rPr>
          <w:rFonts w:ascii="宋体" w:hAnsi="宋体" w:eastAsia="宋体" w:cs="宋体"/>
          <w:sz w:val="21"/>
          <w:szCs w:val="21"/>
          <w:lang w:val="zh-CN" w:eastAsia="zh-CN" w:bidi="zh-CN"/>
        </w:rPr>
      </w:pPr>
      <w:r>
        <w:rPr>
          <w:rFonts w:hint="eastAsia" w:ascii="宋体" w:hAnsi="宋体" w:eastAsia="宋体" w:cs="宋体"/>
          <w:sz w:val="21"/>
          <w:szCs w:val="21"/>
          <w:lang w:val="zh-CN" w:eastAsia="zh-CN" w:bidi="zh-CN"/>
        </w:rPr>
        <w:t>周围净、墙根净)</w:t>
      </w:r>
      <w:r>
        <w:rPr>
          <w:rFonts w:ascii="宋体" w:hAnsi="宋体" w:eastAsia="宋体" w:cs="宋体"/>
          <w:sz w:val="21"/>
          <w:szCs w:val="21"/>
          <w:lang w:val="zh-CN" w:eastAsia="zh-CN" w:bidi="zh-CN"/>
        </w:rPr>
        <w:t>。</w:t>
      </w:r>
    </w:p>
    <w:p>
      <w:pPr>
        <w:pStyle w:val="12"/>
        <w:spacing w:before="8"/>
        <w:rPr>
          <w:sz w:val="22"/>
        </w:rPr>
      </w:pPr>
    </w:p>
    <w:p>
      <w:pPr>
        <w:pStyle w:val="12"/>
        <w:spacing w:line="499" w:lineRule="auto"/>
        <w:ind w:left="337" w:right="417" w:firstLine="420"/>
      </w:pPr>
      <w:r>
        <w:t xml:space="preserve">全面清扫：对行车道及辅道道牙、人行道、雨水井口、树坑、墙根等周围进行全面清扫， </w:t>
      </w:r>
    </w:p>
    <w:p>
      <w:pPr>
        <w:pStyle w:val="22"/>
        <w:numPr>
          <w:ilvl w:val="0"/>
          <w:numId w:val="54"/>
        </w:numPr>
        <w:tabs>
          <w:tab w:val="left" w:pos="1280"/>
        </w:tabs>
        <w:spacing w:before="0" w:after="0" w:line="499" w:lineRule="auto"/>
        <w:ind w:left="337" w:right="333" w:firstLine="413"/>
        <w:jc w:val="left"/>
        <w:rPr>
          <w:sz w:val="21"/>
        </w:rPr>
      </w:pPr>
      <w:r>
        <w:rPr>
          <w:b/>
          <w:spacing w:val="-8"/>
          <w:sz w:val="21"/>
        </w:rPr>
        <w:t>保洁要求：</w:t>
      </w:r>
      <w:r>
        <w:rPr>
          <w:spacing w:val="-12"/>
          <w:sz w:val="21"/>
        </w:rPr>
        <w:t xml:space="preserve">保洁员巡回走动，清理路面较为明显的纸屑、饮料瓶等垃圾，做到勤走、勤看、勤扫 </w:t>
      </w:r>
      <w:r>
        <w:rPr>
          <w:spacing w:val="-3"/>
          <w:sz w:val="21"/>
        </w:rPr>
        <w:t>，确保路面整洁。清扫保洁的过程中，遇有人乱丢、乱吐时应用文明、礼貌用语劝阻，情节严重的，应即向行政执法部门反映。</w:t>
      </w:r>
    </w:p>
    <w:p>
      <w:pPr>
        <w:pStyle w:val="11"/>
        <w:numPr>
          <w:ilvl w:val="0"/>
          <w:numId w:val="54"/>
        </w:numPr>
        <w:tabs>
          <w:tab w:val="left" w:pos="1280"/>
        </w:tabs>
        <w:spacing w:before="0" w:after="0" w:line="240" w:lineRule="auto"/>
        <w:ind w:left="1279" w:right="0" w:hanging="530"/>
        <w:jc w:val="left"/>
      </w:pPr>
      <w:r>
        <w:t>垃圾收集运输要求</w:t>
      </w:r>
    </w:p>
    <w:p>
      <w:pPr>
        <w:pStyle w:val="12"/>
        <w:spacing w:before="9"/>
        <w:rPr>
          <w:b/>
          <w:sz w:val="22"/>
        </w:rPr>
      </w:pPr>
    </w:p>
    <w:p>
      <w:pPr>
        <w:pStyle w:val="12"/>
        <w:spacing w:line="499" w:lineRule="auto"/>
        <w:ind w:left="337" w:right="417" w:firstLine="420"/>
      </w:pPr>
      <w:r>
        <w:rPr>
          <w:spacing w:val="-6"/>
        </w:rPr>
        <w:t xml:space="preserve">清扫和清掏的垃圾应在早上 </w:t>
      </w:r>
      <w:r>
        <w:rPr>
          <w:rFonts w:hint="eastAsia"/>
          <w:spacing w:val="-6"/>
          <w:lang w:val="en-US" w:eastAsia="zh-CN"/>
        </w:rPr>
        <w:t>9</w:t>
      </w:r>
      <w:r>
        <w:t>：00</w:t>
      </w:r>
      <w:r>
        <w:rPr>
          <w:spacing w:val="-7"/>
        </w:rPr>
        <w:t xml:space="preserve"> 之前清理完毕，堆放在招标单位指定位置，严禁裸露堆放在路面。</w:t>
      </w:r>
      <w:r>
        <w:rPr>
          <w:spacing w:val="-5"/>
        </w:rPr>
        <w:t>垃圾运输过程中不得扬、洒、拖挂，不得乱倒、乱卸、乱抛，无污水滴漏。</w:t>
      </w:r>
    </w:p>
    <w:p>
      <w:pPr>
        <w:pStyle w:val="11"/>
        <w:numPr>
          <w:ilvl w:val="0"/>
          <w:numId w:val="54"/>
        </w:numPr>
        <w:tabs>
          <w:tab w:val="left" w:pos="1290"/>
        </w:tabs>
        <w:spacing w:before="0" w:after="0" w:line="268" w:lineRule="exact"/>
        <w:ind w:left="1289" w:right="0" w:hanging="530"/>
        <w:jc w:val="left"/>
      </w:pPr>
      <w:r>
        <w:rPr>
          <w:spacing w:val="-1"/>
        </w:rPr>
        <w:t>环卫设备的保洁要求</w:t>
      </w:r>
    </w:p>
    <w:p>
      <w:pPr>
        <w:pStyle w:val="12"/>
        <w:spacing w:before="11"/>
        <w:rPr>
          <w:b/>
          <w:sz w:val="22"/>
        </w:rPr>
      </w:pPr>
    </w:p>
    <w:p>
      <w:pPr>
        <w:pStyle w:val="12"/>
        <w:ind w:left="760"/>
      </w:pPr>
      <w:r>
        <w:rPr>
          <w:b/>
        </w:rPr>
        <w:t>果皮箱：</w:t>
      </w:r>
      <w:r>
        <w:t>委托投标单位负责管理。</w:t>
      </w:r>
    </w:p>
    <w:p>
      <w:pPr>
        <w:pStyle w:val="12"/>
        <w:spacing w:before="8"/>
        <w:rPr>
          <w:sz w:val="22"/>
        </w:rPr>
      </w:pPr>
    </w:p>
    <w:p>
      <w:pPr>
        <w:pStyle w:val="12"/>
        <w:spacing w:before="1"/>
        <w:ind w:left="337"/>
      </w:pPr>
      <w:r>
        <w:rPr>
          <w:spacing w:val="-3"/>
          <w:sz w:val="21"/>
        </w:rPr>
        <w:t>垃圾清掏人员应巡回检查清掏：每日清掏不少于</w:t>
      </w:r>
      <w:r>
        <w:rPr>
          <w:rFonts w:hint="eastAsia"/>
          <w:spacing w:val="-3"/>
          <w:sz w:val="21"/>
          <w:lang w:val="en-US" w:eastAsia="zh-CN"/>
        </w:rPr>
        <w:t>1</w:t>
      </w:r>
      <w:r>
        <w:rPr>
          <w:spacing w:val="-3"/>
          <w:sz w:val="21"/>
        </w:rPr>
        <w:t>次；</w:t>
      </w:r>
    </w:p>
    <w:p>
      <w:pPr>
        <w:pStyle w:val="12"/>
        <w:spacing w:before="10"/>
        <w:rPr>
          <w:sz w:val="22"/>
        </w:rPr>
      </w:pPr>
    </w:p>
    <w:p>
      <w:pPr>
        <w:pStyle w:val="22"/>
        <w:numPr>
          <w:ilvl w:val="0"/>
          <w:numId w:val="55"/>
        </w:numPr>
        <w:tabs>
          <w:tab w:val="left" w:pos="1288"/>
        </w:tabs>
        <w:spacing w:before="0" w:after="0" w:line="240" w:lineRule="auto"/>
        <w:ind w:left="1287" w:right="0" w:hanging="530"/>
        <w:jc w:val="left"/>
        <w:rPr>
          <w:sz w:val="21"/>
        </w:rPr>
      </w:pPr>
      <w:r>
        <w:rPr>
          <w:spacing w:val="-2"/>
          <w:sz w:val="21"/>
        </w:rPr>
        <w:t>果皮箱</w:t>
      </w:r>
      <w:r>
        <w:rPr>
          <w:spacing w:val="-3"/>
          <w:sz w:val="21"/>
        </w:rPr>
        <w:t>（</w:t>
      </w:r>
      <w:r>
        <w:rPr>
          <w:spacing w:val="-2"/>
          <w:sz w:val="21"/>
        </w:rPr>
        <w:t>垃圾桶</w:t>
      </w:r>
      <w:r>
        <w:rPr>
          <w:spacing w:val="-3"/>
          <w:sz w:val="21"/>
        </w:rPr>
        <w:t xml:space="preserve">）、灭烟柱内垃圾达到 </w:t>
      </w:r>
      <w:r>
        <w:rPr>
          <w:sz w:val="21"/>
        </w:rPr>
        <w:t>2/3</w:t>
      </w:r>
      <w:r>
        <w:rPr>
          <w:spacing w:val="-3"/>
          <w:sz w:val="21"/>
        </w:rPr>
        <w:t xml:space="preserve"> 容量时及时清掏，不得满溢。</w:t>
      </w:r>
    </w:p>
    <w:p>
      <w:pPr>
        <w:pStyle w:val="12"/>
        <w:spacing w:before="8"/>
        <w:rPr>
          <w:sz w:val="22"/>
        </w:rPr>
      </w:pPr>
    </w:p>
    <w:p>
      <w:pPr>
        <w:pStyle w:val="22"/>
        <w:numPr>
          <w:ilvl w:val="0"/>
          <w:numId w:val="55"/>
        </w:numPr>
        <w:tabs>
          <w:tab w:val="left" w:pos="1288"/>
        </w:tabs>
        <w:spacing w:before="1" w:after="0" w:line="240" w:lineRule="auto"/>
        <w:ind w:left="1287" w:right="0" w:hanging="530"/>
        <w:jc w:val="left"/>
        <w:rPr>
          <w:sz w:val="21"/>
        </w:rPr>
      </w:pPr>
      <w:r>
        <w:rPr>
          <w:spacing w:val="-3"/>
          <w:sz w:val="21"/>
        </w:rPr>
        <w:t>清掏过程中，避免箱</w:t>
      </w:r>
      <w:r>
        <w:rPr>
          <w:sz w:val="21"/>
        </w:rPr>
        <w:t>（桶</w:t>
      </w:r>
      <w:r>
        <w:rPr>
          <w:spacing w:val="-3"/>
          <w:sz w:val="21"/>
        </w:rPr>
        <w:t>）内废弃物落地，清掏后周边地面应清理干净。</w:t>
      </w:r>
    </w:p>
    <w:p>
      <w:pPr>
        <w:pStyle w:val="12"/>
        <w:spacing w:before="8"/>
        <w:rPr>
          <w:sz w:val="22"/>
        </w:rPr>
      </w:pPr>
    </w:p>
    <w:p>
      <w:pPr>
        <w:pStyle w:val="22"/>
        <w:numPr>
          <w:ilvl w:val="0"/>
          <w:numId w:val="55"/>
        </w:numPr>
        <w:tabs>
          <w:tab w:val="left" w:pos="1288"/>
        </w:tabs>
        <w:spacing w:before="0" w:after="0" w:line="501" w:lineRule="auto"/>
        <w:ind w:left="337" w:right="420" w:firstLine="420"/>
        <w:jc w:val="left"/>
        <w:rPr>
          <w:sz w:val="21"/>
        </w:rPr>
      </w:pPr>
      <w:r>
        <w:rPr>
          <w:spacing w:val="-3"/>
          <w:sz w:val="21"/>
        </w:rPr>
        <w:t>特级道路、一级道路及相应公共场所垃圾桶（</w:t>
      </w:r>
      <w:r>
        <w:rPr>
          <w:spacing w:val="-1"/>
          <w:sz w:val="21"/>
        </w:rPr>
        <w:t>果皮箱</w:t>
      </w:r>
      <w:r>
        <w:rPr>
          <w:sz w:val="21"/>
        </w:rPr>
        <w:t>）</w:t>
      </w:r>
      <w:r>
        <w:rPr>
          <w:spacing w:val="-1"/>
          <w:sz w:val="21"/>
        </w:rPr>
        <w:t>、灭烟柱外壳及时擦洗，二、三级道 路</w:t>
      </w:r>
      <w:r>
        <w:rPr>
          <w:spacing w:val="-3"/>
          <w:sz w:val="21"/>
        </w:rPr>
        <w:t>及相应公共场所垃圾桶（</w:t>
      </w:r>
      <w:r>
        <w:rPr>
          <w:spacing w:val="-1"/>
          <w:sz w:val="21"/>
        </w:rPr>
        <w:t>果皮箱</w:t>
      </w:r>
      <w:r>
        <w:rPr>
          <w:sz w:val="21"/>
        </w:rPr>
        <w:t>）</w:t>
      </w:r>
      <w:r>
        <w:rPr>
          <w:spacing w:val="-3"/>
          <w:sz w:val="21"/>
        </w:rPr>
        <w:t xml:space="preserve">、灭烟柱外壳每天擦洗不少于 </w:t>
      </w:r>
      <w:r>
        <w:rPr>
          <w:sz w:val="21"/>
        </w:rPr>
        <w:t>1</w:t>
      </w:r>
      <w:r>
        <w:rPr>
          <w:spacing w:val="-3"/>
          <w:sz w:val="21"/>
        </w:rPr>
        <w:t xml:space="preserve"> 次。</w:t>
      </w:r>
    </w:p>
    <w:p>
      <w:pPr>
        <w:pStyle w:val="22"/>
        <w:numPr>
          <w:ilvl w:val="0"/>
          <w:numId w:val="55"/>
        </w:numPr>
        <w:tabs>
          <w:tab w:val="left" w:pos="1288"/>
        </w:tabs>
        <w:spacing w:before="0" w:after="0" w:line="266" w:lineRule="exact"/>
        <w:ind w:left="1287" w:right="0" w:hanging="530"/>
        <w:jc w:val="left"/>
        <w:rPr>
          <w:sz w:val="21"/>
        </w:rPr>
      </w:pPr>
      <w:r>
        <w:rPr>
          <w:spacing w:val="-3"/>
          <w:sz w:val="21"/>
        </w:rPr>
        <w:t>果皮箱、灭烟柱移位或损坏，保洁员应立即向招标单位报告。</w:t>
      </w:r>
    </w:p>
    <w:p>
      <w:pPr>
        <w:pStyle w:val="12"/>
        <w:spacing w:before="8"/>
        <w:rPr>
          <w:sz w:val="22"/>
        </w:rPr>
      </w:pPr>
    </w:p>
    <w:p>
      <w:pPr>
        <w:pStyle w:val="22"/>
        <w:numPr>
          <w:ilvl w:val="0"/>
          <w:numId w:val="55"/>
        </w:numPr>
        <w:tabs>
          <w:tab w:val="left" w:pos="1288"/>
        </w:tabs>
        <w:spacing w:before="0" w:after="0" w:line="240" w:lineRule="auto"/>
        <w:ind w:left="1287" w:right="0" w:hanging="530"/>
        <w:jc w:val="left"/>
        <w:rPr>
          <w:sz w:val="21"/>
        </w:rPr>
      </w:pPr>
      <w:r>
        <w:rPr>
          <w:spacing w:val="-3"/>
          <w:sz w:val="21"/>
        </w:rPr>
        <w:t>禁止保洁员在果皮箱、垃圾收集站点内翻捡废品；禁止用箩筐或编织袋装垃圾。</w:t>
      </w:r>
    </w:p>
    <w:p>
      <w:pPr>
        <w:pStyle w:val="12"/>
        <w:spacing w:before="11"/>
        <w:rPr>
          <w:sz w:val="22"/>
        </w:rPr>
      </w:pPr>
    </w:p>
    <w:p>
      <w:pPr>
        <w:pStyle w:val="12"/>
        <w:ind w:left="760"/>
      </w:pPr>
      <w:r>
        <w:rPr>
          <w:b/>
        </w:rPr>
        <w:t>保洁工具及存放：</w:t>
      </w:r>
      <w:r>
        <w:t>不得将保洁工具摆放在人行道、围墙、行道树等处，要将工具存放在专用保洁员工</w:t>
      </w:r>
    </w:p>
    <w:p>
      <w:pPr>
        <w:pStyle w:val="12"/>
        <w:spacing w:before="11"/>
        <w:rPr>
          <w:sz w:val="18"/>
        </w:rPr>
      </w:pPr>
    </w:p>
    <w:p>
      <w:pPr>
        <w:pStyle w:val="12"/>
        <w:spacing w:before="72"/>
        <w:ind w:left="337"/>
      </w:pPr>
      <w:r>
        <w:t>具箱内，并摆放整齐，不得影响观瞻。</w:t>
      </w:r>
    </w:p>
    <w:p>
      <w:pPr>
        <w:pStyle w:val="12"/>
        <w:spacing w:before="8"/>
        <w:rPr>
          <w:sz w:val="22"/>
        </w:rPr>
      </w:pPr>
    </w:p>
    <w:p>
      <w:pPr>
        <w:pStyle w:val="11"/>
        <w:numPr>
          <w:ilvl w:val="0"/>
          <w:numId w:val="56"/>
        </w:numPr>
        <w:tabs>
          <w:tab w:val="left" w:pos="1290"/>
        </w:tabs>
        <w:spacing w:before="0" w:after="0" w:line="240" w:lineRule="auto"/>
        <w:ind w:left="1289" w:right="0" w:hanging="530"/>
        <w:jc w:val="left"/>
      </w:pPr>
      <w:r>
        <w:t>小广告清除</w:t>
      </w:r>
    </w:p>
    <w:p>
      <w:pPr>
        <w:pStyle w:val="12"/>
        <w:spacing w:before="11"/>
        <w:rPr>
          <w:b/>
          <w:sz w:val="22"/>
        </w:rPr>
      </w:pPr>
    </w:p>
    <w:p>
      <w:pPr>
        <w:pStyle w:val="12"/>
        <w:ind w:left="758"/>
      </w:pPr>
      <w:r>
        <w:t>日常巡查，及时清理。</w:t>
      </w:r>
    </w:p>
    <w:p>
      <w:pPr>
        <w:pStyle w:val="12"/>
        <w:spacing w:before="8"/>
        <w:rPr>
          <w:sz w:val="22"/>
        </w:rPr>
      </w:pPr>
    </w:p>
    <w:p>
      <w:pPr>
        <w:pStyle w:val="12"/>
        <w:ind w:left="758"/>
      </w:pPr>
      <w:r>
        <w:t>特级、繁华商业街区、交通枢纽、旅游景区等地区 2h 巡回清除 1 次。</w:t>
      </w:r>
    </w:p>
    <w:p>
      <w:pPr>
        <w:pStyle w:val="12"/>
        <w:spacing w:before="8"/>
        <w:rPr>
          <w:sz w:val="22"/>
        </w:rPr>
      </w:pPr>
    </w:p>
    <w:p>
      <w:pPr>
        <w:pStyle w:val="12"/>
        <w:spacing w:line="501" w:lineRule="auto"/>
        <w:ind w:left="758" w:right="1257"/>
      </w:pPr>
      <w:r>
        <w:t>宜采用人工方式进行作业，清除时应注意作业方式，避免损坏路面、建筑立面及城市家具。应将清除的小广告纸屑清理至收集车（桶）内，将周边地面清理干净。</w:t>
      </w:r>
    </w:p>
    <w:p>
      <w:pPr>
        <w:pStyle w:val="11"/>
        <w:numPr>
          <w:ilvl w:val="0"/>
          <w:numId w:val="56"/>
        </w:numPr>
        <w:tabs>
          <w:tab w:val="left" w:pos="1290"/>
        </w:tabs>
        <w:spacing w:before="0" w:after="0" w:line="265" w:lineRule="exact"/>
        <w:ind w:left="1289" w:right="0" w:hanging="530"/>
        <w:jc w:val="left"/>
      </w:pPr>
      <w:r>
        <w:rPr>
          <w:spacing w:val="-2"/>
        </w:rPr>
        <w:t>其他城市家具作业要求</w:t>
      </w:r>
    </w:p>
    <w:p>
      <w:pPr>
        <w:pStyle w:val="12"/>
        <w:spacing w:before="9"/>
        <w:rPr>
          <w:b/>
          <w:sz w:val="22"/>
        </w:rPr>
      </w:pPr>
    </w:p>
    <w:p>
      <w:pPr>
        <w:pStyle w:val="12"/>
        <w:spacing w:line="501" w:lineRule="auto"/>
        <w:ind w:left="758" w:right="2206"/>
      </w:pPr>
      <w:r>
        <w:t>道路两侧保洁工具箱、休闲椅应每日擦拭不少于 1 次，道班房外立面定期清洁。道路其他公共设施要保持干净整洁。</w:t>
      </w:r>
    </w:p>
    <w:p>
      <w:pPr>
        <w:pStyle w:val="11"/>
        <w:numPr>
          <w:ilvl w:val="1"/>
          <w:numId w:val="53"/>
        </w:numPr>
        <w:tabs>
          <w:tab w:val="left" w:pos="1131"/>
        </w:tabs>
        <w:spacing w:before="0" w:after="0" w:line="265" w:lineRule="exact"/>
        <w:ind w:left="1130" w:right="0" w:hanging="371"/>
        <w:jc w:val="left"/>
      </w:pPr>
      <w:r>
        <w:rPr>
          <w:spacing w:val="-1"/>
        </w:rPr>
        <w:t>各类天气状况下保洁要求</w:t>
      </w:r>
    </w:p>
    <w:p>
      <w:pPr>
        <w:pStyle w:val="12"/>
        <w:spacing w:before="8"/>
        <w:rPr>
          <w:b/>
          <w:sz w:val="22"/>
        </w:rPr>
      </w:pPr>
    </w:p>
    <w:p>
      <w:pPr>
        <w:pStyle w:val="11"/>
        <w:numPr>
          <w:ilvl w:val="0"/>
          <w:numId w:val="57"/>
        </w:numPr>
        <w:tabs>
          <w:tab w:val="left" w:pos="1290"/>
        </w:tabs>
        <w:spacing w:before="0" w:after="0" w:line="240" w:lineRule="auto"/>
        <w:ind w:left="1289" w:right="0" w:hanging="530"/>
        <w:jc w:val="left"/>
      </w:pPr>
      <w:r>
        <w:t>清融雪要求</w:t>
      </w:r>
    </w:p>
    <w:p>
      <w:pPr>
        <w:pStyle w:val="12"/>
        <w:spacing w:before="11"/>
        <w:rPr>
          <w:b/>
          <w:sz w:val="22"/>
        </w:rPr>
      </w:pPr>
    </w:p>
    <w:p>
      <w:pPr>
        <w:pStyle w:val="12"/>
        <w:spacing w:line="499" w:lineRule="auto"/>
        <w:ind w:left="337" w:right="417" w:firstLine="420"/>
      </w:pPr>
      <w:r>
        <w:t>按照清融雪预案，完成冬季融雪剂和扫雪工具的准备工作和路面积雪清扫任务。城市道路应做到除雪及时，边下边除，不留积雪。</w:t>
      </w:r>
    </w:p>
    <w:p>
      <w:pPr>
        <w:pStyle w:val="22"/>
        <w:numPr>
          <w:ilvl w:val="0"/>
          <w:numId w:val="58"/>
        </w:numPr>
        <w:tabs>
          <w:tab w:val="left" w:pos="970"/>
        </w:tabs>
        <w:spacing w:before="0" w:after="0" w:line="268" w:lineRule="exact"/>
        <w:ind w:left="969" w:right="0" w:hanging="212"/>
        <w:jc w:val="left"/>
        <w:rPr>
          <w:sz w:val="21"/>
        </w:rPr>
      </w:pPr>
      <w:r>
        <w:rPr>
          <w:spacing w:val="-2"/>
          <w:sz w:val="21"/>
        </w:rPr>
        <w:t>一般规定</w:t>
      </w:r>
    </w:p>
    <w:p>
      <w:pPr>
        <w:pStyle w:val="12"/>
        <w:spacing w:before="11"/>
        <w:rPr>
          <w:sz w:val="22"/>
        </w:rPr>
      </w:pPr>
    </w:p>
    <w:p>
      <w:pPr>
        <w:pStyle w:val="22"/>
        <w:numPr>
          <w:ilvl w:val="1"/>
          <w:numId w:val="58"/>
        </w:numPr>
        <w:tabs>
          <w:tab w:val="left" w:pos="1128"/>
        </w:tabs>
        <w:spacing w:before="0" w:after="0" w:line="499" w:lineRule="auto"/>
        <w:ind w:left="337" w:right="369" w:firstLine="420"/>
        <w:jc w:val="left"/>
        <w:rPr>
          <w:sz w:val="21"/>
        </w:rPr>
      </w:pPr>
      <w:r>
        <w:rPr>
          <w:spacing w:val="-5"/>
          <w:sz w:val="21"/>
        </w:rPr>
        <w:t>清雪车辆应对路面进行</w:t>
      </w:r>
      <w:r>
        <w:rPr>
          <w:rFonts w:hint="eastAsia"/>
          <w:spacing w:val="-5"/>
          <w:sz w:val="21"/>
          <w:lang w:eastAsia="zh-CN"/>
        </w:rPr>
        <w:t>及时</w:t>
      </w:r>
      <w:r>
        <w:rPr>
          <w:spacing w:val="-5"/>
          <w:sz w:val="21"/>
        </w:rPr>
        <w:t>清扫，</w:t>
      </w:r>
    </w:p>
    <w:p>
      <w:pPr>
        <w:pStyle w:val="22"/>
        <w:numPr>
          <w:ilvl w:val="1"/>
          <w:numId w:val="58"/>
        </w:numPr>
        <w:tabs>
          <w:tab w:val="left" w:pos="1128"/>
        </w:tabs>
        <w:spacing w:before="0" w:after="0" w:line="501" w:lineRule="auto"/>
        <w:ind w:left="337" w:right="369" w:firstLine="420"/>
        <w:jc w:val="left"/>
        <w:rPr>
          <w:sz w:val="21"/>
        </w:rPr>
      </w:pPr>
      <w:r>
        <w:rPr>
          <w:spacing w:val="-3"/>
          <w:sz w:val="21"/>
        </w:rPr>
        <w:t>人行道采取人工清扫方式，宜配合机械清扫作业。停车泊位和人行天桥应以人工清扫为主， 机械</w:t>
      </w:r>
      <w:r>
        <w:rPr>
          <w:spacing w:val="-1"/>
          <w:sz w:val="21"/>
        </w:rPr>
        <w:t>吹雪为辅。</w:t>
      </w:r>
    </w:p>
    <w:p>
      <w:pPr>
        <w:pStyle w:val="22"/>
        <w:numPr>
          <w:ilvl w:val="1"/>
          <w:numId w:val="58"/>
        </w:numPr>
        <w:tabs>
          <w:tab w:val="left" w:pos="1181"/>
        </w:tabs>
        <w:spacing w:before="0" w:after="0" w:line="265" w:lineRule="exact"/>
        <w:ind w:left="1180" w:right="0" w:hanging="423"/>
        <w:jc w:val="left"/>
        <w:rPr>
          <w:sz w:val="21"/>
        </w:rPr>
      </w:pPr>
      <w:r>
        <w:rPr>
          <w:spacing w:val="-3"/>
          <w:sz w:val="21"/>
        </w:rPr>
        <w:t>交通护栏区域使用吹雪机吹散。</w:t>
      </w:r>
    </w:p>
    <w:p>
      <w:pPr>
        <w:pStyle w:val="12"/>
        <w:spacing w:before="7"/>
        <w:rPr>
          <w:sz w:val="22"/>
        </w:rPr>
      </w:pPr>
    </w:p>
    <w:p>
      <w:pPr>
        <w:pStyle w:val="12"/>
        <w:spacing w:before="11"/>
        <w:rPr>
          <w:sz w:val="22"/>
        </w:rPr>
      </w:pPr>
    </w:p>
    <w:p>
      <w:pPr>
        <w:pStyle w:val="22"/>
        <w:numPr>
          <w:ilvl w:val="1"/>
          <w:numId w:val="58"/>
        </w:numPr>
        <w:tabs>
          <w:tab w:val="left" w:pos="1128"/>
        </w:tabs>
        <w:spacing w:before="0" w:after="0" w:line="499" w:lineRule="auto"/>
        <w:ind w:left="337" w:right="369" w:firstLine="420"/>
        <w:jc w:val="left"/>
        <w:rPr>
          <w:sz w:val="21"/>
        </w:rPr>
      </w:pPr>
      <w:r>
        <w:rPr>
          <w:spacing w:val="-7"/>
          <w:sz w:val="21"/>
        </w:rPr>
        <w:t xml:space="preserve">小雪时应在 </w:t>
      </w:r>
      <w:r>
        <w:rPr>
          <w:sz w:val="21"/>
        </w:rPr>
        <w:t>24h</w:t>
      </w:r>
      <w:r>
        <w:rPr>
          <w:spacing w:val="-11"/>
          <w:sz w:val="21"/>
        </w:rPr>
        <w:t xml:space="preserve"> 内清运完毕；中雪时应在 </w:t>
      </w:r>
      <w:r>
        <w:rPr>
          <w:sz w:val="21"/>
        </w:rPr>
        <w:t>48h</w:t>
      </w:r>
      <w:r>
        <w:rPr>
          <w:spacing w:val="-7"/>
          <w:sz w:val="21"/>
        </w:rPr>
        <w:t xml:space="preserve"> 内清运完毕，大雪及以上级别 降雪</w:t>
      </w:r>
      <w:r>
        <w:rPr>
          <w:spacing w:val="-15"/>
          <w:sz w:val="21"/>
        </w:rPr>
        <w:t xml:space="preserve">时应在 </w:t>
      </w:r>
      <w:r>
        <w:rPr>
          <w:sz w:val="21"/>
        </w:rPr>
        <w:t>72h</w:t>
      </w:r>
      <w:r>
        <w:rPr>
          <w:spacing w:val="-10"/>
          <w:sz w:val="21"/>
        </w:rPr>
        <w:t xml:space="preserve"> 内清运完毕。</w:t>
      </w:r>
    </w:p>
    <w:p>
      <w:pPr>
        <w:pStyle w:val="22"/>
        <w:numPr>
          <w:ilvl w:val="1"/>
          <w:numId w:val="58"/>
        </w:numPr>
        <w:tabs>
          <w:tab w:val="left" w:pos="1128"/>
        </w:tabs>
        <w:spacing w:before="0" w:after="0" w:line="269" w:lineRule="exact"/>
        <w:ind w:left="1127" w:right="0" w:hanging="370"/>
        <w:jc w:val="left"/>
        <w:rPr>
          <w:sz w:val="21"/>
        </w:rPr>
      </w:pPr>
      <w:r>
        <w:rPr>
          <w:spacing w:val="-3"/>
          <w:sz w:val="21"/>
        </w:rPr>
        <w:t>添加融雪剂的积雪不宜在树坑和绿化带堆放，不应将人行道的积雪推下道牙。</w:t>
      </w:r>
    </w:p>
    <w:p>
      <w:pPr>
        <w:pStyle w:val="12"/>
        <w:spacing w:before="11"/>
        <w:rPr>
          <w:sz w:val="22"/>
        </w:rPr>
      </w:pPr>
    </w:p>
    <w:p>
      <w:pPr>
        <w:pStyle w:val="22"/>
        <w:numPr>
          <w:ilvl w:val="1"/>
          <w:numId w:val="58"/>
        </w:numPr>
        <w:tabs>
          <w:tab w:val="left" w:pos="1128"/>
        </w:tabs>
        <w:spacing w:before="0" w:after="0" w:line="240" w:lineRule="auto"/>
        <w:ind w:left="1127" w:right="0" w:hanging="370"/>
        <w:jc w:val="left"/>
        <w:rPr>
          <w:sz w:val="21"/>
        </w:rPr>
      </w:pPr>
      <w:r>
        <w:rPr>
          <w:spacing w:val="-3"/>
          <w:sz w:val="21"/>
        </w:rPr>
        <w:t>不应将堆积的积雪倒入下水井（</w:t>
      </w:r>
      <w:r>
        <w:rPr>
          <w:sz w:val="21"/>
        </w:rPr>
        <w:t>盖</w:t>
      </w:r>
      <w:r>
        <w:rPr>
          <w:spacing w:val="-3"/>
          <w:sz w:val="21"/>
        </w:rPr>
        <w:t>）及设备井</w:t>
      </w:r>
      <w:r>
        <w:rPr>
          <w:sz w:val="21"/>
        </w:rPr>
        <w:t>（盖</w:t>
      </w:r>
      <w:r>
        <w:rPr>
          <w:spacing w:val="-3"/>
          <w:sz w:val="21"/>
        </w:rPr>
        <w:t>）</w:t>
      </w:r>
      <w:r>
        <w:rPr>
          <w:sz w:val="21"/>
        </w:rPr>
        <w:t>。</w:t>
      </w:r>
    </w:p>
    <w:p>
      <w:pPr>
        <w:pStyle w:val="12"/>
        <w:spacing w:before="11"/>
        <w:rPr>
          <w:sz w:val="18"/>
        </w:rPr>
      </w:pPr>
    </w:p>
    <w:p>
      <w:pPr>
        <w:pStyle w:val="22"/>
        <w:numPr>
          <w:ilvl w:val="0"/>
          <w:numId w:val="58"/>
        </w:numPr>
        <w:tabs>
          <w:tab w:val="left" w:pos="970"/>
        </w:tabs>
        <w:spacing w:before="3" w:after="0" w:line="240" w:lineRule="auto"/>
        <w:ind w:left="969" w:right="0" w:hanging="212"/>
        <w:jc w:val="left"/>
        <w:rPr>
          <w:sz w:val="21"/>
        </w:rPr>
      </w:pPr>
      <w:r>
        <w:rPr>
          <w:spacing w:val="-2"/>
          <w:sz w:val="21"/>
        </w:rPr>
        <w:t>一般降雪</w:t>
      </w:r>
    </w:p>
    <w:p>
      <w:pPr>
        <w:pStyle w:val="12"/>
        <w:spacing w:before="8"/>
        <w:rPr>
          <w:sz w:val="22"/>
        </w:rPr>
      </w:pPr>
    </w:p>
    <w:p>
      <w:pPr>
        <w:pStyle w:val="22"/>
        <w:numPr>
          <w:ilvl w:val="1"/>
          <w:numId w:val="58"/>
        </w:numPr>
        <w:tabs>
          <w:tab w:val="left" w:pos="1181"/>
        </w:tabs>
        <w:spacing w:before="0" w:after="0" w:line="240" w:lineRule="auto"/>
        <w:ind w:left="1180" w:right="0" w:hanging="423"/>
        <w:jc w:val="left"/>
        <w:rPr>
          <w:sz w:val="21"/>
        </w:rPr>
      </w:pPr>
      <w:r>
        <w:rPr>
          <w:spacing w:val="-2"/>
          <w:sz w:val="21"/>
        </w:rPr>
        <w:t>小雪天气应全覆盖清雪，对道路、绿地小广场、公厕周边同步实施扫雪作业，不应使用融雪剂。</w:t>
      </w:r>
    </w:p>
    <w:p>
      <w:pPr>
        <w:pStyle w:val="12"/>
        <w:spacing w:before="9"/>
        <w:rPr>
          <w:sz w:val="22"/>
        </w:rPr>
      </w:pPr>
    </w:p>
    <w:p>
      <w:pPr>
        <w:pStyle w:val="22"/>
        <w:numPr>
          <w:ilvl w:val="1"/>
          <w:numId w:val="58"/>
        </w:numPr>
        <w:tabs>
          <w:tab w:val="left" w:pos="1181"/>
        </w:tabs>
        <w:spacing w:before="0" w:after="0" w:line="501" w:lineRule="auto"/>
        <w:ind w:left="337" w:right="331" w:firstLine="420"/>
        <w:jc w:val="left"/>
        <w:rPr>
          <w:sz w:val="21"/>
        </w:rPr>
      </w:pPr>
      <w:r>
        <w:rPr>
          <w:spacing w:val="-20"/>
          <w:sz w:val="21"/>
        </w:rPr>
        <w:t xml:space="preserve">中雪天气降雪初期，应对道路、绿地小广场、公厕周边同步实施扫雪作业，当积雪厚度达到 </w:t>
      </w:r>
      <w:r>
        <w:rPr>
          <w:sz w:val="21"/>
        </w:rPr>
        <w:t xml:space="preserve">10-15mm </w:t>
      </w:r>
      <w:r>
        <w:rPr>
          <w:spacing w:val="-3"/>
          <w:sz w:val="21"/>
        </w:rPr>
        <w:t>时适量抛撒环保型融雪剂；降雪主峰过后，应进行全覆盖清雪。</w:t>
      </w:r>
    </w:p>
    <w:p>
      <w:pPr>
        <w:pStyle w:val="22"/>
        <w:numPr>
          <w:ilvl w:val="1"/>
          <w:numId w:val="58"/>
        </w:numPr>
        <w:tabs>
          <w:tab w:val="left" w:pos="1128"/>
        </w:tabs>
        <w:spacing w:before="0" w:after="0" w:line="499" w:lineRule="auto"/>
        <w:ind w:left="337" w:right="369" w:firstLine="420"/>
        <w:jc w:val="left"/>
        <w:rPr>
          <w:sz w:val="21"/>
        </w:rPr>
      </w:pPr>
      <w:r>
        <w:rPr>
          <w:spacing w:val="-3"/>
          <w:sz w:val="21"/>
        </w:rPr>
        <w:t>大雪天气降雪初期，应对城区主要道路集中扫雪，当积雪厚度 达到</w:t>
      </w:r>
      <w:r>
        <w:rPr>
          <w:sz w:val="21"/>
        </w:rPr>
        <w:t>10-15mm</w:t>
      </w:r>
      <w:r>
        <w:rPr>
          <w:spacing w:val="-9"/>
          <w:sz w:val="21"/>
        </w:rPr>
        <w:t xml:space="preserve"> 时适量抛撒环保型融雪剂。</w:t>
      </w:r>
    </w:p>
    <w:p>
      <w:pPr>
        <w:pStyle w:val="22"/>
        <w:numPr>
          <w:ilvl w:val="1"/>
          <w:numId w:val="58"/>
        </w:numPr>
        <w:tabs>
          <w:tab w:val="left" w:pos="1128"/>
        </w:tabs>
        <w:spacing w:before="0" w:after="0" w:line="240" w:lineRule="auto"/>
        <w:ind w:left="1127" w:right="0" w:hanging="370"/>
        <w:jc w:val="left"/>
        <w:rPr>
          <w:sz w:val="21"/>
        </w:rPr>
      </w:pPr>
      <w:r>
        <w:rPr>
          <w:spacing w:val="-15"/>
          <w:sz w:val="21"/>
        </w:rPr>
        <w:t>大雪天气时，降雪主峰过后，对所有道路进行集中清雪，所有道路基本见本色后进行全覆盖清雪。</w:t>
      </w:r>
    </w:p>
    <w:p>
      <w:pPr>
        <w:pStyle w:val="12"/>
        <w:spacing w:before="6"/>
        <w:rPr>
          <w:sz w:val="22"/>
        </w:rPr>
      </w:pPr>
    </w:p>
    <w:p>
      <w:pPr>
        <w:pStyle w:val="22"/>
        <w:numPr>
          <w:ilvl w:val="1"/>
          <w:numId w:val="58"/>
        </w:numPr>
        <w:tabs>
          <w:tab w:val="left" w:pos="1181"/>
        </w:tabs>
        <w:spacing w:before="0" w:after="0" w:line="240" w:lineRule="auto"/>
        <w:ind w:left="1180" w:right="0" w:hanging="423"/>
        <w:jc w:val="left"/>
        <w:rPr>
          <w:sz w:val="21"/>
        </w:rPr>
      </w:pPr>
      <w:r>
        <w:rPr>
          <w:spacing w:val="-3"/>
          <w:sz w:val="21"/>
        </w:rPr>
        <w:t>特级和一级道路积雪宜“边清边运”，运雪车辆配合抛雪机进行运雪作业。</w:t>
      </w:r>
    </w:p>
    <w:p>
      <w:pPr>
        <w:pStyle w:val="12"/>
        <w:spacing w:before="8"/>
        <w:rPr>
          <w:sz w:val="22"/>
        </w:rPr>
      </w:pPr>
    </w:p>
    <w:p>
      <w:pPr>
        <w:pStyle w:val="22"/>
        <w:numPr>
          <w:ilvl w:val="1"/>
          <w:numId w:val="58"/>
        </w:numPr>
        <w:tabs>
          <w:tab w:val="left" w:pos="1181"/>
        </w:tabs>
        <w:spacing w:before="0" w:after="0" w:line="501" w:lineRule="auto"/>
        <w:ind w:left="758" w:right="3989" w:firstLine="0"/>
        <w:jc w:val="left"/>
        <w:rPr>
          <w:sz w:val="21"/>
        </w:rPr>
      </w:pPr>
      <w:r>
        <w:rPr>
          <w:spacing w:val="-3"/>
          <w:sz w:val="21"/>
        </w:rPr>
        <w:t>二、三级道路清雪机械宜与人工配合进行路面清雪作业。3 暴雪及以上天气</w:t>
      </w:r>
    </w:p>
    <w:p>
      <w:pPr>
        <w:pStyle w:val="22"/>
        <w:numPr>
          <w:ilvl w:val="1"/>
          <w:numId w:val="59"/>
        </w:numPr>
        <w:tabs>
          <w:tab w:val="left" w:pos="1181"/>
        </w:tabs>
        <w:spacing w:before="0" w:after="0" w:line="266" w:lineRule="exact"/>
        <w:ind w:left="1180" w:right="0" w:hanging="423"/>
        <w:jc w:val="left"/>
        <w:rPr>
          <w:sz w:val="21"/>
        </w:rPr>
      </w:pPr>
      <w:r>
        <w:rPr>
          <w:spacing w:val="-3"/>
          <w:sz w:val="21"/>
        </w:rPr>
        <w:t>暴雪清雪作业应采取三段式作业模式。</w:t>
      </w:r>
    </w:p>
    <w:p>
      <w:pPr>
        <w:pStyle w:val="12"/>
        <w:spacing w:before="8"/>
        <w:rPr>
          <w:sz w:val="22"/>
        </w:rPr>
      </w:pPr>
    </w:p>
    <w:p>
      <w:pPr>
        <w:pStyle w:val="22"/>
        <w:numPr>
          <w:ilvl w:val="1"/>
          <w:numId w:val="59"/>
        </w:numPr>
        <w:tabs>
          <w:tab w:val="left" w:pos="1128"/>
        </w:tabs>
        <w:spacing w:before="1" w:after="0" w:line="501" w:lineRule="auto"/>
        <w:ind w:left="337" w:right="331" w:firstLine="420"/>
        <w:jc w:val="left"/>
        <w:rPr>
          <w:sz w:val="21"/>
        </w:rPr>
      </w:pPr>
      <w:r>
        <w:rPr>
          <w:spacing w:val="-15"/>
          <w:sz w:val="21"/>
        </w:rPr>
        <w:t xml:space="preserve">一阶段，城区主要道路的公交车道、快车道的公交车道等交通节点应使用清雪车辆集中循环 清扫， </w:t>
      </w:r>
      <w:r>
        <w:rPr>
          <w:spacing w:val="-7"/>
          <w:sz w:val="21"/>
        </w:rPr>
        <w:t xml:space="preserve">保持道路畅通；其他道路应在 </w:t>
      </w:r>
      <w:r>
        <w:rPr>
          <w:sz w:val="21"/>
        </w:rPr>
        <w:t>2h</w:t>
      </w:r>
      <w:r>
        <w:rPr>
          <w:spacing w:val="-12"/>
          <w:sz w:val="21"/>
        </w:rPr>
        <w:t xml:space="preserve"> 内完成。</w:t>
      </w:r>
    </w:p>
    <w:p>
      <w:pPr>
        <w:pStyle w:val="22"/>
        <w:numPr>
          <w:ilvl w:val="1"/>
          <w:numId w:val="59"/>
        </w:numPr>
        <w:tabs>
          <w:tab w:val="left" w:pos="1128"/>
        </w:tabs>
        <w:spacing w:before="0" w:after="0" w:line="265" w:lineRule="exact"/>
        <w:ind w:left="1127" w:right="0" w:hanging="370"/>
        <w:jc w:val="left"/>
        <w:rPr>
          <w:sz w:val="21"/>
        </w:rPr>
      </w:pPr>
      <w:r>
        <w:rPr>
          <w:spacing w:val="-3"/>
          <w:sz w:val="21"/>
        </w:rPr>
        <w:t>降雪主峰过后，对城区主要道路进行全面清扫作业，宜进行边清边运。</w:t>
      </w:r>
    </w:p>
    <w:p>
      <w:pPr>
        <w:pStyle w:val="12"/>
        <w:spacing w:before="8"/>
        <w:rPr>
          <w:sz w:val="22"/>
        </w:rPr>
      </w:pPr>
    </w:p>
    <w:p>
      <w:pPr>
        <w:pStyle w:val="22"/>
        <w:numPr>
          <w:ilvl w:val="1"/>
          <w:numId w:val="59"/>
        </w:numPr>
        <w:tabs>
          <w:tab w:val="left" w:pos="1128"/>
        </w:tabs>
        <w:spacing w:before="0" w:after="0" w:line="240" w:lineRule="auto"/>
        <w:ind w:left="1127" w:right="0" w:hanging="370"/>
        <w:jc w:val="left"/>
        <w:rPr>
          <w:sz w:val="21"/>
        </w:rPr>
      </w:pPr>
      <w:r>
        <w:rPr>
          <w:spacing w:val="-14"/>
          <w:sz w:val="21"/>
        </w:rPr>
        <w:t>二阶段作业时，对所有道路进行集中清雪，保持道路畅通，其他道路适时适量布撒环保型融 雪剂。</w:t>
      </w:r>
    </w:p>
    <w:p>
      <w:pPr>
        <w:pStyle w:val="12"/>
        <w:spacing w:before="10"/>
        <w:rPr>
          <w:sz w:val="22"/>
        </w:rPr>
      </w:pPr>
    </w:p>
    <w:p>
      <w:pPr>
        <w:pStyle w:val="22"/>
        <w:numPr>
          <w:ilvl w:val="1"/>
          <w:numId w:val="59"/>
        </w:numPr>
        <w:tabs>
          <w:tab w:val="left" w:pos="1128"/>
        </w:tabs>
        <w:spacing w:before="1" w:after="0" w:line="240" w:lineRule="auto"/>
        <w:ind w:left="1127" w:right="0" w:hanging="370"/>
        <w:jc w:val="left"/>
        <w:rPr>
          <w:sz w:val="21"/>
        </w:rPr>
      </w:pPr>
      <w:r>
        <w:rPr>
          <w:spacing w:val="-3"/>
          <w:sz w:val="21"/>
        </w:rPr>
        <w:t>三阶段作业时进行全覆盖清雪作业模式。</w:t>
      </w:r>
    </w:p>
    <w:p>
      <w:pPr>
        <w:pStyle w:val="12"/>
        <w:spacing w:before="8"/>
        <w:rPr>
          <w:sz w:val="22"/>
        </w:rPr>
      </w:pPr>
    </w:p>
    <w:p>
      <w:pPr>
        <w:pStyle w:val="11"/>
        <w:numPr>
          <w:ilvl w:val="0"/>
          <w:numId w:val="57"/>
        </w:numPr>
        <w:tabs>
          <w:tab w:val="left" w:pos="1290"/>
        </w:tabs>
        <w:spacing w:before="0" w:after="0" w:line="240" w:lineRule="auto"/>
        <w:ind w:left="1289" w:right="0" w:hanging="530"/>
        <w:jc w:val="left"/>
      </w:pPr>
      <w:r>
        <w:t>大雨及暴雨</w:t>
      </w:r>
    </w:p>
    <w:p>
      <w:pPr>
        <w:pStyle w:val="12"/>
        <w:spacing w:before="8"/>
        <w:rPr>
          <w:b/>
          <w:sz w:val="22"/>
        </w:rPr>
      </w:pPr>
    </w:p>
    <w:p>
      <w:pPr>
        <w:pStyle w:val="12"/>
        <w:spacing w:before="1" w:line="501" w:lineRule="auto"/>
        <w:ind w:left="758" w:right="5672"/>
        <w:rPr>
          <w:rFonts w:hint="eastAsia" w:eastAsia="宋体"/>
          <w:lang w:eastAsia="zh-CN"/>
        </w:rPr>
      </w:pPr>
      <w:r>
        <w:t>大雨及暴雨等恶劣天气时应暂停全部作业。大雨及暴雨天气后作业要求</w:t>
      </w:r>
      <w:r>
        <w:rPr>
          <w:rFonts w:hint="eastAsia"/>
          <w:lang w:eastAsia="zh-CN"/>
        </w:rPr>
        <w:t>。</w:t>
      </w:r>
    </w:p>
    <w:p>
      <w:pPr>
        <w:pStyle w:val="12"/>
        <w:spacing w:before="72"/>
        <w:ind w:left="758"/>
      </w:pPr>
      <w:r>
        <w:t>应及时清扫路面及雨水井口的垃圾、淤泥、杂物等。</w:t>
      </w:r>
    </w:p>
    <w:p>
      <w:pPr>
        <w:pStyle w:val="12"/>
        <w:spacing w:before="8"/>
        <w:rPr>
          <w:sz w:val="22"/>
        </w:rPr>
      </w:pPr>
    </w:p>
    <w:p>
      <w:pPr>
        <w:pStyle w:val="12"/>
        <w:ind w:left="758"/>
      </w:pPr>
      <w:r>
        <w:t>针对积水路段，应用大扫帚、推水板等进行集中推水作业，泥浆不得飞溅过往行人。</w:t>
      </w:r>
    </w:p>
    <w:p>
      <w:pPr>
        <w:pStyle w:val="12"/>
        <w:spacing w:before="11"/>
        <w:rPr>
          <w:sz w:val="22"/>
        </w:rPr>
      </w:pPr>
    </w:p>
    <w:p>
      <w:pPr>
        <w:pStyle w:val="12"/>
        <w:spacing w:line="499" w:lineRule="auto"/>
        <w:ind w:left="758" w:right="1049"/>
      </w:pPr>
      <w:r>
        <w:t>落叶、纸屑等杂物与道路黏在一起难以清理时，增加保洁人员作业频次、杂物循环收集次数。应及时将果皮箱、灭烟柱等擦拭干净。</w:t>
      </w:r>
    </w:p>
    <w:p>
      <w:pPr>
        <w:pStyle w:val="12"/>
        <w:spacing w:line="268" w:lineRule="exact"/>
        <w:ind w:left="758"/>
      </w:pPr>
      <w:r>
        <w:t>应使用高压冲洗车对道路两侧进行全面冲洗。</w:t>
      </w:r>
    </w:p>
    <w:p>
      <w:pPr>
        <w:pStyle w:val="12"/>
        <w:spacing w:before="10"/>
        <w:rPr>
          <w:sz w:val="22"/>
        </w:rPr>
      </w:pPr>
    </w:p>
    <w:p>
      <w:pPr>
        <w:pStyle w:val="12"/>
        <w:spacing w:line="499" w:lineRule="auto"/>
        <w:ind w:left="337" w:right="223" w:firstLine="420"/>
      </w:pPr>
      <w:r>
        <w:rPr>
          <w:spacing w:val="-10"/>
        </w:rPr>
        <w:t>注：大雨是指每小时降水量为</w:t>
      </w:r>
      <w:r>
        <w:t>8.1mm~16.0mm</w:t>
      </w:r>
      <w:r>
        <w:rPr>
          <w:spacing w:val="-38"/>
        </w:rPr>
        <w:t>、或</w:t>
      </w:r>
      <w:r>
        <w:t>12h</w:t>
      </w:r>
      <w:r>
        <w:rPr>
          <w:spacing w:val="-8"/>
        </w:rPr>
        <w:t xml:space="preserve"> 内降水量</w:t>
      </w:r>
      <w:r>
        <w:t>15mm～30mm</w:t>
      </w:r>
      <w:r>
        <w:rPr>
          <w:spacing w:val="-106"/>
        </w:rPr>
        <w:t>、</w:t>
      </w:r>
      <w:r>
        <w:t>24h</w:t>
      </w:r>
      <w:r>
        <w:rPr>
          <w:spacing w:val="-8"/>
        </w:rPr>
        <w:t xml:space="preserve"> 内降水量为</w:t>
      </w:r>
      <w:r>
        <w:t xml:space="preserve">25mm~49.9mm； </w:t>
      </w:r>
      <w:r>
        <w:rPr>
          <w:spacing w:val="-8"/>
        </w:rPr>
        <w:t xml:space="preserve">暴雨是指 每小时降雨量 </w:t>
      </w:r>
      <w:r>
        <w:t>16mm</w:t>
      </w:r>
      <w:r>
        <w:rPr>
          <w:spacing w:val="-16"/>
        </w:rPr>
        <w:t xml:space="preserve"> 以上、或连续 </w:t>
      </w:r>
      <w:r>
        <w:t>12h</w:t>
      </w:r>
      <w:r>
        <w:rPr>
          <w:spacing w:val="-22"/>
        </w:rPr>
        <w:t xml:space="preserve"> 降雨量 </w:t>
      </w:r>
      <w:r>
        <w:t>30mm</w:t>
      </w:r>
      <w:r>
        <w:rPr>
          <w:spacing w:val="-15"/>
        </w:rPr>
        <w:t xml:space="preserve"> 以上、</w:t>
      </w:r>
      <w:r>
        <w:t>24h</w:t>
      </w:r>
      <w:r>
        <w:rPr>
          <w:spacing w:val="-19"/>
        </w:rPr>
        <w:t xml:space="preserve"> 降水量为 </w:t>
      </w:r>
      <w:r>
        <w:t>50mm</w:t>
      </w:r>
      <w:r>
        <w:rPr>
          <w:spacing w:val="-10"/>
        </w:rPr>
        <w:t xml:space="preserve"> 或以上的雨。</w:t>
      </w:r>
    </w:p>
    <w:p>
      <w:pPr>
        <w:pStyle w:val="11"/>
        <w:numPr>
          <w:ilvl w:val="0"/>
          <w:numId w:val="57"/>
        </w:numPr>
        <w:tabs>
          <w:tab w:val="left" w:pos="1290"/>
        </w:tabs>
        <w:spacing w:before="0" w:after="0" w:line="269" w:lineRule="exact"/>
        <w:ind w:left="1289" w:right="0" w:hanging="530"/>
        <w:jc w:val="left"/>
      </w:pPr>
      <w:r>
        <w:t>大风天气</w:t>
      </w:r>
    </w:p>
    <w:p>
      <w:pPr>
        <w:pStyle w:val="12"/>
        <w:spacing w:before="11"/>
        <w:rPr>
          <w:b/>
          <w:sz w:val="22"/>
        </w:rPr>
      </w:pPr>
    </w:p>
    <w:p>
      <w:pPr>
        <w:pStyle w:val="12"/>
        <w:ind w:left="758"/>
      </w:pPr>
      <w:r>
        <w:t>五级及以上大风天气应暂停全部作业。</w:t>
      </w:r>
    </w:p>
    <w:p>
      <w:pPr>
        <w:pStyle w:val="12"/>
        <w:spacing w:before="8"/>
        <w:rPr>
          <w:sz w:val="22"/>
        </w:rPr>
      </w:pPr>
    </w:p>
    <w:p>
      <w:pPr>
        <w:pStyle w:val="12"/>
        <w:ind w:left="758"/>
      </w:pPr>
      <w:r>
        <w:t>大风过后，应及时清理树枝、落叶和垃圾等。</w:t>
      </w:r>
    </w:p>
    <w:p>
      <w:pPr>
        <w:pStyle w:val="12"/>
        <w:spacing w:before="8"/>
        <w:rPr>
          <w:sz w:val="22"/>
        </w:rPr>
      </w:pPr>
    </w:p>
    <w:p>
      <w:pPr>
        <w:pStyle w:val="12"/>
        <w:spacing w:before="1"/>
        <w:ind w:left="758"/>
      </w:pPr>
      <w:r>
        <w:t>遇有大风并伴有扬沙天气时，应增加洒水、喷雾降尘作业频次。</w:t>
      </w:r>
    </w:p>
    <w:p>
      <w:pPr>
        <w:pStyle w:val="12"/>
        <w:spacing w:before="10"/>
        <w:rPr>
          <w:sz w:val="22"/>
        </w:rPr>
      </w:pPr>
    </w:p>
    <w:p>
      <w:pPr>
        <w:pStyle w:val="11"/>
        <w:numPr>
          <w:ilvl w:val="0"/>
          <w:numId w:val="57"/>
        </w:numPr>
        <w:tabs>
          <w:tab w:val="left" w:pos="1290"/>
        </w:tabs>
        <w:spacing w:before="0" w:after="0" w:line="240" w:lineRule="auto"/>
        <w:ind w:left="1289" w:right="0" w:hanging="530"/>
        <w:jc w:val="left"/>
      </w:pPr>
      <w:r>
        <w:t>高温天气</w:t>
      </w:r>
    </w:p>
    <w:p>
      <w:pPr>
        <w:pStyle w:val="12"/>
        <w:spacing w:before="8"/>
        <w:rPr>
          <w:b/>
          <w:sz w:val="22"/>
        </w:rPr>
      </w:pPr>
    </w:p>
    <w:p>
      <w:pPr>
        <w:pStyle w:val="12"/>
        <w:spacing w:line="499" w:lineRule="auto"/>
        <w:ind w:left="337" w:right="424" w:firstLine="420"/>
      </w:pPr>
      <w:r>
        <w:t>气温超过 3</w:t>
      </w:r>
      <w:r>
        <w:rPr>
          <w:rFonts w:hint="eastAsia"/>
          <w:lang w:val="en-US" w:eastAsia="zh-CN"/>
        </w:rPr>
        <w:t>7</w:t>
      </w:r>
      <w:r>
        <w:t>℃及以上，当日中午 11:00 至下午 16:00 停止户外保洁作业，其他时间段保证作业 频次及保洁质量。</w:t>
      </w:r>
    </w:p>
    <w:p>
      <w:pPr>
        <w:pStyle w:val="12"/>
        <w:spacing w:before="2" w:line="499" w:lineRule="auto"/>
        <w:ind w:left="758" w:right="228"/>
      </w:pPr>
      <w:r>
        <w:t>当气温超过 40℃，应停止保洁人员户外作业，其他时段根据气温变化适度调整作业时间和作业频次。高温时段应适当增加机械化清扫和保洁作业频次，弥补人工清扫保洁空档。</w:t>
      </w:r>
    </w:p>
    <w:p>
      <w:pPr>
        <w:pStyle w:val="22"/>
        <w:numPr>
          <w:ilvl w:val="0"/>
          <w:numId w:val="60"/>
        </w:numPr>
        <w:tabs>
          <w:tab w:val="left" w:pos="1288"/>
        </w:tabs>
        <w:spacing w:before="0" w:after="0" w:line="268" w:lineRule="exact"/>
        <w:ind w:left="1287" w:right="0" w:hanging="530"/>
        <w:jc w:val="left"/>
        <w:rPr>
          <w:sz w:val="19"/>
        </w:rPr>
      </w:pPr>
      <w:r>
        <w:rPr>
          <w:spacing w:val="-3"/>
          <w:sz w:val="21"/>
        </w:rPr>
        <w:t>保洁人员在高温天气作业时应随身携带降温饮品和防暑药品等应急物品。</w:t>
      </w:r>
    </w:p>
    <w:p>
      <w:pPr>
        <w:pStyle w:val="12"/>
        <w:spacing w:before="11"/>
        <w:rPr>
          <w:sz w:val="22"/>
        </w:rPr>
      </w:pPr>
    </w:p>
    <w:p>
      <w:pPr>
        <w:pStyle w:val="22"/>
        <w:numPr>
          <w:ilvl w:val="0"/>
          <w:numId w:val="60"/>
        </w:numPr>
        <w:tabs>
          <w:tab w:val="left" w:pos="1290"/>
        </w:tabs>
        <w:spacing w:before="0" w:after="0" w:line="499" w:lineRule="auto"/>
        <w:ind w:left="758" w:right="7983" w:firstLine="2"/>
        <w:jc w:val="left"/>
        <w:rPr>
          <w:sz w:val="19"/>
        </w:rPr>
      </w:pPr>
      <w:r>
        <w:rPr>
          <w:b/>
          <w:sz w:val="21"/>
        </w:rPr>
        <w:t xml:space="preserve">落叶季节 </w:t>
      </w:r>
    </w:p>
    <w:p>
      <w:pPr>
        <w:pStyle w:val="22"/>
        <w:numPr>
          <w:ilvl w:val="0"/>
          <w:numId w:val="0"/>
        </w:numPr>
        <w:tabs>
          <w:tab w:val="left" w:pos="1290"/>
        </w:tabs>
        <w:spacing w:before="0" w:after="0" w:line="499" w:lineRule="auto"/>
        <w:ind w:left="760" w:leftChars="0" w:right="7983" w:rightChars="0"/>
        <w:jc w:val="left"/>
        <w:rPr>
          <w:sz w:val="19"/>
        </w:rPr>
      </w:pPr>
      <w:r>
        <w:rPr>
          <w:spacing w:val="-5"/>
          <w:sz w:val="21"/>
        </w:rPr>
        <w:t>应加大保洁频次。</w:t>
      </w:r>
    </w:p>
    <w:p>
      <w:pPr>
        <w:pStyle w:val="12"/>
        <w:spacing w:line="501" w:lineRule="auto"/>
        <w:ind w:left="758" w:right="3149"/>
      </w:pPr>
      <w:r>
        <w:t>保洁人员应对绿化带和绿地等落叶难以清扫的区域及时进行全面清掏。落叶量大、车流量大的特级道路应增加落叶清理频次。</w:t>
      </w:r>
    </w:p>
    <w:p>
      <w:pPr>
        <w:pStyle w:val="12"/>
        <w:spacing w:line="499" w:lineRule="auto"/>
        <w:ind w:left="758" w:right="5252"/>
      </w:pPr>
      <w:r>
        <w:t>清扫落叶应随扫随装运，不应积存或焚烧落叶。落叶收集转运过程中不应遗撒。</w:t>
      </w:r>
    </w:p>
    <w:p>
      <w:pPr>
        <w:pStyle w:val="11"/>
        <w:numPr>
          <w:ilvl w:val="1"/>
          <w:numId w:val="61"/>
        </w:numPr>
        <w:tabs>
          <w:tab w:val="left" w:pos="1131"/>
        </w:tabs>
        <w:spacing w:before="0" w:after="0" w:line="240" w:lineRule="auto"/>
        <w:ind w:left="1130" w:right="0" w:hanging="371"/>
        <w:jc w:val="left"/>
      </w:pPr>
      <w:r>
        <w:t>道路作业要求</w:t>
      </w:r>
    </w:p>
    <w:p>
      <w:pPr>
        <w:pStyle w:val="12"/>
        <w:spacing w:before="11"/>
        <w:rPr>
          <w:b/>
          <w:sz w:val="18"/>
        </w:rPr>
      </w:pPr>
    </w:p>
    <w:p>
      <w:pPr>
        <w:pStyle w:val="22"/>
        <w:numPr>
          <w:ilvl w:val="0"/>
          <w:numId w:val="62"/>
        </w:numPr>
        <w:tabs>
          <w:tab w:val="left" w:pos="1288"/>
        </w:tabs>
        <w:spacing w:before="72" w:after="0" w:line="240" w:lineRule="auto"/>
        <w:ind w:left="1287" w:right="0" w:hanging="530"/>
        <w:jc w:val="left"/>
        <w:rPr>
          <w:sz w:val="21"/>
        </w:rPr>
      </w:pPr>
      <w:r>
        <w:rPr>
          <w:spacing w:val="-3"/>
          <w:sz w:val="21"/>
        </w:rPr>
        <w:t>保洁人员应对道路进行全面清扫，并进行不间断巡回保洁。</w:t>
      </w:r>
    </w:p>
    <w:p>
      <w:pPr>
        <w:pStyle w:val="12"/>
        <w:spacing w:before="8"/>
        <w:rPr>
          <w:sz w:val="22"/>
        </w:rPr>
      </w:pPr>
    </w:p>
    <w:p>
      <w:pPr>
        <w:pStyle w:val="22"/>
        <w:numPr>
          <w:ilvl w:val="0"/>
          <w:numId w:val="62"/>
        </w:numPr>
        <w:tabs>
          <w:tab w:val="left" w:pos="1288"/>
        </w:tabs>
        <w:spacing w:before="0" w:after="0" w:line="240" w:lineRule="auto"/>
        <w:ind w:left="1287" w:right="0" w:hanging="530"/>
        <w:jc w:val="left"/>
        <w:rPr>
          <w:sz w:val="21"/>
        </w:rPr>
      </w:pPr>
      <w:r>
        <w:rPr>
          <w:spacing w:val="-3"/>
          <w:sz w:val="21"/>
        </w:rPr>
        <w:t>普扫时，应按人行道路面、树穴及周边、车行道路面、下水井口的顺序进行全面清扫。</w:t>
      </w:r>
    </w:p>
    <w:p>
      <w:pPr>
        <w:pStyle w:val="12"/>
        <w:spacing w:before="11"/>
        <w:rPr>
          <w:sz w:val="22"/>
        </w:rPr>
      </w:pPr>
    </w:p>
    <w:p>
      <w:pPr>
        <w:pStyle w:val="22"/>
        <w:numPr>
          <w:ilvl w:val="0"/>
          <w:numId w:val="62"/>
        </w:numPr>
        <w:tabs>
          <w:tab w:val="left" w:pos="1288"/>
        </w:tabs>
        <w:spacing w:before="0" w:after="0" w:line="240" w:lineRule="auto"/>
        <w:ind w:left="1287" w:right="0" w:hanging="530"/>
        <w:jc w:val="left"/>
        <w:rPr>
          <w:sz w:val="21"/>
        </w:rPr>
      </w:pPr>
      <w:r>
        <w:rPr>
          <w:spacing w:val="-3"/>
          <w:sz w:val="21"/>
        </w:rPr>
        <w:t>清扫作业过程中不应将垃圾扫入下水井、绿化隔离带。</w:t>
      </w:r>
    </w:p>
    <w:p>
      <w:pPr>
        <w:pStyle w:val="12"/>
        <w:spacing w:before="8"/>
        <w:rPr>
          <w:sz w:val="22"/>
        </w:rPr>
      </w:pPr>
    </w:p>
    <w:p>
      <w:pPr>
        <w:pStyle w:val="22"/>
        <w:numPr>
          <w:ilvl w:val="0"/>
          <w:numId w:val="62"/>
        </w:numPr>
        <w:tabs>
          <w:tab w:val="left" w:pos="1288"/>
        </w:tabs>
        <w:spacing w:before="0" w:after="0" w:line="240" w:lineRule="auto"/>
        <w:ind w:left="1287" w:right="0" w:hanging="530"/>
        <w:jc w:val="left"/>
        <w:rPr>
          <w:sz w:val="21"/>
        </w:rPr>
      </w:pPr>
      <w:r>
        <w:rPr>
          <w:spacing w:val="-3"/>
          <w:sz w:val="21"/>
        </w:rPr>
        <w:t>清扫作业时需控制扬尘；清扫积水时不应使污水飞溅。</w:t>
      </w:r>
    </w:p>
    <w:p>
      <w:pPr>
        <w:pStyle w:val="12"/>
        <w:spacing w:before="8"/>
        <w:rPr>
          <w:sz w:val="22"/>
        </w:rPr>
      </w:pPr>
    </w:p>
    <w:p>
      <w:pPr>
        <w:pStyle w:val="22"/>
        <w:numPr>
          <w:ilvl w:val="0"/>
          <w:numId w:val="62"/>
        </w:numPr>
        <w:tabs>
          <w:tab w:val="left" w:pos="1288"/>
        </w:tabs>
        <w:spacing w:before="0" w:after="0" w:line="240" w:lineRule="auto"/>
        <w:ind w:left="1287" w:right="0" w:hanging="530"/>
        <w:jc w:val="left"/>
        <w:rPr>
          <w:sz w:val="21"/>
        </w:rPr>
      </w:pPr>
      <w:r>
        <w:rPr>
          <w:spacing w:val="-3"/>
          <w:sz w:val="21"/>
        </w:rPr>
        <w:t>巡回保洁时，应规避行人并及时清除路面垃圾。</w:t>
      </w:r>
    </w:p>
    <w:p>
      <w:pPr>
        <w:pStyle w:val="12"/>
        <w:spacing w:before="11"/>
        <w:rPr>
          <w:sz w:val="22"/>
        </w:rPr>
      </w:pPr>
    </w:p>
    <w:p>
      <w:pPr>
        <w:pStyle w:val="22"/>
        <w:numPr>
          <w:ilvl w:val="0"/>
          <w:numId w:val="62"/>
        </w:numPr>
        <w:tabs>
          <w:tab w:val="left" w:pos="1288"/>
        </w:tabs>
        <w:spacing w:before="0" w:after="0" w:line="240" w:lineRule="auto"/>
        <w:ind w:left="1287" w:right="0" w:hanging="530"/>
        <w:jc w:val="left"/>
        <w:rPr>
          <w:sz w:val="21"/>
        </w:rPr>
      </w:pPr>
      <w:r>
        <w:rPr>
          <w:spacing w:val="-3"/>
          <w:sz w:val="21"/>
        </w:rPr>
        <w:t>雨后或冲洗道路作业时，应先推水，后清扫；路面积尘及其他废弃物应及时清扫干净。</w:t>
      </w:r>
    </w:p>
    <w:p>
      <w:pPr>
        <w:pStyle w:val="12"/>
        <w:spacing w:before="8"/>
        <w:rPr>
          <w:sz w:val="22"/>
        </w:rPr>
      </w:pPr>
    </w:p>
    <w:p>
      <w:pPr>
        <w:pStyle w:val="22"/>
        <w:numPr>
          <w:ilvl w:val="0"/>
          <w:numId w:val="62"/>
        </w:numPr>
        <w:tabs>
          <w:tab w:val="left" w:pos="1288"/>
        </w:tabs>
        <w:spacing w:before="0" w:after="0" w:line="240" w:lineRule="auto"/>
        <w:ind w:left="1287" w:right="0" w:hanging="530"/>
        <w:jc w:val="left"/>
        <w:rPr>
          <w:sz w:val="21"/>
        </w:rPr>
      </w:pPr>
      <w:r>
        <w:rPr>
          <w:spacing w:val="-3"/>
          <w:sz w:val="21"/>
        </w:rPr>
        <w:t>除下雨、秋冬落叶天气和普扫作业时间段外，其余时间段保洁应采用小扫帚和拣拾的方式。</w:t>
      </w:r>
    </w:p>
    <w:p>
      <w:pPr>
        <w:pStyle w:val="12"/>
        <w:spacing w:before="9"/>
        <w:rPr>
          <w:sz w:val="22"/>
        </w:rPr>
      </w:pPr>
    </w:p>
    <w:p>
      <w:pPr>
        <w:pStyle w:val="22"/>
        <w:numPr>
          <w:ilvl w:val="0"/>
          <w:numId w:val="62"/>
        </w:numPr>
        <w:tabs>
          <w:tab w:val="left" w:pos="1288"/>
        </w:tabs>
        <w:spacing w:before="0" w:after="0" w:line="240" w:lineRule="auto"/>
        <w:ind w:left="1287" w:right="0" w:hanging="530"/>
        <w:jc w:val="left"/>
        <w:rPr>
          <w:sz w:val="21"/>
        </w:rPr>
      </w:pPr>
      <w:r>
        <w:rPr>
          <w:spacing w:val="-3"/>
          <w:sz w:val="21"/>
        </w:rPr>
        <w:t>清理油渍污染的地面，应先用洗涤剂刷洗后再用加压水清洗地面。</w:t>
      </w:r>
    </w:p>
    <w:p>
      <w:pPr>
        <w:pStyle w:val="12"/>
        <w:spacing w:before="10"/>
        <w:rPr>
          <w:sz w:val="22"/>
        </w:rPr>
      </w:pPr>
    </w:p>
    <w:p>
      <w:pPr>
        <w:pStyle w:val="22"/>
        <w:numPr>
          <w:ilvl w:val="0"/>
          <w:numId w:val="62"/>
        </w:numPr>
        <w:tabs>
          <w:tab w:val="left" w:pos="1288"/>
        </w:tabs>
        <w:spacing w:before="1" w:after="0" w:line="240" w:lineRule="auto"/>
        <w:ind w:left="1287" w:right="0" w:hanging="530"/>
        <w:jc w:val="left"/>
        <w:rPr>
          <w:sz w:val="21"/>
        </w:rPr>
      </w:pPr>
      <w:r>
        <w:rPr>
          <w:spacing w:val="-3"/>
          <w:sz w:val="21"/>
        </w:rPr>
        <w:t>清扫保洁作业工具及车辆应外观干净整洁，停放时应与道路呈平行方向。</w:t>
      </w:r>
    </w:p>
    <w:p>
      <w:pPr>
        <w:pStyle w:val="12"/>
        <w:spacing w:before="8"/>
        <w:rPr>
          <w:sz w:val="22"/>
        </w:rPr>
      </w:pPr>
    </w:p>
    <w:p>
      <w:pPr>
        <w:pStyle w:val="22"/>
        <w:numPr>
          <w:ilvl w:val="0"/>
          <w:numId w:val="62"/>
        </w:numPr>
        <w:tabs>
          <w:tab w:val="left" w:pos="1391"/>
        </w:tabs>
        <w:spacing w:before="0" w:after="0" w:line="240" w:lineRule="auto"/>
        <w:ind w:left="1390" w:right="0" w:hanging="633"/>
        <w:jc w:val="left"/>
        <w:rPr>
          <w:sz w:val="21"/>
        </w:rPr>
      </w:pPr>
      <w:r>
        <w:rPr>
          <w:spacing w:val="-12"/>
          <w:sz w:val="21"/>
        </w:rPr>
        <w:t>道路大面积污染需要集中清理时，及时向交警、行业主管部门反映，按规定设置安全警示标 志。</w:t>
      </w:r>
    </w:p>
    <w:p>
      <w:pPr>
        <w:pStyle w:val="12"/>
        <w:spacing w:before="8"/>
        <w:rPr>
          <w:sz w:val="22"/>
        </w:rPr>
      </w:pPr>
    </w:p>
    <w:p>
      <w:pPr>
        <w:pStyle w:val="22"/>
        <w:numPr>
          <w:ilvl w:val="0"/>
          <w:numId w:val="62"/>
        </w:numPr>
        <w:tabs>
          <w:tab w:val="left" w:pos="1391"/>
        </w:tabs>
        <w:spacing w:before="0" w:after="0" w:line="501" w:lineRule="auto"/>
        <w:ind w:left="337" w:right="119" w:firstLine="420"/>
        <w:jc w:val="left"/>
        <w:rPr>
          <w:sz w:val="21"/>
        </w:rPr>
      </w:pPr>
      <w:r>
        <w:rPr>
          <w:spacing w:val="-3"/>
          <w:sz w:val="21"/>
        </w:rPr>
        <w:t>对于停车泊位区域,在车位空闲时及时清扫,对于长时间停放车辆区域宜采用小型设备进行 清扫， 清扫时应避免扬尘和刮擦车辆。</w:t>
      </w:r>
    </w:p>
    <w:p>
      <w:pPr>
        <w:pStyle w:val="22"/>
        <w:numPr>
          <w:ilvl w:val="0"/>
          <w:numId w:val="62"/>
        </w:numPr>
        <w:tabs>
          <w:tab w:val="left" w:pos="1393"/>
        </w:tabs>
        <w:spacing w:before="0" w:after="0" w:line="265" w:lineRule="exact"/>
        <w:ind w:left="1392" w:right="0" w:hanging="635"/>
        <w:jc w:val="left"/>
        <w:rPr>
          <w:sz w:val="21"/>
        </w:rPr>
      </w:pPr>
      <w:r>
        <w:rPr>
          <w:spacing w:val="-3"/>
          <w:sz w:val="21"/>
        </w:rPr>
        <w:t>餐饮饭店、集贸市场、建筑工地及人流量较大区域周边道路宜适当增加清扫保洁作业频次。</w:t>
      </w:r>
    </w:p>
    <w:p>
      <w:pPr>
        <w:pStyle w:val="12"/>
        <w:spacing w:before="8"/>
        <w:rPr>
          <w:sz w:val="22"/>
        </w:rPr>
      </w:pPr>
    </w:p>
    <w:p>
      <w:pPr>
        <w:pStyle w:val="22"/>
        <w:numPr>
          <w:ilvl w:val="0"/>
          <w:numId w:val="62"/>
        </w:numPr>
        <w:tabs>
          <w:tab w:val="left" w:pos="1391"/>
        </w:tabs>
        <w:spacing w:before="0" w:after="0" w:line="501" w:lineRule="auto"/>
        <w:ind w:left="337" w:right="328" w:firstLine="420"/>
        <w:jc w:val="left"/>
        <w:rPr>
          <w:sz w:val="21"/>
        </w:rPr>
      </w:pPr>
      <w:r>
        <w:rPr>
          <w:spacing w:val="-2"/>
          <w:sz w:val="21"/>
        </w:rPr>
        <w:t>清扫后的垃圾靠边堆放，及时清运，垃圾应按可回收物和其他垃圾倒入相应的收集容器，不 应</w:t>
      </w:r>
      <w:r>
        <w:rPr>
          <w:spacing w:val="-3"/>
          <w:sz w:val="21"/>
        </w:rPr>
        <w:t>乱倒及焚烧垃圾。</w:t>
      </w:r>
    </w:p>
    <w:p>
      <w:pPr>
        <w:pStyle w:val="22"/>
        <w:numPr>
          <w:ilvl w:val="0"/>
          <w:numId w:val="62"/>
        </w:numPr>
        <w:tabs>
          <w:tab w:val="left" w:pos="1393"/>
        </w:tabs>
        <w:spacing w:before="0" w:after="0" w:line="266" w:lineRule="exact"/>
        <w:ind w:left="1392" w:right="0" w:hanging="635"/>
        <w:jc w:val="left"/>
        <w:rPr>
          <w:sz w:val="21"/>
        </w:rPr>
      </w:pPr>
      <w:r>
        <w:rPr>
          <w:spacing w:val="-3"/>
          <w:sz w:val="21"/>
        </w:rPr>
        <w:t>垃圾收运结束后垃圾桶应复位并盖好桶盖。</w:t>
      </w:r>
    </w:p>
    <w:p>
      <w:pPr>
        <w:pStyle w:val="12"/>
        <w:spacing w:before="9"/>
        <w:rPr>
          <w:sz w:val="22"/>
        </w:rPr>
      </w:pPr>
    </w:p>
    <w:p>
      <w:pPr>
        <w:pStyle w:val="11"/>
        <w:numPr>
          <w:ilvl w:val="1"/>
          <w:numId w:val="61"/>
        </w:numPr>
        <w:tabs>
          <w:tab w:val="left" w:pos="1131"/>
        </w:tabs>
        <w:spacing w:before="0" w:after="0" w:line="240" w:lineRule="auto"/>
        <w:ind w:left="1130" w:right="0" w:hanging="371"/>
        <w:jc w:val="left"/>
      </w:pPr>
      <w:r>
        <w:rPr>
          <w:spacing w:val="-1"/>
        </w:rPr>
        <w:t>人行天桥、人行地下通道作业要求</w:t>
      </w:r>
    </w:p>
    <w:p>
      <w:pPr>
        <w:pStyle w:val="12"/>
        <w:spacing w:before="10"/>
        <w:rPr>
          <w:b/>
          <w:sz w:val="22"/>
        </w:rPr>
      </w:pPr>
    </w:p>
    <w:p>
      <w:pPr>
        <w:pStyle w:val="22"/>
        <w:numPr>
          <w:ilvl w:val="0"/>
          <w:numId w:val="63"/>
        </w:numPr>
        <w:tabs>
          <w:tab w:val="left" w:pos="1288"/>
        </w:tabs>
        <w:spacing w:before="0" w:after="0" w:line="240" w:lineRule="auto"/>
        <w:ind w:left="1287" w:right="0" w:hanging="530"/>
        <w:jc w:val="left"/>
        <w:rPr>
          <w:sz w:val="21"/>
        </w:rPr>
      </w:pPr>
      <w:r>
        <w:rPr>
          <w:spacing w:val="-3"/>
          <w:sz w:val="21"/>
        </w:rPr>
        <w:t>人行天桥、人行地下通道阶梯、路面应进行全面清扫保洁。</w:t>
      </w:r>
    </w:p>
    <w:p>
      <w:pPr>
        <w:pStyle w:val="12"/>
        <w:spacing w:before="8"/>
        <w:rPr>
          <w:sz w:val="22"/>
        </w:rPr>
      </w:pPr>
    </w:p>
    <w:p>
      <w:pPr>
        <w:pStyle w:val="22"/>
        <w:numPr>
          <w:ilvl w:val="0"/>
          <w:numId w:val="63"/>
        </w:numPr>
        <w:tabs>
          <w:tab w:val="left" w:pos="1288"/>
        </w:tabs>
        <w:spacing w:before="1" w:after="0" w:line="240" w:lineRule="auto"/>
        <w:ind w:left="1287" w:right="0" w:hanging="530"/>
        <w:jc w:val="left"/>
        <w:rPr>
          <w:sz w:val="21"/>
        </w:rPr>
      </w:pPr>
      <w:r>
        <w:rPr>
          <w:spacing w:val="-3"/>
          <w:sz w:val="21"/>
        </w:rPr>
        <w:t>人行天桥、人行地下通道扶手、栏杆、灯饰等应及时擦拭，保持干净整洁。</w:t>
      </w:r>
    </w:p>
    <w:p>
      <w:pPr>
        <w:pStyle w:val="12"/>
        <w:spacing w:before="8"/>
        <w:rPr>
          <w:sz w:val="22"/>
        </w:rPr>
      </w:pPr>
    </w:p>
    <w:p>
      <w:pPr>
        <w:pStyle w:val="22"/>
        <w:numPr>
          <w:ilvl w:val="0"/>
          <w:numId w:val="63"/>
        </w:numPr>
        <w:tabs>
          <w:tab w:val="left" w:pos="1288"/>
        </w:tabs>
        <w:spacing w:before="0" w:after="0" w:line="240" w:lineRule="auto"/>
        <w:ind w:left="1287" w:right="0" w:hanging="530"/>
        <w:jc w:val="left"/>
        <w:rPr>
          <w:sz w:val="21"/>
        </w:rPr>
      </w:pPr>
      <w:r>
        <w:rPr>
          <w:spacing w:val="-3"/>
          <w:sz w:val="21"/>
        </w:rPr>
        <w:t>应及时用专业工具清洁两侧墙面乱贴、乱画。</w:t>
      </w:r>
    </w:p>
    <w:p>
      <w:pPr>
        <w:pStyle w:val="12"/>
        <w:spacing w:before="10"/>
        <w:rPr>
          <w:sz w:val="22"/>
        </w:rPr>
      </w:pPr>
    </w:p>
    <w:p>
      <w:pPr>
        <w:pStyle w:val="22"/>
        <w:numPr>
          <w:ilvl w:val="0"/>
          <w:numId w:val="63"/>
        </w:numPr>
        <w:tabs>
          <w:tab w:val="left" w:pos="1288"/>
        </w:tabs>
        <w:spacing w:before="1" w:after="0" w:line="240" w:lineRule="auto"/>
        <w:ind w:left="1287" w:right="0" w:hanging="530"/>
        <w:jc w:val="left"/>
        <w:rPr>
          <w:sz w:val="21"/>
        </w:rPr>
      </w:pPr>
      <w:r>
        <w:rPr>
          <w:spacing w:val="-4"/>
          <w:sz w:val="21"/>
        </w:rPr>
        <w:t xml:space="preserve">桥体、通道顶面 、内外立面用专用设备清洗，每月不少于 </w:t>
      </w:r>
      <w:r>
        <w:rPr>
          <w:sz w:val="21"/>
        </w:rPr>
        <w:t>1</w:t>
      </w:r>
      <w:r>
        <w:rPr>
          <w:spacing w:val="-3"/>
          <w:sz w:val="21"/>
        </w:rPr>
        <w:t xml:space="preserve"> 次；通道口、内外立面及护栏擦拭</w:t>
      </w:r>
    </w:p>
    <w:p>
      <w:pPr>
        <w:pStyle w:val="12"/>
        <w:spacing w:before="8"/>
        <w:rPr>
          <w:sz w:val="22"/>
        </w:rPr>
      </w:pPr>
    </w:p>
    <w:p>
      <w:pPr>
        <w:pStyle w:val="12"/>
        <w:ind w:left="337"/>
      </w:pPr>
      <w:r>
        <w:t>（洗），每日不少于 1 次。</w:t>
      </w:r>
    </w:p>
    <w:p>
      <w:pPr>
        <w:pStyle w:val="12"/>
        <w:spacing w:before="9"/>
        <w:rPr>
          <w:sz w:val="22"/>
        </w:rPr>
      </w:pPr>
    </w:p>
    <w:p>
      <w:pPr>
        <w:pStyle w:val="11"/>
        <w:numPr>
          <w:ilvl w:val="1"/>
          <w:numId w:val="61"/>
        </w:numPr>
        <w:tabs>
          <w:tab w:val="left" w:pos="1131"/>
        </w:tabs>
        <w:spacing w:before="0" w:after="0" w:line="240" w:lineRule="auto"/>
        <w:ind w:left="1130" w:right="0" w:hanging="371"/>
        <w:jc w:val="left"/>
      </w:pPr>
      <w:r>
        <w:t>绿地（绿化带）</w:t>
      </w:r>
      <w:r>
        <w:rPr>
          <w:spacing w:val="-2"/>
        </w:rPr>
        <w:t>作业要求</w:t>
      </w:r>
    </w:p>
    <w:p>
      <w:pPr>
        <w:pStyle w:val="12"/>
        <w:spacing w:before="10"/>
        <w:rPr>
          <w:b/>
          <w:sz w:val="22"/>
        </w:rPr>
      </w:pPr>
    </w:p>
    <w:p>
      <w:pPr>
        <w:pStyle w:val="22"/>
        <w:numPr>
          <w:ilvl w:val="0"/>
          <w:numId w:val="64"/>
        </w:numPr>
        <w:tabs>
          <w:tab w:val="left" w:pos="1288"/>
        </w:tabs>
        <w:spacing w:before="0" w:after="0" w:line="240" w:lineRule="auto"/>
        <w:ind w:left="1287" w:right="0" w:hanging="530"/>
        <w:jc w:val="left"/>
        <w:rPr>
          <w:sz w:val="21"/>
        </w:rPr>
      </w:pPr>
      <w:r>
        <w:rPr>
          <w:spacing w:val="-3"/>
          <w:sz w:val="21"/>
        </w:rPr>
        <w:t>应及时清理绿地（</w:t>
      </w:r>
      <w:r>
        <w:rPr>
          <w:spacing w:val="-2"/>
          <w:sz w:val="21"/>
        </w:rPr>
        <w:t>绿化带</w:t>
      </w:r>
      <w:r>
        <w:rPr>
          <w:spacing w:val="-3"/>
          <w:sz w:val="21"/>
        </w:rPr>
        <w:t>）内垃圾和枯枝落叶，保持干净整洁。</w:t>
      </w:r>
    </w:p>
    <w:p>
      <w:pPr>
        <w:pStyle w:val="12"/>
        <w:spacing w:before="11"/>
        <w:rPr>
          <w:sz w:val="18"/>
        </w:rPr>
      </w:pPr>
    </w:p>
    <w:p>
      <w:pPr>
        <w:pStyle w:val="22"/>
        <w:numPr>
          <w:ilvl w:val="0"/>
          <w:numId w:val="64"/>
        </w:numPr>
        <w:tabs>
          <w:tab w:val="left" w:pos="1288"/>
        </w:tabs>
        <w:spacing w:before="72" w:after="0" w:line="240" w:lineRule="auto"/>
        <w:ind w:left="1287" w:right="0" w:hanging="530"/>
        <w:jc w:val="left"/>
        <w:rPr>
          <w:sz w:val="21"/>
        </w:rPr>
      </w:pPr>
      <w:r>
        <w:rPr>
          <w:spacing w:val="-2"/>
          <w:sz w:val="21"/>
        </w:rPr>
        <w:t>绿地</w:t>
      </w:r>
      <w:r>
        <w:rPr>
          <w:sz w:val="21"/>
        </w:rPr>
        <w:t>（</w:t>
      </w:r>
      <w:r>
        <w:rPr>
          <w:spacing w:val="-3"/>
          <w:sz w:val="21"/>
        </w:rPr>
        <w:t>绿化带</w:t>
      </w:r>
      <w:r>
        <w:rPr>
          <w:sz w:val="21"/>
        </w:rPr>
        <w:t>）</w:t>
      </w:r>
      <w:r>
        <w:rPr>
          <w:spacing w:val="-3"/>
          <w:sz w:val="21"/>
        </w:rPr>
        <w:t>清理出的垃圾污物应及时清运。</w:t>
      </w:r>
    </w:p>
    <w:p>
      <w:pPr>
        <w:pStyle w:val="12"/>
        <w:spacing w:before="8"/>
        <w:rPr>
          <w:sz w:val="22"/>
        </w:rPr>
      </w:pPr>
    </w:p>
    <w:p>
      <w:pPr>
        <w:pStyle w:val="22"/>
        <w:numPr>
          <w:ilvl w:val="0"/>
          <w:numId w:val="64"/>
        </w:numPr>
        <w:tabs>
          <w:tab w:val="left" w:pos="1288"/>
        </w:tabs>
        <w:spacing w:before="0" w:after="0" w:line="240" w:lineRule="auto"/>
        <w:ind w:left="1287" w:right="0" w:hanging="530"/>
        <w:jc w:val="left"/>
        <w:rPr>
          <w:sz w:val="21"/>
        </w:rPr>
      </w:pPr>
      <w:r>
        <w:rPr>
          <w:spacing w:val="-3"/>
          <w:sz w:val="21"/>
        </w:rPr>
        <w:t>使用专业工具拣拾废弃物并放于随身携带的垃圾袋中，及时倒入垃圾分类收集设施。</w:t>
      </w:r>
    </w:p>
    <w:p>
      <w:pPr>
        <w:pStyle w:val="12"/>
        <w:spacing w:before="11"/>
        <w:rPr>
          <w:sz w:val="22"/>
        </w:rPr>
      </w:pPr>
    </w:p>
    <w:p>
      <w:pPr>
        <w:pStyle w:val="22"/>
        <w:numPr>
          <w:ilvl w:val="0"/>
          <w:numId w:val="64"/>
        </w:numPr>
        <w:tabs>
          <w:tab w:val="left" w:pos="1288"/>
        </w:tabs>
        <w:spacing w:before="0" w:after="0" w:line="240" w:lineRule="auto"/>
        <w:ind w:left="1287" w:right="0" w:hanging="530"/>
        <w:jc w:val="left"/>
        <w:rPr>
          <w:sz w:val="21"/>
        </w:rPr>
      </w:pPr>
      <w:r>
        <w:rPr>
          <w:spacing w:val="-3"/>
          <w:sz w:val="21"/>
        </w:rPr>
        <w:t>清扫作业时应控制扬尘，避免尘土、树叶二次污染路面，如有洒漏应及时清扫。</w:t>
      </w:r>
    </w:p>
    <w:p>
      <w:pPr>
        <w:pStyle w:val="12"/>
        <w:spacing w:before="8"/>
        <w:rPr>
          <w:sz w:val="22"/>
        </w:rPr>
      </w:pPr>
    </w:p>
    <w:p>
      <w:pPr>
        <w:pStyle w:val="11"/>
        <w:numPr>
          <w:ilvl w:val="1"/>
          <w:numId w:val="61"/>
        </w:numPr>
        <w:tabs>
          <w:tab w:val="left" w:pos="1131"/>
        </w:tabs>
        <w:spacing w:before="0" w:after="0" w:line="240" w:lineRule="auto"/>
        <w:ind w:left="1130" w:right="0" w:hanging="371"/>
        <w:jc w:val="left"/>
      </w:pPr>
      <w:r>
        <w:t>道路机械作业</w:t>
      </w:r>
    </w:p>
    <w:p>
      <w:pPr>
        <w:pStyle w:val="12"/>
        <w:spacing w:before="8"/>
        <w:rPr>
          <w:b/>
          <w:sz w:val="22"/>
        </w:rPr>
      </w:pPr>
    </w:p>
    <w:p>
      <w:pPr>
        <w:pStyle w:val="22"/>
        <w:numPr>
          <w:ilvl w:val="0"/>
          <w:numId w:val="65"/>
        </w:numPr>
        <w:tabs>
          <w:tab w:val="left" w:pos="1288"/>
        </w:tabs>
        <w:spacing w:before="0" w:after="0" w:line="240" w:lineRule="auto"/>
        <w:ind w:left="1287" w:right="0" w:hanging="530"/>
        <w:jc w:val="left"/>
        <w:rPr>
          <w:sz w:val="21"/>
        </w:rPr>
      </w:pPr>
      <w:r>
        <w:rPr>
          <w:spacing w:val="-2"/>
          <w:sz w:val="21"/>
        </w:rPr>
        <w:t>人员要求</w:t>
      </w:r>
    </w:p>
    <w:p>
      <w:pPr>
        <w:pStyle w:val="12"/>
        <w:spacing w:before="11"/>
        <w:rPr>
          <w:sz w:val="22"/>
        </w:rPr>
      </w:pPr>
    </w:p>
    <w:p>
      <w:pPr>
        <w:pStyle w:val="22"/>
        <w:numPr>
          <w:ilvl w:val="1"/>
          <w:numId w:val="66"/>
        </w:numPr>
        <w:tabs>
          <w:tab w:val="left" w:pos="1128"/>
        </w:tabs>
        <w:spacing w:before="0" w:after="0" w:line="240" w:lineRule="auto"/>
        <w:ind w:left="1127" w:right="0" w:hanging="370"/>
        <w:jc w:val="left"/>
        <w:rPr>
          <w:sz w:val="21"/>
        </w:rPr>
      </w:pPr>
      <w:r>
        <w:rPr>
          <w:spacing w:val="-3"/>
          <w:sz w:val="21"/>
        </w:rPr>
        <w:t>环卫车辆驾驶员应持和所操作的车辆相符的驾照。</w:t>
      </w:r>
    </w:p>
    <w:p>
      <w:pPr>
        <w:pStyle w:val="12"/>
        <w:spacing w:before="8"/>
        <w:rPr>
          <w:sz w:val="22"/>
        </w:rPr>
      </w:pPr>
    </w:p>
    <w:p>
      <w:pPr>
        <w:pStyle w:val="22"/>
        <w:numPr>
          <w:ilvl w:val="1"/>
          <w:numId w:val="66"/>
        </w:numPr>
        <w:tabs>
          <w:tab w:val="left" w:pos="1128"/>
        </w:tabs>
        <w:spacing w:before="0" w:after="0" w:line="240" w:lineRule="auto"/>
        <w:ind w:left="1127" w:right="0" w:hanging="370"/>
        <w:jc w:val="left"/>
        <w:rPr>
          <w:sz w:val="21"/>
        </w:rPr>
      </w:pPr>
      <w:r>
        <w:rPr>
          <w:spacing w:val="-3"/>
          <w:sz w:val="21"/>
        </w:rPr>
        <w:t>驾驶员应无不良驾驶记录，无重大交通事故。</w:t>
      </w:r>
    </w:p>
    <w:p>
      <w:pPr>
        <w:pStyle w:val="12"/>
        <w:spacing w:before="9"/>
        <w:rPr>
          <w:sz w:val="22"/>
        </w:rPr>
      </w:pPr>
    </w:p>
    <w:p>
      <w:pPr>
        <w:pStyle w:val="22"/>
        <w:numPr>
          <w:ilvl w:val="1"/>
          <w:numId w:val="66"/>
        </w:numPr>
        <w:tabs>
          <w:tab w:val="left" w:pos="1128"/>
        </w:tabs>
        <w:spacing w:before="0" w:after="0" w:line="240" w:lineRule="auto"/>
        <w:ind w:left="1127" w:right="0" w:hanging="370"/>
        <w:jc w:val="left"/>
        <w:rPr>
          <w:sz w:val="21"/>
        </w:rPr>
      </w:pPr>
      <w:r>
        <w:rPr>
          <w:spacing w:val="-3"/>
          <w:sz w:val="21"/>
        </w:rPr>
        <w:t>驾驶员应经过环卫部门及车辆生产厂家相关培训，考核合格后方能上岗。</w:t>
      </w:r>
    </w:p>
    <w:p>
      <w:pPr>
        <w:pStyle w:val="12"/>
        <w:spacing w:before="10"/>
        <w:rPr>
          <w:sz w:val="22"/>
        </w:rPr>
      </w:pPr>
    </w:p>
    <w:p>
      <w:pPr>
        <w:pStyle w:val="22"/>
        <w:numPr>
          <w:ilvl w:val="1"/>
          <w:numId w:val="66"/>
        </w:numPr>
        <w:tabs>
          <w:tab w:val="left" w:pos="1128"/>
        </w:tabs>
        <w:spacing w:before="1" w:after="0" w:line="499" w:lineRule="auto"/>
        <w:ind w:left="337" w:right="230" w:firstLine="420"/>
        <w:jc w:val="left"/>
        <w:rPr>
          <w:sz w:val="21"/>
        </w:rPr>
      </w:pPr>
      <w:r>
        <w:rPr>
          <w:spacing w:val="-3"/>
          <w:sz w:val="21"/>
        </w:rPr>
        <w:t>驾驶员应熟悉工作职责与工作质量要求，熟悉车辆的技术性能、专用装置的构造、日常运行维护、排除简单故障的方法及安全操作规程等。</w:t>
      </w:r>
    </w:p>
    <w:p>
      <w:pPr>
        <w:pStyle w:val="22"/>
        <w:numPr>
          <w:ilvl w:val="1"/>
          <w:numId w:val="66"/>
        </w:numPr>
        <w:tabs>
          <w:tab w:val="left" w:pos="1128"/>
        </w:tabs>
        <w:spacing w:before="0" w:after="0" w:line="268" w:lineRule="exact"/>
        <w:ind w:left="1127" w:right="0" w:hanging="370"/>
        <w:jc w:val="left"/>
        <w:rPr>
          <w:sz w:val="21"/>
        </w:rPr>
      </w:pPr>
      <w:r>
        <w:rPr>
          <w:spacing w:val="-3"/>
          <w:sz w:val="21"/>
        </w:rPr>
        <w:t>驾驶员应严格遵守道路交通法规，按照指定时间和路线作业，注意礼让行人。</w:t>
      </w:r>
    </w:p>
    <w:p>
      <w:pPr>
        <w:pStyle w:val="12"/>
        <w:spacing w:before="10"/>
        <w:rPr>
          <w:sz w:val="22"/>
        </w:rPr>
      </w:pPr>
    </w:p>
    <w:p>
      <w:pPr>
        <w:pStyle w:val="22"/>
        <w:numPr>
          <w:ilvl w:val="1"/>
          <w:numId w:val="66"/>
        </w:numPr>
        <w:tabs>
          <w:tab w:val="left" w:pos="1128"/>
        </w:tabs>
        <w:spacing w:before="0" w:after="0" w:line="240" w:lineRule="auto"/>
        <w:ind w:left="1127" w:right="0" w:hanging="370"/>
        <w:jc w:val="left"/>
        <w:rPr>
          <w:sz w:val="21"/>
        </w:rPr>
      </w:pPr>
      <w:r>
        <w:rPr>
          <w:spacing w:val="-3"/>
          <w:sz w:val="21"/>
        </w:rPr>
        <w:t>车辆出现异常情况时立即停止作业并及时上报。</w:t>
      </w:r>
    </w:p>
    <w:p>
      <w:pPr>
        <w:pStyle w:val="12"/>
        <w:spacing w:before="8"/>
        <w:rPr>
          <w:sz w:val="22"/>
        </w:rPr>
      </w:pPr>
    </w:p>
    <w:p>
      <w:pPr>
        <w:pStyle w:val="22"/>
        <w:numPr>
          <w:ilvl w:val="1"/>
          <w:numId w:val="66"/>
        </w:numPr>
        <w:tabs>
          <w:tab w:val="left" w:pos="1128"/>
        </w:tabs>
        <w:spacing w:before="1" w:after="0" w:line="240" w:lineRule="auto"/>
        <w:ind w:left="1127" w:right="0" w:hanging="370"/>
        <w:jc w:val="left"/>
        <w:rPr>
          <w:sz w:val="21"/>
        </w:rPr>
      </w:pPr>
      <w:r>
        <w:rPr>
          <w:spacing w:val="-3"/>
          <w:sz w:val="21"/>
        </w:rPr>
        <w:t>驾驶员作业时应统一着装并佩戴工作牌，夜间作业时应着夜光标志服或反光背心。</w:t>
      </w:r>
    </w:p>
    <w:p>
      <w:pPr>
        <w:pStyle w:val="12"/>
        <w:spacing w:before="8"/>
        <w:rPr>
          <w:sz w:val="22"/>
        </w:rPr>
      </w:pPr>
    </w:p>
    <w:p>
      <w:pPr>
        <w:pStyle w:val="22"/>
        <w:numPr>
          <w:ilvl w:val="1"/>
          <w:numId w:val="66"/>
        </w:numPr>
        <w:tabs>
          <w:tab w:val="left" w:pos="1128"/>
        </w:tabs>
        <w:spacing w:before="0" w:after="0" w:line="240" w:lineRule="auto"/>
        <w:ind w:left="1127" w:right="0" w:hanging="370"/>
        <w:jc w:val="left"/>
        <w:rPr>
          <w:sz w:val="21"/>
        </w:rPr>
      </w:pPr>
      <w:r>
        <w:rPr>
          <w:spacing w:val="-3"/>
          <w:sz w:val="21"/>
        </w:rPr>
        <w:t>在加水和作业过程中不应随意浪费水资源。</w:t>
      </w:r>
    </w:p>
    <w:p>
      <w:pPr>
        <w:pStyle w:val="12"/>
        <w:spacing w:before="8"/>
        <w:rPr>
          <w:sz w:val="22"/>
        </w:rPr>
      </w:pPr>
    </w:p>
    <w:p>
      <w:pPr>
        <w:pStyle w:val="22"/>
        <w:numPr>
          <w:ilvl w:val="0"/>
          <w:numId w:val="65"/>
        </w:numPr>
        <w:tabs>
          <w:tab w:val="left" w:pos="1288"/>
        </w:tabs>
        <w:spacing w:before="0" w:after="0" w:line="240" w:lineRule="auto"/>
        <w:ind w:left="1287" w:right="0" w:hanging="530"/>
        <w:jc w:val="left"/>
        <w:rPr>
          <w:sz w:val="21"/>
        </w:rPr>
      </w:pPr>
      <w:r>
        <w:rPr>
          <w:spacing w:val="-2"/>
          <w:sz w:val="21"/>
        </w:rPr>
        <w:t>车辆要求</w:t>
      </w:r>
    </w:p>
    <w:p>
      <w:pPr>
        <w:pStyle w:val="12"/>
        <w:spacing w:before="8"/>
        <w:rPr>
          <w:sz w:val="22"/>
        </w:rPr>
      </w:pPr>
    </w:p>
    <w:p>
      <w:pPr>
        <w:pStyle w:val="22"/>
        <w:numPr>
          <w:ilvl w:val="1"/>
          <w:numId w:val="67"/>
        </w:numPr>
        <w:tabs>
          <w:tab w:val="left" w:pos="1128"/>
        </w:tabs>
        <w:spacing w:before="0" w:after="0" w:line="240" w:lineRule="auto"/>
        <w:ind w:left="1127" w:right="0" w:hanging="370"/>
        <w:jc w:val="left"/>
        <w:rPr>
          <w:sz w:val="21"/>
        </w:rPr>
      </w:pPr>
      <w:r>
        <w:rPr>
          <w:spacing w:val="-3"/>
          <w:sz w:val="21"/>
        </w:rPr>
        <w:t xml:space="preserve">车辆应符合 </w:t>
      </w:r>
      <w:r>
        <w:rPr>
          <w:sz w:val="21"/>
        </w:rPr>
        <w:t>GB7258</w:t>
      </w:r>
      <w:r>
        <w:rPr>
          <w:spacing w:val="-3"/>
          <w:sz w:val="21"/>
        </w:rPr>
        <w:t>《机动车运行安全技术条件》的要求。</w:t>
      </w:r>
    </w:p>
    <w:p>
      <w:pPr>
        <w:pStyle w:val="12"/>
        <w:spacing w:before="11"/>
        <w:rPr>
          <w:sz w:val="22"/>
        </w:rPr>
      </w:pPr>
    </w:p>
    <w:p>
      <w:pPr>
        <w:pStyle w:val="22"/>
        <w:numPr>
          <w:ilvl w:val="1"/>
          <w:numId w:val="67"/>
        </w:numPr>
        <w:tabs>
          <w:tab w:val="left" w:pos="1128"/>
        </w:tabs>
        <w:spacing w:before="0" w:after="0" w:line="240" w:lineRule="auto"/>
        <w:ind w:left="1127" w:right="0" w:hanging="370"/>
        <w:jc w:val="left"/>
        <w:rPr>
          <w:sz w:val="21"/>
        </w:rPr>
      </w:pPr>
      <w:r>
        <w:rPr>
          <w:spacing w:val="-3"/>
          <w:sz w:val="21"/>
        </w:rPr>
        <w:t>车辆应统一标识、标号，按规定加装定位设备。</w:t>
      </w:r>
    </w:p>
    <w:p>
      <w:pPr>
        <w:pStyle w:val="12"/>
        <w:spacing w:before="8"/>
        <w:rPr>
          <w:sz w:val="22"/>
        </w:rPr>
      </w:pPr>
    </w:p>
    <w:p>
      <w:pPr>
        <w:pStyle w:val="22"/>
        <w:numPr>
          <w:ilvl w:val="1"/>
          <w:numId w:val="67"/>
        </w:numPr>
        <w:tabs>
          <w:tab w:val="left" w:pos="1128"/>
        </w:tabs>
        <w:spacing w:before="0" w:after="0" w:line="240" w:lineRule="auto"/>
        <w:ind w:left="1127" w:right="0" w:hanging="370"/>
        <w:jc w:val="left"/>
        <w:rPr>
          <w:sz w:val="21"/>
        </w:rPr>
      </w:pPr>
      <w:r>
        <w:rPr>
          <w:spacing w:val="-3"/>
          <w:sz w:val="21"/>
        </w:rPr>
        <w:t>车辆应加装有效的警示装置及具有反光功能的警示标识。</w:t>
      </w:r>
    </w:p>
    <w:p>
      <w:pPr>
        <w:pStyle w:val="12"/>
        <w:spacing w:before="8"/>
        <w:rPr>
          <w:sz w:val="22"/>
        </w:rPr>
      </w:pPr>
    </w:p>
    <w:p>
      <w:pPr>
        <w:pStyle w:val="22"/>
        <w:numPr>
          <w:ilvl w:val="1"/>
          <w:numId w:val="67"/>
        </w:numPr>
        <w:tabs>
          <w:tab w:val="left" w:pos="1128"/>
        </w:tabs>
        <w:spacing w:before="1" w:after="0" w:line="240" w:lineRule="auto"/>
        <w:ind w:left="1127" w:right="0" w:hanging="370"/>
        <w:jc w:val="left"/>
        <w:rPr>
          <w:sz w:val="21"/>
        </w:rPr>
      </w:pPr>
      <w:r>
        <w:rPr>
          <w:spacing w:val="-3"/>
          <w:sz w:val="21"/>
        </w:rPr>
        <w:t>应定期进行检修保养，及时更换扫刷等，保持车辆工况良好。</w:t>
      </w:r>
    </w:p>
    <w:p>
      <w:pPr>
        <w:pStyle w:val="12"/>
        <w:spacing w:before="10"/>
        <w:rPr>
          <w:sz w:val="22"/>
        </w:rPr>
      </w:pPr>
    </w:p>
    <w:p>
      <w:pPr>
        <w:pStyle w:val="22"/>
        <w:numPr>
          <w:ilvl w:val="1"/>
          <w:numId w:val="67"/>
        </w:numPr>
        <w:tabs>
          <w:tab w:val="left" w:pos="1128"/>
        </w:tabs>
        <w:spacing w:before="0" w:after="0" w:line="240" w:lineRule="auto"/>
        <w:ind w:left="1127" w:right="0" w:hanging="370"/>
        <w:jc w:val="left"/>
        <w:rPr>
          <w:sz w:val="21"/>
        </w:rPr>
      </w:pPr>
      <w:r>
        <w:rPr>
          <w:spacing w:val="-3"/>
          <w:sz w:val="21"/>
        </w:rPr>
        <w:t>建立车辆维修保养档案，按国家政策和审验标准进行年审。</w:t>
      </w:r>
    </w:p>
    <w:p>
      <w:pPr>
        <w:pStyle w:val="12"/>
        <w:spacing w:before="9"/>
        <w:rPr>
          <w:sz w:val="22"/>
        </w:rPr>
      </w:pPr>
    </w:p>
    <w:p>
      <w:pPr>
        <w:pStyle w:val="22"/>
        <w:numPr>
          <w:ilvl w:val="1"/>
          <w:numId w:val="67"/>
        </w:numPr>
        <w:tabs>
          <w:tab w:val="left" w:pos="1128"/>
        </w:tabs>
        <w:spacing w:before="0" w:after="0" w:line="240" w:lineRule="auto"/>
        <w:ind w:left="1127" w:right="0" w:hanging="370"/>
        <w:jc w:val="left"/>
        <w:rPr>
          <w:sz w:val="21"/>
        </w:rPr>
      </w:pPr>
      <w:r>
        <w:rPr>
          <w:spacing w:val="-3"/>
          <w:sz w:val="21"/>
        </w:rPr>
        <w:t>应到指定地点加水，优先采用中水等再生水资源。</w:t>
      </w:r>
    </w:p>
    <w:p>
      <w:pPr>
        <w:pStyle w:val="12"/>
        <w:spacing w:before="8"/>
        <w:rPr>
          <w:sz w:val="22"/>
        </w:rPr>
      </w:pPr>
    </w:p>
    <w:p>
      <w:pPr>
        <w:pStyle w:val="22"/>
        <w:numPr>
          <w:ilvl w:val="1"/>
          <w:numId w:val="67"/>
        </w:numPr>
        <w:tabs>
          <w:tab w:val="left" w:pos="1128"/>
        </w:tabs>
        <w:spacing w:before="0" w:after="0" w:line="501" w:lineRule="auto"/>
        <w:ind w:left="337" w:right="331" w:firstLine="420"/>
        <w:jc w:val="left"/>
        <w:rPr>
          <w:sz w:val="21"/>
        </w:rPr>
      </w:pPr>
      <w:r>
        <w:rPr>
          <w:spacing w:val="-20"/>
          <w:sz w:val="21"/>
        </w:rPr>
        <w:t xml:space="preserve">作业中应开启警示灯、示宽灯，播放提示音，提醒行人和车辆及时避让，每日 </w:t>
      </w:r>
      <w:r>
        <w:rPr>
          <w:sz w:val="21"/>
        </w:rPr>
        <w:t>22:00</w:t>
      </w:r>
      <w:r>
        <w:rPr>
          <w:spacing w:val="2"/>
          <w:sz w:val="21"/>
        </w:rPr>
        <w:t xml:space="preserve"> 至次日早 </w:t>
      </w:r>
      <w:r>
        <w:rPr>
          <w:sz w:val="21"/>
        </w:rPr>
        <w:t xml:space="preserve">6:30 </w:t>
      </w:r>
      <w:r>
        <w:rPr>
          <w:spacing w:val="-3"/>
          <w:sz w:val="21"/>
        </w:rPr>
        <w:t>作业时应关闭提示音。</w:t>
      </w:r>
    </w:p>
    <w:p>
      <w:pPr>
        <w:pStyle w:val="22"/>
        <w:numPr>
          <w:ilvl w:val="1"/>
          <w:numId w:val="67"/>
        </w:numPr>
        <w:tabs>
          <w:tab w:val="left" w:pos="1128"/>
        </w:tabs>
        <w:spacing w:before="72" w:after="0" w:line="240" w:lineRule="auto"/>
        <w:ind w:left="1127" w:right="0" w:hanging="370"/>
        <w:jc w:val="left"/>
        <w:rPr>
          <w:sz w:val="21"/>
        </w:rPr>
      </w:pPr>
      <w:r>
        <w:rPr>
          <w:spacing w:val="-3"/>
          <w:sz w:val="21"/>
        </w:rPr>
        <w:t>作业结束后应到指定地点倾倒污水、废弃物，并清洗废物箱和车体，保持干净整洁。</w:t>
      </w:r>
    </w:p>
    <w:p>
      <w:pPr>
        <w:pStyle w:val="12"/>
        <w:spacing w:before="8"/>
        <w:rPr>
          <w:sz w:val="22"/>
        </w:rPr>
      </w:pPr>
    </w:p>
    <w:p>
      <w:pPr>
        <w:pStyle w:val="22"/>
        <w:numPr>
          <w:ilvl w:val="1"/>
          <w:numId w:val="67"/>
        </w:numPr>
        <w:tabs>
          <w:tab w:val="left" w:pos="1128"/>
        </w:tabs>
        <w:spacing w:before="0" w:after="0" w:line="240" w:lineRule="auto"/>
        <w:ind w:left="1127" w:right="0" w:hanging="370"/>
        <w:jc w:val="left"/>
        <w:rPr>
          <w:sz w:val="21"/>
        </w:rPr>
      </w:pPr>
      <w:r>
        <w:rPr>
          <w:spacing w:val="-3"/>
          <w:sz w:val="21"/>
        </w:rPr>
        <w:t>作业结束后应将车辆停放至指定场所，不应停放在消防通道、盲道等特殊区域。</w:t>
      </w:r>
    </w:p>
    <w:p>
      <w:pPr>
        <w:pStyle w:val="12"/>
        <w:spacing w:before="11"/>
        <w:rPr>
          <w:sz w:val="22"/>
        </w:rPr>
      </w:pPr>
    </w:p>
    <w:p>
      <w:pPr>
        <w:pStyle w:val="22"/>
        <w:numPr>
          <w:ilvl w:val="1"/>
          <w:numId w:val="67"/>
        </w:numPr>
        <w:tabs>
          <w:tab w:val="left" w:pos="1231"/>
        </w:tabs>
        <w:spacing w:before="0" w:after="0" w:line="240" w:lineRule="auto"/>
        <w:ind w:left="1230" w:right="0" w:hanging="473"/>
        <w:jc w:val="left"/>
        <w:rPr>
          <w:sz w:val="21"/>
        </w:rPr>
      </w:pPr>
      <w:r>
        <w:rPr>
          <w:spacing w:val="-2"/>
          <w:sz w:val="21"/>
        </w:rPr>
        <w:t xml:space="preserve">气温在 </w:t>
      </w:r>
      <w:r>
        <w:rPr>
          <w:sz w:val="21"/>
        </w:rPr>
        <w:t>3</w:t>
      </w:r>
      <w:r>
        <w:rPr>
          <w:spacing w:val="-3"/>
          <w:sz w:val="21"/>
        </w:rPr>
        <w:t>℃及以下时车辆不应进行洒水、冲洗作业。</w:t>
      </w:r>
    </w:p>
    <w:p>
      <w:pPr>
        <w:pStyle w:val="12"/>
        <w:spacing w:before="8"/>
        <w:rPr>
          <w:sz w:val="22"/>
        </w:rPr>
      </w:pPr>
    </w:p>
    <w:p>
      <w:pPr>
        <w:pStyle w:val="22"/>
        <w:numPr>
          <w:ilvl w:val="0"/>
          <w:numId w:val="65"/>
        </w:numPr>
        <w:tabs>
          <w:tab w:val="left" w:pos="1390"/>
        </w:tabs>
        <w:spacing w:before="0" w:after="0" w:line="240" w:lineRule="auto"/>
        <w:ind w:left="1389" w:right="0" w:hanging="632"/>
        <w:jc w:val="left"/>
        <w:rPr>
          <w:sz w:val="21"/>
        </w:rPr>
      </w:pPr>
      <w:r>
        <w:rPr>
          <w:spacing w:val="-3"/>
          <w:sz w:val="21"/>
        </w:rPr>
        <w:t>作业时间及频次</w:t>
      </w:r>
    </w:p>
    <w:p>
      <w:pPr>
        <w:pStyle w:val="12"/>
        <w:spacing w:before="8"/>
        <w:rPr>
          <w:sz w:val="22"/>
        </w:rPr>
      </w:pPr>
    </w:p>
    <w:p>
      <w:pPr>
        <w:pStyle w:val="22"/>
        <w:numPr>
          <w:ilvl w:val="1"/>
          <w:numId w:val="68"/>
        </w:numPr>
        <w:tabs>
          <w:tab w:val="left" w:pos="1181"/>
        </w:tabs>
        <w:spacing w:before="0" w:after="0" w:line="240" w:lineRule="auto"/>
        <w:ind w:left="1180" w:right="0" w:hanging="423"/>
        <w:jc w:val="left"/>
        <w:rPr>
          <w:sz w:val="21"/>
        </w:rPr>
      </w:pPr>
      <w:r>
        <w:rPr>
          <w:spacing w:val="-3"/>
          <w:sz w:val="21"/>
        </w:rPr>
        <w:t xml:space="preserve">春夏秋季应在每日 </w:t>
      </w:r>
      <w:r>
        <w:rPr>
          <w:rFonts w:hint="eastAsia"/>
          <w:spacing w:val="-3"/>
          <w:sz w:val="21"/>
          <w:lang w:val="en-US" w:eastAsia="zh-CN"/>
        </w:rPr>
        <w:t>8</w:t>
      </w:r>
      <w:r>
        <w:rPr>
          <w:sz w:val="21"/>
        </w:rPr>
        <w:t>:</w:t>
      </w:r>
      <w:r>
        <w:rPr>
          <w:rFonts w:hint="eastAsia"/>
          <w:sz w:val="21"/>
          <w:lang w:val="en-US" w:eastAsia="zh-CN"/>
        </w:rPr>
        <w:t>0</w:t>
      </w:r>
      <w:r>
        <w:rPr>
          <w:sz w:val="21"/>
        </w:rPr>
        <w:t>0</w:t>
      </w:r>
      <w:r>
        <w:rPr>
          <w:spacing w:val="-3"/>
          <w:sz w:val="21"/>
        </w:rPr>
        <w:t xml:space="preserve"> 点前完成第一次清扫作业，冬季应在每日 </w:t>
      </w:r>
      <w:r>
        <w:rPr>
          <w:rFonts w:hint="eastAsia"/>
          <w:spacing w:val="-3"/>
          <w:sz w:val="21"/>
          <w:lang w:val="en-US" w:eastAsia="zh-CN"/>
        </w:rPr>
        <w:t>9</w:t>
      </w:r>
      <w:r>
        <w:rPr>
          <w:sz w:val="21"/>
        </w:rPr>
        <w:t>:</w:t>
      </w:r>
      <w:r>
        <w:rPr>
          <w:rFonts w:hint="eastAsia"/>
          <w:sz w:val="21"/>
          <w:lang w:val="en-US" w:eastAsia="zh-CN"/>
        </w:rPr>
        <w:t>0</w:t>
      </w:r>
      <w:r>
        <w:rPr>
          <w:sz w:val="21"/>
        </w:rPr>
        <w:t>0</w:t>
      </w:r>
      <w:r>
        <w:rPr>
          <w:spacing w:val="-3"/>
          <w:sz w:val="21"/>
        </w:rPr>
        <w:t xml:space="preserve"> 前完成第一次清扫。</w:t>
      </w:r>
    </w:p>
    <w:p>
      <w:pPr>
        <w:pStyle w:val="12"/>
        <w:spacing w:before="11"/>
        <w:rPr>
          <w:sz w:val="22"/>
        </w:rPr>
      </w:pPr>
    </w:p>
    <w:p>
      <w:pPr>
        <w:pStyle w:val="22"/>
        <w:numPr>
          <w:ilvl w:val="1"/>
          <w:numId w:val="68"/>
        </w:numPr>
        <w:tabs>
          <w:tab w:val="left" w:pos="1181"/>
        </w:tabs>
        <w:spacing w:before="0" w:after="0" w:line="240" w:lineRule="auto"/>
        <w:ind w:left="1180" w:right="0" w:hanging="423"/>
        <w:jc w:val="left"/>
        <w:rPr>
          <w:sz w:val="21"/>
        </w:rPr>
      </w:pPr>
      <w:r>
        <w:rPr>
          <w:spacing w:val="-3"/>
          <w:sz w:val="21"/>
        </w:rPr>
        <w:t>全天保洁作业时间应避开早晚人行车流高峰时段。</w:t>
      </w:r>
    </w:p>
    <w:p>
      <w:pPr>
        <w:pStyle w:val="12"/>
        <w:spacing w:before="8"/>
        <w:rPr>
          <w:sz w:val="22"/>
        </w:rPr>
      </w:pPr>
    </w:p>
    <w:p>
      <w:pPr>
        <w:pStyle w:val="22"/>
        <w:numPr>
          <w:ilvl w:val="1"/>
          <w:numId w:val="68"/>
        </w:numPr>
        <w:tabs>
          <w:tab w:val="left" w:pos="1181"/>
          <w:tab w:val="left" w:pos="8323"/>
        </w:tabs>
        <w:spacing w:before="2" w:after="0" w:line="499" w:lineRule="auto"/>
        <w:ind w:left="337" w:right="417" w:firstLine="420"/>
        <w:jc w:val="left"/>
        <w:rPr>
          <w:sz w:val="21"/>
        </w:rPr>
      </w:pPr>
      <w:r>
        <w:rPr>
          <w:spacing w:val="-3"/>
          <w:sz w:val="21"/>
        </w:rPr>
        <w:t>清</w:t>
      </w:r>
      <w:r>
        <w:rPr>
          <w:sz w:val="21"/>
        </w:rPr>
        <w:t>扫</w:t>
      </w:r>
      <w:r>
        <w:rPr>
          <w:spacing w:val="-3"/>
          <w:sz w:val="21"/>
        </w:rPr>
        <w:t>作</w:t>
      </w:r>
      <w:r>
        <w:rPr>
          <w:sz w:val="21"/>
        </w:rPr>
        <w:t>业</w:t>
      </w:r>
      <w:r>
        <w:rPr>
          <w:spacing w:val="-3"/>
          <w:sz w:val="21"/>
        </w:rPr>
        <w:t>频</w:t>
      </w:r>
      <w:r>
        <w:rPr>
          <w:sz w:val="21"/>
        </w:rPr>
        <w:t>次</w:t>
      </w:r>
      <w:r>
        <w:rPr>
          <w:spacing w:val="-3"/>
          <w:sz w:val="21"/>
        </w:rPr>
        <w:t>应</w:t>
      </w:r>
      <w:r>
        <w:rPr>
          <w:sz w:val="21"/>
        </w:rPr>
        <w:t>根</w:t>
      </w:r>
      <w:r>
        <w:rPr>
          <w:spacing w:val="-3"/>
          <w:sz w:val="21"/>
        </w:rPr>
        <w:t>据</w:t>
      </w:r>
      <w:r>
        <w:rPr>
          <w:sz w:val="21"/>
        </w:rPr>
        <w:t>路面</w:t>
      </w:r>
      <w:r>
        <w:rPr>
          <w:spacing w:val="-3"/>
          <w:sz w:val="21"/>
        </w:rPr>
        <w:t>积</w:t>
      </w:r>
      <w:r>
        <w:rPr>
          <w:sz w:val="21"/>
        </w:rPr>
        <w:t>尘</w:t>
      </w:r>
      <w:r>
        <w:rPr>
          <w:spacing w:val="-3"/>
          <w:sz w:val="21"/>
        </w:rPr>
        <w:t>情</w:t>
      </w:r>
      <w:r>
        <w:rPr>
          <w:sz w:val="21"/>
        </w:rPr>
        <w:t>况</w:t>
      </w:r>
      <w:r>
        <w:rPr>
          <w:spacing w:val="-3"/>
          <w:sz w:val="21"/>
        </w:rPr>
        <w:t>确</w:t>
      </w:r>
      <w:r>
        <w:rPr>
          <w:sz w:val="21"/>
        </w:rPr>
        <w:t>定道</w:t>
      </w:r>
      <w:r>
        <w:rPr>
          <w:spacing w:val="-3"/>
          <w:sz w:val="21"/>
        </w:rPr>
        <w:t>路</w:t>
      </w:r>
      <w:r>
        <w:rPr>
          <w:sz w:val="21"/>
        </w:rPr>
        <w:t>每</w:t>
      </w:r>
      <w:r>
        <w:rPr>
          <w:spacing w:val="-3"/>
          <w:sz w:val="21"/>
        </w:rPr>
        <w:t>日</w:t>
      </w:r>
      <w:r>
        <w:rPr>
          <w:sz w:val="21"/>
        </w:rPr>
        <w:t>清</w:t>
      </w:r>
      <w:r>
        <w:rPr>
          <w:spacing w:val="-3"/>
          <w:sz w:val="21"/>
        </w:rPr>
        <w:t>扫</w:t>
      </w:r>
      <w:r>
        <w:rPr>
          <w:sz w:val="21"/>
        </w:rPr>
        <w:t>不</w:t>
      </w:r>
      <w:r>
        <w:rPr>
          <w:spacing w:val="-3"/>
          <w:sz w:val="21"/>
        </w:rPr>
        <w:t>少</w:t>
      </w:r>
      <w:r>
        <w:rPr>
          <w:sz w:val="21"/>
        </w:rPr>
        <w:t>于2次</w:t>
      </w:r>
      <w:r>
        <w:rPr>
          <w:spacing w:val="-3"/>
          <w:sz w:val="21"/>
        </w:rPr>
        <w:t>，</w:t>
      </w:r>
      <w:r>
        <w:rPr>
          <w:spacing w:val="-15"/>
          <w:sz w:val="21"/>
        </w:rPr>
        <w:t>道</w:t>
      </w:r>
      <w:r>
        <w:rPr>
          <w:sz w:val="21"/>
        </w:rPr>
        <w:t>路每</w:t>
      </w:r>
      <w:r>
        <w:rPr>
          <w:spacing w:val="-3"/>
          <w:sz w:val="21"/>
        </w:rPr>
        <w:t>日</w:t>
      </w:r>
      <w:r>
        <w:rPr>
          <w:sz w:val="21"/>
        </w:rPr>
        <w:t>清</w:t>
      </w:r>
      <w:r>
        <w:rPr>
          <w:spacing w:val="-3"/>
          <w:sz w:val="21"/>
        </w:rPr>
        <w:t>扫</w:t>
      </w:r>
      <w:r>
        <w:rPr>
          <w:sz w:val="21"/>
        </w:rPr>
        <w:t>不</w:t>
      </w:r>
      <w:r>
        <w:rPr>
          <w:spacing w:val="-3"/>
          <w:sz w:val="21"/>
        </w:rPr>
        <w:t>少</w:t>
      </w:r>
      <w:r>
        <w:rPr>
          <w:sz w:val="21"/>
        </w:rPr>
        <w:t>于</w:t>
      </w:r>
      <w:r>
        <w:rPr>
          <w:spacing w:val="1"/>
          <w:sz w:val="21"/>
        </w:rPr>
        <w:t xml:space="preserve"> </w:t>
      </w:r>
      <w:r>
        <w:rPr>
          <w:sz w:val="21"/>
        </w:rPr>
        <w:t>1</w:t>
      </w:r>
      <w:r>
        <w:rPr>
          <w:spacing w:val="-1"/>
          <w:sz w:val="21"/>
        </w:rPr>
        <w:t xml:space="preserve"> </w:t>
      </w:r>
      <w:r>
        <w:rPr>
          <w:spacing w:val="-3"/>
          <w:sz w:val="21"/>
        </w:rPr>
        <w:t>次，</w:t>
      </w:r>
      <w:r>
        <w:rPr>
          <w:sz w:val="21"/>
        </w:rPr>
        <w:t>采用</w:t>
      </w:r>
      <w:r>
        <w:rPr>
          <w:spacing w:val="-3"/>
          <w:sz w:val="21"/>
        </w:rPr>
        <w:t>小</w:t>
      </w:r>
      <w:r>
        <w:rPr>
          <w:sz w:val="21"/>
        </w:rPr>
        <w:t>型</w:t>
      </w:r>
      <w:r>
        <w:rPr>
          <w:spacing w:val="-3"/>
          <w:sz w:val="21"/>
        </w:rPr>
        <w:t>清</w:t>
      </w:r>
      <w:r>
        <w:rPr>
          <w:sz w:val="21"/>
        </w:rPr>
        <w:t>扫</w:t>
      </w:r>
      <w:r>
        <w:rPr>
          <w:spacing w:val="-3"/>
          <w:sz w:val="21"/>
        </w:rPr>
        <w:t>车</w:t>
      </w:r>
      <w:r>
        <w:rPr>
          <w:sz w:val="21"/>
        </w:rPr>
        <w:t>的</w:t>
      </w:r>
      <w:r>
        <w:rPr>
          <w:spacing w:val="-3"/>
          <w:sz w:val="21"/>
        </w:rPr>
        <w:t>人</w:t>
      </w:r>
      <w:r>
        <w:rPr>
          <w:sz w:val="21"/>
        </w:rPr>
        <w:t>行</w:t>
      </w:r>
      <w:r>
        <w:rPr>
          <w:spacing w:val="-3"/>
          <w:sz w:val="21"/>
        </w:rPr>
        <w:t>道</w:t>
      </w:r>
      <w:r>
        <w:rPr>
          <w:sz w:val="21"/>
        </w:rPr>
        <w:t>每日</w:t>
      </w:r>
      <w:r>
        <w:rPr>
          <w:spacing w:val="-3"/>
          <w:sz w:val="21"/>
        </w:rPr>
        <w:t>清</w:t>
      </w:r>
      <w:r>
        <w:rPr>
          <w:sz w:val="21"/>
        </w:rPr>
        <w:t>扫</w:t>
      </w:r>
      <w:r>
        <w:rPr>
          <w:spacing w:val="-3"/>
          <w:sz w:val="21"/>
        </w:rPr>
        <w:t>不</w:t>
      </w:r>
      <w:r>
        <w:rPr>
          <w:sz w:val="21"/>
        </w:rPr>
        <w:t>少于</w:t>
      </w:r>
      <w:r>
        <w:rPr>
          <w:spacing w:val="-1"/>
          <w:sz w:val="21"/>
        </w:rPr>
        <w:t xml:space="preserve"> </w:t>
      </w:r>
      <w:r>
        <w:rPr>
          <w:sz w:val="21"/>
        </w:rPr>
        <w:t>3</w:t>
      </w:r>
      <w:r>
        <w:rPr>
          <w:spacing w:val="-1"/>
          <w:sz w:val="21"/>
        </w:rPr>
        <w:t xml:space="preserve"> </w:t>
      </w:r>
      <w:r>
        <w:rPr>
          <w:sz w:val="21"/>
        </w:rPr>
        <w:t>次。</w:t>
      </w:r>
    </w:p>
    <w:p>
      <w:pPr>
        <w:pStyle w:val="22"/>
        <w:numPr>
          <w:ilvl w:val="1"/>
          <w:numId w:val="68"/>
        </w:numPr>
        <w:tabs>
          <w:tab w:val="left" w:pos="1181"/>
        </w:tabs>
        <w:spacing w:before="1" w:after="0" w:line="240" w:lineRule="auto"/>
        <w:ind w:left="1180" w:right="0" w:hanging="423"/>
        <w:jc w:val="left"/>
        <w:rPr>
          <w:sz w:val="21"/>
        </w:rPr>
      </w:pPr>
      <w:r>
        <w:rPr>
          <w:spacing w:val="-3"/>
          <w:sz w:val="21"/>
        </w:rPr>
        <w:t>建筑工地周边道路宜适当增加清扫作业频次。</w:t>
      </w:r>
    </w:p>
    <w:p>
      <w:pPr>
        <w:pStyle w:val="12"/>
        <w:spacing w:before="8"/>
        <w:rPr>
          <w:sz w:val="22"/>
        </w:rPr>
      </w:pPr>
    </w:p>
    <w:p>
      <w:pPr>
        <w:pStyle w:val="22"/>
        <w:numPr>
          <w:ilvl w:val="1"/>
          <w:numId w:val="68"/>
        </w:numPr>
        <w:tabs>
          <w:tab w:val="left" w:pos="1283"/>
          <w:tab w:val="left" w:pos="1284"/>
        </w:tabs>
        <w:spacing w:before="1" w:after="0" w:line="499" w:lineRule="auto"/>
        <w:ind w:left="337" w:right="333" w:firstLine="420"/>
        <w:jc w:val="left"/>
        <w:rPr>
          <w:sz w:val="21"/>
        </w:rPr>
      </w:pPr>
      <w:r>
        <w:rPr>
          <w:spacing w:val="-8"/>
          <w:sz w:val="21"/>
        </w:rPr>
        <w:t>冲洗作业频次应根据路面尘土量、天气情况和空气质量确定。</w:t>
      </w:r>
      <w:r>
        <w:rPr>
          <w:spacing w:val="-3"/>
          <w:sz w:val="21"/>
        </w:rPr>
        <w:t xml:space="preserve">道路每周冲洗道路 </w:t>
      </w:r>
      <w:r>
        <w:rPr>
          <w:sz w:val="21"/>
        </w:rPr>
        <w:t>2</w:t>
      </w:r>
      <w:r>
        <w:rPr>
          <w:spacing w:val="-3"/>
          <w:sz w:val="21"/>
        </w:rPr>
        <w:t xml:space="preserve"> 次以上；建筑垃圾清运通道每晚冲洗道路 </w:t>
      </w:r>
      <w:r>
        <w:rPr>
          <w:rFonts w:hint="eastAsia"/>
          <w:spacing w:val="-3"/>
          <w:sz w:val="21"/>
          <w:lang w:val="en-US" w:eastAsia="zh-CN"/>
        </w:rPr>
        <w:t>1</w:t>
      </w:r>
      <w:r>
        <w:rPr>
          <w:spacing w:val="-3"/>
          <w:sz w:val="21"/>
        </w:rPr>
        <w:t xml:space="preserve"> 次；人行道宜每</w:t>
      </w:r>
      <w:r>
        <w:rPr>
          <w:spacing w:val="2"/>
          <w:sz w:val="21"/>
        </w:rPr>
        <w:t xml:space="preserve">月冲洗 </w:t>
      </w:r>
      <w:r>
        <w:rPr>
          <w:sz w:val="21"/>
        </w:rPr>
        <w:t>2</w:t>
      </w:r>
      <w:r>
        <w:rPr>
          <w:spacing w:val="-3"/>
          <w:sz w:val="21"/>
        </w:rPr>
        <w:t xml:space="preserve"> 次以上；集贸市场、早</w:t>
      </w:r>
      <w:r>
        <w:rPr>
          <w:sz w:val="21"/>
        </w:rPr>
        <w:t>（</w:t>
      </w:r>
      <w:r>
        <w:rPr>
          <w:spacing w:val="-3"/>
          <w:sz w:val="21"/>
        </w:rPr>
        <w:t>夜</w:t>
      </w:r>
      <w:r>
        <w:rPr>
          <w:sz w:val="21"/>
        </w:rPr>
        <w:t>）</w:t>
      </w:r>
      <w:r>
        <w:rPr>
          <w:spacing w:val="-3"/>
          <w:sz w:val="21"/>
        </w:rPr>
        <w:t>市及人流量较大区域的周边道路及人行道宜适当增加作业频 次。</w:t>
      </w:r>
    </w:p>
    <w:p>
      <w:pPr>
        <w:pStyle w:val="22"/>
        <w:numPr>
          <w:ilvl w:val="1"/>
          <w:numId w:val="68"/>
        </w:numPr>
        <w:tabs>
          <w:tab w:val="left" w:pos="1181"/>
        </w:tabs>
        <w:spacing w:before="1" w:after="0" w:line="240" w:lineRule="auto"/>
        <w:ind w:left="1180" w:right="0" w:hanging="423"/>
        <w:jc w:val="left"/>
        <w:rPr>
          <w:sz w:val="21"/>
        </w:rPr>
      </w:pPr>
      <w:r>
        <w:rPr>
          <w:spacing w:val="-3"/>
          <w:sz w:val="21"/>
        </w:rPr>
        <w:t xml:space="preserve">道路两侧、交通隔离栏下的积灰等应每月冲洗 </w:t>
      </w:r>
      <w:r>
        <w:rPr>
          <w:sz w:val="21"/>
        </w:rPr>
        <w:t>2</w:t>
      </w:r>
      <w:r>
        <w:rPr>
          <w:spacing w:val="-3"/>
          <w:sz w:val="21"/>
        </w:rPr>
        <w:t xml:space="preserve"> 次以上，雨后宜开展道路灰带冲洗作业。</w:t>
      </w:r>
    </w:p>
    <w:p>
      <w:pPr>
        <w:pStyle w:val="12"/>
        <w:spacing w:before="11"/>
        <w:rPr>
          <w:sz w:val="22"/>
        </w:rPr>
      </w:pPr>
    </w:p>
    <w:p>
      <w:pPr>
        <w:pStyle w:val="22"/>
        <w:numPr>
          <w:ilvl w:val="0"/>
          <w:numId w:val="65"/>
        </w:numPr>
        <w:tabs>
          <w:tab w:val="left" w:pos="1288"/>
        </w:tabs>
        <w:spacing w:before="0" w:after="0" w:line="240" w:lineRule="auto"/>
        <w:ind w:left="1287" w:right="0" w:hanging="530"/>
        <w:jc w:val="left"/>
        <w:rPr>
          <w:sz w:val="21"/>
        </w:rPr>
      </w:pPr>
      <w:r>
        <w:rPr>
          <w:spacing w:val="-3"/>
          <w:sz w:val="21"/>
        </w:rPr>
        <w:t>机械清扫和保洁作业要求</w:t>
      </w:r>
    </w:p>
    <w:p>
      <w:pPr>
        <w:pStyle w:val="12"/>
        <w:spacing w:before="8"/>
        <w:rPr>
          <w:sz w:val="22"/>
        </w:rPr>
      </w:pPr>
    </w:p>
    <w:p>
      <w:pPr>
        <w:pStyle w:val="22"/>
        <w:numPr>
          <w:ilvl w:val="1"/>
          <w:numId w:val="69"/>
        </w:numPr>
        <w:tabs>
          <w:tab w:val="left" w:pos="1181"/>
        </w:tabs>
        <w:spacing w:before="0" w:after="0" w:line="240" w:lineRule="auto"/>
        <w:ind w:left="1180" w:right="0" w:hanging="423"/>
        <w:jc w:val="left"/>
        <w:rPr>
          <w:sz w:val="21"/>
        </w:rPr>
      </w:pPr>
      <w:r>
        <w:rPr>
          <w:spacing w:val="-3"/>
          <w:sz w:val="21"/>
        </w:rPr>
        <w:t>作业前应全面检查车况及车容车貌，发现问题及时排除，消除安全隐患。</w:t>
      </w:r>
    </w:p>
    <w:p>
      <w:pPr>
        <w:pStyle w:val="12"/>
        <w:spacing w:before="8"/>
        <w:rPr>
          <w:sz w:val="22"/>
        </w:rPr>
      </w:pPr>
    </w:p>
    <w:p>
      <w:pPr>
        <w:pStyle w:val="22"/>
        <w:numPr>
          <w:ilvl w:val="1"/>
          <w:numId w:val="69"/>
        </w:numPr>
        <w:tabs>
          <w:tab w:val="left" w:pos="1181"/>
        </w:tabs>
        <w:spacing w:before="0" w:after="0" w:line="501" w:lineRule="auto"/>
        <w:ind w:left="337" w:right="417" w:firstLine="420"/>
        <w:jc w:val="left"/>
        <w:rPr>
          <w:sz w:val="21"/>
        </w:rPr>
      </w:pPr>
      <w:r>
        <w:rPr>
          <w:spacing w:val="-3"/>
          <w:sz w:val="21"/>
        </w:rPr>
        <w:t>作业中扫刷应与地面呈接触状态，启动喷雾抑尘装置，吸风口调整至紧贴地面或扫进土不遗漏为宜，刷盘倾斜角度、副发动机转速和除尘系统应符合车辆正常清扫作业时的性能要求。</w:t>
      </w:r>
    </w:p>
    <w:p>
      <w:pPr>
        <w:pStyle w:val="22"/>
        <w:numPr>
          <w:ilvl w:val="1"/>
          <w:numId w:val="69"/>
        </w:numPr>
        <w:tabs>
          <w:tab w:val="left" w:pos="1181"/>
        </w:tabs>
        <w:spacing w:before="0" w:after="0" w:line="499" w:lineRule="auto"/>
        <w:ind w:left="337" w:right="417" w:firstLine="420"/>
        <w:jc w:val="left"/>
        <w:rPr>
          <w:sz w:val="21"/>
        </w:rPr>
      </w:pPr>
      <w:r>
        <w:rPr>
          <w:spacing w:val="-3"/>
          <w:sz w:val="21"/>
        </w:rPr>
        <w:t>应沿着道沿进行全路段清扫，做到不漏扫。及时观察路面清扫质量和障碍情况，对机械化不能清扫的大件垃圾或硬物，在确保安全的前提下及时下车清除。</w:t>
      </w:r>
    </w:p>
    <w:p>
      <w:pPr>
        <w:pStyle w:val="22"/>
        <w:numPr>
          <w:ilvl w:val="1"/>
          <w:numId w:val="69"/>
        </w:numPr>
        <w:tabs>
          <w:tab w:val="left" w:pos="1181"/>
        </w:tabs>
        <w:spacing w:before="0" w:after="0" w:line="240" w:lineRule="auto"/>
        <w:ind w:left="1180" w:right="0" w:hanging="423"/>
        <w:jc w:val="left"/>
        <w:rPr>
          <w:sz w:val="21"/>
        </w:rPr>
      </w:pPr>
      <w:r>
        <w:rPr>
          <w:spacing w:val="-3"/>
          <w:sz w:val="21"/>
        </w:rPr>
        <w:t>坑洼路面、车辆作业转弯处等机械清扫不到的地方，需人工配合清扫保洁。</w:t>
      </w:r>
    </w:p>
    <w:p>
      <w:pPr>
        <w:pStyle w:val="12"/>
        <w:spacing w:before="11"/>
        <w:rPr>
          <w:sz w:val="18"/>
        </w:rPr>
      </w:pPr>
    </w:p>
    <w:p>
      <w:pPr>
        <w:pStyle w:val="22"/>
        <w:numPr>
          <w:ilvl w:val="1"/>
          <w:numId w:val="69"/>
        </w:numPr>
        <w:tabs>
          <w:tab w:val="left" w:pos="1181"/>
        </w:tabs>
        <w:spacing w:before="72" w:after="0" w:line="240" w:lineRule="auto"/>
        <w:ind w:left="1180" w:right="0" w:hanging="423"/>
        <w:jc w:val="left"/>
        <w:rPr>
          <w:sz w:val="21"/>
        </w:rPr>
      </w:pPr>
      <w:r>
        <w:rPr>
          <w:spacing w:val="-3"/>
          <w:sz w:val="21"/>
        </w:rPr>
        <w:t>因道路施工造成车道变窄等情况时，应根据实际情况调整清扫保洁作业时间。</w:t>
      </w:r>
    </w:p>
    <w:p>
      <w:pPr>
        <w:pStyle w:val="12"/>
        <w:spacing w:before="8"/>
        <w:rPr>
          <w:sz w:val="22"/>
        </w:rPr>
      </w:pPr>
    </w:p>
    <w:p>
      <w:pPr>
        <w:pStyle w:val="22"/>
        <w:numPr>
          <w:ilvl w:val="1"/>
          <w:numId w:val="69"/>
        </w:numPr>
        <w:tabs>
          <w:tab w:val="left" w:pos="1128"/>
        </w:tabs>
        <w:spacing w:before="0" w:after="0" w:line="501" w:lineRule="auto"/>
        <w:ind w:left="337" w:right="333" w:firstLine="420"/>
        <w:jc w:val="left"/>
        <w:rPr>
          <w:sz w:val="21"/>
        </w:rPr>
      </w:pPr>
      <w:r>
        <w:rPr>
          <w:spacing w:val="-2"/>
          <w:sz w:val="21"/>
        </w:rPr>
        <w:t xml:space="preserve">根据作业时段车辆清扫时行驶速度应小于 </w:t>
      </w:r>
      <w:r>
        <w:rPr>
          <w:spacing w:val="-11"/>
          <w:sz w:val="21"/>
        </w:rPr>
        <w:t>10km/h</w:t>
      </w:r>
      <w:r>
        <w:rPr>
          <w:spacing w:val="-3"/>
          <w:sz w:val="21"/>
        </w:rPr>
        <w:t>，用于人行道的小型环卫清扫车行驶速度应 小于</w:t>
      </w:r>
      <w:r>
        <w:rPr>
          <w:sz w:val="21"/>
        </w:rPr>
        <w:t>8km/h</w:t>
      </w:r>
      <w:r>
        <w:rPr>
          <w:spacing w:val="-3"/>
          <w:sz w:val="21"/>
        </w:rPr>
        <w:t xml:space="preserve">，巡回保洁时行驶速度应小于 </w:t>
      </w:r>
      <w:r>
        <w:rPr>
          <w:sz w:val="21"/>
        </w:rPr>
        <w:t>15km/h</w:t>
      </w:r>
      <w:r>
        <w:rPr>
          <w:spacing w:val="-3"/>
          <w:sz w:val="21"/>
        </w:rPr>
        <w:t>，学校、医院周边等特殊道路应降低行驶速度。</w:t>
      </w:r>
    </w:p>
    <w:p>
      <w:pPr>
        <w:pStyle w:val="22"/>
        <w:numPr>
          <w:ilvl w:val="0"/>
          <w:numId w:val="65"/>
        </w:numPr>
        <w:tabs>
          <w:tab w:val="left" w:pos="1288"/>
        </w:tabs>
        <w:spacing w:before="0" w:after="0" w:line="265" w:lineRule="exact"/>
        <w:ind w:left="1287" w:right="0" w:hanging="530"/>
        <w:jc w:val="left"/>
        <w:rPr>
          <w:sz w:val="21"/>
        </w:rPr>
      </w:pPr>
      <w:r>
        <w:rPr>
          <w:spacing w:val="-3"/>
          <w:sz w:val="21"/>
        </w:rPr>
        <w:t>道路冲洗作业要求</w:t>
      </w:r>
    </w:p>
    <w:p>
      <w:pPr>
        <w:pStyle w:val="12"/>
        <w:spacing w:before="8"/>
        <w:rPr>
          <w:sz w:val="22"/>
        </w:rPr>
      </w:pPr>
    </w:p>
    <w:p>
      <w:pPr>
        <w:pStyle w:val="22"/>
        <w:numPr>
          <w:ilvl w:val="1"/>
          <w:numId w:val="70"/>
        </w:numPr>
        <w:tabs>
          <w:tab w:val="left" w:pos="1181"/>
        </w:tabs>
        <w:spacing w:before="0" w:after="0" w:line="501" w:lineRule="auto"/>
        <w:ind w:left="337" w:right="328" w:firstLine="420"/>
        <w:jc w:val="left"/>
        <w:rPr>
          <w:sz w:val="21"/>
        </w:rPr>
      </w:pPr>
      <w:r>
        <w:rPr>
          <w:spacing w:val="-4"/>
          <w:sz w:val="21"/>
        </w:rPr>
        <w:t>合理调整水车喷头，保障路面清洗质量及减少扰民；洗扫车跟进收边，做到人字沟无污泥、 无积</w:t>
      </w:r>
      <w:r>
        <w:rPr>
          <w:spacing w:val="-3"/>
          <w:sz w:val="21"/>
        </w:rPr>
        <w:t>水。洗路作业完成后，护栏清洗车、小型高压清洗车及时跟进，加强对护栏、路沿的清洗或补充精 洗。</w:t>
      </w:r>
    </w:p>
    <w:p>
      <w:pPr>
        <w:pStyle w:val="22"/>
        <w:numPr>
          <w:ilvl w:val="1"/>
          <w:numId w:val="70"/>
        </w:numPr>
        <w:tabs>
          <w:tab w:val="left" w:pos="1283"/>
          <w:tab w:val="left" w:pos="1284"/>
        </w:tabs>
        <w:spacing w:before="0" w:after="0" w:line="265" w:lineRule="exact"/>
        <w:ind w:left="1283" w:right="0" w:hanging="526"/>
        <w:jc w:val="left"/>
        <w:rPr>
          <w:sz w:val="21"/>
        </w:rPr>
      </w:pPr>
      <w:r>
        <w:rPr>
          <w:spacing w:val="-3"/>
          <w:sz w:val="21"/>
        </w:rPr>
        <w:t xml:space="preserve">道路冲洗喷水设备的水压应大于等于 </w:t>
      </w:r>
      <w:r>
        <w:rPr>
          <w:sz w:val="21"/>
        </w:rPr>
        <w:t>300kPa。</w:t>
      </w:r>
    </w:p>
    <w:p>
      <w:pPr>
        <w:pStyle w:val="12"/>
        <w:spacing w:before="9"/>
        <w:rPr>
          <w:sz w:val="22"/>
        </w:rPr>
      </w:pPr>
    </w:p>
    <w:p>
      <w:pPr>
        <w:pStyle w:val="22"/>
        <w:numPr>
          <w:ilvl w:val="1"/>
          <w:numId w:val="70"/>
        </w:numPr>
        <w:tabs>
          <w:tab w:val="left" w:pos="1181"/>
        </w:tabs>
        <w:spacing w:before="0" w:after="0" w:line="240" w:lineRule="auto"/>
        <w:ind w:left="1180" w:right="0" w:hanging="423"/>
        <w:jc w:val="left"/>
        <w:rPr>
          <w:sz w:val="21"/>
        </w:rPr>
      </w:pPr>
      <w:r>
        <w:rPr>
          <w:spacing w:val="-3"/>
          <w:sz w:val="21"/>
        </w:rPr>
        <w:t>冲洗后及时进行推水作业，作业面应无泥沙、积水等。</w:t>
      </w:r>
    </w:p>
    <w:p>
      <w:pPr>
        <w:pStyle w:val="12"/>
        <w:spacing w:before="11"/>
        <w:rPr>
          <w:sz w:val="22"/>
        </w:rPr>
      </w:pPr>
    </w:p>
    <w:p>
      <w:pPr>
        <w:pStyle w:val="22"/>
        <w:numPr>
          <w:ilvl w:val="1"/>
          <w:numId w:val="70"/>
        </w:numPr>
        <w:tabs>
          <w:tab w:val="left" w:pos="1181"/>
        </w:tabs>
        <w:spacing w:before="0" w:after="0" w:line="240" w:lineRule="auto"/>
        <w:ind w:left="1180" w:right="0" w:hanging="423"/>
        <w:jc w:val="left"/>
        <w:rPr>
          <w:sz w:val="21"/>
        </w:rPr>
      </w:pPr>
      <w:r>
        <w:rPr>
          <w:spacing w:val="-3"/>
          <w:sz w:val="21"/>
        </w:rPr>
        <w:t>针对道沿两侧和交通隔离栏下积灰严重的区域，应反复冲洗直至路面见本色。</w:t>
      </w:r>
    </w:p>
    <w:p>
      <w:pPr>
        <w:pStyle w:val="12"/>
        <w:spacing w:before="8"/>
        <w:rPr>
          <w:sz w:val="22"/>
        </w:rPr>
      </w:pPr>
    </w:p>
    <w:p>
      <w:pPr>
        <w:pStyle w:val="22"/>
        <w:numPr>
          <w:ilvl w:val="1"/>
          <w:numId w:val="70"/>
        </w:numPr>
        <w:tabs>
          <w:tab w:val="left" w:pos="1181"/>
        </w:tabs>
        <w:spacing w:before="0" w:after="0" w:line="240" w:lineRule="auto"/>
        <w:ind w:left="1180" w:right="0" w:hanging="423"/>
        <w:jc w:val="left"/>
        <w:rPr>
          <w:sz w:val="21"/>
        </w:rPr>
      </w:pPr>
      <w:r>
        <w:rPr>
          <w:spacing w:val="-3"/>
          <w:sz w:val="21"/>
        </w:rPr>
        <w:t>建筑垃圾清运通道冲洗作业时，应先铲除路面泥饼，再冲洗、推水。</w:t>
      </w:r>
    </w:p>
    <w:p>
      <w:pPr>
        <w:pStyle w:val="12"/>
        <w:spacing w:before="8"/>
        <w:rPr>
          <w:sz w:val="22"/>
        </w:rPr>
      </w:pPr>
    </w:p>
    <w:p>
      <w:pPr>
        <w:pStyle w:val="22"/>
        <w:numPr>
          <w:ilvl w:val="1"/>
          <w:numId w:val="70"/>
        </w:numPr>
        <w:tabs>
          <w:tab w:val="left" w:pos="1283"/>
          <w:tab w:val="left" w:pos="1284"/>
        </w:tabs>
        <w:spacing w:before="0" w:after="0" w:line="240" w:lineRule="auto"/>
        <w:ind w:left="1283" w:right="0" w:hanging="526"/>
        <w:jc w:val="left"/>
        <w:rPr>
          <w:sz w:val="21"/>
        </w:rPr>
      </w:pPr>
      <w:r>
        <w:rPr>
          <w:spacing w:val="-3"/>
          <w:sz w:val="21"/>
        </w:rPr>
        <w:t xml:space="preserve">根据作业时段车辆冲洗时行驶速度应小于 </w:t>
      </w:r>
      <w:r>
        <w:rPr>
          <w:sz w:val="21"/>
        </w:rPr>
        <w:t>10km/h。</w:t>
      </w:r>
    </w:p>
    <w:p>
      <w:pPr>
        <w:pStyle w:val="12"/>
        <w:spacing w:before="11"/>
        <w:rPr>
          <w:sz w:val="22"/>
        </w:rPr>
      </w:pPr>
    </w:p>
    <w:p>
      <w:pPr>
        <w:pStyle w:val="22"/>
        <w:numPr>
          <w:ilvl w:val="0"/>
          <w:numId w:val="65"/>
        </w:numPr>
        <w:tabs>
          <w:tab w:val="left" w:pos="1390"/>
        </w:tabs>
        <w:spacing w:before="0" w:after="0" w:line="240" w:lineRule="auto"/>
        <w:ind w:left="1389" w:right="0" w:hanging="632"/>
        <w:jc w:val="left"/>
        <w:rPr>
          <w:sz w:val="21"/>
        </w:rPr>
      </w:pPr>
      <w:r>
        <w:rPr>
          <w:spacing w:val="-3"/>
          <w:sz w:val="21"/>
        </w:rPr>
        <w:t>道路洒水和喷雾作业要求</w:t>
      </w:r>
    </w:p>
    <w:p>
      <w:pPr>
        <w:pStyle w:val="12"/>
        <w:spacing w:before="8"/>
        <w:rPr>
          <w:sz w:val="22"/>
        </w:rPr>
      </w:pPr>
    </w:p>
    <w:p>
      <w:pPr>
        <w:pStyle w:val="22"/>
        <w:numPr>
          <w:ilvl w:val="1"/>
          <w:numId w:val="71"/>
        </w:numPr>
        <w:tabs>
          <w:tab w:val="left" w:pos="1181"/>
        </w:tabs>
        <w:spacing w:before="0" w:after="0" w:line="240" w:lineRule="auto"/>
        <w:ind w:left="1180" w:right="0" w:hanging="423"/>
        <w:jc w:val="left"/>
        <w:rPr>
          <w:sz w:val="21"/>
        </w:rPr>
      </w:pPr>
      <w:r>
        <w:rPr>
          <w:spacing w:val="-3"/>
          <w:sz w:val="21"/>
        </w:rPr>
        <w:t>经过交叉路口、人行横道、公交车站等特殊路段时，应减速调整启闭装置，注意避让行人。</w:t>
      </w:r>
    </w:p>
    <w:p>
      <w:pPr>
        <w:pStyle w:val="12"/>
        <w:spacing w:before="8"/>
        <w:rPr>
          <w:sz w:val="22"/>
        </w:rPr>
      </w:pPr>
    </w:p>
    <w:p>
      <w:pPr>
        <w:pStyle w:val="22"/>
        <w:numPr>
          <w:ilvl w:val="1"/>
          <w:numId w:val="71"/>
        </w:numPr>
        <w:tabs>
          <w:tab w:val="left" w:pos="1128"/>
        </w:tabs>
        <w:spacing w:before="1" w:after="0" w:line="501" w:lineRule="auto"/>
        <w:ind w:left="337" w:right="331" w:firstLine="420"/>
        <w:jc w:val="left"/>
        <w:rPr>
          <w:sz w:val="21"/>
        </w:rPr>
      </w:pPr>
      <w:r>
        <w:rPr>
          <w:spacing w:val="-3"/>
          <w:sz w:val="21"/>
        </w:rPr>
        <w:t xml:space="preserve">夏季高温季节 </w:t>
      </w:r>
      <w:r>
        <w:rPr>
          <w:sz w:val="21"/>
        </w:rPr>
        <w:t>6 月 15 日至 9 月 30</w:t>
      </w:r>
      <w:r>
        <w:rPr>
          <w:spacing w:val="-2"/>
          <w:sz w:val="21"/>
        </w:rPr>
        <w:t xml:space="preserve"> 日且气温 </w:t>
      </w:r>
      <w:r>
        <w:rPr>
          <w:sz w:val="21"/>
        </w:rPr>
        <w:t>35</w:t>
      </w:r>
      <w:r>
        <w:rPr>
          <w:spacing w:val="-12"/>
          <w:sz w:val="21"/>
        </w:rPr>
        <w:t xml:space="preserve">℃以上，在 </w:t>
      </w:r>
      <w:r>
        <w:rPr>
          <w:sz w:val="21"/>
        </w:rPr>
        <w:t>10:00-16:00</w:t>
      </w:r>
      <w:r>
        <w:rPr>
          <w:spacing w:val="-3"/>
          <w:sz w:val="21"/>
        </w:rPr>
        <w:t xml:space="preserve"> 可适当增加喷雾洒水作业频次。</w:t>
      </w:r>
    </w:p>
    <w:p>
      <w:pPr>
        <w:pStyle w:val="22"/>
        <w:numPr>
          <w:ilvl w:val="1"/>
          <w:numId w:val="71"/>
        </w:numPr>
        <w:tabs>
          <w:tab w:val="left" w:pos="1128"/>
        </w:tabs>
        <w:spacing w:before="0" w:after="0" w:line="266" w:lineRule="exact"/>
        <w:ind w:left="1127" w:right="0" w:hanging="370"/>
        <w:jc w:val="left"/>
        <w:rPr>
          <w:sz w:val="21"/>
        </w:rPr>
      </w:pPr>
      <w:r>
        <w:rPr>
          <w:spacing w:val="-3"/>
          <w:sz w:val="21"/>
        </w:rPr>
        <w:t>日常洒水作业宜采用扇形喷雾降尘方式。</w:t>
      </w:r>
    </w:p>
    <w:p>
      <w:pPr>
        <w:pStyle w:val="12"/>
        <w:spacing w:before="8"/>
        <w:rPr>
          <w:sz w:val="22"/>
        </w:rPr>
      </w:pPr>
    </w:p>
    <w:p>
      <w:pPr>
        <w:pStyle w:val="22"/>
        <w:numPr>
          <w:ilvl w:val="1"/>
          <w:numId w:val="71"/>
        </w:numPr>
        <w:tabs>
          <w:tab w:val="left" w:pos="1128"/>
        </w:tabs>
        <w:spacing w:before="0" w:after="0" w:line="240" w:lineRule="auto"/>
        <w:ind w:left="1127" w:right="0" w:hanging="370"/>
        <w:jc w:val="left"/>
        <w:rPr>
          <w:sz w:val="21"/>
        </w:rPr>
      </w:pPr>
      <w:r>
        <w:rPr>
          <w:spacing w:val="-3"/>
          <w:sz w:val="21"/>
        </w:rPr>
        <w:t xml:space="preserve">车辆洒水时行驶速度应小于 </w:t>
      </w:r>
      <w:r>
        <w:rPr>
          <w:sz w:val="21"/>
        </w:rPr>
        <w:t>15km/h</w:t>
      </w:r>
      <w:r>
        <w:rPr>
          <w:spacing w:val="-3"/>
          <w:sz w:val="21"/>
        </w:rPr>
        <w:t>，不应高速喷洒。</w:t>
      </w:r>
    </w:p>
    <w:p>
      <w:pPr>
        <w:pStyle w:val="12"/>
        <w:spacing w:before="10"/>
        <w:rPr>
          <w:sz w:val="22"/>
        </w:rPr>
      </w:pPr>
    </w:p>
    <w:p>
      <w:pPr>
        <w:pStyle w:val="11"/>
        <w:numPr>
          <w:ilvl w:val="1"/>
          <w:numId w:val="72"/>
        </w:numPr>
        <w:tabs>
          <w:tab w:val="left" w:pos="1236"/>
        </w:tabs>
        <w:spacing w:before="0" w:after="0" w:line="240" w:lineRule="auto"/>
        <w:ind w:left="1235" w:right="0" w:hanging="476"/>
        <w:jc w:val="left"/>
      </w:pPr>
      <w:r>
        <w:t>安全作业</w:t>
      </w:r>
    </w:p>
    <w:p>
      <w:pPr>
        <w:pStyle w:val="12"/>
        <w:spacing w:before="4"/>
        <w:rPr>
          <w:b/>
          <w:sz w:val="20"/>
        </w:rPr>
      </w:pPr>
    </w:p>
    <w:p>
      <w:pPr>
        <w:pStyle w:val="22"/>
        <w:numPr>
          <w:ilvl w:val="0"/>
          <w:numId w:val="73"/>
        </w:numPr>
        <w:tabs>
          <w:tab w:val="left" w:pos="1288"/>
        </w:tabs>
        <w:spacing w:before="0" w:after="0" w:line="480" w:lineRule="auto"/>
        <w:ind w:left="337" w:right="329" w:firstLine="420"/>
        <w:jc w:val="left"/>
        <w:rPr>
          <w:sz w:val="21"/>
        </w:rPr>
      </w:pPr>
      <w:r>
        <w:rPr>
          <w:spacing w:val="-4"/>
          <w:sz w:val="21"/>
        </w:rPr>
        <w:t>清扫保洁人员应进行培训，考核合格后上岗</w:t>
      </w:r>
      <w:r>
        <w:rPr>
          <w:spacing w:val="-24"/>
          <w:sz w:val="24"/>
        </w:rPr>
        <w:t>，</w:t>
      </w:r>
      <w:r>
        <w:rPr>
          <w:spacing w:val="-4"/>
          <w:sz w:val="21"/>
        </w:rPr>
        <w:t>定期组织安全教育培训。应建立健全安全生产管理</w:t>
      </w:r>
      <w:r>
        <w:rPr>
          <w:spacing w:val="-3"/>
          <w:sz w:val="21"/>
        </w:rPr>
        <w:t>制度，落实安全生产责任人，完善三级安全教育，并有完整的检查记录。环卫作业单位应对在岗作业人员定期进行安全教育和技能等相关培训并考核。</w:t>
      </w:r>
    </w:p>
    <w:p>
      <w:pPr>
        <w:pStyle w:val="22"/>
        <w:numPr>
          <w:ilvl w:val="0"/>
          <w:numId w:val="73"/>
        </w:numPr>
        <w:tabs>
          <w:tab w:val="left" w:pos="1288"/>
        </w:tabs>
        <w:spacing w:before="20" w:after="0" w:line="499" w:lineRule="auto"/>
        <w:ind w:left="337" w:right="237" w:firstLine="420"/>
        <w:jc w:val="left"/>
        <w:rPr>
          <w:sz w:val="21"/>
        </w:rPr>
      </w:pPr>
      <w:r>
        <w:rPr>
          <w:spacing w:val="-4"/>
          <w:sz w:val="21"/>
        </w:rPr>
        <w:t xml:space="preserve">保洁员工作时必须着保洁工装工帽，着装有反光安全标志的服装，并保证保洁工装规范、整洁， </w:t>
      </w:r>
      <w:r>
        <w:rPr>
          <w:spacing w:val="-3"/>
          <w:sz w:val="21"/>
        </w:rPr>
        <w:t>警示反光条完好无破损（保洁服由中标单位配发）</w:t>
      </w:r>
      <w:r>
        <w:rPr>
          <w:sz w:val="21"/>
        </w:rPr>
        <w:t>。</w:t>
      </w:r>
    </w:p>
    <w:p>
      <w:pPr>
        <w:pStyle w:val="22"/>
        <w:numPr>
          <w:ilvl w:val="0"/>
          <w:numId w:val="73"/>
        </w:numPr>
        <w:tabs>
          <w:tab w:val="left" w:pos="1288"/>
        </w:tabs>
        <w:spacing w:before="1" w:after="0" w:line="240" w:lineRule="auto"/>
        <w:ind w:left="1287" w:right="0" w:hanging="530"/>
        <w:jc w:val="left"/>
        <w:rPr>
          <w:sz w:val="21"/>
        </w:rPr>
      </w:pPr>
      <w:r>
        <w:rPr>
          <w:spacing w:val="-5"/>
          <w:sz w:val="21"/>
        </w:rPr>
        <w:t>保洁员要根据路段的人、车流情况，合理安排作业时间和方式，主动避开行人和车流高峰，以免</w:t>
      </w:r>
    </w:p>
    <w:p>
      <w:pPr>
        <w:pStyle w:val="12"/>
        <w:spacing w:before="11"/>
        <w:rPr>
          <w:sz w:val="18"/>
        </w:rPr>
      </w:pPr>
    </w:p>
    <w:p>
      <w:pPr>
        <w:pStyle w:val="12"/>
        <w:spacing w:before="72"/>
        <w:ind w:left="337"/>
      </w:pPr>
      <w:r>
        <w:t>发生意外。</w:t>
      </w:r>
    </w:p>
    <w:p>
      <w:pPr>
        <w:pStyle w:val="12"/>
        <w:spacing w:before="8"/>
        <w:rPr>
          <w:sz w:val="22"/>
        </w:rPr>
      </w:pPr>
    </w:p>
    <w:p>
      <w:pPr>
        <w:pStyle w:val="22"/>
        <w:numPr>
          <w:ilvl w:val="0"/>
          <w:numId w:val="73"/>
        </w:numPr>
        <w:tabs>
          <w:tab w:val="left" w:pos="1288"/>
        </w:tabs>
        <w:spacing w:before="0" w:after="0" w:line="499" w:lineRule="auto"/>
        <w:ind w:left="337" w:right="328" w:firstLine="420"/>
        <w:jc w:val="left"/>
        <w:rPr>
          <w:sz w:val="21"/>
        </w:rPr>
      </w:pPr>
      <w:r>
        <w:rPr>
          <w:spacing w:val="-13"/>
          <w:sz w:val="21"/>
        </w:rPr>
        <w:t xml:space="preserve">保洁员在清扫和保洁时，应按车行线反方向清扫，特别在清扫中间护拦时要提高警觉，注意来车 </w:t>
      </w:r>
      <w:r>
        <w:rPr>
          <w:spacing w:val="-5"/>
          <w:sz w:val="21"/>
        </w:rPr>
        <w:t xml:space="preserve">。保洁三轮车不能太靠近车行线停放。清理主车道上的成堆的泥土时，应根据实际情况在作业点 </w:t>
      </w:r>
      <w:r>
        <w:rPr>
          <w:sz w:val="21"/>
        </w:rPr>
        <w:t xml:space="preserve">30m~50m </w:t>
      </w:r>
      <w:r>
        <w:rPr>
          <w:spacing w:val="-3"/>
          <w:sz w:val="21"/>
        </w:rPr>
        <w:t xml:space="preserve">外放置警示桶，迎着车辆来驶方向操作，发现不安全迹象时应立即采取避让措施；遇道路抛撒、路面大面积污染等突发状况清扫时，距清扫点来车方向 </w:t>
      </w:r>
      <w:r>
        <w:rPr>
          <w:sz w:val="21"/>
        </w:rPr>
        <w:t>50m~100m</w:t>
      </w:r>
      <w:r>
        <w:rPr>
          <w:spacing w:val="-3"/>
          <w:sz w:val="21"/>
        </w:rPr>
        <w:t xml:space="preserve"> 处应设置警示牌</w:t>
      </w:r>
    </w:p>
    <w:p>
      <w:pPr>
        <w:pStyle w:val="22"/>
        <w:numPr>
          <w:ilvl w:val="0"/>
          <w:numId w:val="73"/>
        </w:numPr>
        <w:tabs>
          <w:tab w:val="left" w:pos="1326"/>
        </w:tabs>
        <w:spacing w:before="3" w:after="0" w:line="499" w:lineRule="auto"/>
        <w:ind w:left="337" w:right="328" w:firstLine="458"/>
        <w:jc w:val="left"/>
        <w:rPr>
          <w:sz w:val="21"/>
        </w:rPr>
      </w:pPr>
      <w:r>
        <w:rPr>
          <w:spacing w:val="-6"/>
          <w:sz w:val="21"/>
        </w:rPr>
        <w:t>文明作业：各时间段作业要严格按照要求作业</w:t>
      </w:r>
      <w:r>
        <w:rPr>
          <w:sz w:val="21"/>
        </w:rPr>
        <w:t>（</w:t>
      </w:r>
      <w:r>
        <w:rPr>
          <w:spacing w:val="-2"/>
          <w:sz w:val="21"/>
        </w:rPr>
        <w:t>工具对口</w:t>
      </w:r>
      <w:r>
        <w:rPr>
          <w:spacing w:val="-12"/>
          <w:sz w:val="21"/>
        </w:rPr>
        <w:t>）</w:t>
      </w:r>
      <w:r>
        <w:rPr>
          <w:spacing w:val="-5"/>
          <w:sz w:val="21"/>
        </w:rPr>
        <w:t>，垃圾及时清理集中转运，不得焚烧</w:t>
      </w:r>
      <w:r>
        <w:rPr>
          <w:spacing w:val="-4"/>
          <w:sz w:val="21"/>
        </w:rPr>
        <w:t>树叶、垃圾。</w:t>
      </w:r>
    </w:p>
    <w:p>
      <w:pPr>
        <w:pStyle w:val="22"/>
        <w:numPr>
          <w:ilvl w:val="0"/>
          <w:numId w:val="73"/>
        </w:numPr>
        <w:tabs>
          <w:tab w:val="left" w:pos="1326"/>
        </w:tabs>
        <w:spacing w:before="0" w:after="0" w:line="269" w:lineRule="exact"/>
        <w:ind w:left="1325" w:right="0" w:hanging="530"/>
        <w:jc w:val="left"/>
        <w:rPr>
          <w:sz w:val="21"/>
        </w:rPr>
      </w:pPr>
      <w:r>
        <w:rPr>
          <w:spacing w:val="-3"/>
          <w:sz w:val="21"/>
        </w:rPr>
        <w:t>作业时，保洁工具不应在道路上随意摆放影响交通、市容。</w:t>
      </w:r>
    </w:p>
    <w:p>
      <w:pPr>
        <w:pStyle w:val="12"/>
        <w:spacing w:before="11"/>
        <w:rPr>
          <w:sz w:val="22"/>
        </w:rPr>
      </w:pPr>
    </w:p>
    <w:p>
      <w:pPr>
        <w:pStyle w:val="22"/>
        <w:numPr>
          <w:ilvl w:val="0"/>
          <w:numId w:val="73"/>
        </w:numPr>
        <w:tabs>
          <w:tab w:val="left" w:pos="1326"/>
        </w:tabs>
        <w:spacing w:before="0" w:after="0" w:line="240" w:lineRule="auto"/>
        <w:ind w:left="1325" w:right="0" w:hanging="530"/>
        <w:jc w:val="left"/>
        <w:rPr>
          <w:sz w:val="21"/>
        </w:rPr>
      </w:pPr>
      <w:r>
        <w:rPr>
          <w:spacing w:val="-3"/>
          <w:sz w:val="21"/>
        </w:rPr>
        <w:t>机械清扫保洁车辆应配备灭火器、反光三角板等。</w:t>
      </w:r>
    </w:p>
    <w:p>
      <w:pPr>
        <w:pStyle w:val="12"/>
        <w:spacing w:before="8"/>
        <w:rPr>
          <w:sz w:val="22"/>
        </w:rPr>
      </w:pPr>
    </w:p>
    <w:p>
      <w:pPr>
        <w:pStyle w:val="22"/>
        <w:numPr>
          <w:ilvl w:val="0"/>
          <w:numId w:val="73"/>
        </w:numPr>
        <w:tabs>
          <w:tab w:val="left" w:pos="1324"/>
        </w:tabs>
        <w:spacing w:before="0" w:after="0" w:line="499" w:lineRule="auto"/>
        <w:ind w:left="337" w:right="331" w:firstLine="458"/>
        <w:jc w:val="left"/>
        <w:rPr>
          <w:sz w:val="21"/>
        </w:rPr>
      </w:pPr>
      <w:r>
        <w:rPr>
          <w:spacing w:val="-7"/>
          <w:sz w:val="21"/>
        </w:rPr>
        <w:t>不应在车体外悬挂物体，在保洁三轮车上挂放工具时，宽度不得超过车厢宽度，长度不得超出车</w:t>
      </w:r>
      <w:r>
        <w:rPr>
          <w:spacing w:val="-4"/>
          <w:sz w:val="21"/>
        </w:rPr>
        <w:t xml:space="preserve">厢总长度 </w:t>
      </w:r>
      <w:r>
        <w:rPr>
          <w:sz w:val="21"/>
        </w:rPr>
        <w:t>50cm（</w:t>
      </w:r>
      <w:r>
        <w:rPr>
          <w:spacing w:val="-3"/>
          <w:sz w:val="21"/>
        </w:rPr>
        <w:t>大扫把除外</w:t>
      </w:r>
      <w:r>
        <w:rPr>
          <w:sz w:val="21"/>
        </w:rPr>
        <w:t>）。</w:t>
      </w:r>
    </w:p>
    <w:p>
      <w:pPr>
        <w:pStyle w:val="22"/>
        <w:numPr>
          <w:ilvl w:val="0"/>
          <w:numId w:val="73"/>
        </w:numPr>
        <w:tabs>
          <w:tab w:val="left" w:pos="1326"/>
        </w:tabs>
        <w:spacing w:before="1" w:after="0" w:line="240" w:lineRule="auto"/>
        <w:ind w:left="1325" w:right="0" w:hanging="530"/>
        <w:jc w:val="left"/>
        <w:rPr>
          <w:sz w:val="21"/>
        </w:rPr>
      </w:pPr>
      <w:r>
        <w:rPr>
          <w:spacing w:val="-3"/>
          <w:sz w:val="21"/>
        </w:rPr>
        <w:t>机械清扫保洁车辆在倒车和急转弯时应收起吸盘</w:t>
      </w:r>
      <w:r>
        <w:rPr>
          <w:sz w:val="21"/>
        </w:rPr>
        <w:t>（</w:t>
      </w:r>
      <w:r>
        <w:rPr>
          <w:spacing w:val="-2"/>
          <w:sz w:val="21"/>
        </w:rPr>
        <w:t>扫盘</w:t>
      </w:r>
      <w:r>
        <w:rPr>
          <w:spacing w:val="-3"/>
          <w:sz w:val="21"/>
        </w:rPr>
        <w:t>）</w:t>
      </w:r>
      <w:r>
        <w:rPr>
          <w:sz w:val="21"/>
        </w:rPr>
        <w:t>。</w:t>
      </w:r>
    </w:p>
    <w:p>
      <w:pPr>
        <w:pStyle w:val="12"/>
        <w:spacing w:before="9"/>
        <w:rPr>
          <w:sz w:val="22"/>
        </w:rPr>
      </w:pPr>
    </w:p>
    <w:p>
      <w:pPr>
        <w:pStyle w:val="22"/>
        <w:numPr>
          <w:ilvl w:val="0"/>
          <w:numId w:val="73"/>
        </w:numPr>
        <w:tabs>
          <w:tab w:val="left" w:pos="1432"/>
        </w:tabs>
        <w:spacing w:before="0" w:after="0" w:line="240" w:lineRule="auto"/>
        <w:ind w:left="1431" w:right="0" w:hanging="636"/>
        <w:jc w:val="left"/>
        <w:rPr>
          <w:sz w:val="21"/>
        </w:rPr>
      </w:pPr>
      <w:r>
        <w:rPr>
          <w:spacing w:val="-3"/>
          <w:sz w:val="21"/>
        </w:rPr>
        <w:t>车辆驾驶员应密切关注路况，严格控制车速、行车间距，保证作业安全，防止发生意外。</w:t>
      </w:r>
    </w:p>
    <w:p>
      <w:pPr>
        <w:pStyle w:val="12"/>
        <w:spacing w:before="8"/>
        <w:rPr>
          <w:sz w:val="22"/>
        </w:rPr>
      </w:pPr>
    </w:p>
    <w:p>
      <w:pPr>
        <w:pStyle w:val="22"/>
        <w:numPr>
          <w:ilvl w:val="0"/>
          <w:numId w:val="73"/>
        </w:numPr>
        <w:tabs>
          <w:tab w:val="left" w:pos="1432"/>
        </w:tabs>
        <w:spacing w:before="0" w:after="0" w:line="501" w:lineRule="auto"/>
        <w:ind w:left="337" w:right="379" w:firstLine="458"/>
        <w:jc w:val="left"/>
        <w:rPr>
          <w:sz w:val="21"/>
        </w:rPr>
      </w:pPr>
      <w:r>
        <w:rPr>
          <w:spacing w:val="-3"/>
          <w:sz w:val="21"/>
        </w:rPr>
        <w:t>冬季作业时，根据道路状况车辆应加装防滑链并确保车况良好，清扫保洁人员作业时应注意防冻、 防滑。</w:t>
      </w:r>
    </w:p>
    <w:p>
      <w:pPr>
        <w:pStyle w:val="22"/>
        <w:numPr>
          <w:ilvl w:val="0"/>
          <w:numId w:val="73"/>
        </w:numPr>
        <w:tabs>
          <w:tab w:val="left" w:pos="1432"/>
        </w:tabs>
        <w:spacing w:before="0" w:after="0" w:line="499" w:lineRule="auto"/>
        <w:ind w:left="337" w:right="386" w:firstLine="458"/>
        <w:jc w:val="left"/>
        <w:rPr>
          <w:sz w:val="21"/>
        </w:rPr>
      </w:pPr>
      <w:r>
        <w:rPr>
          <w:spacing w:val="-9"/>
          <w:sz w:val="21"/>
        </w:rPr>
        <w:t xml:space="preserve">环境能见度小于 </w:t>
      </w:r>
      <w:r>
        <w:rPr>
          <w:sz w:val="21"/>
        </w:rPr>
        <w:t>300m</w:t>
      </w:r>
      <w:r>
        <w:rPr>
          <w:spacing w:val="-10"/>
          <w:sz w:val="21"/>
        </w:rPr>
        <w:t xml:space="preserve"> 时不可在机动车道作业；环境能见度小于 </w:t>
      </w:r>
      <w:r>
        <w:rPr>
          <w:sz w:val="21"/>
        </w:rPr>
        <w:t>100m</w:t>
      </w:r>
      <w:r>
        <w:rPr>
          <w:spacing w:val="-8"/>
          <w:sz w:val="21"/>
        </w:rPr>
        <w:t xml:space="preserve"> 时暂停全部作业。如处理</w:t>
      </w:r>
      <w:r>
        <w:rPr>
          <w:spacing w:val="-3"/>
          <w:sz w:val="21"/>
        </w:rPr>
        <w:t>突 发事件时应开启雾灯、放置警示牌等确保安全。</w:t>
      </w:r>
    </w:p>
    <w:p>
      <w:pPr>
        <w:pStyle w:val="11"/>
        <w:numPr>
          <w:ilvl w:val="1"/>
          <w:numId w:val="72"/>
        </w:numPr>
        <w:tabs>
          <w:tab w:val="left" w:pos="1236"/>
        </w:tabs>
        <w:spacing w:before="0" w:after="0" w:line="240" w:lineRule="auto"/>
        <w:ind w:left="1235" w:right="0" w:hanging="476"/>
        <w:jc w:val="left"/>
      </w:pPr>
      <w:r>
        <w:rPr>
          <w:spacing w:val="-1"/>
        </w:rPr>
        <w:t>重大活动、节假日及突发情况的环卫保洁</w:t>
      </w:r>
    </w:p>
    <w:p>
      <w:pPr>
        <w:pStyle w:val="12"/>
        <w:spacing w:before="6"/>
        <w:rPr>
          <w:b/>
          <w:sz w:val="22"/>
        </w:rPr>
      </w:pPr>
    </w:p>
    <w:p>
      <w:pPr>
        <w:pStyle w:val="22"/>
        <w:numPr>
          <w:ilvl w:val="0"/>
          <w:numId w:val="74"/>
        </w:numPr>
        <w:tabs>
          <w:tab w:val="left" w:pos="1285"/>
        </w:tabs>
        <w:spacing w:before="0" w:after="0" w:line="499" w:lineRule="auto"/>
        <w:ind w:left="337" w:right="329" w:firstLine="420"/>
        <w:jc w:val="left"/>
        <w:rPr>
          <w:sz w:val="21"/>
        </w:rPr>
      </w:pPr>
      <w:r>
        <w:rPr>
          <w:spacing w:val="-4"/>
          <w:sz w:val="21"/>
        </w:rPr>
        <w:t>各保洁公司建立一支临时应急小分队</w:t>
      </w:r>
      <w:r>
        <w:rPr>
          <w:sz w:val="21"/>
        </w:rPr>
        <w:t>（10-15</w:t>
      </w:r>
      <w:r>
        <w:rPr>
          <w:spacing w:val="-10"/>
          <w:sz w:val="21"/>
        </w:rPr>
        <w:t xml:space="preserve"> 人</w:t>
      </w:r>
      <w:r>
        <w:rPr>
          <w:spacing w:val="-14"/>
          <w:sz w:val="21"/>
        </w:rPr>
        <w:t>）</w:t>
      </w:r>
      <w:r>
        <w:rPr>
          <w:spacing w:val="-6"/>
          <w:sz w:val="21"/>
        </w:rPr>
        <w:t>，适时延长作业时间.以满足重大活动、节假日</w:t>
      </w:r>
      <w:r>
        <w:rPr>
          <w:spacing w:val="-4"/>
          <w:sz w:val="21"/>
        </w:rPr>
        <w:t>的需要，根据具体情况和不同要求标准，配合相关部门，做好重大活动、节假日的环卫保洁工作。</w:t>
      </w:r>
    </w:p>
    <w:p>
      <w:pPr>
        <w:pStyle w:val="22"/>
        <w:numPr>
          <w:ilvl w:val="0"/>
          <w:numId w:val="74"/>
        </w:numPr>
        <w:tabs>
          <w:tab w:val="left" w:pos="1288"/>
        </w:tabs>
        <w:spacing w:before="2" w:after="0" w:line="240" w:lineRule="auto"/>
        <w:ind w:left="1287" w:right="0" w:hanging="530"/>
        <w:jc w:val="left"/>
        <w:rPr>
          <w:sz w:val="21"/>
        </w:rPr>
      </w:pPr>
      <w:r>
        <w:rPr>
          <w:spacing w:val="-3"/>
          <w:sz w:val="21"/>
        </w:rPr>
        <w:t>大型活动期间实行不断岗、无缝隙巡回保洁作业。</w:t>
      </w:r>
    </w:p>
    <w:p>
      <w:pPr>
        <w:pStyle w:val="12"/>
        <w:spacing w:before="8"/>
        <w:rPr>
          <w:sz w:val="22"/>
        </w:rPr>
      </w:pPr>
    </w:p>
    <w:p>
      <w:pPr>
        <w:pStyle w:val="22"/>
        <w:numPr>
          <w:ilvl w:val="0"/>
          <w:numId w:val="74"/>
        </w:numPr>
        <w:tabs>
          <w:tab w:val="left" w:pos="1288"/>
        </w:tabs>
        <w:spacing w:before="1" w:after="0" w:line="240" w:lineRule="auto"/>
        <w:ind w:left="1287" w:right="0" w:hanging="530"/>
        <w:jc w:val="left"/>
        <w:rPr>
          <w:sz w:val="21"/>
        </w:rPr>
      </w:pPr>
      <w:r>
        <w:rPr>
          <w:spacing w:val="-3"/>
          <w:sz w:val="21"/>
        </w:rPr>
        <w:t>特级道路、重点时段宜强化机械清扫、保洁作业。</w:t>
      </w:r>
    </w:p>
    <w:p>
      <w:pPr>
        <w:pStyle w:val="12"/>
        <w:spacing w:before="8"/>
        <w:rPr>
          <w:sz w:val="22"/>
        </w:rPr>
      </w:pPr>
    </w:p>
    <w:p>
      <w:pPr>
        <w:pStyle w:val="22"/>
        <w:numPr>
          <w:ilvl w:val="0"/>
          <w:numId w:val="74"/>
        </w:numPr>
        <w:tabs>
          <w:tab w:val="left" w:pos="1288"/>
        </w:tabs>
        <w:spacing w:before="0" w:after="0" w:line="240" w:lineRule="auto"/>
        <w:ind w:left="1287" w:right="0" w:hanging="530"/>
        <w:jc w:val="left"/>
        <w:rPr>
          <w:sz w:val="21"/>
        </w:rPr>
      </w:pPr>
      <w:r>
        <w:rPr>
          <w:spacing w:val="-3"/>
          <w:sz w:val="21"/>
        </w:rPr>
        <w:t>垃圾应及时清运，不得堆存。</w:t>
      </w:r>
    </w:p>
    <w:p>
      <w:pPr>
        <w:pStyle w:val="12"/>
        <w:spacing w:before="10"/>
        <w:rPr>
          <w:sz w:val="22"/>
        </w:rPr>
      </w:pPr>
    </w:p>
    <w:p>
      <w:pPr>
        <w:pStyle w:val="22"/>
        <w:numPr>
          <w:ilvl w:val="0"/>
          <w:numId w:val="74"/>
        </w:numPr>
        <w:tabs>
          <w:tab w:val="left" w:pos="1285"/>
        </w:tabs>
        <w:spacing w:before="1" w:after="0" w:line="240" w:lineRule="auto"/>
        <w:ind w:left="1284" w:right="0" w:hanging="527"/>
        <w:jc w:val="left"/>
        <w:rPr>
          <w:sz w:val="21"/>
        </w:rPr>
      </w:pPr>
      <w:r>
        <w:rPr>
          <w:spacing w:val="-3"/>
          <w:sz w:val="21"/>
        </w:rPr>
        <w:t>保洁人员发现突发状况应立即向上级主管部门汇报，及时放置警示标志，摆放安全锥桶，并等待</w:t>
      </w:r>
    </w:p>
    <w:p>
      <w:pPr>
        <w:pStyle w:val="12"/>
        <w:spacing w:before="11"/>
        <w:rPr>
          <w:sz w:val="18"/>
        </w:rPr>
      </w:pPr>
    </w:p>
    <w:p>
      <w:pPr>
        <w:pStyle w:val="12"/>
        <w:spacing w:before="72"/>
        <w:ind w:left="337"/>
      </w:pPr>
      <w:r>
        <w:t>应急人员的到位。</w:t>
      </w:r>
    </w:p>
    <w:p>
      <w:pPr>
        <w:pStyle w:val="12"/>
        <w:spacing w:before="8"/>
        <w:rPr>
          <w:sz w:val="22"/>
        </w:rPr>
      </w:pPr>
    </w:p>
    <w:p>
      <w:pPr>
        <w:pStyle w:val="22"/>
        <w:numPr>
          <w:ilvl w:val="0"/>
          <w:numId w:val="74"/>
        </w:numPr>
        <w:tabs>
          <w:tab w:val="left" w:pos="1288"/>
        </w:tabs>
        <w:spacing w:before="0" w:after="0" w:line="240" w:lineRule="auto"/>
        <w:ind w:left="1287" w:right="0" w:hanging="530"/>
        <w:jc w:val="left"/>
        <w:rPr>
          <w:sz w:val="21"/>
        </w:rPr>
      </w:pPr>
      <w:r>
        <w:rPr>
          <w:spacing w:val="-3"/>
          <w:sz w:val="21"/>
        </w:rPr>
        <w:t>应急人员到位后，按照应急预案对现场进行清理、清扫，恢复路面干净、整洁。</w:t>
      </w:r>
    </w:p>
    <w:p>
      <w:pPr>
        <w:pStyle w:val="12"/>
        <w:spacing w:before="11"/>
        <w:rPr>
          <w:sz w:val="22"/>
        </w:rPr>
      </w:pPr>
    </w:p>
    <w:p>
      <w:pPr>
        <w:pStyle w:val="11"/>
        <w:numPr>
          <w:ilvl w:val="1"/>
          <w:numId w:val="72"/>
        </w:numPr>
        <w:tabs>
          <w:tab w:val="left" w:pos="1236"/>
        </w:tabs>
        <w:spacing w:before="0" w:after="0" w:line="240" w:lineRule="auto"/>
        <w:ind w:left="1235" w:right="0" w:hanging="476"/>
        <w:jc w:val="left"/>
      </w:pPr>
      <w:r>
        <w:t>劳动保障</w:t>
      </w:r>
    </w:p>
    <w:p>
      <w:pPr>
        <w:pStyle w:val="12"/>
        <w:spacing w:before="8"/>
        <w:rPr>
          <w:b/>
          <w:sz w:val="22"/>
        </w:rPr>
      </w:pPr>
    </w:p>
    <w:p>
      <w:pPr>
        <w:pStyle w:val="22"/>
        <w:numPr>
          <w:ilvl w:val="0"/>
          <w:numId w:val="75"/>
        </w:numPr>
        <w:tabs>
          <w:tab w:val="left" w:pos="1288"/>
        </w:tabs>
        <w:spacing w:before="0" w:after="0" w:line="240" w:lineRule="auto"/>
        <w:ind w:left="1287" w:right="0" w:hanging="530"/>
        <w:jc w:val="left"/>
        <w:rPr>
          <w:sz w:val="21"/>
        </w:rPr>
      </w:pPr>
      <w:r>
        <w:rPr>
          <w:spacing w:val="-3"/>
          <w:sz w:val="21"/>
        </w:rPr>
        <w:t>投标单位须与保洁员签订劳动合同。</w:t>
      </w:r>
    </w:p>
    <w:p>
      <w:pPr>
        <w:pStyle w:val="12"/>
        <w:spacing w:before="8"/>
        <w:rPr>
          <w:sz w:val="22"/>
        </w:rPr>
      </w:pPr>
    </w:p>
    <w:p>
      <w:pPr>
        <w:pStyle w:val="22"/>
        <w:numPr>
          <w:ilvl w:val="0"/>
          <w:numId w:val="75"/>
        </w:numPr>
        <w:tabs>
          <w:tab w:val="left" w:pos="1288"/>
        </w:tabs>
        <w:spacing w:before="0" w:after="0" w:line="240" w:lineRule="auto"/>
        <w:ind w:left="1287" w:right="0" w:hanging="530"/>
        <w:jc w:val="left"/>
        <w:rPr>
          <w:sz w:val="21"/>
        </w:rPr>
      </w:pPr>
      <w:r>
        <w:rPr>
          <w:spacing w:val="-3"/>
          <w:sz w:val="21"/>
        </w:rPr>
        <w:t>投标单位应向保洁员按时全额发放工资、福利。</w:t>
      </w:r>
    </w:p>
    <w:p>
      <w:pPr>
        <w:pStyle w:val="12"/>
        <w:spacing w:before="11"/>
        <w:rPr>
          <w:sz w:val="22"/>
        </w:rPr>
      </w:pPr>
    </w:p>
    <w:p>
      <w:pPr>
        <w:pStyle w:val="22"/>
        <w:numPr>
          <w:ilvl w:val="0"/>
          <w:numId w:val="75"/>
        </w:numPr>
        <w:tabs>
          <w:tab w:val="left" w:pos="1288"/>
        </w:tabs>
        <w:spacing w:before="0" w:after="0" w:line="240" w:lineRule="auto"/>
        <w:ind w:left="1287" w:right="0" w:hanging="530"/>
        <w:jc w:val="left"/>
        <w:rPr>
          <w:sz w:val="21"/>
        </w:rPr>
      </w:pPr>
      <w:r>
        <w:rPr>
          <w:spacing w:val="-4"/>
          <w:sz w:val="21"/>
        </w:rPr>
        <w:t xml:space="preserve">投标单位须按照市级部门要求为保洁员购买社会保险及人身意外保险(意外伤亡保额不低于 </w:t>
      </w:r>
      <w:r>
        <w:rPr>
          <w:sz w:val="21"/>
        </w:rPr>
        <w:t>80</w:t>
      </w:r>
      <w:r>
        <w:rPr>
          <w:spacing w:val="-13"/>
          <w:sz w:val="21"/>
        </w:rPr>
        <w:t xml:space="preserve"> 万，</w:t>
      </w:r>
    </w:p>
    <w:p>
      <w:pPr>
        <w:pStyle w:val="12"/>
        <w:spacing w:before="8"/>
        <w:rPr>
          <w:sz w:val="22"/>
        </w:rPr>
      </w:pPr>
    </w:p>
    <w:p>
      <w:pPr>
        <w:pStyle w:val="12"/>
        <w:ind w:left="337"/>
      </w:pPr>
      <w:r>
        <w:rPr>
          <w:spacing w:val="-9"/>
        </w:rPr>
        <w:t xml:space="preserve">医疗保额不低于 </w:t>
      </w:r>
      <w:r>
        <w:t>30</w:t>
      </w:r>
      <w:r>
        <w:rPr>
          <w:spacing w:val="-13"/>
        </w:rPr>
        <w:t xml:space="preserve"> 万)。</w:t>
      </w:r>
    </w:p>
    <w:p>
      <w:pPr>
        <w:pStyle w:val="12"/>
        <w:spacing w:before="9"/>
        <w:rPr>
          <w:sz w:val="22"/>
        </w:rPr>
      </w:pPr>
    </w:p>
    <w:p>
      <w:pPr>
        <w:pStyle w:val="22"/>
        <w:numPr>
          <w:ilvl w:val="0"/>
          <w:numId w:val="75"/>
        </w:numPr>
        <w:tabs>
          <w:tab w:val="left" w:pos="1288"/>
        </w:tabs>
        <w:spacing w:before="0" w:after="0" w:line="240" w:lineRule="auto"/>
        <w:ind w:left="1287" w:right="0" w:hanging="530"/>
        <w:jc w:val="left"/>
        <w:rPr>
          <w:sz w:val="21"/>
        </w:rPr>
      </w:pPr>
      <w:r>
        <w:rPr>
          <w:spacing w:val="-3"/>
          <w:sz w:val="21"/>
        </w:rPr>
        <w:t>投标单位须执行《劳动法》有关员工保障的其他规定。</w:t>
      </w:r>
    </w:p>
    <w:p>
      <w:pPr>
        <w:pStyle w:val="12"/>
        <w:spacing w:before="10"/>
        <w:rPr>
          <w:sz w:val="22"/>
        </w:rPr>
      </w:pPr>
    </w:p>
    <w:p>
      <w:pPr>
        <w:pStyle w:val="11"/>
        <w:numPr>
          <w:ilvl w:val="1"/>
          <w:numId w:val="72"/>
        </w:numPr>
        <w:tabs>
          <w:tab w:val="left" w:pos="1236"/>
        </w:tabs>
        <w:spacing w:before="1" w:after="0" w:line="240" w:lineRule="auto"/>
        <w:ind w:left="1235" w:right="0" w:hanging="476"/>
        <w:jc w:val="left"/>
      </w:pPr>
      <w:r>
        <w:t>其他要求</w:t>
      </w:r>
    </w:p>
    <w:p>
      <w:pPr>
        <w:pStyle w:val="12"/>
        <w:spacing w:before="8"/>
        <w:rPr>
          <w:b/>
          <w:sz w:val="22"/>
        </w:rPr>
      </w:pPr>
    </w:p>
    <w:p>
      <w:pPr>
        <w:spacing w:before="0" w:line="499" w:lineRule="auto"/>
        <w:ind w:left="760" w:right="3569" w:hanging="3"/>
        <w:jc w:val="left"/>
        <w:rPr>
          <w:b/>
          <w:sz w:val="21"/>
        </w:rPr>
      </w:pPr>
      <w:r>
        <w:rPr>
          <w:sz w:val="21"/>
        </w:rPr>
        <w:t>人行道和绿化带一周两次进行冲洗，需配备不少于两台小型冲洗车</w:t>
      </w:r>
      <w:r>
        <w:rPr>
          <w:b/>
          <w:sz w:val="21"/>
        </w:rPr>
        <w:t>8、检查考核考评</w:t>
      </w:r>
    </w:p>
    <w:p>
      <w:pPr>
        <w:pStyle w:val="20"/>
      </w:pPr>
    </w:p>
    <w:p>
      <w:pPr>
        <w:jc w:val="center"/>
        <w:rPr>
          <w:rFonts w:hint="eastAsia"/>
        </w:rPr>
      </w:pPr>
      <w:r>
        <w:rPr>
          <w:rFonts w:hint="eastAsia" w:ascii="宋体" w:hAnsi="宋体"/>
          <w:b/>
          <w:sz w:val="36"/>
          <w:szCs w:val="36"/>
        </w:rPr>
        <w:t>阿克苏市道路保洁质量标准和考核办法</w:t>
      </w:r>
    </w:p>
    <w:p>
      <w:pPr>
        <w:pStyle w:val="16"/>
        <w:spacing w:before="0" w:beforeAutospacing="0" w:after="0" w:afterAutospacing="0" w:line="500" w:lineRule="atLeast"/>
        <w:ind w:firstLine="642"/>
        <w:jc w:val="both"/>
      </w:pPr>
    </w:p>
    <w:p>
      <w:pPr>
        <w:pStyle w:val="16"/>
        <w:spacing w:before="0" w:beforeAutospacing="0" w:after="0" w:afterAutospacing="0" w:line="360" w:lineRule="auto"/>
        <w:ind w:left="209" w:leftChars="95" w:firstLine="399" w:firstLineChars="19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严格按照建设部和</w:t>
      </w:r>
      <w:r>
        <w:rPr>
          <w:rFonts w:hint="eastAsia" w:asciiTheme="minorEastAsia" w:hAnsiTheme="minorEastAsia" w:eastAsiaTheme="minorEastAsia" w:cstheme="minorEastAsia"/>
          <w:color w:val="000000"/>
          <w:sz w:val="21"/>
          <w:szCs w:val="21"/>
          <w:lang w:val="en-US" w:eastAsia="zh-CN"/>
        </w:rPr>
        <w:t>自治区</w:t>
      </w:r>
      <w:r>
        <w:rPr>
          <w:rFonts w:hint="eastAsia" w:asciiTheme="minorEastAsia" w:hAnsiTheme="minorEastAsia" w:eastAsiaTheme="minorEastAsia" w:cstheme="minorEastAsia"/>
          <w:color w:val="000000"/>
          <w:sz w:val="21"/>
          <w:szCs w:val="21"/>
        </w:rPr>
        <w:t>住建厅颁布的《城市环境卫生质量标准》《阿克苏城市市容环境卫生条例》、《阿克苏市容市貌和环境卫生管理暂行规定》</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sz w:val="21"/>
          <w:szCs w:val="21"/>
        </w:rPr>
        <w:t>《城市绿化条例》、《城市绿化养护技术规范》</w:t>
      </w:r>
      <w:r>
        <w:rPr>
          <w:rFonts w:hint="eastAsia" w:asciiTheme="minorEastAsia" w:hAnsiTheme="minorEastAsia" w:eastAsiaTheme="minorEastAsia" w:cstheme="minorEastAsia"/>
          <w:color w:val="000000"/>
          <w:sz w:val="21"/>
          <w:szCs w:val="21"/>
        </w:rPr>
        <w:t>等相关标准进行管理，具体标准及考核办法如下</w:t>
      </w:r>
      <w:r>
        <w:rPr>
          <w:rFonts w:hint="eastAsia" w:asciiTheme="minorEastAsia" w:hAnsiTheme="minorEastAsia" w:eastAsiaTheme="minorEastAsia" w:cstheme="minorEastAsia"/>
          <w:sz w:val="21"/>
          <w:szCs w:val="21"/>
        </w:rPr>
        <w:t>：</w:t>
      </w:r>
    </w:p>
    <w:p>
      <w:pPr>
        <w:pStyle w:val="16"/>
        <w:spacing w:before="0" w:beforeAutospacing="0" w:after="0" w:afterAutospacing="0" w:line="360" w:lineRule="auto"/>
        <w:ind w:firstLine="211" w:firstLineChars="10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质量标准：</w:t>
      </w:r>
    </w:p>
    <w:p>
      <w:pPr>
        <w:pStyle w:val="16"/>
        <w:spacing w:before="0" w:beforeAutospacing="0" w:after="0" w:afterAutospacing="0" w:line="360" w:lineRule="auto"/>
        <w:ind w:firstLine="211" w:firstLineChars="100"/>
        <w:jc w:val="both"/>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（一）道路保洁标准</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9" w:leftChars="95"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1.执行“一扫全包”制度，每日大清扫一次，早上 9:00 前完成，巡回保洁，对路面、人行道、道牙、沙井口、树穴周围进行全面清扫保洁，做到“六无六净”（即：“六无”为无废弃堆积物、无果皮纸屑和树叶、无砖瓦砂石、无泼撒物、无污泥积水、无人畜喷便;“六净”为路面净、沟眼净、树穴净、落沙井净、花坛周围净、墙根净)，保洁率要达到 95%。</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2.道路两旁至墙边或滴水处内做到无生活垃圾、建筑垃圾、废弃物等，确保道路大环境整洁。</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3.及时清掏果皮箱，每天清掏不少于 2 次，箱内外保持无垃级。</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4.及时清理清洗路面上出现的油污、渣土淤泥等污染物。</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5.及时清理张贴喷涂的各类野广告，必须按照“同色覆盖，规则覆盖、无痕清洗”原则，避免二次污染。</w:t>
      </w:r>
    </w:p>
    <w:p>
      <w:pPr>
        <w:pStyle w:val="16"/>
        <w:spacing w:before="0" w:beforeAutospacing="0" w:after="0" w:afterAutospacing="0" w:line="360" w:lineRule="auto"/>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sz w:val="21"/>
          <w:szCs w:val="21"/>
        </w:rPr>
        <w:t>（二）果皮箱、垃圾桶的管理标准</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为加强对果皮箱、垃圾桶的管理，保洁人员每天都会对果箱、垃圾桶做到以下几点:</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1.对果皮箱、垃圾桶表面天天清擦。做到无痰迹、无贴物，对喷洒油漆的广告及时清除。</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2.对果皮箱、垃圾桶随时检查，做到确保箱、桶外观整洁、无污垢，箱、桶内的垃圾日产日清，无积压、无溢满，周围地面不得有垃圾抛落、堆放。发现垃圾桶内垃圾达到三分之二，就立即清掏走。</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3.对果皮箱、垃圾桶内胆定期检查,发现损坏立即上报维修。</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4.每周对果皮箱、垃圾桶内外，用水及洗涤剂彻底清洗。</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5.对果皮箱、垃圾桶附近的积水清理干净，保持果皮箱周围干净无杂物。</w:t>
      </w:r>
    </w:p>
    <w:p>
      <w:pPr>
        <w:pStyle w:val="16"/>
        <w:spacing w:before="0" w:beforeAutospacing="0" w:after="0" w:afterAutospacing="0" w:line="360" w:lineRule="auto"/>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sz w:val="21"/>
          <w:szCs w:val="21"/>
        </w:rPr>
        <w:t>（三）公共厕所管护标准</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1.公共厕所有专人保洁管护，设施标志齐全，建立健全各项管理制度，地面有防滑措施。</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2.各类设施设备完好无损，运行操作安全，有损坏应及时报修。</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3.公共厕所实行</w:t>
      </w:r>
      <w:r>
        <w:rPr>
          <w:rFonts w:hint="eastAsia" w:asciiTheme="minorEastAsia" w:hAnsiTheme="minorEastAsia" w:eastAsiaTheme="minorEastAsia" w:cstheme="minorEastAsia"/>
          <w:color w:val="002060"/>
          <w:sz w:val="21"/>
          <w:szCs w:val="21"/>
        </w:rPr>
        <w:t>24</w:t>
      </w:r>
      <w:r>
        <w:rPr>
          <w:rFonts w:hint="eastAsia" w:asciiTheme="minorEastAsia" w:hAnsiTheme="minorEastAsia" w:eastAsiaTheme="minorEastAsia" w:cstheme="minorEastAsia"/>
          <w:color w:val="000000"/>
          <w:sz w:val="21"/>
          <w:szCs w:val="21"/>
        </w:rPr>
        <w:t>小时免费开放。因大型维修需停止使用的,要设置停用公示牌。</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4.公共厕所定期消毒灭蝇，工具间摆放整齐。</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5.蹲位、间板、小便槽、灯具、洗手盆、挂物钩、冲水设备,内外墙等设施上无污迹，尿垢，无乱写乱画。保洁作业时需悬挂作业指示牌。</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6.公厕保洁做到“十净、六无”。</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十净：厕牌、墙壁、墙裙、隔板、老年扶手、窗台、门窗纱、挂衣钩、灯具干净，不能有灰尘和污垢。</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六无：蹲坑、座盆、小便池裙、小便池台、外墙、地面要求无粪迹、尿碱、污物、尘土及无乱写、乱画、乱堆杂物。</w:t>
      </w:r>
    </w:p>
    <w:p>
      <w:pPr>
        <w:pStyle w:val="16"/>
        <w:spacing w:before="0" w:beforeAutospacing="0" w:after="0" w:afterAutospacing="0" w:line="36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7.定时喷洒灭蚊、蝇药及按季节投放鼠药；定时喷洒除臭药剂，做到厕内无臭、异味。</w:t>
      </w:r>
    </w:p>
    <w:p>
      <w:pPr>
        <w:pStyle w:val="25"/>
        <w:widowControl/>
        <w:ind w:left="0" w:leftChars="0" w:firstLine="0" w:firstLineChars="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（四）绿化养护作业标准：</w:t>
      </w:r>
    </w:p>
    <w:p>
      <w:pPr>
        <w:pStyle w:val="26"/>
        <w:widowControl/>
        <w:rPr>
          <w:rFonts w:hint="eastAsia" w:asciiTheme="minorEastAsia" w:hAnsiTheme="minorEastAsia" w:eastAsiaTheme="minorEastAsia" w:cstheme="minorEastAsia"/>
          <w:sz w:val="21"/>
          <w:szCs w:val="21"/>
        </w:rPr>
      </w:pP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、范围</w:t>
      </w:r>
    </w:p>
    <w:p>
      <w:pPr>
        <w:pStyle w:val="26"/>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本标准规定了绿化带、绿地小广场、花坛园林植物、设施等养护质量标准，适用于采购人管辖范围内绿化带、小广场、花坛园林绿化及设施的养护管理工作。</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2、三级养护总体质量标准</w:t>
      </w:r>
    </w:p>
    <w:p>
      <w:pPr>
        <w:pStyle w:val="26"/>
        <w:widowControl/>
        <w:spacing w:line="360" w:lineRule="auto"/>
        <w:ind w:firstLine="768" w:firstLineChars="366"/>
        <w:rPr>
          <w:rFonts w:hint="eastAsia" w:asciiTheme="minorEastAsia" w:hAnsiTheme="minorEastAsia" w:eastAsiaTheme="minorEastAsia" w:cstheme="minorEastAsia"/>
          <w:sz w:val="21"/>
          <w:szCs w:val="21"/>
        </w:rPr>
      </w:pPr>
      <w:r>
        <w:rPr>
          <w:rStyle w:val="27"/>
          <w:rFonts w:hint="eastAsia" w:asciiTheme="minorEastAsia" w:hAnsiTheme="minorEastAsia" w:eastAsiaTheme="minorEastAsia" w:cstheme="minorEastAsia"/>
          <w:sz w:val="21"/>
          <w:szCs w:val="21"/>
        </w:rPr>
        <w:t xml:space="preserve">2.1 </w:t>
      </w:r>
      <w:r>
        <w:rPr>
          <w:rStyle w:val="28"/>
          <w:rFonts w:hint="eastAsia" w:asciiTheme="minorEastAsia" w:hAnsiTheme="minorEastAsia" w:eastAsiaTheme="minorEastAsia" w:cstheme="minorEastAsia"/>
          <w:sz w:val="21"/>
          <w:szCs w:val="21"/>
        </w:rPr>
        <w:t>绿化养护单位要制订较完善的养护技术方案，建有工种齐全和相对稳定的养护队伍，绿化养护技术措施比较完善，管理基本到位、得当，植物配置科学合理，基本达到黄土不裸露，绿地总体景观较好。</w:t>
      </w:r>
    </w:p>
    <w:p>
      <w:pPr>
        <w:pStyle w:val="25"/>
        <w:widowControl/>
        <w:spacing w:line="360" w:lineRule="auto"/>
        <w:ind w:firstLine="768" w:firstLineChars="366"/>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 xml:space="preserve">2.2 </w:t>
      </w:r>
      <w:r>
        <w:rPr>
          <w:rStyle w:val="29"/>
          <w:rFonts w:hint="eastAsia" w:asciiTheme="minorEastAsia" w:hAnsiTheme="minorEastAsia" w:eastAsiaTheme="minorEastAsia" w:cstheme="minorEastAsia"/>
          <w:sz w:val="21"/>
          <w:szCs w:val="21"/>
        </w:rPr>
        <w:t>园林植物</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）草坪植物生长旺盛、叶片大小、色泽正常、无杂草，高度控制在</w:t>
      </w:r>
      <w:r>
        <w:rPr>
          <w:rStyle w:val="27"/>
          <w:rFonts w:hint="eastAsia" w:asciiTheme="minorEastAsia" w:hAnsiTheme="minorEastAsia" w:eastAsiaTheme="minorEastAsia" w:cstheme="minorEastAsia"/>
          <w:sz w:val="21"/>
          <w:szCs w:val="21"/>
        </w:rPr>
        <w:t>8</w:t>
      </w:r>
      <w:r>
        <w:rPr>
          <w:rStyle w:val="28"/>
          <w:rFonts w:hint="eastAsia" w:asciiTheme="minorEastAsia" w:hAnsiTheme="minorEastAsia" w:eastAsiaTheme="minorEastAsia" w:cstheme="minorEastAsia"/>
          <w:sz w:val="21"/>
          <w:szCs w:val="21"/>
        </w:rPr>
        <w:t>厘米以内，无明显裸露地面，基本无枯黄叶，枯黄率控制在</w:t>
      </w:r>
      <w:r>
        <w:rPr>
          <w:rStyle w:val="27"/>
          <w:rFonts w:hint="eastAsia" w:asciiTheme="minorEastAsia" w:hAnsiTheme="minorEastAsia" w:eastAsiaTheme="minorEastAsia" w:cstheme="minorEastAsia"/>
          <w:sz w:val="21"/>
          <w:szCs w:val="21"/>
        </w:rPr>
        <w:t>2%</w:t>
      </w:r>
      <w:r>
        <w:rPr>
          <w:rStyle w:val="28"/>
          <w:rFonts w:hint="eastAsia" w:asciiTheme="minorEastAsia" w:hAnsiTheme="minorEastAsia" w:eastAsiaTheme="minorEastAsia" w:cstheme="minorEastAsia"/>
          <w:sz w:val="21"/>
          <w:szCs w:val="21"/>
        </w:rPr>
        <w:t>以内；其他植物的新梢枝叶萌发正常，叶片大小和色泽正常，基本无枯枝败叶。</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2</w:t>
      </w:r>
      <w:r>
        <w:rPr>
          <w:rStyle w:val="28"/>
          <w:rFonts w:hint="eastAsia" w:asciiTheme="minorEastAsia" w:hAnsiTheme="minorEastAsia" w:eastAsiaTheme="minorEastAsia" w:cstheme="minorEastAsia"/>
          <w:sz w:val="21"/>
          <w:szCs w:val="21"/>
        </w:rPr>
        <w:t>）乔木树冠、株型保持基本完整，生长与开花结果正常；主侧枝分布基本合理，分枝点高度与树种特性基本相适应，分枝不影响浏览及观景</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数量适宜、修剪科学合理。基本无死株、缺株。广场树木的体量、高度基本保持一致，倾斜率小于</w:t>
      </w:r>
      <w:r>
        <w:rPr>
          <w:rStyle w:val="27"/>
          <w:rFonts w:hint="eastAsia" w:asciiTheme="minorEastAsia" w:hAnsiTheme="minorEastAsia" w:eastAsiaTheme="minorEastAsia" w:cstheme="minorEastAsia"/>
          <w:sz w:val="21"/>
          <w:szCs w:val="21"/>
        </w:rPr>
        <w:t>5%</w:t>
      </w:r>
      <w:r>
        <w:rPr>
          <w:rStyle w:val="28"/>
          <w:rFonts w:hint="eastAsia" w:asciiTheme="minorEastAsia" w:hAnsiTheme="minorEastAsia" w:eastAsiaTheme="minorEastAsia" w:cstheme="minorEastAsia"/>
          <w:sz w:val="21"/>
          <w:szCs w:val="21"/>
        </w:rPr>
        <w:t>。造型植物修剪合理，线条基本齐整、圆滑。修剪时要考虑其生长发育特点，整形效果需与环境协调。清理及修剪的枯枝叶和杂草要随剪随收，集中清理弃运，禁止乱堆乱放或焚烧处理。</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3</w:t>
      </w:r>
      <w:r>
        <w:rPr>
          <w:rStyle w:val="28"/>
          <w:rFonts w:hint="eastAsia" w:asciiTheme="minorEastAsia" w:hAnsiTheme="minorEastAsia" w:eastAsiaTheme="minorEastAsia" w:cstheme="minorEastAsia"/>
          <w:sz w:val="21"/>
          <w:szCs w:val="21"/>
        </w:rPr>
        <w:t>）花灌木生长正常，株型完整、丰满，开花正常，花后修剪合理、及时。木本地被植物生长正常，基本无杂草，无死株、缺株。</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4</w:t>
      </w:r>
      <w:r>
        <w:rPr>
          <w:rStyle w:val="28"/>
          <w:rFonts w:hint="eastAsia" w:asciiTheme="minorEastAsia" w:hAnsiTheme="minorEastAsia" w:eastAsiaTheme="minorEastAsia" w:cstheme="minorEastAsia"/>
          <w:sz w:val="21"/>
          <w:szCs w:val="21"/>
        </w:rPr>
        <w:t>）花坛、花带、花台植物生长良好，花卉管养要达到整齐美观、四季常绿、生势旺盛、高度基本一致，修剪合理且叶片大小、色泽正常，及时摘除残花败叶，基本无枯黄叶的效果。要求根据生长需要加强淋水和施肥，保证水肥充足，及时清除杂物、垃圾、纸屑，无积水，杂草的覆盖率确保不超过规定范围。</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5</w:t>
      </w:r>
      <w:r>
        <w:rPr>
          <w:rStyle w:val="28"/>
          <w:rFonts w:hint="eastAsia" w:asciiTheme="minorEastAsia" w:hAnsiTheme="minorEastAsia" w:eastAsiaTheme="minorEastAsia" w:cstheme="minorEastAsia"/>
          <w:sz w:val="21"/>
          <w:szCs w:val="21"/>
        </w:rPr>
        <w:t>）绿篱生长旺盛，修剪整齐、合理，无死株，无明显断垄，无高草杂草，无明显病虫害发生。</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6</w:t>
      </w:r>
      <w:r>
        <w:rPr>
          <w:rStyle w:val="28"/>
          <w:rFonts w:hint="eastAsia" w:asciiTheme="minorEastAsia" w:hAnsiTheme="minorEastAsia" w:eastAsiaTheme="minorEastAsia" w:cstheme="minorEastAsia"/>
          <w:sz w:val="21"/>
          <w:szCs w:val="21"/>
        </w:rPr>
        <w:t>）藤本植物生长正常，开花适时，应根据不同植物的攀缘特点，及时采取相应的牵引、设置网架等技术措施，视攀缘植物生长习性，覆盖率不低于</w:t>
      </w:r>
      <w:r>
        <w:rPr>
          <w:rStyle w:val="27"/>
          <w:rFonts w:hint="eastAsia" w:asciiTheme="minorEastAsia" w:hAnsiTheme="minorEastAsia" w:eastAsiaTheme="minorEastAsia" w:cstheme="minorEastAsia"/>
          <w:sz w:val="21"/>
          <w:szCs w:val="21"/>
        </w:rPr>
        <w:t>85%</w:t>
      </w:r>
      <w:r>
        <w:rPr>
          <w:rStyle w:val="28"/>
          <w:rFonts w:hint="eastAsia" w:asciiTheme="minorEastAsia" w:hAnsiTheme="minorEastAsia" w:eastAsiaTheme="minorEastAsia" w:cstheme="minorEastAsia"/>
          <w:sz w:val="21"/>
          <w:szCs w:val="21"/>
        </w:rPr>
        <w:t>。每年常规修剪一次，</w:t>
      </w:r>
      <w:r>
        <w:rPr>
          <w:rStyle w:val="27"/>
          <w:rFonts w:hint="eastAsia" w:asciiTheme="minorEastAsia" w:hAnsiTheme="minorEastAsia" w:eastAsiaTheme="minorEastAsia" w:cstheme="minorEastAsia"/>
          <w:sz w:val="21"/>
          <w:szCs w:val="21"/>
        </w:rPr>
        <w:t>2-3</w:t>
      </w:r>
      <w:r>
        <w:rPr>
          <w:rStyle w:val="28"/>
          <w:rFonts w:hint="eastAsia" w:asciiTheme="minorEastAsia" w:hAnsiTheme="minorEastAsia" w:eastAsiaTheme="minorEastAsia" w:cstheme="minorEastAsia"/>
          <w:sz w:val="21"/>
          <w:szCs w:val="21"/>
        </w:rPr>
        <w:t>年理藤一次。</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（7）及时清理死苗，一周内补植回原来的种类并力求规格与原来植株接近，以保证优良的景观效果（如需补苗 苗木费另计）。</w:t>
      </w:r>
    </w:p>
    <w:p>
      <w:pPr>
        <w:pStyle w:val="25"/>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 xml:space="preserve">2.3 </w:t>
      </w:r>
      <w:r>
        <w:rPr>
          <w:rStyle w:val="29"/>
          <w:rFonts w:hint="eastAsia" w:asciiTheme="minorEastAsia" w:hAnsiTheme="minorEastAsia" w:eastAsiaTheme="minorEastAsia" w:cstheme="minorEastAsia"/>
          <w:sz w:val="21"/>
          <w:szCs w:val="21"/>
        </w:rPr>
        <w:t>绿化保洁</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）周一至周日，上班时间</w:t>
      </w:r>
      <w:r>
        <w:rPr>
          <w:rStyle w:val="28"/>
          <w:rFonts w:hint="eastAsia" w:asciiTheme="minorEastAsia" w:hAnsiTheme="minorEastAsia" w:eastAsiaTheme="minorEastAsia" w:cstheme="minorEastAsia"/>
          <w:sz w:val="21"/>
          <w:szCs w:val="21"/>
          <w:lang w:val="en-US" w:eastAsia="zh-CN"/>
        </w:rPr>
        <w:t>7</w:t>
      </w:r>
      <w:r>
        <w:rPr>
          <w:rStyle w:val="28"/>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lang w:val="en-US" w:eastAsia="zh-CN"/>
        </w:rPr>
        <w:t>00</w:t>
      </w:r>
      <w:r>
        <w:rPr>
          <w:rStyle w:val="27"/>
          <w:rFonts w:hint="eastAsia" w:asciiTheme="minorEastAsia" w:hAnsiTheme="minorEastAsia" w:eastAsiaTheme="minorEastAsia" w:cstheme="minorEastAsia"/>
          <w:sz w:val="21"/>
          <w:szCs w:val="21"/>
        </w:rPr>
        <w:t>-2</w:t>
      </w:r>
      <w:r>
        <w:rPr>
          <w:rStyle w:val="27"/>
          <w:rFonts w:hint="eastAsia" w:asciiTheme="minorEastAsia" w:hAnsiTheme="minorEastAsia" w:eastAsiaTheme="minorEastAsia" w:cstheme="minorEastAsia"/>
          <w:sz w:val="21"/>
          <w:szCs w:val="21"/>
          <w:lang w:val="en-US" w:eastAsia="zh-CN"/>
        </w:rPr>
        <w:t>2</w:t>
      </w:r>
      <w:r>
        <w:rPr>
          <w:rStyle w:val="28"/>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lang w:val="en-US" w:eastAsia="zh-CN"/>
        </w:rPr>
        <w:t>00</w:t>
      </w:r>
      <w:r>
        <w:rPr>
          <w:rStyle w:val="28"/>
          <w:rFonts w:hint="eastAsia" w:asciiTheme="minorEastAsia" w:hAnsiTheme="minorEastAsia" w:eastAsiaTheme="minorEastAsia" w:cstheme="minorEastAsia"/>
          <w:sz w:val="21"/>
          <w:szCs w:val="21"/>
        </w:rPr>
        <w:t>。遇检查日、节假日按实际要求延长保洁时间。</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2</w:t>
      </w:r>
      <w:r>
        <w:rPr>
          <w:rStyle w:val="28"/>
          <w:rFonts w:hint="eastAsia" w:asciiTheme="minorEastAsia" w:hAnsiTheme="minorEastAsia" w:eastAsiaTheme="minorEastAsia" w:cstheme="minorEastAsia"/>
          <w:sz w:val="21"/>
          <w:szCs w:val="21"/>
        </w:rPr>
        <w:t>）规范所管辖绿化带、绿地小广场、花坛所属区域的保洁工作，清除树穴内、绿化带、绿地小广场、花坛的杂草、垃圾，绿地整洁，无杂物，绿化生产垃圾（如树枝、树叶、草屑等）、绿地内杂物应日产日清，做到保洁及时。确保所属区域的卫生良好，环境整洁。</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3</w:t>
      </w:r>
      <w:r>
        <w:rPr>
          <w:rStyle w:val="28"/>
          <w:rFonts w:hint="eastAsia" w:asciiTheme="minorEastAsia" w:hAnsiTheme="minorEastAsia" w:eastAsiaTheme="minorEastAsia" w:cstheme="minorEastAsia"/>
          <w:sz w:val="21"/>
          <w:szCs w:val="21"/>
        </w:rPr>
        <w:t>）本项目环境消毒服务包括绿化带、绿地小广场、花坛消毒、灭四害（灭老鼠、蟑螂等）、预防流行性疾病、传播性病毒消杀服务；</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4</w:t>
      </w:r>
      <w:r>
        <w:rPr>
          <w:rStyle w:val="28"/>
          <w:rFonts w:hint="eastAsia" w:asciiTheme="minorEastAsia" w:hAnsiTheme="minorEastAsia" w:eastAsiaTheme="minorEastAsia" w:cstheme="minorEastAsia"/>
          <w:sz w:val="21"/>
          <w:szCs w:val="21"/>
        </w:rPr>
        <w:t>）绿地完整，无堆物、堆料、搭棚、乱张贴、涂乌、乱挂乱拉、焚烧杂物，树干上无钉拴刻画等现象，不能出现垃圾连片的地方。</w:t>
      </w:r>
    </w:p>
    <w:p>
      <w:pPr>
        <w:pStyle w:val="25"/>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 xml:space="preserve">2.4 </w:t>
      </w:r>
      <w:r>
        <w:rPr>
          <w:rStyle w:val="29"/>
          <w:rFonts w:hint="eastAsia" w:asciiTheme="minorEastAsia" w:hAnsiTheme="minorEastAsia" w:eastAsiaTheme="minorEastAsia" w:cstheme="minorEastAsia"/>
          <w:sz w:val="21"/>
          <w:szCs w:val="21"/>
        </w:rPr>
        <w:t>园建设施</w:t>
      </w:r>
    </w:p>
    <w:p>
      <w:pPr>
        <w:pStyle w:val="26"/>
        <w:widowControl/>
        <w:spacing w:line="360" w:lineRule="auto"/>
        <w:ind w:firstLine="768" w:firstLineChars="366"/>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园路、绿化井盖和标识牌等园林设施完整、安全，维护及时，并按合同要求及时翻新。</w:t>
      </w:r>
    </w:p>
    <w:p>
      <w:pPr>
        <w:pStyle w:val="25"/>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 xml:space="preserve">2.5 </w:t>
      </w:r>
      <w:r>
        <w:rPr>
          <w:rStyle w:val="29"/>
          <w:rFonts w:hint="eastAsia" w:asciiTheme="minorEastAsia" w:hAnsiTheme="minorEastAsia" w:eastAsiaTheme="minorEastAsia" w:cstheme="minorEastAsia"/>
          <w:sz w:val="21"/>
          <w:szCs w:val="21"/>
        </w:rPr>
        <w:t>施肥要求</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乔灌木每年不少于</w:t>
      </w:r>
      <w:r>
        <w:rPr>
          <w:rStyle w:val="27"/>
          <w:rFonts w:hint="eastAsia" w:asciiTheme="minorEastAsia" w:hAnsiTheme="minorEastAsia" w:eastAsiaTheme="minorEastAsia" w:cstheme="minorEastAsia"/>
          <w:sz w:val="21"/>
          <w:szCs w:val="21"/>
        </w:rPr>
        <w:t>2</w:t>
      </w:r>
      <w:r>
        <w:rPr>
          <w:rStyle w:val="28"/>
          <w:rFonts w:hint="eastAsia" w:asciiTheme="minorEastAsia" w:hAnsiTheme="minorEastAsia" w:eastAsiaTheme="minorEastAsia" w:cstheme="minorEastAsia"/>
          <w:sz w:val="21"/>
          <w:szCs w:val="21"/>
        </w:rPr>
        <w:t>次，</w:t>
      </w:r>
      <w:r>
        <w:rPr>
          <w:rStyle w:val="27"/>
          <w:rFonts w:hint="eastAsia" w:asciiTheme="minorEastAsia" w:hAnsiTheme="minorEastAsia" w:eastAsiaTheme="minorEastAsia" w:cstheme="minorEastAsia"/>
          <w:sz w:val="21"/>
          <w:szCs w:val="21"/>
        </w:rPr>
        <w:t>2—3</w:t>
      </w:r>
      <w:r>
        <w:rPr>
          <w:rStyle w:val="28"/>
          <w:rFonts w:hint="eastAsia" w:asciiTheme="minorEastAsia" w:hAnsiTheme="minorEastAsia" w:eastAsiaTheme="minorEastAsia" w:cstheme="minorEastAsia"/>
          <w:sz w:val="21"/>
          <w:szCs w:val="21"/>
        </w:rPr>
        <w:t>月和</w:t>
      </w:r>
      <w:r>
        <w:rPr>
          <w:rStyle w:val="27"/>
          <w:rFonts w:hint="eastAsia" w:asciiTheme="minorEastAsia" w:hAnsiTheme="minorEastAsia" w:eastAsiaTheme="minorEastAsia" w:cstheme="minorEastAsia"/>
          <w:sz w:val="21"/>
          <w:szCs w:val="21"/>
        </w:rPr>
        <w:t xml:space="preserve"> 9—10</w:t>
      </w:r>
      <w:r>
        <w:rPr>
          <w:rStyle w:val="28"/>
          <w:rFonts w:hint="eastAsia" w:asciiTheme="minorEastAsia" w:hAnsiTheme="minorEastAsia" w:eastAsiaTheme="minorEastAsia" w:cstheme="minorEastAsia"/>
          <w:sz w:val="21"/>
          <w:szCs w:val="21"/>
        </w:rPr>
        <w:t>月重点进行施肥，复合肥和基肥结合，每次</w:t>
      </w:r>
      <w:r>
        <w:rPr>
          <w:rStyle w:val="27"/>
          <w:rFonts w:hint="eastAsia" w:asciiTheme="minorEastAsia" w:hAnsiTheme="minorEastAsia" w:eastAsiaTheme="minorEastAsia" w:cstheme="minorEastAsia"/>
          <w:sz w:val="21"/>
          <w:szCs w:val="21"/>
        </w:rPr>
        <w:t>2—3</w:t>
      </w:r>
      <w:r>
        <w:rPr>
          <w:rStyle w:val="28"/>
          <w:rFonts w:hint="eastAsia" w:asciiTheme="minorEastAsia" w:hAnsiTheme="minorEastAsia" w:eastAsiaTheme="minorEastAsia" w:cstheme="minorEastAsia"/>
          <w:sz w:val="21"/>
          <w:szCs w:val="21"/>
        </w:rPr>
        <w:t>千克</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株，对角埋施，新种、补种、生长势弱树木可适时适量多施；观花灌木每年不少于</w:t>
      </w:r>
      <w:r>
        <w:rPr>
          <w:rStyle w:val="27"/>
          <w:rFonts w:hint="eastAsia" w:asciiTheme="minorEastAsia" w:hAnsiTheme="minorEastAsia" w:eastAsiaTheme="minorEastAsia" w:cstheme="minorEastAsia"/>
          <w:sz w:val="21"/>
          <w:szCs w:val="21"/>
        </w:rPr>
        <w:t>3</w:t>
      </w:r>
      <w:r>
        <w:rPr>
          <w:rStyle w:val="28"/>
          <w:rFonts w:hint="eastAsia" w:asciiTheme="minorEastAsia" w:hAnsiTheme="minorEastAsia" w:eastAsiaTheme="minorEastAsia" w:cstheme="minorEastAsia"/>
          <w:sz w:val="21"/>
          <w:szCs w:val="21"/>
        </w:rPr>
        <w:t>次，每次</w:t>
      </w:r>
      <w:r>
        <w:rPr>
          <w:rStyle w:val="27"/>
          <w:rFonts w:hint="eastAsia" w:asciiTheme="minorEastAsia" w:hAnsiTheme="minorEastAsia" w:eastAsiaTheme="minorEastAsia" w:cstheme="minorEastAsia"/>
          <w:sz w:val="21"/>
          <w:szCs w:val="21"/>
        </w:rPr>
        <w:t xml:space="preserve"> 0.5</w:t>
      </w:r>
      <w:r>
        <w:rPr>
          <w:rStyle w:val="28"/>
          <w:rFonts w:hint="eastAsia" w:asciiTheme="minorEastAsia" w:hAnsiTheme="minorEastAsia" w:eastAsiaTheme="minorEastAsia" w:cstheme="minorEastAsia"/>
          <w:sz w:val="21"/>
          <w:szCs w:val="21"/>
        </w:rPr>
        <w:t>千克</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株；成片花卉每月撒施复合肥</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次，每次</w:t>
      </w:r>
      <w:r>
        <w:rPr>
          <w:rStyle w:val="27"/>
          <w:rFonts w:hint="eastAsia" w:asciiTheme="minorEastAsia" w:hAnsiTheme="minorEastAsia" w:eastAsiaTheme="minorEastAsia" w:cstheme="minorEastAsia"/>
          <w:sz w:val="21"/>
          <w:szCs w:val="21"/>
        </w:rPr>
        <w:t>0.15</w:t>
      </w:r>
      <w:r>
        <w:rPr>
          <w:rStyle w:val="28"/>
          <w:rFonts w:hint="eastAsia" w:asciiTheme="minorEastAsia" w:hAnsiTheme="minorEastAsia" w:eastAsiaTheme="minorEastAsia" w:cstheme="minorEastAsia"/>
          <w:sz w:val="21"/>
          <w:szCs w:val="21"/>
        </w:rPr>
        <w:t>千克</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平方米，每年根据其长势和覆盖率情况适当施基肥</w:t>
      </w:r>
      <w:r>
        <w:rPr>
          <w:rStyle w:val="27"/>
          <w:rFonts w:hint="eastAsia" w:asciiTheme="minorEastAsia" w:hAnsiTheme="minorEastAsia" w:eastAsiaTheme="minorEastAsia" w:cstheme="minorEastAsia"/>
          <w:sz w:val="21"/>
          <w:szCs w:val="21"/>
        </w:rPr>
        <w:t>1—2</w:t>
      </w:r>
      <w:r>
        <w:rPr>
          <w:rStyle w:val="28"/>
          <w:rFonts w:hint="eastAsia" w:asciiTheme="minorEastAsia" w:hAnsiTheme="minorEastAsia" w:eastAsiaTheme="minorEastAsia" w:cstheme="minorEastAsia"/>
          <w:sz w:val="21"/>
          <w:szCs w:val="21"/>
        </w:rPr>
        <w:t>次，每次</w:t>
      </w:r>
      <w:r>
        <w:rPr>
          <w:rStyle w:val="27"/>
          <w:rFonts w:hint="eastAsia" w:asciiTheme="minorEastAsia" w:hAnsiTheme="minorEastAsia" w:eastAsiaTheme="minorEastAsia" w:cstheme="minorEastAsia"/>
          <w:sz w:val="21"/>
          <w:szCs w:val="21"/>
        </w:rPr>
        <w:t>0.5</w:t>
      </w:r>
      <w:r>
        <w:rPr>
          <w:rStyle w:val="28"/>
          <w:rFonts w:hint="eastAsia" w:asciiTheme="minorEastAsia" w:hAnsiTheme="minorEastAsia" w:eastAsiaTheme="minorEastAsia" w:cstheme="minorEastAsia"/>
          <w:sz w:val="21"/>
          <w:szCs w:val="21"/>
        </w:rPr>
        <w:t>千克</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平方米；绿篱每年撒施复合肥不少于</w:t>
      </w:r>
      <w:r>
        <w:rPr>
          <w:rStyle w:val="27"/>
          <w:rFonts w:hint="eastAsia" w:asciiTheme="minorEastAsia" w:hAnsiTheme="minorEastAsia" w:eastAsiaTheme="minorEastAsia" w:cstheme="minorEastAsia"/>
          <w:sz w:val="21"/>
          <w:szCs w:val="21"/>
        </w:rPr>
        <w:t>2</w:t>
      </w:r>
      <w:r>
        <w:rPr>
          <w:rStyle w:val="28"/>
          <w:rFonts w:hint="eastAsia" w:asciiTheme="minorEastAsia" w:hAnsiTheme="minorEastAsia" w:eastAsiaTheme="minorEastAsia" w:cstheme="minorEastAsia"/>
          <w:sz w:val="21"/>
          <w:szCs w:val="21"/>
        </w:rPr>
        <w:t>次，每次</w:t>
      </w:r>
      <w:r>
        <w:rPr>
          <w:rStyle w:val="27"/>
          <w:rFonts w:hint="eastAsia" w:asciiTheme="minorEastAsia" w:hAnsiTheme="minorEastAsia" w:eastAsiaTheme="minorEastAsia" w:cstheme="minorEastAsia"/>
          <w:sz w:val="21"/>
          <w:szCs w:val="21"/>
        </w:rPr>
        <w:t xml:space="preserve">0.15 </w:t>
      </w:r>
      <w:r>
        <w:rPr>
          <w:rStyle w:val="28"/>
          <w:rFonts w:hint="eastAsia" w:asciiTheme="minorEastAsia" w:hAnsiTheme="minorEastAsia" w:eastAsiaTheme="minorEastAsia" w:cstheme="minorEastAsia"/>
          <w:sz w:val="21"/>
          <w:szCs w:val="21"/>
        </w:rPr>
        <w:t>千克</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平方米，每年根据其长势和覆盖率情况适当施基肥</w:t>
      </w:r>
      <w:r>
        <w:rPr>
          <w:rStyle w:val="27"/>
          <w:rFonts w:hint="eastAsia" w:asciiTheme="minorEastAsia" w:hAnsiTheme="minorEastAsia" w:eastAsiaTheme="minorEastAsia" w:cstheme="minorEastAsia"/>
          <w:sz w:val="21"/>
          <w:szCs w:val="21"/>
        </w:rPr>
        <w:t xml:space="preserve">1—2 </w:t>
      </w:r>
      <w:r>
        <w:rPr>
          <w:rStyle w:val="28"/>
          <w:rFonts w:hint="eastAsia" w:asciiTheme="minorEastAsia" w:hAnsiTheme="minorEastAsia" w:eastAsiaTheme="minorEastAsia" w:cstheme="minorEastAsia"/>
          <w:sz w:val="21"/>
          <w:szCs w:val="21"/>
        </w:rPr>
        <w:t>次，每次</w:t>
      </w:r>
      <w:r>
        <w:rPr>
          <w:rStyle w:val="27"/>
          <w:rFonts w:hint="eastAsia" w:asciiTheme="minorEastAsia" w:hAnsiTheme="minorEastAsia" w:eastAsiaTheme="minorEastAsia" w:cstheme="minorEastAsia"/>
          <w:sz w:val="21"/>
          <w:szCs w:val="21"/>
        </w:rPr>
        <w:t>0.5</w:t>
      </w:r>
      <w:r>
        <w:rPr>
          <w:rStyle w:val="28"/>
          <w:rFonts w:hint="eastAsia" w:asciiTheme="minorEastAsia" w:hAnsiTheme="minorEastAsia" w:eastAsiaTheme="minorEastAsia" w:cstheme="minorEastAsia"/>
          <w:sz w:val="21"/>
          <w:szCs w:val="21"/>
        </w:rPr>
        <w:t>千克</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平方米；草地、地被每年不少于</w:t>
      </w:r>
      <w:r>
        <w:rPr>
          <w:rStyle w:val="27"/>
          <w:rFonts w:hint="eastAsia" w:asciiTheme="minorEastAsia" w:hAnsiTheme="minorEastAsia" w:eastAsiaTheme="minorEastAsia" w:cstheme="minorEastAsia"/>
          <w:sz w:val="21"/>
          <w:szCs w:val="21"/>
        </w:rPr>
        <w:t xml:space="preserve">2 </w:t>
      </w:r>
      <w:r>
        <w:rPr>
          <w:rStyle w:val="28"/>
          <w:rFonts w:hint="eastAsia" w:asciiTheme="minorEastAsia" w:hAnsiTheme="minorEastAsia" w:eastAsiaTheme="minorEastAsia" w:cstheme="minorEastAsia"/>
          <w:sz w:val="21"/>
          <w:szCs w:val="21"/>
        </w:rPr>
        <w:t>次，每次施尿素</w:t>
      </w:r>
      <w:r>
        <w:rPr>
          <w:rStyle w:val="27"/>
          <w:rFonts w:hint="eastAsia" w:asciiTheme="minorEastAsia" w:hAnsiTheme="minorEastAsia" w:eastAsiaTheme="minorEastAsia" w:cstheme="minorEastAsia"/>
          <w:sz w:val="21"/>
          <w:szCs w:val="21"/>
        </w:rPr>
        <w:t>0.1</w:t>
      </w:r>
      <w:r>
        <w:rPr>
          <w:rStyle w:val="28"/>
          <w:rFonts w:hint="eastAsia" w:asciiTheme="minorEastAsia" w:hAnsiTheme="minorEastAsia" w:eastAsiaTheme="minorEastAsia" w:cstheme="minorEastAsia"/>
          <w:sz w:val="21"/>
          <w:szCs w:val="21"/>
        </w:rPr>
        <w:t>千克</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平方米。</w:t>
      </w:r>
    </w:p>
    <w:p>
      <w:pPr>
        <w:pStyle w:val="25"/>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 xml:space="preserve">2.6 </w:t>
      </w:r>
      <w:r>
        <w:rPr>
          <w:rStyle w:val="29"/>
          <w:rFonts w:hint="eastAsia" w:asciiTheme="minorEastAsia" w:hAnsiTheme="minorEastAsia" w:eastAsiaTheme="minorEastAsia" w:cstheme="minorEastAsia"/>
          <w:sz w:val="21"/>
          <w:szCs w:val="21"/>
        </w:rPr>
        <w:t>苗木修剪</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）绿化带、绿地小广场、花坛内的自然形乔木每年不少于</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次，造型乔木每年不少于</w:t>
      </w:r>
      <w:r>
        <w:rPr>
          <w:rStyle w:val="27"/>
          <w:rFonts w:hint="eastAsia" w:asciiTheme="minorEastAsia" w:hAnsiTheme="minorEastAsia" w:eastAsiaTheme="minorEastAsia" w:cstheme="minorEastAsia"/>
          <w:sz w:val="21"/>
          <w:szCs w:val="21"/>
        </w:rPr>
        <w:t>3</w:t>
      </w:r>
      <w:r>
        <w:rPr>
          <w:rStyle w:val="28"/>
          <w:rFonts w:hint="eastAsia" w:asciiTheme="minorEastAsia" w:hAnsiTheme="minorEastAsia" w:eastAsiaTheme="minorEastAsia" w:cstheme="minorEastAsia"/>
          <w:sz w:val="21"/>
          <w:szCs w:val="21"/>
        </w:rPr>
        <w:t>次，主要修剪内膛枝、徒长枝、病虫枝、交叉枝、下垂枝、扭伤枝及枯枝烂头等。庭荫树的分枝点应随着树木生长逐步提高。</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2</w:t>
      </w:r>
      <w:r>
        <w:rPr>
          <w:rStyle w:val="28"/>
          <w:rFonts w:hint="eastAsia" w:asciiTheme="minorEastAsia" w:hAnsiTheme="minorEastAsia" w:eastAsiaTheme="minorEastAsia" w:cstheme="minorEastAsia"/>
          <w:sz w:val="21"/>
          <w:szCs w:val="21"/>
        </w:rPr>
        <w:t>）自然形灌木每年不少于</w:t>
      </w:r>
      <w:r>
        <w:rPr>
          <w:rStyle w:val="27"/>
          <w:rFonts w:hint="eastAsia" w:asciiTheme="minorEastAsia" w:hAnsiTheme="minorEastAsia" w:eastAsiaTheme="minorEastAsia" w:cstheme="minorEastAsia"/>
          <w:sz w:val="21"/>
          <w:szCs w:val="21"/>
        </w:rPr>
        <w:t>4</w:t>
      </w:r>
      <w:r>
        <w:rPr>
          <w:rStyle w:val="28"/>
          <w:rFonts w:hint="eastAsia" w:asciiTheme="minorEastAsia" w:hAnsiTheme="minorEastAsia" w:eastAsiaTheme="minorEastAsia" w:cstheme="minorEastAsia"/>
          <w:sz w:val="21"/>
          <w:szCs w:val="21"/>
        </w:rPr>
        <w:t>次，造型灌木每月不少于</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次。灌木修剪应促进枝繁叶茂、分布均匀。花灌木修剪要有利于短枝和花芽的形成，遵循</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自下而上、先内后外、去弱留强、去老留新</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的原则进行修剪。</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3</w:t>
      </w:r>
      <w:r>
        <w:rPr>
          <w:rStyle w:val="28"/>
          <w:rFonts w:hint="eastAsia" w:asciiTheme="minorEastAsia" w:hAnsiTheme="minorEastAsia" w:eastAsiaTheme="minorEastAsia" w:cstheme="minorEastAsia"/>
          <w:sz w:val="21"/>
          <w:szCs w:val="21"/>
        </w:rPr>
        <w:t>）绿篱修剪一般按造型修剪的方法进行，按照规定的形状和高度修剪。每次修剪应保持形状轮廓线条清晰、表面平整、圆滑。修剪后新梢生长超过</w:t>
      </w:r>
      <w:r>
        <w:rPr>
          <w:rStyle w:val="27"/>
          <w:rFonts w:hint="eastAsia" w:asciiTheme="minorEastAsia" w:hAnsiTheme="minorEastAsia" w:eastAsiaTheme="minorEastAsia" w:cstheme="minorEastAsia"/>
          <w:sz w:val="21"/>
          <w:szCs w:val="21"/>
        </w:rPr>
        <w:t>10</w:t>
      </w:r>
      <w:r>
        <w:rPr>
          <w:rStyle w:val="28"/>
          <w:rFonts w:hint="eastAsia" w:asciiTheme="minorEastAsia" w:hAnsiTheme="minorEastAsia" w:eastAsiaTheme="minorEastAsia" w:cstheme="minorEastAsia"/>
          <w:sz w:val="21"/>
          <w:szCs w:val="21"/>
        </w:rPr>
        <w:t>厘米时，应进行第二次修剪。</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4</w:t>
      </w:r>
      <w:r>
        <w:rPr>
          <w:rStyle w:val="28"/>
          <w:rFonts w:hint="eastAsia" w:asciiTheme="minorEastAsia" w:hAnsiTheme="minorEastAsia" w:eastAsiaTheme="minorEastAsia" w:cstheme="minorEastAsia"/>
          <w:sz w:val="21"/>
          <w:szCs w:val="21"/>
        </w:rPr>
        <w:t>）草坪修剪要促进分枝，加速覆盖功能</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修剪高度应保持在</w:t>
      </w:r>
      <w:r>
        <w:rPr>
          <w:rStyle w:val="27"/>
          <w:rFonts w:hint="eastAsia" w:asciiTheme="minorEastAsia" w:hAnsiTheme="minorEastAsia" w:eastAsiaTheme="minorEastAsia" w:cstheme="minorEastAsia"/>
          <w:sz w:val="21"/>
          <w:szCs w:val="21"/>
        </w:rPr>
        <w:t xml:space="preserve">8 </w:t>
      </w:r>
      <w:r>
        <w:rPr>
          <w:rStyle w:val="28"/>
          <w:rFonts w:hint="eastAsia" w:asciiTheme="minorEastAsia" w:hAnsiTheme="minorEastAsia" w:eastAsiaTheme="minorEastAsia" w:cstheme="minorEastAsia"/>
          <w:sz w:val="21"/>
          <w:szCs w:val="21"/>
        </w:rPr>
        <w:t>厘米以内，当草高超过</w:t>
      </w:r>
      <w:r>
        <w:rPr>
          <w:rStyle w:val="27"/>
          <w:rFonts w:hint="eastAsia" w:asciiTheme="minorEastAsia" w:hAnsiTheme="minorEastAsia" w:eastAsiaTheme="minorEastAsia" w:cstheme="minorEastAsia"/>
          <w:sz w:val="21"/>
          <w:szCs w:val="21"/>
        </w:rPr>
        <w:t>8</w:t>
      </w:r>
      <w:r>
        <w:rPr>
          <w:rStyle w:val="28"/>
          <w:rFonts w:hint="eastAsia" w:asciiTheme="minorEastAsia" w:hAnsiTheme="minorEastAsia" w:eastAsiaTheme="minorEastAsia" w:cstheme="minorEastAsia"/>
          <w:sz w:val="21"/>
          <w:szCs w:val="21"/>
        </w:rPr>
        <w:t>厘米时必须进行修剪。</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5</w:t>
      </w:r>
      <w:r>
        <w:rPr>
          <w:rStyle w:val="28"/>
          <w:rFonts w:hint="eastAsia" w:asciiTheme="minorEastAsia" w:hAnsiTheme="minorEastAsia" w:eastAsiaTheme="minorEastAsia" w:cstheme="minorEastAsia"/>
          <w:sz w:val="21"/>
          <w:szCs w:val="21"/>
        </w:rPr>
        <w:t>）休眠期修剪以整形为主，可稍重剪，生长期修剪以调整树势为主，宜轻剪。修剪要避开树木伤流盛期。绿化修剪后的枯枝干叶等，在修剪当天及时清理运走，并及时清除灌木丛上的修剪枝，苗木落叶当天及时清扫保洁。</w:t>
      </w:r>
    </w:p>
    <w:p>
      <w:pPr>
        <w:pStyle w:val="25"/>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2.7</w:t>
      </w:r>
      <w:r>
        <w:rPr>
          <w:rStyle w:val="29"/>
          <w:rFonts w:hint="eastAsia" w:asciiTheme="minorEastAsia" w:hAnsiTheme="minorEastAsia" w:eastAsiaTheme="minorEastAsia" w:cstheme="minorEastAsia"/>
          <w:sz w:val="21"/>
          <w:szCs w:val="21"/>
        </w:rPr>
        <w:t>浇灌</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）浇灌要求：旱季一般乔木</w:t>
      </w:r>
      <w:r>
        <w:rPr>
          <w:rStyle w:val="27"/>
          <w:rFonts w:hint="eastAsia" w:asciiTheme="minorEastAsia" w:hAnsiTheme="minorEastAsia" w:eastAsiaTheme="minorEastAsia" w:cstheme="minorEastAsia"/>
          <w:sz w:val="21"/>
          <w:szCs w:val="21"/>
        </w:rPr>
        <w:t>3—5</w:t>
      </w:r>
      <w:r>
        <w:rPr>
          <w:rStyle w:val="28"/>
          <w:rFonts w:hint="eastAsia" w:asciiTheme="minorEastAsia" w:hAnsiTheme="minorEastAsia" w:eastAsiaTheme="minorEastAsia" w:cstheme="minorEastAsia"/>
          <w:sz w:val="21"/>
          <w:szCs w:val="21"/>
        </w:rPr>
        <w:t>天浇灌</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次，新补植乔木，浇灌好定根水后，</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周内每天浇灌</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次；单丛灌木、成片花卉、绿篱一般</w:t>
      </w:r>
      <w:r>
        <w:rPr>
          <w:rStyle w:val="27"/>
          <w:rFonts w:hint="eastAsia" w:asciiTheme="minorEastAsia" w:hAnsiTheme="minorEastAsia" w:eastAsiaTheme="minorEastAsia" w:cstheme="minorEastAsia"/>
          <w:sz w:val="21"/>
          <w:szCs w:val="21"/>
        </w:rPr>
        <w:t>2—3</w:t>
      </w:r>
      <w:r>
        <w:rPr>
          <w:rStyle w:val="28"/>
          <w:rFonts w:hint="eastAsia" w:asciiTheme="minorEastAsia" w:hAnsiTheme="minorEastAsia" w:eastAsiaTheme="minorEastAsia" w:cstheme="minorEastAsia"/>
          <w:sz w:val="21"/>
          <w:szCs w:val="21"/>
        </w:rPr>
        <w:t>天浇灌</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次，补植后一周内每天浇灌</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次，施肥和补植需加强浇灌；草地、地被一般每天浇灌</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次。雨季根据天气情况适当调节。</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2</w:t>
      </w:r>
      <w:r>
        <w:rPr>
          <w:rStyle w:val="28"/>
          <w:rFonts w:hint="eastAsia" w:asciiTheme="minorEastAsia" w:hAnsiTheme="minorEastAsia" w:eastAsiaTheme="minorEastAsia" w:cstheme="minorEastAsia"/>
          <w:sz w:val="21"/>
          <w:szCs w:val="21"/>
        </w:rPr>
        <w:t>）浇灌的实施应科学、合理、宜采用喷灌或滴灌等节水方式。对于花坛及道路分车带内植物，在干旱季节，可进行叶面喷水。在花芽分化时应适当控制浇灌量，以免园林植物徒长。</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3</w:t>
      </w:r>
      <w:r>
        <w:rPr>
          <w:rStyle w:val="28"/>
          <w:rFonts w:hint="eastAsia" w:asciiTheme="minorEastAsia" w:hAnsiTheme="minorEastAsia" w:eastAsiaTheme="minorEastAsia" w:cstheme="minorEastAsia"/>
          <w:sz w:val="21"/>
          <w:szCs w:val="21"/>
        </w:rPr>
        <w:t>）日浇灌的时间应根据季节与气温决定，并注意控制水温与表土温差不宜太大，以免造成根系伤害。夏秋高温季节，浇灌应避开中午烈日，宜在早</w:t>
      </w:r>
      <w:r>
        <w:rPr>
          <w:rStyle w:val="27"/>
          <w:rFonts w:hint="eastAsia" w:asciiTheme="minorEastAsia" w:hAnsiTheme="minorEastAsia" w:eastAsiaTheme="minorEastAsia" w:cstheme="minorEastAsia"/>
          <w:sz w:val="21"/>
          <w:szCs w:val="21"/>
        </w:rPr>
        <w:t xml:space="preserve">10 </w:t>
      </w:r>
      <w:r>
        <w:rPr>
          <w:rStyle w:val="28"/>
          <w:rFonts w:hint="eastAsia" w:asciiTheme="minorEastAsia" w:hAnsiTheme="minorEastAsia" w:eastAsiaTheme="minorEastAsia" w:cstheme="minorEastAsia"/>
          <w:sz w:val="21"/>
          <w:szCs w:val="21"/>
        </w:rPr>
        <w:t>时之前或</w:t>
      </w:r>
      <w:r>
        <w:rPr>
          <w:rStyle w:val="27"/>
          <w:rFonts w:hint="eastAsia" w:asciiTheme="minorEastAsia" w:hAnsiTheme="minorEastAsia" w:eastAsiaTheme="minorEastAsia" w:cstheme="minorEastAsia"/>
          <w:sz w:val="21"/>
          <w:szCs w:val="21"/>
        </w:rPr>
        <w:t xml:space="preserve"> 16 </w:t>
      </w:r>
      <w:r>
        <w:rPr>
          <w:rStyle w:val="28"/>
          <w:rFonts w:hint="eastAsia" w:asciiTheme="minorEastAsia" w:hAnsiTheme="minorEastAsia" w:eastAsiaTheme="minorEastAsia" w:cstheme="minorEastAsia"/>
          <w:sz w:val="21"/>
          <w:szCs w:val="21"/>
        </w:rPr>
        <w:t>时之后进行；冬季及早春，宜在</w:t>
      </w:r>
      <w:r>
        <w:rPr>
          <w:rStyle w:val="27"/>
          <w:rFonts w:hint="eastAsia" w:asciiTheme="minorEastAsia" w:hAnsiTheme="minorEastAsia" w:eastAsiaTheme="minorEastAsia" w:cstheme="minorEastAsia"/>
          <w:sz w:val="21"/>
          <w:szCs w:val="21"/>
        </w:rPr>
        <w:t xml:space="preserve"> 10 </w:t>
      </w:r>
      <w:r>
        <w:rPr>
          <w:rStyle w:val="28"/>
          <w:rFonts w:hint="eastAsia" w:asciiTheme="minorEastAsia" w:hAnsiTheme="minorEastAsia" w:eastAsiaTheme="minorEastAsia" w:cstheme="minorEastAsia"/>
          <w:sz w:val="21"/>
          <w:szCs w:val="21"/>
        </w:rPr>
        <w:t>时至</w:t>
      </w:r>
      <w:r>
        <w:rPr>
          <w:rStyle w:val="27"/>
          <w:rFonts w:hint="eastAsia" w:asciiTheme="minorEastAsia" w:hAnsiTheme="minorEastAsia" w:eastAsiaTheme="minorEastAsia" w:cstheme="minorEastAsia"/>
          <w:sz w:val="21"/>
          <w:szCs w:val="21"/>
        </w:rPr>
        <w:t xml:space="preserve"> 16 </w:t>
      </w:r>
      <w:r>
        <w:rPr>
          <w:rStyle w:val="28"/>
          <w:rFonts w:hint="eastAsia" w:asciiTheme="minorEastAsia" w:hAnsiTheme="minorEastAsia" w:eastAsiaTheme="minorEastAsia" w:cstheme="minorEastAsia"/>
          <w:sz w:val="21"/>
          <w:szCs w:val="21"/>
        </w:rPr>
        <w:t>时之间进行。用机械进行浇水时，不宜在交通繁忙时段进行。</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4</w:t>
      </w:r>
      <w:r>
        <w:rPr>
          <w:rStyle w:val="28"/>
          <w:rFonts w:hint="eastAsia" w:asciiTheme="minorEastAsia" w:hAnsiTheme="minorEastAsia" w:eastAsiaTheme="minorEastAsia" w:cstheme="minorEastAsia"/>
          <w:sz w:val="21"/>
          <w:szCs w:val="21"/>
        </w:rPr>
        <w:t>）喷灌时应确保喷水的有效范围与园林植物的种植范围一致。</w:t>
      </w:r>
    </w:p>
    <w:p>
      <w:pPr>
        <w:pStyle w:val="25"/>
        <w:widowControl/>
        <w:spacing w:line="360" w:lineRule="auto"/>
        <w:rPr>
          <w:rFonts w:hint="eastAsia" w:asciiTheme="minorEastAsia" w:hAnsiTheme="minorEastAsia" w:eastAsiaTheme="minorEastAsia" w:cstheme="minorEastAsia"/>
          <w:color w:val="auto"/>
          <w:sz w:val="21"/>
          <w:szCs w:val="21"/>
        </w:rPr>
      </w:pPr>
      <w:r>
        <w:rPr>
          <w:rStyle w:val="28"/>
          <w:rFonts w:hint="eastAsia" w:asciiTheme="minorEastAsia" w:hAnsiTheme="minorEastAsia" w:eastAsiaTheme="minorEastAsia" w:cstheme="minorEastAsia"/>
          <w:color w:val="auto"/>
          <w:sz w:val="21"/>
          <w:szCs w:val="21"/>
        </w:rPr>
        <w:t xml:space="preserve">2.8 </w:t>
      </w:r>
      <w:r>
        <w:rPr>
          <w:rStyle w:val="29"/>
          <w:rFonts w:hint="eastAsia" w:asciiTheme="minorEastAsia" w:hAnsiTheme="minorEastAsia" w:eastAsiaTheme="minorEastAsia" w:cstheme="minorEastAsia"/>
          <w:color w:val="auto"/>
          <w:sz w:val="21"/>
          <w:szCs w:val="21"/>
        </w:rPr>
        <w:t>乔木涂白</w:t>
      </w:r>
    </w:p>
    <w:p>
      <w:pPr>
        <w:pStyle w:val="26"/>
        <w:widowControl/>
        <w:spacing w:line="360" w:lineRule="auto"/>
        <w:rPr>
          <w:rFonts w:hint="eastAsia" w:asciiTheme="minorEastAsia" w:hAnsiTheme="minorEastAsia" w:eastAsiaTheme="minorEastAsia" w:cstheme="minorEastAsia"/>
          <w:color w:val="auto"/>
          <w:sz w:val="21"/>
          <w:szCs w:val="21"/>
        </w:rPr>
      </w:pPr>
      <w:r>
        <w:rPr>
          <w:rStyle w:val="28"/>
          <w:rFonts w:hint="eastAsia" w:asciiTheme="minorEastAsia" w:hAnsiTheme="minorEastAsia" w:eastAsiaTheme="minorEastAsia" w:cstheme="minorEastAsia"/>
          <w:color w:val="auto"/>
          <w:sz w:val="21"/>
          <w:szCs w:val="21"/>
        </w:rPr>
        <w:t>每年</w:t>
      </w:r>
      <w:r>
        <w:rPr>
          <w:rStyle w:val="27"/>
          <w:rFonts w:hint="eastAsia" w:asciiTheme="minorEastAsia" w:hAnsiTheme="minorEastAsia" w:eastAsiaTheme="minorEastAsia" w:cstheme="minorEastAsia"/>
          <w:color w:val="auto"/>
          <w:sz w:val="21"/>
          <w:szCs w:val="21"/>
        </w:rPr>
        <w:t>5</w:t>
      </w:r>
      <w:r>
        <w:rPr>
          <w:rStyle w:val="28"/>
          <w:rFonts w:hint="eastAsia" w:asciiTheme="minorEastAsia" w:hAnsiTheme="minorEastAsia" w:eastAsiaTheme="minorEastAsia" w:cstheme="minorEastAsia"/>
          <w:color w:val="auto"/>
          <w:sz w:val="21"/>
          <w:szCs w:val="21"/>
        </w:rPr>
        <w:t>月和</w:t>
      </w:r>
      <w:r>
        <w:rPr>
          <w:rStyle w:val="27"/>
          <w:rFonts w:hint="eastAsia" w:asciiTheme="minorEastAsia" w:hAnsiTheme="minorEastAsia" w:eastAsiaTheme="minorEastAsia" w:cstheme="minorEastAsia"/>
          <w:color w:val="auto"/>
          <w:sz w:val="21"/>
          <w:szCs w:val="21"/>
        </w:rPr>
        <w:t>12</w:t>
      </w:r>
      <w:r>
        <w:rPr>
          <w:rStyle w:val="28"/>
          <w:rFonts w:hint="eastAsia" w:asciiTheme="minorEastAsia" w:hAnsiTheme="minorEastAsia" w:eastAsiaTheme="minorEastAsia" w:cstheme="minorEastAsia"/>
          <w:color w:val="auto"/>
          <w:sz w:val="21"/>
          <w:szCs w:val="21"/>
        </w:rPr>
        <w:t>月对绿化带、花坛内的乔木进行涂白，刷石灰水或石硫合剂各一次</w:t>
      </w:r>
      <w:r>
        <w:rPr>
          <w:rStyle w:val="27"/>
          <w:rFonts w:hint="eastAsia" w:asciiTheme="minorEastAsia" w:hAnsiTheme="minorEastAsia" w:eastAsiaTheme="minorEastAsia" w:cstheme="minorEastAsia"/>
          <w:color w:val="auto"/>
          <w:sz w:val="21"/>
          <w:szCs w:val="21"/>
        </w:rPr>
        <w:t>,</w:t>
      </w:r>
      <w:r>
        <w:rPr>
          <w:rStyle w:val="28"/>
          <w:rFonts w:hint="eastAsia" w:asciiTheme="minorEastAsia" w:hAnsiTheme="minorEastAsia" w:eastAsiaTheme="minorEastAsia" w:cstheme="minorEastAsia"/>
          <w:color w:val="auto"/>
          <w:sz w:val="21"/>
          <w:szCs w:val="21"/>
        </w:rPr>
        <w:t>减少病虫害发生和预防冻害，使乔木安全越冬。为美观，乔木涂白高度统一为</w:t>
      </w:r>
      <w:r>
        <w:rPr>
          <w:rStyle w:val="27"/>
          <w:rFonts w:hint="eastAsia" w:asciiTheme="minorEastAsia" w:hAnsiTheme="minorEastAsia" w:eastAsiaTheme="minorEastAsia" w:cstheme="minorEastAsia"/>
          <w:color w:val="auto"/>
          <w:sz w:val="21"/>
          <w:szCs w:val="21"/>
        </w:rPr>
        <w:t xml:space="preserve"> 1.2 </w:t>
      </w:r>
      <w:r>
        <w:rPr>
          <w:rStyle w:val="28"/>
          <w:rFonts w:hint="eastAsia" w:asciiTheme="minorEastAsia" w:hAnsiTheme="minorEastAsia" w:eastAsiaTheme="minorEastAsia" w:cstheme="minorEastAsia"/>
          <w:color w:val="auto"/>
          <w:sz w:val="21"/>
          <w:szCs w:val="21"/>
        </w:rPr>
        <w:t>米。</w:t>
      </w:r>
    </w:p>
    <w:p>
      <w:pPr>
        <w:pStyle w:val="26"/>
        <w:widowControl/>
        <w:spacing w:line="360" w:lineRule="auto"/>
        <w:ind w:firstLine="315" w:firstLineChars="150"/>
        <w:rPr>
          <w:rFonts w:hint="eastAsia" w:asciiTheme="minorEastAsia" w:hAnsiTheme="minorEastAsia" w:eastAsiaTheme="minorEastAsia" w:cstheme="minorEastAsia"/>
          <w:sz w:val="21"/>
          <w:szCs w:val="21"/>
        </w:rPr>
      </w:pPr>
      <w:r>
        <w:rPr>
          <w:rStyle w:val="27"/>
          <w:rFonts w:hint="eastAsia" w:asciiTheme="minorEastAsia" w:hAnsiTheme="minorEastAsia" w:eastAsiaTheme="minorEastAsia" w:cstheme="minorEastAsia"/>
          <w:sz w:val="21"/>
          <w:szCs w:val="21"/>
          <w:lang w:val="en-US" w:eastAsia="zh-CN"/>
        </w:rPr>
        <w:t>2</w:t>
      </w:r>
      <w:r>
        <w:rPr>
          <w:rStyle w:val="27"/>
          <w:rFonts w:hint="eastAsia" w:asciiTheme="minorEastAsia" w:hAnsiTheme="minorEastAsia" w:eastAsiaTheme="minorEastAsia" w:cstheme="minorEastAsia"/>
          <w:sz w:val="21"/>
          <w:szCs w:val="21"/>
        </w:rPr>
        <w:t xml:space="preserve">.9 </w:t>
      </w:r>
      <w:r>
        <w:rPr>
          <w:rStyle w:val="28"/>
          <w:rFonts w:hint="eastAsia" w:asciiTheme="minorEastAsia" w:hAnsiTheme="minorEastAsia" w:eastAsiaTheme="minorEastAsia" w:cstheme="minorEastAsia"/>
          <w:sz w:val="21"/>
          <w:szCs w:val="21"/>
        </w:rPr>
        <w:t>防止意外及修复工作包括防台风、防汛、防寒等以及防止其它因素对绿地造成的损坏等，并定期巡视挡土墙及边坡，防止滑坡。由于不可抗力（如台风、暴雨等自然灾害）造成的绿化景观损害，养护单位应在</w:t>
      </w:r>
      <w:r>
        <w:rPr>
          <w:rStyle w:val="27"/>
          <w:rFonts w:hint="eastAsia" w:asciiTheme="minorEastAsia" w:hAnsiTheme="minorEastAsia" w:eastAsiaTheme="minorEastAsia" w:cstheme="minorEastAsia"/>
          <w:sz w:val="21"/>
          <w:szCs w:val="21"/>
        </w:rPr>
        <w:t xml:space="preserve"> 12 </w:t>
      </w:r>
      <w:r>
        <w:rPr>
          <w:rStyle w:val="28"/>
          <w:rFonts w:hint="eastAsia" w:asciiTheme="minorEastAsia" w:hAnsiTheme="minorEastAsia" w:eastAsiaTheme="minorEastAsia" w:cstheme="minorEastAsia"/>
          <w:sz w:val="21"/>
          <w:szCs w:val="21"/>
        </w:rPr>
        <w:t>小时内根据实际情况设定的时间内及时完成现场清理和恢复原状的工作，并应以合同附件的形式提交可行的解决方案；未能按要求及时完成清理、恢复原状工作的，当月考核评分档次为差；根据实际情况设定的恢复原状时间内，受损害部分的绿化景观（不包括环境卫生）将不列入考核评分范围内。</w:t>
      </w:r>
    </w:p>
    <w:p>
      <w:pPr>
        <w:pStyle w:val="25"/>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 xml:space="preserve">2.10 </w:t>
      </w:r>
      <w:r>
        <w:rPr>
          <w:rStyle w:val="29"/>
          <w:rFonts w:hint="eastAsia" w:asciiTheme="minorEastAsia" w:hAnsiTheme="minorEastAsia" w:eastAsiaTheme="minorEastAsia" w:cstheme="minorEastAsia"/>
          <w:sz w:val="21"/>
          <w:szCs w:val="21"/>
        </w:rPr>
        <w:t xml:space="preserve">安全作业 </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1</w:t>
      </w:r>
      <w:r>
        <w:rPr>
          <w:rStyle w:val="28"/>
          <w:rFonts w:hint="eastAsia" w:asciiTheme="minorEastAsia" w:hAnsiTheme="minorEastAsia" w:eastAsiaTheme="minorEastAsia" w:cstheme="minorEastAsia"/>
          <w:sz w:val="21"/>
          <w:szCs w:val="21"/>
        </w:rPr>
        <w:t>）园林机械的操作人员，应在上岗前接受必要的岗前培训。凡需持证上岗的，必须取得相应的上岗证，并应严格按照操作规程作业。园林机械作业前，应对施工现场进行围合及标示。</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2</w:t>
      </w:r>
      <w:r>
        <w:rPr>
          <w:rStyle w:val="28"/>
          <w:rFonts w:hint="eastAsia" w:asciiTheme="minorEastAsia" w:hAnsiTheme="minorEastAsia" w:eastAsiaTheme="minorEastAsia" w:cstheme="minorEastAsia"/>
          <w:sz w:val="21"/>
          <w:szCs w:val="21"/>
        </w:rPr>
        <w:t>）在城市主、次干道，快速路或高速公路上作业时，宜选择在非交通繁忙时段进行。作业人员必须披戴具有反光标志的背心，并应在距离作业点正、反方向分别不少于</w:t>
      </w:r>
      <w:r>
        <w:rPr>
          <w:rStyle w:val="27"/>
          <w:rFonts w:hint="eastAsia" w:asciiTheme="minorEastAsia" w:hAnsiTheme="minorEastAsia" w:eastAsiaTheme="minorEastAsia" w:cstheme="minorEastAsia"/>
          <w:sz w:val="21"/>
          <w:szCs w:val="21"/>
        </w:rPr>
        <w:t xml:space="preserve"> 80m</w:t>
      </w:r>
      <w:r>
        <w:rPr>
          <w:rStyle w:val="28"/>
          <w:rFonts w:hint="eastAsia" w:asciiTheme="minorEastAsia" w:hAnsiTheme="minorEastAsia" w:eastAsiaTheme="minorEastAsia" w:cstheme="minorEastAsia"/>
          <w:sz w:val="21"/>
          <w:szCs w:val="21"/>
        </w:rPr>
        <w:t>和</w:t>
      </w:r>
      <w:r>
        <w:rPr>
          <w:rStyle w:val="27"/>
          <w:rFonts w:hint="eastAsia" w:asciiTheme="minorEastAsia" w:hAnsiTheme="minorEastAsia" w:eastAsiaTheme="minorEastAsia" w:cstheme="minorEastAsia"/>
          <w:sz w:val="21"/>
          <w:szCs w:val="21"/>
        </w:rPr>
        <w:t>150m</w:t>
      </w:r>
      <w:r>
        <w:rPr>
          <w:rStyle w:val="28"/>
          <w:rFonts w:hint="eastAsia" w:asciiTheme="minorEastAsia" w:hAnsiTheme="minorEastAsia" w:eastAsiaTheme="minorEastAsia" w:cstheme="minorEastAsia"/>
          <w:sz w:val="21"/>
          <w:szCs w:val="21"/>
        </w:rPr>
        <w:t>的地方设置反光警示牌及其他警示标志。</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rPr>
        <w:t>3</w:t>
      </w:r>
      <w:r>
        <w:rPr>
          <w:rStyle w:val="28"/>
          <w:rFonts w:hint="eastAsia" w:asciiTheme="minorEastAsia" w:hAnsiTheme="minorEastAsia" w:eastAsiaTheme="minorEastAsia" w:cstheme="minorEastAsia"/>
          <w:sz w:val="21"/>
          <w:szCs w:val="21"/>
        </w:rPr>
        <w:t>）截除较大的树枝、藤蔓或砍伐清除枯死的树枝时，应预先制定施工方案和应急预案，采取必要的安全措施。</w:t>
      </w:r>
    </w:p>
    <w:p>
      <w:pPr>
        <w:pStyle w:val="26"/>
        <w:widowControl/>
        <w:spacing w:line="360" w:lineRule="auto"/>
        <w:rPr>
          <w:rFonts w:hint="eastAsia" w:asciiTheme="minorEastAsia" w:hAnsiTheme="minorEastAsia" w:eastAsiaTheme="minorEastAsia" w:cstheme="minorEastAsia"/>
          <w:sz w:val="21"/>
          <w:szCs w:val="21"/>
        </w:rPr>
      </w:pPr>
      <w:r>
        <w:rPr>
          <w:rStyle w:val="27"/>
          <w:rFonts w:hint="eastAsia" w:asciiTheme="minorEastAsia" w:hAnsiTheme="minorEastAsia" w:eastAsiaTheme="minorEastAsia" w:cstheme="minorEastAsia"/>
          <w:sz w:val="21"/>
          <w:szCs w:val="21"/>
        </w:rPr>
        <w:t>2.1</w:t>
      </w:r>
      <w:r>
        <w:rPr>
          <w:rStyle w:val="27"/>
          <w:rFonts w:hint="eastAsia" w:asciiTheme="minorEastAsia" w:hAnsiTheme="minorEastAsia" w:eastAsiaTheme="minorEastAsia" w:cstheme="minorEastAsia"/>
          <w:sz w:val="21"/>
          <w:szCs w:val="21"/>
          <w:lang w:val="en-US" w:eastAsia="zh-CN"/>
        </w:rPr>
        <w:t>1</w:t>
      </w:r>
      <w:r>
        <w:rPr>
          <w:rStyle w:val="27"/>
          <w:rFonts w:hint="eastAsia" w:asciiTheme="minorEastAsia" w:hAnsiTheme="minorEastAsia" w:eastAsiaTheme="minorEastAsia" w:cstheme="minorEastAsia"/>
          <w:sz w:val="21"/>
          <w:szCs w:val="21"/>
        </w:rPr>
        <w:t xml:space="preserve"> </w:t>
      </w:r>
      <w:r>
        <w:rPr>
          <w:rStyle w:val="28"/>
          <w:rFonts w:hint="eastAsia" w:asciiTheme="minorEastAsia" w:hAnsiTheme="minorEastAsia" w:eastAsiaTheme="minorEastAsia" w:cstheme="minorEastAsia"/>
          <w:sz w:val="21"/>
          <w:szCs w:val="21"/>
        </w:rPr>
        <w:t>绿地设施维护及保护</w:t>
      </w:r>
    </w:p>
    <w:p>
      <w:pPr>
        <w:pStyle w:val="26"/>
        <w:widowControl/>
        <w:spacing w:line="360" w:lineRule="auto"/>
        <w:ind w:left="0" w:leftChars="0" w:firstLine="420" w:firstLineChars="200"/>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lang w:eastAsia="zh-CN"/>
        </w:rPr>
        <w:t>（</w:t>
      </w:r>
      <w:r>
        <w:rPr>
          <w:rStyle w:val="28"/>
          <w:rFonts w:hint="eastAsia" w:asciiTheme="minorEastAsia" w:hAnsiTheme="minorEastAsia" w:eastAsiaTheme="minorEastAsia" w:cstheme="minorEastAsia"/>
          <w:sz w:val="21"/>
          <w:szCs w:val="21"/>
          <w:lang w:val="en-US" w:eastAsia="zh-CN"/>
        </w:rPr>
        <w:t>1</w:t>
      </w:r>
      <w:r>
        <w:rPr>
          <w:rStyle w:val="28"/>
          <w:rFonts w:hint="eastAsia" w:asciiTheme="minorEastAsia" w:hAnsiTheme="minorEastAsia" w:eastAsiaTheme="minorEastAsia" w:cstheme="minorEastAsia"/>
          <w:sz w:val="21"/>
          <w:szCs w:val="21"/>
          <w:lang w:eastAsia="zh-CN"/>
        </w:rPr>
        <w:t>）</w:t>
      </w:r>
      <w:r>
        <w:rPr>
          <w:rStyle w:val="28"/>
          <w:rFonts w:hint="eastAsia" w:asciiTheme="minorEastAsia" w:hAnsiTheme="minorEastAsia" w:eastAsiaTheme="minorEastAsia" w:cstheme="minorEastAsia"/>
          <w:sz w:val="21"/>
          <w:szCs w:val="21"/>
        </w:rPr>
        <w:t>设施维护</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绿地设施包括喷灌、照明、音响系统和园路、护栏、坐凳、喷泉、雕塑、移动花钵等景观设施。</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7"/>
          <w:rFonts w:hint="eastAsia" w:asciiTheme="minorEastAsia" w:hAnsiTheme="minorEastAsia" w:eastAsiaTheme="minorEastAsia" w:cstheme="minorEastAsia"/>
          <w:sz w:val="21"/>
          <w:szCs w:val="21"/>
          <w:lang w:val="en-US" w:eastAsia="zh-CN"/>
        </w:rPr>
        <w:t>2</w:t>
      </w:r>
      <w:r>
        <w:rPr>
          <w:rStyle w:val="28"/>
          <w:rFonts w:hint="eastAsia" w:asciiTheme="minorEastAsia" w:hAnsiTheme="minorEastAsia" w:eastAsiaTheme="minorEastAsia" w:cstheme="minorEastAsia"/>
          <w:sz w:val="21"/>
          <w:szCs w:val="21"/>
        </w:rPr>
        <w:t>）喷灌设施</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保护绿化供水设施，要保持喷洒正常、开关灵活、管道无漏水。</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lang w:val="en-US" w:eastAsia="zh-CN"/>
        </w:rPr>
        <w:t>3</w:t>
      </w:r>
      <w:r>
        <w:rPr>
          <w:rStyle w:val="28"/>
          <w:rFonts w:hint="eastAsia" w:asciiTheme="minorEastAsia" w:hAnsiTheme="minorEastAsia" w:eastAsiaTheme="minorEastAsia" w:cstheme="minorEastAsia"/>
          <w:sz w:val="21"/>
          <w:szCs w:val="21"/>
        </w:rPr>
        <w:t>）水池喷泉</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保持水面及水池内外清洁，水质良好，水量适度，喷泉运作正常。池壁美观，不漏水，设施完好无损；要求及时清除杂物，定时杀蚊子幼虫，定时清洗水池。</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lang w:val="en-US" w:eastAsia="zh-CN"/>
        </w:rPr>
        <w:t>4</w:t>
      </w:r>
      <w:r>
        <w:rPr>
          <w:rStyle w:val="28"/>
          <w:rFonts w:hint="eastAsia" w:asciiTheme="minorEastAsia" w:hAnsiTheme="minorEastAsia" w:eastAsiaTheme="minorEastAsia" w:cstheme="minorEastAsia"/>
          <w:sz w:val="21"/>
          <w:szCs w:val="21"/>
        </w:rPr>
        <w:t>）护栏</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护栏要保持整洁完整</w:t>
      </w:r>
      <w:r>
        <w:rPr>
          <w:rStyle w:val="27"/>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rPr>
        <w:t>定期清理，不能有倾斜的现象，被损环的要及时修补(费用另计)。到节日庆典和大型活动应派专人定时定点进行清洗和维护。</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lang w:val="en-US" w:eastAsia="zh-CN"/>
        </w:rPr>
        <w:t>5</w:t>
      </w:r>
      <w:r>
        <w:rPr>
          <w:rStyle w:val="28"/>
          <w:rFonts w:hint="eastAsia" w:asciiTheme="minorEastAsia" w:hAnsiTheme="minorEastAsia" w:eastAsiaTheme="minorEastAsia" w:cstheme="minorEastAsia"/>
          <w:sz w:val="21"/>
          <w:szCs w:val="21"/>
        </w:rPr>
        <w:t>）园路</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绿地内园路要保持清洁、美观，完好无损。要及时清除路面垃圾杂物，修补破损(费用另计)并保持完好。</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lang w:val="en-US" w:eastAsia="zh-CN"/>
        </w:rPr>
        <w:t>6</w:t>
      </w:r>
      <w:r>
        <w:rPr>
          <w:rStyle w:val="28"/>
          <w:rFonts w:hint="eastAsia" w:asciiTheme="minorEastAsia" w:hAnsiTheme="minorEastAsia" w:eastAsiaTheme="minorEastAsia" w:cstheme="minorEastAsia"/>
          <w:sz w:val="21"/>
          <w:szCs w:val="21"/>
        </w:rPr>
        <w:t>）园林雕塑</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园林雕塑要保持整洁、美观，完好无损，对其上的乱涂、乱画、乱张贴要及时清理干净，以增强园林美化效果。</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w:t>
      </w:r>
      <w:r>
        <w:rPr>
          <w:rStyle w:val="28"/>
          <w:rFonts w:hint="eastAsia" w:asciiTheme="minorEastAsia" w:hAnsiTheme="minorEastAsia" w:eastAsiaTheme="minorEastAsia" w:cstheme="minorEastAsia"/>
          <w:sz w:val="21"/>
          <w:szCs w:val="21"/>
          <w:lang w:val="en-US" w:eastAsia="zh-CN"/>
        </w:rPr>
        <w:t>7</w:t>
      </w:r>
      <w:r>
        <w:rPr>
          <w:rStyle w:val="28"/>
          <w:rFonts w:hint="eastAsia" w:asciiTheme="minorEastAsia" w:hAnsiTheme="minorEastAsia" w:eastAsiaTheme="minorEastAsia" w:cstheme="minorEastAsia"/>
          <w:sz w:val="21"/>
          <w:szCs w:val="21"/>
        </w:rPr>
        <w:t>）移动花钵</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花钵内的植物生长旺盛，株形优美，叶片、叶色正常，无病虫害，开花植物要及时清理残花和残枝。花钵表面整洁无垃圾和杂物，钵体无乱划、乱画等现象。</w:t>
      </w:r>
    </w:p>
    <w:p>
      <w:pPr>
        <w:pStyle w:val="26"/>
        <w:widowControl/>
        <w:spacing w:line="360" w:lineRule="auto"/>
        <w:rPr>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lang w:eastAsia="zh-CN"/>
        </w:rPr>
        <w:t>（</w:t>
      </w:r>
      <w:r>
        <w:rPr>
          <w:rStyle w:val="28"/>
          <w:rFonts w:hint="eastAsia" w:asciiTheme="minorEastAsia" w:hAnsiTheme="minorEastAsia" w:eastAsiaTheme="minorEastAsia" w:cstheme="minorEastAsia"/>
          <w:sz w:val="21"/>
          <w:szCs w:val="21"/>
          <w:lang w:val="en-US" w:eastAsia="zh-CN"/>
        </w:rPr>
        <w:t>8）</w:t>
      </w:r>
      <w:r>
        <w:rPr>
          <w:rStyle w:val="28"/>
          <w:rFonts w:hint="eastAsia" w:asciiTheme="minorEastAsia" w:hAnsiTheme="minorEastAsia" w:eastAsiaTheme="minorEastAsia" w:cstheme="minorEastAsia"/>
          <w:sz w:val="21"/>
          <w:szCs w:val="21"/>
        </w:rPr>
        <w:t>绿地保护</w:t>
      </w:r>
    </w:p>
    <w:p>
      <w:pPr>
        <w:pStyle w:val="26"/>
        <w:widowControl/>
        <w:spacing w:line="360" w:lineRule="auto"/>
        <w:rPr>
          <w:rStyle w:val="28"/>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依法严格执行绿化管理条例，加强人员巡查，规划线内绿地不被侵占，绿地版图完整。保护绿地内的花草树木不受损害，对任何侵占和破坏行为要加以制止并及时报告绿化管理部门。</w:t>
      </w:r>
    </w:p>
    <w:p>
      <w:pPr>
        <w:pStyle w:val="26"/>
        <w:widowControl/>
        <w:spacing w:line="360" w:lineRule="auto"/>
        <w:rPr>
          <w:rStyle w:val="28"/>
          <w:rFonts w:hint="eastAsia" w:asciiTheme="minorEastAsia" w:hAnsiTheme="minorEastAsia" w:eastAsiaTheme="minorEastAsia" w:cstheme="minorEastAsia"/>
          <w:sz w:val="21"/>
          <w:szCs w:val="21"/>
        </w:rPr>
      </w:pPr>
    </w:p>
    <w:p>
      <w:pPr>
        <w:pStyle w:val="26"/>
        <w:widowControl/>
        <w:numPr>
          <w:ilvl w:val="0"/>
          <w:numId w:val="44"/>
        </w:numPr>
        <w:spacing w:line="360" w:lineRule="auto"/>
        <w:ind w:left="758" w:leftChars="0" w:firstLine="0" w:firstLineChars="0"/>
        <w:rPr>
          <w:rStyle w:val="28"/>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考评办法</w:t>
      </w:r>
    </w:p>
    <w:p>
      <w:pPr>
        <w:pStyle w:val="26"/>
        <w:widowControl/>
        <w:numPr>
          <w:ilvl w:val="0"/>
          <w:numId w:val="0"/>
        </w:numPr>
        <w:spacing w:line="360" w:lineRule="auto"/>
        <w:ind w:right="0" w:rightChars="0" w:firstLine="420" w:firstLineChars="200"/>
        <w:rPr>
          <w:rFonts w:hint="eastAsia" w:eastAsia="宋体"/>
          <w:lang w:eastAsia="zh-CN"/>
        </w:rPr>
      </w:pPr>
      <w:r>
        <w:rPr>
          <w:rStyle w:val="28"/>
          <w:rFonts w:hint="eastAsia" w:asciiTheme="minorEastAsia" w:hAnsiTheme="minorEastAsia" w:eastAsiaTheme="minorEastAsia" w:cstheme="minorEastAsia"/>
          <w:sz w:val="21"/>
          <w:szCs w:val="21"/>
        </w:rPr>
        <w:t>1.甲方负责监督检查管理工作，并制定合法化的环境卫生考核的办法和标准，乙方接受甲方考核办法和标准如下：</w:t>
      </w:r>
    </w:p>
    <w:tbl>
      <w:tblPr>
        <w:tblStyle w:val="17"/>
        <w:tblpPr w:leftFromText="180" w:rightFromText="180" w:vertAnchor="text" w:horzAnchor="page" w:tblpXSpec="center" w:tblpY="1002"/>
        <w:tblOverlap w:val="never"/>
        <w:tblW w:w="9959" w:type="dxa"/>
        <w:jc w:val="center"/>
        <w:tblLayout w:type="fixed"/>
        <w:tblCellMar>
          <w:top w:w="0" w:type="dxa"/>
          <w:left w:w="108" w:type="dxa"/>
          <w:bottom w:w="0" w:type="dxa"/>
          <w:right w:w="108" w:type="dxa"/>
        </w:tblCellMar>
      </w:tblPr>
      <w:tblGrid>
        <w:gridCol w:w="755"/>
        <w:gridCol w:w="8195"/>
        <w:gridCol w:w="1009"/>
      </w:tblGrid>
      <w:tr>
        <w:tblPrEx>
          <w:tblCellMar>
            <w:top w:w="0" w:type="dxa"/>
            <w:left w:w="108" w:type="dxa"/>
            <w:bottom w:w="0" w:type="dxa"/>
            <w:right w:w="108" w:type="dxa"/>
          </w:tblCellMar>
        </w:tblPrEx>
        <w:trPr>
          <w:trHeight w:val="932"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序号</w:t>
            </w:r>
          </w:p>
        </w:tc>
        <w:tc>
          <w:tcPr>
            <w:tcW w:w="819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检查项目</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412"/>
              </w:tabs>
              <w:spacing w:line="36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扣分</w:t>
            </w: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道路整条未清扫，扣</w:t>
            </w:r>
            <w:r>
              <w:rPr>
                <w:rFonts w:hint="eastAsia" w:asciiTheme="minorEastAsia" w:hAnsiTheme="minorEastAsia" w:eastAsiaTheme="minorEastAsia" w:cstheme="minorEastAsia"/>
                <w:kern w:val="0"/>
                <w:sz w:val="21"/>
                <w:szCs w:val="21"/>
                <w:lang w:val="en-US" w:eastAsia="zh-CN"/>
              </w:rPr>
              <w:t>10</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绿化带堆放垃圾桶、</w:t>
            </w:r>
            <w:r>
              <w:rPr>
                <w:rFonts w:hint="eastAsia" w:asciiTheme="minorEastAsia" w:hAnsiTheme="minorEastAsia" w:eastAsiaTheme="minorEastAsia" w:cstheme="minorEastAsia"/>
                <w:kern w:val="0"/>
                <w:sz w:val="21"/>
                <w:szCs w:val="21"/>
                <w:lang w:val="en-US" w:eastAsia="zh-CN"/>
              </w:rPr>
              <w:t>家具等大</w:t>
            </w:r>
            <w:r>
              <w:rPr>
                <w:rFonts w:hint="eastAsia" w:asciiTheme="minorEastAsia" w:hAnsiTheme="minorEastAsia" w:eastAsiaTheme="minorEastAsia" w:cstheme="minorEastAsia"/>
                <w:kern w:val="0"/>
                <w:sz w:val="21"/>
                <w:szCs w:val="21"/>
              </w:rPr>
              <w:t>垃圾，扣</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绿化带</w:t>
            </w:r>
            <w:r>
              <w:rPr>
                <w:rFonts w:hint="eastAsia" w:asciiTheme="minorEastAsia" w:hAnsiTheme="minorEastAsia" w:eastAsiaTheme="minorEastAsia" w:cstheme="minorEastAsia"/>
                <w:kern w:val="0"/>
                <w:sz w:val="21"/>
                <w:szCs w:val="21"/>
                <w:lang w:val="en-US" w:eastAsia="zh-CN"/>
              </w:rPr>
              <w:t>白色垃圾</w:t>
            </w:r>
            <w:r>
              <w:rPr>
                <w:rFonts w:hint="eastAsia" w:asciiTheme="minorEastAsia" w:hAnsiTheme="minorEastAsia" w:eastAsiaTheme="minorEastAsia" w:cstheme="minorEastAsia"/>
                <w:kern w:val="0"/>
                <w:sz w:val="21"/>
                <w:szCs w:val="21"/>
              </w:rPr>
              <w:t>、砖块清掏不及时，扣1分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道路、道沿、花砖清扫不干净，整条扣</w:t>
            </w:r>
            <w:r>
              <w:rPr>
                <w:rFonts w:hint="eastAsia" w:asciiTheme="minorEastAsia" w:hAnsiTheme="minorEastAsia" w:eastAsiaTheme="minorEastAsia" w:cstheme="minorEastAsia"/>
                <w:kern w:val="0"/>
                <w:sz w:val="21"/>
                <w:szCs w:val="21"/>
                <w:lang w:val="en-US" w:eastAsia="zh-CN"/>
              </w:rPr>
              <w:t>10</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遇重大接待检查时人员车辆不能按时到位扣</w:t>
            </w:r>
            <w:r>
              <w:rPr>
                <w:rFonts w:hint="eastAsia" w:asciiTheme="minorEastAsia" w:hAnsiTheme="minorEastAsia" w:eastAsiaTheme="minorEastAsia" w:cstheme="minorEastAsia"/>
                <w:kern w:val="0"/>
                <w:sz w:val="21"/>
                <w:szCs w:val="21"/>
                <w:lang w:val="en-US" w:eastAsia="zh-CN"/>
              </w:rPr>
              <w:t>5</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区域单位未清扫或清扫不干净死角有垃圾，扣</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将垃圾或杂物扫入花坛、绿地、草坪，扣0.5分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清扫时将垃圾树叶、废弃物扫入下水井下水井四周不清掏，扣1分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雨雪停后不及时擦洗隔离墩护栏，扣</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车辆冲洗路面、雨雪停后不及时处理积水（雪），扣</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人行道、慢车道有树叶</w:t>
            </w:r>
            <w:r>
              <w:rPr>
                <w:rFonts w:hint="eastAsia" w:asciiTheme="minorEastAsia" w:hAnsiTheme="minorEastAsia" w:eastAsiaTheme="minorEastAsia" w:cstheme="minorEastAsia"/>
                <w:kern w:val="0"/>
                <w:sz w:val="21"/>
                <w:szCs w:val="21"/>
                <w:lang w:val="en-US" w:eastAsia="zh-CN"/>
              </w:rPr>
              <w:t>及白色垃圾长时间未</w:t>
            </w:r>
            <w:r>
              <w:rPr>
                <w:rFonts w:hint="eastAsia" w:asciiTheme="minorEastAsia" w:hAnsiTheme="minorEastAsia" w:eastAsiaTheme="minorEastAsia" w:cstheme="minorEastAsia"/>
                <w:kern w:val="0"/>
                <w:sz w:val="21"/>
                <w:szCs w:val="21"/>
              </w:rPr>
              <w:t>清扫，扣1分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8195"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在承包区发现野广告未及时处理，扣0.5分</w:t>
            </w:r>
          </w:p>
        </w:tc>
        <w:tc>
          <w:tcPr>
            <w:tcW w:w="1009"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未擦洗果皮箱，烟灰缸不清理，扣0.5分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垃圾桶底座花砖有油污灰尘，扣1分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垃圾冒尖，，扣1分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垃圾桶损坏，外表生锈，不锁门，扣0.5分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城乡结合部垃圾，道路堆放垃圾不及时清运，扣1分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道路垃圾，碾压泥饼，扣1分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道路、花砖、绿地、草坪有粪便、呕吐物、杂草，扣1分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908"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劳动工具不齐全（道路保洁使用垃圾袋、塑料袋、蛇皮袋及其它工具的），扣1分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21</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三轮车外表不整洁，污锈迹明显，扣</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22</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人员不在作业状态，道路闲聊蹲坐睡觉，扣1分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23</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快车道作业不设安全警示标志，扣1分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24</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上班期间不穿工服，不佩戴工牌，扣</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25</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公厕</w:t>
            </w:r>
            <w:r>
              <w:rPr>
                <w:rFonts w:hint="eastAsia" w:asciiTheme="minorEastAsia" w:hAnsiTheme="minorEastAsia" w:eastAsiaTheme="minorEastAsia" w:cstheme="minorEastAsia"/>
                <w:color w:val="auto"/>
                <w:kern w:val="0"/>
                <w:sz w:val="21"/>
                <w:szCs w:val="21"/>
                <w:lang w:val="en-US" w:eastAsia="zh-CN"/>
              </w:rPr>
              <w:t>无</w:t>
            </w:r>
            <w:r>
              <w:rPr>
                <w:rFonts w:hint="eastAsia" w:asciiTheme="minorEastAsia" w:hAnsiTheme="minorEastAsia" w:eastAsiaTheme="minorEastAsia" w:cstheme="minorEastAsia"/>
                <w:color w:val="auto"/>
                <w:kern w:val="0"/>
                <w:sz w:val="21"/>
                <w:szCs w:val="21"/>
              </w:rPr>
              <w:t>专人管护，设施标志不齐全，地面无防滑措施，扣1分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26</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公厕</w:t>
            </w:r>
            <w:r>
              <w:rPr>
                <w:rFonts w:hint="eastAsia" w:asciiTheme="minorEastAsia" w:hAnsiTheme="minorEastAsia" w:eastAsiaTheme="minorEastAsia" w:cstheme="minorEastAsia"/>
                <w:color w:val="auto"/>
                <w:kern w:val="0"/>
                <w:sz w:val="21"/>
                <w:szCs w:val="21"/>
                <w:lang w:val="en-US" w:eastAsia="zh-CN"/>
              </w:rPr>
              <w:t>未</w:t>
            </w:r>
            <w:r>
              <w:rPr>
                <w:rFonts w:hint="eastAsia" w:asciiTheme="minorEastAsia" w:hAnsiTheme="minorEastAsia" w:eastAsiaTheme="minorEastAsia" w:cstheme="minorEastAsia"/>
                <w:color w:val="auto"/>
                <w:kern w:val="0"/>
                <w:sz w:val="21"/>
                <w:szCs w:val="21"/>
              </w:rPr>
              <w:t>定期消毒、灭蝇，工具间摆放不整齐 扣1分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908"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27</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蹲位、间板、小便槽、灯具、洗手盆、挂物钩、冲水设备,内外墙等设施上有污迹，尿垢，有乱写乱画，扣0.5分。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28</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保洁作业时未悬挂作业指示，扣</w:t>
            </w:r>
            <w:r>
              <w:rPr>
                <w:rFonts w:hint="eastAsia" w:asciiTheme="minorEastAsia" w:hAnsiTheme="minorEastAsia" w:eastAsiaTheme="minorEastAsia" w:cstheme="minorEastAsia"/>
                <w:color w:val="auto"/>
                <w:kern w:val="0"/>
                <w:sz w:val="21"/>
                <w:szCs w:val="21"/>
                <w:lang w:val="en-US" w:eastAsia="zh-CN"/>
              </w:rPr>
              <w:t>1</w:t>
            </w:r>
            <w:r>
              <w:rPr>
                <w:rFonts w:hint="eastAsia" w:asciiTheme="minorEastAsia" w:hAnsiTheme="minorEastAsia" w:eastAsiaTheme="minorEastAsia" w:cstheme="minorEastAsia"/>
                <w:color w:val="auto"/>
                <w:kern w:val="0"/>
                <w:sz w:val="21"/>
                <w:szCs w:val="21"/>
              </w:rPr>
              <w:t>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nil"/>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29</w:t>
            </w:r>
          </w:p>
        </w:tc>
        <w:tc>
          <w:tcPr>
            <w:tcW w:w="8195" w:type="dxa"/>
            <w:tcBorders>
              <w:top w:val="nil"/>
              <w:left w:val="nil"/>
              <w:bottom w:val="nil"/>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快车道作业不设安全警示标志，扣1分</w:t>
            </w:r>
          </w:p>
        </w:tc>
        <w:tc>
          <w:tcPr>
            <w:tcW w:w="1009" w:type="dxa"/>
            <w:tcBorders>
              <w:top w:val="nil"/>
              <w:left w:val="nil"/>
              <w:bottom w:val="nil"/>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899"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30</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绿篱生长旺盛，修剪不整齐、有干枯枝，有死株，有明显断垄，有高草杂草，有明显病虫害发生,扣2分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908"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31</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没有及时清理死苗，一周内没有补植回原来的种类并力求规格与原来植株接近，扣3分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不按照规定时间施肥、浇水 扣2分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1816"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33</w:t>
            </w:r>
          </w:p>
        </w:tc>
        <w:tc>
          <w:tcPr>
            <w:tcW w:w="8195"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苗木修剪标准：绿化带、绿地小广场、花坛内的自然形乔木每年不少于1次，造型乔木每年不少于3次，主要修剪内膛枝、徒长枝、病虫枝、交叉枝、下垂枝、扭伤枝及枯枝烂头。没有按照这个标准执行者，扣分3分</w:t>
            </w:r>
          </w:p>
        </w:tc>
        <w:tc>
          <w:tcPr>
            <w:tcW w:w="1009"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p>
        </w:tc>
      </w:tr>
    </w:tbl>
    <w:p>
      <w:pPr>
        <w:pStyle w:val="26"/>
        <w:widowControl/>
        <w:spacing w:line="360" w:lineRule="auto"/>
        <w:rPr>
          <w:rStyle w:val="28"/>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2.成立环境卫生督查考核组，对乙方的清扫保洁、垃圾清运、公厕管护、绿化等环境卫生日常管理、运营情况进行日督查考核打分，考核等级分为优（90-100分)，良（80-89.9分）、中(70-79.9 分)、差（69.9 分以下)、四个等级，当月进度款的支付额与考评结果直接挂钩,按得分情况参照本条第 3 项约定扣除经费。</w:t>
      </w:r>
    </w:p>
    <w:p>
      <w:pPr>
        <w:pStyle w:val="26"/>
        <w:widowControl/>
        <w:spacing w:line="360" w:lineRule="auto"/>
        <w:rPr>
          <w:rFonts w:ascii="宋体" w:hAnsi="宋体"/>
          <w:sz w:val="24"/>
        </w:rPr>
      </w:pPr>
      <w:r>
        <w:rPr>
          <w:rStyle w:val="28"/>
          <w:rFonts w:hint="eastAsia" w:asciiTheme="minorEastAsia" w:hAnsiTheme="minorEastAsia" w:eastAsiaTheme="minorEastAsia" w:cstheme="minorEastAsia"/>
          <w:sz w:val="21"/>
          <w:szCs w:val="21"/>
        </w:rPr>
        <w:t>3.作业经费扣除比例。月考核得分在 80 分以上不扣除经费，月考核得分在 80-84.9 分扣除当月经费的 0.5%，月考核得分在75-79. 9 分扣除当月经费的1%,月考核得分在 70-74.9 分扣除当月经费的2%,月考核得分在 69.9 分以下分扣除当月经费的 5%。如连续 3个月被评为差甲方可以单方面终止协议。</w:t>
      </w:r>
    </w:p>
    <w:p>
      <w:pPr>
        <w:jc w:val="both"/>
        <w:rPr>
          <w:rFonts w:ascii="宋体" w:hAnsi="宋体"/>
          <w:sz w:val="24"/>
        </w:rPr>
      </w:pPr>
    </w:p>
    <w:p>
      <w:pPr>
        <w:spacing w:line="360" w:lineRule="auto"/>
        <w:ind w:left="312" w:leftChars="142" w:firstLine="240" w:firstLineChars="100"/>
        <w:rPr>
          <w:rFonts w:hint="eastAsia" w:ascii="宋体" w:hAnsi="宋体" w:eastAsia="宋体"/>
          <w:sz w:val="24"/>
          <w:lang w:eastAsia="zh-CN"/>
        </w:rPr>
      </w:pPr>
      <w:r>
        <w:rPr>
          <w:rFonts w:hint="eastAsia" w:ascii="宋体" w:hAnsi="宋体"/>
          <w:sz w:val="24"/>
        </w:rPr>
        <w:t>问责</w:t>
      </w:r>
      <w:r>
        <w:rPr>
          <w:rFonts w:ascii="宋体" w:hAnsi="宋体"/>
          <w:sz w:val="24"/>
        </w:rPr>
        <w:t>通报</w:t>
      </w:r>
      <w:r>
        <w:rPr>
          <w:rFonts w:hint="eastAsia" w:ascii="宋体" w:hAnsi="宋体"/>
          <w:sz w:val="24"/>
          <w:lang w:val="en-US" w:eastAsia="zh-CN"/>
        </w:rPr>
        <w:t>罚款</w:t>
      </w:r>
      <w:r>
        <w:rPr>
          <w:rFonts w:hint="eastAsia" w:ascii="宋体" w:hAnsi="宋体"/>
          <w:sz w:val="24"/>
        </w:rPr>
        <w:t>：扣款总额不得超出单月承包费用10%</w:t>
      </w:r>
      <w:r>
        <w:rPr>
          <w:rFonts w:hint="eastAsia"/>
          <w:sz w:val="24"/>
          <w:lang w:eastAsia="zh-CN"/>
        </w:rPr>
        <w:t>。</w:t>
      </w:r>
    </w:p>
    <w:tbl>
      <w:tblPr>
        <w:tblStyle w:val="17"/>
        <w:tblW w:w="0" w:type="auto"/>
        <w:jc w:val="center"/>
        <w:tblLayout w:type="fixed"/>
        <w:tblCellMar>
          <w:top w:w="0" w:type="dxa"/>
          <w:left w:w="108" w:type="dxa"/>
          <w:bottom w:w="0" w:type="dxa"/>
          <w:right w:w="108" w:type="dxa"/>
        </w:tblCellMar>
      </w:tblPr>
      <w:tblGrid>
        <w:gridCol w:w="1321"/>
        <w:gridCol w:w="8058"/>
      </w:tblGrid>
      <w:tr>
        <w:tblPrEx>
          <w:tblCellMar>
            <w:top w:w="0" w:type="dxa"/>
            <w:left w:w="108" w:type="dxa"/>
            <w:bottom w:w="0" w:type="dxa"/>
            <w:right w:w="108" w:type="dxa"/>
          </w:tblCellMar>
        </w:tblPrEx>
        <w:trPr>
          <w:trHeight w:val="645" w:hRule="atLeast"/>
          <w:jc w:val="center"/>
        </w:trPr>
        <w:tc>
          <w:tcPr>
            <w:tcW w:w="13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序号</w:t>
            </w:r>
          </w:p>
        </w:tc>
        <w:tc>
          <w:tcPr>
            <w:tcW w:w="80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通报扣款</w:t>
            </w:r>
          </w:p>
        </w:tc>
      </w:tr>
      <w:tr>
        <w:tblPrEx>
          <w:tblCellMar>
            <w:top w:w="0" w:type="dxa"/>
            <w:left w:w="108" w:type="dxa"/>
            <w:bottom w:w="0" w:type="dxa"/>
            <w:right w:w="108" w:type="dxa"/>
          </w:tblCellMar>
        </w:tblPrEx>
        <w:trPr>
          <w:trHeight w:val="312" w:hRule="atLeast"/>
          <w:jc w:val="center"/>
        </w:trPr>
        <w:tc>
          <w:tcPr>
            <w:tcW w:w="1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p>
        </w:tc>
        <w:tc>
          <w:tcPr>
            <w:tcW w:w="80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p>
        </w:tc>
      </w:tr>
      <w:tr>
        <w:tblPrEx>
          <w:tblCellMar>
            <w:top w:w="0" w:type="dxa"/>
            <w:left w:w="108" w:type="dxa"/>
            <w:bottom w:w="0" w:type="dxa"/>
            <w:right w:w="108" w:type="dxa"/>
          </w:tblCellMar>
        </w:tblPrEx>
        <w:trPr>
          <w:trHeight w:val="634" w:hRule="atLeast"/>
          <w:jc w:val="center"/>
        </w:trPr>
        <w:tc>
          <w:tcPr>
            <w:tcW w:w="1321"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805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市容环境问题被市民投诉，扣除承包单位月考核200元。</w:t>
            </w:r>
          </w:p>
        </w:tc>
      </w:tr>
      <w:tr>
        <w:tblPrEx>
          <w:tblCellMar>
            <w:top w:w="0" w:type="dxa"/>
            <w:left w:w="108" w:type="dxa"/>
            <w:bottom w:w="0" w:type="dxa"/>
            <w:right w:w="108" w:type="dxa"/>
          </w:tblCellMar>
        </w:tblPrEx>
        <w:trPr>
          <w:trHeight w:val="734" w:hRule="atLeast"/>
          <w:jc w:val="center"/>
        </w:trPr>
        <w:tc>
          <w:tcPr>
            <w:tcW w:w="1321"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p>
        </w:tc>
        <w:tc>
          <w:tcPr>
            <w:tcW w:w="805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市容环境问题被检查出并要求整改，根据情节扣除承包单位月考核1000—2000元。</w:t>
            </w:r>
          </w:p>
        </w:tc>
      </w:tr>
      <w:tr>
        <w:tblPrEx>
          <w:tblCellMar>
            <w:top w:w="0" w:type="dxa"/>
            <w:left w:w="108" w:type="dxa"/>
            <w:bottom w:w="0" w:type="dxa"/>
            <w:right w:w="108" w:type="dxa"/>
          </w:tblCellMar>
        </w:tblPrEx>
        <w:trPr>
          <w:trHeight w:val="1035"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w:t>
            </w:r>
          </w:p>
        </w:tc>
        <w:tc>
          <w:tcPr>
            <w:tcW w:w="80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市容环境问题被阿克苏市区内媒体或报刊曝光，扣除承包单位月考核3000元；市容环境问题被市级媒体或报刊曝光，扣除承包单位月考核5000元。</w:t>
            </w:r>
          </w:p>
        </w:tc>
      </w:tr>
      <w:tr>
        <w:tblPrEx>
          <w:tblCellMar>
            <w:top w:w="0" w:type="dxa"/>
            <w:left w:w="108" w:type="dxa"/>
            <w:bottom w:w="0" w:type="dxa"/>
            <w:right w:w="108" w:type="dxa"/>
          </w:tblCellMar>
        </w:tblPrEx>
        <w:trPr>
          <w:trHeight w:val="875"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w:t>
            </w:r>
          </w:p>
        </w:tc>
        <w:tc>
          <w:tcPr>
            <w:tcW w:w="80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创卫、创文等重大迎复审工作检查出的市容环境相关问题或思想不重视，行动不积极，措施不得力，整改不认真，扣除承包单位月考核5000元。</w:t>
            </w:r>
          </w:p>
        </w:tc>
      </w:tr>
      <w:tr>
        <w:tblPrEx>
          <w:tblCellMar>
            <w:top w:w="0" w:type="dxa"/>
            <w:left w:w="108" w:type="dxa"/>
            <w:bottom w:w="0" w:type="dxa"/>
            <w:right w:w="108" w:type="dxa"/>
          </w:tblCellMar>
        </w:tblPrEx>
        <w:trPr>
          <w:trHeight w:val="784"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w:t>
            </w:r>
          </w:p>
        </w:tc>
        <w:tc>
          <w:tcPr>
            <w:tcW w:w="80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在正常作业安排和接待检查时，不听从上级部门主管调遣、安排或落实工作不及时、整治不得力，扣除承包单位月考核3000元。</w:t>
            </w:r>
          </w:p>
        </w:tc>
      </w:tr>
      <w:tr>
        <w:tblPrEx>
          <w:tblCellMar>
            <w:top w:w="0" w:type="dxa"/>
            <w:left w:w="108" w:type="dxa"/>
            <w:bottom w:w="0" w:type="dxa"/>
            <w:right w:w="108" w:type="dxa"/>
          </w:tblCellMar>
        </w:tblPrEx>
        <w:trPr>
          <w:trHeight w:val="754"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w:t>
            </w:r>
          </w:p>
        </w:tc>
        <w:tc>
          <w:tcPr>
            <w:tcW w:w="80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在检查中发现道路严重缺员，根据情节扣除承包单位月考核1000—5000元。</w:t>
            </w:r>
          </w:p>
        </w:tc>
      </w:tr>
      <w:tr>
        <w:tblPrEx>
          <w:tblCellMar>
            <w:top w:w="0" w:type="dxa"/>
            <w:left w:w="108" w:type="dxa"/>
            <w:bottom w:w="0" w:type="dxa"/>
            <w:right w:w="108" w:type="dxa"/>
          </w:tblCellMar>
        </w:tblPrEx>
        <w:trPr>
          <w:trHeight w:val="514"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7</w:t>
            </w:r>
          </w:p>
        </w:tc>
        <w:tc>
          <w:tcPr>
            <w:tcW w:w="80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同一条道路经常出现保洁不到位现象，扣除承包单位月考核3000元。</w:t>
            </w:r>
          </w:p>
        </w:tc>
      </w:tr>
      <w:tr>
        <w:tblPrEx>
          <w:tblCellMar>
            <w:top w:w="0" w:type="dxa"/>
            <w:left w:w="108" w:type="dxa"/>
            <w:bottom w:w="0" w:type="dxa"/>
            <w:right w:w="108" w:type="dxa"/>
          </w:tblCellMar>
        </w:tblPrEx>
        <w:trPr>
          <w:trHeight w:val="769"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8</w:t>
            </w:r>
          </w:p>
        </w:tc>
        <w:tc>
          <w:tcPr>
            <w:tcW w:w="805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环卫工将树叶、垃圾、尘土等扫入绿化带、下水井，扣除承包单位月考核2000元。</w:t>
            </w:r>
          </w:p>
        </w:tc>
      </w:tr>
      <w:tr>
        <w:tblPrEx>
          <w:tblCellMar>
            <w:top w:w="0" w:type="dxa"/>
            <w:left w:w="108" w:type="dxa"/>
            <w:bottom w:w="0" w:type="dxa"/>
            <w:right w:w="108" w:type="dxa"/>
          </w:tblCellMar>
        </w:tblPrEx>
        <w:trPr>
          <w:trHeight w:val="959" w:hRule="atLeast"/>
          <w:jc w:val="center"/>
        </w:trPr>
        <w:tc>
          <w:tcPr>
            <w:tcW w:w="13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9</w:t>
            </w:r>
          </w:p>
        </w:tc>
        <w:tc>
          <w:tcPr>
            <w:tcW w:w="8058"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焚烧垃圾、落叶、杂物或对焚烧垃圾、落叶、杂物不及时扑灭、处理及环卫工焚烧烤火现象，扣除承包单位月考核2000元。</w:t>
            </w:r>
          </w:p>
        </w:tc>
      </w:tr>
      <w:tr>
        <w:tblPrEx>
          <w:tblCellMar>
            <w:top w:w="0" w:type="dxa"/>
            <w:left w:w="108" w:type="dxa"/>
            <w:bottom w:w="0" w:type="dxa"/>
            <w:right w:w="108" w:type="dxa"/>
          </w:tblCellMar>
        </w:tblPrEx>
        <w:trPr>
          <w:trHeight w:val="959" w:hRule="atLeast"/>
          <w:jc w:val="center"/>
        </w:trPr>
        <w:tc>
          <w:tcPr>
            <w:tcW w:w="1321"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10</w:t>
            </w:r>
          </w:p>
        </w:tc>
        <w:tc>
          <w:tcPr>
            <w:tcW w:w="805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环卫工未经合理流程、请示批准私自上访，聚众闹事的，根据情节扣除承包单位月考核1000—5000元。</w:t>
            </w:r>
          </w:p>
        </w:tc>
      </w:tr>
      <w:tr>
        <w:tblPrEx>
          <w:tblCellMar>
            <w:top w:w="0" w:type="dxa"/>
            <w:left w:w="108" w:type="dxa"/>
            <w:bottom w:w="0" w:type="dxa"/>
            <w:right w:w="108" w:type="dxa"/>
          </w:tblCellMar>
        </w:tblPrEx>
        <w:trPr>
          <w:trHeight w:val="959" w:hRule="atLeast"/>
          <w:jc w:val="center"/>
        </w:trPr>
        <w:tc>
          <w:tcPr>
            <w:tcW w:w="1321"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11</w:t>
            </w:r>
          </w:p>
        </w:tc>
        <w:tc>
          <w:tcPr>
            <w:tcW w:w="8058"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遇下雨、下雪等特殊天气，应急工作开展不及时或不得力，扣除承包单位月考核5000元。</w:t>
            </w:r>
          </w:p>
        </w:tc>
      </w:tr>
    </w:tbl>
    <w:p>
      <w:pPr>
        <w:pStyle w:val="20"/>
      </w:pPr>
    </w:p>
    <w:p>
      <w:pPr>
        <w:pStyle w:val="11"/>
        <w:spacing w:before="112"/>
        <w:ind w:left="0" w:leftChars="0" w:firstLine="632" w:firstLineChars="300"/>
      </w:pPr>
      <w:r>
        <w:t>备注：本考核检查表</w:t>
      </w:r>
      <w:r>
        <w:rPr>
          <w:rFonts w:hint="eastAsia"/>
          <w:lang w:eastAsia="zh-CN"/>
        </w:rPr>
        <w:t>初始</w:t>
      </w:r>
      <w:r>
        <w:t>值为 100 分。</w:t>
      </w:r>
    </w:p>
    <w:p>
      <w:pPr>
        <w:pStyle w:val="12"/>
        <w:spacing w:before="8"/>
        <w:rPr>
          <w:b/>
          <w:sz w:val="19"/>
        </w:rPr>
      </w:pPr>
    </w:p>
    <w:p>
      <w:pPr>
        <w:pStyle w:val="11"/>
        <w:ind w:left="0" w:leftChars="0" w:firstLine="632" w:firstLineChars="300"/>
        <w:rPr>
          <w:rFonts w:hint="eastAsia" w:eastAsia="宋体"/>
          <w:lang w:eastAsia="zh-CN"/>
        </w:rPr>
        <w:sectPr>
          <w:pgSz w:w="11910" w:h="16840"/>
          <w:pgMar w:top="1360" w:right="740" w:bottom="1080" w:left="740" w:header="880" w:footer="887" w:gutter="0"/>
        </w:sectPr>
      </w:pPr>
      <w:r>
        <w:t>注：商务及技术要求为实质性要求，不得负偏离</w:t>
      </w:r>
      <w:r>
        <w:rPr>
          <w:rFonts w:hint="eastAsia"/>
          <w:lang w:eastAsia="zh-CN"/>
        </w:rPr>
        <w:t>。</w:t>
      </w:r>
    </w:p>
    <w:p>
      <w:pPr>
        <w:pStyle w:val="12"/>
        <w:rPr>
          <w:b/>
          <w:sz w:val="20"/>
        </w:rPr>
      </w:pPr>
    </w:p>
    <w:p>
      <w:pPr>
        <w:pStyle w:val="12"/>
        <w:spacing w:before="8"/>
        <w:rPr>
          <w:b/>
          <w:sz w:val="24"/>
        </w:rPr>
      </w:pPr>
    </w:p>
    <w:p>
      <w:pPr>
        <w:pStyle w:val="3"/>
        <w:tabs>
          <w:tab w:val="left" w:pos="1809"/>
        </w:tabs>
        <w:spacing w:before="49"/>
      </w:pPr>
      <w:bookmarkStart w:id="43" w:name="_TOC_250001"/>
      <w:bookmarkEnd w:id="43"/>
      <w:r>
        <w:t>第五部分</w:t>
      </w:r>
      <w:r>
        <w:tab/>
      </w:r>
      <w:r>
        <w:t>合同条款</w:t>
      </w:r>
    </w:p>
    <w:p>
      <w:pPr>
        <w:pStyle w:val="12"/>
        <w:spacing w:before="9"/>
        <w:rPr>
          <w:b/>
          <w:sz w:val="25"/>
        </w:rPr>
      </w:pPr>
    </w:p>
    <w:p>
      <w:pPr>
        <w:pStyle w:val="12"/>
        <w:spacing w:before="171" w:line="393" w:lineRule="auto"/>
        <w:ind w:left="337" w:right="301" w:firstLine="420"/>
        <w:jc w:val="center"/>
        <w:rPr>
          <w:rFonts w:hint="eastAsia" w:ascii="Times New Roman" w:hAnsi="Times New Roman" w:eastAsia="Times New Roman"/>
          <w:sz w:val="32"/>
          <w:szCs w:val="32"/>
          <w:lang w:eastAsia="zh-CN"/>
        </w:rPr>
      </w:pPr>
      <w:r>
        <w:rPr>
          <w:rFonts w:hint="eastAsia" w:ascii="Times New Roman" w:hAnsi="Times New Roman" w:eastAsia="Times New Roman"/>
          <w:sz w:val="32"/>
          <w:szCs w:val="32"/>
          <w:lang w:eastAsia="zh-CN"/>
        </w:rPr>
        <w:t>阿克苏市城市道路清扫保洁、园林绿化管养、</w:t>
      </w:r>
    </w:p>
    <w:p>
      <w:pPr>
        <w:pStyle w:val="12"/>
        <w:spacing w:before="171" w:line="393" w:lineRule="auto"/>
        <w:ind w:left="337" w:right="301" w:firstLine="420"/>
        <w:jc w:val="center"/>
        <w:rPr>
          <w:rFonts w:hint="eastAsia" w:ascii="Times New Roman" w:hAnsi="Times New Roman" w:eastAsia="Times New Roman"/>
          <w:sz w:val="32"/>
          <w:szCs w:val="32"/>
          <w:lang w:val="en-US" w:eastAsia="zh-CN"/>
        </w:rPr>
      </w:pPr>
      <w:r>
        <w:rPr>
          <w:rFonts w:hint="eastAsia" w:ascii="Times New Roman" w:hAnsi="Times New Roman" w:eastAsia="Times New Roman"/>
          <w:sz w:val="32"/>
          <w:szCs w:val="32"/>
          <w:lang w:eastAsia="zh-CN"/>
        </w:rPr>
        <w:t>公厕管护购买社会化服务合同</w:t>
      </w: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甲方(委托方)：</w:t>
      </w: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乙方(受托方)：</w:t>
      </w: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3544" w:firstLineChars="1688"/>
        <w:rPr>
          <w:rFonts w:hint="eastAsia" w:ascii="Times New Roman" w:hAnsi="Times New Roman" w:eastAsia="Times New Roman"/>
        </w:rPr>
      </w:pPr>
      <w:r>
        <w:rPr>
          <w:rFonts w:hint="eastAsia" w:ascii="Times New Roman" w:hAnsi="Times New Roman" w:eastAsia="Times New Roman"/>
        </w:rPr>
        <w:t xml:space="preserve">日 期：       年    月  </w:t>
      </w:r>
      <w:r>
        <w:rPr>
          <w:rFonts w:hint="eastAsia" w:ascii="Times New Roman" w:hAnsi="Times New Roman" w:eastAsia="宋体"/>
          <w:lang w:val="en-US" w:eastAsia="zh-CN"/>
        </w:rPr>
        <w:t xml:space="preserve">    </w:t>
      </w:r>
      <w:r>
        <w:rPr>
          <w:rFonts w:hint="eastAsia" w:ascii="Times New Roman" w:hAnsi="Times New Roman" w:eastAsia="Times New Roman"/>
        </w:rPr>
        <w:t xml:space="preserve"> 日</w:t>
      </w: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jc w:val="center"/>
        <w:rPr>
          <w:rFonts w:hint="eastAsia" w:ascii="Times New Roman" w:hAnsi="Times New Roman" w:eastAsia="Times New Roman"/>
        </w:rPr>
      </w:pPr>
      <w:r>
        <w:rPr>
          <w:rFonts w:hint="eastAsia" w:ascii="Times New Roman" w:hAnsi="Times New Roman" w:eastAsia="Times New Roman"/>
          <w:b/>
          <w:bCs/>
          <w:sz w:val="32"/>
          <w:szCs w:val="32"/>
          <w:lang w:eastAsia="zh-CN"/>
        </w:rPr>
        <w:t>合</w:t>
      </w:r>
      <w:r>
        <w:rPr>
          <w:rFonts w:hint="eastAsia" w:ascii="Times New Roman" w:hAnsi="Times New Roman" w:eastAsia="Times New Roman"/>
          <w:b/>
          <w:bCs/>
          <w:sz w:val="32"/>
          <w:szCs w:val="32"/>
          <w:lang w:val="en-US" w:eastAsia="zh-CN"/>
        </w:rPr>
        <w:t xml:space="preserve"> </w:t>
      </w:r>
      <w:r>
        <w:rPr>
          <w:rFonts w:hint="eastAsia" w:ascii="Times New Roman" w:hAnsi="Times New Roman" w:eastAsia="Times New Roman"/>
          <w:b/>
          <w:bCs/>
          <w:sz w:val="32"/>
          <w:szCs w:val="32"/>
          <w:lang w:eastAsia="zh-CN"/>
        </w:rPr>
        <w:t>同</w:t>
      </w:r>
      <w:r>
        <w:rPr>
          <w:rFonts w:hint="eastAsia" w:ascii="Times New Roman" w:hAnsi="Times New Roman" w:eastAsia="Times New Roman"/>
          <w:b/>
          <w:bCs/>
          <w:sz w:val="32"/>
          <w:szCs w:val="32"/>
        </w:rPr>
        <w:t xml:space="preserve"> 条 款</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按照“市场化运营、契约化管理”模式，依据国家建设部《城市环境卫生质量标准》、《城市绿化养护技术规范》等相关条例和规定，甲、乙双方本着相互信任，真诚合作的原则，甲方将阿克苏市区的环卫作业等业务承包给乙方,为了明确甲、乙双方的权利和义务，履行各自的职责，高效优质完成环卫作业，依据《中华人民共和国合同法》等相关法律法规的规定，结合项目区域的实际情况、现行劳动条件和作业方式要求等，甲乙双方在平等、自愿的基础上，协商一致，达成如下协议内容，供双方共同遵守执行。</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一、承包内容</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1.道路清扫保洁：阿克苏市68条城市主次干道921万平方米（13808亩），（东至温宿机场大道，西至西大桥阿瓦提路口，南至纺织工业城第一路口，北至阿温路中等职业技术学校门口）</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2.公厕管护：城区35座公厕。</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3.园林绿化管养:城区285万平方米（4283亩）绿化带。（包含儿童公园、胡杨林公园、新伟游园、世纪广场、西广场）</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4.环卫一体化智慧平台软件建设。</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二、期间承包、管理方式</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1.乙方采用全包干形式，即人员包干、业务包干、经费包干方式。甲方将上述环卫作业根据考核结果（具体考核办法见附件），及时支付给乙方，乙方按照甲方的管理要求和作业标准组织环卫作业，并接受甲方的业务指导、监督考核和检查验收。</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2.承包期间，乙方要按照保洁、绿化标准要求，配备保洁</w:t>
      </w:r>
      <w:r>
        <w:rPr>
          <w:rFonts w:hint="eastAsia" w:ascii="Times New Roman" w:hAnsi="Times New Roman" w:eastAsia="Times New Roman"/>
          <w:lang w:val="en-US" w:eastAsia="zh-CN"/>
        </w:rPr>
        <w:t>人员</w:t>
      </w:r>
      <w:r>
        <w:rPr>
          <w:rFonts w:hint="eastAsia" w:ascii="Times New Roman" w:hAnsi="Times New Roman" w:eastAsia="Times New Roman"/>
        </w:rPr>
        <w:t>，按照相关法律的规定进行用工管理。</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3.承包期间，乙方要按照要求配备环卫、绿化作业人员，同时，乙方须配备符合本协议要求的、专职的管理人员和技术人员等，定岗定员。</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4.承包期间，乙方要按照法律规定对环卫一线工人缴纳社会保险或购买商业保险，签订劳务合同，对工人解职、安全事故（保理范围内）导致赔偿的由乙方承担主体责任。</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5.本协议签订之后，乙方须向甲方审核报备上岗员工统一服装及佩戴统一工作标识上岗。</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6.承包期间，如遇不可抗力等因素致使本协议无法履行时，双方应按有关法律规定及时协商处理。</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三、承包期限</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承包期限为 10年，自    年   月  日起至    年   月  日止。承包期满后乙方有同等条件下优先续包的权利。四、</w:t>
      </w:r>
      <w:r>
        <w:rPr>
          <w:rFonts w:hint="eastAsia" w:ascii="Times New Roman" w:hAnsi="Times New Roman" w:eastAsia="宋体"/>
          <w:lang w:eastAsia="zh-CN"/>
        </w:rPr>
        <w:t>合同</w:t>
      </w:r>
      <w:r>
        <w:rPr>
          <w:rFonts w:hint="eastAsia" w:ascii="Times New Roman" w:hAnsi="Times New Roman" w:eastAsia="Times New Roman"/>
        </w:rPr>
        <w:t>金额和支付方式</w:t>
      </w:r>
    </w:p>
    <w:p>
      <w:pPr>
        <w:pStyle w:val="12"/>
        <w:spacing w:before="171" w:line="393" w:lineRule="auto"/>
        <w:ind w:left="337" w:right="301" w:firstLine="420"/>
        <w:rPr>
          <w:rFonts w:hint="default" w:ascii="Times New Roman" w:hAnsi="Times New Roman" w:eastAsia="宋体"/>
          <w:u w:val="single"/>
          <w:lang w:val="en-US" w:eastAsia="zh-CN"/>
        </w:rPr>
      </w:pPr>
      <w:r>
        <w:rPr>
          <w:rFonts w:hint="eastAsia" w:ascii="Times New Roman" w:hAnsi="Times New Roman" w:eastAsia="Times New Roman"/>
        </w:rPr>
        <w:t>1.</w:t>
      </w:r>
      <w:r>
        <w:rPr>
          <w:rFonts w:hint="eastAsia" w:ascii="Times New Roman" w:hAnsi="Times New Roman" w:eastAsia="宋体"/>
          <w:lang w:eastAsia="zh-CN"/>
        </w:rPr>
        <w:t>合同</w:t>
      </w:r>
      <w:r>
        <w:rPr>
          <w:rFonts w:hint="eastAsia" w:ascii="Times New Roman" w:hAnsi="Times New Roman" w:eastAsia="Times New Roman"/>
        </w:rPr>
        <w:t>金额：每年总金额为人民币（</w:t>
      </w:r>
      <w:r>
        <w:rPr>
          <w:rFonts w:hint="eastAsia" w:ascii="Times New Roman" w:hAnsi="Times New Roman" w:eastAsia="宋体"/>
          <w:lang w:eastAsia="zh-CN"/>
        </w:rPr>
        <w:t>小</w:t>
      </w:r>
      <w:r>
        <w:rPr>
          <w:rFonts w:hint="eastAsia" w:ascii="Times New Roman" w:hAnsi="Times New Roman" w:eastAsia="Times New Roman"/>
        </w:rPr>
        <w:t>写）</w:t>
      </w:r>
      <w:r>
        <w:rPr>
          <w:rFonts w:hint="eastAsia" w:ascii="Times New Roman" w:hAnsi="Times New Roman" w:eastAsia="Times New Roman"/>
          <w:u w:val="single"/>
        </w:rPr>
        <w:t xml:space="preserve"> </w:t>
      </w:r>
      <w:r>
        <w:rPr>
          <w:rFonts w:hint="eastAsia" w:ascii="Times New Roman" w:hAnsi="Times New Roman" w:eastAsia="宋体"/>
          <w:u w:val="single"/>
          <w:lang w:val="en-US" w:eastAsia="zh-CN"/>
        </w:rPr>
        <w:t xml:space="preserve">        </w:t>
      </w:r>
      <w:r>
        <w:rPr>
          <w:rFonts w:hint="eastAsia" w:ascii="Times New Roman" w:hAnsi="Times New Roman"/>
          <w:u w:val="single"/>
          <w:lang w:val="en-US" w:eastAsia="zh-CN"/>
        </w:rPr>
        <w:t xml:space="preserve">                    </w:t>
      </w:r>
      <w:r>
        <w:rPr>
          <w:rFonts w:hint="eastAsia" w:ascii="Times New Roman" w:hAnsi="Times New Roman" w:eastAsia="宋体"/>
          <w:u w:val="single"/>
          <w:lang w:val="en-US" w:eastAsia="zh-CN"/>
        </w:rPr>
        <w:t xml:space="preserve"> </w:t>
      </w:r>
      <w:r>
        <w:rPr>
          <w:rFonts w:hint="eastAsia" w:ascii="Times New Roman" w:hAnsi="Times New Roman"/>
          <w:u w:val="single"/>
          <w:lang w:val="en-US" w:eastAsia="zh-CN"/>
        </w:rPr>
        <w:t>；（大写）                                       ；</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2.</w:t>
      </w:r>
      <w:r>
        <w:rPr>
          <w:rFonts w:hint="eastAsia" w:ascii="Times New Roman" w:hAnsi="Times New Roman" w:eastAsia="宋体"/>
          <w:lang w:eastAsia="zh-CN"/>
        </w:rPr>
        <w:t>合同</w:t>
      </w:r>
      <w:r>
        <w:rPr>
          <w:rFonts w:hint="eastAsia" w:ascii="Times New Roman" w:hAnsi="Times New Roman" w:eastAsia="Times New Roman"/>
        </w:rPr>
        <w:t>价款的支付条件及支付比例：</w:t>
      </w:r>
    </w:p>
    <w:p>
      <w:pPr>
        <w:pStyle w:val="12"/>
        <w:spacing w:before="171" w:line="393" w:lineRule="auto"/>
        <w:ind w:left="337" w:right="301" w:firstLine="420"/>
        <w:rPr>
          <w:rFonts w:hint="default" w:ascii="Times New Roman" w:hAnsi="Times New Roman" w:eastAsia="宋体"/>
          <w:lang w:val="en-US" w:eastAsia="zh-CN"/>
        </w:rPr>
      </w:pPr>
      <w:r>
        <w:rPr>
          <w:rFonts w:hint="eastAsia" w:ascii="Times New Roman" w:hAnsi="Times New Roman" w:eastAsia="Times New Roman"/>
        </w:rPr>
        <w:t>（1）首期付款：</w:t>
      </w:r>
      <w:r>
        <w:rPr>
          <w:rFonts w:hint="eastAsia" w:ascii="Times New Roman" w:hAnsi="Times New Roman" w:eastAsia="宋体"/>
          <w:lang w:eastAsia="zh-CN"/>
        </w:rPr>
        <w:t>合同</w:t>
      </w:r>
      <w:r>
        <w:rPr>
          <w:rFonts w:hint="eastAsia" w:ascii="Times New Roman" w:hAnsi="Times New Roman" w:eastAsia="Times New Roman"/>
        </w:rPr>
        <w:t>签定</w:t>
      </w:r>
      <w:r>
        <w:rPr>
          <w:rFonts w:hint="eastAsia" w:ascii="Times New Roman" w:hAnsi="Times New Roman" w:eastAsia="宋体"/>
          <w:lang w:eastAsia="zh-CN"/>
        </w:rPr>
        <w:t>后</w:t>
      </w:r>
      <w:r>
        <w:rPr>
          <w:rFonts w:hint="eastAsia" w:ascii="Times New Roman" w:hAnsi="Times New Roman" w:eastAsia="Times New Roman"/>
        </w:rPr>
        <w:t>10个工作</w:t>
      </w:r>
      <w:r>
        <w:rPr>
          <w:rFonts w:hint="eastAsia" w:ascii="Times New Roman" w:hAnsi="Times New Roman" w:eastAsia="宋体"/>
          <w:lang w:eastAsia="zh-CN"/>
        </w:rPr>
        <w:t>日内，甲方向乙方支付</w:t>
      </w:r>
      <w:r>
        <w:rPr>
          <w:rFonts w:hint="eastAsia" w:ascii="Times New Roman" w:hAnsi="Times New Roman" w:eastAsia="宋体"/>
          <w:lang w:val="en-US" w:eastAsia="zh-CN"/>
        </w:rPr>
        <w:t>一</w:t>
      </w:r>
      <w:r>
        <w:rPr>
          <w:rFonts w:hint="eastAsia" w:ascii="Times New Roman" w:hAnsi="Times New Roman" w:eastAsia="宋体"/>
          <w:lang w:eastAsia="zh-CN"/>
        </w:rPr>
        <w:t>个季度的费用（小写）</w:t>
      </w:r>
      <w:r>
        <w:rPr>
          <w:rFonts w:hint="eastAsia" w:ascii="Times New Roman" w:hAnsi="Times New Roman" w:eastAsia="宋体"/>
          <w:u w:val="single"/>
          <w:lang w:val="en-US" w:eastAsia="zh-CN"/>
        </w:rPr>
        <w:t xml:space="preserve">        </w:t>
      </w:r>
      <w:r>
        <w:rPr>
          <w:rFonts w:hint="eastAsia" w:ascii="Times New Roman" w:hAnsi="Times New Roman"/>
          <w:u w:val="single"/>
          <w:lang w:val="en-US" w:eastAsia="zh-CN"/>
        </w:rPr>
        <w:t xml:space="preserve">                   </w:t>
      </w:r>
      <w:r>
        <w:rPr>
          <w:rFonts w:hint="eastAsia" w:ascii="Times New Roman" w:hAnsi="Times New Roman" w:eastAsia="宋体"/>
          <w:lang w:val="en-US" w:eastAsia="zh-CN"/>
        </w:rPr>
        <w:t>；（大写）</w:t>
      </w:r>
      <w:r>
        <w:rPr>
          <w:rFonts w:hint="eastAsia" w:ascii="Times New Roman" w:hAnsi="Times New Roman"/>
          <w:u w:val="single"/>
          <w:lang w:val="en-US" w:eastAsia="zh-CN"/>
        </w:rPr>
        <w:t xml:space="preserve">                                                  </w:t>
      </w:r>
      <w:r>
        <w:rPr>
          <w:rFonts w:hint="eastAsia" w:ascii="Times New Roman" w:hAnsi="Times New Roman" w:eastAsia="宋体"/>
          <w:lang w:val="en-US" w:eastAsia="zh-CN"/>
        </w:rPr>
        <w:t xml:space="preserve"> ；</w:t>
      </w:r>
    </w:p>
    <w:p>
      <w:pPr>
        <w:pStyle w:val="12"/>
        <w:spacing w:before="171" w:line="393" w:lineRule="auto"/>
        <w:ind w:left="337" w:right="301" w:firstLine="420"/>
        <w:rPr>
          <w:rFonts w:hint="default" w:ascii="Times New Roman" w:hAnsi="Times New Roman" w:eastAsia="Times New Roman"/>
          <w:lang w:val="en-US" w:eastAsia="zh-CN"/>
        </w:rPr>
      </w:pPr>
      <w:r>
        <w:rPr>
          <w:rFonts w:hint="eastAsia" w:ascii="Times New Roman" w:hAnsi="Times New Roman" w:eastAsia="Times New Roman"/>
        </w:rPr>
        <w:t>（2）此后费用支付按</w:t>
      </w:r>
      <w:r>
        <w:rPr>
          <w:rFonts w:hint="eastAsia" w:ascii="Times New Roman" w:hAnsi="Times New Roman" w:eastAsia="Times New Roman"/>
          <w:lang w:val="en-US" w:eastAsia="zh-CN"/>
        </w:rPr>
        <w:t>月考核</w:t>
      </w:r>
      <w:r>
        <w:rPr>
          <w:rFonts w:hint="eastAsia" w:ascii="Times New Roman" w:hAnsi="Times New Roman" w:eastAsia="Times New Roman"/>
        </w:rPr>
        <w:t>结算执行，</w:t>
      </w:r>
      <w:r>
        <w:rPr>
          <w:rFonts w:hint="eastAsia" w:ascii="Times New Roman" w:hAnsi="Times New Roman" w:eastAsia="Times New Roman"/>
          <w:lang w:eastAsia="zh-CN"/>
        </w:rPr>
        <w:t>甲方每月</w:t>
      </w:r>
      <w:r>
        <w:rPr>
          <w:rFonts w:hint="eastAsia" w:ascii="Times New Roman" w:hAnsi="Times New Roman" w:eastAsia="Times New Roman"/>
          <w:lang w:val="en-US" w:eastAsia="zh-CN"/>
        </w:rPr>
        <w:t>28号之前完成当月考核打分并确认付款金额，由乙方项目负责人签字确认，乙方于次月3号之前开具等额发票交付甲方后7天内甲方付款给乙方。</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五、承包期费用</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1.承包期间经费包括管理费、人员费用、环卫节慰问金、劳保用品费用、机械费用、工具耗材费用、税金保险费及不可预见费用（应对应急突发事件发生的费用，智慧环卫费用）、除雪费用（亦可单独计算）等费用，根据作业面积增减、社平工资调整、环境标准提升等因素造成的新增费用，双方可协商另签补充协议。</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2.在承包期间，如因乙方在管理、维修、维护、投入等方面经费保障不到位、不及时、影响正常环卫作业的、产生费用从当月考核承包费用中扣除，转付具体实施单位。</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3.甲方对清扫保洁、机械化清扫、公厕管护、绿化管养等日常管理、运营情况实行日督查、周汇总、月兑付的方式，进行量化考核，按考核管理办法兑付承包经费，扣除承包费，用于环境卫生管理工作及设施设备的更新、更换。</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4.作业面积超出合同的按道路清扫保洁每平方米单价人民币</w:t>
      </w:r>
      <w:r>
        <w:rPr>
          <w:rFonts w:hint="eastAsia" w:ascii="Times New Roman" w:hAnsi="Times New Roman" w:eastAsia="宋体"/>
          <w:lang w:val="en-US" w:eastAsia="zh-CN"/>
        </w:rPr>
        <w:t xml:space="preserve">    元</w:t>
      </w:r>
      <w:r>
        <w:rPr>
          <w:rFonts w:hint="eastAsia" w:ascii="Times New Roman" w:hAnsi="Times New Roman" w:eastAsia="Times New Roman"/>
          <w:lang w:val="en-US" w:eastAsia="zh-CN"/>
        </w:rPr>
        <w:t>/年</w:t>
      </w:r>
      <w:r>
        <w:rPr>
          <w:rFonts w:hint="eastAsia" w:ascii="Times New Roman" w:hAnsi="Times New Roman" w:eastAsia="Times New Roman"/>
        </w:rPr>
        <w:t>计算，园林绿化管养每平方米人民币</w:t>
      </w:r>
      <w:r>
        <w:rPr>
          <w:rFonts w:hint="eastAsia" w:ascii="Times New Roman" w:hAnsi="Times New Roman" w:eastAsia="宋体"/>
          <w:lang w:val="en-US" w:eastAsia="zh-CN"/>
        </w:rPr>
        <w:t xml:space="preserve">     </w:t>
      </w:r>
      <w:r>
        <w:rPr>
          <w:rFonts w:hint="eastAsia" w:ascii="Times New Roman" w:hAnsi="Times New Roman" w:eastAsia="Times New Roman"/>
        </w:rPr>
        <w:t>元</w:t>
      </w:r>
      <w:r>
        <w:rPr>
          <w:rFonts w:hint="eastAsia" w:ascii="Times New Roman" w:hAnsi="Times New Roman" w:eastAsia="Times New Roman"/>
          <w:lang w:val="en-US" w:eastAsia="zh-CN"/>
        </w:rPr>
        <w:t>/年</w:t>
      </w:r>
      <w:r>
        <w:rPr>
          <w:rFonts w:hint="eastAsia" w:ascii="Times New Roman" w:hAnsi="Times New Roman" w:eastAsia="Times New Roman"/>
        </w:rPr>
        <w:t>计算。</w:t>
      </w:r>
    </w:p>
    <w:p>
      <w:pPr>
        <w:pStyle w:val="12"/>
        <w:spacing w:before="171" w:line="393" w:lineRule="auto"/>
        <w:ind w:left="337" w:right="301" w:firstLine="420"/>
        <w:rPr>
          <w:rFonts w:ascii="Times New Roman" w:hAnsi="Times New Roman" w:eastAsia="Times New Roman"/>
        </w:rPr>
      </w:pPr>
      <w:r>
        <w:rPr>
          <w:rFonts w:hint="eastAsia" w:ascii="Times New Roman" w:hAnsi="Times New Roman" w:eastAsia="Times New Roman"/>
        </w:rPr>
        <w:t>5.环卫一体化信息平台建设：环卫GIS网格化管理、保洁作业管理、设备设施管理等系统。</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六、质量标准及要求</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乙方要严格按照建设部和省住建厅颁布的《城市环境卫生质量标准》《阿克苏城市市容环境卫生条例》、《阿克苏市容市貌和环境卫生管理暂行规定》、《城市绿化条例》、《城市绿化养护技术规范》等相关标准进行管理，具体标准见协议附件。</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七、甲方权利、义务</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1.甲方协助乙方做好环境卫生宣传监督工作，教育市民遵守有关管理规定，相互配合搞好公共场所环境卫生管理工作。</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2.甲方对乙方工作进行全程跟踪监督，如发现乙方存在未按照本协议约定进行作业的，甲方有权提出整改意见。</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3.甲方按照</w:t>
      </w:r>
      <w:r>
        <w:rPr>
          <w:rFonts w:hint="eastAsia" w:ascii="Times New Roman" w:hAnsi="Times New Roman" w:eastAsia="宋体"/>
          <w:lang w:eastAsia="zh-CN"/>
        </w:rPr>
        <w:t>合同</w:t>
      </w:r>
      <w:r>
        <w:rPr>
          <w:rFonts w:hint="eastAsia" w:ascii="Times New Roman" w:hAnsi="Times New Roman" w:eastAsia="Times New Roman"/>
        </w:rPr>
        <w:t>规定时间，按月考核拨付乙方承包费用，因拖欠发放乙方承包费用，导致社会影响及经济损失，由甲方承担相应责任，并对拖欠的承包费用按照全国银行间同业拆借中心公布贷款市场报价利率支付资金占用费用。</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4、甲方根据乙方作业需求，为乙方提供合理的</w:t>
      </w:r>
      <w:r>
        <w:rPr>
          <w:rFonts w:hint="eastAsia" w:ascii="Times New Roman" w:hAnsi="Times New Roman" w:eastAsia="宋体"/>
          <w:lang w:eastAsia="zh-CN"/>
        </w:rPr>
        <w:t>免费</w:t>
      </w:r>
      <w:r>
        <w:rPr>
          <w:rFonts w:hint="eastAsia" w:ascii="Times New Roman" w:hAnsi="Times New Roman" w:eastAsia="Times New Roman"/>
        </w:rPr>
        <w:t>接水点、停车场、环卫工人休息室和环卫用具临时存放点。</w:t>
      </w:r>
    </w:p>
    <w:p>
      <w:pPr>
        <w:pStyle w:val="12"/>
        <w:spacing w:before="171" w:line="393" w:lineRule="auto"/>
        <w:ind w:left="337" w:right="301" w:firstLine="420"/>
        <w:rPr>
          <w:rFonts w:hint="default" w:ascii="Times New Roman" w:hAnsi="Times New Roman" w:eastAsia="宋体"/>
          <w:lang w:val="en-US" w:eastAsia="zh-CN"/>
        </w:rPr>
      </w:pPr>
      <w:r>
        <w:rPr>
          <w:rFonts w:hint="eastAsia" w:ascii="Times New Roman" w:hAnsi="Times New Roman" w:eastAsia="宋体"/>
          <w:lang w:val="en-US" w:eastAsia="zh-CN"/>
        </w:rPr>
        <w:t>5、乙方连续三次考核结果低于69.9分的视为违约，甲方有权终止合同。</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八、乙方权利、义务</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1.乙方应当配合甲方的监督、检查和指导，应当严格服从甲方安排的重大接待、重要活动及临时应急工作，按时、按标准、按要求完成所分配的工作任务。</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2.乙方要积极配合甲方的检查,如出现乙方组织措施不当、计划不落实、管理不严，导致工作质量达不到规定标准，乙方在接到甲方的书面通知后，应立即进行整改。</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3.乙方不得无故拖欠员工工资，如有拖欠现象，甲方有权从核拨经费中直接扣除，用于员工工资发放。</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4.乙方在履约期间任何雇员（聘用人员）发生的受伤、残疾、死亡或造成动产、不动产的损失，因乙方未履行协议内容导致甲方遭受合法连带控告索赔，乙方须负责并赔偿所遭控告相关损失及所支付的费用。</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5.无故停止工作，甲方有权按损失程度依据双方约定扣减费用。若无故停工且甲方书面催告超过二十四小时的，甲方有权单方面终止合同。</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6、乙方在承包期内应不断提高企业管理水平和作业能力，提高环境卫生清扫保洁质量，提升城市园林绿化品质。</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宋体"/>
          <w:lang w:val="en-US" w:eastAsia="zh-CN"/>
        </w:rPr>
        <w:t>7</w:t>
      </w:r>
      <w:r>
        <w:rPr>
          <w:rFonts w:hint="eastAsia" w:ascii="Times New Roman" w:hAnsi="Times New Roman" w:eastAsia="Times New Roman"/>
        </w:rPr>
        <w:t>、乙方对甲方现有保洁车辆、设施</w:t>
      </w:r>
      <w:r>
        <w:rPr>
          <w:rFonts w:hint="eastAsia" w:ascii="Times New Roman" w:hAnsi="Times New Roman" w:eastAsia="宋体"/>
          <w:lang w:eastAsia="zh-CN"/>
        </w:rPr>
        <w:t>接受返祖</w:t>
      </w:r>
      <w:r>
        <w:rPr>
          <w:rFonts w:hint="eastAsia" w:ascii="Times New Roman" w:hAnsi="Times New Roman" w:eastAsia="Times New Roman"/>
        </w:rPr>
        <w:t>（以第三方公估机构评价后</w:t>
      </w:r>
      <w:r>
        <w:rPr>
          <w:rFonts w:hint="eastAsia" w:ascii="Times New Roman" w:hAnsi="Times New Roman" w:eastAsia="宋体"/>
          <w:lang w:eastAsia="zh-CN"/>
        </w:rPr>
        <w:t>价格</w:t>
      </w:r>
      <w:r>
        <w:rPr>
          <w:rFonts w:hint="eastAsia" w:ascii="Times New Roman" w:hAnsi="Times New Roman" w:eastAsia="Times New Roman"/>
        </w:rPr>
        <w:t>为准）；现有作业人员（在不违反其公司制度、男性不得超过60岁，女性不得超过55岁）自愿的情况下全盘接收，工资待遇不减。</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九、违约责任</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承包协议签定后，甲乙双方任何一方不履行协议条款或不按协议约定履行条款的其他情况，均属违约，由违约方承担违约责任。赔偿其造成的损失，并支付上月双方结算数额1%的违约金。</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十、争议解决</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1.承包期间，如遇不可抗力，致使合同无法履行时，双方应按有关法律规定及时协商处理。</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2.如双方在承包期间发生争议,由甲、乙双方协商解决，若经协商仍不能解决的，可提交当地法院进行仲裁。</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十一、其他</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1.本协议未尽事宜，双方可签订补充协议作为附件，补充协议与本协议具同等效力。</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2.本协议自双方签字盖章之日起生效，一式四份双方各执两份，具有同等效力。</w:t>
      </w:r>
    </w:p>
    <w:p>
      <w:pPr>
        <w:pStyle w:val="12"/>
        <w:spacing w:before="171" w:line="393" w:lineRule="auto"/>
        <w:ind w:left="337" w:right="301" w:firstLine="420"/>
        <w:rPr>
          <w:rFonts w:hint="eastAsia" w:ascii="Times New Roman" w:hAnsi="Times New Roman" w:eastAsia="Times New Roman"/>
        </w:rPr>
      </w:pPr>
    </w:p>
    <w:p>
      <w:pPr>
        <w:pStyle w:val="12"/>
        <w:spacing w:before="171" w:line="393" w:lineRule="auto"/>
        <w:ind w:left="337" w:right="301" w:firstLine="420"/>
        <w:rPr>
          <w:ins w:id="0" w:author="梁晨" w:date="2020-10-20T22:19:00Z"/>
          <w:rFonts w:hint="eastAsia" w:ascii="Times New Roman" w:hAnsi="Times New Roman" w:eastAsia="Times New Roman"/>
        </w:rPr>
      </w:pP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 xml:space="preserve">甲方：                   </w:t>
      </w:r>
      <w:r>
        <w:rPr>
          <w:rFonts w:hint="eastAsia" w:ascii="Times New Roman" w:hAnsi="Times New Roman" w:eastAsia="宋体"/>
          <w:lang w:val="en-US" w:eastAsia="zh-CN"/>
        </w:rPr>
        <w:t xml:space="preserve">                                       </w:t>
      </w:r>
      <w:r>
        <w:rPr>
          <w:rFonts w:hint="eastAsia" w:ascii="Times New Roman" w:hAnsi="Times New Roman" w:eastAsia="Times New Roman"/>
        </w:rPr>
        <w:t xml:space="preserve">        </w:t>
      </w:r>
      <w:r>
        <w:rPr>
          <w:rFonts w:hint="eastAsia" w:ascii="Times New Roman" w:hAnsi="Times New Roman" w:eastAsia="宋体"/>
          <w:lang w:val="en-US" w:eastAsia="zh-CN"/>
        </w:rPr>
        <w:t xml:space="preserve"> </w:t>
      </w:r>
      <w:r>
        <w:rPr>
          <w:rFonts w:hint="eastAsia" w:ascii="Times New Roman" w:hAnsi="Times New Roman" w:eastAsia="Times New Roman"/>
        </w:rPr>
        <w:t xml:space="preserve">   乙方：</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 xml:space="preserve">负责人：                        </w:t>
      </w:r>
      <w:r>
        <w:rPr>
          <w:rFonts w:hint="eastAsia" w:ascii="Times New Roman" w:hAnsi="Times New Roman" w:eastAsia="宋体"/>
          <w:lang w:val="en-US" w:eastAsia="zh-CN"/>
        </w:rPr>
        <w:t xml:space="preserve">                                       </w:t>
      </w:r>
      <w:r>
        <w:rPr>
          <w:rFonts w:hint="eastAsia" w:ascii="Times New Roman" w:hAnsi="Times New Roman" w:eastAsia="Times New Roman"/>
        </w:rPr>
        <w:t xml:space="preserve">    法定代表人：</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 xml:space="preserve">住址：                            </w:t>
      </w:r>
      <w:r>
        <w:rPr>
          <w:rFonts w:hint="eastAsia" w:ascii="Times New Roman" w:hAnsi="Times New Roman" w:eastAsia="宋体"/>
          <w:lang w:val="en-US" w:eastAsia="zh-CN"/>
        </w:rPr>
        <w:t xml:space="preserve">                                           </w:t>
      </w:r>
      <w:r>
        <w:rPr>
          <w:rFonts w:hint="eastAsia" w:ascii="Times New Roman" w:hAnsi="Times New Roman" w:eastAsia="Times New Roman"/>
        </w:rPr>
        <w:t xml:space="preserve">  住址：</w:t>
      </w:r>
    </w:p>
    <w:p>
      <w:pPr>
        <w:pStyle w:val="12"/>
        <w:spacing w:before="171" w:line="393" w:lineRule="auto"/>
        <w:ind w:left="337" w:right="301" w:firstLine="420"/>
        <w:rPr>
          <w:rFonts w:hint="eastAsia" w:ascii="Times New Roman" w:hAnsi="Times New Roman" w:eastAsia="Times New Roman"/>
        </w:rPr>
      </w:pPr>
      <w:r>
        <w:rPr>
          <w:rFonts w:hint="eastAsia" w:ascii="Times New Roman" w:hAnsi="Times New Roman" w:eastAsia="Times New Roman"/>
        </w:rPr>
        <w:t xml:space="preserve">联系人：                           </w:t>
      </w:r>
      <w:r>
        <w:rPr>
          <w:rFonts w:hint="eastAsia" w:ascii="Times New Roman" w:hAnsi="Times New Roman" w:eastAsia="宋体"/>
          <w:lang w:val="en-US" w:eastAsia="zh-CN"/>
        </w:rPr>
        <w:t xml:space="preserve">                                          </w:t>
      </w:r>
      <w:r>
        <w:rPr>
          <w:rFonts w:hint="eastAsia" w:ascii="Times New Roman" w:hAnsi="Times New Roman" w:eastAsia="Times New Roman"/>
        </w:rPr>
        <w:t xml:space="preserve"> 联系人：</w:t>
      </w:r>
    </w:p>
    <w:p>
      <w:pPr>
        <w:pStyle w:val="12"/>
        <w:spacing w:before="171" w:line="393" w:lineRule="auto"/>
        <w:ind w:left="337" w:right="301" w:firstLine="420"/>
        <w:rPr>
          <w:rFonts w:ascii="Times New Roman" w:hAnsi="Times New Roman" w:eastAsia="Times New Roman"/>
        </w:rPr>
      </w:pPr>
      <w:r>
        <w:rPr>
          <w:rFonts w:hint="eastAsia" w:ascii="Times New Roman" w:hAnsi="Times New Roman" w:eastAsia="Times New Roman"/>
        </w:rPr>
        <w:t xml:space="preserve">联系电话：                       </w:t>
      </w:r>
      <w:r>
        <w:rPr>
          <w:rFonts w:hint="eastAsia" w:ascii="Times New Roman" w:hAnsi="Times New Roman" w:eastAsia="宋体"/>
          <w:lang w:val="en-US" w:eastAsia="zh-CN"/>
        </w:rPr>
        <w:t xml:space="preserve">                                         </w:t>
      </w:r>
      <w:r>
        <w:rPr>
          <w:rFonts w:hint="eastAsia" w:ascii="Times New Roman" w:hAnsi="Times New Roman" w:eastAsia="Times New Roman"/>
        </w:rPr>
        <w:t xml:space="preserve">   联系电话：</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bidi w:val="0"/>
        <w:ind w:firstLine="438" w:firstLineChars="0"/>
        <w:jc w:val="left"/>
        <w:rPr>
          <w:rFonts w:hint="eastAsia"/>
          <w:lang w:eastAsia="zh-CN"/>
        </w:rPr>
      </w:pPr>
    </w:p>
    <w:p>
      <w:pPr>
        <w:bidi w:val="0"/>
        <w:ind w:firstLine="438" w:firstLineChars="0"/>
        <w:jc w:val="left"/>
        <w:rPr>
          <w:rFonts w:hint="eastAsia"/>
          <w:lang w:eastAsia="zh-CN"/>
        </w:rPr>
      </w:pPr>
      <w:r>
        <w:rPr>
          <w:rFonts w:hint="eastAsia"/>
          <w:lang w:eastAsia="zh-CN"/>
        </w:rPr>
        <w:t>附件一：</w:t>
      </w:r>
      <w:r>
        <w:rPr>
          <w:rFonts w:hint="eastAsia"/>
          <w:lang w:val="en-US" w:eastAsia="zh-CN"/>
        </w:rPr>
        <w:t xml:space="preserve"> </w:t>
      </w:r>
      <w:r>
        <w:rPr>
          <w:rFonts w:hint="eastAsia"/>
          <w:lang w:eastAsia="zh-CN"/>
        </w:rPr>
        <w:t>城市道路清扫保洁、园林绿化、公厕管护考核表</w:t>
      </w:r>
    </w:p>
    <w:p>
      <w:pPr>
        <w:pStyle w:val="26"/>
        <w:widowControl/>
        <w:spacing w:line="360" w:lineRule="auto"/>
      </w:pPr>
      <w:r>
        <w:rPr>
          <w:rStyle w:val="28"/>
          <w:rFonts w:hint="eastAsia" w:asciiTheme="minorEastAsia" w:hAnsiTheme="minorEastAsia" w:eastAsiaTheme="minorEastAsia" w:cstheme="minorEastAsia"/>
          <w:sz w:val="21"/>
          <w:szCs w:val="21"/>
        </w:rPr>
        <w:t>1.甲方负责监督检查管理工作，并制定合法化的环境卫生考核的办法和标准，乙方接受甲方考核办法和标准如下：</w:t>
      </w:r>
    </w:p>
    <w:tbl>
      <w:tblPr>
        <w:tblStyle w:val="17"/>
        <w:tblpPr w:leftFromText="180" w:rightFromText="180" w:vertAnchor="text" w:horzAnchor="page" w:tblpXSpec="center" w:tblpY="375"/>
        <w:tblOverlap w:val="never"/>
        <w:tblW w:w="9959" w:type="dxa"/>
        <w:jc w:val="center"/>
        <w:tblLayout w:type="fixed"/>
        <w:tblCellMar>
          <w:top w:w="0" w:type="dxa"/>
          <w:left w:w="108" w:type="dxa"/>
          <w:bottom w:w="0" w:type="dxa"/>
          <w:right w:w="108" w:type="dxa"/>
        </w:tblCellMar>
      </w:tblPr>
      <w:tblGrid>
        <w:gridCol w:w="755"/>
        <w:gridCol w:w="7982"/>
        <w:gridCol w:w="1222"/>
      </w:tblGrid>
      <w:tr>
        <w:tblPrEx>
          <w:tblCellMar>
            <w:top w:w="0" w:type="dxa"/>
            <w:left w:w="108" w:type="dxa"/>
            <w:bottom w:w="0" w:type="dxa"/>
            <w:right w:w="108" w:type="dxa"/>
          </w:tblCellMar>
        </w:tblPrEx>
        <w:trPr>
          <w:trHeight w:val="732"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序号</w:t>
            </w:r>
          </w:p>
        </w:tc>
        <w:tc>
          <w:tcPr>
            <w:tcW w:w="798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cs="宋体"/>
                <w:kern w:val="0"/>
                <w:sz w:val="21"/>
                <w:szCs w:val="21"/>
                <w:lang w:eastAsia="zh-CN"/>
              </w:rPr>
              <w:t>考核</w:t>
            </w:r>
            <w:r>
              <w:rPr>
                <w:rFonts w:hint="eastAsia" w:ascii="宋体" w:hAnsi="宋体" w:cs="宋体"/>
                <w:kern w:val="0"/>
                <w:sz w:val="21"/>
                <w:szCs w:val="21"/>
              </w:rPr>
              <w:t>项目</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412"/>
              </w:tabs>
              <w:spacing w:line="360" w:lineRule="auto"/>
              <w:jc w:val="left"/>
              <w:rPr>
                <w:rFonts w:hint="eastAsia" w:ascii="宋体" w:hAnsi="宋体" w:eastAsia="宋体" w:cs="宋体"/>
                <w:kern w:val="0"/>
                <w:sz w:val="21"/>
                <w:szCs w:val="21"/>
                <w:lang w:eastAsia="zh-CN"/>
              </w:rPr>
            </w:pPr>
            <w:r>
              <w:rPr>
                <w:rFonts w:hint="eastAsia" w:ascii="宋体" w:hAnsi="宋体" w:cs="宋体"/>
                <w:kern w:val="0"/>
                <w:sz w:val="21"/>
                <w:szCs w:val="21"/>
                <w:lang w:eastAsia="zh-CN"/>
              </w:rPr>
              <w:t>扣分</w:t>
            </w: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道路整条未清扫，扣</w:t>
            </w:r>
            <w:r>
              <w:rPr>
                <w:rFonts w:hint="eastAsia" w:ascii="宋体" w:hAnsi="宋体" w:cs="宋体"/>
                <w:kern w:val="0"/>
                <w:sz w:val="21"/>
                <w:szCs w:val="21"/>
                <w:lang w:val="en-US" w:eastAsia="zh-CN"/>
              </w:rPr>
              <w:t>10</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2</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绿化带堆放</w:t>
            </w:r>
            <w:r>
              <w:rPr>
                <w:rFonts w:ascii="宋体" w:hAnsi="宋体" w:cs="宋体"/>
                <w:kern w:val="0"/>
                <w:sz w:val="21"/>
                <w:szCs w:val="21"/>
              </w:rPr>
              <w:t>垃圾桶、</w:t>
            </w:r>
            <w:r>
              <w:rPr>
                <w:rFonts w:hint="eastAsia" w:ascii="宋体" w:hAnsi="宋体" w:cs="宋体"/>
                <w:kern w:val="0"/>
                <w:sz w:val="21"/>
                <w:szCs w:val="21"/>
                <w:lang w:val="en-US" w:eastAsia="zh-CN"/>
              </w:rPr>
              <w:t>家具等大</w:t>
            </w:r>
            <w:r>
              <w:rPr>
                <w:rFonts w:ascii="宋体" w:hAnsi="宋体" w:cs="宋体"/>
                <w:kern w:val="0"/>
                <w:sz w:val="21"/>
                <w:szCs w:val="21"/>
              </w:rPr>
              <w:t>垃圾，扣</w:t>
            </w:r>
            <w:r>
              <w:rPr>
                <w:rFonts w:hint="eastAsia" w:ascii="宋体" w:hAnsi="宋体" w:cs="宋体"/>
                <w:kern w:val="0"/>
                <w:sz w:val="21"/>
                <w:szCs w:val="21"/>
                <w:lang w:val="en-US" w:eastAsia="zh-CN"/>
              </w:rPr>
              <w:t>2</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3</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绿化带</w:t>
            </w:r>
            <w:r>
              <w:rPr>
                <w:rFonts w:hint="eastAsia" w:ascii="宋体" w:hAnsi="宋体" w:cs="宋体"/>
                <w:kern w:val="0"/>
                <w:sz w:val="21"/>
                <w:szCs w:val="21"/>
                <w:lang w:val="en-US" w:eastAsia="zh-CN"/>
              </w:rPr>
              <w:t>白色垃圾</w:t>
            </w:r>
            <w:r>
              <w:rPr>
                <w:rFonts w:ascii="宋体" w:hAnsi="宋体" w:cs="宋体"/>
                <w:kern w:val="0"/>
                <w:sz w:val="21"/>
                <w:szCs w:val="21"/>
              </w:rPr>
              <w:t>、砖块</w:t>
            </w:r>
            <w:r>
              <w:rPr>
                <w:rFonts w:hint="eastAsia" w:ascii="宋体" w:hAnsi="宋体" w:cs="宋体"/>
                <w:kern w:val="0"/>
                <w:sz w:val="21"/>
                <w:szCs w:val="21"/>
              </w:rPr>
              <w:t>清掏不及时</w:t>
            </w:r>
            <w:r>
              <w:rPr>
                <w:rFonts w:ascii="宋体" w:hAnsi="宋体" w:cs="宋体"/>
                <w:kern w:val="0"/>
                <w:sz w:val="21"/>
                <w:szCs w:val="21"/>
              </w:rPr>
              <w:t>，扣</w:t>
            </w:r>
            <w:r>
              <w:rPr>
                <w:rFonts w:hint="eastAsia" w:ascii="宋体" w:hAnsi="宋体" w:cs="宋体"/>
                <w:kern w:val="0"/>
                <w:sz w:val="21"/>
                <w:szCs w:val="21"/>
              </w:rPr>
              <w:t>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4</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道路、道沿、花砖清扫不干净，整条扣</w:t>
            </w:r>
            <w:r>
              <w:rPr>
                <w:rFonts w:hint="eastAsia" w:ascii="宋体" w:hAnsi="宋体" w:cs="宋体"/>
                <w:kern w:val="0"/>
                <w:sz w:val="21"/>
                <w:szCs w:val="21"/>
                <w:lang w:val="en-US" w:eastAsia="zh-CN"/>
              </w:rPr>
              <w:t>10</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5</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遇重大接待检查时人员车辆不能按时到位扣</w:t>
            </w:r>
            <w:r>
              <w:rPr>
                <w:rFonts w:hint="eastAsia" w:ascii="宋体" w:hAnsi="宋体" w:cs="宋体"/>
                <w:kern w:val="0"/>
                <w:sz w:val="21"/>
                <w:szCs w:val="21"/>
                <w:lang w:val="en-US" w:eastAsia="zh-CN"/>
              </w:rPr>
              <w:t>5</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6</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区域单位未清扫或清扫不干净死角有垃圾，扣</w:t>
            </w:r>
            <w:r>
              <w:rPr>
                <w:rFonts w:hint="eastAsia" w:ascii="宋体" w:hAnsi="宋体" w:cs="宋体"/>
                <w:kern w:val="0"/>
                <w:sz w:val="21"/>
                <w:szCs w:val="21"/>
                <w:lang w:val="en-US" w:eastAsia="zh-CN"/>
              </w:rPr>
              <w:t>1</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7</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将垃圾或杂物扫入花坛、绿地、草坪，扣0.5分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8</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清扫时将垃圾树叶、废弃物扫入下水井下水井四周不清掏，扣1分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9</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雨雪停后不及时擦洗隔离墩护栏，扣</w:t>
            </w:r>
            <w:r>
              <w:rPr>
                <w:rFonts w:hint="eastAsia" w:ascii="宋体" w:hAnsi="宋体" w:cs="宋体"/>
                <w:kern w:val="0"/>
                <w:sz w:val="21"/>
                <w:szCs w:val="21"/>
                <w:lang w:val="en-US" w:eastAsia="zh-CN"/>
              </w:rPr>
              <w:t>1</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10</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车辆冲洗路面、雨雪停后不及时处理积水（雪），扣</w:t>
            </w:r>
            <w:r>
              <w:rPr>
                <w:rFonts w:hint="eastAsia" w:ascii="宋体" w:hAnsi="宋体" w:cs="宋体"/>
                <w:kern w:val="0"/>
                <w:sz w:val="21"/>
                <w:szCs w:val="21"/>
                <w:lang w:val="en-US" w:eastAsia="zh-CN"/>
              </w:rPr>
              <w:t>2</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11</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人行道、慢车道有树叶</w:t>
            </w:r>
            <w:r>
              <w:rPr>
                <w:rFonts w:hint="eastAsia" w:ascii="宋体" w:hAnsi="宋体" w:cs="宋体"/>
                <w:kern w:val="0"/>
                <w:sz w:val="21"/>
                <w:szCs w:val="21"/>
                <w:lang w:val="en-US" w:eastAsia="zh-CN"/>
              </w:rPr>
              <w:t>及白色垃圾长时间未</w:t>
            </w:r>
            <w:r>
              <w:rPr>
                <w:rFonts w:hint="eastAsia" w:ascii="宋体" w:hAnsi="宋体" w:cs="宋体"/>
                <w:kern w:val="0"/>
                <w:sz w:val="21"/>
                <w:szCs w:val="21"/>
              </w:rPr>
              <w:t>清扫，扣1分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12</w:t>
            </w:r>
          </w:p>
        </w:tc>
        <w:tc>
          <w:tcPr>
            <w:tcW w:w="798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在承包区发现野广告未及时处理，扣0.5分</w:t>
            </w:r>
          </w:p>
        </w:tc>
        <w:tc>
          <w:tcPr>
            <w:tcW w:w="122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13</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未擦洗果皮箱，烟灰缸不清理，扣0.5分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14</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垃圾桶底座花砖有油污灰尘，扣1分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15</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垃圾冒尖，，扣1分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16</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垃圾桶损坏，外表生锈，不锁门，扣0.5分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17</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城乡结合部垃圾，道路堆放垃圾不及时清运，扣1分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18</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道路垃圾，碾压泥饼，扣1分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19</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道路、花砖、绿地、草坪有粪便、呕吐物、杂草，扣1分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908"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20</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劳动工具不齐全（道路保洁使用垃圾袋、塑料袋、蛇皮袋及其它工具的），扣1分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21</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三轮车外表不整洁，污锈迹明显，扣</w:t>
            </w:r>
            <w:r>
              <w:rPr>
                <w:rFonts w:hint="eastAsia" w:ascii="宋体" w:hAnsi="宋体" w:cs="宋体"/>
                <w:kern w:val="0"/>
                <w:sz w:val="21"/>
                <w:szCs w:val="21"/>
                <w:lang w:val="en-US" w:eastAsia="zh-CN"/>
              </w:rPr>
              <w:t>1</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22</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人员不在作业状态，道路闲聊蹲坐睡觉，扣1分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23</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r>
              <w:rPr>
                <w:rFonts w:hint="eastAsia" w:ascii="宋体" w:hAnsi="宋体" w:cs="宋体"/>
                <w:kern w:val="0"/>
                <w:sz w:val="21"/>
                <w:szCs w:val="21"/>
              </w:rPr>
              <w:t>快车道作业不设安全警示标志，扣1分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24</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ascii="宋体" w:hAnsi="宋体" w:cs="宋体"/>
                <w:kern w:val="0"/>
                <w:sz w:val="21"/>
                <w:szCs w:val="21"/>
              </w:rPr>
            </w:pPr>
            <w:r>
              <w:rPr>
                <w:rFonts w:hint="eastAsia" w:ascii="宋体" w:hAnsi="宋体" w:cs="宋体"/>
                <w:kern w:val="0"/>
                <w:sz w:val="21"/>
                <w:szCs w:val="21"/>
              </w:rPr>
              <w:t>上班期间不穿工服，不佩戴工牌，扣</w:t>
            </w:r>
            <w:r>
              <w:rPr>
                <w:rFonts w:hint="eastAsia" w:ascii="宋体" w:hAnsi="宋体" w:cs="宋体"/>
                <w:kern w:val="0"/>
                <w:sz w:val="21"/>
                <w:szCs w:val="21"/>
                <w:lang w:val="en-US" w:eastAsia="zh-CN"/>
              </w:rPr>
              <w:t>1</w:t>
            </w:r>
            <w:r>
              <w:rPr>
                <w:rFonts w:hint="eastAsia" w:ascii="宋体" w:hAnsi="宋体" w:cs="宋体"/>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25</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eastAsia="仿宋" w:cs="宋体"/>
                <w:color w:val="auto"/>
                <w:kern w:val="0"/>
                <w:sz w:val="21"/>
                <w:szCs w:val="21"/>
              </w:rPr>
            </w:pPr>
            <w:r>
              <w:rPr>
                <w:rFonts w:hint="eastAsia" w:ascii="宋体" w:hAnsi="宋体" w:cs="宋体"/>
                <w:color w:val="auto"/>
                <w:kern w:val="0"/>
                <w:sz w:val="21"/>
                <w:szCs w:val="21"/>
              </w:rPr>
              <w:t>公厕</w:t>
            </w:r>
            <w:r>
              <w:rPr>
                <w:rFonts w:hint="eastAsia" w:ascii="宋体" w:hAnsi="宋体" w:cs="宋体"/>
                <w:color w:val="auto"/>
                <w:kern w:val="0"/>
                <w:sz w:val="21"/>
                <w:szCs w:val="21"/>
                <w:lang w:val="en-US" w:eastAsia="zh-CN"/>
              </w:rPr>
              <w:t>无</w:t>
            </w:r>
            <w:r>
              <w:rPr>
                <w:rFonts w:hint="eastAsia" w:ascii="宋体" w:hAnsi="宋体" w:cs="宋体"/>
                <w:color w:val="auto"/>
                <w:kern w:val="0"/>
                <w:sz w:val="21"/>
                <w:szCs w:val="21"/>
              </w:rPr>
              <w:t>专人管护，设施标志不齐全，地面无防滑措施，扣1分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26</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公厕</w:t>
            </w:r>
            <w:r>
              <w:rPr>
                <w:rFonts w:hint="eastAsia" w:ascii="宋体" w:hAnsi="宋体" w:cs="宋体"/>
                <w:color w:val="auto"/>
                <w:kern w:val="0"/>
                <w:sz w:val="21"/>
                <w:szCs w:val="21"/>
                <w:lang w:val="en-US" w:eastAsia="zh-CN"/>
              </w:rPr>
              <w:t>未</w:t>
            </w:r>
            <w:r>
              <w:rPr>
                <w:rFonts w:hint="eastAsia" w:ascii="宋体" w:hAnsi="宋体" w:cs="宋体"/>
                <w:color w:val="auto"/>
                <w:kern w:val="0"/>
                <w:sz w:val="21"/>
                <w:szCs w:val="21"/>
              </w:rPr>
              <w:t>定期消毒、灭蝇，工具间摆放不整齐 扣1分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908"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27</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蹲位、间板、小便槽、灯具、洗手盆、挂物钩、冲水设备,内外墙等设施上有污迹，尿垢，有乱写乱画，扣0.5分。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28</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保洁作业时未悬挂作业指示，扣</w:t>
            </w:r>
            <w:r>
              <w:rPr>
                <w:rFonts w:hint="eastAsia" w:ascii="宋体" w:hAnsi="宋体" w:cs="宋体"/>
                <w:color w:val="auto"/>
                <w:kern w:val="0"/>
                <w:sz w:val="21"/>
                <w:szCs w:val="21"/>
                <w:lang w:val="en-US" w:eastAsia="zh-CN"/>
              </w:rPr>
              <w:t>1</w:t>
            </w:r>
            <w:r>
              <w:rPr>
                <w:rFonts w:hint="eastAsia" w:ascii="宋体" w:hAnsi="宋体" w:cs="宋体"/>
                <w:color w:val="auto"/>
                <w:kern w:val="0"/>
                <w:sz w:val="21"/>
                <w:szCs w:val="21"/>
              </w:rPr>
              <w:t>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nil"/>
              <w:right w:val="single" w:color="auto" w:sz="4" w:space="0"/>
            </w:tcBorders>
            <w:noWrap w:val="0"/>
            <w:vAlign w:val="center"/>
          </w:tcPr>
          <w:p>
            <w:pPr>
              <w:widowControl/>
              <w:spacing w:line="360" w:lineRule="auto"/>
              <w:jc w:val="center"/>
              <w:rPr>
                <w:rFonts w:ascii="宋体" w:hAnsi="宋体" w:cs="宋体"/>
                <w:kern w:val="0"/>
                <w:sz w:val="21"/>
                <w:szCs w:val="21"/>
              </w:rPr>
            </w:pPr>
            <w:r>
              <w:rPr>
                <w:rFonts w:hint="eastAsia" w:ascii="宋体" w:hAnsi="宋体" w:cs="宋体"/>
                <w:kern w:val="0"/>
                <w:sz w:val="21"/>
                <w:szCs w:val="21"/>
              </w:rPr>
              <w:t>29</w:t>
            </w:r>
          </w:p>
        </w:tc>
        <w:tc>
          <w:tcPr>
            <w:tcW w:w="7982" w:type="dxa"/>
            <w:tcBorders>
              <w:top w:val="nil"/>
              <w:left w:val="nil"/>
              <w:bottom w:val="nil"/>
              <w:right w:val="single" w:color="auto" w:sz="4" w:space="0"/>
            </w:tcBorders>
            <w:noWrap w:val="0"/>
            <w:vAlign w:val="center"/>
          </w:tcPr>
          <w:p>
            <w:pPr>
              <w:widowControl/>
              <w:spacing w:line="360" w:lineRule="auto"/>
              <w:jc w:val="left"/>
              <w:rPr>
                <w:rFonts w:ascii="宋体" w:hAnsi="宋体" w:cs="宋体"/>
                <w:color w:val="auto"/>
                <w:kern w:val="0"/>
                <w:sz w:val="21"/>
                <w:szCs w:val="21"/>
              </w:rPr>
            </w:pPr>
            <w:r>
              <w:rPr>
                <w:rFonts w:hint="eastAsia" w:ascii="宋体" w:hAnsi="宋体" w:cs="宋体"/>
                <w:color w:val="auto"/>
                <w:kern w:val="0"/>
                <w:sz w:val="21"/>
                <w:szCs w:val="21"/>
              </w:rPr>
              <w:t>快车道作业不设安全警示标志，扣</w:t>
            </w:r>
            <w:r>
              <w:rPr>
                <w:rFonts w:hint="eastAsia" w:cs="宋体"/>
                <w:color w:val="auto"/>
                <w:kern w:val="0"/>
                <w:sz w:val="21"/>
                <w:szCs w:val="21"/>
                <w:lang w:val="en-US" w:eastAsia="zh-CN"/>
              </w:rPr>
              <w:t>0.5</w:t>
            </w:r>
            <w:r>
              <w:rPr>
                <w:rFonts w:hint="eastAsia" w:ascii="宋体" w:hAnsi="宋体" w:cs="宋体"/>
                <w:color w:val="auto"/>
                <w:kern w:val="0"/>
                <w:sz w:val="21"/>
                <w:szCs w:val="21"/>
              </w:rPr>
              <w:t>分</w:t>
            </w:r>
          </w:p>
        </w:tc>
        <w:tc>
          <w:tcPr>
            <w:tcW w:w="1222" w:type="dxa"/>
            <w:tcBorders>
              <w:top w:val="nil"/>
              <w:left w:val="nil"/>
              <w:bottom w:val="nil"/>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899"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30</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绿篱生长旺盛，修剪不整齐、有干枯枝，有死株，有明显断垄，有高草杂草，有明显病虫害发生,扣2分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908"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31</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没有及时清理死苗，一周内没有补植回原来的种类并力求规格与原来植株接近，扣3分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554"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32</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不按照规定时间施肥、浇水 扣2分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r>
        <w:tblPrEx>
          <w:tblCellMar>
            <w:top w:w="0" w:type="dxa"/>
            <w:left w:w="108" w:type="dxa"/>
            <w:bottom w:w="0" w:type="dxa"/>
            <w:right w:w="108" w:type="dxa"/>
          </w:tblCellMar>
        </w:tblPrEx>
        <w:trPr>
          <w:trHeight w:val="1586" w:hRule="atLeast"/>
          <w:jc w:val="center"/>
        </w:trPr>
        <w:tc>
          <w:tcPr>
            <w:tcW w:w="755"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kern w:val="0"/>
                <w:sz w:val="21"/>
                <w:szCs w:val="21"/>
              </w:rPr>
            </w:pPr>
            <w:r>
              <w:rPr>
                <w:rFonts w:hint="eastAsia" w:ascii="宋体" w:hAnsi="宋体" w:cs="宋体"/>
                <w:kern w:val="0"/>
                <w:sz w:val="21"/>
                <w:szCs w:val="21"/>
              </w:rPr>
              <w:t>33</w:t>
            </w:r>
          </w:p>
        </w:tc>
        <w:tc>
          <w:tcPr>
            <w:tcW w:w="798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苗木修剪标准：绿化带、绿地小广场、花坛内的自然形乔木每年不少于1次，造型乔木每年不少于3次，主要修剪内膛枝、徒长枝、病虫枝、交叉枝、下垂枝、扭伤枝及枯枝烂头。没有按照这个标准执行者，扣分3分</w:t>
            </w:r>
          </w:p>
        </w:tc>
        <w:tc>
          <w:tcPr>
            <w:tcW w:w="122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p>
        </w:tc>
      </w:tr>
    </w:tbl>
    <w:p>
      <w:pPr>
        <w:pStyle w:val="12"/>
        <w:rPr>
          <w:sz w:val="20"/>
        </w:rPr>
      </w:pPr>
    </w:p>
    <w:p>
      <w:pPr>
        <w:pStyle w:val="26"/>
        <w:widowControl/>
        <w:spacing w:line="360" w:lineRule="auto"/>
        <w:rPr>
          <w:rStyle w:val="28"/>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2.成立环境卫生督查考核组，对乙方的清扫保洁、垃圾清运、公厕管护、绿化等环境卫生日常管理、运营情况进行日督查考核打分，考核等级分为优（90-100分)，良（80-89.9分）、中(70-79.9 分)、差（69.9 分以下)、四个等级，当月进度款的支付额与考评结果直接挂钩,按得分情况参照本条第 3 项约定扣除经费。</w:t>
      </w:r>
    </w:p>
    <w:p>
      <w:pPr>
        <w:pStyle w:val="26"/>
        <w:widowControl/>
        <w:spacing w:line="360" w:lineRule="auto"/>
        <w:rPr>
          <w:rStyle w:val="28"/>
          <w:rFonts w:hint="eastAsia" w:asciiTheme="minorEastAsia" w:hAnsiTheme="minorEastAsia" w:eastAsiaTheme="minorEastAsia" w:cstheme="minorEastAsia"/>
          <w:sz w:val="21"/>
          <w:szCs w:val="21"/>
        </w:rPr>
      </w:pPr>
      <w:r>
        <w:rPr>
          <w:rStyle w:val="28"/>
          <w:rFonts w:hint="eastAsia" w:asciiTheme="minorEastAsia" w:hAnsiTheme="minorEastAsia" w:eastAsiaTheme="minorEastAsia" w:cstheme="minorEastAsia"/>
          <w:sz w:val="21"/>
          <w:szCs w:val="21"/>
        </w:rPr>
        <w:t>3.作业经费扣除比例。月考核得分在 80 分以上不扣除经费，月考核得分在 80-84.9 分扣除当月经费的 0.5%，月考核得分在75-79. 9 分扣除当月经费的1%,月考核得分在 70-74.9 分扣除当月经费的2%,月考核得分在 69.9 分以下分扣除当月经费的 5%。如连续 3个月被评为差甲方可以单方面终止协议。</w:t>
      </w:r>
    </w:p>
    <w:p>
      <w:pPr>
        <w:pStyle w:val="26"/>
        <w:widowControl/>
        <w:spacing w:line="360" w:lineRule="auto"/>
        <w:rPr>
          <w:rStyle w:val="28"/>
          <w:rFonts w:hint="eastAsia" w:asciiTheme="minorEastAsia" w:hAnsiTheme="minorEastAsia" w:eastAsiaTheme="minorEastAsia" w:cstheme="minorEastAsia"/>
          <w:sz w:val="21"/>
          <w:szCs w:val="21"/>
        </w:rPr>
      </w:pPr>
    </w:p>
    <w:p>
      <w:pPr>
        <w:spacing w:line="360" w:lineRule="auto"/>
        <w:ind w:left="312" w:leftChars="142"/>
        <w:jc w:val="both"/>
        <w:rPr>
          <w:rFonts w:hint="eastAsia" w:ascii="宋体" w:hAnsi="宋体" w:eastAsia="宋体"/>
          <w:sz w:val="24"/>
          <w:lang w:eastAsia="zh-CN"/>
        </w:rPr>
      </w:pPr>
      <w:r>
        <w:rPr>
          <w:rFonts w:hint="eastAsia"/>
          <w:sz w:val="20"/>
          <w:lang w:val="en-US" w:eastAsia="zh-CN"/>
        </w:rPr>
        <w:t xml:space="preserve">   </w:t>
      </w:r>
      <w:r>
        <w:rPr>
          <w:rFonts w:hint="eastAsia" w:ascii="宋体" w:hAnsi="宋体"/>
          <w:sz w:val="24"/>
        </w:rPr>
        <w:t>问责</w:t>
      </w:r>
      <w:r>
        <w:rPr>
          <w:rFonts w:ascii="宋体" w:hAnsi="宋体"/>
          <w:sz w:val="24"/>
        </w:rPr>
        <w:t>通报</w:t>
      </w:r>
      <w:r>
        <w:rPr>
          <w:rFonts w:hint="eastAsia" w:ascii="宋体" w:hAnsi="宋体"/>
          <w:sz w:val="24"/>
          <w:lang w:val="en-US" w:eastAsia="zh-CN"/>
        </w:rPr>
        <w:t>罚款</w:t>
      </w:r>
      <w:r>
        <w:rPr>
          <w:rFonts w:hint="eastAsia" w:ascii="宋体" w:hAnsi="宋体"/>
          <w:sz w:val="24"/>
        </w:rPr>
        <w:t>：扣款总额不得超出单月承包费用10%</w:t>
      </w:r>
      <w:r>
        <w:rPr>
          <w:rFonts w:hint="eastAsia"/>
          <w:sz w:val="24"/>
          <w:lang w:eastAsia="zh-CN"/>
        </w:rPr>
        <w:t>。</w:t>
      </w:r>
    </w:p>
    <w:tbl>
      <w:tblPr>
        <w:tblStyle w:val="17"/>
        <w:tblW w:w="0" w:type="auto"/>
        <w:tblInd w:w="456" w:type="dxa"/>
        <w:tblLayout w:type="fixed"/>
        <w:tblCellMar>
          <w:top w:w="0" w:type="dxa"/>
          <w:left w:w="108" w:type="dxa"/>
          <w:bottom w:w="0" w:type="dxa"/>
          <w:right w:w="108" w:type="dxa"/>
        </w:tblCellMar>
      </w:tblPr>
      <w:tblGrid>
        <w:gridCol w:w="978"/>
        <w:gridCol w:w="8952"/>
      </w:tblGrid>
      <w:tr>
        <w:tblPrEx>
          <w:tblCellMar>
            <w:top w:w="0" w:type="dxa"/>
            <w:left w:w="108" w:type="dxa"/>
            <w:bottom w:w="0" w:type="dxa"/>
            <w:right w:w="108" w:type="dxa"/>
          </w:tblCellMar>
        </w:tblPrEx>
        <w:trPr>
          <w:trHeight w:val="645" w:hRule="atLeast"/>
        </w:trPr>
        <w:tc>
          <w:tcPr>
            <w:tcW w:w="9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89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通报</w:t>
            </w:r>
            <w:r>
              <w:rPr>
                <w:rFonts w:ascii="宋体" w:hAnsi="宋体" w:cs="宋体"/>
                <w:kern w:val="0"/>
                <w:sz w:val="24"/>
              </w:rPr>
              <w:t>扣款</w:t>
            </w:r>
          </w:p>
        </w:tc>
      </w:tr>
      <w:tr>
        <w:tblPrEx>
          <w:tblCellMar>
            <w:top w:w="0" w:type="dxa"/>
            <w:left w:w="108" w:type="dxa"/>
            <w:bottom w:w="0" w:type="dxa"/>
            <w:right w:w="108" w:type="dxa"/>
          </w:tblCellMar>
        </w:tblPrEx>
        <w:trPr>
          <w:trHeight w:val="312" w:hRule="atLeast"/>
        </w:trPr>
        <w:tc>
          <w:tcPr>
            <w:tcW w:w="9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p>
        </w:tc>
        <w:tc>
          <w:tcPr>
            <w:tcW w:w="8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634" w:hRule="atLeast"/>
        </w:trPr>
        <w:tc>
          <w:tcPr>
            <w:tcW w:w="97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1</w:t>
            </w:r>
          </w:p>
        </w:tc>
        <w:tc>
          <w:tcPr>
            <w:tcW w:w="895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市容环境问题被市民投诉，扣除承包单位月考核200元。</w:t>
            </w:r>
          </w:p>
        </w:tc>
      </w:tr>
      <w:tr>
        <w:tblPrEx>
          <w:tblCellMar>
            <w:top w:w="0" w:type="dxa"/>
            <w:left w:w="108" w:type="dxa"/>
            <w:bottom w:w="0" w:type="dxa"/>
            <w:right w:w="108" w:type="dxa"/>
          </w:tblCellMar>
        </w:tblPrEx>
        <w:trPr>
          <w:trHeight w:val="734" w:hRule="atLeast"/>
        </w:trPr>
        <w:tc>
          <w:tcPr>
            <w:tcW w:w="97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2</w:t>
            </w:r>
          </w:p>
        </w:tc>
        <w:tc>
          <w:tcPr>
            <w:tcW w:w="895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市容环境问题被检查出并要求整改，根据情节扣除承包单位月考核1000—2000元。</w:t>
            </w:r>
          </w:p>
        </w:tc>
      </w:tr>
      <w:tr>
        <w:tblPrEx>
          <w:tblCellMar>
            <w:top w:w="0" w:type="dxa"/>
            <w:left w:w="108" w:type="dxa"/>
            <w:bottom w:w="0" w:type="dxa"/>
            <w:right w:w="108" w:type="dxa"/>
          </w:tblCellMar>
        </w:tblPrEx>
        <w:trPr>
          <w:trHeight w:val="1035"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3</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市容环境问题被阿克苏市区内媒体或报刊曝光，扣除承包单位月考核3000元；市容环境问题被市级媒体或报刊曝光，扣除承包单位月考核5000元。</w:t>
            </w:r>
          </w:p>
        </w:tc>
      </w:tr>
      <w:tr>
        <w:tblPrEx>
          <w:tblCellMar>
            <w:top w:w="0" w:type="dxa"/>
            <w:left w:w="108" w:type="dxa"/>
            <w:bottom w:w="0" w:type="dxa"/>
            <w:right w:w="108" w:type="dxa"/>
          </w:tblCellMar>
        </w:tblPrEx>
        <w:trPr>
          <w:trHeight w:val="875"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4</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创卫、创文等重大迎复审工作检查出的市容环境相关问题或思想不重视，行动不积极，措施不得力，整改不认真，扣除承包单位月考核5000元。</w:t>
            </w:r>
          </w:p>
        </w:tc>
      </w:tr>
      <w:tr>
        <w:tblPrEx>
          <w:tblCellMar>
            <w:top w:w="0" w:type="dxa"/>
            <w:left w:w="108" w:type="dxa"/>
            <w:bottom w:w="0" w:type="dxa"/>
            <w:right w:w="108" w:type="dxa"/>
          </w:tblCellMar>
        </w:tblPrEx>
        <w:trPr>
          <w:trHeight w:val="784"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5</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在正常作业安排和接待检查时，不听从上级部门主管调遣、安排或落实工作不及时、整治不得力，扣除承包单位月考核3000元。</w:t>
            </w:r>
          </w:p>
        </w:tc>
      </w:tr>
      <w:tr>
        <w:tblPrEx>
          <w:tblCellMar>
            <w:top w:w="0" w:type="dxa"/>
            <w:left w:w="108" w:type="dxa"/>
            <w:bottom w:w="0" w:type="dxa"/>
            <w:right w:w="108" w:type="dxa"/>
          </w:tblCellMar>
        </w:tblPrEx>
        <w:trPr>
          <w:trHeight w:val="754"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6</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在检查中发现道路严重缺员，根据情节扣除承包单位月考核1000—5000元。</w:t>
            </w:r>
          </w:p>
        </w:tc>
      </w:tr>
      <w:tr>
        <w:tblPrEx>
          <w:tblCellMar>
            <w:top w:w="0" w:type="dxa"/>
            <w:left w:w="108" w:type="dxa"/>
            <w:bottom w:w="0" w:type="dxa"/>
            <w:right w:w="108" w:type="dxa"/>
          </w:tblCellMar>
        </w:tblPrEx>
        <w:trPr>
          <w:trHeight w:val="514"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7</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同一条道路经常出现保洁不到位现象，扣除承包单位月考核3000元。</w:t>
            </w:r>
          </w:p>
        </w:tc>
      </w:tr>
      <w:tr>
        <w:tblPrEx>
          <w:tblCellMar>
            <w:top w:w="0" w:type="dxa"/>
            <w:left w:w="108" w:type="dxa"/>
            <w:bottom w:w="0" w:type="dxa"/>
            <w:right w:w="108" w:type="dxa"/>
          </w:tblCellMar>
        </w:tblPrEx>
        <w:trPr>
          <w:trHeight w:val="769"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8</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环卫工将树叶、垃圾、尘土等扫入绿化带、下水井，扣除承包单位月考核2000元。</w:t>
            </w:r>
          </w:p>
        </w:tc>
      </w:tr>
      <w:tr>
        <w:tblPrEx>
          <w:tblCellMar>
            <w:top w:w="0" w:type="dxa"/>
            <w:left w:w="108" w:type="dxa"/>
            <w:bottom w:w="0" w:type="dxa"/>
            <w:right w:w="108" w:type="dxa"/>
          </w:tblCellMar>
        </w:tblPrEx>
        <w:trPr>
          <w:trHeight w:val="959"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9</w:t>
            </w:r>
          </w:p>
        </w:tc>
        <w:tc>
          <w:tcPr>
            <w:tcW w:w="8952" w:type="dxa"/>
            <w:tcBorders>
              <w:top w:val="single" w:color="auto" w:sz="4" w:space="0"/>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焚烧垃圾、落叶、杂物或对焚烧垃圾、落叶、杂物不及时扑灭、处理及环卫工焚烧烤火现象，扣除承包单位月考核2000元。</w:t>
            </w:r>
          </w:p>
        </w:tc>
      </w:tr>
      <w:tr>
        <w:tblPrEx>
          <w:tblCellMar>
            <w:top w:w="0" w:type="dxa"/>
            <w:left w:w="108" w:type="dxa"/>
            <w:bottom w:w="0" w:type="dxa"/>
            <w:right w:w="108" w:type="dxa"/>
          </w:tblCellMar>
        </w:tblPrEx>
        <w:trPr>
          <w:trHeight w:val="959" w:hRule="atLeast"/>
        </w:trPr>
        <w:tc>
          <w:tcPr>
            <w:tcW w:w="97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10</w:t>
            </w:r>
          </w:p>
        </w:tc>
        <w:tc>
          <w:tcPr>
            <w:tcW w:w="895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环卫工未经合理流程、请示批准私自上访，聚众闹事的，根据情节扣除承包单位月考核1000—5000元。</w:t>
            </w:r>
          </w:p>
        </w:tc>
      </w:tr>
      <w:tr>
        <w:tblPrEx>
          <w:tblCellMar>
            <w:top w:w="0" w:type="dxa"/>
            <w:left w:w="108" w:type="dxa"/>
            <w:bottom w:w="0" w:type="dxa"/>
            <w:right w:w="108" w:type="dxa"/>
          </w:tblCellMar>
        </w:tblPrEx>
        <w:trPr>
          <w:trHeight w:val="959" w:hRule="atLeast"/>
        </w:trPr>
        <w:tc>
          <w:tcPr>
            <w:tcW w:w="978"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auto"/>
                <w:kern w:val="0"/>
                <w:sz w:val="21"/>
                <w:szCs w:val="21"/>
              </w:rPr>
            </w:pPr>
            <w:r>
              <w:rPr>
                <w:rFonts w:hint="eastAsia" w:ascii="宋体" w:hAnsi="宋体" w:cs="宋体"/>
                <w:color w:val="auto"/>
                <w:kern w:val="0"/>
                <w:sz w:val="21"/>
                <w:szCs w:val="21"/>
              </w:rPr>
              <w:t>11</w:t>
            </w:r>
          </w:p>
        </w:tc>
        <w:tc>
          <w:tcPr>
            <w:tcW w:w="8952" w:type="dxa"/>
            <w:tcBorders>
              <w:top w:val="nil"/>
              <w:left w:val="nil"/>
              <w:bottom w:val="single" w:color="auto" w:sz="4" w:space="0"/>
              <w:right w:val="single" w:color="auto" w:sz="4" w:space="0"/>
            </w:tcBorders>
            <w:noWrap w:val="0"/>
            <w:vAlign w:val="center"/>
          </w:tcPr>
          <w:p>
            <w:pPr>
              <w:widowControl/>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遇下雨、下雪等特殊天气，应急工作开展不及时或不得力，扣除承包单位月考核5000元。</w:t>
            </w:r>
          </w:p>
        </w:tc>
      </w:tr>
    </w:tbl>
    <w:p>
      <w:pPr>
        <w:widowControl/>
        <w:spacing w:line="360" w:lineRule="auto"/>
        <w:jc w:val="center"/>
        <w:rPr>
          <w:rFonts w:hint="eastAsia" w:ascii="宋体" w:hAnsi="宋体" w:cs="宋体"/>
          <w:color w:val="auto"/>
          <w:kern w:val="0"/>
          <w:sz w:val="21"/>
          <w:szCs w:val="21"/>
        </w:rPr>
      </w:pPr>
    </w:p>
    <w:p>
      <w:pPr>
        <w:pStyle w:val="11"/>
        <w:spacing w:before="112"/>
        <w:ind w:left="0" w:leftChars="0" w:firstLine="422" w:firstLineChars="200"/>
      </w:pPr>
      <w:r>
        <w:t>备注：本考核检查表</w:t>
      </w:r>
      <w:r>
        <w:rPr>
          <w:rFonts w:hint="eastAsia"/>
          <w:lang w:eastAsia="zh-CN"/>
        </w:rPr>
        <w:t>初始分</w:t>
      </w:r>
      <w:r>
        <w:t>值为 100 分。</w:t>
      </w:r>
    </w:p>
    <w:p>
      <w:pPr>
        <w:pStyle w:val="12"/>
        <w:rPr>
          <w:rFonts w:hint="default" w:eastAsia="宋体"/>
          <w:sz w:val="20"/>
          <w:lang w:val="en-US" w:eastAsia="zh-CN"/>
        </w:rPr>
      </w:pPr>
    </w:p>
    <w:p>
      <w:pPr>
        <w:pStyle w:val="12"/>
        <w:rPr>
          <w:sz w:val="20"/>
        </w:rPr>
      </w:pPr>
    </w:p>
    <w:p>
      <w:pPr>
        <w:pStyle w:val="12"/>
        <w:rPr>
          <w:sz w:val="20"/>
        </w:rPr>
      </w:pPr>
    </w:p>
    <w:p>
      <w:pPr>
        <w:pStyle w:val="12"/>
        <w:rPr>
          <w:sz w:val="20"/>
        </w:rPr>
      </w:pPr>
    </w:p>
    <w:p>
      <w:pPr>
        <w:pStyle w:val="12"/>
        <w:rPr>
          <w:sz w:val="20"/>
        </w:rPr>
      </w:pPr>
    </w:p>
    <w:p>
      <w:pPr>
        <w:pStyle w:val="12"/>
        <w:spacing w:before="11"/>
      </w:pPr>
    </w:p>
    <w:p>
      <w:pPr>
        <w:pStyle w:val="3"/>
        <w:tabs>
          <w:tab w:val="left" w:pos="1810"/>
        </w:tabs>
        <w:spacing w:before="49"/>
        <w:rPr>
          <w:spacing w:val="3"/>
        </w:rPr>
      </w:pPr>
      <w:bookmarkStart w:id="44" w:name="_TOC_250000"/>
    </w:p>
    <w:p>
      <w:pPr>
        <w:rPr>
          <w:spacing w:val="3"/>
        </w:rPr>
      </w:pPr>
    </w:p>
    <w:p>
      <w:pPr>
        <w:pStyle w:val="2"/>
        <w:rPr>
          <w:spacing w:val="3"/>
        </w:rPr>
      </w:pPr>
    </w:p>
    <w:p>
      <w:pPr>
        <w:rPr>
          <w:spacing w:val="3"/>
        </w:rPr>
      </w:pPr>
    </w:p>
    <w:p>
      <w:pPr>
        <w:pStyle w:val="2"/>
        <w:rPr>
          <w:spacing w:val="3"/>
        </w:rPr>
      </w:pPr>
    </w:p>
    <w:p>
      <w:pPr>
        <w:rPr>
          <w:spacing w:val="3"/>
        </w:rPr>
      </w:pPr>
    </w:p>
    <w:p>
      <w:pPr>
        <w:pStyle w:val="2"/>
        <w:rPr>
          <w:spacing w:val="3"/>
        </w:rPr>
      </w:pPr>
    </w:p>
    <w:p>
      <w:pPr>
        <w:rPr>
          <w:spacing w:val="3"/>
        </w:rPr>
      </w:pPr>
    </w:p>
    <w:p>
      <w:pPr>
        <w:pStyle w:val="2"/>
        <w:rPr>
          <w:spacing w:val="3"/>
        </w:rPr>
      </w:pPr>
    </w:p>
    <w:p>
      <w:pPr>
        <w:rPr>
          <w:spacing w:val="3"/>
        </w:rPr>
      </w:pPr>
    </w:p>
    <w:p>
      <w:pPr>
        <w:pStyle w:val="2"/>
      </w:pPr>
    </w:p>
    <w:p>
      <w:pPr>
        <w:pStyle w:val="3"/>
        <w:tabs>
          <w:tab w:val="left" w:pos="1810"/>
        </w:tabs>
        <w:spacing w:before="49"/>
      </w:pPr>
      <w:r>
        <w:rPr>
          <w:spacing w:val="3"/>
        </w:rPr>
        <w:t>第</w:t>
      </w:r>
      <w:bookmarkEnd w:id="44"/>
      <w:r>
        <w:t>六部分</w:t>
      </w:r>
      <w:r>
        <w:tab/>
      </w:r>
      <w:r>
        <w:t>投标文件格式</w:t>
      </w:r>
    </w:p>
    <w:p>
      <w:pPr>
        <w:pStyle w:val="12"/>
        <w:spacing w:before="238"/>
        <w:ind w:left="4373"/>
      </w:pPr>
      <w:r>
        <w:t>投标文件编制说明</w:t>
      </w:r>
    </w:p>
    <w:p>
      <w:pPr>
        <w:pStyle w:val="12"/>
        <w:spacing w:before="171" w:line="393" w:lineRule="auto"/>
        <w:ind w:left="337" w:right="301" w:firstLine="420"/>
      </w:pPr>
      <w:r>
        <w:rPr>
          <w:rFonts w:ascii="Times New Roman" w:hAnsi="Times New Roman" w:eastAsia="Times New Roman"/>
        </w:rPr>
        <w:t>1</w:t>
      </w:r>
      <w:r>
        <w:t>、投标文件应当使用招标文件规定的全部格式（表格可以按同样格式扩展）编写，除明确允许投标人可以自行编写的外，投标人不得以</w:t>
      </w:r>
      <w:r>
        <w:rPr>
          <w:rFonts w:ascii="Times New Roman" w:hAnsi="Times New Roman" w:eastAsia="Times New Roman"/>
        </w:rPr>
        <w:t>“</w:t>
      </w:r>
      <w:r>
        <w:t>投标文件格式</w:t>
      </w:r>
      <w:r>
        <w:rPr>
          <w:rFonts w:ascii="Times New Roman" w:hAnsi="Times New Roman" w:eastAsia="Times New Roman"/>
        </w:rPr>
        <w:t>”</w:t>
      </w:r>
      <w:r>
        <w:t>规定之外的方式填写相关内容。</w:t>
      </w:r>
    </w:p>
    <w:p>
      <w:pPr>
        <w:pStyle w:val="12"/>
        <w:spacing w:line="391" w:lineRule="auto"/>
        <w:ind w:left="337" w:right="381" w:firstLine="564"/>
      </w:pPr>
      <w:r>
        <w:rPr>
          <w:rFonts w:ascii="Times New Roman" w:eastAsia="Times New Roman"/>
        </w:rPr>
        <w:t>2</w:t>
      </w:r>
      <w:r>
        <w:t>、投标文件的编制应按照样本格式提供的内容，做出逐一明确的答复；投标人认为有必要，还可以做其它补充说明。</w:t>
      </w:r>
    </w:p>
    <w:p>
      <w:pPr>
        <w:pStyle w:val="12"/>
        <w:spacing w:before="2" w:line="391" w:lineRule="auto"/>
        <w:ind w:left="337" w:right="306" w:firstLine="422"/>
        <w:rPr>
          <w:rFonts w:hint="eastAsia" w:eastAsia="宋体"/>
          <w:lang w:eastAsia="zh-CN"/>
        </w:rPr>
        <w:sectPr>
          <w:pgSz w:w="11910" w:h="16840"/>
          <w:pgMar w:top="1360" w:right="740" w:bottom="1080" w:left="740" w:header="880" w:footer="887" w:gutter="0"/>
        </w:sectPr>
      </w:pPr>
      <w:r>
        <w:rPr>
          <w:rFonts w:ascii="Times New Roman" w:eastAsia="Times New Roman"/>
        </w:rPr>
        <w:t>3</w:t>
      </w:r>
      <w:r>
        <w:t xml:space="preserve">、投标人必须按照招标文件的规定和要求由法定代表人或被授权人签字（或盖章），并加盖投标人公章（正本为鲜章）。纸质投标文件须 </w:t>
      </w:r>
      <w:r>
        <w:rPr>
          <w:rFonts w:ascii="Times New Roman" w:eastAsia="Times New Roman"/>
        </w:rPr>
        <w:t xml:space="preserve">A4 </w:t>
      </w:r>
      <w:r>
        <w:t>纸</w:t>
      </w:r>
      <w:r>
        <w:rPr>
          <w:b/>
        </w:rPr>
        <w:t>单面或双面打印</w:t>
      </w:r>
      <w:r>
        <w:t>，分别各自装订成册并编制目录和页</w:t>
      </w:r>
      <w:r>
        <w:rPr>
          <w:rFonts w:hint="eastAsia"/>
          <w:lang w:eastAsia="zh-CN"/>
        </w:rPr>
        <w:t>码。</w:t>
      </w:r>
    </w:p>
    <w:p>
      <w:pPr>
        <w:pStyle w:val="12"/>
        <w:rPr>
          <w:rFonts w:ascii="Times New Roman"/>
          <w:sz w:val="20"/>
        </w:rPr>
      </w:pPr>
    </w:p>
    <w:p>
      <w:pPr>
        <w:pStyle w:val="12"/>
        <w:rPr>
          <w:rFonts w:ascii="Times New Roman"/>
          <w:sz w:val="20"/>
        </w:rPr>
      </w:pPr>
    </w:p>
    <w:p>
      <w:pPr>
        <w:pStyle w:val="12"/>
        <w:spacing w:before="4"/>
        <w:rPr>
          <w:rFonts w:ascii="Times New Roman"/>
          <w:sz w:val="10"/>
        </w:rPr>
      </w:pPr>
    </w:p>
    <w:p>
      <w:pPr>
        <w:pStyle w:val="12"/>
        <w:ind w:left="337"/>
        <w:rPr>
          <w:rFonts w:ascii="Times New Roman"/>
          <w:sz w:val="20"/>
        </w:rPr>
      </w:pPr>
      <w:r>
        <w:rPr>
          <w:rFonts w:ascii="Times New Roman"/>
          <w:sz w:val="20"/>
        </w:rPr>
        <mc:AlternateContent>
          <mc:Choice Requires="wps">
            <w:drawing>
              <wp:inline distT="0" distB="0" distL="114300" distR="114300">
                <wp:extent cx="1384300" cy="304800"/>
                <wp:effectExtent l="4445" t="4445" r="20955" b="14605"/>
                <wp:docPr id="3" name="文本框 5"/>
                <wp:cNvGraphicFramePr/>
                <a:graphic xmlns:a="http://schemas.openxmlformats.org/drawingml/2006/main">
                  <a:graphicData uri="http://schemas.microsoft.com/office/word/2010/wordprocessingShape">
                    <wps:wsp>
                      <wps:cNvSpPr txBox="1"/>
                      <wps:spPr>
                        <a:xfrm>
                          <a:off x="0" y="0"/>
                          <a:ext cx="1384300" cy="304800"/>
                        </a:xfrm>
                        <a:prstGeom prst="rect">
                          <a:avLst/>
                        </a:prstGeom>
                        <a:solidFill>
                          <a:srgbClr val="E4E4E4"/>
                        </a:solidFill>
                        <a:ln w="6096" cap="flat" cmpd="sng">
                          <a:solidFill>
                            <a:srgbClr val="000000"/>
                          </a:solidFill>
                          <a:prstDash val="solid"/>
                          <a:miter/>
                          <a:headEnd type="none" w="med" len="med"/>
                          <a:tailEnd type="none" w="med" len="med"/>
                        </a:ln>
                      </wps:spPr>
                      <wps:txbx>
                        <w:txbxContent>
                          <w:p>
                            <w:pPr>
                              <w:spacing w:before="4"/>
                              <w:ind w:left="-1" w:right="0" w:firstLine="0"/>
                              <w:jc w:val="left"/>
                              <w:rPr>
                                <w:b/>
                                <w:sz w:val="36"/>
                              </w:rPr>
                            </w:pPr>
                            <w:r>
                              <w:rPr>
                                <w:b/>
                                <w:sz w:val="36"/>
                              </w:rPr>
                              <w:t>政府采购项目</w:t>
                            </w:r>
                          </w:p>
                        </w:txbxContent>
                      </wps:txbx>
                      <wps:bodyPr lIns="0" tIns="0" rIns="0" bIns="0" upright="1"/>
                    </wps:wsp>
                  </a:graphicData>
                </a:graphic>
              </wp:inline>
            </w:drawing>
          </mc:Choice>
          <mc:Fallback>
            <w:pict>
              <v:shape id="文本框 5" o:spid="_x0000_s1026" o:spt="202" type="#_x0000_t202" style="height:24pt;width:109pt;" fillcolor="#E4E4E4" filled="t" stroked="t" coordsize="21600,21600" o:gfxdata="UEsDBAoAAAAAAIdO4kAAAAAAAAAAAAAAAAAEAAAAZHJzL1BLAwQUAAAACACHTuJALEtUWdMAAAAE&#10;AQAADwAAAGRycy9kb3ducmV2LnhtbE2PQU/DMAyF70j8h8iTuLG0Y9qm0nSHTZW4gEQHd68xbbXG&#10;qZp0G/x6DBe42Hp61vP38u3V9epMY+g8G0jnCSji2tuOGwNvh/J+AypEZIu9ZzLwSQG2xe1Njpn1&#10;F36lcxUbJSEcMjTQxjhkWoe6JYdh7gdi8T786DCKHBttR7xIuOv1IklW2mHH8qHFgXYt1adqcgZq&#10;Wj8/PJU0lMvd+ut99bKnatobczdLk0dQka7x7xh+8AUdCmE6+oltUL0BKRJ/p3iLdCPyaGApWxe5&#10;/g9ffANQSwMEFAAAAAgAh07iQKB86foaAgAAWgQAAA4AAABkcnMvZTJvRG9jLnhtbK1UzY7TMBC+&#10;I/EOlu802W2plqjpStBdhIQAaeEBXNtJLPlPHrdJXwDegBMX7jxXn2PHTtv9gUMPJFL62TP+Zuab&#10;cRfXg9FkKwMoZ2t6MSkpkZY7oWxb029fb19dUQKRWcG0s7KmOwn0evnyxaL3lbx0ndNCBoIkFqre&#10;17SL0VdFAbyThsHEeWnR2LhgWMRlaAsRWI/sRheXZTkveheED45LANxdjUZ6YAznELqmUVyuHN8Y&#10;aePIGqRmEUuCTnmgy5xt00gePzcNyEh0TbHSmL8YBPE6fYvlglVtYL5T/JACOyeFZzUZpiwGPVGt&#10;WGRkE9RfVEbx4MA1ccKdKcZCsiJYxUX5TJu7jnmZa0GpwZ9Eh/9Hyz9tvwSiRE2nlFhmsOH7nz/2&#10;v/7sf38nr5M8vYcKve48+sXhrRtwaI77gJup6qEJJv1iPQTtKO7uJK4cIuHp0PRqNi3RxNE2LWdX&#10;iJG+eDjtA8T30hmSQE0DNi9ryrYfIY6uR5cUDJxW4lZpnRehXb/TgWwZNvpmlt4D+xM3bUlf03n5&#10;Zo55MJzeBqcGofGoANg2x3tyAh4Tl/n5F3FKbMWgGxPIDMmNVUZFGTLqJBM3VpC486iyxctFUzJG&#10;Ckq0xLuYUPaMTOlzPFE7bVHC1KKxFQnFYT0gTYJrJ3bYNv3B4sik8T+CcATrI9j4oNoOZc/NzZQ4&#10;crk/h+uRZvrxOgd++EtY3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sS1RZ0wAAAAQBAAAPAAAA&#10;AAAAAAEAIAAAACIAAABkcnMvZG93bnJldi54bWxQSwECFAAUAAAACACHTuJAoHzp+hoCAABaBAAA&#10;DgAAAAAAAAABACAAAAAiAQAAZHJzL2Uyb0RvYy54bWxQSwUGAAAAAAYABgBZAQAArgUAAAAA&#10;">
                <v:fill on="t" focussize="0,0"/>
                <v:stroke weight="0.48pt" color="#000000" joinstyle="miter"/>
                <v:imagedata o:title=""/>
                <o:lock v:ext="edit" aspectratio="f"/>
                <v:textbox inset="0mm,0mm,0mm,0mm">
                  <w:txbxContent>
                    <w:p>
                      <w:pPr>
                        <w:spacing w:before="4"/>
                        <w:ind w:left="-1" w:right="0" w:firstLine="0"/>
                        <w:jc w:val="left"/>
                        <w:rPr>
                          <w:b/>
                          <w:sz w:val="36"/>
                        </w:rPr>
                      </w:pPr>
                      <w:r>
                        <w:rPr>
                          <w:b/>
                          <w:sz w:val="36"/>
                        </w:rPr>
                        <w:t>政府采购项目</w:t>
                      </w:r>
                    </w:p>
                  </w:txbxContent>
                </v:textbox>
                <w10:wrap type="none"/>
                <w10:anchorlock/>
              </v:shape>
            </w:pict>
          </mc:Fallback>
        </mc:AlternateContent>
      </w:r>
    </w:p>
    <w:p>
      <w:pPr>
        <w:pStyle w:val="12"/>
        <w:spacing w:before="3"/>
        <w:rPr>
          <w:rFonts w:ascii="Times New Roman"/>
          <w:sz w:val="7"/>
        </w:rPr>
      </w:pPr>
    </w:p>
    <w:p>
      <w:pPr>
        <w:pStyle w:val="3"/>
        <w:spacing w:before="61"/>
        <w:ind w:right="331"/>
        <w:jc w:val="right"/>
      </w:pPr>
      <w:r>
        <w:t>正本</w:t>
      </w:r>
      <w:r>
        <w:rPr>
          <w:rFonts w:ascii="Times New Roman" w:eastAsia="Times New Roman"/>
        </w:rPr>
        <w:t>/</w:t>
      </w:r>
      <w:r>
        <w:t>副本</w:t>
      </w:r>
    </w:p>
    <w:p>
      <w:pPr>
        <w:pStyle w:val="12"/>
        <w:rPr>
          <w:b/>
          <w:sz w:val="40"/>
        </w:rPr>
      </w:pPr>
    </w:p>
    <w:p>
      <w:pPr>
        <w:pStyle w:val="12"/>
        <w:spacing w:before="2"/>
        <w:rPr>
          <w:b/>
          <w:sz w:val="45"/>
        </w:rPr>
      </w:pPr>
    </w:p>
    <w:p>
      <w:pPr>
        <w:spacing w:before="0" w:line="254" w:lineRule="auto"/>
        <w:ind w:left="337" w:right="332" w:firstLine="0"/>
        <w:jc w:val="center"/>
        <w:rPr>
          <w:sz w:val="48"/>
        </w:rPr>
      </w:pPr>
      <w:r>
        <w:rPr>
          <w:rFonts w:hint="eastAsia"/>
          <w:sz w:val="48"/>
          <w:lang w:eastAsia="zh-CN"/>
        </w:rPr>
        <w:t>阿克苏市城市道路清扫保洁、园林绿化管养、公厕管护购买社会化</w:t>
      </w:r>
      <w:r>
        <w:rPr>
          <w:sz w:val="48"/>
        </w:rPr>
        <w:t>服务采购项目</w:t>
      </w:r>
    </w:p>
    <w:p>
      <w:pPr>
        <w:pStyle w:val="12"/>
        <w:rPr>
          <w:b/>
          <w:sz w:val="32"/>
        </w:rPr>
      </w:pPr>
    </w:p>
    <w:p>
      <w:pPr>
        <w:pStyle w:val="12"/>
        <w:rPr>
          <w:b/>
          <w:sz w:val="32"/>
        </w:rPr>
      </w:pPr>
    </w:p>
    <w:p>
      <w:pPr>
        <w:pStyle w:val="12"/>
        <w:rPr>
          <w:b/>
          <w:sz w:val="32"/>
        </w:rPr>
      </w:pPr>
    </w:p>
    <w:p>
      <w:pPr>
        <w:pStyle w:val="12"/>
        <w:rPr>
          <w:b/>
          <w:sz w:val="32"/>
        </w:rPr>
      </w:pPr>
    </w:p>
    <w:p>
      <w:pPr>
        <w:pStyle w:val="12"/>
        <w:spacing w:before="4"/>
        <w:rPr>
          <w:b/>
          <w:sz w:val="24"/>
        </w:rPr>
      </w:pPr>
    </w:p>
    <w:p>
      <w:pPr>
        <w:spacing w:before="0"/>
        <w:ind w:left="331" w:right="332" w:firstLine="0"/>
        <w:jc w:val="center"/>
        <w:rPr>
          <w:b/>
          <w:sz w:val="84"/>
        </w:rPr>
      </w:pPr>
      <w:r>
        <w:rPr>
          <w:b/>
          <w:sz w:val="84"/>
        </w:rPr>
        <w:t>投 标 文 件</w:t>
      </w:r>
    </w:p>
    <w:p>
      <w:pPr>
        <w:spacing w:before="208"/>
        <w:ind w:left="332" w:right="332" w:firstLine="0"/>
        <w:jc w:val="center"/>
        <w:rPr>
          <w:rFonts w:hint="default" w:ascii="Times New Roman" w:eastAsia="宋体"/>
          <w:b/>
          <w:sz w:val="36"/>
          <w:lang w:val="en-US" w:eastAsia="zh-CN"/>
        </w:rPr>
      </w:pPr>
      <w:r>
        <w:rPr>
          <w:b/>
          <w:sz w:val="36"/>
        </w:rPr>
        <w:t>项目编号</w:t>
      </w:r>
      <w:r>
        <w:rPr>
          <w:rFonts w:ascii="Times New Roman" w:eastAsia="Times New Roman"/>
          <w:b/>
          <w:sz w:val="36"/>
        </w:rPr>
        <w:t xml:space="preserve">: </w:t>
      </w:r>
      <w:r>
        <w:rPr>
          <w:rFonts w:hint="eastAsia" w:ascii="Times New Roman"/>
          <w:b/>
          <w:sz w:val="36"/>
          <w:lang w:val="en-US" w:eastAsia="zh-CN"/>
        </w:rPr>
        <w:t>2020-701</w:t>
      </w:r>
    </w:p>
    <w:p>
      <w:pPr>
        <w:pStyle w:val="12"/>
        <w:rPr>
          <w:b/>
          <w:sz w:val="40"/>
        </w:rPr>
      </w:pPr>
    </w:p>
    <w:p>
      <w:pPr>
        <w:pStyle w:val="12"/>
        <w:rPr>
          <w:b/>
          <w:sz w:val="40"/>
        </w:rPr>
      </w:pPr>
    </w:p>
    <w:p>
      <w:pPr>
        <w:pStyle w:val="12"/>
        <w:spacing w:before="8"/>
        <w:rPr>
          <w:b/>
          <w:sz w:val="36"/>
        </w:rPr>
      </w:pPr>
    </w:p>
    <w:p>
      <w:pPr>
        <w:tabs>
          <w:tab w:val="left" w:pos="7027"/>
        </w:tabs>
        <w:spacing w:before="0" w:line="338" w:lineRule="auto"/>
        <w:ind w:left="1785" w:right="1952" w:firstLine="0"/>
        <w:jc w:val="left"/>
        <w:rPr>
          <w:b/>
          <w:sz w:val="36"/>
        </w:rPr>
      </w:pPr>
      <w:r>
        <w:rPr>
          <w:b/>
          <w:sz w:val="36"/>
        </w:rPr>
        <w:t>投标人名称：</w:t>
      </w:r>
      <w:r>
        <w:rPr>
          <w:b/>
          <w:sz w:val="36"/>
          <w:u w:val="thick"/>
        </w:rPr>
        <w:t xml:space="preserve"> </w:t>
      </w:r>
      <w:r>
        <w:rPr>
          <w:b/>
          <w:sz w:val="36"/>
          <w:u w:val="thick"/>
        </w:rPr>
        <w:tab/>
      </w:r>
      <w:r>
        <w:rPr>
          <w:b/>
          <w:sz w:val="36"/>
          <w:u w:val="thick"/>
        </w:rPr>
        <w:t>（盖章</w:t>
      </w:r>
      <w:r>
        <w:rPr>
          <w:b/>
          <w:spacing w:val="-17"/>
          <w:sz w:val="36"/>
          <w:u w:val="thick"/>
        </w:rPr>
        <w:t xml:space="preserve">） </w:t>
      </w:r>
      <w:r>
        <w:rPr>
          <w:b/>
          <w:sz w:val="36"/>
        </w:rPr>
        <w:t>法定代表人或</w:t>
      </w:r>
    </w:p>
    <w:p>
      <w:pPr>
        <w:tabs>
          <w:tab w:val="left" w:pos="5945"/>
        </w:tabs>
        <w:spacing w:before="3"/>
        <w:ind w:left="1785" w:right="0" w:firstLine="0"/>
        <w:jc w:val="left"/>
        <w:rPr>
          <w:b/>
          <w:sz w:val="36"/>
        </w:rPr>
      </w:pPr>
      <w:r>
        <w:rPr>
          <w:b/>
          <w:sz w:val="36"/>
        </w:rPr>
        <w:t>其委托代理人</w:t>
      </w:r>
      <w:r>
        <w:rPr>
          <w:b/>
          <w:spacing w:val="3"/>
          <w:sz w:val="36"/>
        </w:rPr>
        <w:t>：</w:t>
      </w:r>
      <w:r>
        <w:rPr>
          <w:b/>
          <w:spacing w:val="3"/>
          <w:sz w:val="36"/>
          <w:u w:val="thick"/>
        </w:rPr>
        <w:t xml:space="preserve"> </w:t>
      </w:r>
      <w:r>
        <w:rPr>
          <w:b/>
          <w:spacing w:val="3"/>
          <w:sz w:val="36"/>
          <w:u w:val="thick"/>
        </w:rPr>
        <w:tab/>
      </w:r>
      <w:r>
        <w:rPr>
          <w:b/>
          <w:sz w:val="36"/>
          <w:u w:val="thick"/>
        </w:rPr>
        <w:t>（签字或盖章）</w:t>
      </w:r>
    </w:p>
    <w:p>
      <w:pPr>
        <w:pStyle w:val="12"/>
        <w:rPr>
          <w:b/>
          <w:sz w:val="20"/>
        </w:rPr>
      </w:pPr>
    </w:p>
    <w:p>
      <w:pPr>
        <w:pStyle w:val="12"/>
        <w:rPr>
          <w:b/>
          <w:sz w:val="20"/>
        </w:rPr>
      </w:pPr>
    </w:p>
    <w:p>
      <w:pPr>
        <w:pStyle w:val="12"/>
        <w:spacing w:before="11"/>
        <w:rPr>
          <w:b/>
        </w:rPr>
      </w:pPr>
    </w:p>
    <w:p>
      <w:pPr>
        <w:tabs>
          <w:tab w:val="left" w:pos="1811"/>
          <w:tab w:val="left" w:pos="2894"/>
          <w:tab w:val="left" w:pos="3979"/>
        </w:tabs>
        <w:spacing w:before="50"/>
        <w:ind w:left="1" w:right="0" w:firstLine="0"/>
        <w:jc w:val="center"/>
        <w:rPr>
          <w:b/>
          <w:sz w:val="36"/>
        </w:rPr>
      </w:pPr>
      <w:r>
        <w:rPr>
          <w:b/>
          <w:sz w:val="36"/>
        </w:rPr>
        <w:t>日期：</w:t>
      </w:r>
      <w:r>
        <w:rPr>
          <w:b/>
          <w:sz w:val="36"/>
        </w:rPr>
        <w:tab/>
      </w:r>
      <w:r>
        <w:rPr>
          <w:b/>
          <w:sz w:val="36"/>
        </w:rPr>
        <w:t>年</w:t>
      </w:r>
      <w:r>
        <w:rPr>
          <w:b/>
          <w:sz w:val="36"/>
        </w:rPr>
        <w:tab/>
      </w:r>
      <w:r>
        <w:rPr>
          <w:b/>
          <w:sz w:val="36"/>
        </w:rPr>
        <w:t>月</w:t>
      </w:r>
      <w:r>
        <w:rPr>
          <w:b/>
          <w:sz w:val="36"/>
        </w:rPr>
        <w:tab/>
      </w:r>
      <w:r>
        <w:rPr>
          <w:b/>
          <w:sz w:val="36"/>
        </w:rPr>
        <w:t>日</w:t>
      </w:r>
    </w:p>
    <w:p>
      <w:pPr>
        <w:spacing w:after="0"/>
        <w:jc w:val="center"/>
        <w:rPr>
          <w:sz w:val="36"/>
        </w:rPr>
        <w:sectPr>
          <w:pgSz w:w="11910" w:h="16840"/>
          <w:pgMar w:top="1360" w:right="740" w:bottom="1080" w:left="740" w:header="880" w:footer="887" w:gutter="0"/>
        </w:sectPr>
      </w:pPr>
    </w:p>
    <w:p>
      <w:pPr>
        <w:pStyle w:val="12"/>
        <w:rPr>
          <w:b/>
          <w:sz w:val="20"/>
        </w:rPr>
      </w:pPr>
    </w:p>
    <w:p>
      <w:pPr>
        <w:pStyle w:val="12"/>
        <w:rPr>
          <w:b/>
          <w:sz w:val="20"/>
        </w:rPr>
      </w:pPr>
    </w:p>
    <w:p>
      <w:pPr>
        <w:pStyle w:val="12"/>
        <w:spacing w:before="5"/>
        <w:rPr>
          <w:b/>
          <w:sz w:val="20"/>
        </w:rPr>
      </w:pPr>
    </w:p>
    <w:p>
      <w:pPr>
        <w:tabs>
          <w:tab w:val="left" w:pos="962"/>
        </w:tabs>
        <w:spacing w:before="50"/>
        <w:ind w:left="237" w:right="0" w:firstLine="0"/>
        <w:jc w:val="center"/>
        <w:rPr>
          <w:b/>
          <w:sz w:val="36"/>
        </w:rPr>
      </w:pPr>
      <w:r>
        <w:rPr>
          <w:b/>
          <w:sz w:val="36"/>
        </w:rPr>
        <w:t>目</w:t>
      </w:r>
      <w:r>
        <w:rPr>
          <w:b/>
          <w:sz w:val="36"/>
        </w:rPr>
        <w:tab/>
      </w:r>
      <w:r>
        <w:rPr>
          <w:b/>
          <w:sz w:val="36"/>
        </w:rPr>
        <w:t>录（参考格式，可自行调整）</w:t>
      </w:r>
    </w:p>
    <w:p>
      <w:pPr>
        <w:pStyle w:val="12"/>
        <w:rPr>
          <w:b/>
          <w:sz w:val="36"/>
        </w:rPr>
      </w:pPr>
    </w:p>
    <w:p>
      <w:pPr>
        <w:pStyle w:val="12"/>
        <w:rPr>
          <w:b/>
          <w:sz w:val="36"/>
        </w:rPr>
      </w:pPr>
    </w:p>
    <w:p>
      <w:pPr>
        <w:pStyle w:val="12"/>
        <w:spacing w:before="8"/>
        <w:rPr>
          <w:b/>
          <w:sz w:val="48"/>
        </w:rPr>
      </w:pPr>
    </w:p>
    <w:p>
      <w:pPr>
        <w:pStyle w:val="7"/>
        <w:numPr>
          <w:ilvl w:val="0"/>
          <w:numId w:val="76"/>
        </w:numPr>
        <w:tabs>
          <w:tab w:val="left" w:pos="1031"/>
        </w:tabs>
        <w:spacing w:before="0" w:after="0" w:line="240" w:lineRule="auto"/>
        <w:ind w:left="1030" w:right="0" w:hanging="213"/>
        <w:jc w:val="left"/>
      </w:pPr>
      <w:r>
        <w:fldChar w:fldCharType="begin"/>
      </w:r>
      <w:r>
        <w:instrText xml:space="preserve"> HYPERLINK \l "_bookmark2" </w:instrText>
      </w:r>
      <w:r>
        <w:fldChar w:fldCharType="separate"/>
      </w:r>
      <w:r>
        <w:rPr>
          <w:spacing w:val="-1"/>
        </w:rPr>
        <w:t>投标函</w:t>
      </w:r>
      <w:r>
        <w:t>（</w:t>
      </w:r>
      <w:r>
        <w:rPr>
          <w:spacing w:val="-2"/>
        </w:rPr>
        <w:t>格式</w:t>
      </w:r>
      <w:r>
        <w:t>）</w:t>
      </w:r>
      <w:r>
        <w:fldChar w:fldCharType="end"/>
      </w:r>
    </w:p>
    <w:p>
      <w:pPr>
        <w:pStyle w:val="12"/>
        <w:spacing w:before="10"/>
        <w:rPr>
          <w:sz w:val="22"/>
        </w:rPr>
      </w:pPr>
    </w:p>
    <w:p>
      <w:pPr>
        <w:pStyle w:val="7"/>
        <w:numPr>
          <w:ilvl w:val="0"/>
          <w:numId w:val="76"/>
        </w:numPr>
        <w:tabs>
          <w:tab w:val="left" w:pos="1031"/>
        </w:tabs>
        <w:spacing w:before="0" w:after="0" w:line="240" w:lineRule="auto"/>
        <w:ind w:left="1030" w:right="0" w:hanging="213"/>
        <w:jc w:val="left"/>
      </w:pPr>
      <w:r>
        <w:rPr>
          <w:spacing w:val="-2"/>
        </w:rPr>
        <w:t>投标报价一览表</w:t>
      </w:r>
      <w:r>
        <w:rPr>
          <w:spacing w:val="-3"/>
        </w:rPr>
        <w:t>（</w:t>
      </w:r>
      <w:r>
        <w:t>格式）</w:t>
      </w:r>
    </w:p>
    <w:p>
      <w:pPr>
        <w:pStyle w:val="12"/>
        <w:rPr>
          <w:sz w:val="23"/>
        </w:rPr>
      </w:pPr>
    </w:p>
    <w:p>
      <w:pPr>
        <w:pStyle w:val="7"/>
        <w:numPr>
          <w:ilvl w:val="0"/>
          <w:numId w:val="76"/>
        </w:numPr>
        <w:tabs>
          <w:tab w:val="left" w:pos="1031"/>
        </w:tabs>
        <w:spacing w:before="0" w:after="0" w:line="240" w:lineRule="auto"/>
        <w:ind w:left="1030" w:right="0" w:hanging="213"/>
        <w:jc w:val="left"/>
      </w:pPr>
      <w:r>
        <w:fldChar w:fldCharType="begin"/>
      </w:r>
      <w:r>
        <w:instrText xml:space="preserve"> HYPERLINK \l "_bookmark3" </w:instrText>
      </w:r>
      <w:r>
        <w:fldChar w:fldCharType="separate"/>
      </w:r>
      <w:r>
        <w:rPr>
          <w:spacing w:val="-3"/>
        </w:rPr>
        <w:t>服务要求响应偏离表</w:t>
      </w:r>
      <w:r>
        <w:t>（</w:t>
      </w:r>
      <w:r>
        <w:rPr>
          <w:spacing w:val="-2"/>
        </w:rPr>
        <w:t>格式</w:t>
      </w:r>
      <w:r>
        <w:t>）</w:t>
      </w:r>
      <w:r>
        <w:fldChar w:fldCharType="end"/>
      </w:r>
    </w:p>
    <w:p>
      <w:pPr>
        <w:pStyle w:val="12"/>
        <w:spacing w:before="12"/>
        <w:rPr>
          <w:sz w:val="22"/>
        </w:rPr>
      </w:pPr>
    </w:p>
    <w:p>
      <w:pPr>
        <w:pStyle w:val="7"/>
        <w:numPr>
          <w:ilvl w:val="0"/>
          <w:numId w:val="76"/>
        </w:numPr>
        <w:tabs>
          <w:tab w:val="left" w:pos="1031"/>
        </w:tabs>
        <w:spacing w:before="0" w:after="0" w:line="240" w:lineRule="auto"/>
        <w:ind w:left="1030" w:right="0" w:hanging="213"/>
        <w:jc w:val="left"/>
      </w:pPr>
      <w:r>
        <w:fldChar w:fldCharType="begin"/>
      </w:r>
      <w:r>
        <w:instrText xml:space="preserve"> HYPERLINK \l "_bookmark4" </w:instrText>
      </w:r>
      <w:r>
        <w:fldChar w:fldCharType="separate"/>
      </w:r>
      <w:r>
        <w:rPr>
          <w:spacing w:val="-3"/>
        </w:rPr>
        <w:t>商务条款响应偏离表</w:t>
      </w:r>
      <w:r>
        <w:t>（</w:t>
      </w:r>
      <w:r>
        <w:rPr>
          <w:spacing w:val="-2"/>
        </w:rPr>
        <w:t>格式</w:t>
      </w:r>
      <w:r>
        <w:t>）</w:t>
      </w:r>
      <w:r>
        <w:fldChar w:fldCharType="end"/>
      </w:r>
    </w:p>
    <w:p>
      <w:pPr>
        <w:pStyle w:val="12"/>
        <w:spacing w:before="10"/>
        <w:rPr>
          <w:sz w:val="22"/>
        </w:rPr>
      </w:pPr>
    </w:p>
    <w:p>
      <w:pPr>
        <w:pStyle w:val="7"/>
        <w:numPr>
          <w:ilvl w:val="0"/>
          <w:numId w:val="76"/>
        </w:numPr>
        <w:tabs>
          <w:tab w:val="left" w:pos="1031"/>
        </w:tabs>
        <w:spacing w:before="0" w:after="0" w:line="240" w:lineRule="auto"/>
        <w:ind w:left="1030" w:right="0" w:hanging="213"/>
        <w:jc w:val="left"/>
      </w:pPr>
      <w:r>
        <w:fldChar w:fldCharType="begin"/>
      </w:r>
      <w:r>
        <w:instrText xml:space="preserve"> HYPERLINK \l "_bookmark5" </w:instrText>
      </w:r>
      <w:r>
        <w:fldChar w:fldCharType="separate"/>
      </w:r>
      <w:r>
        <w:rPr>
          <w:spacing w:val="-3"/>
        </w:rPr>
        <w:t>法定代表人资格证明书及法定代表人授权委托书</w:t>
      </w:r>
      <w:r>
        <w:rPr>
          <w:spacing w:val="-3"/>
        </w:rPr>
        <w:fldChar w:fldCharType="end"/>
      </w:r>
    </w:p>
    <w:p>
      <w:pPr>
        <w:pStyle w:val="12"/>
        <w:spacing w:before="12"/>
        <w:rPr>
          <w:sz w:val="22"/>
        </w:rPr>
      </w:pPr>
    </w:p>
    <w:p>
      <w:pPr>
        <w:pStyle w:val="7"/>
        <w:numPr>
          <w:ilvl w:val="0"/>
          <w:numId w:val="76"/>
        </w:numPr>
        <w:tabs>
          <w:tab w:val="left" w:pos="1031"/>
        </w:tabs>
        <w:spacing w:before="0" w:after="0" w:line="240" w:lineRule="auto"/>
        <w:ind w:left="1030" w:right="0" w:hanging="213"/>
        <w:jc w:val="left"/>
      </w:pPr>
      <w:r>
        <w:fldChar w:fldCharType="begin"/>
      </w:r>
      <w:r>
        <w:instrText xml:space="preserve"> HYPERLINK \l "_bookmark6" </w:instrText>
      </w:r>
      <w:r>
        <w:fldChar w:fldCharType="separate"/>
      </w:r>
      <w:r>
        <w:rPr>
          <w:spacing w:val="-2"/>
        </w:rPr>
        <w:t>资格证明文件</w:t>
      </w:r>
      <w:r>
        <w:t>（</w:t>
      </w:r>
      <w:r>
        <w:rPr>
          <w:spacing w:val="-3"/>
        </w:rPr>
        <w:t>以下文件须复印件加盖投标人公章</w:t>
      </w:r>
      <w:r>
        <w:t>）</w:t>
      </w:r>
      <w:r>
        <w:fldChar w:fldCharType="end"/>
      </w:r>
    </w:p>
    <w:p>
      <w:pPr>
        <w:pStyle w:val="12"/>
        <w:spacing w:before="12"/>
        <w:rPr>
          <w:sz w:val="22"/>
        </w:rPr>
      </w:pPr>
    </w:p>
    <w:p>
      <w:pPr>
        <w:pStyle w:val="7"/>
        <w:numPr>
          <w:ilvl w:val="0"/>
          <w:numId w:val="76"/>
        </w:numPr>
        <w:tabs>
          <w:tab w:val="left" w:pos="1169"/>
        </w:tabs>
        <w:spacing w:before="0" w:after="0" w:line="240" w:lineRule="auto"/>
        <w:ind w:left="1168" w:right="0" w:hanging="351"/>
        <w:jc w:val="left"/>
      </w:pPr>
      <w:r>
        <w:fldChar w:fldCharType="begin"/>
      </w:r>
      <w:r>
        <w:instrText xml:space="preserve"> HYPERLINK \l "_bookmark7" </w:instrText>
      </w:r>
      <w:r>
        <w:fldChar w:fldCharType="separate"/>
      </w:r>
      <w:r>
        <w:rPr>
          <w:spacing w:val="-2"/>
        </w:rPr>
        <w:t>提供近三年</w:t>
      </w:r>
      <w:r>
        <w:rPr>
          <w:rFonts w:hint="eastAsia"/>
          <w:spacing w:val="-2"/>
          <w:lang w:eastAsia="zh-CN"/>
        </w:rPr>
        <w:t>企业</w:t>
      </w:r>
      <w:r>
        <w:rPr>
          <w:spacing w:val="-2"/>
        </w:rPr>
        <w:t>业绩</w:t>
      </w:r>
      <w:r>
        <w:t>（</w:t>
      </w:r>
      <w:r>
        <w:rPr>
          <w:spacing w:val="-3"/>
        </w:rPr>
        <w:t>以合同为准，复印件加盖公章</w:t>
      </w:r>
      <w:r>
        <w:t>）</w:t>
      </w:r>
      <w:r>
        <w:fldChar w:fldCharType="end"/>
      </w:r>
    </w:p>
    <w:p>
      <w:pPr>
        <w:pStyle w:val="12"/>
        <w:spacing w:before="10"/>
        <w:rPr>
          <w:sz w:val="22"/>
        </w:rPr>
      </w:pPr>
    </w:p>
    <w:p>
      <w:pPr>
        <w:pStyle w:val="7"/>
        <w:numPr>
          <w:ilvl w:val="0"/>
          <w:numId w:val="76"/>
        </w:numPr>
        <w:tabs>
          <w:tab w:val="left" w:pos="1171"/>
        </w:tabs>
        <w:spacing w:before="0" w:after="0" w:line="240" w:lineRule="auto"/>
        <w:ind w:left="1170" w:right="0" w:hanging="353"/>
        <w:jc w:val="left"/>
      </w:pPr>
      <w:r>
        <w:fldChar w:fldCharType="begin"/>
      </w:r>
      <w:r>
        <w:instrText xml:space="preserve"> HYPERLINK \l "_bookmark8" </w:instrText>
      </w:r>
      <w:r>
        <w:fldChar w:fldCharType="separate"/>
      </w:r>
      <w:r>
        <w:rPr>
          <w:spacing w:val="-3"/>
        </w:rPr>
        <w:t>项目实施方案（内容自拟，应包含但不限于评标办法中技术响应内容</w:t>
      </w:r>
      <w:r>
        <w:t>）</w:t>
      </w:r>
      <w:r>
        <w:fldChar w:fldCharType="end"/>
      </w:r>
    </w:p>
    <w:p>
      <w:pPr>
        <w:pStyle w:val="12"/>
        <w:spacing w:before="12"/>
        <w:rPr>
          <w:sz w:val="22"/>
        </w:rPr>
      </w:pPr>
    </w:p>
    <w:p>
      <w:pPr>
        <w:pStyle w:val="7"/>
        <w:numPr>
          <w:ilvl w:val="0"/>
          <w:numId w:val="76"/>
        </w:numPr>
        <w:tabs>
          <w:tab w:val="left" w:pos="1169"/>
        </w:tabs>
        <w:spacing w:before="0" w:after="0" w:line="436" w:lineRule="auto"/>
        <w:ind w:left="818" w:right="336" w:firstLine="0"/>
        <w:jc w:val="left"/>
      </w:pPr>
      <w:r>
        <w:fldChar w:fldCharType="begin"/>
      </w:r>
      <w:r>
        <w:instrText xml:space="preserve"> HYPERLINK \l "_bookmark9" </w:instrText>
      </w:r>
      <w:r>
        <w:fldChar w:fldCharType="separate"/>
      </w:r>
      <w:r>
        <w:t>承诺（</w:t>
      </w:r>
      <w:r>
        <w:rPr>
          <w:spacing w:val="-3"/>
        </w:rPr>
        <w:t>内容自拟，应包含但不限于评标办法中承诺及合理化建议内容</w:t>
      </w:r>
      <w:r>
        <w:t>）</w:t>
      </w:r>
      <w:r>
        <w:fldChar w:fldCharType="end"/>
      </w:r>
      <w:r>
        <w:fldChar w:fldCharType="begin"/>
      </w:r>
      <w:r>
        <w:instrText xml:space="preserve"> HYPERLINK \l "_bookmark10" </w:instrText>
      </w:r>
      <w:r>
        <w:fldChar w:fldCharType="separate"/>
      </w:r>
      <w:r>
        <w:t xml:space="preserve"> </w:t>
      </w:r>
      <w:r>
        <w:rPr>
          <w:rFonts w:ascii="Times New Roman" w:eastAsia="Times New Roman"/>
        </w:rPr>
        <w:t>10.</w:t>
      </w:r>
      <w:r>
        <w:rPr>
          <w:spacing w:val="-7"/>
        </w:rPr>
        <w:t>合理化建议</w:t>
      </w:r>
      <w:r>
        <w:t>（</w:t>
      </w:r>
      <w:r>
        <w:rPr>
          <w:spacing w:val="-6"/>
        </w:rPr>
        <w:t>内容自拟，应包含但不限于评标办法中承诺及合理化建议内</w:t>
      </w:r>
      <w:r>
        <w:rPr>
          <w:spacing w:val="-6"/>
        </w:rPr>
        <w:fldChar w:fldCharType="end"/>
      </w:r>
      <w:r>
        <w:fldChar w:fldCharType="begin"/>
      </w:r>
      <w:r>
        <w:instrText xml:space="preserve"> HYPERLINK \l "_bookmark10" </w:instrText>
      </w:r>
      <w:r>
        <w:fldChar w:fldCharType="separate"/>
      </w:r>
      <w:r>
        <w:t>容）</w:t>
      </w:r>
      <w:r>
        <w:fldChar w:fldCharType="end"/>
      </w:r>
    </w:p>
    <w:p>
      <w:pPr>
        <w:pStyle w:val="7"/>
        <w:numPr>
          <w:ilvl w:val="0"/>
          <w:numId w:val="77"/>
        </w:numPr>
        <w:tabs>
          <w:tab w:val="left" w:pos="1173"/>
        </w:tabs>
        <w:spacing w:before="0" w:after="0" w:line="356" w:lineRule="exact"/>
        <w:ind w:left="1172" w:right="0" w:hanging="355"/>
        <w:jc w:val="left"/>
      </w:pPr>
      <w:r>
        <w:fldChar w:fldCharType="begin"/>
      </w:r>
      <w:r>
        <w:instrText xml:space="preserve"> HYPERLINK \l "_bookmark11" </w:instrText>
      </w:r>
      <w:r>
        <w:fldChar w:fldCharType="separate"/>
      </w:r>
      <w:r>
        <w:rPr>
          <w:spacing w:val="-3"/>
        </w:rPr>
        <w:t>投标人认为有必要补充说明的事宜</w:t>
      </w:r>
      <w:r>
        <w:rPr>
          <w:spacing w:val="-3"/>
        </w:rPr>
        <w:fldChar w:fldCharType="end"/>
      </w:r>
    </w:p>
    <w:p>
      <w:pPr>
        <w:pStyle w:val="12"/>
        <w:rPr>
          <w:sz w:val="23"/>
        </w:rPr>
      </w:pPr>
    </w:p>
    <w:p>
      <w:pPr>
        <w:pStyle w:val="7"/>
        <w:numPr>
          <w:ilvl w:val="0"/>
          <w:numId w:val="77"/>
        </w:numPr>
        <w:tabs>
          <w:tab w:val="left" w:pos="1173"/>
        </w:tabs>
        <w:spacing w:before="0" w:after="0" w:line="240" w:lineRule="auto"/>
        <w:ind w:left="1172" w:right="0" w:hanging="355"/>
        <w:jc w:val="left"/>
      </w:pPr>
      <w:r>
        <w:fldChar w:fldCharType="begin"/>
      </w:r>
      <w:r>
        <w:instrText xml:space="preserve"> HYPERLINK \l "_bookmark12" </w:instrText>
      </w:r>
      <w:r>
        <w:fldChar w:fldCharType="separate"/>
      </w:r>
      <w:r>
        <w:rPr>
          <w:spacing w:val="-3"/>
        </w:rPr>
        <w:t>投标声明书</w:t>
      </w:r>
      <w:r>
        <w:rPr>
          <w:spacing w:val="-3"/>
        </w:rPr>
        <w:fldChar w:fldCharType="end"/>
      </w:r>
    </w:p>
    <w:p>
      <w:pPr>
        <w:pStyle w:val="12"/>
        <w:spacing w:before="9"/>
        <w:rPr>
          <w:sz w:val="22"/>
        </w:rPr>
      </w:pPr>
    </w:p>
    <w:p>
      <w:pPr>
        <w:pStyle w:val="7"/>
        <w:numPr>
          <w:ilvl w:val="0"/>
          <w:numId w:val="77"/>
        </w:numPr>
        <w:tabs>
          <w:tab w:val="left" w:pos="1173"/>
        </w:tabs>
        <w:spacing w:before="1" w:after="0" w:line="240" w:lineRule="auto"/>
        <w:ind w:left="1172" w:right="0" w:hanging="355"/>
        <w:jc w:val="left"/>
      </w:pPr>
      <w:r>
        <w:fldChar w:fldCharType="begin"/>
      </w:r>
      <w:r>
        <w:instrText xml:space="preserve"> HYPERLINK \l "_bookmark13" </w:instrText>
      </w:r>
      <w:r>
        <w:fldChar w:fldCharType="separate"/>
      </w:r>
      <w:r>
        <w:rPr>
          <w:spacing w:val="-3"/>
        </w:rPr>
        <w:t>《拒绝政府采购领域商业贿赂承诺书》</w:t>
      </w:r>
      <w:r>
        <w:t>（</w:t>
      </w:r>
      <w:r>
        <w:rPr>
          <w:spacing w:val="-2"/>
        </w:rPr>
        <w:t>格式</w:t>
      </w:r>
      <w:r>
        <w:t>）</w:t>
      </w:r>
      <w:r>
        <w:fldChar w:fldCharType="end"/>
      </w:r>
    </w:p>
    <w:p>
      <w:pPr>
        <w:pStyle w:val="12"/>
        <w:spacing w:before="12"/>
        <w:rPr>
          <w:sz w:val="22"/>
        </w:rPr>
      </w:pPr>
    </w:p>
    <w:p>
      <w:pPr>
        <w:pStyle w:val="7"/>
        <w:numPr>
          <w:ilvl w:val="0"/>
          <w:numId w:val="77"/>
        </w:numPr>
        <w:tabs>
          <w:tab w:val="left" w:pos="1173"/>
        </w:tabs>
        <w:spacing w:before="0" w:after="0" w:line="240" w:lineRule="auto"/>
        <w:ind w:left="1172" w:right="0" w:hanging="355"/>
        <w:jc w:val="left"/>
      </w:pPr>
      <w:r>
        <w:fldChar w:fldCharType="begin"/>
      </w:r>
      <w:r>
        <w:instrText xml:space="preserve"> HYPERLINK \l "_bookmark14" </w:instrText>
      </w:r>
      <w:r>
        <w:fldChar w:fldCharType="separate"/>
      </w:r>
      <w:r>
        <w:rPr>
          <w:spacing w:val="-3"/>
        </w:rPr>
        <w:t>《小微企业声明函》</w:t>
      </w:r>
      <w:r>
        <w:rPr>
          <w:spacing w:val="-3"/>
        </w:rPr>
        <w:fldChar w:fldCharType="end"/>
      </w:r>
    </w:p>
    <w:p>
      <w:pPr>
        <w:pStyle w:val="12"/>
        <w:rPr>
          <w:sz w:val="23"/>
        </w:rPr>
      </w:pPr>
    </w:p>
    <w:p>
      <w:pPr>
        <w:pStyle w:val="7"/>
        <w:ind w:left="818"/>
      </w:pPr>
      <w:r>
        <w:fldChar w:fldCharType="begin"/>
      </w:r>
      <w:r>
        <w:instrText xml:space="preserve"> HYPERLINK \l "_bookmark15" </w:instrText>
      </w:r>
      <w:r>
        <w:fldChar w:fldCharType="separate"/>
      </w:r>
      <w:r>
        <w:rPr>
          <w:rFonts w:ascii="Times New Roman" w:eastAsia="Times New Roman"/>
        </w:rPr>
        <w:t>15</w:t>
      </w:r>
      <w:r>
        <w:t>、《残疾人福利性单位声明函》</w:t>
      </w:r>
      <w:r>
        <w:fldChar w:fldCharType="end"/>
      </w:r>
    </w:p>
    <w:p>
      <w:pPr>
        <w:pStyle w:val="12"/>
        <w:spacing w:before="9"/>
        <w:rPr>
          <w:sz w:val="22"/>
        </w:rPr>
      </w:pPr>
    </w:p>
    <w:p>
      <w:pPr>
        <w:pStyle w:val="6"/>
        <w:spacing w:before="70"/>
        <w:ind w:firstLine="560" w:firstLineChars="200"/>
        <w:rPr>
          <w:b w:val="0"/>
          <w:bCs w:val="0"/>
        </w:rPr>
      </w:pPr>
      <w:r>
        <w:rPr>
          <w:rFonts w:ascii="Times New Roman" w:eastAsia="Times New Roman"/>
          <w:b w:val="0"/>
          <w:bCs w:val="0"/>
        </w:rPr>
        <w:t>16</w:t>
      </w:r>
      <w:r>
        <w:rPr>
          <w:rFonts w:hint="eastAsia" w:ascii="Times New Roman" w:eastAsia="宋体"/>
          <w:b w:val="0"/>
          <w:bCs w:val="0"/>
          <w:lang w:eastAsia="zh-CN"/>
        </w:rPr>
        <w:t>、</w:t>
      </w:r>
      <w:r>
        <w:rPr>
          <w:b w:val="0"/>
          <w:bCs w:val="0"/>
        </w:rPr>
        <w:t>《</w:t>
      </w:r>
      <w:r>
        <w:rPr>
          <w:rFonts w:hint="eastAsia"/>
          <w:b w:val="0"/>
          <w:bCs w:val="0"/>
          <w:lang w:eastAsia="zh-CN"/>
        </w:rPr>
        <w:t>监狱</w:t>
      </w:r>
      <w:r>
        <w:rPr>
          <w:b w:val="0"/>
          <w:bCs w:val="0"/>
        </w:rPr>
        <w:t>企业声明函》及证明文件</w:t>
      </w:r>
    </w:p>
    <w:p>
      <w:pPr>
        <w:pStyle w:val="7"/>
        <w:ind w:left="818"/>
        <w:rPr>
          <w:b w:val="0"/>
          <w:bCs w:val="0"/>
        </w:rPr>
        <w:sectPr>
          <w:pgSz w:w="11910" w:h="16840"/>
          <w:pgMar w:top="1360" w:right="740" w:bottom="1080" w:left="740" w:header="880" w:footer="887" w:gutter="0"/>
        </w:sectPr>
      </w:pPr>
    </w:p>
    <w:p>
      <w:pPr>
        <w:spacing w:after="0"/>
        <w:rPr>
          <w:sz w:val="26"/>
        </w:rPr>
        <w:sectPr>
          <w:pgSz w:w="11910" w:h="16840"/>
          <w:pgMar w:top="1360" w:right="740" w:bottom="1080" w:left="740" w:header="880" w:footer="887" w:gutter="0"/>
        </w:sectPr>
      </w:pPr>
    </w:p>
    <w:p>
      <w:pPr>
        <w:pStyle w:val="6"/>
        <w:numPr>
          <w:ilvl w:val="0"/>
          <w:numId w:val="78"/>
        </w:numPr>
        <w:tabs>
          <w:tab w:val="left" w:pos="551"/>
        </w:tabs>
        <w:spacing w:before="71" w:after="0" w:line="240" w:lineRule="auto"/>
        <w:ind w:left="550" w:right="0" w:hanging="214"/>
        <w:jc w:val="left"/>
      </w:pPr>
      <w:bookmarkStart w:id="45" w:name="1.投标函（格式）"/>
      <w:bookmarkEnd w:id="45"/>
      <w:bookmarkStart w:id="46" w:name="_bookmark2"/>
      <w:bookmarkEnd w:id="46"/>
      <w:bookmarkStart w:id="47" w:name="_bookmark2"/>
      <w:bookmarkEnd w:id="47"/>
      <w:r>
        <w:t>投标函（格式）</w:t>
      </w:r>
    </w:p>
    <w:p>
      <w:pPr>
        <w:pStyle w:val="12"/>
        <w:rPr>
          <w:b/>
          <w:sz w:val="30"/>
        </w:rPr>
      </w:pPr>
    </w:p>
    <w:p>
      <w:pPr>
        <w:pStyle w:val="12"/>
        <w:spacing w:before="3"/>
        <w:rPr>
          <w:b/>
        </w:rPr>
      </w:pPr>
    </w:p>
    <w:p>
      <w:pPr>
        <w:pStyle w:val="11"/>
        <w:ind w:left="337"/>
        <w:rPr>
          <w:rFonts w:hint="eastAsia" w:eastAsia="宋体"/>
          <w:lang w:eastAsia="zh-CN"/>
        </w:rPr>
      </w:pPr>
      <w:r>
        <w:t>致：</w:t>
      </w:r>
      <w:r>
        <w:rPr>
          <w:rFonts w:hint="eastAsia"/>
          <w:lang w:eastAsia="zh-CN"/>
        </w:rPr>
        <w:t>喀什铭远建设工程项目管理咨询有限公司：</w:t>
      </w:r>
    </w:p>
    <w:p>
      <w:pPr>
        <w:pStyle w:val="11"/>
        <w:ind w:left="337"/>
        <w:rPr>
          <w:rFonts w:hint="eastAsia" w:eastAsia="宋体"/>
          <w:lang w:eastAsia="zh-CN"/>
        </w:rPr>
      </w:pPr>
    </w:p>
    <w:p>
      <w:pPr>
        <w:pStyle w:val="12"/>
        <w:spacing w:before="10"/>
        <w:rPr>
          <w:b/>
          <w:sz w:val="41"/>
        </w:rPr>
      </w:pPr>
      <w:r>
        <w:br w:type="column"/>
      </w:r>
    </w:p>
    <w:p>
      <w:pPr>
        <w:spacing w:before="0"/>
        <w:ind w:left="337" w:right="0" w:firstLine="0"/>
        <w:jc w:val="left"/>
        <w:rPr>
          <w:b/>
          <w:sz w:val="36"/>
        </w:rPr>
      </w:pPr>
      <w:r>
        <w:rPr>
          <w:b/>
          <w:sz w:val="36"/>
        </w:rPr>
        <w:t>投 标 函</w:t>
      </w:r>
    </w:p>
    <w:p>
      <w:pPr>
        <w:spacing w:after="0"/>
        <w:jc w:val="left"/>
        <w:rPr>
          <w:sz w:val="36"/>
        </w:rPr>
        <w:sectPr>
          <w:type w:val="continuous"/>
          <w:pgSz w:w="11910" w:h="16840"/>
          <w:pgMar w:top="1580" w:right="740" w:bottom="280" w:left="740" w:header="720" w:footer="720" w:gutter="0"/>
          <w:cols w:equalWidth="0" w:num="2">
            <w:col w:w="3331" w:space="942"/>
            <w:col w:w="6157"/>
          </w:cols>
        </w:sectPr>
      </w:pPr>
    </w:p>
    <w:p>
      <w:pPr>
        <w:pStyle w:val="12"/>
        <w:tabs>
          <w:tab w:val="left" w:pos="2543"/>
          <w:tab w:val="left" w:pos="2704"/>
          <w:tab w:val="left" w:pos="4538"/>
          <w:tab w:val="left" w:pos="4761"/>
          <w:tab w:val="left" w:pos="6127"/>
          <w:tab w:val="left" w:pos="8665"/>
        </w:tabs>
        <w:spacing w:before="129" w:line="357" w:lineRule="auto"/>
        <w:ind w:left="337" w:right="331" w:firstLine="413"/>
      </w:pPr>
      <w:r>
        <w:t>根据</w:t>
      </w:r>
      <w:r>
        <w:rPr>
          <w:spacing w:val="-3"/>
        </w:rPr>
        <w:t>贵</w:t>
      </w:r>
      <w:r>
        <w:t>单</w:t>
      </w:r>
      <w:r>
        <w:rPr>
          <w:spacing w:val="-3"/>
        </w:rPr>
        <w:t>位</w:t>
      </w:r>
      <w:r>
        <w:rPr>
          <w:spacing w:val="-3"/>
          <w:u w:val="single"/>
        </w:rPr>
        <w:t xml:space="preserve"> </w:t>
      </w:r>
      <w:r>
        <w:rPr>
          <w:spacing w:val="-3"/>
          <w:u w:val="single"/>
        </w:rPr>
        <w:tab/>
      </w:r>
      <w:r>
        <w:rPr>
          <w:spacing w:val="-3"/>
          <w:u w:val="single"/>
        </w:rPr>
        <w:tab/>
      </w:r>
      <w:r>
        <w:rPr>
          <w:spacing w:val="-3"/>
          <w:u w:val="single"/>
        </w:rPr>
        <w:t>（招</w:t>
      </w:r>
      <w:r>
        <w:rPr>
          <w:u w:val="single"/>
        </w:rPr>
        <w:t>标项</w:t>
      </w:r>
      <w:r>
        <w:rPr>
          <w:spacing w:val="-3"/>
          <w:u w:val="single"/>
        </w:rPr>
        <w:t>目</w:t>
      </w:r>
      <w:r>
        <w:rPr>
          <w:u w:val="single"/>
        </w:rPr>
        <w:t>名</w:t>
      </w:r>
      <w:r>
        <w:rPr>
          <w:spacing w:val="-3"/>
          <w:u w:val="single"/>
        </w:rPr>
        <w:t>称</w:t>
      </w:r>
      <w:r>
        <w:rPr>
          <w:u w:val="single"/>
        </w:rPr>
        <w:t>）</w:t>
      </w:r>
      <w:r>
        <w:rPr>
          <w:u w:val="single"/>
        </w:rPr>
        <w:tab/>
      </w:r>
      <w:r>
        <w:rPr>
          <w:u w:val="single"/>
        </w:rPr>
        <w:tab/>
      </w:r>
      <w:r>
        <w:rPr>
          <w:spacing w:val="-3"/>
        </w:rPr>
        <w:t>项</w:t>
      </w:r>
      <w:r>
        <w:t>目</w:t>
      </w:r>
      <w:r>
        <w:rPr>
          <w:spacing w:val="-3"/>
        </w:rPr>
        <w:t>的招</w:t>
      </w:r>
      <w:r>
        <w:t>标</w:t>
      </w:r>
      <w:r>
        <w:rPr>
          <w:spacing w:val="-3"/>
        </w:rPr>
        <w:t>公</w:t>
      </w:r>
      <w:r>
        <w:t>告</w:t>
      </w:r>
      <w:r>
        <w:rPr>
          <w:spacing w:val="-46"/>
        </w:rPr>
        <w:t>，</w:t>
      </w:r>
      <w:r>
        <w:rPr>
          <w:spacing w:val="-3"/>
        </w:rPr>
        <w:t>我</w:t>
      </w:r>
      <w:r>
        <w:t>方代</w:t>
      </w:r>
      <w:r>
        <w:rPr>
          <w:spacing w:val="-3"/>
        </w:rPr>
        <w:t>表</w:t>
      </w:r>
      <w:r>
        <w:rPr>
          <w:spacing w:val="-3"/>
          <w:u w:val="single"/>
        </w:rPr>
        <w:t xml:space="preserve"> </w:t>
      </w:r>
      <w:r>
        <w:rPr>
          <w:spacing w:val="-3"/>
          <w:u w:val="single"/>
        </w:rPr>
        <w:tab/>
      </w:r>
      <w:r>
        <w:rPr>
          <w:u w:val="single"/>
        </w:rPr>
        <w:t>（</w:t>
      </w:r>
      <w:r>
        <w:rPr>
          <w:spacing w:val="-3"/>
          <w:u w:val="single"/>
        </w:rPr>
        <w:t>姓</w:t>
      </w:r>
      <w:r>
        <w:rPr>
          <w:u w:val="single"/>
        </w:rPr>
        <w:t>名</w:t>
      </w:r>
      <w:r>
        <w:rPr>
          <w:spacing w:val="-46"/>
          <w:u w:val="single"/>
        </w:rPr>
        <w:t>、</w:t>
      </w:r>
      <w:r>
        <w:rPr>
          <w:u w:val="single"/>
        </w:rPr>
        <w:t>职</w:t>
      </w:r>
      <w:r>
        <w:rPr>
          <w:spacing w:val="-3"/>
          <w:u w:val="single"/>
        </w:rPr>
        <w:t>务</w:t>
      </w:r>
      <w:r>
        <w:rPr>
          <w:spacing w:val="-16"/>
          <w:u w:val="single"/>
        </w:rPr>
        <w:t xml:space="preserve">） </w:t>
      </w:r>
      <w:r>
        <w:t>经正</w:t>
      </w:r>
      <w:r>
        <w:rPr>
          <w:spacing w:val="-3"/>
        </w:rPr>
        <w:t>式</w:t>
      </w:r>
      <w:r>
        <w:t>授</w:t>
      </w:r>
      <w:r>
        <w:rPr>
          <w:spacing w:val="-3"/>
        </w:rPr>
        <w:t>权</w:t>
      </w:r>
      <w:r>
        <w:t>并</w:t>
      </w:r>
      <w:r>
        <w:rPr>
          <w:spacing w:val="-3"/>
        </w:rPr>
        <w:t>代</w:t>
      </w:r>
      <w:r>
        <w:t>表</w:t>
      </w:r>
      <w:r>
        <w:rPr>
          <w:u w:val="single"/>
        </w:rPr>
        <w:t xml:space="preserve"> </w:t>
      </w:r>
      <w:r>
        <w:rPr>
          <w:u w:val="single"/>
        </w:rPr>
        <w:tab/>
      </w:r>
      <w:r>
        <w:rPr>
          <w:spacing w:val="-3"/>
          <w:u w:val="single"/>
        </w:rPr>
        <w:t>（</w:t>
      </w:r>
      <w:r>
        <w:rPr>
          <w:u w:val="single"/>
        </w:rPr>
        <w:t>投标</w:t>
      </w:r>
      <w:r>
        <w:rPr>
          <w:spacing w:val="-3"/>
          <w:u w:val="single"/>
        </w:rPr>
        <w:t>人</w:t>
      </w:r>
      <w:r>
        <w:rPr>
          <w:u w:val="single"/>
        </w:rPr>
        <w:t>名</w:t>
      </w:r>
      <w:r>
        <w:rPr>
          <w:spacing w:val="-3"/>
          <w:u w:val="single"/>
        </w:rPr>
        <w:t>称</w:t>
      </w:r>
      <w:r>
        <w:rPr>
          <w:u w:val="single"/>
        </w:rPr>
        <w:t>）</w:t>
      </w:r>
      <w:r>
        <w:rPr>
          <w:u w:val="single"/>
        </w:rPr>
        <w:tab/>
      </w:r>
      <w:r>
        <w:t>就</w:t>
      </w:r>
      <w:r>
        <w:rPr>
          <w:spacing w:val="-3"/>
        </w:rPr>
        <w:t>该项</w:t>
      </w:r>
      <w:r>
        <w:t>目进</w:t>
      </w:r>
      <w:r>
        <w:rPr>
          <w:spacing w:val="-3"/>
        </w:rPr>
        <w:t>行</w:t>
      </w:r>
      <w:r>
        <w:t>投</w:t>
      </w:r>
      <w:r>
        <w:rPr>
          <w:spacing w:val="-3"/>
        </w:rPr>
        <w:t>标</w:t>
      </w:r>
      <w:r>
        <w:t>。</w:t>
      </w:r>
    </w:p>
    <w:p>
      <w:pPr>
        <w:pStyle w:val="11"/>
        <w:spacing w:line="269" w:lineRule="exact"/>
        <w:ind w:left="750"/>
      </w:pPr>
      <w:r>
        <w:t>在此，我方郑重声明以下诸点，并负法律责任：</w:t>
      </w:r>
    </w:p>
    <w:p>
      <w:pPr>
        <w:pStyle w:val="12"/>
        <w:spacing w:before="130"/>
        <w:ind w:left="750"/>
      </w:pPr>
      <w:r>
        <w:rPr>
          <w:rFonts w:ascii="Times New Roman" w:eastAsia="Times New Roman"/>
        </w:rPr>
        <w:t>1</w:t>
      </w:r>
      <w:r>
        <w:t>、我方提交的投标文件其中正本一份，副本</w:t>
      </w:r>
      <w:r>
        <w:rPr>
          <w:rFonts w:hint="eastAsia"/>
          <w:lang w:eastAsia="zh-CN"/>
        </w:rPr>
        <w:t>三</w:t>
      </w:r>
      <w:r>
        <w:t>份，电子文件一份（U 盘一份）。</w:t>
      </w:r>
    </w:p>
    <w:p>
      <w:pPr>
        <w:pStyle w:val="12"/>
        <w:spacing w:before="1"/>
        <w:ind w:left="750"/>
      </w:pPr>
      <w:r>
        <w:rPr>
          <w:rFonts w:hint="eastAsia"/>
          <w:lang w:val="en-US" w:eastAsia="zh-CN"/>
        </w:rPr>
        <w:t>2</w:t>
      </w:r>
      <w:r>
        <w:t>、我方已详细审查全部招标文件，完全理解并同意放弃对这方面有不明及误解质疑的权力。</w:t>
      </w:r>
    </w:p>
    <w:p>
      <w:pPr>
        <w:pStyle w:val="12"/>
        <w:spacing w:before="132" w:line="355" w:lineRule="auto"/>
        <w:ind w:left="337" w:right="328" w:firstLine="413"/>
      </w:pPr>
      <w:r>
        <w:rPr>
          <w:rFonts w:hint="eastAsia"/>
          <w:lang w:val="en-US" w:eastAsia="zh-CN"/>
        </w:rPr>
        <w:t>3</w:t>
      </w:r>
      <w:r>
        <w:t>、我方完全理解并同意招标文件中有关没收投标保证金、要求专业担保机构先行偿付和拒绝投标的条款。</w:t>
      </w:r>
    </w:p>
    <w:p>
      <w:pPr>
        <w:pStyle w:val="12"/>
        <w:spacing w:before="3"/>
        <w:ind w:left="750"/>
      </w:pPr>
      <w:r>
        <w:rPr>
          <w:rFonts w:hint="eastAsia"/>
          <w:lang w:val="en-US" w:eastAsia="zh-CN"/>
        </w:rPr>
        <w:t>4</w:t>
      </w:r>
      <w:r>
        <w:t>、我方同意按照要求提供投标有关的一切数据或资料。</w:t>
      </w:r>
    </w:p>
    <w:p>
      <w:pPr>
        <w:pStyle w:val="12"/>
        <w:spacing w:before="131"/>
        <w:ind w:left="750"/>
      </w:pPr>
      <w:r>
        <w:rPr>
          <w:rFonts w:hint="eastAsia"/>
          <w:lang w:val="en-US" w:eastAsia="zh-CN"/>
        </w:rPr>
        <w:t>5</w:t>
      </w:r>
      <w:r>
        <w:t>、我方将按招标文件的规定履行合同责任和义务。</w:t>
      </w:r>
    </w:p>
    <w:p>
      <w:pPr>
        <w:pStyle w:val="12"/>
        <w:spacing w:before="130"/>
        <w:ind w:left="750"/>
      </w:pPr>
      <w:r>
        <w:rPr>
          <w:rFonts w:hint="eastAsia"/>
          <w:lang w:val="en-US" w:eastAsia="zh-CN"/>
        </w:rPr>
        <w:t>6</w:t>
      </w:r>
      <w:r>
        <w:t>、我方完全理解最低报价不是中标的唯一条件，采购人有权选择质优价廉的货物</w:t>
      </w:r>
      <w:r>
        <w:rPr>
          <w:rFonts w:ascii="Times New Roman" w:eastAsia="Times New Roman"/>
        </w:rPr>
        <w:t>/</w:t>
      </w:r>
      <w:r>
        <w:t>服务。</w:t>
      </w:r>
    </w:p>
    <w:p>
      <w:pPr>
        <w:pStyle w:val="12"/>
        <w:spacing w:before="132"/>
        <w:ind w:left="750"/>
      </w:pPr>
      <w:r>
        <w:rPr>
          <w:rFonts w:hint="eastAsia"/>
          <w:spacing w:val="-3"/>
          <w:lang w:val="en-US" w:eastAsia="zh-CN"/>
        </w:rPr>
        <w:t>7</w:t>
      </w:r>
      <w:r>
        <w:rPr>
          <w:spacing w:val="-3"/>
        </w:rPr>
        <w:t>、我方同意按招标文件规定，遵守贵方有关招标的各项规定。</w:t>
      </w:r>
    </w:p>
    <w:p>
      <w:pPr>
        <w:pStyle w:val="12"/>
        <w:spacing w:before="131"/>
        <w:ind w:left="750"/>
      </w:pPr>
      <w:r>
        <w:rPr>
          <w:rFonts w:hint="eastAsia"/>
          <w:spacing w:val="-3"/>
          <w:lang w:val="en-US" w:eastAsia="zh-CN"/>
        </w:rPr>
        <w:t>8</w:t>
      </w:r>
      <w:r>
        <w:rPr>
          <w:spacing w:val="-3"/>
        </w:rPr>
        <w:t>、若我方中标，我方保证按有关规定向贵方支付招标服务费。</w:t>
      </w:r>
    </w:p>
    <w:p>
      <w:pPr>
        <w:pStyle w:val="12"/>
        <w:spacing w:before="130"/>
        <w:ind w:left="750"/>
      </w:pPr>
      <w:r>
        <w:rPr>
          <w:rFonts w:hint="eastAsia"/>
          <w:lang w:val="en-US" w:eastAsia="zh-CN"/>
        </w:rPr>
        <w:t>9</w:t>
      </w:r>
      <w:r>
        <w:t xml:space="preserve">、投标有效期为自投标截止日起不少于 </w:t>
      </w:r>
      <w:r>
        <w:rPr>
          <w:rFonts w:ascii="Times New Roman" w:eastAsia="Times New Roman"/>
        </w:rPr>
        <w:t xml:space="preserve">90 </w:t>
      </w:r>
      <w:r>
        <w:t xml:space="preserve">个日历日（包含 </w:t>
      </w:r>
      <w:r>
        <w:rPr>
          <w:rFonts w:ascii="Times New Roman" w:eastAsia="Times New Roman"/>
        </w:rPr>
        <w:t xml:space="preserve">90 </w:t>
      </w:r>
      <w:r>
        <w:t>个日历日）。</w:t>
      </w:r>
    </w:p>
    <w:p>
      <w:pPr>
        <w:pStyle w:val="12"/>
        <w:spacing w:before="132"/>
        <w:ind w:left="750"/>
      </w:pPr>
      <w:r>
        <w:rPr>
          <w:rFonts w:ascii="Times New Roman" w:eastAsia="Times New Roman"/>
        </w:rPr>
        <w:t>1</w:t>
      </w:r>
      <w:r>
        <w:rPr>
          <w:rFonts w:hint="eastAsia" w:ascii="Times New Roman" w:eastAsia="宋体"/>
          <w:lang w:val="en-US" w:eastAsia="zh-CN"/>
        </w:rPr>
        <w:t>0</w:t>
      </w:r>
      <w:r>
        <w:t>、所有关于本项目的函电，请按下列地址联系：</w:t>
      </w:r>
    </w:p>
    <w:p>
      <w:pPr>
        <w:pStyle w:val="22"/>
        <w:numPr>
          <w:ilvl w:val="0"/>
          <w:numId w:val="79"/>
        </w:numPr>
        <w:tabs>
          <w:tab w:val="left" w:pos="724"/>
          <w:tab w:val="left" w:pos="725"/>
        </w:tabs>
        <w:spacing w:before="131" w:after="0" w:line="355" w:lineRule="auto"/>
        <w:ind w:left="758" w:right="7599" w:hanging="417"/>
        <w:jc w:val="left"/>
        <w:rPr>
          <w:sz w:val="21"/>
        </w:rPr>
      </w:pPr>
      <w:r>
        <w:rPr>
          <w:spacing w:val="-3"/>
          <w:sz w:val="21"/>
        </w:rPr>
        <w:t>投标人名称</w:t>
      </w:r>
      <w:r>
        <w:rPr>
          <w:sz w:val="21"/>
        </w:rPr>
        <w:t>（</w:t>
      </w:r>
      <w:r>
        <w:rPr>
          <w:spacing w:val="-2"/>
          <w:sz w:val="21"/>
        </w:rPr>
        <w:t>公章</w:t>
      </w:r>
      <w:r>
        <w:rPr>
          <w:spacing w:val="-9"/>
          <w:sz w:val="21"/>
        </w:rPr>
        <w:t xml:space="preserve">）： </w:t>
      </w:r>
      <w:r>
        <w:rPr>
          <w:spacing w:val="-2"/>
          <w:sz w:val="21"/>
        </w:rPr>
        <w:t>详 细 地 址：</w:t>
      </w:r>
    </w:p>
    <w:p>
      <w:pPr>
        <w:pStyle w:val="12"/>
        <w:spacing w:before="3" w:line="357" w:lineRule="auto"/>
        <w:ind w:left="758" w:right="8298"/>
        <w:jc w:val="both"/>
      </w:pPr>
      <w:r>
        <w:rPr>
          <w:spacing w:val="-3"/>
        </w:rPr>
        <w:t xml:space="preserve">邮 政 编 码： </w:t>
      </w:r>
      <w:r>
        <w:rPr>
          <w:spacing w:val="-2"/>
        </w:rPr>
        <w:t>电      话 ：</w:t>
      </w:r>
    </w:p>
    <w:p>
      <w:pPr>
        <w:pStyle w:val="12"/>
        <w:spacing w:line="267" w:lineRule="exact"/>
        <w:ind w:left="758"/>
        <w:jc w:val="both"/>
      </w:pPr>
      <w:r>
        <w:t>传      真 ：</w:t>
      </w:r>
    </w:p>
    <w:p>
      <w:pPr>
        <w:pStyle w:val="12"/>
        <w:spacing w:before="132" w:line="357" w:lineRule="auto"/>
        <w:ind w:left="758" w:right="8298"/>
        <w:jc w:val="both"/>
      </w:pPr>
      <w:r>
        <w:rPr>
          <w:spacing w:val="-3"/>
        </w:rPr>
        <w:t xml:space="preserve">电 子 邮 件： 开 户 银 行： </w:t>
      </w:r>
      <w:r>
        <w:rPr>
          <w:spacing w:val="-2"/>
        </w:rPr>
        <w:t>帐      号 ：</w:t>
      </w:r>
    </w:p>
    <w:p>
      <w:pPr>
        <w:pStyle w:val="12"/>
        <w:spacing w:line="357" w:lineRule="auto"/>
        <w:ind w:left="758" w:right="5880"/>
      </w:pPr>
      <w:r>
        <w:t>法定代表人或被授权人（签字或盖章）： 联系电话</w:t>
      </w:r>
      <w:r>
        <w:rPr>
          <w:rFonts w:ascii="Times New Roman" w:eastAsia="Times New Roman"/>
        </w:rPr>
        <w:t>/</w:t>
      </w:r>
      <w:r>
        <w:t>手机：</w:t>
      </w:r>
    </w:p>
    <w:p>
      <w:pPr>
        <w:spacing w:after="0" w:line="357" w:lineRule="auto"/>
        <w:sectPr>
          <w:type w:val="continuous"/>
          <w:pgSz w:w="11910" w:h="16840"/>
          <w:pgMar w:top="1580" w:right="740" w:bottom="280" w:left="740" w:header="720" w:footer="720" w:gutter="0"/>
        </w:sectPr>
      </w:pPr>
    </w:p>
    <w:p>
      <w:pPr>
        <w:pStyle w:val="12"/>
        <w:spacing w:before="3"/>
        <w:rPr>
          <w:sz w:val="8"/>
        </w:rPr>
      </w:pPr>
    </w:p>
    <w:p>
      <w:pPr>
        <w:spacing w:after="0"/>
        <w:rPr>
          <w:sz w:val="8"/>
        </w:rPr>
        <w:sectPr>
          <w:pgSz w:w="11910" w:h="16840"/>
          <w:pgMar w:top="1360" w:right="740" w:bottom="1080" w:left="740" w:header="880" w:footer="887" w:gutter="0"/>
        </w:sectPr>
      </w:pPr>
    </w:p>
    <w:p>
      <w:pPr>
        <w:pStyle w:val="12"/>
        <w:spacing w:before="4"/>
        <w:rPr>
          <w:sz w:val="40"/>
        </w:rPr>
      </w:pPr>
    </w:p>
    <w:p>
      <w:pPr>
        <w:pStyle w:val="6"/>
        <w:numPr>
          <w:ilvl w:val="0"/>
          <w:numId w:val="78"/>
        </w:numPr>
        <w:tabs>
          <w:tab w:val="left" w:pos="551"/>
        </w:tabs>
        <w:spacing w:before="1" w:after="0" w:line="240" w:lineRule="auto"/>
        <w:ind w:left="550" w:right="0" w:hanging="214"/>
        <w:jc w:val="left"/>
      </w:pPr>
      <w:bookmarkStart w:id="48" w:name="2.投标报价一览表（格式）"/>
      <w:bookmarkEnd w:id="48"/>
      <w:bookmarkStart w:id="49" w:name="2.投标报价一览表（格式）"/>
      <w:bookmarkEnd w:id="49"/>
      <w:r>
        <w:t>投标报价一览表（格式）</w:t>
      </w:r>
    </w:p>
    <w:p>
      <w:pPr>
        <w:pStyle w:val="12"/>
        <w:rPr>
          <w:b/>
          <w:sz w:val="36"/>
        </w:rPr>
      </w:pPr>
      <w:r>
        <w:br w:type="column"/>
      </w:r>
    </w:p>
    <w:p>
      <w:pPr>
        <w:pStyle w:val="12"/>
        <w:spacing w:before="1"/>
        <w:rPr>
          <w:b/>
          <w:sz w:val="51"/>
        </w:rPr>
      </w:pPr>
    </w:p>
    <w:p>
      <w:pPr>
        <w:spacing w:before="1"/>
        <w:ind w:left="337" w:right="0" w:firstLine="0"/>
        <w:jc w:val="left"/>
        <w:rPr>
          <w:b/>
          <w:sz w:val="36"/>
        </w:rPr>
      </w:pPr>
      <w:r>
        <w:rPr>
          <w:b/>
          <w:sz w:val="36"/>
        </w:rPr>
        <w:t>投标报价一览表</w:t>
      </w:r>
    </w:p>
    <w:p>
      <w:pPr>
        <w:pStyle w:val="12"/>
        <w:tabs>
          <w:tab w:val="left" w:pos="758"/>
          <w:tab w:val="left" w:pos="1389"/>
          <w:tab w:val="left" w:pos="2018"/>
        </w:tabs>
        <w:spacing w:before="78"/>
        <w:ind w:left="337"/>
      </w:pPr>
      <w:r>
        <w:br w:type="column"/>
      </w:r>
      <w:r>
        <w:rPr>
          <w:rFonts w:ascii="Times New Roman" w:eastAsia="Times New Roman"/>
          <w:w w:val="100"/>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type w:val="continuous"/>
          <w:pgSz w:w="11910" w:h="16840"/>
          <w:pgMar w:top="1580" w:right="740" w:bottom="280" w:left="740" w:header="720" w:footer="720" w:gutter="0"/>
          <w:cols w:equalWidth="0" w:num="3">
            <w:col w:w="3680" w:space="50"/>
            <w:col w:w="2907" w:space="1227"/>
            <w:col w:w="2566"/>
          </w:cols>
        </w:sectPr>
      </w:pPr>
    </w:p>
    <w:p>
      <w:pPr>
        <w:pStyle w:val="12"/>
        <w:rPr>
          <w:sz w:val="20"/>
        </w:rPr>
      </w:pPr>
    </w:p>
    <w:p>
      <w:pPr>
        <w:pStyle w:val="12"/>
        <w:rPr>
          <w:sz w:val="20"/>
        </w:rPr>
      </w:pPr>
    </w:p>
    <w:p>
      <w:pPr>
        <w:pStyle w:val="12"/>
        <w:spacing w:before="5"/>
        <w:rPr>
          <w:sz w:val="24"/>
        </w:rPr>
      </w:pPr>
    </w:p>
    <w:p>
      <w:pPr>
        <w:pStyle w:val="7"/>
        <w:tabs>
          <w:tab w:val="left" w:pos="4044"/>
        </w:tabs>
        <w:spacing w:before="70"/>
        <w:ind w:left="476"/>
        <w:rPr>
          <w:rFonts w:ascii="Times New Roman" w:eastAsia="Times New Roman"/>
        </w:rPr>
      </w:pPr>
      <w:r>
        <w:rPr>
          <w:spacing w:val="-1"/>
        </w:rPr>
        <w:t>项目</w:t>
      </w:r>
      <w:r>
        <w:t>编号：</w:t>
      </w:r>
      <w:r>
        <w:rPr>
          <w:rFonts w:ascii="Times New Roman" w:eastAsia="Times New Roman"/>
          <w:u w:val="single"/>
        </w:rPr>
        <w:t xml:space="preserve"> </w:t>
      </w:r>
      <w:r>
        <w:rPr>
          <w:rFonts w:ascii="Times New Roman" w:eastAsia="Times New Roman"/>
          <w:u w:val="single"/>
        </w:rPr>
        <w:tab/>
      </w:r>
    </w:p>
    <w:p>
      <w:pPr>
        <w:pStyle w:val="12"/>
        <w:spacing w:before="3"/>
        <w:rPr>
          <w:rFonts w:ascii="Times New Roman"/>
          <w:sz w:val="19"/>
        </w:rPr>
      </w:pPr>
    </w:p>
    <w:p>
      <w:pPr>
        <w:pStyle w:val="7"/>
        <w:tabs>
          <w:tab w:val="left" w:pos="4044"/>
        </w:tabs>
        <w:spacing w:before="70"/>
        <w:ind w:left="476"/>
        <w:rPr>
          <w:rFonts w:ascii="Times New Roman" w:eastAsia="Times New Roman"/>
        </w:rPr>
      </w:pPr>
      <w:r>
        <w:t>项目名</w:t>
      </w:r>
      <w:r>
        <w:rPr>
          <w:spacing w:val="-3"/>
        </w:rPr>
        <w:t>称</w:t>
      </w:r>
      <w:r>
        <w:t>：</w:t>
      </w:r>
      <w:r>
        <w:rPr>
          <w:rFonts w:ascii="Times New Roman" w:eastAsia="Times New Roman"/>
          <w:u w:val="single"/>
        </w:rPr>
        <w:t xml:space="preserve"> </w:t>
      </w:r>
      <w:r>
        <w:rPr>
          <w:rFonts w:ascii="Times New Roman" w:eastAsia="Times New Roman"/>
          <w:u w:val="single"/>
        </w:rPr>
        <w:tab/>
      </w:r>
    </w:p>
    <w:p>
      <w:pPr>
        <w:pStyle w:val="12"/>
        <w:spacing w:before="7"/>
        <w:rPr>
          <w:rFonts w:ascii="Times New Roman"/>
          <w:sz w:val="13"/>
        </w:rPr>
      </w:pPr>
    </w:p>
    <w:tbl>
      <w:tblPr>
        <w:tblStyle w:val="17"/>
        <w:tblW w:w="0" w:type="auto"/>
        <w:tblInd w:w="33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271"/>
        <w:gridCol w:w="3319"/>
        <w:gridCol w:w="426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44" w:hRule="atLeast"/>
        </w:trPr>
        <w:tc>
          <w:tcPr>
            <w:tcW w:w="2271" w:type="dxa"/>
            <w:tcBorders>
              <w:bottom w:val="single" w:color="000000" w:sz="4" w:space="0"/>
              <w:right w:val="single" w:color="000000" w:sz="4" w:space="0"/>
            </w:tcBorders>
          </w:tcPr>
          <w:p>
            <w:pPr>
              <w:pStyle w:val="23"/>
              <w:rPr>
                <w:rFonts w:ascii="Times New Roman"/>
                <w:sz w:val="24"/>
              </w:rPr>
            </w:pPr>
          </w:p>
          <w:p>
            <w:pPr>
              <w:pStyle w:val="23"/>
              <w:spacing w:before="144"/>
              <w:ind w:left="887"/>
              <w:rPr>
                <w:b/>
                <w:sz w:val="24"/>
              </w:rPr>
            </w:pPr>
            <w:r>
              <w:rPr>
                <w:b/>
                <w:sz w:val="24"/>
              </w:rPr>
              <w:t>标题</w:t>
            </w:r>
          </w:p>
        </w:tc>
        <w:tc>
          <w:tcPr>
            <w:tcW w:w="7587" w:type="dxa"/>
            <w:gridSpan w:val="2"/>
            <w:tcBorders>
              <w:left w:val="single" w:color="000000" w:sz="4" w:space="0"/>
              <w:bottom w:val="single" w:color="000000" w:sz="4" w:space="0"/>
            </w:tcBorders>
          </w:tcPr>
          <w:p>
            <w:pPr>
              <w:pStyle w:val="23"/>
              <w:rPr>
                <w:rFonts w:ascii="Times New Roman"/>
                <w:sz w:val="24"/>
              </w:rPr>
            </w:pPr>
          </w:p>
          <w:p>
            <w:pPr>
              <w:pStyle w:val="23"/>
              <w:spacing w:before="144"/>
              <w:ind w:left="3651" w:right="3393"/>
              <w:jc w:val="center"/>
              <w:rPr>
                <w:b/>
                <w:sz w:val="24"/>
              </w:rPr>
            </w:pPr>
            <w:r>
              <w:rPr>
                <w:b/>
                <w:sz w:val="24"/>
              </w:rPr>
              <w:t>内容</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42" w:hRule="atLeast"/>
        </w:trPr>
        <w:tc>
          <w:tcPr>
            <w:tcW w:w="2271" w:type="dxa"/>
            <w:tcBorders>
              <w:top w:val="single" w:color="000000" w:sz="4" w:space="0"/>
              <w:bottom w:val="single" w:color="000000" w:sz="4" w:space="0"/>
              <w:right w:val="single" w:color="000000" w:sz="4" w:space="0"/>
            </w:tcBorders>
          </w:tcPr>
          <w:p>
            <w:pPr>
              <w:pStyle w:val="23"/>
              <w:spacing w:before="1"/>
              <w:rPr>
                <w:rFonts w:ascii="Times New Roman"/>
                <w:sz w:val="22"/>
              </w:rPr>
            </w:pPr>
          </w:p>
          <w:p>
            <w:pPr>
              <w:pStyle w:val="23"/>
              <w:ind w:left="629" w:right="618"/>
              <w:jc w:val="center"/>
              <w:rPr>
                <w:b/>
                <w:sz w:val="24"/>
              </w:rPr>
            </w:pPr>
            <w:r>
              <w:rPr>
                <w:b/>
                <w:sz w:val="24"/>
              </w:rPr>
              <w:t>投标报价</w:t>
            </w:r>
          </w:p>
          <w:p>
            <w:pPr>
              <w:pStyle w:val="23"/>
              <w:spacing w:before="19"/>
              <w:ind w:right="618"/>
              <w:jc w:val="center"/>
              <w:rPr>
                <w:b/>
                <w:sz w:val="24"/>
              </w:rPr>
            </w:pPr>
            <w:r>
              <w:rPr>
                <w:rFonts w:hint="eastAsia"/>
                <w:b/>
                <w:sz w:val="24"/>
                <w:lang w:val="en-US" w:eastAsia="zh-CN"/>
              </w:rPr>
              <w:t xml:space="preserve">    </w:t>
            </w:r>
            <w:r>
              <w:rPr>
                <w:b/>
                <w:sz w:val="24"/>
              </w:rPr>
              <w:t>（元</w:t>
            </w:r>
            <w:r>
              <w:rPr>
                <w:rFonts w:hint="eastAsia"/>
                <w:b/>
                <w:sz w:val="24"/>
                <w:lang w:val="en-US" w:eastAsia="zh-CN"/>
              </w:rPr>
              <w:t>/年</w:t>
            </w:r>
            <w:r>
              <w:rPr>
                <w:b/>
                <w:sz w:val="24"/>
              </w:rPr>
              <w:t>）</w:t>
            </w:r>
          </w:p>
        </w:tc>
        <w:tc>
          <w:tcPr>
            <w:tcW w:w="7587" w:type="dxa"/>
            <w:gridSpan w:val="2"/>
            <w:tcBorders>
              <w:top w:val="single" w:color="000000" w:sz="4" w:space="0"/>
              <w:left w:val="single" w:color="000000" w:sz="4" w:space="0"/>
              <w:bottom w:val="single" w:color="000000" w:sz="4" w:space="0"/>
            </w:tcBorders>
            <w:vAlign w:val="center"/>
          </w:tcPr>
          <w:p>
            <w:pPr>
              <w:pStyle w:val="23"/>
              <w:tabs>
                <w:tab w:val="left" w:pos="1924"/>
              </w:tabs>
              <w:jc w:val="left"/>
              <w:rPr>
                <w:rFonts w:hint="default" w:eastAsia="宋体"/>
                <w:sz w:val="24"/>
                <w:lang w:val="en-US" w:eastAsia="zh-CN"/>
              </w:rPr>
            </w:pPr>
            <w:r>
              <w:rPr>
                <w:rFonts w:hint="eastAsia"/>
                <w:sz w:val="24"/>
                <w:lang w:eastAsia="zh-CN"/>
              </w:rPr>
              <w:t>小写：</w:t>
            </w:r>
            <w:r>
              <w:rPr>
                <w:sz w:val="24"/>
                <w:u w:val="single"/>
              </w:rPr>
              <w:tab/>
            </w:r>
            <w:r>
              <w:rPr>
                <w:rFonts w:hint="eastAsia"/>
                <w:sz w:val="24"/>
                <w:u w:val="single"/>
                <w:lang w:val="en-US" w:eastAsia="zh-CN"/>
              </w:rPr>
              <w:t xml:space="preserve">         </w:t>
            </w:r>
          </w:p>
          <w:p>
            <w:pPr>
              <w:pStyle w:val="23"/>
              <w:tabs>
                <w:tab w:val="left" w:pos="1924"/>
              </w:tabs>
              <w:ind w:left="4"/>
              <w:jc w:val="left"/>
              <w:rPr>
                <w:rFonts w:hint="eastAsia"/>
                <w:sz w:val="24"/>
                <w:lang w:eastAsia="zh-CN"/>
              </w:rPr>
            </w:pPr>
          </w:p>
          <w:p>
            <w:pPr>
              <w:pStyle w:val="23"/>
              <w:tabs>
                <w:tab w:val="left" w:pos="1924"/>
              </w:tabs>
              <w:ind w:left="4"/>
              <w:jc w:val="left"/>
              <w:rPr>
                <w:rFonts w:hint="default" w:ascii="Times New Roman" w:eastAsia="宋体"/>
                <w:sz w:val="22"/>
                <w:lang w:val="en-US" w:eastAsia="zh-CN"/>
              </w:rPr>
            </w:pPr>
            <w:r>
              <w:rPr>
                <w:rFonts w:hint="eastAsia"/>
                <w:sz w:val="24"/>
                <w:lang w:eastAsia="zh-CN"/>
              </w:rPr>
              <w:t>大写：</w:t>
            </w:r>
            <w:r>
              <w:rPr>
                <w:sz w:val="24"/>
                <w:u w:val="single"/>
              </w:rPr>
              <w:tab/>
            </w:r>
            <w:r>
              <w:rPr>
                <w:rFonts w:hint="eastAsia"/>
                <w:sz w:val="24"/>
                <w:u w:val="single"/>
                <w:lang w:val="en-US" w:eastAsia="zh-CN"/>
              </w:rPr>
              <w:t xml:space="preserve">         </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29" w:hRule="atLeast"/>
        </w:trPr>
        <w:tc>
          <w:tcPr>
            <w:tcW w:w="2271" w:type="dxa"/>
            <w:tcBorders>
              <w:top w:val="single" w:color="000000" w:sz="4" w:space="0"/>
              <w:bottom w:val="single" w:color="000000" w:sz="4" w:space="0"/>
              <w:right w:val="single" w:color="000000" w:sz="4" w:space="0"/>
            </w:tcBorders>
            <w:vAlign w:val="center"/>
          </w:tcPr>
          <w:p>
            <w:pPr>
              <w:pStyle w:val="23"/>
              <w:ind w:left="629" w:right="618"/>
              <w:jc w:val="center"/>
              <w:rPr>
                <w:b/>
                <w:sz w:val="24"/>
              </w:rPr>
            </w:pPr>
            <w:r>
              <w:rPr>
                <w:b/>
                <w:sz w:val="24"/>
              </w:rPr>
              <w:t>服务期</w:t>
            </w:r>
          </w:p>
          <w:p>
            <w:pPr>
              <w:pStyle w:val="23"/>
              <w:ind w:left="629" w:right="618"/>
              <w:jc w:val="center"/>
              <w:rPr>
                <w:b/>
                <w:sz w:val="24"/>
              </w:rPr>
            </w:pPr>
            <w:r>
              <w:rPr>
                <w:b/>
                <w:sz w:val="24"/>
              </w:rPr>
              <w:t>（</w:t>
            </w:r>
            <w:r>
              <w:rPr>
                <w:rFonts w:hint="eastAsia"/>
                <w:b/>
                <w:sz w:val="24"/>
                <w:lang w:val="en-US" w:eastAsia="zh-CN"/>
              </w:rPr>
              <w:t>年</w:t>
            </w:r>
            <w:r>
              <w:rPr>
                <w:b/>
                <w:sz w:val="24"/>
              </w:rPr>
              <w:t>）</w:t>
            </w:r>
          </w:p>
        </w:tc>
        <w:tc>
          <w:tcPr>
            <w:tcW w:w="7587" w:type="dxa"/>
            <w:gridSpan w:val="2"/>
            <w:tcBorders>
              <w:top w:val="single" w:color="000000" w:sz="4" w:space="0"/>
              <w:left w:val="single" w:color="000000" w:sz="4" w:space="0"/>
              <w:bottom w:val="single" w:color="000000" w:sz="4" w:space="0"/>
            </w:tcBorders>
          </w:tcPr>
          <w:p>
            <w:pPr>
              <w:pStyle w:val="23"/>
              <w:spacing w:before="5"/>
              <w:rPr>
                <w:rFonts w:ascii="Times New Roman"/>
                <w:sz w:val="31"/>
              </w:rPr>
            </w:pPr>
          </w:p>
          <w:p>
            <w:pPr>
              <w:pStyle w:val="23"/>
              <w:tabs>
                <w:tab w:val="left" w:pos="1924"/>
              </w:tabs>
              <w:ind w:left="4"/>
              <w:rPr>
                <w:sz w:val="24"/>
              </w:rPr>
            </w:pPr>
            <w:r>
              <w:rPr>
                <w:sz w:val="24"/>
              </w:rPr>
              <w:t>自合同签订后</w:t>
            </w:r>
            <w:r>
              <w:rPr>
                <w:sz w:val="24"/>
                <w:u w:val="single"/>
              </w:rPr>
              <w:t xml:space="preserve"> </w:t>
            </w:r>
            <w:r>
              <w:rPr>
                <w:sz w:val="24"/>
                <w:u w:val="single"/>
              </w:rPr>
              <w:tab/>
            </w:r>
            <w:r>
              <w:rPr>
                <w:rFonts w:hint="eastAsia"/>
                <w:sz w:val="24"/>
                <w:lang w:val="en-US" w:eastAsia="zh-CN"/>
              </w:rPr>
              <w:t>年</w:t>
            </w:r>
            <w:r>
              <w:rPr>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4" w:hRule="atLeast"/>
        </w:trPr>
        <w:tc>
          <w:tcPr>
            <w:tcW w:w="2271" w:type="dxa"/>
            <w:vMerge w:val="restart"/>
            <w:tcBorders>
              <w:top w:val="single" w:color="000000" w:sz="4" w:space="0"/>
              <w:bottom w:val="single" w:color="000000" w:sz="4" w:space="0"/>
              <w:right w:val="single" w:color="auto" w:sz="4" w:space="0"/>
            </w:tcBorders>
          </w:tcPr>
          <w:p>
            <w:pPr>
              <w:pStyle w:val="23"/>
              <w:spacing w:before="5"/>
              <w:rPr>
                <w:rFonts w:ascii="Times New Roman"/>
                <w:sz w:val="31"/>
              </w:rPr>
            </w:pPr>
          </w:p>
          <w:p>
            <w:pPr>
              <w:pStyle w:val="23"/>
              <w:ind w:left="623"/>
              <w:rPr>
                <w:b/>
                <w:sz w:val="24"/>
              </w:rPr>
            </w:pPr>
            <w:r>
              <w:rPr>
                <w:b/>
                <w:sz w:val="24"/>
              </w:rPr>
              <w:t>服务标准</w:t>
            </w:r>
          </w:p>
        </w:tc>
        <w:tc>
          <w:tcPr>
            <w:tcW w:w="3319" w:type="dxa"/>
            <w:tcBorders>
              <w:top w:val="single" w:color="auto" w:sz="4" w:space="0"/>
              <w:left w:val="single" w:color="auto" w:sz="4" w:space="0"/>
              <w:bottom w:val="single" w:color="000000" w:sz="6" w:space="0"/>
              <w:right w:val="single" w:color="auto" w:sz="4" w:space="0"/>
            </w:tcBorders>
          </w:tcPr>
          <w:p>
            <w:pPr>
              <w:pStyle w:val="23"/>
              <w:spacing w:before="5"/>
              <w:rPr>
                <w:rFonts w:ascii="Times New Roman"/>
                <w:sz w:val="31"/>
              </w:rPr>
            </w:pPr>
          </w:p>
          <w:p>
            <w:pPr>
              <w:pStyle w:val="23"/>
              <w:spacing w:line="252" w:lineRule="exact"/>
              <w:ind w:left="4" w:right="-15"/>
              <w:rPr>
                <w:b/>
                <w:sz w:val="24"/>
              </w:rPr>
            </w:pPr>
            <w:r>
              <w:rPr>
                <w:b/>
                <w:sz w:val="24"/>
              </w:rPr>
              <w:t>（</w:t>
            </w:r>
            <w:r>
              <w:rPr>
                <w:b/>
                <w:spacing w:val="1"/>
                <w:sz w:val="24"/>
              </w:rPr>
              <w:t>响应</w:t>
            </w:r>
            <w:r>
              <w:rPr>
                <w:rFonts w:ascii="Times New Roman" w:eastAsia="Times New Roman"/>
                <w:b/>
                <w:sz w:val="24"/>
              </w:rPr>
              <w:t>/</w:t>
            </w:r>
            <w:r>
              <w:rPr>
                <w:b/>
                <w:sz w:val="24"/>
              </w:rPr>
              <w:t>不响应）招标文件要求</w:t>
            </w:r>
          </w:p>
        </w:tc>
        <w:tc>
          <w:tcPr>
            <w:tcW w:w="4268" w:type="dxa"/>
            <w:vMerge w:val="restart"/>
            <w:tcBorders>
              <w:top w:val="single" w:color="000000" w:sz="4" w:space="0"/>
              <w:left w:val="single" w:color="auto" w:sz="4" w:space="0"/>
              <w:bottom w:val="single" w:color="000000" w:sz="4" w:space="0"/>
            </w:tcBorders>
          </w:tcPr>
          <w:p>
            <w:pPr>
              <w:pStyle w:val="23"/>
              <w:rPr>
                <w:rFonts w:ascii="Times New Roman"/>
                <w:sz w:val="2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0" w:hRule="atLeast"/>
        </w:trPr>
        <w:tc>
          <w:tcPr>
            <w:tcW w:w="2271" w:type="dxa"/>
            <w:vMerge w:val="continue"/>
            <w:tcBorders>
              <w:top w:val="nil"/>
              <w:bottom w:val="single" w:color="000000" w:sz="4" w:space="0"/>
              <w:right w:val="single" w:color="auto" w:sz="4" w:space="0"/>
            </w:tcBorders>
          </w:tcPr>
          <w:p>
            <w:pPr>
              <w:rPr>
                <w:sz w:val="2"/>
                <w:szCs w:val="2"/>
              </w:rPr>
            </w:pPr>
          </w:p>
        </w:tc>
        <w:tc>
          <w:tcPr>
            <w:tcW w:w="3319" w:type="dxa"/>
            <w:tcBorders>
              <w:top w:val="single" w:color="000000" w:sz="6" w:space="0"/>
              <w:left w:val="single" w:color="auto" w:sz="4" w:space="0"/>
              <w:bottom w:val="single" w:color="auto" w:sz="4" w:space="0"/>
              <w:right w:val="single" w:color="auto" w:sz="4" w:space="0"/>
            </w:tcBorders>
          </w:tcPr>
          <w:p>
            <w:pPr>
              <w:pStyle w:val="23"/>
              <w:rPr>
                <w:rFonts w:ascii="Times New Roman"/>
                <w:sz w:val="22"/>
              </w:rPr>
            </w:pPr>
          </w:p>
        </w:tc>
        <w:tc>
          <w:tcPr>
            <w:tcW w:w="4268" w:type="dxa"/>
            <w:vMerge w:val="continue"/>
            <w:tcBorders>
              <w:top w:val="nil"/>
              <w:left w:val="single" w:color="auto"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28" w:hRule="atLeast"/>
        </w:trPr>
        <w:tc>
          <w:tcPr>
            <w:tcW w:w="2271" w:type="dxa"/>
            <w:tcBorders>
              <w:top w:val="single" w:color="000000" w:sz="4" w:space="0"/>
              <w:right w:val="single" w:color="000000" w:sz="4" w:space="0"/>
            </w:tcBorders>
          </w:tcPr>
          <w:p>
            <w:pPr>
              <w:pStyle w:val="23"/>
              <w:spacing w:before="5"/>
              <w:rPr>
                <w:rFonts w:ascii="Times New Roman"/>
                <w:sz w:val="31"/>
              </w:rPr>
            </w:pPr>
          </w:p>
          <w:p>
            <w:pPr>
              <w:pStyle w:val="23"/>
              <w:ind w:left="866"/>
              <w:rPr>
                <w:b/>
                <w:sz w:val="24"/>
              </w:rPr>
            </w:pPr>
            <w:r>
              <w:rPr>
                <w:b/>
                <w:sz w:val="24"/>
              </w:rPr>
              <w:t>备注</w:t>
            </w:r>
          </w:p>
        </w:tc>
        <w:tc>
          <w:tcPr>
            <w:tcW w:w="7587" w:type="dxa"/>
            <w:gridSpan w:val="2"/>
            <w:tcBorders>
              <w:top w:val="single" w:color="000000" w:sz="4" w:space="0"/>
              <w:left w:val="single" w:color="000000" w:sz="4" w:space="0"/>
            </w:tcBorders>
          </w:tcPr>
          <w:p>
            <w:pPr>
              <w:pStyle w:val="23"/>
              <w:rPr>
                <w:rFonts w:ascii="Times New Roman"/>
                <w:sz w:val="22"/>
              </w:rPr>
            </w:pPr>
          </w:p>
        </w:tc>
      </w:tr>
    </w:tbl>
    <w:p>
      <w:pPr>
        <w:pStyle w:val="12"/>
        <w:spacing w:before="39"/>
        <w:ind w:left="337"/>
      </w:pPr>
      <w:r>
        <w:t>注：</w:t>
      </w:r>
      <w:r>
        <w:rPr>
          <w:rFonts w:ascii="Times New Roman" w:eastAsia="Times New Roman"/>
        </w:rPr>
        <w:t>1</w:t>
      </w:r>
      <w:r>
        <w:t>、本表价格应按投标总价填写，同时应保证投标文件的正、副本中仍有此表且一致。</w:t>
      </w:r>
    </w:p>
    <w:p>
      <w:pPr>
        <w:pStyle w:val="12"/>
        <w:spacing w:before="58"/>
        <w:ind w:left="758"/>
      </w:pPr>
      <w:r>
        <w:rPr>
          <w:rFonts w:ascii="Times New Roman" w:eastAsia="Times New Roman"/>
        </w:rPr>
        <w:t>2</w:t>
      </w:r>
      <w:r>
        <w:t>、报价精确到元，可保留两位小数。</w:t>
      </w:r>
    </w:p>
    <w:p>
      <w:pPr>
        <w:pStyle w:val="12"/>
        <w:tabs>
          <w:tab w:val="left" w:pos="4691"/>
        </w:tabs>
        <w:spacing w:before="57" w:line="583" w:lineRule="auto"/>
        <w:ind w:left="758" w:right="3046"/>
        <w:rPr>
          <w:rFonts w:ascii="Times New Roman" w:eastAsia="Times New Roman"/>
        </w:rPr>
      </w:pPr>
      <w:r>
        <w:rPr>
          <w:rFonts w:ascii="Times New Roman" w:eastAsia="Times New Roman"/>
        </w:rPr>
        <w:t>3</w:t>
      </w:r>
      <w:r>
        <w:t>、</w:t>
      </w:r>
      <w:r>
        <w:rPr>
          <w:spacing w:val="-3"/>
        </w:rPr>
        <w:t>服</w:t>
      </w:r>
      <w:r>
        <w:t>务</w:t>
      </w:r>
      <w:r>
        <w:rPr>
          <w:spacing w:val="-3"/>
        </w:rPr>
        <w:t>标</w:t>
      </w:r>
      <w:r>
        <w:t>准</w:t>
      </w:r>
      <w:r>
        <w:rPr>
          <w:spacing w:val="-3"/>
        </w:rPr>
        <w:t>填</w:t>
      </w:r>
      <w:r>
        <w:t>写</w:t>
      </w:r>
      <w:r>
        <w:rPr>
          <w:spacing w:val="-3"/>
        </w:rPr>
        <w:t>是</w:t>
      </w:r>
      <w:r>
        <w:t>否</w:t>
      </w:r>
      <w:r>
        <w:rPr>
          <w:spacing w:val="-3"/>
        </w:rPr>
        <w:t>响应</w:t>
      </w:r>
      <w:r>
        <w:t>招标</w:t>
      </w:r>
      <w:r>
        <w:rPr>
          <w:spacing w:val="-3"/>
        </w:rPr>
        <w:t>文</w:t>
      </w:r>
      <w:r>
        <w:t>件</w:t>
      </w:r>
      <w:r>
        <w:rPr>
          <w:spacing w:val="-3"/>
        </w:rPr>
        <w:t>要</w:t>
      </w:r>
      <w:r>
        <w:t>求</w:t>
      </w:r>
      <w:r>
        <w:rPr>
          <w:spacing w:val="-3"/>
        </w:rPr>
        <w:t>。</w:t>
      </w:r>
      <w:r>
        <w:t>如</w:t>
      </w:r>
      <w:r>
        <w:rPr>
          <w:spacing w:val="-3"/>
        </w:rPr>
        <w:t>有</w:t>
      </w:r>
      <w:r>
        <w:t>其</w:t>
      </w:r>
      <w:r>
        <w:rPr>
          <w:spacing w:val="-3"/>
        </w:rPr>
        <w:t>它</w:t>
      </w:r>
      <w:r>
        <w:t>，请</w:t>
      </w:r>
      <w:r>
        <w:rPr>
          <w:spacing w:val="-3"/>
        </w:rPr>
        <w:t>在</w:t>
      </w:r>
      <w:r>
        <w:t>备</w:t>
      </w:r>
      <w:r>
        <w:rPr>
          <w:spacing w:val="-3"/>
        </w:rPr>
        <w:t>注</w:t>
      </w:r>
      <w:r>
        <w:t>中</w:t>
      </w:r>
      <w:r>
        <w:rPr>
          <w:spacing w:val="-3"/>
        </w:rPr>
        <w:t>注</w:t>
      </w:r>
      <w:r>
        <w:t>明。</w:t>
      </w:r>
      <w:r>
        <w:rPr>
          <w:spacing w:val="-1"/>
        </w:rPr>
        <w:t>投</w:t>
      </w:r>
      <w:r>
        <w:t>标</w:t>
      </w:r>
      <w:r>
        <w:rPr>
          <w:spacing w:val="-3"/>
        </w:rPr>
        <w:t>人</w:t>
      </w:r>
      <w:r>
        <w:t>单</w:t>
      </w:r>
      <w:r>
        <w:rPr>
          <w:spacing w:val="-3"/>
        </w:rPr>
        <w:t>位</w:t>
      </w:r>
      <w:r>
        <w:t>公</w:t>
      </w:r>
      <w:r>
        <w:rPr>
          <w:spacing w:val="-3"/>
        </w:rPr>
        <w:t>章</w:t>
      </w:r>
      <w:r>
        <w:t>：</w:t>
      </w:r>
      <w:r>
        <w:rPr>
          <w:rFonts w:ascii="Times New Roman" w:eastAsia="Times New Roman"/>
          <w:u w:val="single"/>
        </w:rPr>
        <w:t xml:space="preserve"> </w:t>
      </w:r>
      <w:r>
        <w:rPr>
          <w:rFonts w:ascii="Times New Roman" w:eastAsia="Times New Roman"/>
          <w:u w:val="single"/>
        </w:rPr>
        <w:tab/>
      </w:r>
    </w:p>
    <w:p>
      <w:pPr>
        <w:pStyle w:val="12"/>
        <w:tabs>
          <w:tab w:val="left" w:pos="6792"/>
        </w:tabs>
        <w:spacing w:line="265" w:lineRule="exact"/>
        <w:ind w:left="758"/>
        <w:rPr>
          <w:rFonts w:ascii="Times New Roman" w:eastAsia="Times New Roman"/>
        </w:rPr>
      </w:pPr>
      <w:r>
        <w:rPr>
          <w:spacing w:val="-1"/>
        </w:rPr>
        <w:t>法人</w:t>
      </w:r>
      <w:r>
        <w:rPr>
          <w:spacing w:val="-3"/>
        </w:rPr>
        <w:t>代</w:t>
      </w:r>
      <w:r>
        <w:rPr>
          <w:spacing w:val="-1"/>
        </w:rPr>
        <w:t>表</w:t>
      </w:r>
      <w:r>
        <w:rPr>
          <w:spacing w:val="-3"/>
        </w:rPr>
        <w:t>或</w:t>
      </w:r>
      <w:r>
        <w:t>委</w:t>
      </w:r>
      <w:r>
        <w:rPr>
          <w:spacing w:val="-3"/>
        </w:rPr>
        <w:t>托</w:t>
      </w:r>
      <w:r>
        <w:t>代</w:t>
      </w:r>
      <w:r>
        <w:rPr>
          <w:spacing w:val="-3"/>
        </w:rPr>
        <w:t>理</w:t>
      </w:r>
      <w:r>
        <w:t>人</w:t>
      </w:r>
      <w:r>
        <w:rPr>
          <w:spacing w:val="-3"/>
        </w:rPr>
        <w:t>（</w:t>
      </w:r>
      <w:r>
        <w:t>签字</w:t>
      </w:r>
      <w:r>
        <w:rPr>
          <w:spacing w:val="-3"/>
        </w:rPr>
        <w:t>或</w:t>
      </w:r>
      <w:r>
        <w:t>盖</w:t>
      </w:r>
      <w:r>
        <w:rPr>
          <w:spacing w:val="-3"/>
        </w:rPr>
        <w:t>章</w:t>
      </w:r>
      <w:r>
        <w:t>）：</w:t>
      </w:r>
      <w:r>
        <w:rPr>
          <w:rFonts w:ascii="Times New Roman" w:eastAsia="Times New Roman"/>
          <w:u w:val="single"/>
        </w:rPr>
        <w:t xml:space="preserve"> </w:t>
      </w:r>
      <w:r>
        <w:rPr>
          <w:rFonts w:ascii="Times New Roman" w:eastAsia="Times New Roman"/>
          <w:u w:val="single"/>
        </w:rPr>
        <w:tab/>
      </w:r>
    </w:p>
    <w:p>
      <w:pPr>
        <w:pStyle w:val="12"/>
        <w:spacing w:before="2"/>
        <w:rPr>
          <w:rFonts w:ascii="Times New Roman"/>
          <w:sz w:val="27"/>
        </w:rPr>
      </w:pPr>
    </w:p>
    <w:p>
      <w:pPr>
        <w:pStyle w:val="12"/>
        <w:tabs>
          <w:tab w:val="left" w:pos="3746"/>
        </w:tabs>
        <w:spacing w:before="72"/>
        <w:ind w:left="758"/>
        <w:rPr>
          <w:rFonts w:ascii="Times New Roman" w:eastAsia="Times New Roman"/>
        </w:rPr>
      </w:pPr>
      <w:r>
        <w:t>日</w:t>
      </w:r>
      <w:r>
        <w:rPr>
          <w:spacing w:val="2"/>
        </w:rPr>
        <w:t xml:space="preserve"> </w:t>
      </w:r>
      <w:r>
        <w:rPr>
          <w:spacing w:val="-3"/>
        </w:rPr>
        <w:t>期</w:t>
      </w:r>
      <w:r>
        <w:t>：</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type w:val="continuous"/>
          <w:pgSz w:w="11910" w:h="16840"/>
          <w:pgMar w:top="1580" w:right="740" w:bottom="280" w:left="740" w:header="720" w:footer="720" w:gutter="0"/>
        </w:sectPr>
      </w:pPr>
    </w:p>
    <w:p>
      <w:pPr>
        <w:pStyle w:val="12"/>
        <w:rPr>
          <w:rFonts w:ascii="Times New Roman"/>
          <w:sz w:val="20"/>
        </w:rPr>
      </w:pPr>
    </w:p>
    <w:p>
      <w:pPr>
        <w:pStyle w:val="12"/>
        <w:spacing w:before="6"/>
        <w:rPr>
          <w:rFonts w:ascii="Times New Roman"/>
        </w:rPr>
      </w:pPr>
    </w:p>
    <w:p>
      <w:pPr>
        <w:pStyle w:val="6"/>
        <w:numPr>
          <w:ilvl w:val="1"/>
          <w:numId w:val="78"/>
        </w:numPr>
        <w:tabs>
          <w:tab w:val="left" w:pos="759"/>
        </w:tabs>
        <w:spacing w:before="71" w:after="0" w:line="240" w:lineRule="auto"/>
        <w:ind w:left="758" w:right="0" w:hanging="422"/>
        <w:jc w:val="left"/>
      </w:pPr>
      <w:r>
        <w:t>分项报价表</w:t>
      </w:r>
    </w:p>
    <w:p>
      <w:pPr>
        <w:pStyle w:val="12"/>
        <w:rPr>
          <w:b/>
          <w:sz w:val="20"/>
        </w:rPr>
      </w:pPr>
    </w:p>
    <w:p>
      <w:pPr>
        <w:pStyle w:val="12"/>
        <w:spacing w:before="5"/>
        <w:rPr>
          <w:b/>
          <w:sz w:val="23"/>
        </w:rPr>
      </w:pPr>
    </w:p>
    <w:p>
      <w:pPr>
        <w:pStyle w:val="12"/>
        <w:rPr>
          <w:b/>
          <w:sz w:val="20"/>
        </w:rPr>
      </w:pPr>
    </w:p>
    <w:p>
      <w:pPr>
        <w:pStyle w:val="12"/>
        <w:spacing w:before="12"/>
        <w:rPr>
          <w:b/>
          <w:sz w:val="16"/>
        </w:rPr>
      </w:pPr>
    </w:p>
    <w:tbl>
      <w:tblPr>
        <w:tblStyle w:val="17"/>
        <w:tblW w:w="0" w:type="auto"/>
        <w:tblInd w:w="5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3"/>
        <w:gridCol w:w="1515"/>
        <w:gridCol w:w="1575"/>
        <w:gridCol w:w="3000"/>
        <w:gridCol w:w="1350"/>
        <w:gridCol w:w="1230"/>
        <w:gridCol w:w="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603" w:type="dxa"/>
            <w:vAlign w:val="top"/>
          </w:tcPr>
          <w:p>
            <w:pPr>
              <w:pStyle w:val="12"/>
              <w:bidi w:val="0"/>
              <w:jc w:val="center"/>
              <w:rPr>
                <w:rFonts w:hint="eastAsia"/>
                <w:lang w:eastAsia="zh-CN"/>
              </w:rPr>
            </w:pPr>
          </w:p>
          <w:p>
            <w:pPr>
              <w:pStyle w:val="12"/>
              <w:bidi w:val="0"/>
              <w:jc w:val="center"/>
            </w:pPr>
            <w:r>
              <w:rPr>
                <w:rFonts w:hint="eastAsia"/>
                <w:lang w:eastAsia="zh-CN"/>
              </w:rPr>
              <w:t>序号</w:t>
            </w:r>
          </w:p>
        </w:tc>
        <w:tc>
          <w:tcPr>
            <w:tcW w:w="1515" w:type="dxa"/>
            <w:vAlign w:val="top"/>
          </w:tcPr>
          <w:p>
            <w:pPr>
              <w:pStyle w:val="12"/>
              <w:bidi w:val="0"/>
              <w:jc w:val="center"/>
            </w:pPr>
          </w:p>
          <w:p>
            <w:pPr>
              <w:pStyle w:val="12"/>
              <w:bidi w:val="0"/>
              <w:jc w:val="center"/>
              <w:rPr>
                <w:rFonts w:hint="eastAsia"/>
                <w:lang w:eastAsia="zh-CN"/>
              </w:rPr>
            </w:pPr>
            <w:r>
              <w:rPr>
                <w:rFonts w:hint="eastAsia"/>
                <w:lang w:eastAsia="zh-CN"/>
              </w:rPr>
              <w:t>类别</w:t>
            </w:r>
          </w:p>
        </w:tc>
        <w:tc>
          <w:tcPr>
            <w:tcW w:w="1575" w:type="dxa"/>
            <w:vAlign w:val="top"/>
          </w:tcPr>
          <w:p>
            <w:pPr>
              <w:pStyle w:val="12"/>
              <w:bidi w:val="0"/>
              <w:jc w:val="center"/>
            </w:pPr>
          </w:p>
          <w:p>
            <w:pPr>
              <w:pStyle w:val="12"/>
              <w:bidi w:val="0"/>
              <w:jc w:val="center"/>
              <w:rPr>
                <w:rFonts w:hint="eastAsia"/>
                <w:lang w:eastAsia="zh-CN"/>
              </w:rPr>
            </w:pPr>
            <w:r>
              <w:rPr>
                <w:rFonts w:hint="eastAsia"/>
                <w:lang w:eastAsia="zh-CN"/>
              </w:rPr>
              <w:t>数量</w:t>
            </w:r>
          </w:p>
        </w:tc>
        <w:tc>
          <w:tcPr>
            <w:tcW w:w="3000" w:type="dxa"/>
            <w:vAlign w:val="top"/>
          </w:tcPr>
          <w:p>
            <w:pPr>
              <w:pStyle w:val="12"/>
              <w:bidi w:val="0"/>
              <w:jc w:val="center"/>
            </w:pPr>
          </w:p>
          <w:p>
            <w:pPr>
              <w:pStyle w:val="12"/>
              <w:bidi w:val="0"/>
              <w:jc w:val="center"/>
              <w:rPr>
                <w:rFonts w:hint="eastAsia"/>
                <w:lang w:eastAsia="zh-CN"/>
              </w:rPr>
            </w:pPr>
            <w:r>
              <w:rPr>
                <w:rFonts w:hint="eastAsia"/>
                <w:lang w:eastAsia="zh-CN"/>
              </w:rPr>
              <w:t>单价</w:t>
            </w:r>
          </w:p>
        </w:tc>
        <w:tc>
          <w:tcPr>
            <w:tcW w:w="1350" w:type="dxa"/>
            <w:vAlign w:val="top"/>
          </w:tcPr>
          <w:p>
            <w:pPr>
              <w:pStyle w:val="12"/>
              <w:bidi w:val="0"/>
              <w:jc w:val="center"/>
            </w:pPr>
          </w:p>
          <w:p>
            <w:pPr>
              <w:pStyle w:val="12"/>
              <w:bidi w:val="0"/>
              <w:jc w:val="center"/>
              <w:rPr>
                <w:rFonts w:hint="eastAsia"/>
                <w:lang w:eastAsia="zh-CN"/>
              </w:rPr>
            </w:pPr>
            <w:r>
              <w:rPr>
                <w:rFonts w:hint="eastAsia"/>
                <w:lang w:eastAsia="zh-CN"/>
              </w:rPr>
              <w:t>月费用</w:t>
            </w:r>
          </w:p>
        </w:tc>
        <w:tc>
          <w:tcPr>
            <w:tcW w:w="1230" w:type="dxa"/>
            <w:vAlign w:val="top"/>
          </w:tcPr>
          <w:p>
            <w:pPr>
              <w:pStyle w:val="12"/>
              <w:bidi w:val="0"/>
              <w:jc w:val="center"/>
            </w:pPr>
          </w:p>
          <w:p>
            <w:pPr>
              <w:pStyle w:val="12"/>
              <w:bidi w:val="0"/>
              <w:jc w:val="center"/>
              <w:rPr>
                <w:rFonts w:hint="eastAsia"/>
                <w:lang w:eastAsia="zh-CN"/>
              </w:rPr>
            </w:pPr>
            <w:r>
              <w:rPr>
                <w:rFonts w:hint="eastAsia"/>
                <w:lang w:eastAsia="zh-CN"/>
              </w:rPr>
              <w:t>年费用</w:t>
            </w:r>
          </w:p>
        </w:tc>
        <w:tc>
          <w:tcPr>
            <w:tcW w:w="585" w:type="dxa"/>
            <w:vAlign w:val="top"/>
          </w:tcPr>
          <w:p>
            <w:pPr>
              <w:pStyle w:val="12"/>
              <w:bidi w:val="0"/>
              <w:jc w:val="center"/>
            </w:pPr>
          </w:p>
          <w:p>
            <w:pPr>
              <w:pStyle w:val="12"/>
              <w:bidi w:val="0"/>
              <w:jc w:val="center"/>
              <w:rPr>
                <w:rFonts w:hint="eastAsia" w:eastAsia="宋体"/>
                <w:lang w:eastAsia="zh-CN"/>
              </w:rPr>
            </w:pPr>
            <w:r>
              <w:rPr>
                <w:rFonts w:hint="eastAsia"/>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603" w:type="dxa"/>
            <w:vAlign w:val="center"/>
          </w:tcPr>
          <w:p>
            <w:pPr>
              <w:pStyle w:val="12"/>
              <w:bidi w:val="0"/>
              <w:jc w:val="center"/>
            </w:pPr>
            <w:r>
              <w:t>1</w:t>
            </w:r>
          </w:p>
        </w:tc>
        <w:tc>
          <w:tcPr>
            <w:tcW w:w="1515" w:type="dxa"/>
            <w:vAlign w:val="center"/>
          </w:tcPr>
          <w:p>
            <w:pPr>
              <w:pStyle w:val="12"/>
              <w:bidi w:val="0"/>
              <w:jc w:val="center"/>
              <w:rPr>
                <w:rFonts w:hint="eastAsia"/>
                <w:lang w:eastAsia="zh-CN"/>
              </w:rPr>
            </w:pPr>
            <w:r>
              <w:rPr>
                <w:rFonts w:hint="eastAsia"/>
                <w:lang w:eastAsia="zh-CN"/>
              </w:rPr>
              <w:t>清扫保洁</w:t>
            </w:r>
          </w:p>
        </w:tc>
        <w:tc>
          <w:tcPr>
            <w:tcW w:w="1575" w:type="dxa"/>
            <w:vAlign w:val="center"/>
          </w:tcPr>
          <w:p>
            <w:pPr>
              <w:pStyle w:val="12"/>
              <w:bidi w:val="0"/>
              <w:jc w:val="center"/>
            </w:pPr>
          </w:p>
        </w:tc>
        <w:tc>
          <w:tcPr>
            <w:tcW w:w="3000" w:type="dxa"/>
            <w:vAlign w:val="center"/>
          </w:tcPr>
          <w:p>
            <w:pPr>
              <w:pStyle w:val="12"/>
              <w:bidi w:val="0"/>
              <w:jc w:val="center"/>
              <w:rPr>
                <w:rFonts w:hint="eastAsia"/>
                <w:lang w:val="en-US" w:eastAsia="zh-CN"/>
              </w:rPr>
            </w:pPr>
            <w:r>
              <w:rPr>
                <w:rFonts w:hint="eastAsia"/>
                <w:lang w:val="en-US" w:eastAsia="zh-CN"/>
              </w:rPr>
              <w:t>元/平方米/年</w:t>
            </w:r>
          </w:p>
        </w:tc>
        <w:tc>
          <w:tcPr>
            <w:tcW w:w="1350" w:type="dxa"/>
            <w:vAlign w:val="center"/>
          </w:tcPr>
          <w:p>
            <w:pPr>
              <w:pStyle w:val="12"/>
              <w:bidi w:val="0"/>
              <w:jc w:val="center"/>
            </w:pPr>
          </w:p>
        </w:tc>
        <w:tc>
          <w:tcPr>
            <w:tcW w:w="1230" w:type="dxa"/>
            <w:vAlign w:val="center"/>
          </w:tcPr>
          <w:p>
            <w:pPr>
              <w:pStyle w:val="12"/>
              <w:bidi w:val="0"/>
              <w:jc w:val="center"/>
            </w:pPr>
          </w:p>
        </w:tc>
        <w:tc>
          <w:tcPr>
            <w:tcW w:w="585" w:type="dxa"/>
            <w:vAlign w:val="center"/>
          </w:tcPr>
          <w:p>
            <w:pPr>
              <w:pStyle w:val="12"/>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603" w:type="dxa"/>
            <w:vAlign w:val="center"/>
          </w:tcPr>
          <w:p>
            <w:pPr>
              <w:pStyle w:val="12"/>
              <w:bidi w:val="0"/>
              <w:jc w:val="center"/>
              <w:rPr>
                <w:rFonts w:hint="eastAsia" w:eastAsia="宋体"/>
                <w:lang w:val="en-US" w:eastAsia="zh-CN"/>
              </w:rPr>
            </w:pPr>
            <w:r>
              <w:rPr>
                <w:rFonts w:hint="eastAsia"/>
                <w:lang w:val="en-US" w:eastAsia="zh-CN"/>
              </w:rPr>
              <w:t>2</w:t>
            </w:r>
          </w:p>
        </w:tc>
        <w:tc>
          <w:tcPr>
            <w:tcW w:w="1515" w:type="dxa"/>
            <w:vAlign w:val="center"/>
          </w:tcPr>
          <w:p>
            <w:pPr>
              <w:pStyle w:val="12"/>
              <w:bidi w:val="0"/>
              <w:jc w:val="center"/>
              <w:rPr>
                <w:rFonts w:hint="eastAsia"/>
                <w:lang w:eastAsia="zh-CN"/>
              </w:rPr>
            </w:pPr>
            <w:r>
              <w:rPr>
                <w:rFonts w:hint="eastAsia"/>
                <w:lang w:eastAsia="zh-CN"/>
              </w:rPr>
              <w:t>公厕管护</w:t>
            </w:r>
          </w:p>
        </w:tc>
        <w:tc>
          <w:tcPr>
            <w:tcW w:w="1575" w:type="dxa"/>
            <w:vAlign w:val="center"/>
          </w:tcPr>
          <w:p>
            <w:pPr>
              <w:pStyle w:val="12"/>
              <w:bidi w:val="0"/>
              <w:jc w:val="center"/>
            </w:pPr>
          </w:p>
        </w:tc>
        <w:tc>
          <w:tcPr>
            <w:tcW w:w="3000" w:type="dxa"/>
            <w:vAlign w:val="center"/>
          </w:tcPr>
          <w:p>
            <w:pPr>
              <w:pStyle w:val="12"/>
              <w:bidi w:val="0"/>
              <w:jc w:val="center"/>
            </w:pPr>
            <w:r>
              <w:rPr>
                <w:rFonts w:hint="eastAsia"/>
                <w:lang w:val="en-US" w:eastAsia="zh-CN"/>
              </w:rPr>
              <w:t>元/座/年</w:t>
            </w:r>
          </w:p>
        </w:tc>
        <w:tc>
          <w:tcPr>
            <w:tcW w:w="1350" w:type="dxa"/>
            <w:vAlign w:val="center"/>
          </w:tcPr>
          <w:p>
            <w:pPr>
              <w:pStyle w:val="12"/>
              <w:bidi w:val="0"/>
              <w:jc w:val="center"/>
            </w:pPr>
          </w:p>
        </w:tc>
        <w:tc>
          <w:tcPr>
            <w:tcW w:w="1230" w:type="dxa"/>
            <w:vAlign w:val="center"/>
          </w:tcPr>
          <w:p>
            <w:pPr>
              <w:pStyle w:val="12"/>
              <w:bidi w:val="0"/>
              <w:jc w:val="center"/>
            </w:pPr>
          </w:p>
        </w:tc>
        <w:tc>
          <w:tcPr>
            <w:tcW w:w="585" w:type="dxa"/>
            <w:vAlign w:val="center"/>
          </w:tcPr>
          <w:p>
            <w:pPr>
              <w:pStyle w:val="12"/>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603" w:type="dxa"/>
            <w:vAlign w:val="center"/>
          </w:tcPr>
          <w:p>
            <w:pPr>
              <w:pStyle w:val="12"/>
              <w:bidi w:val="0"/>
              <w:jc w:val="center"/>
              <w:rPr>
                <w:rFonts w:hint="eastAsia" w:eastAsia="宋体"/>
                <w:lang w:val="en-US" w:eastAsia="zh-CN"/>
              </w:rPr>
            </w:pPr>
            <w:r>
              <w:rPr>
                <w:rFonts w:hint="eastAsia"/>
                <w:lang w:val="en-US" w:eastAsia="zh-CN"/>
              </w:rPr>
              <w:t>3</w:t>
            </w:r>
          </w:p>
        </w:tc>
        <w:tc>
          <w:tcPr>
            <w:tcW w:w="1515" w:type="dxa"/>
            <w:vAlign w:val="center"/>
          </w:tcPr>
          <w:p>
            <w:pPr>
              <w:pStyle w:val="12"/>
              <w:bidi w:val="0"/>
              <w:jc w:val="center"/>
              <w:rPr>
                <w:rFonts w:hint="eastAsia"/>
                <w:lang w:eastAsia="zh-CN"/>
              </w:rPr>
            </w:pPr>
            <w:r>
              <w:rPr>
                <w:rFonts w:hint="eastAsia"/>
                <w:lang w:eastAsia="zh-CN"/>
              </w:rPr>
              <w:t>园林绿化</w:t>
            </w:r>
          </w:p>
        </w:tc>
        <w:tc>
          <w:tcPr>
            <w:tcW w:w="1575" w:type="dxa"/>
            <w:vAlign w:val="center"/>
          </w:tcPr>
          <w:p>
            <w:pPr>
              <w:pStyle w:val="12"/>
              <w:bidi w:val="0"/>
              <w:jc w:val="center"/>
            </w:pPr>
          </w:p>
        </w:tc>
        <w:tc>
          <w:tcPr>
            <w:tcW w:w="3000" w:type="dxa"/>
            <w:vAlign w:val="center"/>
          </w:tcPr>
          <w:p>
            <w:pPr>
              <w:pStyle w:val="12"/>
              <w:bidi w:val="0"/>
              <w:jc w:val="center"/>
            </w:pPr>
            <w:r>
              <w:rPr>
                <w:rFonts w:hint="eastAsia"/>
                <w:lang w:val="en-US" w:eastAsia="zh-CN"/>
              </w:rPr>
              <w:t>元/平方米/年</w:t>
            </w:r>
          </w:p>
        </w:tc>
        <w:tc>
          <w:tcPr>
            <w:tcW w:w="1350" w:type="dxa"/>
            <w:vAlign w:val="center"/>
          </w:tcPr>
          <w:p>
            <w:pPr>
              <w:pStyle w:val="12"/>
              <w:bidi w:val="0"/>
              <w:jc w:val="center"/>
            </w:pPr>
          </w:p>
        </w:tc>
        <w:tc>
          <w:tcPr>
            <w:tcW w:w="1230" w:type="dxa"/>
            <w:vAlign w:val="center"/>
          </w:tcPr>
          <w:p>
            <w:pPr>
              <w:pStyle w:val="12"/>
              <w:bidi w:val="0"/>
              <w:jc w:val="center"/>
            </w:pPr>
          </w:p>
        </w:tc>
        <w:tc>
          <w:tcPr>
            <w:tcW w:w="585" w:type="dxa"/>
            <w:vAlign w:val="center"/>
          </w:tcPr>
          <w:p>
            <w:pPr>
              <w:pStyle w:val="12"/>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603" w:type="dxa"/>
            <w:vAlign w:val="center"/>
          </w:tcPr>
          <w:p>
            <w:pPr>
              <w:pStyle w:val="12"/>
              <w:bidi w:val="0"/>
              <w:jc w:val="center"/>
              <w:rPr>
                <w:rFonts w:hint="eastAsia" w:eastAsia="宋体"/>
                <w:lang w:val="en-US" w:eastAsia="zh-CN"/>
              </w:rPr>
            </w:pPr>
            <w:r>
              <w:rPr>
                <w:rFonts w:hint="eastAsia"/>
                <w:lang w:val="en-US" w:eastAsia="zh-CN"/>
              </w:rPr>
              <w:t>4</w:t>
            </w:r>
          </w:p>
        </w:tc>
        <w:tc>
          <w:tcPr>
            <w:tcW w:w="1515" w:type="dxa"/>
            <w:vAlign w:val="center"/>
          </w:tcPr>
          <w:p>
            <w:pPr>
              <w:pStyle w:val="12"/>
              <w:bidi w:val="0"/>
              <w:jc w:val="center"/>
              <w:rPr>
                <w:rFonts w:hint="eastAsia"/>
                <w:lang w:eastAsia="zh-CN"/>
              </w:rPr>
            </w:pPr>
            <w:r>
              <w:rPr>
                <w:rFonts w:hint="eastAsia"/>
                <w:lang w:eastAsia="zh-CN"/>
              </w:rPr>
              <w:t>智慧环卫系统</w:t>
            </w:r>
          </w:p>
        </w:tc>
        <w:tc>
          <w:tcPr>
            <w:tcW w:w="1575" w:type="dxa"/>
            <w:vAlign w:val="center"/>
          </w:tcPr>
          <w:p>
            <w:pPr>
              <w:pStyle w:val="12"/>
              <w:bidi w:val="0"/>
              <w:jc w:val="center"/>
            </w:pPr>
          </w:p>
        </w:tc>
        <w:tc>
          <w:tcPr>
            <w:tcW w:w="3000" w:type="dxa"/>
            <w:vAlign w:val="center"/>
          </w:tcPr>
          <w:p>
            <w:pPr>
              <w:pStyle w:val="12"/>
              <w:bidi w:val="0"/>
              <w:jc w:val="center"/>
              <w:rPr>
                <w:rFonts w:hint="default"/>
                <w:lang w:val="en-US" w:eastAsia="zh-CN"/>
              </w:rPr>
            </w:pPr>
            <w:r>
              <w:rPr>
                <w:rFonts w:hint="eastAsia"/>
                <w:lang w:val="en-US" w:eastAsia="zh-CN"/>
              </w:rPr>
              <w:t>元/项/年</w:t>
            </w:r>
          </w:p>
        </w:tc>
        <w:tc>
          <w:tcPr>
            <w:tcW w:w="1350" w:type="dxa"/>
            <w:vAlign w:val="center"/>
          </w:tcPr>
          <w:p>
            <w:pPr>
              <w:pStyle w:val="12"/>
              <w:bidi w:val="0"/>
              <w:jc w:val="center"/>
            </w:pPr>
          </w:p>
        </w:tc>
        <w:tc>
          <w:tcPr>
            <w:tcW w:w="1230" w:type="dxa"/>
            <w:vAlign w:val="center"/>
          </w:tcPr>
          <w:p>
            <w:pPr>
              <w:pStyle w:val="12"/>
              <w:bidi w:val="0"/>
              <w:jc w:val="center"/>
            </w:pPr>
          </w:p>
        </w:tc>
        <w:tc>
          <w:tcPr>
            <w:tcW w:w="585" w:type="dxa"/>
            <w:vAlign w:val="center"/>
          </w:tcPr>
          <w:p>
            <w:pPr>
              <w:pStyle w:val="12"/>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603" w:type="dxa"/>
            <w:vAlign w:val="center"/>
          </w:tcPr>
          <w:p>
            <w:pPr>
              <w:pStyle w:val="12"/>
              <w:bidi w:val="0"/>
              <w:jc w:val="center"/>
              <w:rPr>
                <w:rFonts w:hint="eastAsia" w:eastAsia="宋体"/>
                <w:lang w:val="en-US" w:eastAsia="zh-CN"/>
              </w:rPr>
            </w:pPr>
          </w:p>
        </w:tc>
        <w:tc>
          <w:tcPr>
            <w:tcW w:w="1515" w:type="dxa"/>
            <w:vAlign w:val="center"/>
          </w:tcPr>
          <w:p>
            <w:pPr>
              <w:pStyle w:val="12"/>
              <w:bidi w:val="0"/>
              <w:jc w:val="center"/>
            </w:pPr>
          </w:p>
        </w:tc>
        <w:tc>
          <w:tcPr>
            <w:tcW w:w="1575" w:type="dxa"/>
            <w:vAlign w:val="center"/>
          </w:tcPr>
          <w:p>
            <w:pPr>
              <w:pStyle w:val="12"/>
              <w:bidi w:val="0"/>
              <w:jc w:val="center"/>
            </w:pPr>
          </w:p>
        </w:tc>
        <w:tc>
          <w:tcPr>
            <w:tcW w:w="3000" w:type="dxa"/>
            <w:vAlign w:val="center"/>
          </w:tcPr>
          <w:p>
            <w:pPr>
              <w:pStyle w:val="12"/>
              <w:bidi w:val="0"/>
              <w:jc w:val="center"/>
            </w:pPr>
          </w:p>
        </w:tc>
        <w:tc>
          <w:tcPr>
            <w:tcW w:w="1350" w:type="dxa"/>
            <w:vAlign w:val="center"/>
          </w:tcPr>
          <w:p>
            <w:pPr>
              <w:pStyle w:val="12"/>
              <w:bidi w:val="0"/>
              <w:jc w:val="center"/>
            </w:pPr>
          </w:p>
        </w:tc>
        <w:tc>
          <w:tcPr>
            <w:tcW w:w="1230" w:type="dxa"/>
            <w:vAlign w:val="center"/>
          </w:tcPr>
          <w:p>
            <w:pPr>
              <w:pStyle w:val="12"/>
              <w:bidi w:val="0"/>
              <w:jc w:val="center"/>
            </w:pPr>
          </w:p>
        </w:tc>
        <w:tc>
          <w:tcPr>
            <w:tcW w:w="585" w:type="dxa"/>
            <w:vAlign w:val="center"/>
          </w:tcPr>
          <w:p>
            <w:pPr>
              <w:pStyle w:val="12"/>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03" w:type="dxa"/>
            <w:vAlign w:val="center"/>
          </w:tcPr>
          <w:p>
            <w:pPr>
              <w:pStyle w:val="12"/>
              <w:bidi w:val="0"/>
              <w:jc w:val="center"/>
            </w:pPr>
          </w:p>
        </w:tc>
        <w:tc>
          <w:tcPr>
            <w:tcW w:w="1515" w:type="dxa"/>
            <w:vAlign w:val="center"/>
          </w:tcPr>
          <w:p>
            <w:pPr>
              <w:pStyle w:val="12"/>
              <w:bidi w:val="0"/>
              <w:jc w:val="center"/>
            </w:pPr>
          </w:p>
        </w:tc>
        <w:tc>
          <w:tcPr>
            <w:tcW w:w="1575" w:type="dxa"/>
            <w:vAlign w:val="center"/>
          </w:tcPr>
          <w:p>
            <w:pPr>
              <w:pStyle w:val="12"/>
              <w:bidi w:val="0"/>
              <w:jc w:val="center"/>
            </w:pPr>
          </w:p>
        </w:tc>
        <w:tc>
          <w:tcPr>
            <w:tcW w:w="3000" w:type="dxa"/>
            <w:vAlign w:val="center"/>
          </w:tcPr>
          <w:p>
            <w:pPr>
              <w:pStyle w:val="12"/>
              <w:bidi w:val="0"/>
              <w:jc w:val="center"/>
            </w:pPr>
          </w:p>
        </w:tc>
        <w:tc>
          <w:tcPr>
            <w:tcW w:w="1350" w:type="dxa"/>
            <w:vAlign w:val="center"/>
          </w:tcPr>
          <w:p>
            <w:pPr>
              <w:pStyle w:val="12"/>
              <w:bidi w:val="0"/>
              <w:jc w:val="center"/>
            </w:pPr>
          </w:p>
        </w:tc>
        <w:tc>
          <w:tcPr>
            <w:tcW w:w="1230" w:type="dxa"/>
            <w:vAlign w:val="center"/>
          </w:tcPr>
          <w:p>
            <w:pPr>
              <w:pStyle w:val="12"/>
              <w:bidi w:val="0"/>
              <w:jc w:val="center"/>
            </w:pPr>
          </w:p>
        </w:tc>
        <w:tc>
          <w:tcPr>
            <w:tcW w:w="585" w:type="dxa"/>
            <w:vAlign w:val="center"/>
          </w:tcPr>
          <w:p>
            <w:pPr>
              <w:pStyle w:val="12"/>
              <w:bidi w:val="0"/>
              <w:jc w:val="center"/>
            </w:pPr>
          </w:p>
        </w:tc>
      </w:tr>
    </w:tbl>
    <w:p>
      <w:pPr>
        <w:pStyle w:val="12"/>
        <w:spacing w:before="3"/>
        <w:rPr>
          <w:b/>
          <w:sz w:val="22"/>
        </w:rPr>
      </w:pPr>
    </w:p>
    <w:p>
      <w:pPr>
        <w:pStyle w:val="12"/>
        <w:spacing w:before="72" w:line="290" w:lineRule="auto"/>
        <w:ind w:left="337" w:right="417"/>
      </w:pPr>
      <w:r>
        <w:t>备注：1.如果大写金额和小写金额不一致的，以大写金额为准；总价金额与按单价汇总金额不一致的，以单价金额计算结果为准；单价金额小数点有明显错位的，以总价为准，并修改单价。</w:t>
      </w:r>
    </w:p>
    <w:p>
      <w:pPr>
        <w:pStyle w:val="12"/>
        <w:spacing w:before="1" w:line="288" w:lineRule="auto"/>
        <w:ind w:left="337" w:right="334"/>
      </w:pPr>
      <w:r>
        <w:t>2</w:t>
      </w:r>
      <w:r>
        <w:rPr>
          <w:spacing w:val="-5"/>
        </w:rPr>
        <w:t>、单价及总价均为所有服务价格总和，例如人员工资、社保、车辆费用和其他各种费用</w:t>
      </w:r>
      <w:r>
        <w:rPr>
          <w:spacing w:val="-3"/>
        </w:rPr>
        <w:t>（所有税费不必分别填写，计入报价内即可</w:t>
      </w:r>
      <w:r>
        <w:t>）。</w:t>
      </w:r>
    </w:p>
    <w:p>
      <w:pPr>
        <w:pStyle w:val="12"/>
        <w:rPr>
          <w:sz w:val="20"/>
        </w:rPr>
      </w:pPr>
    </w:p>
    <w:p>
      <w:pPr>
        <w:pStyle w:val="12"/>
        <w:rPr>
          <w:sz w:val="20"/>
        </w:rPr>
      </w:pPr>
    </w:p>
    <w:p>
      <w:pPr>
        <w:pStyle w:val="12"/>
        <w:tabs>
          <w:tab w:val="left" w:pos="4691"/>
        </w:tabs>
        <w:spacing w:before="145"/>
        <w:ind w:left="758"/>
        <w:rPr>
          <w:rFonts w:ascii="Times New Roman" w:eastAsia="Times New Roman"/>
        </w:rPr>
      </w:pPr>
      <w:r>
        <w:rPr>
          <w:spacing w:val="-1"/>
        </w:rPr>
        <w:t>投</w:t>
      </w:r>
      <w:r>
        <w:t>标</w:t>
      </w:r>
      <w:r>
        <w:rPr>
          <w:spacing w:val="-3"/>
        </w:rPr>
        <w:t>人</w:t>
      </w:r>
      <w:r>
        <w:t>单</w:t>
      </w:r>
      <w:r>
        <w:rPr>
          <w:spacing w:val="-3"/>
        </w:rPr>
        <w:t>位</w:t>
      </w:r>
      <w:r>
        <w:t>公</w:t>
      </w:r>
      <w:r>
        <w:rPr>
          <w:spacing w:val="-3"/>
        </w:rPr>
        <w:t>章</w:t>
      </w:r>
      <w:r>
        <w:t>：</w:t>
      </w:r>
      <w:r>
        <w:rPr>
          <w:rFonts w:ascii="Times New Roman" w:eastAsia="Times New Roman"/>
          <w:u w:val="single"/>
        </w:rPr>
        <w:t xml:space="preserve"> </w:t>
      </w:r>
      <w:r>
        <w:rPr>
          <w:rFonts w:ascii="Times New Roman" w:eastAsia="Times New Roman"/>
          <w:u w:val="single"/>
        </w:rPr>
        <w:tab/>
      </w:r>
    </w:p>
    <w:p>
      <w:pPr>
        <w:pStyle w:val="12"/>
        <w:spacing w:before="7"/>
        <w:rPr>
          <w:rFonts w:ascii="Times New Roman"/>
          <w:sz w:val="26"/>
        </w:rPr>
      </w:pPr>
    </w:p>
    <w:p>
      <w:pPr>
        <w:pStyle w:val="12"/>
        <w:tabs>
          <w:tab w:val="left" w:pos="6792"/>
        </w:tabs>
        <w:spacing w:before="78"/>
        <w:ind w:left="758"/>
        <w:rPr>
          <w:rFonts w:ascii="Times New Roman" w:eastAsia="Times New Roman"/>
        </w:rPr>
      </w:pPr>
      <w:r>
        <w:rPr>
          <w:spacing w:val="-1"/>
        </w:rPr>
        <w:t>法人</w:t>
      </w:r>
      <w:r>
        <w:rPr>
          <w:spacing w:val="-3"/>
        </w:rPr>
        <w:t>代</w:t>
      </w:r>
      <w:r>
        <w:rPr>
          <w:spacing w:val="-1"/>
        </w:rPr>
        <w:t>表</w:t>
      </w:r>
      <w:r>
        <w:rPr>
          <w:spacing w:val="-3"/>
        </w:rPr>
        <w:t>或</w:t>
      </w:r>
      <w:r>
        <w:t>委</w:t>
      </w:r>
      <w:r>
        <w:rPr>
          <w:spacing w:val="-3"/>
        </w:rPr>
        <w:t>托</w:t>
      </w:r>
      <w:r>
        <w:t>代</w:t>
      </w:r>
      <w:r>
        <w:rPr>
          <w:spacing w:val="-3"/>
        </w:rPr>
        <w:t>理</w:t>
      </w:r>
      <w:r>
        <w:t>人</w:t>
      </w:r>
      <w:r>
        <w:rPr>
          <w:spacing w:val="-3"/>
        </w:rPr>
        <w:t>（</w:t>
      </w:r>
      <w:r>
        <w:t>签字</w:t>
      </w:r>
      <w:r>
        <w:rPr>
          <w:spacing w:val="-3"/>
        </w:rPr>
        <w:t>或</w:t>
      </w:r>
      <w:r>
        <w:t>盖</w:t>
      </w:r>
      <w:r>
        <w:rPr>
          <w:spacing w:val="-3"/>
        </w:rPr>
        <w:t>章</w:t>
      </w:r>
      <w:r>
        <w:t>）：</w:t>
      </w:r>
      <w:r>
        <w:rPr>
          <w:rFonts w:ascii="Times New Roman" w:eastAsia="Times New Roman"/>
          <w:u w:val="single"/>
        </w:rPr>
        <w:t xml:space="preserve"> </w:t>
      </w:r>
      <w:r>
        <w:rPr>
          <w:rFonts w:ascii="Times New Roman" w:eastAsia="Times New Roman"/>
          <w:u w:val="single"/>
        </w:rPr>
        <w:tab/>
      </w:r>
    </w:p>
    <w:p>
      <w:pPr>
        <w:pStyle w:val="12"/>
        <w:spacing w:before="11"/>
        <w:rPr>
          <w:rFonts w:ascii="Times New Roman"/>
          <w:sz w:val="26"/>
        </w:rPr>
      </w:pPr>
    </w:p>
    <w:p>
      <w:pPr>
        <w:pStyle w:val="12"/>
        <w:tabs>
          <w:tab w:val="left" w:pos="3746"/>
        </w:tabs>
        <w:spacing w:before="71"/>
        <w:ind w:left="758"/>
        <w:rPr>
          <w:rFonts w:ascii="Times New Roman" w:eastAsia="Times New Roman"/>
        </w:rPr>
      </w:pPr>
      <w:r>
        <w:t>日</w:t>
      </w:r>
      <w:r>
        <w:rPr>
          <w:spacing w:val="2"/>
        </w:rPr>
        <w:t xml:space="preserve"> </w:t>
      </w:r>
      <w:r>
        <w:rPr>
          <w:spacing w:val="-3"/>
        </w:rPr>
        <w:t>期</w:t>
      </w:r>
      <w:r>
        <w:t>：</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pgSz w:w="11910" w:h="16840"/>
          <w:pgMar w:top="1360" w:right="740" w:bottom="1080" w:left="740" w:header="880" w:footer="887" w:gutter="0"/>
        </w:sectPr>
      </w:pPr>
    </w:p>
    <w:p>
      <w:pPr>
        <w:pStyle w:val="12"/>
        <w:rPr>
          <w:rFonts w:ascii="Times New Roman"/>
          <w:sz w:val="20"/>
        </w:rPr>
      </w:pPr>
    </w:p>
    <w:p>
      <w:pPr>
        <w:pStyle w:val="12"/>
        <w:spacing w:before="6"/>
        <w:rPr>
          <w:rFonts w:ascii="Times New Roman"/>
        </w:rPr>
      </w:pPr>
    </w:p>
    <w:p>
      <w:pPr>
        <w:pStyle w:val="6"/>
        <w:numPr>
          <w:ilvl w:val="0"/>
          <w:numId w:val="78"/>
        </w:numPr>
        <w:tabs>
          <w:tab w:val="left" w:pos="551"/>
        </w:tabs>
        <w:spacing w:before="71" w:after="0" w:line="240" w:lineRule="auto"/>
        <w:ind w:left="550" w:right="0" w:hanging="214"/>
        <w:jc w:val="left"/>
      </w:pPr>
      <w:bookmarkStart w:id="50" w:name="_bookmark3"/>
      <w:bookmarkEnd w:id="50"/>
      <w:bookmarkStart w:id="51" w:name="3.服务要求响应偏离表（格式）"/>
      <w:bookmarkEnd w:id="51"/>
      <w:bookmarkStart w:id="52" w:name="_bookmark3"/>
      <w:bookmarkEnd w:id="52"/>
      <w:r>
        <w:t>服务要求响应偏离表（格式）</w:t>
      </w:r>
    </w:p>
    <w:p>
      <w:pPr>
        <w:spacing w:before="240"/>
        <w:ind w:left="337" w:right="99" w:firstLine="0"/>
        <w:jc w:val="center"/>
        <w:rPr>
          <w:b/>
          <w:sz w:val="36"/>
        </w:rPr>
      </w:pPr>
      <w:r>
        <w:rPr>
          <w:b/>
          <w:sz w:val="36"/>
        </w:rPr>
        <w:t>服务要求响应偏离表</w:t>
      </w:r>
    </w:p>
    <w:p>
      <w:pPr>
        <w:pStyle w:val="7"/>
        <w:tabs>
          <w:tab w:val="left" w:pos="4142"/>
          <w:tab w:val="left" w:pos="5757"/>
          <w:tab w:val="left" w:pos="8766"/>
        </w:tabs>
        <w:spacing w:before="243"/>
        <w:ind w:left="577"/>
        <w:rPr>
          <w:rFonts w:ascii="Times New Roman" w:eastAsia="Times New Roman"/>
        </w:rPr>
      </w:pPr>
      <w:r>
        <w:t>投标人</w:t>
      </w:r>
      <w:r>
        <w:rPr>
          <w:spacing w:val="-3"/>
        </w:rPr>
        <w:t>名</w:t>
      </w:r>
      <w:r>
        <w:t>称：</w:t>
      </w:r>
      <w:r>
        <w:rPr>
          <w:u w:val="single"/>
        </w:rPr>
        <w:t xml:space="preserve"> </w:t>
      </w:r>
      <w:r>
        <w:rPr>
          <w:u w:val="single"/>
        </w:rPr>
        <w:tab/>
      </w:r>
      <w:r>
        <w:tab/>
      </w:r>
      <w:r>
        <w:t>项目编号：</w:t>
      </w:r>
      <w:r>
        <w:rPr>
          <w:rFonts w:ascii="Times New Roman" w:eastAsia="Times New Roman"/>
          <w:u w:val="single"/>
        </w:rPr>
        <w:t xml:space="preserve"> </w:t>
      </w:r>
      <w:r>
        <w:rPr>
          <w:rFonts w:ascii="Times New Roman" w:eastAsia="Times New Roman"/>
          <w:u w:val="single"/>
        </w:rPr>
        <w:tab/>
      </w:r>
    </w:p>
    <w:p>
      <w:pPr>
        <w:pStyle w:val="12"/>
        <w:rPr>
          <w:rFonts w:ascii="Times New Roman"/>
          <w:sz w:val="20"/>
        </w:rPr>
      </w:pPr>
    </w:p>
    <w:p>
      <w:pPr>
        <w:pStyle w:val="12"/>
        <w:spacing w:before="3"/>
        <w:rPr>
          <w:rFonts w:ascii="Times New Roman"/>
          <w:sz w:val="10"/>
        </w:rPr>
      </w:pPr>
    </w:p>
    <w:tbl>
      <w:tblPr>
        <w:tblStyle w:val="17"/>
        <w:tblW w:w="0" w:type="auto"/>
        <w:tblInd w:w="323"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94"/>
        <w:gridCol w:w="3075"/>
        <w:gridCol w:w="2835"/>
        <w:gridCol w:w="1801"/>
        <w:gridCol w:w="14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419" w:hRule="atLeast"/>
        </w:trPr>
        <w:tc>
          <w:tcPr>
            <w:tcW w:w="694" w:type="dxa"/>
            <w:tcBorders>
              <w:bottom w:val="single" w:color="000000" w:sz="4" w:space="0"/>
              <w:right w:val="single" w:color="000000" w:sz="4" w:space="0"/>
            </w:tcBorders>
          </w:tcPr>
          <w:p>
            <w:pPr>
              <w:pStyle w:val="23"/>
              <w:rPr>
                <w:rFonts w:ascii="Times New Roman"/>
                <w:sz w:val="28"/>
              </w:rPr>
            </w:pPr>
          </w:p>
          <w:p>
            <w:pPr>
              <w:pStyle w:val="23"/>
              <w:spacing w:before="208"/>
              <w:ind w:left="78"/>
              <w:rPr>
                <w:b/>
                <w:sz w:val="28"/>
              </w:rPr>
            </w:pPr>
            <w:r>
              <w:rPr>
                <w:b/>
                <w:sz w:val="28"/>
              </w:rPr>
              <w:t>序号</w:t>
            </w:r>
          </w:p>
        </w:tc>
        <w:tc>
          <w:tcPr>
            <w:tcW w:w="3075" w:type="dxa"/>
            <w:tcBorders>
              <w:left w:val="single" w:color="000000" w:sz="4" w:space="0"/>
              <w:bottom w:val="single" w:color="000000" w:sz="4" w:space="0"/>
              <w:right w:val="single" w:color="000000" w:sz="4" w:space="0"/>
            </w:tcBorders>
          </w:tcPr>
          <w:p>
            <w:pPr>
              <w:pStyle w:val="23"/>
              <w:spacing w:before="206"/>
              <w:ind w:left="1091"/>
              <w:rPr>
                <w:b/>
                <w:sz w:val="28"/>
              </w:rPr>
            </w:pPr>
            <w:r>
              <w:rPr>
                <w:b/>
                <w:sz w:val="28"/>
              </w:rPr>
              <w:t>招标文件</w:t>
            </w:r>
          </w:p>
          <w:p>
            <w:pPr>
              <w:pStyle w:val="23"/>
              <w:spacing w:before="4"/>
              <w:rPr>
                <w:rFonts w:ascii="Times New Roman"/>
                <w:sz w:val="25"/>
              </w:rPr>
            </w:pPr>
          </w:p>
          <w:p>
            <w:pPr>
              <w:pStyle w:val="23"/>
              <w:ind w:left="1091"/>
              <w:rPr>
                <w:b/>
                <w:sz w:val="28"/>
              </w:rPr>
            </w:pPr>
            <w:r>
              <w:rPr>
                <w:b/>
                <w:sz w:val="28"/>
              </w:rPr>
              <w:t>服务需求</w:t>
            </w:r>
          </w:p>
        </w:tc>
        <w:tc>
          <w:tcPr>
            <w:tcW w:w="2835" w:type="dxa"/>
            <w:tcBorders>
              <w:left w:val="single" w:color="000000" w:sz="4" w:space="0"/>
              <w:bottom w:val="single" w:color="000000" w:sz="4" w:space="0"/>
              <w:right w:val="single" w:color="000000" w:sz="4" w:space="0"/>
            </w:tcBorders>
          </w:tcPr>
          <w:p>
            <w:pPr>
              <w:pStyle w:val="23"/>
              <w:spacing w:before="206"/>
              <w:ind w:left="130" w:right="124"/>
              <w:jc w:val="center"/>
              <w:rPr>
                <w:b/>
                <w:sz w:val="28"/>
              </w:rPr>
            </w:pPr>
            <w:r>
              <w:rPr>
                <w:b/>
                <w:sz w:val="28"/>
              </w:rPr>
              <w:t>投标文件主要服务参</w:t>
            </w:r>
          </w:p>
          <w:p>
            <w:pPr>
              <w:pStyle w:val="23"/>
              <w:spacing w:before="4"/>
              <w:rPr>
                <w:rFonts w:ascii="Times New Roman"/>
                <w:sz w:val="25"/>
              </w:rPr>
            </w:pPr>
          </w:p>
          <w:p>
            <w:pPr>
              <w:pStyle w:val="23"/>
              <w:ind w:left="4"/>
              <w:jc w:val="center"/>
              <w:rPr>
                <w:b/>
                <w:sz w:val="28"/>
              </w:rPr>
            </w:pPr>
            <w:r>
              <w:rPr>
                <w:b/>
                <w:w w:val="99"/>
                <w:sz w:val="28"/>
              </w:rPr>
              <w:t>数</w:t>
            </w:r>
          </w:p>
        </w:tc>
        <w:tc>
          <w:tcPr>
            <w:tcW w:w="1801" w:type="dxa"/>
            <w:tcBorders>
              <w:left w:val="single" w:color="000000" w:sz="4" w:space="0"/>
              <w:bottom w:val="single" w:color="000000" w:sz="4" w:space="0"/>
              <w:right w:val="single" w:color="000000" w:sz="4" w:space="0"/>
            </w:tcBorders>
          </w:tcPr>
          <w:p>
            <w:pPr>
              <w:pStyle w:val="23"/>
              <w:rPr>
                <w:rFonts w:ascii="Times New Roman"/>
                <w:sz w:val="28"/>
              </w:rPr>
            </w:pPr>
          </w:p>
          <w:p>
            <w:pPr>
              <w:pStyle w:val="23"/>
              <w:spacing w:before="208"/>
              <w:ind w:left="335"/>
              <w:rPr>
                <w:b/>
                <w:sz w:val="28"/>
              </w:rPr>
            </w:pPr>
            <w:r>
              <w:rPr>
                <w:b/>
                <w:sz w:val="28"/>
              </w:rPr>
              <w:t>偏离情况</w:t>
            </w:r>
          </w:p>
        </w:tc>
        <w:tc>
          <w:tcPr>
            <w:tcW w:w="1407" w:type="dxa"/>
            <w:tcBorders>
              <w:left w:val="single" w:color="000000" w:sz="4" w:space="0"/>
              <w:bottom w:val="single" w:color="000000" w:sz="4" w:space="0"/>
            </w:tcBorders>
          </w:tcPr>
          <w:p>
            <w:pPr>
              <w:pStyle w:val="23"/>
              <w:rPr>
                <w:rFonts w:ascii="Times New Roman"/>
                <w:sz w:val="28"/>
              </w:rPr>
            </w:pPr>
          </w:p>
          <w:p>
            <w:pPr>
              <w:pStyle w:val="23"/>
              <w:spacing w:before="208"/>
              <w:ind w:left="352"/>
              <w:rPr>
                <w:b/>
                <w:sz w:val="28"/>
              </w:rPr>
            </w:pPr>
            <w:r>
              <w:rPr>
                <w:b/>
                <w:sz w:val="28"/>
              </w:rPr>
              <w:t>说 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6"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1"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8"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1"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8"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1"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8"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0"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9"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1"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37"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8"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1"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8" w:hRule="atLeast"/>
        </w:trPr>
        <w:tc>
          <w:tcPr>
            <w:tcW w:w="694" w:type="dxa"/>
            <w:tcBorders>
              <w:top w:val="single" w:color="000000" w:sz="4" w:space="0"/>
              <w:bottom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bottom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bottom w:val="single" w:color="000000" w:sz="4" w:space="0"/>
            </w:tcBorders>
          </w:tcPr>
          <w:p>
            <w:pPr>
              <w:pStyle w:val="23"/>
              <w:rPr>
                <w:rFonts w:ascii="Times New Roman"/>
                <w:sz w:val="24"/>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0" w:hRule="atLeast"/>
        </w:trPr>
        <w:tc>
          <w:tcPr>
            <w:tcW w:w="694" w:type="dxa"/>
            <w:tcBorders>
              <w:top w:val="single" w:color="000000" w:sz="4" w:space="0"/>
              <w:right w:val="single" w:color="000000" w:sz="4" w:space="0"/>
            </w:tcBorders>
          </w:tcPr>
          <w:p>
            <w:pPr>
              <w:pStyle w:val="23"/>
              <w:rPr>
                <w:rFonts w:ascii="Times New Roman"/>
                <w:sz w:val="24"/>
              </w:rPr>
            </w:pPr>
          </w:p>
        </w:tc>
        <w:tc>
          <w:tcPr>
            <w:tcW w:w="3075" w:type="dxa"/>
            <w:tcBorders>
              <w:top w:val="single" w:color="000000" w:sz="4" w:space="0"/>
              <w:left w:val="single" w:color="000000" w:sz="4" w:space="0"/>
              <w:right w:val="single" w:color="000000" w:sz="4" w:space="0"/>
            </w:tcBorders>
          </w:tcPr>
          <w:p>
            <w:pPr>
              <w:pStyle w:val="23"/>
              <w:rPr>
                <w:rFonts w:ascii="Times New Roman"/>
                <w:sz w:val="24"/>
              </w:rPr>
            </w:pPr>
          </w:p>
        </w:tc>
        <w:tc>
          <w:tcPr>
            <w:tcW w:w="2835" w:type="dxa"/>
            <w:tcBorders>
              <w:top w:val="single" w:color="000000" w:sz="4" w:space="0"/>
              <w:left w:val="single" w:color="000000" w:sz="4" w:space="0"/>
              <w:right w:val="single" w:color="000000" w:sz="4" w:space="0"/>
            </w:tcBorders>
          </w:tcPr>
          <w:p>
            <w:pPr>
              <w:pStyle w:val="23"/>
              <w:rPr>
                <w:rFonts w:ascii="Times New Roman"/>
                <w:sz w:val="24"/>
              </w:rPr>
            </w:pPr>
          </w:p>
        </w:tc>
        <w:tc>
          <w:tcPr>
            <w:tcW w:w="1801" w:type="dxa"/>
            <w:tcBorders>
              <w:top w:val="single" w:color="000000" w:sz="4" w:space="0"/>
              <w:left w:val="single" w:color="000000" w:sz="4" w:space="0"/>
              <w:right w:val="single" w:color="000000" w:sz="4" w:space="0"/>
            </w:tcBorders>
          </w:tcPr>
          <w:p>
            <w:pPr>
              <w:pStyle w:val="23"/>
              <w:rPr>
                <w:rFonts w:ascii="Times New Roman"/>
                <w:sz w:val="24"/>
              </w:rPr>
            </w:pPr>
          </w:p>
        </w:tc>
        <w:tc>
          <w:tcPr>
            <w:tcW w:w="1407" w:type="dxa"/>
            <w:tcBorders>
              <w:top w:val="single" w:color="000000" w:sz="4" w:space="0"/>
              <w:left w:val="single" w:color="000000" w:sz="4" w:space="0"/>
            </w:tcBorders>
          </w:tcPr>
          <w:p>
            <w:pPr>
              <w:pStyle w:val="23"/>
              <w:rPr>
                <w:rFonts w:ascii="Times New Roman"/>
                <w:sz w:val="24"/>
              </w:rPr>
            </w:pPr>
          </w:p>
        </w:tc>
      </w:tr>
    </w:tbl>
    <w:p>
      <w:pPr>
        <w:pStyle w:val="8"/>
        <w:spacing w:line="312" w:lineRule="auto"/>
      </w:pPr>
      <w:r>
        <w:t>说明：请按对应</w:t>
      </w:r>
      <w:r>
        <w:rPr>
          <w:rFonts w:hint="eastAsia"/>
          <w:lang w:eastAsia="zh-CN"/>
        </w:rPr>
        <w:t>招标</w:t>
      </w:r>
      <w:r>
        <w:t>文件的“第四部分”中的服务要求认真填写本表。偏离情况填写：“优于、等于或低于”。如有优于请在说明栏写明“优于”的详细情况。如投标人承诺响应招标文件中规定的实质性要求和条件，上栏可不填写，但本页必须满足签字或盖章要求；</w:t>
      </w:r>
    </w:p>
    <w:p>
      <w:pPr>
        <w:pStyle w:val="9"/>
        <w:spacing w:line="239" w:lineRule="exact"/>
      </w:pPr>
      <w:r>
        <w:t>投标人（盖章）：</w:t>
      </w:r>
    </w:p>
    <w:p>
      <w:pPr>
        <w:pStyle w:val="9"/>
        <w:tabs>
          <w:tab w:val="left" w:pos="2377"/>
          <w:tab w:val="left" w:pos="3338"/>
          <w:tab w:val="left" w:pos="4298"/>
        </w:tabs>
        <w:spacing w:before="19" w:line="254" w:lineRule="auto"/>
        <w:ind w:right="5286"/>
      </w:pPr>
      <w:r>
        <w:t>法人代表或委托代理人（签字或盖章</w:t>
      </w:r>
      <w:r>
        <w:rPr>
          <w:spacing w:val="-9"/>
        </w:rPr>
        <w:t xml:space="preserve">）： </w:t>
      </w:r>
      <w:r>
        <w:t>日期：</w:t>
      </w:r>
      <w:r>
        <w:tab/>
      </w:r>
      <w:r>
        <w:t>年</w:t>
      </w:r>
      <w:r>
        <w:tab/>
      </w:r>
      <w:r>
        <w:t>月</w:t>
      </w:r>
      <w:r>
        <w:tab/>
      </w:r>
      <w:r>
        <w:t>日</w:t>
      </w:r>
    </w:p>
    <w:p>
      <w:pPr>
        <w:spacing w:after="0" w:line="254" w:lineRule="auto"/>
        <w:sectPr>
          <w:pgSz w:w="11910" w:h="16840"/>
          <w:pgMar w:top="1360" w:right="740" w:bottom="1080" w:left="740" w:header="880" w:footer="887" w:gutter="0"/>
        </w:sectPr>
      </w:pPr>
    </w:p>
    <w:p>
      <w:pPr>
        <w:pStyle w:val="12"/>
        <w:spacing w:before="4"/>
        <w:rPr>
          <w:sz w:val="17"/>
        </w:rPr>
      </w:pPr>
    </w:p>
    <w:p>
      <w:pPr>
        <w:pStyle w:val="6"/>
        <w:numPr>
          <w:ilvl w:val="0"/>
          <w:numId w:val="78"/>
        </w:numPr>
        <w:tabs>
          <w:tab w:val="left" w:pos="551"/>
        </w:tabs>
        <w:spacing w:before="70" w:after="0" w:line="240" w:lineRule="auto"/>
        <w:ind w:left="550" w:right="0" w:hanging="214"/>
        <w:jc w:val="left"/>
      </w:pPr>
      <w:bookmarkStart w:id="53" w:name="4.商务条款响应偏离表（格式）"/>
      <w:bookmarkEnd w:id="53"/>
      <w:bookmarkStart w:id="54" w:name="_bookmark4"/>
      <w:bookmarkEnd w:id="54"/>
      <w:bookmarkStart w:id="55" w:name="_bookmark4"/>
      <w:bookmarkEnd w:id="55"/>
      <w:r>
        <w:t>商务条款响应偏离表（格式）</w:t>
      </w:r>
    </w:p>
    <w:p>
      <w:pPr>
        <w:pStyle w:val="12"/>
        <w:spacing w:before="3"/>
        <w:rPr>
          <w:b/>
          <w:sz w:val="44"/>
        </w:rPr>
      </w:pPr>
    </w:p>
    <w:p>
      <w:pPr>
        <w:spacing w:before="0"/>
        <w:ind w:left="337" w:right="99" w:firstLine="0"/>
        <w:jc w:val="center"/>
        <w:rPr>
          <w:b/>
          <w:sz w:val="36"/>
        </w:rPr>
      </w:pPr>
      <w:r>
        <w:rPr>
          <w:b/>
          <w:sz w:val="36"/>
        </w:rPr>
        <w:t>商务条款响应偏离表</w:t>
      </w:r>
    </w:p>
    <w:p>
      <w:pPr>
        <w:pStyle w:val="12"/>
        <w:spacing w:before="5"/>
        <w:rPr>
          <w:b/>
          <w:sz w:val="44"/>
        </w:rPr>
      </w:pPr>
    </w:p>
    <w:p>
      <w:pPr>
        <w:tabs>
          <w:tab w:val="left" w:pos="5522"/>
        </w:tabs>
        <w:spacing w:before="1"/>
        <w:ind w:left="337" w:right="0" w:firstLine="0"/>
        <w:jc w:val="left"/>
        <w:rPr>
          <w:sz w:val="28"/>
        </w:rPr>
      </w:pPr>
      <w:r>
        <w:rPr>
          <w:b/>
          <w:sz w:val="28"/>
        </w:rPr>
        <w:t>项目名称：</w:t>
      </w:r>
      <w:r>
        <w:rPr>
          <w:b/>
          <w:sz w:val="28"/>
          <w:u w:val="single"/>
        </w:rPr>
        <w:t xml:space="preserve"> </w:t>
      </w:r>
      <w:r>
        <w:rPr>
          <w:b/>
          <w:sz w:val="28"/>
          <w:u w:val="single"/>
        </w:rPr>
        <w:tab/>
      </w:r>
      <w:r>
        <w:rPr>
          <w:sz w:val="28"/>
        </w:rPr>
        <w:t>（招标项目名</w:t>
      </w:r>
      <w:r>
        <w:rPr>
          <w:spacing w:val="-3"/>
          <w:sz w:val="28"/>
        </w:rPr>
        <w:t>称</w:t>
      </w:r>
      <w:r>
        <w:rPr>
          <w:sz w:val="28"/>
        </w:rPr>
        <w:t>）</w:t>
      </w:r>
    </w:p>
    <w:p>
      <w:pPr>
        <w:pStyle w:val="12"/>
        <w:rPr>
          <w:sz w:val="20"/>
        </w:rPr>
      </w:pPr>
    </w:p>
    <w:p>
      <w:pPr>
        <w:pStyle w:val="12"/>
        <w:spacing w:before="9"/>
        <w:rPr>
          <w:sz w:val="16"/>
        </w:rPr>
      </w:pPr>
    </w:p>
    <w:tbl>
      <w:tblPr>
        <w:tblStyle w:val="17"/>
        <w:tblW w:w="0" w:type="auto"/>
        <w:tblInd w:w="2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9969" w:type="dxa"/>
          </w:tcPr>
          <w:p>
            <w:pPr>
              <w:pStyle w:val="23"/>
              <w:spacing w:before="152"/>
              <w:ind w:left="2865" w:right="2854"/>
              <w:jc w:val="center"/>
              <w:rPr>
                <w:sz w:val="21"/>
              </w:rPr>
            </w:pPr>
            <w:r>
              <w:rPr>
                <w:sz w:val="21"/>
              </w:rPr>
              <w:t>招标文件中规定的实质性要求和条件响应情况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5" w:hRule="atLeast"/>
        </w:trPr>
        <w:tc>
          <w:tcPr>
            <w:tcW w:w="9969" w:type="dxa"/>
          </w:tcPr>
          <w:p>
            <w:pPr>
              <w:pStyle w:val="2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2" w:hRule="atLeast"/>
        </w:trPr>
        <w:tc>
          <w:tcPr>
            <w:tcW w:w="9969" w:type="dxa"/>
          </w:tcPr>
          <w:p>
            <w:pPr>
              <w:pStyle w:val="23"/>
              <w:spacing w:before="10"/>
              <w:rPr>
                <w:sz w:val="15"/>
              </w:rPr>
            </w:pPr>
          </w:p>
          <w:p>
            <w:pPr>
              <w:pStyle w:val="23"/>
              <w:spacing w:line="290" w:lineRule="auto"/>
              <w:ind w:left="107" w:right="76"/>
              <w:rPr>
                <w:sz w:val="21"/>
              </w:rPr>
            </w:pPr>
            <w:r>
              <w:rPr>
                <w:b/>
                <w:sz w:val="21"/>
              </w:rPr>
              <w:t>备注：</w:t>
            </w:r>
            <w:r>
              <w:rPr>
                <w:rFonts w:ascii="Times New Roman" w:eastAsia="Times New Roman"/>
                <w:sz w:val="21"/>
              </w:rPr>
              <w:t>1</w:t>
            </w:r>
            <w:r>
              <w:rPr>
                <w:sz w:val="21"/>
              </w:rPr>
              <w:t>、如投标人承诺响应招标文件中规定的实质性要求和条件，上栏可不填写，但本页必须满足签字、盖章要求；</w:t>
            </w:r>
          </w:p>
          <w:p>
            <w:pPr>
              <w:pStyle w:val="23"/>
              <w:spacing w:line="292" w:lineRule="auto"/>
              <w:ind w:left="107" w:right="91"/>
              <w:rPr>
                <w:sz w:val="21"/>
              </w:rPr>
            </w:pPr>
            <w:r>
              <w:rPr>
                <w:rFonts w:ascii="Times New Roman" w:eastAsia="Times New Roman"/>
                <w:sz w:val="21"/>
              </w:rPr>
              <w:t>2</w:t>
            </w:r>
            <w:r>
              <w:rPr>
                <w:spacing w:val="-5"/>
                <w:sz w:val="21"/>
              </w:rPr>
              <w:t>、如投标人不仅承诺招标文件中规定的实质性要求和条件，还有其他有利于采购人的承诺，则必须在上栏</w:t>
            </w:r>
            <w:r>
              <w:rPr>
                <w:spacing w:val="-4"/>
                <w:sz w:val="21"/>
              </w:rPr>
              <w:t>中予以具体说明；</w:t>
            </w:r>
          </w:p>
          <w:p>
            <w:pPr>
              <w:pStyle w:val="23"/>
              <w:spacing w:line="266" w:lineRule="exact"/>
              <w:ind w:left="107" w:right="-15"/>
              <w:rPr>
                <w:sz w:val="21"/>
              </w:rPr>
            </w:pPr>
            <w:r>
              <w:rPr>
                <w:rFonts w:ascii="Times New Roman" w:eastAsia="Times New Roman"/>
                <w:sz w:val="21"/>
              </w:rPr>
              <w:t>3</w:t>
            </w:r>
            <w:r>
              <w:rPr>
                <w:spacing w:val="-11"/>
                <w:sz w:val="21"/>
              </w:rPr>
              <w:t>、如投标人不承诺完全响应招标文件中规定的实质性要求和条件，必须对不响应部分的内容予以具体说明。</w:t>
            </w:r>
          </w:p>
        </w:tc>
      </w:tr>
    </w:tbl>
    <w:p>
      <w:pPr>
        <w:pStyle w:val="12"/>
        <w:spacing w:before="30"/>
        <w:ind w:left="758"/>
      </w:pPr>
      <w:r>
        <w:t>投标人（盖章）：</w:t>
      </w:r>
    </w:p>
    <w:p>
      <w:pPr>
        <w:pStyle w:val="12"/>
        <w:tabs>
          <w:tab w:val="left" w:pos="2123"/>
          <w:tab w:val="left" w:pos="2963"/>
          <w:tab w:val="left" w:pos="3804"/>
        </w:tabs>
        <w:spacing w:before="57" w:line="290" w:lineRule="auto"/>
        <w:ind w:left="758" w:right="5880"/>
      </w:pPr>
      <w:r>
        <w:t>法人</w:t>
      </w:r>
      <w:r>
        <w:rPr>
          <w:spacing w:val="-3"/>
        </w:rPr>
        <w:t>代</w:t>
      </w:r>
      <w:r>
        <w:t>表</w:t>
      </w:r>
      <w:r>
        <w:rPr>
          <w:spacing w:val="-3"/>
        </w:rPr>
        <w:t>或</w:t>
      </w:r>
      <w:r>
        <w:t>委</w:t>
      </w:r>
      <w:r>
        <w:rPr>
          <w:spacing w:val="-3"/>
        </w:rPr>
        <w:t>托</w:t>
      </w:r>
      <w:r>
        <w:t>代</w:t>
      </w:r>
      <w:r>
        <w:rPr>
          <w:spacing w:val="-3"/>
        </w:rPr>
        <w:t>理</w:t>
      </w:r>
      <w:r>
        <w:t>人</w:t>
      </w:r>
      <w:r>
        <w:rPr>
          <w:spacing w:val="-3"/>
        </w:rPr>
        <w:t>（</w:t>
      </w:r>
      <w:r>
        <w:t>签字</w:t>
      </w:r>
      <w:r>
        <w:rPr>
          <w:spacing w:val="-3"/>
        </w:rPr>
        <w:t>或</w:t>
      </w:r>
      <w:r>
        <w:t>盖</w:t>
      </w:r>
      <w:r>
        <w:rPr>
          <w:spacing w:val="-3"/>
        </w:rPr>
        <w:t>章</w:t>
      </w:r>
      <w:r>
        <w:rPr>
          <w:spacing w:val="-7"/>
        </w:rPr>
        <w:t xml:space="preserve">）： </w:t>
      </w:r>
      <w:r>
        <w:t>日期：</w:t>
      </w:r>
      <w:r>
        <w:tab/>
      </w:r>
      <w:r>
        <w:t>年</w:t>
      </w:r>
      <w:r>
        <w:tab/>
      </w:r>
      <w:r>
        <w:t>月</w:t>
      </w:r>
      <w:r>
        <w:tab/>
      </w:r>
      <w:r>
        <w:t>日</w:t>
      </w:r>
    </w:p>
    <w:p>
      <w:pPr>
        <w:spacing w:after="0" w:line="290" w:lineRule="auto"/>
        <w:sectPr>
          <w:pgSz w:w="11910" w:h="16840"/>
          <w:pgMar w:top="1360" w:right="740" w:bottom="1080" w:left="740" w:header="880" w:footer="887" w:gutter="0"/>
        </w:sectPr>
      </w:pPr>
    </w:p>
    <w:p>
      <w:pPr>
        <w:pStyle w:val="12"/>
        <w:rPr>
          <w:sz w:val="20"/>
        </w:rPr>
      </w:pPr>
    </w:p>
    <w:p>
      <w:pPr>
        <w:pStyle w:val="12"/>
        <w:spacing w:before="4"/>
        <w:rPr>
          <w:sz w:val="17"/>
        </w:rPr>
      </w:pPr>
    </w:p>
    <w:p>
      <w:pPr>
        <w:pStyle w:val="6"/>
        <w:numPr>
          <w:ilvl w:val="0"/>
          <w:numId w:val="78"/>
        </w:numPr>
        <w:tabs>
          <w:tab w:val="left" w:pos="551"/>
        </w:tabs>
        <w:spacing w:before="70" w:after="0" w:line="434" w:lineRule="auto"/>
        <w:ind w:left="337" w:right="388" w:firstLine="0"/>
        <w:jc w:val="center"/>
        <w:rPr>
          <w:highlight w:val="none"/>
        </w:rPr>
      </w:pPr>
      <w:bookmarkStart w:id="56" w:name="_bookmark5"/>
      <w:bookmarkEnd w:id="56"/>
      <w:bookmarkStart w:id="57" w:name="_bookmark5"/>
      <w:bookmarkEnd w:id="57"/>
      <w:bookmarkStart w:id="58" w:name="5.法定代表人资格证明书及法定代表人授权委托书（法定代表人投标时提供1、被授权人"/>
      <w:bookmarkEnd w:id="58"/>
      <w:r>
        <w:rPr>
          <w:highlight w:val="none"/>
        </w:rPr>
        <w:t>法定代表人资格证明书及法定代表人授权委托书</w:t>
      </w:r>
    </w:p>
    <w:p>
      <w:pPr>
        <w:pStyle w:val="6"/>
        <w:spacing w:after="18" w:line="320" w:lineRule="exact"/>
        <w:ind w:right="96"/>
        <w:jc w:val="center"/>
      </w:pPr>
      <w:r>
        <w:t>1、法定代表人证明书</w:t>
      </w:r>
    </w:p>
    <w:tbl>
      <w:tblPr>
        <w:tblStyle w:val="17"/>
        <w:tblW w:w="0" w:type="auto"/>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0"/>
        <w:gridCol w:w="2470"/>
        <w:gridCol w:w="2023"/>
        <w:gridCol w:w="2023"/>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0160" w:type="dxa"/>
            <w:gridSpan w:val="5"/>
          </w:tcPr>
          <w:p>
            <w:pPr>
              <w:pStyle w:val="23"/>
              <w:spacing w:before="24"/>
              <w:ind w:left="107"/>
              <w:rPr>
                <w:rFonts w:hint="eastAsia" w:eastAsia="宋体"/>
                <w:sz w:val="28"/>
                <w:lang w:eastAsia="zh-CN"/>
              </w:rPr>
            </w:pPr>
            <w:r>
              <w:rPr>
                <w:sz w:val="28"/>
              </w:rPr>
              <w:t>致：</w:t>
            </w:r>
            <w:r>
              <w:rPr>
                <w:rFonts w:hint="eastAsia"/>
                <w:sz w:val="28"/>
                <w:lang w:eastAsia="zh-CN"/>
              </w:rPr>
              <w:t>喀什铭远建设工程项目管理咨询有限公司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620" w:type="dxa"/>
          </w:tcPr>
          <w:p>
            <w:pPr>
              <w:pStyle w:val="23"/>
              <w:spacing w:before="70"/>
              <w:ind w:left="12"/>
              <w:jc w:val="center"/>
              <w:rPr>
                <w:sz w:val="28"/>
              </w:rPr>
            </w:pPr>
            <w:r>
              <w:rPr>
                <w:sz w:val="28"/>
              </w:rPr>
              <w:t>项目名称</w:t>
            </w:r>
          </w:p>
        </w:tc>
        <w:tc>
          <w:tcPr>
            <w:tcW w:w="8540" w:type="dxa"/>
            <w:gridSpan w:val="4"/>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620" w:type="dxa"/>
          </w:tcPr>
          <w:p>
            <w:pPr>
              <w:pStyle w:val="23"/>
              <w:spacing w:before="144"/>
              <w:ind w:left="12"/>
              <w:jc w:val="center"/>
              <w:rPr>
                <w:sz w:val="28"/>
              </w:rPr>
            </w:pPr>
            <w:r>
              <w:rPr>
                <w:sz w:val="28"/>
              </w:rPr>
              <w:t>项目编号</w:t>
            </w:r>
          </w:p>
        </w:tc>
        <w:tc>
          <w:tcPr>
            <w:tcW w:w="8540" w:type="dxa"/>
            <w:gridSpan w:val="4"/>
          </w:tcPr>
          <w:p>
            <w:pPr>
              <w:pStyle w:val="23"/>
              <w:tabs>
                <w:tab w:val="left" w:pos="807"/>
              </w:tabs>
              <w:spacing w:before="149"/>
              <w:ind w:left="106"/>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620" w:type="dxa"/>
          </w:tcPr>
          <w:p>
            <w:pPr>
              <w:pStyle w:val="23"/>
              <w:tabs>
                <w:tab w:val="left" w:pos="711"/>
              </w:tabs>
              <w:spacing w:before="137"/>
              <w:ind w:left="10"/>
              <w:jc w:val="center"/>
              <w:rPr>
                <w:sz w:val="28"/>
              </w:rPr>
            </w:pPr>
            <w:r>
              <w:rPr>
                <w:sz w:val="28"/>
              </w:rPr>
              <w:t>权</w:t>
            </w:r>
            <w:r>
              <w:rPr>
                <w:sz w:val="28"/>
              </w:rPr>
              <w:tab/>
            </w:r>
            <w:r>
              <w:rPr>
                <w:sz w:val="28"/>
              </w:rPr>
              <w:t>限</w:t>
            </w:r>
          </w:p>
        </w:tc>
        <w:tc>
          <w:tcPr>
            <w:tcW w:w="8540" w:type="dxa"/>
            <w:gridSpan w:val="4"/>
          </w:tcPr>
          <w:p>
            <w:pPr>
              <w:pStyle w:val="23"/>
              <w:spacing w:line="317" w:lineRule="exact"/>
              <w:ind w:left="105" w:right="-44"/>
              <w:rPr>
                <w:sz w:val="28"/>
              </w:rPr>
            </w:pPr>
            <w:r>
              <w:rPr>
                <w:spacing w:val="-15"/>
                <w:sz w:val="28"/>
              </w:rPr>
              <w:t>办理本次招标采购项目的投标、联系、洽谈、签约、执行等具体事务，</w:t>
            </w:r>
          </w:p>
          <w:p>
            <w:pPr>
              <w:pStyle w:val="23"/>
              <w:spacing w:line="304" w:lineRule="exact"/>
              <w:ind w:left="105"/>
              <w:rPr>
                <w:sz w:val="28"/>
              </w:rPr>
            </w:pPr>
            <w:r>
              <w:rPr>
                <w:sz w:val="28"/>
              </w:rPr>
              <w:t>签署全部有关文件、文书、协议及合同。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620" w:type="dxa"/>
          </w:tcPr>
          <w:p>
            <w:pPr>
              <w:pStyle w:val="23"/>
              <w:spacing w:before="39"/>
              <w:ind w:left="9"/>
              <w:jc w:val="center"/>
              <w:rPr>
                <w:sz w:val="28"/>
              </w:rPr>
            </w:pPr>
            <w:r>
              <w:rPr>
                <w:sz w:val="28"/>
              </w:rPr>
              <w:t>有效期</w:t>
            </w:r>
          </w:p>
        </w:tc>
        <w:tc>
          <w:tcPr>
            <w:tcW w:w="8540" w:type="dxa"/>
            <w:gridSpan w:val="4"/>
          </w:tcPr>
          <w:p>
            <w:pPr>
              <w:pStyle w:val="23"/>
              <w:spacing w:before="39"/>
              <w:ind w:left="105"/>
              <w:rPr>
                <w:sz w:val="28"/>
              </w:rPr>
            </w:pPr>
            <w:r>
              <w:rPr>
                <w:sz w:val="28"/>
              </w:rPr>
              <w:t>自投标截止日起不少于 90 个日历日（包含 90 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620" w:type="dxa"/>
            <w:vMerge w:val="restart"/>
          </w:tcPr>
          <w:p>
            <w:pPr>
              <w:pStyle w:val="23"/>
              <w:rPr>
                <w:b/>
                <w:sz w:val="28"/>
              </w:rPr>
            </w:pPr>
          </w:p>
          <w:p>
            <w:pPr>
              <w:pStyle w:val="23"/>
              <w:spacing w:before="188" w:line="213" w:lineRule="auto"/>
              <w:ind w:left="107" w:right="938"/>
              <w:rPr>
                <w:sz w:val="28"/>
              </w:rPr>
            </w:pPr>
            <w:r>
              <w:rPr>
                <w:sz w:val="28"/>
              </w:rPr>
              <w:t>企业信息</w:t>
            </w:r>
          </w:p>
        </w:tc>
        <w:tc>
          <w:tcPr>
            <w:tcW w:w="2470" w:type="dxa"/>
          </w:tcPr>
          <w:p>
            <w:pPr>
              <w:pStyle w:val="23"/>
              <w:spacing w:before="34"/>
              <w:ind w:left="105"/>
              <w:rPr>
                <w:sz w:val="28"/>
              </w:rPr>
            </w:pPr>
            <w:r>
              <w:rPr>
                <w:sz w:val="28"/>
              </w:rPr>
              <w:t>企 业 名 称</w:t>
            </w:r>
          </w:p>
        </w:tc>
        <w:tc>
          <w:tcPr>
            <w:tcW w:w="2023" w:type="dxa"/>
          </w:tcPr>
          <w:p>
            <w:pPr>
              <w:pStyle w:val="23"/>
              <w:rPr>
                <w:rFonts w:ascii="Times New Roman"/>
                <w:sz w:val="26"/>
              </w:rPr>
            </w:pPr>
          </w:p>
        </w:tc>
        <w:tc>
          <w:tcPr>
            <w:tcW w:w="2023" w:type="dxa"/>
          </w:tcPr>
          <w:p>
            <w:pPr>
              <w:pStyle w:val="23"/>
              <w:spacing w:line="335" w:lineRule="exact"/>
              <w:ind w:left="106"/>
              <w:rPr>
                <w:sz w:val="28"/>
              </w:rPr>
            </w:pPr>
            <w:r>
              <w:rPr>
                <w:sz w:val="28"/>
              </w:rPr>
              <w:t>法 定 地 址</w:t>
            </w:r>
          </w:p>
        </w:tc>
        <w:tc>
          <w:tcPr>
            <w:tcW w:w="2024"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620" w:type="dxa"/>
            <w:vMerge w:val="continue"/>
            <w:tcBorders>
              <w:top w:val="nil"/>
            </w:tcBorders>
          </w:tcPr>
          <w:p>
            <w:pPr>
              <w:rPr>
                <w:sz w:val="2"/>
                <w:szCs w:val="2"/>
              </w:rPr>
            </w:pPr>
          </w:p>
        </w:tc>
        <w:tc>
          <w:tcPr>
            <w:tcW w:w="2470" w:type="dxa"/>
          </w:tcPr>
          <w:p>
            <w:pPr>
              <w:pStyle w:val="23"/>
              <w:spacing w:before="29"/>
              <w:ind w:left="105"/>
              <w:rPr>
                <w:sz w:val="28"/>
              </w:rPr>
            </w:pPr>
            <w:r>
              <w:rPr>
                <w:sz w:val="28"/>
              </w:rPr>
              <w:t>营业执照注册证号</w:t>
            </w:r>
          </w:p>
        </w:tc>
        <w:tc>
          <w:tcPr>
            <w:tcW w:w="2023" w:type="dxa"/>
          </w:tcPr>
          <w:p>
            <w:pPr>
              <w:pStyle w:val="23"/>
              <w:rPr>
                <w:rFonts w:ascii="Times New Roman"/>
                <w:sz w:val="26"/>
              </w:rPr>
            </w:pPr>
          </w:p>
        </w:tc>
        <w:tc>
          <w:tcPr>
            <w:tcW w:w="2023" w:type="dxa"/>
          </w:tcPr>
          <w:p>
            <w:pPr>
              <w:pStyle w:val="23"/>
              <w:spacing w:line="335" w:lineRule="exact"/>
              <w:ind w:left="106"/>
              <w:rPr>
                <w:sz w:val="28"/>
              </w:rPr>
            </w:pPr>
            <w:r>
              <w:rPr>
                <w:sz w:val="28"/>
              </w:rPr>
              <w:t>工商登记机关</w:t>
            </w:r>
          </w:p>
        </w:tc>
        <w:tc>
          <w:tcPr>
            <w:tcW w:w="2024"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620" w:type="dxa"/>
            <w:vMerge w:val="continue"/>
            <w:tcBorders>
              <w:top w:val="nil"/>
            </w:tcBorders>
          </w:tcPr>
          <w:p>
            <w:pPr>
              <w:rPr>
                <w:sz w:val="2"/>
                <w:szCs w:val="2"/>
              </w:rPr>
            </w:pPr>
          </w:p>
        </w:tc>
        <w:tc>
          <w:tcPr>
            <w:tcW w:w="2470" w:type="dxa"/>
          </w:tcPr>
          <w:p>
            <w:pPr>
              <w:pStyle w:val="23"/>
              <w:spacing w:before="19"/>
              <w:ind w:left="105"/>
              <w:rPr>
                <w:sz w:val="28"/>
              </w:rPr>
            </w:pPr>
            <w:r>
              <w:rPr>
                <w:sz w:val="28"/>
              </w:rPr>
              <w:t>成立时间</w:t>
            </w:r>
          </w:p>
        </w:tc>
        <w:tc>
          <w:tcPr>
            <w:tcW w:w="2023" w:type="dxa"/>
          </w:tcPr>
          <w:p>
            <w:pPr>
              <w:pStyle w:val="23"/>
              <w:rPr>
                <w:rFonts w:ascii="Times New Roman"/>
                <w:sz w:val="26"/>
              </w:rPr>
            </w:pPr>
          </w:p>
        </w:tc>
        <w:tc>
          <w:tcPr>
            <w:tcW w:w="2023" w:type="dxa"/>
          </w:tcPr>
          <w:p>
            <w:pPr>
              <w:pStyle w:val="23"/>
              <w:spacing w:line="335" w:lineRule="exact"/>
              <w:ind w:left="106"/>
              <w:rPr>
                <w:sz w:val="28"/>
              </w:rPr>
            </w:pPr>
            <w:r>
              <w:rPr>
                <w:sz w:val="28"/>
              </w:rPr>
              <w:t>经营期限</w:t>
            </w:r>
          </w:p>
        </w:tc>
        <w:tc>
          <w:tcPr>
            <w:tcW w:w="2024"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620" w:type="dxa"/>
            <w:vMerge w:val="continue"/>
            <w:tcBorders>
              <w:top w:val="nil"/>
            </w:tcBorders>
          </w:tcPr>
          <w:p>
            <w:pPr>
              <w:rPr>
                <w:sz w:val="2"/>
                <w:szCs w:val="2"/>
              </w:rPr>
            </w:pPr>
          </w:p>
        </w:tc>
        <w:tc>
          <w:tcPr>
            <w:tcW w:w="2470" w:type="dxa"/>
          </w:tcPr>
          <w:p>
            <w:pPr>
              <w:pStyle w:val="23"/>
              <w:spacing w:before="29"/>
              <w:ind w:left="105"/>
              <w:rPr>
                <w:sz w:val="28"/>
              </w:rPr>
            </w:pPr>
            <w:r>
              <w:rPr>
                <w:sz w:val="28"/>
              </w:rPr>
              <w:t>单位性质</w:t>
            </w:r>
          </w:p>
        </w:tc>
        <w:tc>
          <w:tcPr>
            <w:tcW w:w="2023" w:type="dxa"/>
          </w:tcPr>
          <w:p>
            <w:pPr>
              <w:pStyle w:val="23"/>
              <w:rPr>
                <w:rFonts w:ascii="Times New Roman"/>
                <w:sz w:val="26"/>
              </w:rPr>
            </w:pPr>
          </w:p>
        </w:tc>
        <w:tc>
          <w:tcPr>
            <w:tcW w:w="2023" w:type="dxa"/>
          </w:tcPr>
          <w:p>
            <w:pPr>
              <w:pStyle w:val="23"/>
              <w:tabs>
                <w:tab w:val="left" w:pos="948"/>
              </w:tabs>
              <w:spacing w:line="338" w:lineRule="exact"/>
              <w:ind w:left="106"/>
              <w:rPr>
                <w:sz w:val="28"/>
              </w:rPr>
            </w:pPr>
            <w:r>
              <w:rPr>
                <w:sz w:val="28"/>
              </w:rPr>
              <w:t>网</w:t>
            </w:r>
            <w:r>
              <w:rPr>
                <w:sz w:val="28"/>
              </w:rPr>
              <w:tab/>
            </w:r>
            <w:r>
              <w:rPr>
                <w:sz w:val="28"/>
              </w:rPr>
              <w:t>址</w:t>
            </w:r>
          </w:p>
        </w:tc>
        <w:tc>
          <w:tcPr>
            <w:tcW w:w="2024"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620" w:type="dxa"/>
            <w:vMerge w:val="restart"/>
          </w:tcPr>
          <w:p>
            <w:pPr>
              <w:pStyle w:val="23"/>
              <w:spacing w:before="5"/>
              <w:rPr>
                <w:b/>
                <w:sz w:val="23"/>
              </w:rPr>
            </w:pPr>
          </w:p>
          <w:p>
            <w:pPr>
              <w:pStyle w:val="23"/>
              <w:spacing w:line="216" w:lineRule="auto"/>
              <w:ind w:left="107" w:right="657"/>
              <w:rPr>
                <w:sz w:val="28"/>
              </w:rPr>
            </w:pPr>
            <w:r>
              <w:rPr>
                <w:sz w:val="28"/>
              </w:rPr>
              <w:t>法定代表人</w:t>
            </w:r>
          </w:p>
        </w:tc>
        <w:tc>
          <w:tcPr>
            <w:tcW w:w="2470" w:type="dxa"/>
          </w:tcPr>
          <w:p>
            <w:pPr>
              <w:pStyle w:val="23"/>
              <w:tabs>
                <w:tab w:val="left" w:pos="948"/>
              </w:tabs>
              <w:spacing w:before="20"/>
              <w:ind w:left="105"/>
              <w:rPr>
                <w:sz w:val="28"/>
              </w:rPr>
            </w:pPr>
            <w:r>
              <w:rPr>
                <w:sz w:val="28"/>
              </w:rPr>
              <w:t>姓</w:t>
            </w:r>
            <w:r>
              <w:rPr>
                <w:sz w:val="28"/>
              </w:rPr>
              <w:tab/>
            </w:r>
            <w:r>
              <w:rPr>
                <w:sz w:val="28"/>
              </w:rPr>
              <w:t>名</w:t>
            </w:r>
          </w:p>
        </w:tc>
        <w:tc>
          <w:tcPr>
            <w:tcW w:w="2023" w:type="dxa"/>
          </w:tcPr>
          <w:p>
            <w:pPr>
              <w:pStyle w:val="23"/>
              <w:rPr>
                <w:rFonts w:ascii="Times New Roman"/>
                <w:sz w:val="26"/>
              </w:rPr>
            </w:pPr>
          </w:p>
        </w:tc>
        <w:tc>
          <w:tcPr>
            <w:tcW w:w="2023" w:type="dxa"/>
            <w:tcBorders>
              <w:right w:val="single" w:color="000000" w:sz="6" w:space="0"/>
            </w:tcBorders>
          </w:tcPr>
          <w:p>
            <w:pPr>
              <w:pStyle w:val="23"/>
              <w:tabs>
                <w:tab w:val="left" w:pos="948"/>
              </w:tabs>
              <w:spacing w:before="20"/>
              <w:ind w:left="106"/>
              <w:rPr>
                <w:sz w:val="28"/>
              </w:rPr>
            </w:pPr>
            <w:r>
              <w:rPr>
                <w:sz w:val="28"/>
              </w:rPr>
              <w:t>性</w:t>
            </w:r>
            <w:r>
              <w:rPr>
                <w:sz w:val="28"/>
              </w:rPr>
              <w:tab/>
            </w:r>
            <w:r>
              <w:rPr>
                <w:sz w:val="28"/>
              </w:rPr>
              <w:t>别</w:t>
            </w:r>
          </w:p>
        </w:tc>
        <w:tc>
          <w:tcPr>
            <w:tcW w:w="2024" w:type="dxa"/>
            <w:tcBorders>
              <w:left w:val="single" w:color="000000" w:sz="6" w:space="0"/>
            </w:tcBorders>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620" w:type="dxa"/>
            <w:vMerge w:val="continue"/>
            <w:tcBorders>
              <w:top w:val="nil"/>
            </w:tcBorders>
          </w:tcPr>
          <w:p>
            <w:pPr>
              <w:rPr>
                <w:sz w:val="2"/>
                <w:szCs w:val="2"/>
              </w:rPr>
            </w:pPr>
          </w:p>
        </w:tc>
        <w:tc>
          <w:tcPr>
            <w:tcW w:w="2470" w:type="dxa"/>
          </w:tcPr>
          <w:p>
            <w:pPr>
              <w:pStyle w:val="23"/>
              <w:tabs>
                <w:tab w:val="left" w:pos="948"/>
              </w:tabs>
              <w:spacing w:before="24"/>
              <w:ind w:left="105"/>
              <w:rPr>
                <w:sz w:val="28"/>
              </w:rPr>
            </w:pPr>
            <w:r>
              <w:rPr>
                <w:sz w:val="28"/>
              </w:rPr>
              <w:t>职</w:t>
            </w:r>
            <w:r>
              <w:rPr>
                <w:sz w:val="28"/>
              </w:rPr>
              <w:tab/>
            </w:r>
            <w:r>
              <w:rPr>
                <w:sz w:val="28"/>
              </w:rPr>
              <w:t>务</w:t>
            </w:r>
          </w:p>
        </w:tc>
        <w:tc>
          <w:tcPr>
            <w:tcW w:w="2023" w:type="dxa"/>
          </w:tcPr>
          <w:p>
            <w:pPr>
              <w:pStyle w:val="23"/>
              <w:rPr>
                <w:rFonts w:ascii="Times New Roman"/>
                <w:sz w:val="26"/>
              </w:rPr>
            </w:pPr>
          </w:p>
        </w:tc>
        <w:tc>
          <w:tcPr>
            <w:tcW w:w="2023" w:type="dxa"/>
            <w:tcBorders>
              <w:right w:val="single" w:color="000000" w:sz="6" w:space="0"/>
            </w:tcBorders>
          </w:tcPr>
          <w:p>
            <w:pPr>
              <w:pStyle w:val="23"/>
              <w:spacing w:before="24"/>
              <w:ind w:left="106"/>
              <w:rPr>
                <w:sz w:val="28"/>
              </w:rPr>
            </w:pPr>
            <w:r>
              <w:rPr>
                <w:sz w:val="28"/>
              </w:rPr>
              <w:t>联系电话</w:t>
            </w:r>
          </w:p>
        </w:tc>
        <w:tc>
          <w:tcPr>
            <w:tcW w:w="2024" w:type="dxa"/>
            <w:tcBorders>
              <w:left w:val="single" w:color="000000" w:sz="6" w:space="0"/>
            </w:tcBorders>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620" w:type="dxa"/>
            <w:vMerge w:val="continue"/>
            <w:tcBorders>
              <w:top w:val="nil"/>
            </w:tcBorders>
          </w:tcPr>
          <w:p>
            <w:pPr>
              <w:rPr>
                <w:sz w:val="2"/>
                <w:szCs w:val="2"/>
              </w:rPr>
            </w:pPr>
          </w:p>
        </w:tc>
        <w:tc>
          <w:tcPr>
            <w:tcW w:w="2470" w:type="dxa"/>
          </w:tcPr>
          <w:p>
            <w:pPr>
              <w:pStyle w:val="23"/>
              <w:tabs>
                <w:tab w:val="left" w:pos="948"/>
              </w:tabs>
              <w:spacing w:before="12" w:line="358" w:lineRule="exact"/>
              <w:ind w:left="105"/>
              <w:rPr>
                <w:sz w:val="28"/>
              </w:rPr>
            </w:pPr>
            <w:r>
              <w:rPr>
                <w:sz w:val="28"/>
              </w:rPr>
              <w:t>传</w:t>
            </w:r>
            <w:r>
              <w:rPr>
                <w:sz w:val="28"/>
              </w:rPr>
              <w:tab/>
            </w:r>
            <w:r>
              <w:rPr>
                <w:sz w:val="28"/>
              </w:rPr>
              <w:t>真</w:t>
            </w:r>
          </w:p>
        </w:tc>
        <w:tc>
          <w:tcPr>
            <w:tcW w:w="2023" w:type="dxa"/>
          </w:tcPr>
          <w:p>
            <w:pPr>
              <w:pStyle w:val="23"/>
              <w:rPr>
                <w:rFonts w:ascii="Times New Roman"/>
                <w:sz w:val="26"/>
              </w:rPr>
            </w:pPr>
          </w:p>
        </w:tc>
        <w:tc>
          <w:tcPr>
            <w:tcW w:w="2023" w:type="dxa"/>
          </w:tcPr>
          <w:p>
            <w:pPr>
              <w:pStyle w:val="23"/>
              <w:spacing w:line="335" w:lineRule="exact"/>
              <w:ind w:left="106"/>
              <w:rPr>
                <w:sz w:val="28"/>
              </w:rPr>
            </w:pPr>
            <w:r>
              <w:rPr>
                <w:sz w:val="28"/>
              </w:rPr>
              <w:t>通讯地址</w:t>
            </w:r>
          </w:p>
        </w:tc>
        <w:tc>
          <w:tcPr>
            <w:tcW w:w="2024"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1" w:hRule="atLeast"/>
        </w:trPr>
        <w:tc>
          <w:tcPr>
            <w:tcW w:w="10160" w:type="dxa"/>
            <w:gridSpan w:val="5"/>
          </w:tcPr>
          <w:p>
            <w:pPr>
              <w:pStyle w:val="23"/>
              <w:spacing w:before="1"/>
              <w:rPr>
                <w:b/>
                <w:sz w:val="23"/>
              </w:rPr>
            </w:pPr>
          </w:p>
          <w:p>
            <w:pPr>
              <w:pStyle w:val="23"/>
              <w:spacing w:line="429" w:lineRule="auto"/>
              <w:ind w:left="107" w:right="6958"/>
              <w:rPr>
                <w:sz w:val="28"/>
              </w:rPr>
            </w:pPr>
            <w:r>
              <w:rPr>
                <w:sz w:val="28"/>
              </w:rPr>
              <w:t>法定代表人身份证复印件二代身份证正、反两面</w:t>
            </w:r>
          </w:p>
        </w:tc>
      </w:tr>
    </w:tbl>
    <w:p>
      <w:pPr>
        <w:pStyle w:val="12"/>
        <w:spacing w:before="1"/>
        <w:rPr>
          <w:b/>
          <w:sz w:val="23"/>
        </w:rPr>
      </w:pPr>
    </w:p>
    <w:p>
      <w:pPr>
        <w:pStyle w:val="7"/>
        <w:tabs>
          <w:tab w:val="left" w:pos="5380"/>
        </w:tabs>
        <w:spacing w:line="297" w:lineRule="auto"/>
        <w:ind w:left="337" w:right="2523"/>
        <w:sectPr>
          <w:pgSz w:w="11910" w:h="16840"/>
          <w:pgMar w:top="1360" w:right="740" w:bottom="1080" w:left="740" w:header="880" w:footer="887" w:gutter="0"/>
        </w:sectPr>
      </w:pPr>
      <w:r>
        <w:t>投标人</w:t>
      </w:r>
      <w:r>
        <w:rPr>
          <w:spacing w:val="-3"/>
        </w:rPr>
        <w:t>名</w:t>
      </w:r>
      <w:r>
        <w:t>称：</w:t>
      </w:r>
      <w:r>
        <w:tab/>
      </w:r>
      <w:r>
        <w:t>（投</w:t>
      </w:r>
      <w:r>
        <w:rPr>
          <w:spacing w:val="-3"/>
        </w:rPr>
        <w:t>标</w:t>
      </w:r>
      <w:r>
        <w:t>人单</w:t>
      </w:r>
      <w:r>
        <w:rPr>
          <w:spacing w:val="-3"/>
        </w:rPr>
        <w:t>位公</w:t>
      </w:r>
      <w:r>
        <w:t>章</w:t>
      </w:r>
      <w:r>
        <w:rPr>
          <w:spacing w:val="-15"/>
        </w:rPr>
        <w:t xml:space="preserve">） </w:t>
      </w:r>
      <w:r>
        <w:t>日</w:t>
      </w:r>
      <w:r>
        <w:rPr>
          <w:spacing w:val="2"/>
        </w:rPr>
        <w:t xml:space="preserve"> </w:t>
      </w:r>
      <w:r>
        <w:rPr>
          <w:spacing w:val="-3"/>
        </w:rPr>
        <w:t>期：</w:t>
      </w:r>
    </w:p>
    <w:p>
      <w:pPr>
        <w:pStyle w:val="12"/>
        <w:spacing w:before="8"/>
        <w:rPr>
          <w:sz w:val="26"/>
        </w:rPr>
      </w:pPr>
    </w:p>
    <w:p>
      <w:pPr>
        <w:pStyle w:val="6"/>
        <w:spacing w:before="61" w:after="15"/>
        <w:ind w:right="96"/>
        <w:jc w:val="center"/>
      </w:pPr>
      <w:r>
        <w:t>2、法定代表人授权书</w:t>
      </w:r>
    </w:p>
    <w:tbl>
      <w:tblPr>
        <w:tblStyle w:val="17"/>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4"/>
        <w:gridCol w:w="1695"/>
        <w:gridCol w:w="1702"/>
        <w:gridCol w:w="650"/>
        <w:gridCol w:w="1560"/>
        <w:gridCol w:w="2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196" w:type="dxa"/>
            <w:gridSpan w:val="6"/>
          </w:tcPr>
          <w:p>
            <w:pPr>
              <w:pStyle w:val="23"/>
              <w:spacing w:before="124" w:line="357" w:lineRule="exact"/>
              <w:ind w:left="107"/>
              <w:rPr>
                <w:sz w:val="28"/>
              </w:rPr>
            </w:pPr>
            <w:r>
              <w:rPr>
                <w:sz w:val="28"/>
              </w:rPr>
              <w:t>致：</w:t>
            </w:r>
            <w:r>
              <w:rPr>
                <w:rFonts w:hint="eastAsia"/>
                <w:sz w:val="28"/>
                <w:lang w:eastAsia="zh-CN"/>
              </w:rPr>
              <w:t>喀什铭远建设工程项目管理咨询有限公司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704" w:type="dxa"/>
            <w:vMerge w:val="restart"/>
          </w:tcPr>
          <w:p>
            <w:pPr>
              <w:pStyle w:val="23"/>
              <w:rPr>
                <w:b/>
                <w:sz w:val="28"/>
              </w:rPr>
            </w:pPr>
          </w:p>
          <w:p>
            <w:pPr>
              <w:pStyle w:val="23"/>
              <w:rPr>
                <w:b/>
                <w:sz w:val="28"/>
              </w:rPr>
            </w:pPr>
          </w:p>
          <w:p>
            <w:pPr>
              <w:pStyle w:val="23"/>
              <w:spacing w:before="5"/>
              <w:rPr>
                <w:b/>
                <w:sz w:val="25"/>
              </w:rPr>
            </w:pPr>
          </w:p>
          <w:p>
            <w:pPr>
              <w:pStyle w:val="23"/>
              <w:spacing w:line="333" w:lineRule="auto"/>
              <w:ind w:left="571" w:right="558"/>
              <w:jc w:val="both"/>
              <w:rPr>
                <w:sz w:val="28"/>
              </w:rPr>
            </w:pPr>
            <w:r>
              <w:rPr>
                <w:sz w:val="28"/>
              </w:rPr>
              <w:t>被授权项目与内容</w:t>
            </w:r>
          </w:p>
        </w:tc>
        <w:tc>
          <w:tcPr>
            <w:tcW w:w="1695" w:type="dxa"/>
          </w:tcPr>
          <w:p>
            <w:pPr>
              <w:pStyle w:val="23"/>
              <w:spacing w:before="124" w:line="355" w:lineRule="exact"/>
              <w:ind w:left="105"/>
              <w:rPr>
                <w:sz w:val="28"/>
              </w:rPr>
            </w:pPr>
            <w:r>
              <w:rPr>
                <w:sz w:val="28"/>
              </w:rPr>
              <w:t>项目名称</w:t>
            </w:r>
          </w:p>
        </w:tc>
        <w:tc>
          <w:tcPr>
            <w:tcW w:w="6797" w:type="dxa"/>
            <w:gridSpan w:val="4"/>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704" w:type="dxa"/>
            <w:vMerge w:val="continue"/>
            <w:tcBorders>
              <w:top w:val="nil"/>
            </w:tcBorders>
          </w:tcPr>
          <w:p>
            <w:pPr>
              <w:rPr>
                <w:sz w:val="2"/>
                <w:szCs w:val="2"/>
              </w:rPr>
            </w:pPr>
          </w:p>
        </w:tc>
        <w:tc>
          <w:tcPr>
            <w:tcW w:w="1695" w:type="dxa"/>
          </w:tcPr>
          <w:p>
            <w:pPr>
              <w:pStyle w:val="23"/>
              <w:spacing w:before="124" w:line="357" w:lineRule="exact"/>
              <w:ind w:left="105"/>
              <w:rPr>
                <w:sz w:val="28"/>
              </w:rPr>
            </w:pPr>
            <w:r>
              <w:rPr>
                <w:sz w:val="28"/>
              </w:rPr>
              <w:t>项目编号</w:t>
            </w:r>
          </w:p>
        </w:tc>
        <w:tc>
          <w:tcPr>
            <w:tcW w:w="6797" w:type="dxa"/>
            <w:gridSpan w:val="4"/>
          </w:tcPr>
          <w:p>
            <w:pPr>
              <w:pStyle w:val="23"/>
              <w:tabs>
                <w:tab w:val="left" w:pos="810"/>
              </w:tabs>
              <w:spacing w:before="124" w:line="357" w:lineRule="exact"/>
              <w:ind w:left="108"/>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704" w:type="dxa"/>
            <w:vMerge w:val="continue"/>
            <w:tcBorders>
              <w:top w:val="nil"/>
            </w:tcBorders>
          </w:tcPr>
          <w:p>
            <w:pPr>
              <w:rPr>
                <w:sz w:val="2"/>
                <w:szCs w:val="2"/>
              </w:rPr>
            </w:pPr>
          </w:p>
        </w:tc>
        <w:tc>
          <w:tcPr>
            <w:tcW w:w="1695" w:type="dxa"/>
          </w:tcPr>
          <w:p>
            <w:pPr>
              <w:pStyle w:val="23"/>
              <w:rPr>
                <w:b/>
                <w:sz w:val="37"/>
              </w:rPr>
            </w:pPr>
          </w:p>
          <w:p>
            <w:pPr>
              <w:pStyle w:val="23"/>
              <w:ind w:left="283"/>
              <w:rPr>
                <w:sz w:val="28"/>
              </w:rPr>
            </w:pPr>
            <w:r>
              <w:rPr>
                <w:sz w:val="28"/>
              </w:rPr>
              <w:t>授权范围</w:t>
            </w:r>
          </w:p>
        </w:tc>
        <w:tc>
          <w:tcPr>
            <w:tcW w:w="6797" w:type="dxa"/>
            <w:gridSpan w:val="4"/>
          </w:tcPr>
          <w:p>
            <w:pPr>
              <w:pStyle w:val="23"/>
              <w:spacing w:before="42" w:line="266" w:lineRule="auto"/>
              <w:ind w:left="108" w:right="-58"/>
              <w:rPr>
                <w:sz w:val="28"/>
              </w:rPr>
            </w:pPr>
            <w:r>
              <w:rPr>
                <w:spacing w:val="-18"/>
                <w:sz w:val="28"/>
              </w:rPr>
              <w:t>全权办理本次招标采购项目的投标、联系、洽谈、签约、</w:t>
            </w:r>
            <w:r>
              <w:rPr>
                <w:spacing w:val="-16"/>
                <w:sz w:val="28"/>
              </w:rPr>
              <w:t>执行等具体事务，签署全部有关文件、文书、协议及合</w:t>
            </w:r>
          </w:p>
          <w:p>
            <w:pPr>
              <w:pStyle w:val="23"/>
              <w:spacing w:before="3" w:line="338" w:lineRule="exact"/>
              <w:ind w:left="108"/>
              <w:rPr>
                <w:sz w:val="28"/>
              </w:rPr>
            </w:pPr>
            <w:r>
              <w:rPr>
                <w:sz w:val="28"/>
              </w:rPr>
              <w:t>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704" w:type="dxa"/>
            <w:vMerge w:val="continue"/>
            <w:tcBorders>
              <w:top w:val="nil"/>
            </w:tcBorders>
          </w:tcPr>
          <w:p>
            <w:pPr>
              <w:rPr>
                <w:sz w:val="2"/>
                <w:szCs w:val="2"/>
              </w:rPr>
            </w:pPr>
          </w:p>
        </w:tc>
        <w:tc>
          <w:tcPr>
            <w:tcW w:w="1695" w:type="dxa"/>
          </w:tcPr>
          <w:p>
            <w:pPr>
              <w:pStyle w:val="23"/>
              <w:spacing w:before="124"/>
              <w:ind w:left="105"/>
              <w:rPr>
                <w:sz w:val="28"/>
              </w:rPr>
            </w:pPr>
            <w:r>
              <w:rPr>
                <w:sz w:val="28"/>
              </w:rPr>
              <w:t>法律责任</w:t>
            </w:r>
          </w:p>
        </w:tc>
        <w:tc>
          <w:tcPr>
            <w:tcW w:w="6797" w:type="dxa"/>
            <w:gridSpan w:val="4"/>
          </w:tcPr>
          <w:p>
            <w:pPr>
              <w:pStyle w:val="23"/>
              <w:spacing w:line="402" w:lineRule="exact"/>
              <w:ind w:left="108" w:right="234"/>
              <w:rPr>
                <w:sz w:val="28"/>
              </w:rPr>
            </w:pPr>
            <w:r>
              <w:rPr>
                <w:sz w:val="28"/>
              </w:rPr>
              <w:t>本公司对被授权人在本项目中的签名承担全部法律责任。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1704" w:type="dxa"/>
            <w:vMerge w:val="continue"/>
            <w:tcBorders>
              <w:top w:val="nil"/>
            </w:tcBorders>
          </w:tcPr>
          <w:p>
            <w:pPr>
              <w:rPr>
                <w:sz w:val="2"/>
                <w:szCs w:val="2"/>
              </w:rPr>
            </w:pPr>
          </w:p>
        </w:tc>
        <w:tc>
          <w:tcPr>
            <w:tcW w:w="1695" w:type="dxa"/>
          </w:tcPr>
          <w:p>
            <w:pPr>
              <w:pStyle w:val="23"/>
              <w:spacing w:before="1"/>
              <w:rPr>
                <w:b/>
                <w:sz w:val="21"/>
              </w:rPr>
            </w:pPr>
          </w:p>
          <w:p>
            <w:pPr>
              <w:pStyle w:val="23"/>
              <w:ind w:left="105"/>
              <w:rPr>
                <w:sz w:val="28"/>
              </w:rPr>
            </w:pPr>
            <w:r>
              <w:rPr>
                <w:sz w:val="28"/>
              </w:rPr>
              <w:t>授权期限</w:t>
            </w:r>
          </w:p>
        </w:tc>
        <w:tc>
          <w:tcPr>
            <w:tcW w:w="6797" w:type="dxa"/>
            <w:gridSpan w:val="4"/>
          </w:tcPr>
          <w:p>
            <w:pPr>
              <w:pStyle w:val="23"/>
              <w:spacing w:before="37"/>
              <w:ind w:left="108"/>
              <w:rPr>
                <w:sz w:val="28"/>
              </w:rPr>
            </w:pPr>
            <w:r>
              <w:rPr>
                <w:sz w:val="28"/>
              </w:rPr>
              <w:t>本授权书自投标截止日起不少于90个日历日（包含90</w:t>
            </w:r>
          </w:p>
          <w:p>
            <w:pPr>
              <w:pStyle w:val="23"/>
              <w:spacing w:before="42" w:line="338" w:lineRule="exact"/>
              <w:ind w:left="108"/>
              <w:rPr>
                <w:sz w:val="28"/>
              </w:rPr>
            </w:pPr>
            <w:r>
              <w:rPr>
                <w:sz w:val="28"/>
              </w:rPr>
              <w:t>个日历日）。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704" w:type="dxa"/>
            <w:vMerge w:val="restart"/>
          </w:tcPr>
          <w:p>
            <w:pPr>
              <w:pStyle w:val="23"/>
              <w:rPr>
                <w:b/>
                <w:sz w:val="28"/>
              </w:rPr>
            </w:pPr>
          </w:p>
          <w:p>
            <w:pPr>
              <w:pStyle w:val="23"/>
              <w:spacing w:before="4"/>
              <w:rPr>
                <w:b/>
                <w:sz w:val="21"/>
              </w:rPr>
            </w:pPr>
          </w:p>
          <w:p>
            <w:pPr>
              <w:pStyle w:val="23"/>
              <w:spacing w:before="1"/>
              <w:ind w:left="107"/>
              <w:rPr>
                <w:sz w:val="28"/>
              </w:rPr>
            </w:pPr>
            <w:r>
              <w:rPr>
                <w:sz w:val="28"/>
              </w:rPr>
              <w:t>法定代表人</w:t>
            </w:r>
          </w:p>
        </w:tc>
        <w:tc>
          <w:tcPr>
            <w:tcW w:w="1695" w:type="dxa"/>
          </w:tcPr>
          <w:p>
            <w:pPr>
              <w:pStyle w:val="23"/>
              <w:spacing w:before="124" w:line="355" w:lineRule="exact"/>
              <w:ind w:left="564"/>
              <w:rPr>
                <w:sz w:val="28"/>
              </w:rPr>
            </w:pPr>
            <w:r>
              <w:rPr>
                <w:sz w:val="28"/>
              </w:rPr>
              <w:t>姓名</w:t>
            </w:r>
          </w:p>
        </w:tc>
        <w:tc>
          <w:tcPr>
            <w:tcW w:w="2352" w:type="dxa"/>
            <w:gridSpan w:val="2"/>
          </w:tcPr>
          <w:p>
            <w:pPr>
              <w:pStyle w:val="23"/>
              <w:rPr>
                <w:rFonts w:ascii="Times New Roman"/>
                <w:sz w:val="26"/>
              </w:rPr>
            </w:pPr>
          </w:p>
        </w:tc>
        <w:tc>
          <w:tcPr>
            <w:tcW w:w="1560" w:type="dxa"/>
          </w:tcPr>
          <w:p>
            <w:pPr>
              <w:pStyle w:val="23"/>
              <w:tabs>
                <w:tab w:val="left" w:pos="1061"/>
              </w:tabs>
              <w:spacing w:before="124" w:line="355" w:lineRule="exact"/>
              <w:ind w:left="219"/>
              <w:rPr>
                <w:sz w:val="28"/>
              </w:rPr>
            </w:pPr>
            <w:r>
              <w:rPr>
                <w:sz w:val="28"/>
              </w:rPr>
              <w:t>性</w:t>
            </w:r>
            <w:r>
              <w:rPr>
                <w:sz w:val="28"/>
              </w:rPr>
              <w:tab/>
            </w:r>
            <w:r>
              <w:rPr>
                <w:sz w:val="28"/>
              </w:rPr>
              <w:t>别</w:t>
            </w:r>
          </w:p>
        </w:tc>
        <w:tc>
          <w:tcPr>
            <w:tcW w:w="2885"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704" w:type="dxa"/>
            <w:vMerge w:val="continue"/>
            <w:tcBorders>
              <w:top w:val="nil"/>
            </w:tcBorders>
          </w:tcPr>
          <w:p>
            <w:pPr>
              <w:rPr>
                <w:sz w:val="2"/>
                <w:szCs w:val="2"/>
              </w:rPr>
            </w:pPr>
          </w:p>
        </w:tc>
        <w:tc>
          <w:tcPr>
            <w:tcW w:w="1695" w:type="dxa"/>
          </w:tcPr>
          <w:p>
            <w:pPr>
              <w:pStyle w:val="23"/>
              <w:spacing w:before="124" w:line="357" w:lineRule="exact"/>
              <w:ind w:left="564"/>
              <w:rPr>
                <w:sz w:val="28"/>
              </w:rPr>
            </w:pPr>
            <w:r>
              <w:rPr>
                <w:sz w:val="28"/>
              </w:rPr>
              <w:t>职务</w:t>
            </w:r>
          </w:p>
        </w:tc>
        <w:tc>
          <w:tcPr>
            <w:tcW w:w="2352" w:type="dxa"/>
            <w:gridSpan w:val="2"/>
          </w:tcPr>
          <w:p>
            <w:pPr>
              <w:pStyle w:val="23"/>
              <w:rPr>
                <w:rFonts w:ascii="Times New Roman"/>
                <w:sz w:val="26"/>
              </w:rPr>
            </w:pPr>
          </w:p>
        </w:tc>
        <w:tc>
          <w:tcPr>
            <w:tcW w:w="1560" w:type="dxa"/>
          </w:tcPr>
          <w:p>
            <w:pPr>
              <w:pStyle w:val="23"/>
              <w:spacing w:before="92"/>
              <w:ind w:left="219"/>
              <w:rPr>
                <w:sz w:val="28"/>
              </w:rPr>
            </w:pPr>
            <w:r>
              <w:rPr>
                <w:sz w:val="28"/>
              </w:rPr>
              <w:t>手机号码</w:t>
            </w:r>
          </w:p>
        </w:tc>
        <w:tc>
          <w:tcPr>
            <w:tcW w:w="2885"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704" w:type="dxa"/>
            <w:vMerge w:val="continue"/>
            <w:tcBorders>
              <w:top w:val="nil"/>
            </w:tcBorders>
          </w:tcPr>
          <w:p>
            <w:pPr>
              <w:rPr>
                <w:sz w:val="2"/>
                <w:szCs w:val="2"/>
              </w:rPr>
            </w:pPr>
          </w:p>
        </w:tc>
        <w:tc>
          <w:tcPr>
            <w:tcW w:w="1695" w:type="dxa"/>
          </w:tcPr>
          <w:p>
            <w:pPr>
              <w:pStyle w:val="23"/>
              <w:spacing w:before="124" w:line="355" w:lineRule="exact"/>
              <w:ind w:left="144"/>
              <w:rPr>
                <w:sz w:val="28"/>
              </w:rPr>
            </w:pPr>
            <w:r>
              <w:rPr>
                <w:sz w:val="28"/>
              </w:rPr>
              <w:t>身份证号码</w:t>
            </w:r>
          </w:p>
        </w:tc>
        <w:tc>
          <w:tcPr>
            <w:tcW w:w="6797" w:type="dxa"/>
            <w:gridSpan w:val="4"/>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704" w:type="dxa"/>
            <w:vMerge w:val="restart"/>
          </w:tcPr>
          <w:p>
            <w:pPr>
              <w:pStyle w:val="23"/>
              <w:rPr>
                <w:b/>
                <w:sz w:val="28"/>
              </w:rPr>
            </w:pPr>
          </w:p>
          <w:p>
            <w:pPr>
              <w:pStyle w:val="23"/>
              <w:spacing w:before="7"/>
              <w:rPr>
                <w:b/>
                <w:sz w:val="21"/>
              </w:rPr>
            </w:pPr>
          </w:p>
          <w:p>
            <w:pPr>
              <w:pStyle w:val="23"/>
              <w:ind w:left="290"/>
              <w:rPr>
                <w:sz w:val="28"/>
              </w:rPr>
            </w:pPr>
            <w:r>
              <w:rPr>
                <w:sz w:val="28"/>
              </w:rPr>
              <w:t>被授权人</w:t>
            </w:r>
          </w:p>
        </w:tc>
        <w:tc>
          <w:tcPr>
            <w:tcW w:w="1695" w:type="dxa"/>
          </w:tcPr>
          <w:p>
            <w:pPr>
              <w:pStyle w:val="23"/>
              <w:spacing w:before="124" w:line="357" w:lineRule="exact"/>
              <w:ind w:left="564"/>
              <w:rPr>
                <w:sz w:val="28"/>
              </w:rPr>
            </w:pPr>
            <w:r>
              <w:rPr>
                <w:sz w:val="28"/>
              </w:rPr>
              <w:t>姓名</w:t>
            </w:r>
          </w:p>
        </w:tc>
        <w:tc>
          <w:tcPr>
            <w:tcW w:w="2352" w:type="dxa"/>
            <w:gridSpan w:val="2"/>
          </w:tcPr>
          <w:p>
            <w:pPr>
              <w:pStyle w:val="23"/>
              <w:rPr>
                <w:rFonts w:ascii="Times New Roman"/>
                <w:sz w:val="26"/>
              </w:rPr>
            </w:pPr>
          </w:p>
        </w:tc>
        <w:tc>
          <w:tcPr>
            <w:tcW w:w="1560" w:type="dxa"/>
          </w:tcPr>
          <w:p>
            <w:pPr>
              <w:pStyle w:val="23"/>
              <w:tabs>
                <w:tab w:val="left" w:pos="1061"/>
              </w:tabs>
              <w:spacing w:before="124" w:line="357" w:lineRule="exact"/>
              <w:ind w:left="219"/>
              <w:rPr>
                <w:sz w:val="28"/>
              </w:rPr>
            </w:pPr>
            <w:r>
              <w:rPr>
                <w:sz w:val="28"/>
              </w:rPr>
              <w:t>性</w:t>
            </w:r>
            <w:r>
              <w:rPr>
                <w:sz w:val="28"/>
              </w:rPr>
              <w:tab/>
            </w:r>
            <w:r>
              <w:rPr>
                <w:sz w:val="28"/>
              </w:rPr>
              <w:t>别</w:t>
            </w:r>
          </w:p>
        </w:tc>
        <w:tc>
          <w:tcPr>
            <w:tcW w:w="2885"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704" w:type="dxa"/>
            <w:vMerge w:val="continue"/>
            <w:tcBorders>
              <w:top w:val="nil"/>
            </w:tcBorders>
          </w:tcPr>
          <w:p>
            <w:pPr>
              <w:rPr>
                <w:sz w:val="2"/>
                <w:szCs w:val="2"/>
              </w:rPr>
            </w:pPr>
          </w:p>
        </w:tc>
        <w:tc>
          <w:tcPr>
            <w:tcW w:w="1695" w:type="dxa"/>
          </w:tcPr>
          <w:p>
            <w:pPr>
              <w:pStyle w:val="23"/>
              <w:spacing w:before="124" w:line="355" w:lineRule="exact"/>
              <w:ind w:left="564"/>
              <w:rPr>
                <w:sz w:val="28"/>
              </w:rPr>
            </w:pPr>
            <w:r>
              <w:rPr>
                <w:sz w:val="28"/>
              </w:rPr>
              <w:t>职务</w:t>
            </w:r>
          </w:p>
        </w:tc>
        <w:tc>
          <w:tcPr>
            <w:tcW w:w="2352" w:type="dxa"/>
            <w:gridSpan w:val="2"/>
          </w:tcPr>
          <w:p>
            <w:pPr>
              <w:pStyle w:val="23"/>
              <w:rPr>
                <w:rFonts w:ascii="Times New Roman"/>
                <w:sz w:val="26"/>
              </w:rPr>
            </w:pPr>
          </w:p>
        </w:tc>
        <w:tc>
          <w:tcPr>
            <w:tcW w:w="1560" w:type="dxa"/>
          </w:tcPr>
          <w:p>
            <w:pPr>
              <w:pStyle w:val="23"/>
              <w:spacing w:before="92"/>
              <w:ind w:left="219"/>
              <w:rPr>
                <w:sz w:val="28"/>
              </w:rPr>
            </w:pPr>
            <w:r>
              <w:rPr>
                <w:sz w:val="28"/>
              </w:rPr>
              <w:t>手机号码</w:t>
            </w:r>
          </w:p>
        </w:tc>
        <w:tc>
          <w:tcPr>
            <w:tcW w:w="2885"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704" w:type="dxa"/>
            <w:vMerge w:val="continue"/>
            <w:tcBorders>
              <w:top w:val="nil"/>
            </w:tcBorders>
          </w:tcPr>
          <w:p>
            <w:pPr>
              <w:rPr>
                <w:sz w:val="2"/>
                <w:szCs w:val="2"/>
              </w:rPr>
            </w:pPr>
          </w:p>
        </w:tc>
        <w:tc>
          <w:tcPr>
            <w:tcW w:w="1695" w:type="dxa"/>
          </w:tcPr>
          <w:p>
            <w:pPr>
              <w:pStyle w:val="23"/>
              <w:spacing w:before="124" w:line="357" w:lineRule="exact"/>
              <w:ind w:left="144"/>
              <w:rPr>
                <w:sz w:val="28"/>
              </w:rPr>
            </w:pPr>
            <w:r>
              <w:rPr>
                <w:sz w:val="28"/>
              </w:rPr>
              <w:t>身份证号码</w:t>
            </w:r>
          </w:p>
        </w:tc>
        <w:tc>
          <w:tcPr>
            <w:tcW w:w="6797" w:type="dxa"/>
            <w:gridSpan w:val="4"/>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6" w:hRule="atLeast"/>
        </w:trPr>
        <w:tc>
          <w:tcPr>
            <w:tcW w:w="5101" w:type="dxa"/>
            <w:gridSpan w:val="3"/>
          </w:tcPr>
          <w:p>
            <w:pPr>
              <w:pStyle w:val="23"/>
              <w:rPr>
                <w:b/>
                <w:sz w:val="28"/>
              </w:rPr>
            </w:pPr>
          </w:p>
          <w:p>
            <w:pPr>
              <w:pStyle w:val="23"/>
              <w:rPr>
                <w:b/>
                <w:sz w:val="28"/>
              </w:rPr>
            </w:pPr>
          </w:p>
          <w:p>
            <w:pPr>
              <w:pStyle w:val="23"/>
              <w:rPr>
                <w:b/>
                <w:sz w:val="28"/>
              </w:rPr>
            </w:pPr>
          </w:p>
          <w:p>
            <w:pPr>
              <w:pStyle w:val="23"/>
              <w:rPr>
                <w:b/>
                <w:sz w:val="28"/>
              </w:rPr>
            </w:pPr>
          </w:p>
          <w:p>
            <w:pPr>
              <w:pStyle w:val="23"/>
              <w:spacing w:before="5"/>
              <w:rPr>
                <w:b/>
                <w:sz w:val="25"/>
              </w:rPr>
            </w:pPr>
          </w:p>
          <w:p>
            <w:pPr>
              <w:pStyle w:val="23"/>
              <w:ind w:left="107"/>
              <w:rPr>
                <w:sz w:val="28"/>
              </w:rPr>
            </w:pPr>
            <w:r>
              <w:rPr>
                <w:sz w:val="28"/>
              </w:rPr>
              <w:t>（法定代表人二代身份证正、反两面）</w:t>
            </w:r>
          </w:p>
        </w:tc>
        <w:tc>
          <w:tcPr>
            <w:tcW w:w="5095" w:type="dxa"/>
            <w:gridSpan w:val="3"/>
          </w:tcPr>
          <w:p>
            <w:pPr>
              <w:pStyle w:val="23"/>
              <w:rPr>
                <w:b/>
                <w:sz w:val="28"/>
              </w:rPr>
            </w:pPr>
          </w:p>
          <w:p>
            <w:pPr>
              <w:pStyle w:val="23"/>
              <w:rPr>
                <w:b/>
                <w:sz w:val="28"/>
              </w:rPr>
            </w:pPr>
          </w:p>
          <w:p>
            <w:pPr>
              <w:pStyle w:val="23"/>
              <w:rPr>
                <w:b/>
                <w:sz w:val="28"/>
              </w:rPr>
            </w:pPr>
          </w:p>
          <w:p>
            <w:pPr>
              <w:pStyle w:val="23"/>
              <w:rPr>
                <w:b/>
                <w:sz w:val="28"/>
              </w:rPr>
            </w:pPr>
          </w:p>
          <w:p>
            <w:pPr>
              <w:pStyle w:val="23"/>
              <w:spacing w:before="5"/>
              <w:rPr>
                <w:b/>
                <w:sz w:val="25"/>
              </w:rPr>
            </w:pPr>
          </w:p>
          <w:p>
            <w:pPr>
              <w:pStyle w:val="23"/>
              <w:ind w:left="307"/>
              <w:rPr>
                <w:sz w:val="28"/>
              </w:rPr>
            </w:pPr>
            <w:r>
              <w:rPr>
                <w:sz w:val="28"/>
              </w:rPr>
              <w:t>（被授权人二代身份证正、反两面）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5101" w:type="dxa"/>
            <w:gridSpan w:val="3"/>
          </w:tcPr>
          <w:p>
            <w:pPr>
              <w:pStyle w:val="23"/>
              <w:spacing w:before="155"/>
              <w:ind w:left="107"/>
              <w:rPr>
                <w:sz w:val="28"/>
              </w:rPr>
            </w:pPr>
            <w:r>
              <w:rPr>
                <w:sz w:val="28"/>
              </w:rPr>
              <w:t>法定代表人签字或盖章：</w:t>
            </w:r>
          </w:p>
        </w:tc>
        <w:tc>
          <w:tcPr>
            <w:tcW w:w="5095" w:type="dxa"/>
            <w:gridSpan w:val="3"/>
          </w:tcPr>
          <w:p>
            <w:pPr>
              <w:pStyle w:val="23"/>
              <w:spacing w:before="155"/>
              <w:ind w:left="105"/>
              <w:rPr>
                <w:sz w:val="28"/>
              </w:rPr>
            </w:pPr>
            <w:r>
              <w:rPr>
                <w:sz w:val="28"/>
              </w:rPr>
              <w:t>被授权人签字</w:t>
            </w:r>
          </w:p>
        </w:tc>
      </w:tr>
    </w:tbl>
    <w:p>
      <w:pPr>
        <w:pStyle w:val="7"/>
        <w:tabs>
          <w:tab w:val="left" w:pos="5380"/>
        </w:tabs>
        <w:ind w:left="337"/>
      </w:pPr>
    </w:p>
    <w:p>
      <w:pPr>
        <w:pStyle w:val="7"/>
        <w:tabs>
          <w:tab w:val="left" w:pos="5380"/>
        </w:tabs>
        <w:ind w:left="337"/>
        <w:rPr>
          <w:rFonts w:hint="eastAsia"/>
          <w:lang w:eastAsia="zh-CN"/>
        </w:rPr>
      </w:pPr>
      <w:r>
        <w:t>投标人</w:t>
      </w:r>
      <w:r>
        <w:rPr>
          <w:spacing w:val="-3"/>
        </w:rPr>
        <w:t>名</w:t>
      </w:r>
      <w:r>
        <w:t>称：</w:t>
      </w:r>
      <w:r>
        <w:tab/>
      </w:r>
      <w:r>
        <w:t>（投</w:t>
      </w:r>
      <w:r>
        <w:rPr>
          <w:spacing w:val="-3"/>
        </w:rPr>
        <w:t>标</w:t>
      </w:r>
      <w:r>
        <w:t>人单</w:t>
      </w:r>
      <w:r>
        <w:rPr>
          <w:spacing w:val="-3"/>
        </w:rPr>
        <w:t>位公</w:t>
      </w:r>
      <w:r>
        <w:t>章</w:t>
      </w:r>
      <w:r>
        <w:rPr>
          <w:rFonts w:hint="eastAsia"/>
          <w:lang w:eastAsia="zh-CN"/>
        </w:rPr>
        <w:t>）</w:t>
      </w:r>
    </w:p>
    <w:p>
      <w:pPr>
        <w:rPr>
          <w:rFonts w:hint="eastAsia"/>
          <w:lang w:eastAsia="zh-CN"/>
        </w:rPr>
      </w:pPr>
    </w:p>
    <w:p>
      <w:pPr>
        <w:pStyle w:val="19"/>
        <w:ind w:firstLine="560" w:firstLineChars="200"/>
        <w:rPr>
          <w:rFonts w:hint="eastAsia" w:ascii="宋体" w:hAnsi="宋体" w:eastAsia="宋体" w:cs="宋体"/>
          <w:color w:val="auto"/>
          <w:sz w:val="28"/>
          <w:szCs w:val="28"/>
          <w:lang w:val="zh-CN" w:eastAsia="zh-CN" w:bidi="zh-CN"/>
        </w:rPr>
        <w:sectPr>
          <w:pgSz w:w="11910" w:h="16840"/>
          <w:pgMar w:top="1360" w:right="740" w:bottom="1080" w:left="740" w:header="880" w:footer="887" w:gutter="0"/>
        </w:sectPr>
      </w:pPr>
      <w:r>
        <w:rPr>
          <w:rFonts w:hint="eastAsia" w:ascii="宋体" w:hAnsi="宋体" w:eastAsia="宋体" w:cs="宋体"/>
          <w:color w:val="auto"/>
          <w:sz w:val="28"/>
          <w:szCs w:val="28"/>
          <w:lang w:val="zh-CN" w:eastAsia="zh-CN" w:bidi="zh-CN"/>
        </w:rPr>
        <w:t>日期</w:t>
      </w:r>
      <w:r>
        <w:rPr>
          <w:rFonts w:hint="eastAsia" w:ascii="宋体" w:hAnsi="宋体" w:cs="宋体"/>
          <w:color w:val="auto"/>
          <w:sz w:val="28"/>
          <w:szCs w:val="28"/>
          <w:lang w:val="zh-CN" w:eastAsia="zh-CN" w:bidi="zh-CN"/>
        </w:rPr>
        <w:t>：</w:t>
      </w:r>
    </w:p>
    <w:p>
      <w:pPr>
        <w:pStyle w:val="7"/>
        <w:tabs>
          <w:tab w:val="left" w:pos="899"/>
        </w:tabs>
        <w:spacing w:before="51"/>
        <w:ind w:left="0" w:leftChars="0" w:firstLine="0" w:firstLineChars="0"/>
      </w:pPr>
    </w:p>
    <w:p>
      <w:pPr>
        <w:pStyle w:val="6"/>
        <w:numPr>
          <w:ilvl w:val="0"/>
          <w:numId w:val="78"/>
        </w:numPr>
        <w:tabs>
          <w:tab w:val="left" w:pos="551"/>
        </w:tabs>
        <w:spacing w:before="131" w:after="0" w:line="240" w:lineRule="auto"/>
        <w:ind w:left="550" w:right="0" w:hanging="214"/>
        <w:jc w:val="left"/>
      </w:pPr>
      <w:bookmarkStart w:id="59" w:name="_bookmark6"/>
      <w:bookmarkEnd w:id="59"/>
      <w:bookmarkStart w:id="60" w:name="_bookmark6"/>
      <w:bookmarkEnd w:id="60"/>
      <w:bookmarkStart w:id="61" w:name="6.资格证明文件（以下文件须复印件加盖投标人公章）"/>
      <w:bookmarkEnd w:id="61"/>
      <w:r>
        <w:t>资格证明文件（以下文件须复印件加盖投标人公章）</w:t>
      </w:r>
    </w:p>
    <w:p>
      <w:pPr>
        <w:pStyle w:val="12"/>
        <w:spacing w:before="1"/>
        <w:rPr>
          <w:b/>
          <w:sz w:val="25"/>
        </w:rPr>
      </w:pPr>
    </w:p>
    <w:p>
      <w:pPr>
        <w:pStyle w:val="12"/>
        <w:spacing w:line="427" w:lineRule="auto"/>
        <w:ind w:left="337" w:right="333" w:firstLine="420"/>
      </w:pPr>
      <w:r>
        <w:t>1</w:t>
      </w:r>
      <w:r>
        <w:rPr>
          <w:spacing w:val="-5"/>
        </w:rPr>
        <w:t>、符合《中华人民共和国政府采购法》第二十二条及《中华人民共和国政府采购法实施条例》第十七</w:t>
      </w:r>
      <w:r>
        <w:rPr>
          <w:spacing w:val="-4"/>
        </w:rPr>
        <w:t>条规定的投标人条件；</w:t>
      </w:r>
    </w:p>
    <w:p>
      <w:pPr>
        <w:pStyle w:val="12"/>
        <w:spacing w:line="427" w:lineRule="auto"/>
        <w:ind w:left="337" w:right="333" w:firstLine="420"/>
        <w:rPr>
          <w:rFonts w:hint="eastAsia" w:ascii="宋体" w:hAnsi="宋体" w:eastAsia="宋体" w:cs="宋体"/>
          <w:lang w:val="zh-CN" w:eastAsia="zh-CN"/>
        </w:rPr>
      </w:pPr>
      <w:r>
        <w:rPr>
          <w:rFonts w:hint="eastAsia" w:cs="宋体"/>
          <w:spacing w:val="-5"/>
          <w:sz w:val="21"/>
          <w:lang w:val="zh-CN" w:eastAsia="zh-CN"/>
        </w:rPr>
        <w:t>（</w:t>
      </w:r>
      <w:r>
        <w:rPr>
          <w:rFonts w:hint="eastAsia" w:cs="宋体"/>
          <w:spacing w:val="-5"/>
          <w:sz w:val="21"/>
          <w:lang w:val="en-US" w:eastAsia="zh-CN"/>
        </w:rPr>
        <w:t>1</w:t>
      </w:r>
      <w:r>
        <w:rPr>
          <w:rFonts w:hint="eastAsia" w:cs="宋体"/>
          <w:spacing w:val="-5"/>
          <w:sz w:val="21"/>
          <w:lang w:val="zh-CN" w:eastAsia="zh-CN"/>
        </w:rPr>
        <w:t>）</w:t>
      </w:r>
      <w:r>
        <w:rPr>
          <w:rFonts w:ascii="宋体" w:hAnsi="宋体" w:eastAsia="宋体" w:cs="宋体"/>
          <w:spacing w:val="-5"/>
          <w:sz w:val="21"/>
          <w:lang w:val="zh-CN" w:eastAsia="zh-CN"/>
        </w:rPr>
        <w:t>具有独立承担民事责任能力的法人或其他组织，提供有效存续的营业执照或事业单位法人证书或非企</w:t>
      </w:r>
      <w:r>
        <w:rPr>
          <w:rFonts w:hint="eastAsia" w:ascii="宋体" w:hAnsi="宋体" w:eastAsia="宋体" w:cs="宋体"/>
          <w:lang w:val="zh-CN" w:eastAsia="zh-CN"/>
        </w:rPr>
        <w:t>业专业服务机构执业许可证或民办非企业单位登记证书；</w:t>
      </w:r>
    </w:p>
    <w:p>
      <w:pPr>
        <w:pStyle w:val="12"/>
        <w:spacing w:line="427" w:lineRule="auto"/>
        <w:ind w:left="337" w:right="333" w:firstLine="420"/>
        <w:jc w:val="left"/>
        <w:rPr>
          <w:rFonts w:ascii="宋体" w:hAnsi="宋体" w:eastAsia="宋体" w:cs="宋体"/>
        </w:rPr>
      </w:pPr>
      <w:r>
        <w:rPr>
          <w:rFonts w:hint="eastAsia" w:ascii="宋体" w:hAnsi="宋体" w:eastAsia="宋体" w:cs="宋体"/>
          <w:lang w:val="zh-CN" w:eastAsia="zh-CN"/>
        </w:rPr>
        <w:t>（</w:t>
      </w:r>
      <w:r>
        <w:rPr>
          <w:rFonts w:hint="eastAsia" w:ascii="宋体" w:hAnsi="宋体" w:eastAsia="宋体" w:cs="宋体"/>
          <w:lang w:val="en-US" w:eastAsia="zh-CN"/>
        </w:rPr>
        <w:t>2</w:t>
      </w:r>
      <w:r>
        <w:rPr>
          <w:rFonts w:hint="eastAsia" w:ascii="宋体" w:hAnsi="宋体" w:eastAsia="宋体" w:cs="宋体"/>
          <w:lang w:val="zh-CN" w:eastAsia="zh-CN"/>
        </w:rPr>
        <w:t xml:space="preserve">）财务状况报告：提供审计事务所出具的 </w:t>
      </w:r>
      <w:r>
        <w:rPr>
          <w:rFonts w:hint="eastAsia" w:ascii="宋体" w:hAnsi="宋体" w:eastAsia="宋体" w:cs="宋体"/>
          <w:lang w:val="en-US" w:eastAsia="zh-CN"/>
        </w:rPr>
        <w:t>2017、2018、2019</w:t>
      </w:r>
      <w:r>
        <w:rPr>
          <w:rFonts w:hint="eastAsia" w:ascii="宋体" w:hAnsi="宋体" w:eastAsia="宋体" w:cs="宋体"/>
          <w:lang w:val="zh-CN" w:eastAsia="zh-CN"/>
        </w:rPr>
        <w:t xml:space="preserve"> 年度的财务报告（至少包括审计报告、资产负债表和利润表，成立时间至提交投标文件截止时间不足一年的可提供成立后到至今的资产负债表）。</w:t>
      </w:r>
      <w:r>
        <w:rPr>
          <w:rFonts w:hint="eastAsia" w:ascii="宋体" w:hAnsi="宋体" w:eastAsia="宋体" w:cs="宋体"/>
          <w:lang w:val="en-US" w:eastAsia="zh-CN"/>
        </w:rPr>
        <w:t xml:space="preserve">                                      </w:t>
      </w:r>
      <w:r>
        <w:rPr>
          <w:rFonts w:hint="eastAsia" w:cs="宋体"/>
          <w:lang w:val="en-US" w:eastAsia="zh-CN"/>
        </w:rPr>
        <w:t xml:space="preserve">                                                 </w:t>
      </w:r>
      <w:r>
        <w:rPr>
          <w:rFonts w:hint="eastAsia" w:ascii="宋体" w:hAnsi="宋体" w:eastAsia="宋体" w:cs="宋体"/>
          <w:lang w:val="en-US" w:eastAsia="zh-CN"/>
        </w:rPr>
        <w:t xml:space="preserve"> </w:t>
      </w:r>
      <w:r>
        <w:rPr>
          <w:rFonts w:hint="eastAsia" w:cs="宋体"/>
          <w:lang w:val="en-US" w:eastAsia="zh-CN"/>
        </w:rPr>
        <w:t xml:space="preserve">           </w:t>
      </w:r>
      <w:r>
        <w:rPr>
          <w:rFonts w:hint="eastAsia" w:cs="宋体"/>
          <w:color w:val="FFFFFF" w:themeColor="background1"/>
          <w:lang w:val="en-US" w:eastAsia="zh-CN"/>
          <w14:textFill>
            <w14:solidFill>
              <w14:schemeClr w14:val="bg1"/>
            </w14:solidFill>
          </w14:textFill>
        </w:rPr>
        <w:t>（3</w:t>
      </w:r>
      <w:r>
        <w:rPr>
          <w:rFonts w:hint="eastAsia" w:cs="宋体"/>
          <w:lang w:val="en-US" w:eastAsia="zh-CN"/>
        </w:rPr>
        <w:t>（3）</w:t>
      </w:r>
      <w:r>
        <w:rPr>
          <w:rFonts w:hint="eastAsia" w:ascii="宋体" w:hAnsi="宋体" w:eastAsia="宋体" w:cs="宋体"/>
          <w:lang w:val="zh-CN" w:eastAsia="zh-CN"/>
        </w:rPr>
        <w:t>税收缴纳证明</w:t>
      </w:r>
      <w:r>
        <w:rPr>
          <w:rFonts w:hint="eastAsia" w:ascii="宋体" w:hAnsi="宋体" w:eastAsia="宋体" w:cs="宋体"/>
          <w:lang w:eastAsia="zh-CN"/>
        </w:rPr>
        <w:t>：提供企业近一年的纳税证明或完税证明，纳税证明或完税证明上应有代收机构或税务机关的公章。依法免税的供应</w:t>
      </w:r>
      <w:r>
        <w:rPr>
          <w:rFonts w:ascii="宋体" w:hAnsi="宋体" w:eastAsia="宋体" w:cs="宋体"/>
        </w:rPr>
        <w:t>商应提供相关文件证明；</w:t>
      </w:r>
    </w:p>
    <w:p>
      <w:pPr>
        <w:pStyle w:val="12"/>
        <w:spacing w:line="427" w:lineRule="auto"/>
        <w:ind w:left="337" w:right="333" w:firstLine="42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4</w:t>
      </w:r>
      <w:r>
        <w:rPr>
          <w:rFonts w:hint="eastAsia" w:ascii="宋体" w:hAnsi="宋体" w:eastAsia="宋体" w:cs="宋体"/>
          <w:lang w:eastAsia="zh-CN"/>
        </w:rPr>
        <w:t>）</w:t>
      </w:r>
      <w:r>
        <w:rPr>
          <w:rFonts w:ascii="宋体" w:hAnsi="宋体" w:eastAsia="宋体" w:cs="宋体"/>
        </w:rPr>
        <w:t>供应商须提供具有履行合同所必需的设备和专业技术能力的承诺；</w:t>
      </w:r>
    </w:p>
    <w:p>
      <w:pPr>
        <w:pStyle w:val="12"/>
        <w:spacing w:line="427" w:lineRule="auto"/>
        <w:ind w:left="337" w:right="333" w:firstLine="42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w:t>
      </w:r>
      <w:r>
        <w:rPr>
          <w:rFonts w:ascii="宋体" w:hAnsi="宋体" w:eastAsia="宋体" w:cs="宋体"/>
        </w:rPr>
        <w:t>社会保障资金缴纳证明：提供已缴存的</w:t>
      </w:r>
      <w:r>
        <w:rPr>
          <w:rFonts w:hint="eastAsia" w:ascii="宋体" w:hAnsi="宋体" w:eastAsia="宋体" w:cs="宋体"/>
          <w:lang w:eastAsia="zh-CN"/>
        </w:rPr>
        <w:t>近六个月</w:t>
      </w:r>
      <w:r>
        <w:rPr>
          <w:rFonts w:ascii="宋体" w:hAnsi="宋体" w:eastAsia="宋体" w:cs="宋体"/>
        </w:rPr>
        <w:t>月份的社会保障资金缴存单据或社保机构开具的社会保险参保缴费情况证明，单据或证明上应有社保机构或代收机构的公章。</w:t>
      </w:r>
      <w:r>
        <w:rPr>
          <w:rFonts w:hint="eastAsia" w:ascii="宋体" w:hAnsi="宋体" w:eastAsia="宋体" w:cs="宋体"/>
          <w:lang w:eastAsia="zh-CN"/>
        </w:rPr>
        <w:t>法人或其委托代理人必须在其中。</w:t>
      </w:r>
      <w:r>
        <w:rPr>
          <w:rFonts w:ascii="宋体" w:hAnsi="宋体" w:eastAsia="宋体" w:cs="宋体"/>
        </w:rPr>
        <w:t>依法不需要缴纳社会保障资金的供应商应提供相关文件证明；</w:t>
      </w:r>
    </w:p>
    <w:p>
      <w:pPr>
        <w:pStyle w:val="12"/>
        <w:spacing w:line="427" w:lineRule="auto"/>
        <w:ind w:left="337" w:right="333" w:firstLine="420"/>
        <w:rPr>
          <w:rFonts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6</w:t>
      </w:r>
      <w:r>
        <w:rPr>
          <w:rFonts w:hint="eastAsia" w:ascii="宋体" w:hAnsi="宋体" w:eastAsia="宋体" w:cs="宋体"/>
          <w:lang w:eastAsia="zh-CN"/>
        </w:rPr>
        <w:t>）</w:t>
      </w:r>
      <w:r>
        <w:rPr>
          <w:rFonts w:ascii="宋体" w:hAnsi="宋体" w:eastAsia="宋体" w:cs="宋体"/>
        </w:rPr>
        <w:t>出具参加本次政府采购活动前三年内在经营活动中没有重大违法记录（包括但不限于未被列入失信被执行人、重大税收违法案件当事人名单、政府采购严重违法失信行为记录名单）的书面声明；</w:t>
      </w:r>
    </w:p>
    <w:p>
      <w:pPr>
        <w:pStyle w:val="12"/>
        <w:spacing w:line="427" w:lineRule="auto"/>
        <w:ind w:right="333" w:firstLine="420" w:firstLineChars="200"/>
        <w:rPr>
          <w:rFonts w:ascii="宋体" w:hAnsi="宋体" w:eastAsia="宋体" w:cs="宋体"/>
        </w:rPr>
      </w:pPr>
      <w:r>
        <w:rPr>
          <w:rFonts w:ascii="宋体" w:hAnsi="宋体" w:eastAsia="宋体" w:cs="宋体"/>
        </w:rPr>
        <w:t>2、法定代表人授权书（附法定代表人身份证复印件）及被授权人身份证（法定代表人直接参加投标只需提供法定代表人身份证）</w:t>
      </w:r>
      <w:r>
        <w:rPr>
          <w:rFonts w:hint="eastAsia" w:ascii="宋体" w:hAnsi="宋体" w:eastAsia="宋体" w:cs="宋体"/>
          <w:lang w:eastAsia="zh-CN"/>
        </w:rPr>
        <w:t>。</w:t>
      </w:r>
    </w:p>
    <w:p>
      <w:pPr>
        <w:pStyle w:val="12"/>
        <w:spacing w:before="2"/>
        <w:ind w:firstLine="420" w:firstLineChars="200"/>
        <w:rPr>
          <w:rFonts w:hint="eastAsia"/>
          <w:lang w:eastAsia="zh-CN"/>
        </w:rPr>
      </w:pPr>
      <w:r>
        <w:rPr>
          <w:rFonts w:hint="eastAsia"/>
          <w:lang w:val="en-US" w:eastAsia="zh-CN"/>
        </w:rPr>
        <w:t>3</w:t>
      </w:r>
      <w:r>
        <w:t>、投标保证金交纳凭证</w:t>
      </w:r>
      <w:r>
        <w:rPr>
          <w:rFonts w:hint="eastAsia"/>
          <w:lang w:eastAsia="zh-CN"/>
        </w:rPr>
        <w:t>。</w:t>
      </w:r>
    </w:p>
    <w:p>
      <w:pPr>
        <w:pStyle w:val="12"/>
        <w:spacing w:before="2"/>
        <w:ind w:left="758"/>
        <w:rPr>
          <w:rFonts w:hint="eastAsia"/>
          <w:lang w:eastAsia="zh-CN"/>
        </w:rPr>
      </w:pPr>
    </w:p>
    <w:p>
      <w:pPr>
        <w:pStyle w:val="12"/>
        <w:spacing w:line="427" w:lineRule="auto"/>
        <w:ind w:right="333" w:firstLine="420" w:firstLineChars="200"/>
        <w:rPr>
          <w:sz w:val="16"/>
        </w:rPr>
      </w:pPr>
      <w:r>
        <w:rPr>
          <w:rFonts w:hint="eastAsia" w:ascii="宋体" w:hAnsi="宋体" w:eastAsia="宋体" w:cs="宋体"/>
          <w:lang w:val="en-US" w:eastAsia="zh-CN"/>
        </w:rPr>
        <w:t>4、</w:t>
      </w:r>
      <w:r>
        <w:rPr>
          <w:rFonts w:ascii="宋体" w:hAnsi="宋体" w:eastAsia="宋体" w:cs="宋体"/>
        </w:rPr>
        <w:t>供应商未被列入“信用中国”网站(www.creditchina.gov.cn)及中国政府采购网(www.ccgp.gov.cn)失信被执行人、重大税收违法案件当事人名单、政府采购严重违法失信行为记录名单。</w:t>
      </w:r>
      <w:r>
        <w:rPr>
          <w:rFonts w:hint="eastAsia" w:ascii="宋体" w:hAnsi="宋体" w:eastAsia="宋体" w:cs="宋体"/>
          <w:b/>
          <w:sz w:val="21"/>
          <w:lang w:eastAsia="zh-CN"/>
        </w:rPr>
        <w:t>（截图证明，查询截图日期为开标前一周内）</w:t>
      </w:r>
    </w:p>
    <w:p>
      <w:pPr>
        <w:pStyle w:val="12"/>
        <w:ind w:firstLine="420" w:firstLineChars="200"/>
        <w:rPr>
          <w:sz w:val="20"/>
        </w:rPr>
      </w:pPr>
      <w:r>
        <w:rPr>
          <w:rFonts w:hint="eastAsia"/>
          <w:lang w:val="en-US" w:eastAsia="zh-CN"/>
        </w:rPr>
        <w:t>5</w:t>
      </w:r>
      <w:r>
        <w:t>、非联合体投标声明。</w:t>
      </w:r>
    </w:p>
    <w:p>
      <w:pPr>
        <w:pStyle w:val="12"/>
        <w:spacing w:before="1"/>
        <w:rPr>
          <w:sz w:val="26"/>
        </w:rPr>
      </w:pPr>
    </w:p>
    <w:p>
      <w:pPr>
        <w:pStyle w:val="6"/>
        <w:numPr>
          <w:ilvl w:val="0"/>
          <w:numId w:val="78"/>
        </w:numPr>
        <w:tabs>
          <w:tab w:val="left" w:pos="689"/>
        </w:tabs>
        <w:spacing w:before="71" w:after="0" w:line="240" w:lineRule="auto"/>
        <w:ind w:left="688" w:right="0" w:hanging="352"/>
        <w:jc w:val="left"/>
      </w:pPr>
      <w:bookmarkStart w:id="62" w:name="_bookmark7"/>
      <w:bookmarkEnd w:id="62"/>
      <w:bookmarkStart w:id="63" w:name="7. 提供近三年同类业绩（以合同为准，复印件加盖公章）"/>
      <w:bookmarkEnd w:id="63"/>
      <w:bookmarkStart w:id="64" w:name="_bookmark7"/>
      <w:bookmarkEnd w:id="64"/>
      <w:r>
        <w:t>提供近三年</w:t>
      </w:r>
      <w:r>
        <w:rPr>
          <w:rFonts w:hint="eastAsia"/>
          <w:lang w:eastAsia="zh-CN"/>
        </w:rPr>
        <w:t>企业</w:t>
      </w:r>
      <w:r>
        <w:t>业绩（以合同为准，复印件加盖公章）</w:t>
      </w:r>
    </w:p>
    <w:p>
      <w:pPr>
        <w:pStyle w:val="12"/>
        <w:spacing w:before="12"/>
        <w:rPr>
          <w:b/>
          <w:sz w:val="22"/>
        </w:rPr>
      </w:pPr>
      <w:bookmarkStart w:id="90" w:name="_GoBack"/>
      <w:bookmarkEnd w:id="90"/>
    </w:p>
    <w:p>
      <w:pPr>
        <w:pStyle w:val="6"/>
        <w:numPr>
          <w:ilvl w:val="0"/>
          <w:numId w:val="78"/>
        </w:numPr>
        <w:tabs>
          <w:tab w:val="left" w:pos="689"/>
        </w:tabs>
        <w:spacing w:before="0" w:after="0" w:line="240" w:lineRule="auto"/>
        <w:ind w:left="688" w:right="0" w:hanging="352"/>
        <w:jc w:val="left"/>
      </w:pPr>
      <w:bookmarkStart w:id="65" w:name="8. 项目实施方案（内容自拟，应包含但不限于评标办法中技术响应内容）"/>
      <w:bookmarkEnd w:id="65"/>
      <w:bookmarkStart w:id="66" w:name="_bookmark8"/>
      <w:bookmarkEnd w:id="66"/>
      <w:bookmarkStart w:id="67" w:name="_bookmark8"/>
      <w:bookmarkEnd w:id="67"/>
      <w:r>
        <w:rPr>
          <w:w w:val="95"/>
        </w:rPr>
        <w:t>项目实施方案（内容自拟，应包含但不限于评标办法中技术响应内容）</w:t>
      </w:r>
    </w:p>
    <w:p>
      <w:pPr>
        <w:pStyle w:val="12"/>
        <w:rPr>
          <w:b/>
          <w:sz w:val="30"/>
        </w:rPr>
      </w:pPr>
    </w:p>
    <w:p>
      <w:pPr>
        <w:pStyle w:val="12"/>
        <w:rPr>
          <w:b/>
          <w:sz w:val="30"/>
        </w:rPr>
      </w:pPr>
    </w:p>
    <w:p>
      <w:pPr>
        <w:pStyle w:val="12"/>
        <w:rPr>
          <w:b/>
          <w:sz w:val="30"/>
        </w:rPr>
      </w:pPr>
    </w:p>
    <w:p>
      <w:pPr>
        <w:pStyle w:val="12"/>
        <w:spacing w:before="12"/>
        <w:rPr>
          <w:b/>
          <w:sz w:val="35"/>
        </w:rPr>
      </w:pPr>
    </w:p>
    <w:p>
      <w:pPr>
        <w:pStyle w:val="6"/>
        <w:numPr>
          <w:ilvl w:val="0"/>
          <w:numId w:val="78"/>
        </w:numPr>
        <w:tabs>
          <w:tab w:val="left" w:pos="689"/>
        </w:tabs>
        <w:spacing w:before="0" w:after="0" w:line="240" w:lineRule="auto"/>
        <w:ind w:left="688" w:right="0" w:hanging="352"/>
        <w:jc w:val="left"/>
      </w:pPr>
      <w:bookmarkStart w:id="68" w:name="9. 承诺（内容自拟，应包含但不限于评标办法中承诺及合理化建议内容）"/>
      <w:bookmarkEnd w:id="68"/>
      <w:bookmarkStart w:id="69" w:name="_bookmark9"/>
      <w:bookmarkEnd w:id="69"/>
      <w:bookmarkStart w:id="70" w:name="_bookmark9"/>
      <w:bookmarkEnd w:id="70"/>
      <w:r>
        <w:rPr>
          <w:w w:val="95"/>
        </w:rPr>
        <w:t>承诺（内容自拟，应包含但不限于评标办法中承诺及合理化建议内容）</w:t>
      </w:r>
    </w:p>
    <w:p>
      <w:pPr>
        <w:pStyle w:val="12"/>
        <w:rPr>
          <w:b/>
          <w:sz w:val="30"/>
        </w:rPr>
      </w:pPr>
    </w:p>
    <w:p>
      <w:pPr>
        <w:pStyle w:val="12"/>
        <w:rPr>
          <w:b/>
          <w:sz w:val="30"/>
        </w:rPr>
      </w:pPr>
    </w:p>
    <w:p>
      <w:pPr>
        <w:pStyle w:val="12"/>
        <w:rPr>
          <w:b/>
          <w:sz w:val="30"/>
        </w:rPr>
      </w:pPr>
    </w:p>
    <w:p>
      <w:pPr>
        <w:pStyle w:val="12"/>
        <w:rPr>
          <w:b/>
          <w:sz w:val="30"/>
        </w:rPr>
      </w:pPr>
    </w:p>
    <w:p>
      <w:pPr>
        <w:pStyle w:val="12"/>
        <w:rPr>
          <w:b/>
          <w:sz w:val="30"/>
        </w:rPr>
      </w:pPr>
    </w:p>
    <w:p>
      <w:pPr>
        <w:pStyle w:val="12"/>
        <w:spacing w:before="8"/>
        <w:rPr>
          <w:b/>
          <w:sz w:val="44"/>
        </w:rPr>
      </w:pPr>
    </w:p>
    <w:p>
      <w:pPr>
        <w:pStyle w:val="6"/>
        <w:numPr>
          <w:ilvl w:val="0"/>
          <w:numId w:val="78"/>
        </w:numPr>
        <w:tabs>
          <w:tab w:val="left" w:pos="692"/>
        </w:tabs>
        <w:spacing w:before="0" w:after="0" w:line="240" w:lineRule="auto"/>
        <w:ind w:left="692" w:right="0" w:hanging="355"/>
        <w:jc w:val="left"/>
      </w:pPr>
      <w:bookmarkStart w:id="71" w:name="10.合理化建议（内容自拟，应包含但不限于评标办法中承诺及合理化建议内容）"/>
      <w:bookmarkEnd w:id="71"/>
      <w:bookmarkStart w:id="72" w:name="_bookmark10"/>
      <w:bookmarkEnd w:id="72"/>
      <w:bookmarkStart w:id="73" w:name="_bookmark10"/>
      <w:bookmarkEnd w:id="73"/>
      <w:r>
        <w:rPr>
          <w:spacing w:val="-16"/>
        </w:rPr>
        <w:t>合理化建议</w:t>
      </w:r>
      <w:r>
        <w:t>（</w:t>
      </w:r>
      <w:r>
        <w:rPr>
          <w:spacing w:val="-10"/>
        </w:rPr>
        <w:t>内容自拟，应包含但不限于评标办法中承诺及合理化建议内容</w:t>
      </w:r>
      <w:r>
        <w:t>）</w:t>
      </w:r>
    </w:p>
    <w:p>
      <w:pPr>
        <w:pStyle w:val="12"/>
        <w:rPr>
          <w:b/>
          <w:sz w:val="30"/>
        </w:rPr>
      </w:pPr>
    </w:p>
    <w:p>
      <w:pPr>
        <w:pStyle w:val="12"/>
        <w:rPr>
          <w:b/>
          <w:sz w:val="30"/>
        </w:rPr>
      </w:pPr>
    </w:p>
    <w:p>
      <w:pPr>
        <w:pStyle w:val="12"/>
        <w:rPr>
          <w:b/>
          <w:sz w:val="30"/>
        </w:rPr>
      </w:pPr>
    </w:p>
    <w:p>
      <w:pPr>
        <w:pStyle w:val="12"/>
        <w:rPr>
          <w:b/>
          <w:sz w:val="30"/>
        </w:rPr>
      </w:pPr>
    </w:p>
    <w:p>
      <w:pPr>
        <w:pStyle w:val="12"/>
        <w:rPr>
          <w:b/>
          <w:sz w:val="30"/>
        </w:rPr>
      </w:pPr>
    </w:p>
    <w:p>
      <w:pPr>
        <w:pStyle w:val="12"/>
        <w:rPr>
          <w:b/>
          <w:sz w:val="30"/>
        </w:rPr>
      </w:pPr>
    </w:p>
    <w:p>
      <w:pPr>
        <w:pStyle w:val="6"/>
        <w:numPr>
          <w:ilvl w:val="0"/>
          <w:numId w:val="78"/>
        </w:numPr>
        <w:tabs>
          <w:tab w:val="left" w:pos="692"/>
        </w:tabs>
        <w:spacing w:before="268" w:after="0" w:line="240" w:lineRule="auto"/>
        <w:ind w:left="692" w:right="0" w:hanging="355"/>
        <w:jc w:val="left"/>
      </w:pPr>
      <w:bookmarkStart w:id="74" w:name="11.投标人认为有必要补充说明的事宜"/>
      <w:bookmarkEnd w:id="74"/>
      <w:bookmarkStart w:id="75" w:name="_bookmark11"/>
      <w:bookmarkEnd w:id="75"/>
      <w:bookmarkStart w:id="76" w:name="_bookmark11"/>
      <w:bookmarkEnd w:id="76"/>
      <w:r>
        <w:t>投标人认为有必要补充说明的事宜</w:t>
      </w:r>
    </w:p>
    <w:p>
      <w:pPr>
        <w:spacing w:after="0" w:line="240" w:lineRule="auto"/>
        <w:jc w:val="left"/>
        <w:sectPr>
          <w:pgSz w:w="11910" w:h="16840"/>
          <w:pgMar w:top="1360" w:right="740" w:bottom="1080" w:left="740" w:header="880" w:footer="887" w:gutter="0"/>
        </w:sectPr>
      </w:pPr>
    </w:p>
    <w:p>
      <w:pPr>
        <w:pStyle w:val="12"/>
        <w:spacing w:before="10"/>
        <w:rPr>
          <w:b/>
          <w:sz w:val="11"/>
        </w:rPr>
      </w:pPr>
    </w:p>
    <w:p>
      <w:pPr>
        <w:pStyle w:val="6"/>
        <w:numPr>
          <w:ilvl w:val="0"/>
          <w:numId w:val="78"/>
        </w:numPr>
        <w:tabs>
          <w:tab w:val="left" w:pos="692"/>
        </w:tabs>
        <w:spacing w:before="70" w:after="0" w:line="240" w:lineRule="auto"/>
        <w:ind w:left="692" w:right="0" w:hanging="355"/>
        <w:jc w:val="left"/>
      </w:pPr>
      <w:bookmarkStart w:id="77" w:name="12.投标声明书"/>
      <w:bookmarkEnd w:id="77"/>
      <w:bookmarkStart w:id="78" w:name="_bookmark12"/>
      <w:bookmarkEnd w:id="78"/>
      <w:bookmarkStart w:id="79" w:name="_bookmark12"/>
      <w:bookmarkEnd w:id="79"/>
      <w:r>
        <w:t>投标声明书</w:t>
      </w:r>
    </w:p>
    <w:p>
      <w:pPr>
        <w:pStyle w:val="12"/>
        <w:spacing w:before="8"/>
        <w:rPr>
          <w:b/>
          <w:sz w:val="22"/>
        </w:rPr>
      </w:pPr>
    </w:p>
    <w:p>
      <w:pPr>
        <w:pStyle w:val="12"/>
        <w:spacing w:before="1"/>
        <w:ind w:left="486"/>
      </w:pPr>
      <w:r>
        <w:t>致：</w:t>
      </w:r>
      <w:r>
        <w:rPr>
          <w:rFonts w:hint="eastAsia"/>
          <w:sz w:val="28"/>
          <w:lang w:eastAsia="zh-CN"/>
        </w:rPr>
        <w:t>喀什铭远建设工程项目管理咨询有限公司</w:t>
      </w:r>
    </w:p>
    <w:p>
      <w:pPr>
        <w:pStyle w:val="12"/>
        <w:tabs>
          <w:tab w:val="left" w:pos="2068"/>
          <w:tab w:val="left" w:pos="4175"/>
          <w:tab w:val="left" w:pos="5448"/>
          <w:tab w:val="left" w:pos="7354"/>
          <w:tab w:val="left" w:pos="9987"/>
        </w:tabs>
        <w:spacing w:before="170"/>
        <w:ind w:left="801"/>
      </w:pPr>
      <w:r>
        <w:t>我公</w:t>
      </w:r>
      <w:r>
        <w:rPr>
          <w:spacing w:val="-3"/>
        </w:rPr>
        <w:t>司</w:t>
      </w:r>
      <w:r>
        <w:rPr>
          <w:spacing w:val="-3"/>
          <w:u w:val="single"/>
        </w:rPr>
        <w:t xml:space="preserve"> </w:t>
      </w:r>
      <w:r>
        <w:rPr>
          <w:spacing w:val="-3"/>
          <w:u w:val="single"/>
        </w:rPr>
        <w:tab/>
      </w:r>
      <w:r>
        <w:rPr>
          <w:u w:val="single"/>
        </w:rPr>
        <w:t>（</w:t>
      </w:r>
      <w:r>
        <w:rPr>
          <w:spacing w:val="-3"/>
          <w:u w:val="single"/>
        </w:rPr>
        <w:t>投</w:t>
      </w:r>
      <w:r>
        <w:rPr>
          <w:u w:val="single"/>
        </w:rPr>
        <w:t>标</w:t>
      </w:r>
      <w:r>
        <w:rPr>
          <w:spacing w:val="-3"/>
          <w:u w:val="single"/>
        </w:rPr>
        <w:t>人名</w:t>
      </w:r>
      <w:r>
        <w:rPr>
          <w:u w:val="single"/>
        </w:rPr>
        <w:t>称）</w:t>
      </w:r>
      <w:r>
        <w:rPr>
          <w:u w:val="single"/>
        </w:rPr>
        <w:tab/>
      </w:r>
      <w:r>
        <w:rPr>
          <w:spacing w:val="-99"/>
        </w:rPr>
        <w:t>，</w:t>
      </w:r>
      <w:r>
        <w:rPr>
          <w:spacing w:val="-3"/>
        </w:rPr>
        <w:t>就</w:t>
      </w:r>
      <w:r>
        <w:t>参</w:t>
      </w:r>
      <w:r>
        <w:rPr>
          <w:spacing w:val="-3"/>
        </w:rPr>
        <w:t>加</w:t>
      </w:r>
      <w:r>
        <w:rPr>
          <w:spacing w:val="-3"/>
          <w:u w:val="single"/>
        </w:rPr>
        <w:t xml:space="preserve"> </w:t>
      </w:r>
      <w:r>
        <w:rPr>
          <w:spacing w:val="-3"/>
          <w:u w:val="single"/>
        </w:rPr>
        <w:tab/>
      </w:r>
      <w:r>
        <w:rPr>
          <w:u w:val="single"/>
        </w:rPr>
        <w:t>（采</w:t>
      </w:r>
      <w:r>
        <w:rPr>
          <w:spacing w:val="-3"/>
          <w:u w:val="single"/>
        </w:rPr>
        <w:t>购</w:t>
      </w:r>
      <w:r>
        <w:rPr>
          <w:u w:val="single"/>
        </w:rPr>
        <w:t>项</w:t>
      </w:r>
      <w:r>
        <w:rPr>
          <w:spacing w:val="-3"/>
          <w:u w:val="single"/>
        </w:rPr>
        <w:t>目</w:t>
      </w:r>
      <w:r>
        <w:rPr>
          <w:u w:val="single"/>
        </w:rPr>
        <w:t>名</w:t>
      </w:r>
      <w:r>
        <w:rPr>
          <w:spacing w:val="-3"/>
          <w:u w:val="single"/>
        </w:rPr>
        <w:t>称</w:t>
      </w:r>
      <w:r>
        <w:rPr>
          <w:u w:val="single"/>
        </w:rPr>
        <w:t>）</w:t>
      </w:r>
      <w:r>
        <w:rPr>
          <w:u w:val="single"/>
        </w:rPr>
        <w:tab/>
      </w:r>
      <w:r>
        <w:rPr>
          <w:spacing w:val="-3"/>
          <w:u w:val="single"/>
        </w:rPr>
        <w:t>（</w:t>
      </w:r>
      <w:r>
        <w:t>文</w:t>
      </w:r>
      <w:r>
        <w:rPr>
          <w:spacing w:val="-3"/>
        </w:rPr>
        <w:t>件</w:t>
      </w:r>
      <w:r>
        <w:t>编号</w:t>
      </w:r>
      <w:r>
        <w:rPr>
          <w:u w:val="single"/>
        </w:rPr>
        <w:t>：</w:t>
      </w:r>
      <w:r>
        <w:rPr>
          <w:u w:val="single"/>
        </w:rPr>
        <w:tab/>
      </w:r>
      <w:r>
        <w:t>）</w:t>
      </w:r>
    </w:p>
    <w:p>
      <w:pPr>
        <w:pStyle w:val="12"/>
        <w:spacing w:before="170"/>
        <w:ind w:left="337"/>
      </w:pPr>
      <w:r>
        <w:t>投标事宜，在此郑重声明：</w:t>
      </w:r>
    </w:p>
    <w:p>
      <w:pPr>
        <w:pStyle w:val="12"/>
        <w:spacing w:before="172"/>
        <w:ind w:left="801"/>
      </w:pPr>
      <w:r>
        <w:rPr>
          <w:rFonts w:ascii="Times New Roman" w:eastAsia="Times New Roman"/>
        </w:rPr>
        <w:t>1</w:t>
      </w:r>
      <w:r>
        <w:t>、我公司所提交的投标文件全部真实有效；</w:t>
      </w:r>
    </w:p>
    <w:p>
      <w:pPr>
        <w:pStyle w:val="12"/>
        <w:spacing w:before="171"/>
        <w:ind w:left="801"/>
      </w:pPr>
      <w:r>
        <w:rPr>
          <w:rFonts w:ascii="Times New Roman" w:eastAsia="Times New Roman"/>
        </w:rPr>
        <w:t>2</w:t>
      </w:r>
      <w:r>
        <w:t xml:space="preserve">、我公司近 </w:t>
      </w:r>
      <w:r>
        <w:rPr>
          <w:rFonts w:ascii="Times New Roman" w:eastAsia="Times New Roman"/>
        </w:rPr>
        <w:t xml:space="preserve">3 </w:t>
      </w:r>
      <w:r>
        <w:t>年来无因安全事故、质量事故、投标违规等不良记录被政府有关部门处罚期内的情形存</w:t>
      </w:r>
    </w:p>
    <w:p>
      <w:pPr>
        <w:pStyle w:val="12"/>
        <w:spacing w:before="170"/>
        <w:ind w:left="337"/>
      </w:pPr>
      <w:r>
        <w:t>在；</w:t>
      </w:r>
    </w:p>
    <w:p>
      <w:pPr>
        <w:pStyle w:val="12"/>
        <w:spacing w:before="172"/>
        <w:ind w:left="801"/>
      </w:pPr>
      <w:r>
        <w:rPr>
          <w:rFonts w:ascii="Times New Roman" w:eastAsia="Times New Roman"/>
        </w:rPr>
        <w:t>3</w:t>
      </w:r>
      <w:r>
        <w:t xml:space="preserve">、我公司近 </w:t>
      </w:r>
      <w:r>
        <w:rPr>
          <w:rFonts w:ascii="Times New Roman" w:eastAsia="Times New Roman"/>
        </w:rPr>
        <w:t xml:space="preserve">3 </w:t>
      </w:r>
      <w:r>
        <w:t>年来无违规违法经营受到责令停产（或停止经营）、吊销生产许可证（或经营许可证）、</w:t>
      </w:r>
    </w:p>
    <w:p>
      <w:pPr>
        <w:pStyle w:val="12"/>
        <w:spacing w:before="170"/>
        <w:ind w:left="337"/>
      </w:pPr>
      <w:r>
        <w:t>较大数额罚款等行政处罚的情形存在；</w:t>
      </w:r>
    </w:p>
    <w:p>
      <w:pPr>
        <w:pStyle w:val="12"/>
        <w:spacing w:before="171"/>
        <w:ind w:left="801"/>
      </w:pPr>
      <w:r>
        <w:rPr>
          <w:rFonts w:ascii="Times New Roman" w:eastAsia="Times New Roman"/>
        </w:rPr>
        <w:t>4</w:t>
      </w:r>
      <w:r>
        <w:t>、我公司无企业财产被查封、冻结或处于破产状态或严重亏损状态等情形存在；</w:t>
      </w:r>
    </w:p>
    <w:p>
      <w:pPr>
        <w:pStyle w:val="12"/>
        <w:spacing w:before="173" w:line="391" w:lineRule="auto"/>
        <w:ind w:left="337" w:right="329" w:firstLine="463"/>
      </w:pPr>
      <w:r>
        <w:rPr>
          <w:rFonts w:ascii="Times New Roman" w:eastAsia="Times New Roman"/>
        </w:rPr>
        <w:t>5</w:t>
      </w:r>
      <w:r>
        <w:rPr>
          <w:spacing w:val="-9"/>
        </w:rPr>
        <w:t>、我公司承诺在投标过程中，保证不与其他单位围标、串标，不出让投标资格，不采取不正当手段诋</w:t>
      </w:r>
      <w:r>
        <w:rPr>
          <w:spacing w:val="-5"/>
        </w:rPr>
        <w:t>毁、排挤其他投标投标人，不向、采购代理机构、评标委员会成员行贿。</w:t>
      </w:r>
    </w:p>
    <w:p>
      <w:pPr>
        <w:pStyle w:val="12"/>
        <w:spacing w:before="1" w:line="393" w:lineRule="auto"/>
        <w:ind w:left="337" w:right="328" w:firstLine="463"/>
      </w:pPr>
      <w:r>
        <w:t>6</w:t>
      </w:r>
      <w:r>
        <w:rPr>
          <w:spacing w:val="-9"/>
        </w:rPr>
        <w:t>、不存在“单位负责人为同一人或者存在直接控股、管理关系的不同供应商，参加同一合同项下的政</w:t>
      </w:r>
      <w:r>
        <w:rPr>
          <w:spacing w:val="-5"/>
        </w:rPr>
        <w:t>府采购活动”的情形。</w:t>
      </w:r>
    </w:p>
    <w:p>
      <w:pPr>
        <w:pStyle w:val="12"/>
        <w:spacing w:line="391" w:lineRule="auto"/>
        <w:ind w:left="337" w:right="330" w:firstLine="463"/>
      </w:pPr>
      <w:r>
        <w:t>以上声明若违反，一经查实，本公司愿意接受政府有关部门的相应处罚，并愿意承担由此带来的法律后果。</w:t>
      </w:r>
    </w:p>
    <w:p>
      <w:pPr>
        <w:pStyle w:val="12"/>
        <w:rPr>
          <w:sz w:val="20"/>
        </w:rPr>
      </w:pPr>
    </w:p>
    <w:p>
      <w:pPr>
        <w:pStyle w:val="12"/>
        <w:spacing w:before="6"/>
        <w:rPr>
          <w:sz w:val="14"/>
        </w:rPr>
      </w:pPr>
    </w:p>
    <w:p>
      <w:pPr>
        <w:pStyle w:val="12"/>
        <w:ind w:left="698"/>
      </w:pPr>
      <w:r>
        <w:t>特此声明！</w:t>
      </w:r>
    </w:p>
    <w:p>
      <w:pPr>
        <w:pStyle w:val="12"/>
        <w:tabs>
          <w:tab w:val="left" w:pos="4478"/>
        </w:tabs>
        <w:spacing w:before="170"/>
        <w:ind w:left="698"/>
      </w:pPr>
      <w:r>
        <w:t>投标</w:t>
      </w:r>
      <w:r>
        <w:rPr>
          <w:spacing w:val="-3"/>
        </w:rPr>
        <w:t>人</w:t>
      </w:r>
      <w:r>
        <w:t>名</w:t>
      </w:r>
      <w:r>
        <w:rPr>
          <w:spacing w:val="-3"/>
        </w:rPr>
        <w:t>称</w:t>
      </w:r>
      <w:r>
        <w:t>：</w:t>
      </w:r>
      <w:r>
        <w:rPr>
          <w:u w:val="single"/>
        </w:rPr>
        <w:t xml:space="preserve"> </w:t>
      </w:r>
      <w:r>
        <w:rPr>
          <w:u w:val="single"/>
        </w:rPr>
        <w:tab/>
      </w:r>
      <w:r>
        <w:t>（</w:t>
      </w:r>
      <w:r>
        <w:rPr>
          <w:spacing w:val="-3"/>
        </w:rPr>
        <w:t>盖</w:t>
      </w:r>
      <w:r>
        <w:t>章）</w:t>
      </w:r>
    </w:p>
    <w:p>
      <w:pPr>
        <w:pStyle w:val="12"/>
        <w:tabs>
          <w:tab w:val="left" w:pos="4478"/>
        </w:tabs>
        <w:spacing w:before="173"/>
        <w:ind w:left="698"/>
      </w:pPr>
      <w:r>
        <w:t>法定</w:t>
      </w:r>
      <w:r>
        <w:rPr>
          <w:spacing w:val="-3"/>
        </w:rPr>
        <w:t>代</w:t>
      </w:r>
      <w:r>
        <w:t>表</w:t>
      </w:r>
      <w:r>
        <w:rPr>
          <w:spacing w:val="-3"/>
        </w:rPr>
        <w:t>人</w:t>
      </w:r>
      <w:r>
        <w:t>或</w:t>
      </w:r>
      <w:r>
        <w:rPr>
          <w:spacing w:val="-3"/>
        </w:rPr>
        <w:t>被</w:t>
      </w:r>
      <w:r>
        <w:t>授</w:t>
      </w:r>
      <w:r>
        <w:rPr>
          <w:spacing w:val="-3"/>
        </w:rPr>
        <w:t>权</w:t>
      </w:r>
      <w:r>
        <w:t>人</w:t>
      </w:r>
      <w:r>
        <w:rPr>
          <w:spacing w:val="-3"/>
        </w:rPr>
        <w:t>：</w:t>
      </w:r>
      <w:r>
        <w:rPr>
          <w:spacing w:val="-3"/>
          <w:u w:val="single"/>
        </w:rPr>
        <w:t xml:space="preserve"> </w:t>
      </w:r>
      <w:r>
        <w:rPr>
          <w:spacing w:val="-3"/>
          <w:u w:val="single"/>
        </w:rPr>
        <w:tab/>
      </w:r>
      <w:r>
        <w:t>（</w:t>
      </w:r>
      <w:r>
        <w:rPr>
          <w:spacing w:val="-3"/>
        </w:rPr>
        <w:t>签</w:t>
      </w:r>
      <w:r>
        <w:t>字</w:t>
      </w:r>
      <w:r>
        <w:rPr>
          <w:spacing w:val="-3"/>
        </w:rPr>
        <w:t>或盖</w:t>
      </w:r>
      <w:r>
        <w:t>章）</w:t>
      </w:r>
    </w:p>
    <w:p>
      <w:pPr>
        <w:pStyle w:val="12"/>
        <w:tabs>
          <w:tab w:val="left" w:pos="1540"/>
          <w:tab w:val="left" w:pos="4526"/>
        </w:tabs>
        <w:spacing w:before="170"/>
        <w:ind w:left="698"/>
        <w:rPr>
          <w:rFonts w:ascii="Times New Roman" w:eastAsia="Times New Roman"/>
        </w:rPr>
      </w:pPr>
      <w:r>
        <w:t>日</w:t>
      </w:r>
      <w:r>
        <w:tab/>
      </w:r>
      <w:r>
        <w:rPr>
          <w:spacing w:val="-3"/>
        </w:rPr>
        <w:t>期</w:t>
      </w:r>
      <w:r>
        <w:t>：</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pgSz w:w="11910" w:h="16840"/>
          <w:pgMar w:top="1360" w:right="740" w:bottom="1080" w:left="740" w:header="880" w:footer="887" w:gutter="0"/>
        </w:sectPr>
      </w:pPr>
    </w:p>
    <w:p>
      <w:pPr>
        <w:pStyle w:val="12"/>
        <w:spacing w:before="2"/>
        <w:rPr>
          <w:rFonts w:ascii="Times New Roman"/>
          <w:sz w:val="13"/>
        </w:rPr>
      </w:pPr>
    </w:p>
    <w:p>
      <w:pPr>
        <w:pStyle w:val="6"/>
        <w:numPr>
          <w:ilvl w:val="0"/>
          <w:numId w:val="78"/>
        </w:numPr>
        <w:tabs>
          <w:tab w:val="left" w:pos="692"/>
        </w:tabs>
        <w:spacing w:before="70" w:after="0" w:line="240" w:lineRule="auto"/>
        <w:ind w:left="692" w:right="0" w:hanging="355"/>
        <w:jc w:val="left"/>
      </w:pPr>
      <w:bookmarkStart w:id="80" w:name="13.《拒绝政府采购领域商业贿赂承诺书》（格式）"/>
      <w:bookmarkEnd w:id="80"/>
      <w:bookmarkStart w:id="81" w:name="_bookmark13"/>
      <w:bookmarkEnd w:id="81"/>
      <w:bookmarkStart w:id="82" w:name="_bookmark13"/>
      <w:bookmarkEnd w:id="82"/>
      <w:r>
        <w:t>《拒绝政府采购领域商业贿赂承诺书》（格式）</w:t>
      </w:r>
    </w:p>
    <w:p>
      <w:pPr>
        <w:pStyle w:val="11"/>
        <w:spacing w:before="55"/>
        <w:ind w:left="336" w:right="332"/>
        <w:jc w:val="center"/>
      </w:pPr>
    </w:p>
    <w:p>
      <w:pPr>
        <w:pStyle w:val="11"/>
        <w:spacing w:before="55"/>
        <w:ind w:left="336" w:right="332"/>
        <w:jc w:val="center"/>
      </w:pPr>
      <w:r>
        <w:t>拒绝政府采购领域商业贿赂承诺书</w:t>
      </w:r>
    </w:p>
    <w:p>
      <w:pPr>
        <w:pStyle w:val="12"/>
        <w:rPr>
          <w:b/>
          <w:sz w:val="20"/>
        </w:rPr>
      </w:pPr>
    </w:p>
    <w:p>
      <w:pPr>
        <w:pStyle w:val="12"/>
        <w:spacing w:before="10"/>
        <w:rPr>
          <w:b/>
          <w:sz w:val="18"/>
        </w:rPr>
      </w:pPr>
    </w:p>
    <w:p>
      <w:pPr>
        <w:pStyle w:val="12"/>
        <w:ind w:left="758"/>
      </w:pPr>
      <w:r>
        <w:t>为响应党中央、国务院关于治理政府采购领域商业贿赂行为的号召，我单位在此庄严承诺：</w:t>
      </w:r>
    </w:p>
    <w:p>
      <w:pPr>
        <w:pStyle w:val="12"/>
        <w:spacing w:before="170"/>
        <w:ind w:left="548"/>
      </w:pPr>
      <w:r>
        <w:rPr>
          <w:rFonts w:ascii="Times New Roman" w:eastAsia="Times New Roman"/>
        </w:rPr>
        <w:t>1</w:t>
      </w:r>
      <w:r>
        <w:t>、在参与政府采购活动中遵纪守法、诚信经营、公平竞标。</w:t>
      </w:r>
    </w:p>
    <w:p>
      <w:pPr>
        <w:pStyle w:val="12"/>
        <w:spacing w:before="172"/>
        <w:ind w:left="548"/>
      </w:pPr>
      <w:r>
        <w:rPr>
          <w:rFonts w:ascii="Times New Roman" w:eastAsia="Times New Roman"/>
        </w:rPr>
        <w:t>2</w:t>
      </w:r>
      <w:r>
        <w:t>、不向采购人、采购代理机构和政府采购评审专家进行任何形式的商业贿赂以谋取交易机会。</w:t>
      </w:r>
    </w:p>
    <w:p>
      <w:pPr>
        <w:pStyle w:val="12"/>
        <w:spacing w:before="171" w:line="391" w:lineRule="auto"/>
        <w:ind w:left="337" w:right="328" w:firstLine="211"/>
      </w:pPr>
      <w:r>
        <w:rPr>
          <w:rFonts w:ascii="Times New Roman" w:eastAsia="Times New Roman"/>
        </w:rPr>
        <w:t>3</w:t>
      </w:r>
      <w:r>
        <w:rPr>
          <w:spacing w:val="-5"/>
        </w:rPr>
        <w:t>、不向政府采购采购代理机构和采购人提供虚假资质文件或采用虚假应标方式参与政府采购市场竞争并</w:t>
      </w:r>
      <w:r>
        <w:rPr>
          <w:spacing w:val="-4"/>
        </w:rPr>
        <w:t>谋取中标、成交。</w:t>
      </w:r>
    </w:p>
    <w:p>
      <w:pPr>
        <w:pStyle w:val="12"/>
        <w:spacing w:before="3"/>
        <w:ind w:left="548"/>
      </w:pPr>
      <w:r>
        <w:rPr>
          <w:rFonts w:ascii="Times New Roman" w:hAnsi="Times New Roman" w:eastAsia="Times New Roman"/>
        </w:rPr>
        <w:t>4</w:t>
      </w:r>
      <w:r>
        <w:t>、不采取</w:t>
      </w:r>
      <w:r>
        <w:rPr>
          <w:rFonts w:ascii="Times New Roman" w:hAnsi="Times New Roman" w:eastAsia="Times New Roman"/>
        </w:rPr>
        <w:t>“</w:t>
      </w:r>
      <w:r>
        <w:t>围标、陪标</w:t>
      </w:r>
      <w:r>
        <w:rPr>
          <w:rFonts w:ascii="Times New Roman" w:hAnsi="Times New Roman" w:eastAsia="Times New Roman"/>
        </w:rPr>
        <w:t>”</w:t>
      </w:r>
      <w:r>
        <w:t>等商业欺诈手段获得政府采购定单。</w:t>
      </w:r>
    </w:p>
    <w:p>
      <w:pPr>
        <w:pStyle w:val="12"/>
        <w:spacing w:before="171"/>
        <w:ind w:left="548"/>
      </w:pPr>
      <w:r>
        <w:rPr>
          <w:rFonts w:ascii="Times New Roman" w:eastAsia="Times New Roman"/>
        </w:rPr>
        <w:t>5</w:t>
      </w:r>
      <w:r>
        <w:t>、不采取不正当手段低毁、排挤其他投标人。</w:t>
      </w:r>
    </w:p>
    <w:p>
      <w:pPr>
        <w:pStyle w:val="12"/>
        <w:spacing w:before="170"/>
        <w:ind w:left="548"/>
      </w:pPr>
      <w:r>
        <w:rPr>
          <w:rFonts w:ascii="Times New Roman" w:hAnsi="Times New Roman" w:eastAsia="Times New Roman"/>
        </w:rPr>
        <w:t>6</w:t>
      </w:r>
      <w:r>
        <w:t>、不在提供商品和服务时</w:t>
      </w:r>
      <w:r>
        <w:rPr>
          <w:rFonts w:ascii="Times New Roman" w:hAnsi="Times New Roman" w:eastAsia="Times New Roman"/>
        </w:rPr>
        <w:t>“</w:t>
      </w:r>
      <w:r>
        <w:t>偷梁换柱、以次充好</w:t>
      </w:r>
      <w:r>
        <w:rPr>
          <w:rFonts w:ascii="Times New Roman" w:hAnsi="Times New Roman" w:eastAsia="Times New Roman"/>
        </w:rPr>
        <w:t>”</w:t>
      </w:r>
      <w:r>
        <w:t>损害的合法权益。</w:t>
      </w:r>
    </w:p>
    <w:p>
      <w:pPr>
        <w:pStyle w:val="12"/>
        <w:spacing w:before="173" w:line="391" w:lineRule="auto"/>
        <w:ind w:left="337" w:right="328" w:firstLine="211"/>
      </w:pPr>
      <w:r>
        <w:rPr>
          <w:rFonts w:ascii="Times New Roman" w:eastAsia="Times New Roman"/>
        </w:rPr>
        <w:t>7</w:t>
      </w:r>
      <w:r>
        <w:rPr>
          <w:spacing w:val="-5"/>
        </w:rPr>
        <w:t>、不与采购人、采购代理机构政府采购评审专家或其它投标人恶意串通，进行质疑和投诉，维护政府采</w:t>
      </w:r>
      <w:r>
        <w:rPr>
          <w:spacing w:val="-4"/>
        </w:rPr>
        <w:t>购市场秩序。</w:t>
      </w:r>
    </w:p>
    <w:p>
      <w:pPr>
        <w:pStyle w:val="12"/>
        <w:spacing w:before="1" w:line="393" w:lineRule="auto"/>
        <w:ind w:left="337" w:right="328" w:firstLine="211"/>
      </w:pPr>
      <w:r>
        <w:rPr>
          <w:rFonts w:ascii="Times New Roman" w:eastAsia="Times New Roman"/>
        </w:rPr>
        <w:t>8</w:t>
      </w:r>
      <w:r>
        <w:rPr>
          <w:spacing w:val="-5"/>
        </w:rPr>
        <w:t>、尊重和接受政府采购监督管理部门的监督和政府采购代理机构招标要求，承担因违约行为给采购人造</w:t>
      </w:r>
      <w:r>
        <w:rPr>
          <w:spacing w:val="-4"/>
        </w:rPr>
        <w:t>成的损失。</w:t>
      </w:r>
    </w:p>
    <w:p>
      <w:pPr>
        <w:pStyle w:val="12"/>
        <w:spacing w:line="267" w:lineRule="exact"/>
        <w:ind w:left="548"/>
      </w:pPr>
      <w:r>
        <w:rPr>
          <w:rFonts w:ascii="Times New Roman" w:eastAsia="Times New Roman"/>
        </w:rPr>
        <w:t>9</w:t>
      </w:r>
      <w:r>
        <w:t>、不发生其他有悖于政府采购公开、公平、公正和诚信原则的行为。</w:t>
      </w:r>
    </w:p>
    <w:p>
      <w:pPr>
        <w:pStyle w:val="12"/>
        <w:rPr>
          <w:sz w:val="22"/>
        </w:rPr>
      </w:pPr>
    </w:p>
    <w:p>
      <w:pPr>
        <w:pStyle w:val="12"/>
        <w:spacing w:before="10"/>
        <w:rPr>
          <w:sz w:val="25"/>
        </w:rPr>
      </w:pPr>
    </w:p>
    <w:p>
      <w:pPr>
        <w:pStyle w:val="12"/>
        <w:tabs>
          <w:tab w:val="left" w:pos="3909"/>
        </w:tabs>
        <w:ind w:left="443"/>
      </w:pPr>
      <w:r>
        <w:t>承</w:t>
      </w:r>
      <w:r>
        <w:rPr>
          <w:spacing w:val="-3"/>
        </w:rPr>
        <w:t>诺</w:t>
      </w:r>
      <w:r>
        <w:t>单</w:t>
      </w:r>
      <w:r>
        <w:rPr>
          <w:spacing w:val="-3"/>
        </w:rPr>
        <w:t>位</w:t>
      </w:r>
      <w:r>
        <w:t>：</w:t>
      </w:r>
      <w:r>
        <w:rPr>
          <w:u w:val="single"/>
        </w:rPr>
        <w:t xml:space="preserve"> </w:t>
      </w:r>
      <w:r>
        <w:rPr>
          <w:u w:val="single"/>
        </w:rPr>
        <w:tab/>
      </w:r>
      <w:r>
        <w:rPr>
          <w:spacing w:val="-3"/>
        </w:rPr>
        <w:t>（</w:t>
      </w:r>
      <w:r>
        <w:t>盖</w:t>
      </w:r>
      <w:r>
        <w:rPr>
          <w:spacing w:val="-3"/>
        </w:rPr>
        <w:t>章</w:t>
      </w:r>
      <w:r>
        <w:t>）</w:t>
      </w:r>
    </w:p>
    <w:p>
      <w:pPr>
        <w:pStyle w:val="12"/>
        <w:tabs>
          <w:tab w:val="left" w:pos="3909"/>
        </w:tabs>
        <w:spacing w:before="170"/>
        <w:ind w:left="443"/>
      </w:pPr>
      <w:r>
        <w:t>授权代</w:t>
      </w:r>
      <w:r>
        <w:rPr>
          <w:spacing w:val="-3"/>
        </w:rPr>
        <w:t>表</w:t>
      </w:r>
      <w:r>
        <w:t>：</w:t>
      </w:r>
      <w:r>
        <w:rPr>
          <w:u w:val="single"/>
        </w:rPr>
        <w:t xml:space="preserve"> </w:t>
      </w:r>
      <w:r>
        <w:rPr>
          <w:u w:val="single"/>
        </w:rPr>
        <w:tab/>
      </w:r>
      <w:r>
        <w:rPr>
          <w:spacing w:val="-3"/>
        </w:rPr>
        <w:t>（</w:t>
      </w:r>
      <w:r>
        <w:t>签</w:t>
      </w:r>
      <w:r>
        <w:rPr>
          <w:spacing w:val="-3"/>
        </w:rPr>
        <w:t>字</w:t>
      </w:r>
      <w:r>
        <w:t>）</w:t>
      </w:r>
    </w:p>
    <w:p>
      <w:pPr>
        <w:pStyle w:val="12"/>
        <w:tabs>
          <w:tab w:val="left" w:pos="1074"/>
        </w:tabs>
        <w:spacing w:before="170"/>
        <w:ind w:left="443"/>
      </w:pPr>
      <w:r>
        <w:t>地</w:t>
      </w:r>
      <w:r>
        <w:tab/>
      </w:r>
      <w:r>
        <w:t>址：</w:t>
      </w:r>
    </w:p>
    <w:p>
      <w:pPr>
        <w:pStyle w:val="12"/>
        <w:tabs>
          <w:tab w:val="left" w:pos="1089"/>
        </w:tabs>
        <w:spacing w:before="173"/>
        <w:ind w:left="457"/>
      </w:pPr>
      <w:r>
        <w:t>邮</w:t>
      </w:r>
      <w:r>
        <w:tab/>
      </w:r>
      <w:r>
        <w:t>编：</w:t>
      </w:r>
    </w:p>
    <w:p>
      <w:pPr>
        <w:pStyle w:val="12"/>
        <w:tabs>
          <w:tab w:val="left" w:pos="1089"/>
        </w:tabs>
        <w:spacing w:before="170"/>
        <w:ind w:left="457"/>
      </w:pPr>
      <w:r>
        <w:t>电</w:t>
      </w:r>
      <w:r>
        <w:tab/>
      </w:r>
      <w:r>
        <w:t>话：</w:t>
      </w:r>
    </w:p>
    <w:p>
      <w:pPr>
        <w:pStyle w:val="12"/>
        <w:rPr>
          <w:sz w:val="20"/>
        </w:rPr>
      </w:pPr>
    </w:p>
    <w:p>
      <w:pPr>
        <w:pStyle w:val="12"/>
        <w:spacing w:before="2"/>
        <w:rPr>
          <w:sz w:val="22"/>
        </w:rPr>
      </w:pPr>
    </w:p>
    <w:p>
      <w:pPr>
        <w:pStyle w:val="12"/>
        <w:tabs>
          <w:tab w:val="left" w:pos="631"/>
          <w:tab w:val="left" w:pos="1262"/>
        </w:tabs>
        <w:spacing w:before="71"/>
        <w:ind w:right="331"/>
        <w:jc w:val="right"/>
      </w:pPr>
      <w:r>
        <w:t>年</w:t>
      </w:r>
      <w:r>
        <w:tab/>
      </w:r>
      <w:r>
        <w:t>月</w:t>
      </w:r>
      <w:r>
        <w:tab/>
      </w:r>
      <w:r>
        <w:t>日</w:t>
      </w:r>
    </w:p>
    <w:p>
      <w:pPr>
        <w:spacing w:after="0"/>
        <w:jc w:val="right"/>
        <w:sectPr>
          <w:pgSz w:w="11910" w:h="16840"/>
          <w:pgMar w:top="1360" w:right="740" w:bottom="1080" w:left="740" w:header="880" w:footer="887" w:gutter="0"/>
        </w:sectPr>
      </w:pPr>
    </w:p>
    <w:p>
      <w:pPr>
        <w:pStyle w:val="12"/>
        <w:spacing w:before="10"/>
        <w:rPr>
          <w:sz w:val="11"/>
        </w:rPr>
      </w:pPr>
    </w:p>
    <w:p>
      <w:pPr>
        <w:pStyle w:val="6"/>
        <w:numPr>
          <w:ilvl w:val="0"/>
          <w:numId w:val="78"/>
        </w:numPr>
        <w:tabs>
          <w:tab w:val="left" w:pos="692"/>
        </w:tabs>
        <w:spacing w:before="70" w:after="0" w:line="240" w:lineRule="auto"/>
        <w:ind w:left="692" w:right="0" w:hanging="355"/>
        <w:jc w:val="left"/>
      </w:pPr>
      <w:bookmarkStart w:id="83" w:name="_bookmark14"/>
      <w:bookmarkEnd w:id="83"/>
      <w:bookmarkStart w:id="84" w:name="14.《小微企业声明函》"/>
      <w:bookmarkEnd w:id="84"/>
      <w:bookmarkStart w:id="85" w:name="_bookmark14"/>
      <w:bookmarkEnd w:id="85"/>
      <w:r>
        <w:t>《小微企业声明函》</w:t>
      </w:r>
    </w:p>
    <w:p>
      <w:pPr>
        <w:pStyle w:val="12"/>
        <w:spacing w:before="7"/>
        <w:rPr>
          <w:b/>
          <w:sz w:val="16"/>
        </w:rPr>
      </w:pPr>
    </w:p>
    <w:p>
      <w:pPr>
        <w:pStyle w:val="4"/>
        <w:spacing w:before="55"/>
      </w:pPr>
      <w:r>
        <w:t>小微企业声明函</w:t>
      </w:r>
    </w:p>
    <w:p>
      <w:pPr>
        <w:pStyle w:val="12"/>
        <w:rPr>
          <w:b/>
          <w:sz w:val="32"/>
        </w:rPr>
      </w:pPr>
    </w:p>
    <w:p>
      <w:pPr>
        <w:pStyle w:val="12"/>
        <w:spacing w:before="1"/>
        <w:rPr>
          <w:b/>
          <w:sz w:val="23"/>
        </w:rPr>
      </w:pPr>
    </w:p>
    <w:p>
      <w:pPr>
        <w:pStyle w:val="12"/>
        <w:ind w:left="337"/>
      </w:pPr>
      <w:r>
        <w:t>致：</w:t>
      </w:r>
      <w:r>
        <w:rPr>
          <w:rFonts w:hint="eastAsia"/>
          <w:sz w:val="28"/>
          <w:lang w:eastAsia="zh-CN"/>
        </w:rPr>
        <w:t>喀什铭远建设工程项目管理咨询有限公司</w:t>
      </w:r>
    </w:p>
    <w:p>
      <w:pPr>
        <w:pStyle w:val="12"/>
        <w:spacing w:before="170" w:line="391" w:lineRule="auto"/>
        <w:ind w:left="337" w:right="329" w:firstLine="434"/>
      </w:pPr>
      <w:r>
        <w:rPr>
          <w:spacing w:val="-7"/>
        </w:rPr>
        <w:t>本公司郑重声明，根据《政府采购促进中小企业发展暂行办法》</w:t>
      </w:r>
      <w:r>
        <w:t>（</w:t>
      </w:r>
      <w:r>
        <w:rPr>
          <w:spacing w:val="-6"/>
        </w:rPr>
        <w:t>财库【</w:t>
      </w:r>
      <w:r>
        <w:rPr>
          <w:rFonts w:ascii="Times New Roman" w:eastAsia="Times New Roman"/>
        </w:rPr>
        <w:t>2011</w:t>
      </w:r>
      <w:r>
        <w:rPr>
          <w:spacing w:val="-10"/>
        </w:rPr>
        <w:t>】</w:t>
      </w:r>
      <w:r>
        <w:rPr>
          <w:rFonts w:ascii="Times New Roman" w:eastAsia="Times New Roman"/>
        </w:rPr>
        <w:t xml:space="preserve">181 </w:t>
      </w:r>
      <w:r>
        <w:rPr>
          <w:spacing w:val="-3"/>
        </w:rPr>
        <w:t>号</w:t>
      </w:r>
      <w:r>
        <w:rPr>
          <w:spacing w:val="-10"/>
        </w:rPr>
        <w:t>）</w:t>
      </w:r>
      <w:r>
        <w:rPr>
          <w:spacing w:val="-5"/>
        </w:rPr>
        <w:t>的规定，本公司为</w:t>
      </w:r>
      <w:r>
        <w:rPr>
          <w:spacing w:val="-3"/>
        </w:rPr>
        <w:t>（请填写：中型、小型、微型）企业。即，本公司同时满足以下条件：</w:t>
      </w:r>
    </w:p>
    <w:p>
      <w:pPr>
        <w:pStyle w:val="12"/>
        <w:spacing w:before="4" w:line="391" w:lineRule="auto"/>
        <w:ind w:left="337" w:right="230" w:firstLine="434"/>
      </w:pPr>
      <w:r>
        <w:rPr>
          <w:rFonts w:ascii="Times New Roman" w:eastAsia="Times New Roman"/>
        </w:rPr>
        <w:t>1</w:t>
      </w:r>
      <w:r>
        <w:rPr>
          <w:spacing w:val="-6"/>
        </w:rPr>
        <w:t>、根据《工业和信息化部、国家统计局、国家发展和改革委员会、财政部关于印发中小企业划型标准</w:t>
      </w:r>
      <w:r>
        <w:rPr>
          <w:spacing w:val="-4"/>
        </w:rPr>
        <w:t>规定的通知》</w:t>
      </w:r>
      <w:r>
        <w:rPr>
          <w:spacing w:val="-3"/>
        </w:rPr>
        <w:t>（工信部联企业【</w:t>
      </w:r>
      <w:r>
        <w:rPr>
          <w:rFonts w:ascii="Times New Roman" w:eastAsia="Times New Roman"/>
        </w:rPr>
        <w:t>2011</w:t>
      </w:r>
      <w:r>
        <w:t>】</w:t>
      </w:r>
      <w:r>
        <w:rPr>
          <w:rFonts w:ascii="Times New Roman" w:eastAsia="Times New Roman"/>
        </w:rPr>
        <w:t>300</w:t>
      </w:r>
      <w:r>
        <w:rPr>
          <w:rFonts w:ascii="Times New Roman" w:eastAsia="Times New Roman"/>
          <w:spacing w:val="47"/>
        </w:rPr>
        <w:t xml:space="preserve"> </w:t>
      </w:r>
      <w:r>
        <w:rPr>
          <w:spacing w:val="-3"/>
        </w:rPr>
        <w:t>号</w:t>
      </w:r>
      <w:r>
        <w:t>）</w:t>
      </w:r>
      <w:r>
        <w:rPr>
          <w:spacing w:val="-3"/>
        </w:rPr>
        <w:t>规定的划分标准，本公司为</w:t>
      </w:r>
      <w:r>
        <w:t>（请填写：中型、小型、微型） 企业。</w:t>
      </w:r>
    </w:p>
    <w:p>
      <w:pPr>
        <w:pStyle w:val="12"/>
        <w:spacing w:before="5" w:line="391" w:lineRule="auto"/>
        <w:ind w:left="337" w:right="329" w:firstLine="420"/>
      </w:pPr>
      <w:r>
        <w:rPr>
          <w:rFonts w:ascii="Times New Roman" w:eastAsia="Times New Roman"/>
        </w:rPr>
        <w:t>2</w:t>
      </w:r>
      <w:r>
        <w:rPr>
          <w:spacing w:val="-4"/>
        </w:rPr>
        <w:t>、本公司参加</w:t>
      </w:r>
      <w:r>
        <w:t>（</w:t>
      </w:r>
      <w:r>
        <w:rPr>
          <w:spacing w:val="-2"/>
        </w:rPr>
        <w:t>采购人</w:t>
      </w:r>
      <w:r>
        <w:rPr>
          <w:spacing w:val="-5"/>
        </w:rPr>
        <w:t>）的项目采购活动提供本企业制造的货物，由本企业承担工程、提供服务，或</w:t>
      </w:r>
      <w:r>
        <w:rPr>
          <w:spacing w:val="-4"/>
        </w:rPr>
        <w:t>者提供其他</w:t>
      </w:r>
      <w:r>
        <w:t>（</w:t>
      </w:r>
      <w:r>
        <w:rPr>
          <w:spacing w:val="-3"/>
        </w:rPr>
        <w:t>请填写：中型、小型、微型</w:t>
      </w:r>
      <w:r>
        <w:t>）</w:t>
      </w:r>
      <w:r>
        <w:rPr>
          <w:spacing w:val="-3"/>
        </w:rPr>
        <w:t>企业制造的货物。本条所称货物不包括使用大型企业注册商标的货物。</w:t>
      </w:r>
    </w:p>
    <w:p>
      <w:pPr>
        <w:pStyle w:val="12"/>
        <w:spacing w:before="4" w:line="391" w:lineRule="auto"/>
        <w:ind w:left="758" w:right="3360"/>
      </w:pPr>
      <w:r>
        <w:t>本公司对以上声明的真实性负责。如有虚假，将依法承担相应责任。特此声明！</w:t>
      </w:r>
    </w:p>
    <w:p>
      <w:pPr>
        <w:pStyle w:val="11"/>
        <w:spacing w:before="1"/>
        <w:ind w:left="760"/>
      </w:pPr>
      <w:r>
        <w:t>注：非小微企业此声明函可不填写。</w:t>
      </w: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spacing w:before="7"/>
        <w:rPr>
          <w:b/>
          <w:sz w:val="16"/>
        </w:rPr>
      </w:pPr>
    </w:p>
    <w:p>
      <w:pPr>
        <w:pStyle w:val="12"/>
        <w:spacing w:line="391" w:lineRule="auto"/>
        <w:ind w:left="3909" w:right="4411"/>
      </w:pPr>
      <w:r>
        <w:t>投标人名称（公章）： 日期：</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3"/>
        <w:rPr>
          <w:sz w:val="27"/>
        </w:rPr>
      </w:pPr>
    </w:p>
    <w:p>
      <w:pPr>
        <w:pStyle w:val="12"/>
        <w:spacing w:line="393" w:lineRule="auto"/>
        <w:ind w:left="337" w:right="417" w:firstLine="420"/>
      </w:pPr>
      <w:r>
        <w:t>备注：投标人提供的《小微企业声明函》必须真实有效，如果被举报经查实出具虚假声明函的，将被取消投标资格，并按有关规定予以处理。</w:t>
      </w:r>
    </w:p>
    <w:p>
      <w:pPr>
        <w:spacing w:after="0" w:line="393" w:lineRule="auto"/>
        <w:sectPr>
          <w:pgSz w:w="11910" w:h="16840"/>
          <w:pgMar w:top="1360" w:right="740" w:bottom="1080" w:left="740" w:header="880" w:footer="887" w:gutter="0"/>
        </w:sectPr>
      </w:pPr>
    </w:p>
    <w:p>
      <w:pPr>
        <w:pStyle w:val="12"/>
        <w:spacing w:before="10"/>
        <w:rPr>
          <w:sz w:val="11"/>
        </w:rPr>
      </w:pPr>
    </w:p>
    <w:p>
      <w:pPr>
        <w:pStyle w:val="6"/>
        <w:spacing w:before="70"/>
      </w:pPr>
      <w:bookmarkStart w:id="86" w:name="_bookmark15"/>
      <w:bookmarkEnd w:id="86"/>
      <w:bookmarkStart w:id="87" w:name="15、《残疾人福利性单位声明函》"/>
      <w:bookmarkEnd w:id="87"/>
      <w:r>
        <w:rPr>
          <w:rFonts w:ascii="Times New Roman" w:eastAsia="Times New Roman"/>
        </w:rPr>
        <w:t>15</w:t>
      </w:r>
      <w:r>
        <w:t>、《残疾人福利性单位声明函》</w:t>
      </w:r>
    </w:p>
    <w:p>
      <w:pPr>
        <w:pStyle w:val="4"/>
        <w:ind w:left="331"/>
      </w:pPr>
      <w:r>
        <w:t>残疾人福利性单位声明函</w:t>
      </w:r>
    </w:p>
    <w:p>
      <w:pPr>
        <w:pStyle w:val="12"/>
        <w:rPr>
          <w:b/>
          <w:sz w:val="32"/>
        </w:rPr>
      </w:pPr>
    </w:p>
    <w:p>
      <w:pPr>
        <w:pStyle w:val="12"/>
        <w:spacing w:before="7"/>
        <w:rPr>
          <w:b/>
          <w:sz w:val="39"/>
        </w:rPr>
      </w:pPr>
    </w:p>
    <w:p>
      <w:pPr>
        <w:pStyle w:val="12"/>
        <w:ind w:left="758"/>
      </w:pPr>
      <w:r>
        <w:t>本单位郑重声明，根据《财政部 民政部 中国残疾人联合会关于促进残疾人就业政府采购政策的通知》</w:t>
      </w:r>
    </w:p>
    <w:p>
      <w:pPr>
        <w:pStyle w:val="12"/>
        <w:tabs>
          <w:tab w:val="left" w:pos="8412"/>
          <w:tab w:val="left" w:pos="8775"/>
          <w:tab w:val="left" w:pos="10138"/>
        </w:tabs>
        <w:spacing w:before="170" w:line="393" w:lineRule="auto"/>
        <w:ind w:left="337" w:right="285"/>
      </w:pPr>
      <w:r>
        <mc:AlternateContent>
          <mc:Choice Requires="wps">
            <w:drawing>
              <wp:anchor distT="0" distB="0" distL="114300" distR="114300" simplePos="0" relativeHeight="245008384" behindDoc="1" locked="0" layoutInCell="1" allowOverlap="1">
                <wp:simplePos x="0" y="0"/>
                <wp:positionH relativeFrom="page">
                  <wp:posOffset>5677535</wp:posOffset>
                </wp:positionH>
                <wp:positionV relativeFrom="paragraph">
                  <wp:posOffset>267335</wp:posOffset>
                </wp:positionV>
                <wp:extent cx="400685" cy="0"/>
                <wp:effectExtent l="0" t="0" r="0" b="0"/>
                <wp:wrapNone/>
                <wp:docPr id="1" name="直线 6"/>
                <wp:cNvGraphicFramePr/>
                <a:graphic xmlns:a="http://schemas.openxmlformats.org/drawingml/2006/main">
                  <a:graphicData uri="http://schemas.microsoft.com/office/word/2010/wordprocessingShape">
                    <wps:wsp>
                      <wps:cNvCnPr/>
                      <wps:spPr>
                        <a:xfrm>
                          <a:off x="0" y="0"/>
                          <a:ext cx="400685" cy="0"/>
                        </a:xfrm>
                        <a:prstGeom prst="line">
                          <a:avLst/>
                        </a:prstGeom>
                        <a:ln w="5364"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447.05pt;margin-top:21.05pt;height:0pt;width:31.55pt;mso-position-horizontal-relative:page;z-index:-258308096;mso-width-relative:page;mso-height-relative:page;" filled="f" stroked="t" coordsize="21600,21600" o:gfxdata="UEsDBAoAAAAAAIdO4kAAAAAAAAAAAAAAAAAEAAAAZHJzL1BLAwQUAAAACACHTuJAjv2JYdgAAAAJ&#10;AQAADwAAAGRycy9kb3ducmV2LnhtbE2PPU/EMAyGdyT+Q2QkFsQlLUe5K01vADGwwRUh3ZY2pqma&#10;OFWT+4BfTxADTJbtR68fV5uTs+yAcxg8ScgWAhhS5/VAvYS35ul6BSxERVpZTyjhEwNs6vOzSpXa&#10;H+kVD9vYsxRCoVQSTIxTyXnoDDoVFn5CSrsPPzsVUzv3XM/qmMKd5bkQBXdqoHTBqAkfDHbjdu8k&#10;FPb9pimeX8bwZca+3fFHcbVrpLy8yMQ9sIin+AfDj35Shzo5tX5POjArYbVeZgmVsMxTTcD69i4H&#10;1v4OeF3x/x/U31BLAwQUAAAACACHTuJAbFg62OcBAADaAwAADgAAAGRycy9lMm9Eb2MueG1srVNL&#10;btswEN0XyB0I7mPZaWIEguUs4qabojXQ5gBjkpII8AcObdln6TW66qbHyTU6pBzn040X1YIacoZv&#10;5r0ZLu721rCdiqi9a/hsMuVMOeGldl3DH388XN5yhgmcBOOdavhBIb9bXnxYDKFWV773RqrICMRh&#10;PYSG9ymFuqpQ9MoCTnxQjpytjxYSbWNXyQgDoVtTXU2n82rwUYbohUKk09Xo5EfEeA6gb1st1MqL&#10;rVUujahRGUhECXsdkC9LtW2rRPrWtqgSMw0npqmslITsTV6r5QLqLkLotTiWAOeU8I6TBe0o6Qlq&#10;BQnYNup/oKwW0aNv00R4W41EiiLEYjZ9p833HoIqXEhqDCfR8f/Biq+7dWRa0iRw5sBSw59+/nr6&#10;/YfNszZDwJpC7t06HncY1jET3bfR5j9RYPui5+Gkp9onJujwmtp9e8OZeHZVL/dCxPRZecuy0XCj&#10;XWYKNey+YKJcFPocko+NY0PDbz7OrwkOaOxaajeZNlDp6LpyF73R8kEbk29g7Db3JrId5NaXLzMi&#10;3DdhOckKsB/jimscil6B/OQkS4dAojh6CzyXYJXkzCh6OtkiQKgTaHNOJKU2jirIoo4yZmvj5YFa&#10;sA1Rdz0pMStVZg+1vNR7HM88U6/3BenlSS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79iWHY&#10;AAAACQEAAA8AAAAAAAAAAQAgAAAAIgAAAGRycy9kb3ducmV2LnhtbFBLAQIUABQAAAAIAIdO4kBs&#10;WDrY5wEAANoDAAAOAAAAAAAAAAEAIAAAACcBAABkcnMvZTJvRG9jLnhtbFBLBQYAAAAABgAGAFkB&#10;AACABQAAAAA=&#10;">
                <v:fill on="f" focussize="0,0"/>
                <v:stroke weight="0.422362204724409pt" color="#000000" joinstyle="round"/>
                <v:imagedata o:title=""/>
                <o:lock v:ext="edit" aspectratio="f"/>
              </v:line>
            </w:pict>
          </mc:Fallback>
        </mc:AlternateContent>
      </w:r>
      <w:r>
        <w:t>（财</w:t>
      </w:r>
      <w:r>
        <w:rPr>
          <w:spacing w:val="-80"/>
        </w:rPr>
        <w:t>库</w:t>
      </w:r>
      <w:r>
        <w:t>〔</w:t>
      </w:r>
      <w:r>
        <w:rPr>
          <w:rFonts w:ascii="Times New Roman" w:eastAsia="Times New Roman"/>
        </w:rPr>
        <w:t>2017</w:t>
      </w:r>
      <w:r>
        <w:rPr>
          <w:spacing w:val="28"/>
        </w:rPr>
        <w:t>〕</w:t>
      </w:r>
      <w:r>
        <w:rPr>
          <w:rFonts w:ascii="Times New Roman" w:eastAsia="Times New Roman"/>
        </w:rPr>
        <w:t>141</w:t>
      </w:r>
      <w:r>
        <w:rPr>
          <w:rFonts w:ascii="Times New Roman" w:eastAsia="Times New Roman"/>
          <w:spacing w:val="10"/>
        </w:rPr>
        <w:t xml:space="preserve"> </w:t>
      </w:r>
      <w:r>
        <w:rPr>
          <w:spacing w:val="-3"/>
        </w:rPr>
        <w:t>号</w:t>
      </w:r>
      <w:r>
        <w:rPr>
          <w:spacing w:val="-77"/>
        </w:rPr>
        <w:t>）</w:t>
      </w:r>
      <w:r>
        <w:rPr>
          <w:spacing w:val="-3"/>
        </w:rPr>
        <w:t>的</w:t>
      </w:r>
      <w:r>
        <w:t>规定</w:t>
      </w:r>
      <w:r>
        <w:rPr>
          <w:spacing w:val="-80"/>
        </w:rPr>
        <w:t>，</w:t>
      </w:r>
      <w:r>
        <w:t>本</w:t>
      </w:r>
      <w:r>
        <w:rPr>
          <w:spacing w:val="-3"/>
        </w:rPr>
        <w:t>单</w:t>
      </w:r>
      <w:r>
        <w:t>位</w:t>
      </w:r>
      <w:r>
        <w:rPr>
          <w:spacing w:val="-3"/>
        </w:rPr>
        <w:t>为</w:t>
      </w:r>
      <w:r>
        <w:t>符</w:t>
      </w:r>
      <w:r>
        <w:rPr>
          <w:spacing w:val="-3"/>
        </w:rPr>
        <w:t>合</w:t>
      </w:r>
      <w:r>
        <w:t>条</w:t>
      </w:r>
      <w:r>
        <w:rPr>
          <w:spacing w:val="-3"/>
        </w:rPr>
        <w:t>件的</w:t>
      </w:r>
      <w:r>
        <w:t>残疾</w:t>
      </w:r>
      <w:r>
        <w:rPr>
          <w:spacing w:val="-3"/>
        </w:rPr>
        <w:t>人</w:t>
      </w:r>
      <w:r>
        <w:t>福</w:t>
      </w:r>
      <w:r>
        <w:rPr>
          <w:spacing w:val="-3"/>
        </w:rPr>
        <w:t>利</w:t>
      </w:r>
      <w:r>
        <w:t>性</w:t>
      </w:r>
      <w:r>
        <w:rPr>
          <w:spacing w:val="-3"/>
        </w:rPr>
        <w:t>单</w:t>
      </w:r>
      <w:r>
        <w:t>位</w:t>
      </w:r>
      <w:r>
        <w:rPr>
          <w:spacing w:val="-80"/>
        </w:rPr>
        <w:t>，</w:t>
      </w:r>
      <w:r>
        <w:t>且</w:t>
      </w:r>
      <w:r>
        <w:rPr>
          <w:spacing w:val="-3"/>
        </w:rPr>
        <w:t>本单</w:t>
      </w:r>
      <w:r>
        <w:t>位参加</w:t>
      </w:r>
      <w:r>
        <w:tab/>
      </w:r>
      <w:r>
        <w:rPr>
          <w:u w:val="single"/>
        </w:rPr>
        <w:t xml:space="preserve"> </w:t>
      </w:r>
      <w:r>
        <w:rPr>
          <w:u w:val="single"/>
        </w:rPr>
        <w:tab/>
      </w:r>
      <w:r>
        <w:rPr>
          <w:spacing w:val="-3"/>
        </w:rPr>
        <w:t>单</w:t>
      </w:r>
      <w:r>
        <w:t>位</w:t>
      </w:r>
      <w:r>
        <w:rPr>
          <w:spacing w:val="-3"/>
        </w:rPr>
        <w:t>的</w:t>
      </w:r>
      <w:r>
        <w:rPr>
          <w:spacing w:val="-3"/>
          <w:u w:val="single"/>
        </w:rPr>
        <w:tab/>
      </w:r>
      <w:r>
        <w:rPr>
          <w:spacing w:val="-1"/>
          <w:u w:val="single"/>
        </w:rPr>
        <w:t xml:space="preserve">    </w:t>
      </w:r>
      <w:r>
        <w:rPr>
          <w:spacing w:val="4"/>
          <w:u w:val="single"/>
        </w:rPr>
        <w:t xml:space="preserve"> </w:t>
      </w:r>
      <w:r>
        <w:rPr>
          <w:spacing w:val="-1"/>
        </w:rPr>
        <w:t>项目</w:t>
      </w:r>
      <w:r>
        <w:rPr>
          <w:spacing w:val="-3"/>
        </w:rPr>
        <w:t>采</w:t>
      </w:r>
      <w:r>
        <w:rPr>
          <w:spacing w:val="-1"/>
        </w:rPr>
        <w:t>购</w:t>
      </w:r>
      <w:r>
        <w:rPr>
          <w:spacing w:val="-3"/>
        </w:rPr>
        <w:t>活</w:t>
      </w:r>
      <w:r>
        <w:t>动</w:t>
      </w:r>
      <w:r>
        <w:rPr>
          <w:spacing w:val="-3"/>
        </w:rPr>
        <w:t>提</w:t>
      </w:r>
      <w:r>
        <w:t>供</w:t>
      </w:r>
      <w:r>
        <w:rPr>
          <w:spacing w:val="-3"/>
        </w:rPr>
        <w:t>本</w:t>
      </w:r>
      <w:r>
        <w:t>单</w:t>
      </w:r>
      <w:r>
        <w:rPr>
          <w:spacing w:val="-3"/>
        </w:rPr>
        <w:t>位</w:t>
      </w:r>
      <w:r>
        <w:t>制造</w:t>
      </w:r>
      <w:r>
        <w:rPr>
          <w:spacing w:val="-3"/>
        </w:rPr>
        <w:t>的</w:t>
      </w:r>
      <w:r>
        <w:t>货</w:t>
      </w:r>
      <w:r>
        <w:rPr>
          <w:spacing w:val="-3"/>
        </w:rPr>
        <w:t>物</w:t>
      </w:r>
      <w:r>
        <w:t>（</w:t>
      </w:r>
      <w:r>
        <w:rPr>
          <w:spacing w:val="-3"/>
        </w:rPr>
        <w:t>由</w:t>
      </w:r>
      <w:r>
        <w:t>本</w:t>
      </w:r>
      <w:r>
        <w:rPr>
          <w:spacing w:val="-3"/>
        </w:rPr>
        <w:t>单</w:t>
      </w:r>
      <w:r>
        <w:t>位</w:t>
      </w:r>
      <w:r>
        <w:rPr>
          <w:spacing w:val="-3"/>
        </w:rPr>
        <w:t>承</w:t>
      </w:r>
      <w:r>
        <w:t>担工程</w:t>
      </w:r>
      <w:r>
        <w:rPr>
          <w:rFonts w:ascii="Times New Roman" w:eastAsia="Times New Roman"/>
          <w:spacing w:val="-4"/>
        </w:rPr>
        <w:t>/</w:t>
      </w:r>
      <w:r>
        <w:t>提</w:t>
      </w:r>
      <w:r>
        <w:rPr>
          <w:spacing w:val="-3"/>
        </w:rPr>
        <w:t>供</w:t>
      </w:r>
      <w:r>
        <w:t>服</w:t>
      </w:r>
      <w:r>
        <w:rPr>
          <w:spacing w:val="-3"/>
        </w:rPr>
        <w:t>务</w:t>
      </w:r>
      <w:r>
        <w:t>），或</w:t>
      </w:r>
      <w:r>
        <w:rPr>
          <w:spacing w:val="-3"/>
        </w:rPr>
        <w:t>者</w:t>
      </w:r>
      <w:r>
        <w:t>提供</w:t>
      </w:r>
      <w:r>
        <w:rPr>
          <w:spacing w:val="-3"/>
        </w:rPr>
        <w:t>其</w:t>
      </w:r>
      <w:r>
        <w:t>他</w:t>
      </w:r>
      <w:r>
        <w:rPr>
          <w:spacing w:val="-3"/>
        </w:rPr>
        <w:t>残</w:t>
      </w:r>
      <w:r>
        <w:t>疾</w:t>
      </w:r>
      <w:r>
        <w:rPr>
          <w:spacing w:val="-3"/>
        </w:rPr>
        <w:t>人</w:t>
      </w:r>
      <w:r>
        <w:rPr>
          <w:spacing w:val="-57"/>
        </w:rPr>
        <w:t xml:space="preserve"> </w:t>
      </w:r>
      <w:r>
        <w:t>福</w:t>
      </w:r>
      <w:r>
        <w:rPr>
          <w:spacing w:val="-3"/>
        </w:rPr>
        <w:t>利</w:t>
      </w:r>
      <w:r>
        <w:t>性</w:t>
      </w:r>
      <w:r>
        <w:rPr>
          <w:spacing w:val="-3"/>
        </w:rPr>
        <w:t>单</w:t>
      </w:r>
      <w:r>
        <w:t>位制造的</w:t>
      </w:r>
      <w:r>
        <w:rPr>
          <w:spacing w:val="-3"/>
        </w:rPr>
        <w:t>货</w:t>
      </w:r>
      <w:r>
        <w:t>物</w:t>
      </w:r>
      <w:r>
        <w:rPr>
          <w:spacing w:val="-3"/>
        </w:rPr>
        <w:t>（</w:t>
      </w:r>
      <w:r>
        <w:t>不</w:t>
      </w:r>
      <w:r>
        <w:rPr>
          <w:spacing w:val="-3"/>
        </w:rPr>
        <w:t>包</w:t>
      </w:r>
      <w:r>
        <w:t>括</w:t>
      </w:r>
      <w:r>
        <w:rPr>
          <w:spacing w:val="-3"/>
        </w:rPr>
        <w:t>使</w:t>
      </w:r>
      <w:r>
        <w:t>用</w:t>
      </w:r>
      <w:r>
        <w:rPr>
          <w:spacing w:val="-3"/>
        </w:rPr>
        <w:t>非</w:t>
      </w:r>
      <w:r>
        <w:t>残疾</w:t>
      </w:r>
      <w:r>
        <w:rPr>
          <w:spacing w:val="-3"/>
        </w:rPr>
        <w:t>人</w:t>
      </w:r>
      <w:r>
        <w:t>福</w:t>
      </w:r>
      <w:r>
        <w:rPr>
          <w:spacing w:val="-3"/>
        </w:rPr>
        <w:t>利</w:t>
      </w:r>
      <w:r>
        <w:t>性</w:t>
      </w:r>
      <w:r>
        <w:rPr>
          <w:spacing w:val="-3"/>
        </w:rPr>
        <w:t>单</w:t>
      </w:r>
      <w:r>
        <w:t>位</w:t>
      </w:r>
      <w:r>
        <w:rPr>
          <w:spacing w:val="-3"/>
        </w:rPr>
        <w:t>注</w:t>
      </w:r>
      <w:r>
        <w:t>册</w:t>
      </w:r>
      <w:r>
        <w:rPr>
          <w:spacing w:val="-3"/>
        </w:rPr>
        <w:t>商</w:t>
      </w:r>
      <w:r>
        <w:t>标的</w:t>
      </w:r>
      <w:r>
        <w:rPr>
          <w:spacing w:val="-3"/>
        </w:rPr>
        <w:t>货</w:t>
      </w:r>
      <w:r>
        <w:t>物</w:t>
      </w:r>
      <w:r>
        <w:rPr>
          <w:spacing w:val="-3"/>
        </w:rPr>
        <w:t>）</w:t>
      </w:r>
      <w:r>
        <w:t>。</w:t>
      </w:r>
    </w:p>
    <w:p>
      <w:pPr>
        <w:spacing w:before="0" w:line="393" w:lineRule="auto"/>
        <w:ind w:left="866" w:right="3254" w:hanging="3"/>
        <w:jc w:val="left"/>
        <w:rPr>
          <w:b/>
          <w:sz w:val="21"/>
        </w:rPr>
      </w:pPr>
      <w:r>
        <w:rPr>
          <w:sz w:val="21"/>
        </w:rPr>
        <w:t>本单位对上述声明的真实性负责。如有虚假，将依法承担相应责任。</w:t>
      </w:r>
      <w:r>
        <w:rPr>
          <w:b/>
          <w:sz w:val="21"/>
        </w:rPr>
        <w:t>注：非残疾人福利性单位此声明函可不填写。</w:t>
      </w:r>
    </w:p>
    <w:p>
      <w:pPr>
        <w:pStyle w:val="12"/>
        <w:rPr>
          <w:b/>
          <w:sz w:val="20"/>
        </w:rPr>
      </w:pPr>
    </w:p>
    <w:p>
      <w:pPr>
        <w:pStyle w:val="12"/>
        <w:tabs>
          <w:tab w:val="left" w:pos="6526"/>
        </w:tabs>
        <w:spacing w:before="178" w:line="393" w:lineRule="auto"/>
        <w:ind w:left="6106" w:right="2741" w:hanging="315"/>
      </w:pPr>
      <w:r>
        <w:t>单</w:t>
      </w:r>
      <w:r>
        <w:rPr>
          <w:spacing w:val="-3"/>
        </w:rPr>
        <w:t>位</w:t>
      </w:r>
      <w:r>
        <w:t>名</w:t>
      </w:r>
      <w:r>
        <w:rPr>
          <w:spacing w:val="-3"/>
        </w:rPr>
        <w:t>称</w:t>
      </w:r>
      <w:r>
        <w:t>（</w:t>
      </w:r>
      <w:r>
        <w:rPr>
          <w:spacing w:val="-3"/>
        </w:rPr>
        <w:t>盖</w:t>
      </w:r>
      <w:r>
        <w:t>章</w:t>
      </w:r>
      <w:r>
        <w:rPr>
          <w:spacing w:val="-10"/>
        </w:rPr>
        <w:t xml:space="preserve">）： </w:t>
      </w:r>
      <w:r>
        <w:t>日</w:t>
      </w:r>
      <w:r>
        <w:tab/>
      </w:r>
      <w:r>
        <w:t>期：</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5"/>
        </w:rPr>
      </w:pPr>
    </w:p>
    <w:p>
      <w:pPr>
        <w:pStyle w:val="12"/>
        <w:spacing w:line="391" w:lineRule="auto"/>
        <w:ind w:left="337" w:right="417" w:firstLine="420"/>
      </w:pPr>
      <w:r>
        <w:t>备注：投标人提供的《残疾人福利性单位声明函》必须真实有效，如果被举报经查实出具虚假声明函的，将被取消投标资格，并按有关规定予以处理。</w:t>
      </w:r>
    </w:p>
    <w:p>
      <w:pPr>
        <w:spacing w:after="0" w:line="391" w:lineRule="auto"/>
        <w:sectPr>
          <w:pgSz w:w="11910" w:h="16840"/>
          <w:pgMar w:top="1360" w:right="740" w:bottom="1080" w:left="740" w:header="880" w:footer="887" w:gutter="0"/>
        </w:sectPr>
      </w:pPr>
    </w:p>
    <w:p>
      <w:pPr>
        <w:pStyle w:val="12"/>
        <w:spacing w:before="10"/>
        <w:rPr>
          <w:sz w:val="11"/>
        </w:rPr>
      </w:pPr>
    </w:p>
    <w:p>
      <w:pPr>
        <w:pStyle w:val="6"/>
        <w:spacing w:before="70"/>
      </w:pPr>
      <w:bookmarkStart w:id="88" w:name="_bookmark16"/>
      <w:bookmarkEnd w:id="88"/>
      <w:bookmarkStart w:id="89" w:name="16.《监狱企业声明函》及证明文件"/>
      <w:bookmarkEnd w:id="89"/>
      <w:r>
        <w:rPr>
          <w:rFonts w:ascii="Times New Roman" w:eastAsia="Times New Roman"/>
        </w:rPr>
        <w:t>16.</w:t>
      </w:r>
      <w:r>
        <w:t>《监狱企业声明函》及证明文件</w:t>
      </w:r>
    </w:p>
    <w:p>
      <w:pPr>
        <w:pStyle w:val="4"/>
      </w:pPr>
      <w:r>
        <w:t>监狱企业声明函</w:t>
      </w:r>
    </w:p>
    <w:p>
      <w:pPr>
        <w:pStyle w:val="12"/>
        <w:rPr>
          <w:b/>
          <w:sz w:val="32"/>
        </w:rPr>
      </w:pPr>
    </w:p>
    <w:p>
      <w:pPr>
        <w:pStyle w:val="12"/>
        <w:spacing w:before="7"/>
        <w:rPr>
          <w:b/>
          <w:sz w:val="39"/>
        </w:rPr>
      </w:pPr>
    </w:p>
    <w:p>
      <w:pPr>
        <w:pStyle w:val="12"/>
        <w:ind w:left="758"/>
      </w:pPr>
      <w:r>
        <w:rPr>
          <w:spacing w:val="-19"/>
        </w:rPr>
        <w:t>本单位郑重声明，根据《财政部、司法部关于政府采购支持监狱企业发展有关问题的通知</w:t>
      </w:r>
      <w:r>
        <w:rPr>
          <w:spacing w:val="-180"/>
        </w:rPr>
        <w:t>》</w:t>
      </w:r>
      <w:r>
        <w:t>（</w:t>
      </w:r>
      <w:r>
        <w:rPr>
          <w:spacing w:val="-32"/>
        </w:rPr>
        <w:t>财库〔</w:t>
      </w:r>
      <w:r>
        <w:rPr>
          <w:rFonts w:ascii="Times New Roman" w:eastAsia="Times New Roman"/>
        </w:rPr>
        <w:t>2014</w:t>
      </w:r>
      <w:r>
        <w:t>〕</w:t>
      </w:r>
    </w:p>
    <w:p>
      <w:pPr>
        <w:spacing w:before="170"/>
        <w:ind w:left="337" w:right="0" w:firstLine="0"/>
        <w:jc w:val="left"/>
        <w:rPr>
          <w:sz w:val="21"/>
        </w:rPr>
      </w:pPr>
      <w:r>
        <w:rPr>
          <w:rFonts w:ascii="Times New Roman" w:eastAsia="Times New Roman"/>
          <w:sz w:val="21"/>
        </w:rPr>
        <w:t xml:space="preserve">68 </w:t>
      </w:r>
      <w:r>
        <w:rPr>
          <w:sz w:val="21"/>
        </w:rPr>
        <w:t>号）的规定。因本单位</w:t>
      </w:r>
      <w:r>
        <w:rPr>
          <w:b/>
          <w:sz w:val="21"/>
          <w:u w:val="single"/>
        </w:rPr>
        <w:t>（符合</w:t>
      </w:r>
      <w:r>
        <w:rPr>
          <w:rFonts w:ascii="Times New Roman" w:eastAsia="Times New Roman"/>
          <w:b/>
          <w:sz w:val="21"/>
          <w:u w:val="single"/>
        </w:rPr>
        <w:t>/</w:t>
      </w:r>
      <w:r>
        <w:rPr>
          <w:b/>
          <w:sz w:val="21"/>
          <w:u w:val="single"/>
        </w:rPr>
        <w:t>不符合）</w:t>
      </w:r>
      <w:r>
        <w:rPr>
          <w:sz w:val="21"/>
        </w:rPr>
        <w:t>条件，故本单位为</w:t>
      </w:r>
      <w:r>
        <w:rPr>
          <w:b/>
          <w:sz w:val="21"/>
          <w:u w:val="single"/>
        </w:rPr>
        <w:t>（监狱</w:t>
      </w:r>
      <w:r>
        <w:rPr>
          <w:rFonts w:ascii="Times New Roman" w:eastAsia="Times New Roman"/>
          <w:b/>
          <w:sz w:val="21"/>
          <w:u w:val="single"/>
        </w:rPr>
        <w:t>/</w:t>
      </w:r>
      <w:r>
        <w:rPr>
          <w:b/>
          <w:sz w:val="21"/>
          <w:u w:val="single"/>
        </w:rPr>
        <w:t>非监狱）</w:t>
      </w:r>
      <w:r>
        <w:rPr>
          <w:sz w:val="21"/>
        </w:rPr>
        <w:t>企业。</w:t>
      </w:r>
    </w:p>
    <w:p>
      <w:pPr>
        <w:pStyle w:val="12"/>
        <w:spacing w:before="11"/>
        <w:rPr>
          <w:sz w:val="7"/>
        </w:rPr>
      </w:pPr>
    </w:p>
    <w:p>
      <w:pPr>
        <w:pStyle w:val="12"/>
        <w:spacing w:before="72"/>
        <w:ind w:left="863"/>
      </w:pPr>
      <w:r>
        <w:t>本单位对上述声明的真实性负责。如有虚假，将依法承担相应责任。</w:t>
      </w:r>
    </w:p>
    <w:p>
      <w:pPr>
        <w:pStyle w:val="11"/>
        <w:spacing w:before="170" w:line="391" w:lineRule="auto"/>
        <w:ind w:left="337" w:right="329" w:firstLine="528"/>
      </w:pPr>
      <w:r>
        <w:rPr>
          <w:spacing w:val="-7"/>
        </w:rPr>
        <w:t>注：监狱企业参加政府采购活动时，应当提供由省级以上监狱管理局、戒毒管理局</w:t>
      </w:r>
      <w:r>
        <w:t>（</w:t>
      </w:r>
      <w:r>
        <w:rPr>
          <w:spacing w:val="-1"/>
        </w:rPr>
        <w:t>含新疆生产建设兵团）</w:t>
      </w:r>
      <w:r>
        <w:rPr>
          <w:spacing w:val="-3"/>
        </w:rPr>
        <w:t>出具的属于监狱企业的证明文件。</w:t>
      </w:r>
    </w:p>
    <w:p>
      <w:pPr>
        <w:pStyle w:val="12"/>
        <w:rPr>
          <w:b/>
          <w:sz w:val="20"/>
        </w:rPr>
      </w:pPr>
    </w:p>
    <w:p>
      <w:pPr>
        <w:pStyle w:val="12"/>
        <w:spacing w:before="8"/>
        <w:rPr>
          <w:b/>
          <w:sz w:val="14"/>
        </w:rPr>
      </w:pPr>
    </w:p>
    <w:p>
      <w:pPr>
        <w:pStyle w:val="12"/>
        <w:tabs>
          <w:tab w:val="left" w:pos="6526"/>
        </w:tabs>
        <w:spacing w:line="391" w:lineRule="auto"/>
        <w:ind w:left="6106" w:right="2741" w:hanging="315"/>
        <w:rPr>
          <w:rFonts w:hint="eastAsia" w:eastAsia="宋体"/>
          <w:lang w:eastAsia="zh-CN"/>
        </w:rPr>
        <w:sectPr>
          <w:pgSz w:w="11910" w:h="16840"/>
          <w:pgMar w:top="1360" w:right="740" w:bottom="1080" w:left="740" w:header="880" w:footer="887" w:gutter="0"/>
        </w:sectPr>
      </w:pPr>
      <w:r>
        <w:t>单</w:t>
      </w:r>
      <w:r>
        <w:rPr>
          <w:spacing w:val="-3"/>
        </w:rPr>
        <w:t>位</w:t>
      </w:r>
      <w:r>
        <w:t>名</w:t>
      </w:r>
      <w:r>
        <w:rPr>
          <w:spacing w:val="-3"/>
        </w:rPr>
        <w:t>称</w:t>
      </w:r>
      <w:r>
        <w:t>（</w:t>
      </w:r>
      <w:r>
        <w:rPr>
          <w:spacing w:val="-3"/>
        </w:rPr>
        <w:t>盖</w:t>
      </w:r>
      <w:r>
        <w:t>章</w:t>
      </w:r>
      <w:r>
        <w:rPr>
          <w:spacing w:val="-10"/>
        </w:rPr>
        <w:t xml:space="preserve">）： </w:t>
      </w:r>
    </w:p>
    <w:p>
      <w:pPr>
        <w:pStyle w:val="12"/>
        <w:spacing w:before="3"/>
        <w:rPr>
          <w:rFonts w:ascii="Times New Roman"/>
          <w:sz w:val="13"/>
        </w:rPr>
      </w:pPr>
    </w:p>
    <w:sectPr>
      <w:headerReference r:id="rId5" w:type="default"/>
      <w:footerReference r:id="rId6" w:type="default"/>
      <w:pgSz w:w="11910" w:h="16840"/>
      <w:pgMar w:top="1580" w:right="740" w:bottom="280" w:left="7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songti sc">
    <w:altName w:val="宋体"/>
    <w:panose1 w:val="0201080004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45009408" behindDoc="1" locked="0" layoutInCell="1" allowOverlap="1">
              <wp:simplePos x="0" y="0"/>
              <wp:positionH relativeFrom="page">
                <wp:posOffset>755650</wp:posOffset>
              </wp:positionH>
              <wp:positionV relativeFrom="page">
                <wp:posOffset>10034905</wp:posOffset>
              </wp:positionV>
              <wp:extent cx="3035935" cy="215265"/>
              <wp:effectExtent l="0" t="0" r="0" b="0"/>
              <wp:wrapNone/>
              <wp:docPr id="7" name="文本框 4"/>
              <wp:cNvGraphicFramePr/>
              <a:graphic xmlns:a="http://schemas.openxmlformats.org/drawingml/2006/main">
                <a:graphicData uri="http://schemas.microsoft.com/office/word/2010/wordprocessingShape">
                  <wps:wsp>
                    <wps:cNvSpPr txBox="1"/>
                    <wps:spPr>
                      <a:xfrm>
                        <a:off x="0" y="0"/>
                        <a:ext cx="3035935" cy="215265"/>
                      </a:xfrm>
                      <a:prstGeom prst="rect">
                        <a:avLst/>
                      </a:prstGeom>
                      <a:noFill/>
                      <a:ln>
                        <a:noFill/>
                      </a:ln>
                    </wps:spPr>
                    <wps:txbx>
                      <w:txbxContent>
                        <w:p>
                          <w:pPr>
                            <w:spacing w:before="0" w:line="280" w:lineRule="exact"/>
                            <w:ind w:left="20" w:right="0" w:firstLine="0"/>
                            <w:jc w:val="left"/>
                            <w:rPr>
                              <w:rFonts w:hint="eastAsia" w:eastAsia="宋体"/>
                              <w:sz w:val="24"/>
                              <w:lang w:eastAsia="zh-CN"/>
                            </w:rPr>
                          </w:pPr>
                          <w:r>
                            <w:rPr>
                              <w:rFonts w:hint="eastAsia"/>
                              <w:sz w:val="24"/>
                              <w:lang w:eastAsia="zh-CN"/>
                            </w:rPr>
                            <w:t>喀什铭远建设工程项目管理咨询有限公司</w:t>
                          </w:r>
                        </w:p>
                      </w:txbxContent>
                    </wps:txbx>
                    <wps:bodyPr lIns="0" tIns="0" rIns="0" bIns="0" upright="1"/>
                  </wps:wsp>
                </a:graphicData>
              </a:graphic>
            </wp:anchor>
          </w:drawing>
        </mc:Choice>
        <mc:Fallback>
          <w:pict>
            <v:shape id="文本框 4" o:spid="_x0000_s1026" o:spt="202" type="#_x0000_t202" style="position:absolute;left:0pt;margin-left:59.5pt;margin-top:790.15pt;height:16.95pt;width:239.05pt;mso-position-horizontal-relative:page;mso-position-vertical-relative:page;z-index:-258307072;mso-width-relative:page;mso-height-relative:page;" filled="f" stroked="f" coordsize="21600,21600" o:gfxdata="UEsDBAoAAAAAAIdO4kAAAAAAAAAAAAAAAAAEAAAAZHJzL1BLAwQUAAAACACHTuJAfv+qTtsAAAAN&#10;AQAADwAAAGRycy9kb3ducmV2LnhtbE2PzU7DMBCE70i8g7VI3KjtQkMT4lQIwQkJkYYDRyd2E6vx&#10;OsTuD2/PcoLbzu5o9ptyc/YjO9o5uoAK5EIAs9gF47BX8NG83KyBxaTR6DGgVfBtI2yqy4tSFyac&#10;sLbHbeoZhWAstIIhpangPHaD9TouwmSRbrswe51Izj03sz5RuB/5UoiMe+2QPgx6sk+D7fbbg1fw&#10;+In1s/t6a9/rXe2aJhf4mu2Vur6S4gFYsuf0Z4ZffEKHipjacEAT2Uha5tQl0bBai1tgZFnl9xJY&#10;S6tM3i2BVyX/36L6AVBLAwQUAAAACACHTuJA2sfJArwBAAByAwAADgAAAGRycy9lMm9Eb2MueG1s&#10;rVNLbtswEN0X6B0I7mvJdp2mguUAhZGiQNAWSHoAmiItAvxhSFvyBdIbdNVN9z2Xz5EhZTmfbrLo&#10;hhrNjN6894ZaXvVGk72AoJyt6XRSUiIsd42y25r+uLt+d0lJiMw2TDsranoQgV6t3r5Zdr4SM9c6&#10;3QggCGJD1fmatjH6qigCb4VhYeK8sFiUDgyL+ArbogHWIbrRxawsL4rOQePBcRECZtdDkZ4Q4TWA&#10;TkrFxdrxnRE2DqggNIsoKbTKB7rKbKUUPH6TMohIdE1RacwnDsF4k85itWTVFphvFT9RYK+h8EKT&#10;Ycri0DPUmkVGdqD+gTKKgwtOxgl3phiEZEdQxbR84c1ty7zIWtDq4M+mh/8Hy7/uvwNRTU0/UGKZ&#10;wYUff/08/v57/HNP3id7Oh8q7Lr12Bf7T67HSzPmAyaT6l6CSU/UQ7CO5h7O5oo+Eo7JeTlffJwv&#10;KOFYm00Xs4tFgikev/YQ4mfhDElBTQGXlz1l+5sQh9axJQ2z7lppnReo7bMEYqZMkagPFFMU+01/&#10;0rNxzQHl6C8WrUzXYgxgDDZjsPOgti3SyaIzJK4i8z5dm7Trp+958OOvsno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v+qTtsAAAANAQAADwAAAAAAAAABACAAAAAiAAAAZHJzL2Rvd25yZXYueG1s&#10;UEsBAhQAFAAAAAgAh07iQNrHyQK8AQAAcgMAAA4AAAAAAAAAAQAgAAAAKgEAAGRycy9lMm9Eb2Mu&#10;eG1sUEsFBgAAAAAGAAYAWQEAAFgFAAAAAA==&#10;">
              <v:fill on="f" focussize="0,0"/>
              <v:stroke on="f"/>
              <v:imagedata o:title=""/>
              <o:lock v:ext="edit" aspectratio="f"/>
              <v:textbox inset="0mm,0mm,0mm,0mm">
                <w:txbxContent>
                  <w:p>
                    <w:pPr>
                      <w:spacing w:before="0" w:line="280" w:lineRule="exact"/>
                      <w:ind w:left="20" w:right="0" w:firstLine="0"/>
                      <w:jc w:val="left"/>
                      <w:rPr>
                        <w:rFonts w:hint="eastAsia" w:eastAsia="宋体"/>
                        <w:sz w:val="24"/>
                        <w:lang w:eastAsia="zh-CN"/>
                      </w:rPr>
                    </w:pPr>
                    <w:r>
                      <w:rPr>
                        <w:rFonts w:hint="eastAsia"/>
                        <w:sz w:val="24"/>
                        <w:lang w:eastAsia="zh-CN"/>
                      </w:rPr>
                      <w:t>喀什铭远建设工程项目管理咨询有限公司</w:t>
                    </w:r>
                  </w:p>
                </w:txbxContent>
              </v:textbox>
            </v:shape>
          </w:pict>
        </mc:Fallback>
      </mc:AlternateContent>
    </w:r>
    <w:r>
      <mc:AlternateContent>
        <mc:Choice Requires="wps">
          <w:drawing>
            <wp:anchor distT="0" distB="0" distL="114300" distR="114300" simplePos="0" relativeHeight="245010432" behindDoc="1" locked="0" layoutInCell="1" allowOverlap="1">
              <wp:simplePos x="0" y="0"/>
              <wp:positionH relativeFrom="page">
                <wp:posOffset>6126480</wp:posOffset>
              </wp:positionH>
              <wp:positionV relativeFrom="page">
                <wp:posOffset>10072370</wp:posOffset>
              </wp:positionV>
              <wp:extent cx="574675" cy="177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574675" cy="177800"/>
                      </a:xfrm>
                      <a:prstGeom prst="rect">
                        <a:avLst/>
                      </a:prstGeom>
                      <a:noFill/>
                      <a:ln>
                        <a:noFill/>
                      </a:ln>
                    </wps:spPr>
                    <wps:txbx>
                      <w:txbxContent>
                        <w:p>
                          <w:pPr>
                            <w:spacing w:before="0" w:line="280" w:lineRule="exact"/>
                            <w:ind w:left="40" w:right="0" w:firstLine="0"/>
                            <w:jc w:val="left"/>
                            <w:rPr>
                              <w:rFonts w:hint="default" w:eastAsia="宋体"/>
                              <w:b/>
                              <w:sz w:val="24"/>
                              <w:lang w:val="en-US" w:eastAsia="zh-CN"/>
                            </w:rPr>
                          </w:pP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 </w:t>
                          </w:r>
                          <w:r>
                            <w:rPr>
                              <w:rFonts w:hint="eastAsia"/>
                              <w:b/>
                              <w:sz w:val="24"/>
                              <w:lang w:val="en-US" w:eastAsia="zh-CN"/>
                            </w:rPr>
                            <w:t>71</w:t>
                          </w:r>
                        </w:p>
                      </w:txbxContent>
                    </wps:txbx>
                    <wps:bodyPr lIns="0" tIns="0" rIns="0" bIns="0" upright="1"/>
                  </wps:wsp>
                </a:graphicData>
              </a:graphic>
            </wp:anchor>
          </w:drawing>
        </mc:Choice>
        <mc:Fallback>
          <w:pict>
            <v:shape id="文本框 5" o:spid="_x0000_s1026" o:spt="202" type="#_x0000_t202" style="position:absolute;left:0pt;margin-left:482.4pt;margin-top:793.1pt;height:14pt;width:45.25pt;mso-position-horizontal-relative:page;mso-position-vertical-relative:page;z-index:-258306048;mso-width-relative:page;mso-height-relative:page;" filled="f" stroked="f" coordsize="21600,21600" o:gfxdata="UEsDBAoAAAAAAIdO4kAAAAAAAAAAAAAAAAAEAAAAZHJzL1BLAwQUAAAACACHTuJAv8MFWdwAAAAO&#10;AQAADwAAAGRycy9kb3ducmV2LnhtbE2PzU7DMBCE70i8g7VI3Kid0ERtiFMhBCckRBoOHJ14m1iN&#10;1yF2f3h73FO5zWpGM9+Wm7Md2RFnbxxJSBYCGFLntKFewlfz9rAC5oMirUZHKOEXPWyq25tSFdqd&#10;qMbjNvQslpAvlIQhhKng3HcDWuUXbkKK3s7NVoV4zj3XszrFcjvyVIicW2UoLgxqwpcBu/32YCU8&#10;f1P9an4+2s96V5umWQt6z/dS3t8l4glYwHO4huGCH9GhikytO5D2bJSwzpcRPUQjW+UpsEtEZNkj&#10;sDaqPFmmwKuS/3+j+gNQSwMEFAAAAAgAh07iQDP4P5m7AQAAcQMAAA4AAABkcnMvZTJvRG9jLnht&#10;bK1TS27bMBDdF8gdCO5rykEdB4LlAIGRoECRFkh7AJoiLQL8gUNb8gXSG3TVTfc9l8/RIW05bbrJ&#10;IhtqNDN6894banEzWEN2MoL2rqHTSUWJdMK32m0a+u3r3ftrSiBx13LjnWzoXgK9WV68W/Shlpe+&#10;86aVkSCIg7oPDe1SCjVjIDppOUx8kA6LykfLE77GDWsj7xHdGnZZVVes97EN0QsJgNnVsUhPiPE1&#10;gF4pLeTKi62VLh1RozQ8oSTodAC6LGyVkiJ9VgpkIqahqDSVE4dgvM4nWy54vYk8dFqcKPDXUHih&#10;yXLtcOgZasUTJ9uo/4OyWkQPXqWJ8JYdhRRHUMW0euHNY8eDLFrQaghn0+HtYMXD7kskum0ort1x&#10;iws//Ph++Pn78OuJzLI9fYAaux4D9qXh1g94acY8YDKrHlS0+Yl6CNbR3P3ZXDkkIjA5m3+4ms8o&#10;EViazufXVTGfPX8cIqR76S3JQUMj7q5YynefICERbB1b8izn77QxZX/G/ZPAxpxhmfmRYY7SsB5O&#10;cta+3aMa89Ghk/lWjEEcg/UYbEPUmw7pFM0FEjdRyJxuTV713+9l8POfsv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8MFWdwAAAAOAQAADwAAAAAAAAABACAAAAAiAAAAZHJzL2Rvd25yZXYueG1s&#10;UEsBAhQAFAAAAAgAh07iQDP4P5m7AQAAcQMAAA4AAAAAAAAAAQAgAAAAKwEAAGRycy9lMm9Eb2Mu&#10;eG1sUEsFBgAAAAAGAAYAWQEAAFgFAAAAAA==&#10;">
              <v:fill on="f" focussize="0,0"/>
              <v:stroke on="f"/>
              <v:imagedata o:title=""/>
              <o:lock v:ext="edit" aspectratio="f"/>
              <v:textbox inset="0mm,0mm,0mm,0mm">
                <w:txbxContent>
                  <w:p>
                    <w:pPr>
                      <w:spacing w:before="0" w:line="280" w:lineRule="exact"/>
                      <w:ind w:left="40" w:right="0" w:firstLine="0"/>
                      <w:jc w:val="left"/>
                      <w:rPr>
                        <w:rFonts w:hint="default" w:eastAsia="宋体"/>
                        <w:b/>
                        <w:sz w:val="24"/>
                        <w:lang w:val="en-US" w:eastAsia="zh-CN"/>
                      </w:rPr>
                    </w:pPr>
                    <w:r>
                      <w:fldChar w:fldCharType="begin"/>
                    </w:r>
                    <w:r>
                      <w:rPr>
                        <w:b/>
                        <w:sz w:val="24"/>
                      </w:rPr>
                      <w:instrText xml:space="preserve"> PAGE </w:instrText>
                    </w:r>
                    <w:r>
                      <w:fldChar w:fldCharType="separate"/>
                    </w:r>
                    <w:r>
                      <w:t>10</w:t>
                    </w:r>
                    <w:r>
                      <w:fldChar w:fldCharType="end"/>
                    </w:r>
                    <w:r>
                      <w:rPr>
                        <w:b/>
                        <w:sz w:val="24"/>
                      </w:rPr>
                      <w:t xml:space="preserve"> </w:t>
                    </w:r>
                    <w:r>
                      <w:rPr>
                        <w:sz w:val="24"/>
                      </w:rPr>
                      <w:t xml:space="preserve">/ </w:t>
                    </w:r>
                    <w:r>
                      <w:rPr>
                        <w:rFonts w:hint="eastAsia"/>
                        <w:b/>
                        <w:sz w:val="24"/>
                        <w:lang w:val="en-US" w:eastAsia="zh-CN"/>
                      </w:rPr>
                      <w:t>71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mc:AlternateContent>
        <mc:Choice Requires="wps">
          <w:drawing>
            <wp:anchor distT="0" distB="0" distL="114300" distR="114300" simplePos="0" relativeHeight="245006336" behindDoc="1" locked="0" layoutInCell="1" allowOverlap="1">
              <wp:simplePos x="0" y="0"/>
              <wp:positionH relativeFrom="page">
                <wp:posOffset>775335</wp:posOffset>
              </wp:positionH>
              <wp:positionV relativeFrom="page">
                <wp:posOffset>537210</wp:posOffset>
              </wp:positionV>
              <wp:extent cx="3967480" cy="147955"/>
              <wp:effectExtent l="0" t="0" r="0" b="0"/>
              <wp:wrapNone/>
              <wp:docPr id="5" name="文本框 2"/>
              <wp:cNvGraphicFramePr/>
              <a:graphic xmlns:a="http://schemas.openxmlformats.org/drawingml/2006/main">
                <a:graphicData uri="http://schemas.microsoft.com/office/word/2010/wordprocessingShape">
                  <wps:wsp>
                    <wps:cNvSpPr txBox="1"/>
                    <wps:spPr>
                      <a:xfrm>
                        <a:off x="0" y="0"/>
                        <a:ext cx="3967480" cy="147955"/>
                      </a:xfrm>
                      <a:prstGeom prst="rect">
                        <a:avLst/>
                      </a:prstGeom>
                      <a:noFill/>
                      <a:ln>
                        <a:noFill/>
                      </a:ln>
                    </wps:spPr>
                    <wps:txbx>
                      <w:txbxContent>
                        <w:p>
                          <w:pPr>
                            <w:spacing w:before="0" w:line="220" w:lineRule="exact"/>
                            <w:ind w:left="2126" w:leftChars="9" w:right="0" w:hanging="2106" w:hangingChars="1300"/>
                            <w:jc w:val="left"/>
                            <w:rPr>
                              <w:rFonts w:hint="eastAsia" w:eastAsia="宋体"/>
                              <w:sz w:val="18"/>
                              <w:lang w:eastAsia="zh-CN"/>
                            </w:rPr>
                          </w:pPr>
                          <w:r>
                            <w:rPr>
                              <w:rFonts w:hint="eastAsia"/>
                              <w:spacing w:val="-9"/>
                              <w:sz w:val="18"/>
                              <w:lang w:eastAsia="zh-CN"/>
                            </w:rPr>
                            <w:t>阿克苏市城市道路清扫保洁、园林绿化管养、公厕管护购买社会化服务采购项目</w:t>
                          </w:r>
                        </w:p>
                      </w:txbxContent>
                    </wps:txbx>
                    <wps:bodyPr lIns="0" tIns="0" rIns="0" bIns="0" upright="1"/>
                  </wps:wsp>
                </a:graphicData>
              </a:graphic>
            </wp:anchor>
          </w:drawing>
        </mc:Choice>
        <mc:Fallback>
          <w:pict>
            <v:shape id="文本框 2" o:spid="_x0000_s1026" o:spt="202" type="#_x0000_t202" style="position:absolute;left:0pt;margin-left:61.05pt;margin-top:42.3pt;height:11.65pt;width:312.4pt;mso-position-horizontal-relative:page;mso-position-vertical-relative:page;z-index:-258310144;mso-width-relative:page;mso-height-relative:page;" filled="f" stroked="f" coordsize="21600,21600" o:gfxdata="UEsDBAoAAAAAAIdO4kAAAAAAAAAAAAAAAAAEAAAAZHJzL1BLAwQUAAAACACHTuJALj5X/NgAAAAK&#10;AQAADwAAAGRycy9kb3ducmV2LnhtbE2Py07DMBBF90j9B2uQ2FE7UZU2IU5VIVghIdKwYOnEbmI1&#10;HofYffD3DCu6vLpHd86U26sb2dnMwXqUkCwFMIOd1xZ7CZ/N6+MGWIgKtRo9Ggk/JsC2WtyVqtD+&#10;grU572PPaARDoSQMMU4F56EbjFNh6SeD1B387FSkOPdcz+pC427kqRAZd8oiXRjUZJ4H0x33Jydh&#10;94X1i/1+bz/qQ22bJhf4lh2lfLhPxBOwaK7xH4Y/fVKHipxaf0Id2Eg5TRNCJWxWGTAC1qssB9ZS&#10;I9Y58Krkty9Uv1BLAwQUAAAACACHTuJAugFf17wBAAByAwAADgAAAGRycy9lMm9Eb2MueG1srVPN&#10;jtMwEL4j8Q6W79Rt2e5P1HQlVC1CQoC08ACuYzeWbI9lu036AvAGnLhw57n6HIydpsvuXvbAxZnM&#10;TL75vm+c5W1vDdnLEDW4ms4mU0qkE9Bot63pt693b64piYm7hhtwsqYHGent6vWrZecrOYcWTCMD&#10;QRAXq87XtE3JV4xF0UrL4wS8dFhUECxP+Bq2rAm8Q3Rr2Hw6vWQdhMYHEDJGzK6HIj0hhpcAglJa&#10;yDWInZUuDahBGp5QUmy1j3RV2ColRfqsVJSJmJqi0lROHILxJp9steTVNnDfanGiwF9C4Ykmy7XD&#10;oWeoNU+c7IJ+BmW1CBBBpYkAywYhxRFUMZs+8ea+5V4WLWh19GfT4/+DFZ/2XwLRTU0XlDhuceHH&#10;nz+Ov/4cf38n82xP52OFXfce+1L/Dnq8NGM+YjKr7lWw+Yl6CNbR3MPZXNknIjD59uby6uIaSwJr&#10;s4urm8Uiw7CHr32I6b0ES3JQ04DLK57y/ceYhtaxJQ9zcKeNKQs07lECMXOGZeoDxRylftOf9Gyg&#10;OaAc88GhlflajEEYg80Y7HzQ2xbpFNEFEldReJ+uTd71v+9l8MOv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j5X/NgAAAAKAQAADwAAAAAAAAABACAAAAAiAAAAZHJzL2Rvd25yZXYueG1sUEsB&#10;AhQAFAAAAAgAh07iQLoBX9e8AQAAcgMAAA4AAAAAAAAAAQAgAAAAJwEAAGRycy9lMm9Eb2MueG1s&#10;UEsFBgAAAAAGAAYAWQEAAFUFAAAAAA==&#10;">
              <v:fill on="f" focussize="0,0"/>
              <v:stroke on="f"/>
              <v:imagedata o:title=""/>
              <o:lock v:ext="edit" aspectratio="f"/>
              <v:textbox inset="0mm,0mm,0mm,0mm">
                <w:txbxContent>
                  <w:p>
                    <w:pPr>
                      <w:spacing w:before="0" w:line="220" w:lineRule="exact"/>
                      <w:ind w:left="2126" w:leftChars="9" w:right="0" w:hanging="2106" w:hangingChars="1300"/>
                      <w:jc w:val="left"/>
                      <w:rPr>
                        <w:rFonts w:hint="eastAsia" w:eastAsia="宋体"/>
                        <w:sz w:val="18"/>
                        <w:lang w:eastAsia="zh-CN"/>
                      </w:rPr>
                    </w:pPr>
                    <w:r>
                      <w:rPr>
                        <w:rFonts w:hint="eastAsia"/>
                        <w:spacing w:val="-9"/>
                        <w:sz w:val="18"/>
                        <w:lang w:eastAsia="zh-CN"/>
                      </w:rPr>
                      <w:t>阿克苏市城市道路清扫保洁、园林绿化管养、公厕管护购买社会化服务采购项目</w:t>
                    </w:r>
                  </w:p>
                </w:txbxContent>
              </v:textbox>
            </v:shape>
          </w:pict>
        </mc:Fallback>
      </mc:AlternateContent>
    </w:r>
    <w:r>
      <mc:AlternateContent>
        <mc:Choice Requires="wps">
          <w:drawing>
            <wp:anchor distT="0" distB="0" distL="114300" distR="114300" simplePos="0" relativeHeight="245005312" behindDoc="1" locked="0" layoutInCell="1" allowOverlap="1">
              <wp:simplePos x="0" y="0"/>
              <wp:positionH relativeFrom="page">
                <wp:posOffset>665480</wp:posOffset>
              </wp:positionH>
              <wp:positionV relativeFrom="page">
                <wp:posOffset>718820</wp:posOffset>
              </wp:positionV>
              <wp:extent cx="6229350" cy="0"/>
              <wp:effectExtent l="0" t="0" r="0" b="0"/>
              <wp:wrapNone/>
              <wp:docPr id="4" name="直线 1"/>
              <wp:cNvGraphicFramePr/>
              <a:graphic xmlns:a="http://schemas.openxmlformats.org/drawingml/2006/main">
                <a:graphicData uri="http://schemas.microsoft.com/office/word/2010/wordprocessingShape">
                  <wps:wsp>
                    <wps:cNvCnPr/>
                    <wps:spPr>
                      <a:xfrm>
                        <a:off x="0" y="0"/>
                        <a:ext cx="622935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2.4pt;margin-top:56.6pt;height:0pt;width:490.5pt;mso-position-horizontal-relative:page;mso-position-vertical-relative:page;z-index:-258311168;mso-width-relative:page;mso-height-relative:page;" filled="f" stroked="t" coordsize="21600,21600" o:gfxdata="UEsDBAoAAAAAAIdO4kAAAAAAAAAAAAAAAAAEAAAAZHJzL1BLAwQUAAAACACHTuJAI3DWOtYAAAAM&#10;AQAADwAAAGRycy9kb3ducmV2LnhtbE2PwU7DMBBE70j8g7VI3KidAqUKcXqowgVxgMAHbGMTW8Tr&#10;KHab0q9nKyHBbWd2NPu22hzDIA52Sj6ShmKhQFjqovHUa/h4f7pZg0gZyeAQyWr4tgk29eVFhaWJ&#10;M73ZQ5t7wSWUStTgch5LKVPnbMC0iKMl3n3GKWBmOfXSTDhzeRjkUqmVDOiJLzgc7dbZ7qvdBw3t&#10;68u8ej6d5uah9Zhy9q5ptlpfXxXqEUS2x/wXhjM+o0PNTLu4J5PEwFrdMXrmobhdgjgn1Pqerd2v&#10;JetK/n+i/gFQSwMEFAAAAAgAh07iQBrwsB7oAQAA2wMAAA4AAABkcnMvZTJvRG9jLnhtbK1TS27b&#10;MBDdF+gdCO5r2W4SNILlLOIkm6A10PQAY5KSCPAHDm3ZZ+k1uuqmx8k1OqQcp003XlQLasgZvpn3&#10;Zri42VvDdiqi9q7hs8mUM+WEl9p1Df/2dP/hE2eYwEkw3qmGHxTym+X7d4sh1Grue2+kioxAHNZD&#10;aHifUqirCkWvLODEB+XI2fpoIdE2dpWMMBC6NdV8Or2qBh9liF4oRDpdjU5+RIznAPq21UKtvNha&#10;5dKIGpWBRJSw1wH5slTbtkqkL22LKjHTcGKaykpJyN7ktVouoO4ihF6LYwlwTglvOFnQjpKeoFaQ&#10;gG2j/gfKahE9+jZNhLfVSKQoQixm0zfafO0hqMKFpMZwEh3/H6z4vFtHpmXDLzhzYKnhz99/PP/8&#10;xWZZmyFgTSG3bh2POwzrmInu22jznyiwfdHzcNJT7RMTdHg1n19/vCSpxYuver0YIqYH5S3LRsON&#10;dpkq1LB7xETJKPQlJB8bx4aGX88uqE4BNHct9ZtMG6h2dF25i95oea+NyTcwdptbE9kOcu/LlykR&#10;7l9hOckKsB/jimucil6BvHOSpUMgVRw9Bp5LsEpyZhS9nWwRINQJtDknklIbRxVkVUcds7Xx8kA9&#10;2Iaou56UKMKXGOp5qfc4n3mo/twXpNc3u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3DWOtYA&#10;AAAMAQAADwAAAAAAAAABACAAAAAiAAAAZHJzL2Rvd25yZXYueG1sUEsBAhQAFAAAAAgAh07iQBrw&#10;sB7oAQAA2wMAAA4AAAAAAAAAAQAgAAAAJQ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45007360" behindDoc="1" locked="0" layoutInCell="1" allowOverlap="1">
              <wp:simplePos x="0" y="0"/>
              <wp:positionH relativeFrom="page">
                <wp:posOffset>4848225</wp:posOffset>
              </wp:positionH>
              <wp:positionV relativeFrom="page">
                <wp:posOffset>545465</wp:posOffset>
              </wp:positionV>
              <wp:extent cx="1511300" cy="1397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511300" cy="139700"/>
                      </a:xfrm>
                      <a:prstGeom prst="rect">
                        <a:avLst/>
                      </a:prstGeom>
                      <a:noFill/>
                      <a:ln>
                        <a:noFill/>
                      </a:ln>
                    </wps:spPr>
                    <wps:txbx>
                      <w:txbxContent>
                        <w:p>
                          <w:pPr>
                            <w:spacing w:before="0" w:line="220" w:lineRule="exact"/>
                            <w:ind w:left="20" w:right="0" w:firstLine="720" w:firstLineChars="400"/>
                            <w:jc w:val="left"/>
                            <w:rPr>
                              <w:rFonts w:hint="default" w:eastAsia="宋体"/>
                              <w:sz w:val="18"/>
                              <w:lang w:val="en-US" w:eastAsia="zh-CN"/>
                            </w:rPr>
                          </w:pPr>
                          <w:r>
                            <w:rPr>
                              <w:sz w:val="18"/>
                            </w:rPr>
                            <w:t>项目编号：</w:t>
                          </w:r>
                          <w:r>
                            <w:rPr>
                              <w:rFonts w:hint="eastAsia"/>
                              <w:sz w:val="18"/>
                              <w:lang w:val="en-US" w:eastAsia="zh-CN"/>
                            </w:rPr>
                            <w:t>2020-701</w:t>
                          </w:r>
                        </w:p>
                      </w:txbxContent>
                    </wps:txbx>
                    <wps:bodyPr lIns="0" tIns="0" rIns="0" bIns="0" upright="1"/>
                  </wps:wsp>
                </a:graphicData>
              </a:graphic>
            </wp:anchor>
          </w:drawing>
        </mc:Choice>
        <mc:Fallback>
          <w:pict>
            <v:shape id="文本框 3" o:spid="_x0000_s1026" o:spt="202" type="#_x0000_t202" style="position:absolute;left:0pt;margin-left:381.75pt;margin-top:42.95pt;height:11pt;width:119pt;mso-position-horizontal-relative:page;mso-position-vertical-relative:page;z-index:-258309120;mso-width-relative:page;mso-height-relative:page;" filled="f" stroked="f" coordsize="21600,21600" o:gfxdata="UEsDBAoAAAAAAIdO4kAAAAAAAAAAAAAAAAAEAAAAZHJzL1BLAwQUAAAACACHTuJAG7VyENgAAAAL&#10;AQAADwAAAGRycy9kb3ducmV2LnhtbE2Py07DMBBF90j8gzVI7KgdUNMmxKkQghVS1TQsWDrxNLEa&#10;j0PsPvh7nBXs5nF050yxudqBnXHyxpGEZCGAIbVOG+okfNbvD2tgPijSanCEEn7Qw6a8vSlUrt2F&#10;KjzvQ8diCPlcSehDGHPOfdujVX7hRqS4O7jJqhDbqeN6UpcYbgf+KETKrTIUL/RqxNce2+P+ZCW8&#10;fFH1Zr63za46VKauM0Ef6VHK+7tEPAMLeA1/MMz6UR3K6NS4E2nPBgmr9GkZUQnrZQZsBoRI4qSZ&#10;q1UGvCz4/x/KX1BLAwQUAAAACACHTuJAlXD7JrkBAAByAwAADgAAAGRycy9lMm9Eb2MueG1srVPN&#10;jtMwEL4j8Q6W79TJViwQNV0JVYuQECDt8gCuYzeW/CeP26QvAG/AiQt3nqvPwdhpurBc9sDFGc+M&#10;v5nvm8nqZrSGHGQE7V1L60VFiXTCd9rtWvrl/vbFa0ogcddx451s6VECvVk/f7YaQiOvfO9NJyNB&#10;EAfNEFrapxQaxkD00nJY+CAdBpWPlie8xh3rIh8Q3Rp2VVXXbPCxC9ELCYDezRSkZ8T4FECvlBZy&#10;48XeSpcm1CgNT0gJeh2Arku3SkmRPikFMhHTUmSayolF0N7mk61XvNlFHnotzi3wp7TwiJPl2mHR&#10;C9SGJ072Uf8DZbWIHrxKC+Etm4gURZBFXT3S5q7nQRYuKDWEi+jw/2DFx8PnSHTX0mtKHLc48NP3&#10;b6cfv04/v5JllmcI0GDWXcC8NL71Iy7N7Ad0ZtajijZ/kQ/BOIp7vIgrx0REfvSyrpcVhgTG6uWb&#10;V2gjPHt4HSKkd9Jbko2WRhxe0ZQfPkCaUueUXMz5W21MGaBxfzkQM3tYbn1qMVtp3I5nPlvfHZGO&#10;ee9QyrwWsxFnYzsb+xD1rsd2CukCiaMofZ/XJs/6z3sp/PCr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7VyENgAAAALAQAADwAAAAAAAAABACAAAAAiAAAAZHJzL2Rvd25yZXYueG1sUEsBAhQA&#10;FAAAAAgAh07iQJVw+ya5AQAAcgMAAA4AAAAAAAAAAQAgAAAAJwEAAGRycy9lMm9Eb2MueG1sUEsF&#10;BgAAAAAGAAYAWQEAAFIFAAAAAA==&#10;">
              <v:fill on="f" focussize="0,0"/>
              <v:stroke on="f"/>
              <v:imagedata o:title=""/>
              <o:lock v:ext="edit" aspectratio="f"/>
              <v:textbox inset="0mm,0mm,0mm,0mm">
                <w:txbxContent>
                  <w:p>
                    <w:pPr>
                      <w:spacing w:before="0" w:line="220" w:lineRule="exact"/>
                      <w:ind w:left="20" w:right="0" w:firstLine="720" w:firstLineChars="400"/>
                      <w:jc w:val="left"/>
                      <w:rPr>
                        <w:rFonts w:hint="default" w:eastAsia="宋体"/>
                        <w:sz w:val="18"/>
                        <w:lang w:val="en-US" w:eastAsia="zh-CN"/>
                      </w:rPr>
                    </w:pPr>
                    <w:r>
                      <w:rPr>
                        <w:sz w:val="18"/>
                      </w:rPr>
                      <w:t>项目编号：</w:t>
                    </w:r>
                    <w:r>
                      <w:rPr>
                        <w:rFonts w:hint="eastAsia"/>
                        <w:sz w:val="18"/>
                        <w:lang w:val="en-US" w:eastAsia="zh-CN"/>
                      </w:rPr>
                      <w:t>2020-701</w:t>
                    </w:r>
                  </w:p>
                </w:txbxContent>
              </v:textbox>
            </v:shape>
          </w:pict>
        </mc:Fallback>
      </mc:AlternateContent>
    </w:r>
    <w:r>
      <w:rPr>
        <w:rFonts w:hint="eastAsia"/>
        <w:sz w:val="20"/>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27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2">
    <w:nsid w:val="8461FADE"/>
    <w:multiLevelType w:val="multilevel"/>
    <w:tmpl w:val="8461FADE"/>
    <w:lvl w:ilvl="0" w:tentative="0">
      <w:start w:val="2"/>
      <w:numFmt w:val="decimal"/>
      <w:lvlText w:val="%1"/>
      <w:lvlJc w:val="left"/>
      <w:pPr>
        <w:ind w:left="1030" w:hanging="280"/>
        <w:jc w:val="left"/>
      </w:pPr>
      <w:rPr>
        <w:rFonts w:hint="default"/>
        <w:lang w:val="zh-CN" w:eastAsia="zh-CN" w:bidi="zh-CN"/>
      </w:rPr>
    </w:lvl>
    <w:lvl w:ilvl="1" w:tentative="0">
      <w:start w:val="1"/>
      <w:numFmt w:val="decimal"/>
      <w:lvlText w:val="%1-%2"/>
      <w:lvlJc w:val="left"/>
      <w:pPr>
        <w:ind w:left="1030" w:hanging="280"/>
        <w:jc w:val="left"/>
      </w:pPr>
      <w:rPr>
        <w:rFonts w:hint="default" w:ascii="Times New Roman" w:hAnsi="Times New Roman" w:eastAsia="Times New Roman" w:cs="Times New Roman"/>
        <w:spacing w:val="-4"/>
        <w:w w:val="100"/>
        <w:sz w:val="19"/>
        <w:szCs w:val="19"/>
        <w:lang w:val="zh-CN" w:eastAsia="zh-CN" w:bidi="zh-CN"/>
      </w:rPr>
    </w:lvl>
    <w:lvl w:ilvl="2" w:tentative="0">
      <w:start w:val="1"/>
      <w:numFmt w:val="decimal"/>
      <w:lvlText w:val="%1-%2-%3"/>
      <w:lvlJc w:val="left"/>
      <w:pPr>
        <w:ind w:left="1205" w:hanging="455"/>
        <w:jc w:val="left"/>
      </w:pPr>
      <w:rPr>
        <w:rFonts w:hint="default" w:ascii="Times New Roman" w:hAnsi="Times New Roman" w:eastAsia="Times New Roman" w:cs="Times New Roman"/>
        <w:spacing w:val="-4"/>
        <w:w w:val="100"/>
        <w:sz w:val="19"/>
        <w:szCs w:val="19"/>
        <w:lang w:val="zh-CN" w:eastAsia="zh-CN" w:bidi="zh-CN"/>
      </w:rPr>
    </w:lvl>
    <w:lvl w:ilvl="3" w:tentative="0">
      <w:start w:val="0"/>
      <w:numFmt w:val="bullet"/>
      <w:lvlText w:val="•"/>
      <w:lvlJc w:val="left"/>
      <w:pPr>
        <w:ind w:left="3250" w:hanging="455"/>
      </w:pPr>
      <w:rPr>
        <w:rFonts w:hint="default"/>
        <w:lang w:val="zh-CN" w:eastAsia="zh-CN" w:bidi="zh-CN"/>
      </w:rPr>
    </w:lvl>
    <w:lvl w:ilvl="4" w:tentative="0">
      <w:start w:val="0"/>
      <w:numFmt w:val="bullet"/>
      <w:lvlText w:val="•"/>
      <w:lvlJc w:val="left"/>
      <w:pPr>
        <w:ind w:left="4275" w:hanging="455"/>
      </w:pPr>
      <w:rPr>
        <w:rFonts w:hint="default"/>
        <w:lang w:val="zh-CN" w:eastAsia="zh-CN" w:bidi="zh-CN"/>
      </w:rPr>
    </w:lvl>
    <w:lvl w:ilvl="5" w:tentative="0">
      <w:start w:val="0"/>
      <w:numFmt w:val="bullet"/>
      <w:lvlText w:val="•"/>
      <w:lvlJc w:val="left"/>
      <w:pPr>
        <w:ind w:left="5300" w:hanging="455"/>
      </w:pPr>
      <w:rPr>
        <w:rFonts w:hint="default"/>
        <w:lang w:val="zh-CN" w:eastAsia="zh-CN" w:bidi="zh-CN"/>
      </w:rPr>
    </w:lvl>
    <w:lvl w:ilvl="6" w:tentative="0">
      <w:start w:val="0"/>
      <w:numFmt w:val="bullet"/>
      <w:lvlText w:val="•"/>
      <w:lvlJc w:val="left"/>
      <w:pPr>
        <w:ind w:left="6325" w:hanging="455"/>
      </w:pPr>
      <w:rPr>
        <w:rFonts w:hint="default"/>
        <w:lang w:val="zh-CN" w:eastAsia="zh-CN" w:bidi="zh-CN"/>
      </w:rPr>
    </w:lvl>
    <w:lvl w:ilvl="7" w:tentative="0">
      <w:start w:val="0"/>
      <w:numFmt w:val="bullet"/>
      <w:lvlText w:val="•"/>
      <w:lvlJc w:val="left"/>
      <w:pPr>
        <w:ind w:left="7350" w:hanging="455"/>
      </w:pPr>
      <w:rPr>
        <w:rFonts w:hint="default"/>
        <w:lang w:val="zh-CN" w:eastAsia="zh-CN" w:bidi="zh-CN"/>
      </w:rPr>
    </w:lvl>
    <w:lvl w:ilvl="8" w:tentative="0">
      <w:start w:val="0"/>
      <w:numFmt w:val="bullet"/>
      <w:lvlText w:val="•"/>
      <w:lvlJc w:val="left"/>
      <w:pPr>
        <w:ind w:left="8376" w:hanging="455"/>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337" w:hanging="529"/>
        <w:jc w:val="left"/>
      </w:pPr>
      <w:rPr>
        <w:rFonts w:hint="default" w:ascii="宋体" w:hAnsi="宋体" w:eastAsia="宋体" w:cs="宋体"/>
        <w:spacing w:val="-5"/>
        <w:w w:val="100"/>
        <w:sz w:val="19"/>
        <w:szCs w:val="19"/>
        <w:lang w:val="zh-CN" w:eastAsia="zh-CN" w:bidi="zh-CN"/>
      </w:rPr>
    </w:lvl>
    <w:lvl w:ilvl="1" w:tentative="0">
      <w:start w:val="0"/>
      <w:numFmt w:val="bullet"/>
      <w:lvlText w:val="•"/>
      <w:lvlJc w:val="left"/>
      <w:pPr>
        <w:ind w:left="1348" w:hanging="529"/>
      </w:pPr>
      <w:rPr>
        <w:rFonts w:hint="default"/>
        <w:lang w:val="zh-CN" w:eastAsia="zh-CN" w:bidi="zh-CN"/>
      </w:rPr>
    </w:lvl>
    <w:lvl w:ilvl="2" w:tentative="0">
      <w:start w:val="0"/>
      <w:numFmt w:val="bullet"/>
      <w:lvlText w:val="•"/>
      <w:lvlJc w:val="left"/>
      <w:pPr>
        <w:ind w:left="2357" w:hanging="529"/>
      </w:pPr>
      <w:rPr>
        <w:rFonts w:hint="default"/>
        <w:lang w:val="zh-CN" w:eastAsia="zh-CN" w:bidi="zh-CN"/>
      </w:rPr>
    </w:lvl>
    <w:lvl w:ilvl="3" w:tentative="0">
      <w:start w:val="0"/>
      <w:numFmt w:val="bullet"/>
      <w:lvlText w:val="•"/>
      <w:lvlJc w:val="left"/>
      <w:pPr>
        <w:ind w:left="3365" w:hanging="529"/>
      </w:pPr>
      <w:rPr>
        <w:rFonts w:hint="default"/>
        <w:lang w:val="zh-CN" w:eastAsia="zh-CN" w:bidi="zh-CN"/>
      </w:rPr>
    </w:lvl>
    <w:lvl w:ilvl="4" w:tentative="0">
      <w:start w:val="0"/>
      <w:numFmt w:val="bullet"/>
      <w:lvlText w:val="•"/>
      <w:lvlJc w:val="left"/>
      <w:pPr>
        <w:ind w:left="4374" w:hanging="529"/>
      </w:pPr>
      <w:rPr>
        <w:rFonts w:hint="default"/>
        <w:lang w:val="zh-CN" w:eastAsia="zh-CN" w:bidi="zh-CN"/>
      </w:rPr>
    </w:lvl>
    <w:lvl w:ilvl="5" w:tentative="0">
      <w:start w:val="0"/>
      <w:numFmt w:val="bullet"/>
      <w:lvlText w:val="•"/>
      <w:lvlJc w:val="left"/>
      <w:pPr>
        <w:ind w:left="5383" w:hanging="529"/>
      </w:pPr>
      <w:rPr>
        <w:rFonts w:hint="default"/>
        <w:lang w:val="zh-CN" w:eastAsia="zh-CN" w:bidi="zh-CN"/>
      </w:rPr>
    </w:lvl>
    <w:lvl w:ilvl="6" w:tentative="0">
      <w:start w:val="0"/>
      <w:numFmt w:val="bullet"/>
      <w:lvlText w:val="•"/>
      <w:lvlJc w:val="left"/>
      <w:pPr>
        <w:ind w:left="6391" w:hanging="529"/>
      </w:pPr>
      <w:rPr>
        <w:rFonts w:hint="default"/>
        <w:lang w:val="zh-CN" w:eastAsia="zh-CN" w:bidi="zh-CN"/>
      </w:rPr>
    </w:lvl>
    <w:lvl w:ilvl="7" w:tentative="0">
      <w:start w:val="0"/>
      <w:numFmt w:val="bullet"/>
      <w:lvlText w:val="•"/>
      <w:lvlJc w:val="left"/>
      <w:pPr>
        <w:ind w:left="7400" w:hanging="529"/>
      </w:pPr>
      <w:rPr>
        <w:rFonts w:hint="default"/>
        <w:lang w:val="zh-CN" w:eastAsia="zh-CN" w:bidi="zh-CN"/>
      </w:rPr>
    </w:lvl>
    <w:lvl w:ilvl="8" w:tentative="0">
      <w:start w:val="0"/>
      <w:numFmt w:val="bullet"/>
      <w:lvlText w:val="•"/>
      <w:lvlJc w:val="left"/>
      <w:pPr>
        <w:ind w:left="8409" w:hanging="529"/>
      </w:pPr>
      <w:rPr>
        <w:rFonts w:hint="default"/>
        <w:lang w:val="zh-CN" w:eastAsia="zh-CN" w:bidi="zh-CN"/>
      </w:rPr>
    </w:lvl>
  </w:abstractNum>
  <w:abstractNum w:abstractNumId="4">
    <w:nsid w:val="91995D4F"/>
    <w:multiLevelType w:val="multilevel"/>
    <w:tmpl w:val="91995D4F"/>
    <w:lvl w:ilvl="0" w:tentative="0">
      <w:start w:val="6"/>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tentative="0">
      <w:start w:val="1"/>
      <w:numFmt w:val="decimal"/>
      <w:lvlText w:val="（%2）"/>
      <w:lvlJc w:val="left"/>
      <w:pPr>
        <w:ind w:left="1057"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870" w:hanging="529"/>
      </w:pPr>
      <w:rPr>
        <w:rFonts w:hint="default"/>
        <w:lang w:val="zh-CN" w:eastAsia="zh-CN" w:bidi="zh-CN"/>
      </w:rPr>
    </w:lvl>
    <w:lvl w:ilvl="3" w:tentative="0">
      <w:start w:val="0"/>
      <w:numFmt w:val="bullet"/>
      <w:lvlText w:val="•"/>
      <w:lvlJc w:val="left"/>
      <w:pPr>
        <w:ind w:left="2681" w:hanging="529"/>
      </w:pPr>
      <w:rPr>
        <w:rFonts w:hint="default"/>
        <w:lang w:val="zh-CN" w:eastAsia="zh-CN" w:bidi="zh-CN"/>
      </w:rPr>
    </w:lvl>
    <w:lvl w:ilvl="4" w:tentative="0">
      <w:start w:val="0"/>
      <w:numFmt w:val="bullet"/>
      <w:lvlText w:val="•"/>
      <w:lvlJc w:val="left"/>
      <w:pPr>
        <w:ind w:left="3492" w:hanging="529"/>
      </w:pPr>
      <w:rPr>
        <w:rFonts w:hint="default"/>
        <w:lang w:val="zh-CN" w:eastAsia="zh-CN" w:bidi="zh-CN"/>
      </w:rPr>
    </w:lvl>
    <w:lvl w:ilvl="5" w:tentative="0">
      <w:start w:val="0"/>
      <w:numFmt w:val="bullet"/>
      <w:lvlText w:val="•"/>
      <w:lvlJc w:val="left"/>
      <w:pPr>
        <w:ind w:left="4303" w:hanging="529"/>
      </w:pPr>
      <w:rPr>
        <w:rFonts w:hint="default"/>
        <w:lang w:val="zh-CN" w:eastAsia="zh-CN" w:bidi="zh-CN"/>
      </w:rPr>
    </w:lvl>
    <w:lvl w:ilvl="6" w:tentative="0">
      <w:start w:val="0"/>
      <w:numFmt w:val="bullet"/>
      <w:lvlText w:val="•"/>
      <w:lvlJc w:val="left"/>
      <w:pPr>
        <w:ind w:left="5114" w:hanging="529"/>
      </w:pPr>
      <w:rPr>
        <w:rFonts w:hint="default"/>
        <w:lang w:val="zh-CN" w:eastAsia="zh-CN" w:bidi="zh-CN"/>
      </w:rPr>
    </w:lvl>
    <w:lvl w:ilvl="7" w:tentative="0">
      <w:start w:val="0"/>
      <w:numFmt w:val="bullet"/>
      <w:lvlText w:val="•"/>
      <w:lvlJc w:val="left"/>
      <w:pPr>
        <w:ind w:left="5925" w:hanging="529"/>
      </w:pPr>
      <w:rPr>
        <w:rFonts w:hint="default"/>
        <w:lang w:val="zh-CN" w:eastAsia="zh-CN" w:bidi="zh-CN"/>
      </w:rPr>
    </w:lvl>
    <w:lvl w:ilvl="8" w:tentative="0">
      <w:start w:val="0"/>
      <w:numFmt w:val="bullet"/>
      <w:lvlText w:val="•"/>
      <w:lvlJc w:val="left"/>
      <w:pPr>
        <w:ind w:left="6736" w:hanging="529"/>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337" w:hanging="529"/>
        <w:jc w:val="left"/>
      </w:pPr>
      <w:rPr>
        <w:rFonts w:hint="default" w:ascii="宋体" w:hAnsi="宋体" w:eastAsia="宋体" w:cs="宋体"/>
        <w:spacing w:val="-5"/>
        <w:w w:val="100"/>
        <w:sz w:val="19"/>
        <w:szCs w:val="19"/>
        <w:lang w:val="zh-CN" w:eastAsia="zh-CN" w:bidi="zh-CN"/>
      </w:rPr>
    </w:lvl>
    <w:lvl w:ilvl="1" w:tentative="0">
      <w:start w:val="0"/>
      <w:numFmt w:val="bullet"/>
      <w:lvlText w:val="•"/>
      <w:lvlJc w:val="left"/>
      <w:pPr>
        <w:ind w:left="1348" w:hanging="529"/>
      </w:pPr>
      <w:rPr>
        <w:rFonts w:hint="default"/>
        <w:lang w:val="zh-CN" w:eastAsia="zh-CN" w:bidi="zh-CN"/>
      </w:rPr>
    </w:lvl>
    <w:lvl w:ilvl="2" w:tentative="0">
      <w:start w:val="0"/>
      <w:numFmt w:val="bullet"/>
      <w:lvlText w:val="•"/>
      <w:lvlJc w:val="left"/>
      <w:pPr>
        <w:ind w:left="2357" w:hanging="529"/>
      </w:pPr>
      <w:rPr>
        <w:rFonts w:hint="default"/>
        <w:lang w:val="zh-CN" w:eastAsia="zh-CN" w:bidi="zh-CN"/>
      </w:rPr>
    </w:lvl>
    <w:lvl w:ilvl="3" w:tentative="0">
      <w:start w:val="0"/>
      <w:numFmt w:val="bullet"/>
      <w:lvlText w:val="•"/>
      <w:lvlJc w:val="left"/>
      <w:pPr>
        <w:ind w:left="3365" w:hanging="529"/>
      </w:pPr>
      <w:rPr>
        <w:rFonts w:hint="default"/>
        <w:lang w:val="zh-CN" w:eastAsia="zh-CN" w:bidi="zh-CN"/>
      </w:rPr>
    </w:lvl>
    <w:lvl w:ilvl="4" w:tentative="0">
      <w:start w:val="0"/>
      <w:numFmt w:val="bullet"/>
      <w:lvlText w:val="•"/>
      <w:lvlJc w:val="left"/>
      <w:pPr>
        <w:ind w:left="4374" w:hanging="529"/>
      </w:pPr>
      <w:rPr>
        <w:rFonts w:hint="default"/>
        <w:lang w:val="zh-CN" w:eastAsia="zh-CN" w:bidi="zh-CN"/>
      </w:rPr>
    </w:lvl>
    <w:lvl w:ilvl="5" w:tentative="0">
      <w:start w:val="0"/>
      <w:numFmt w:val="bullet"/>
      <w:lvlText w:val="•"/>
      <w:lvlJc w:val="left"/>
      <w:pPr>
        <w:ind w:left="5383" w:hanging="529"/>
      </w:pPr>
      <w:rPr>
        <w:rFonts w:hint="default"/>
        <w:lang w:val="zh-CN" w:eastAsia="zh-CN" w:bidi="zh-CN"/>
      </w:rPr>
    </w:lvl>
    <w:lvl w:ilvl="6" w:tentative="0">
      <w:start w:val="0"/>
      <w:numFmt w:val="bullet"/>
      <w:lvlText w:val="•"/>
      <w:lvlJc w:val="left"/>
      <w:pPr>
        <w:ind w:left="6391" w:hanging="529"/>
      </w:pPr>
      <w:rPr>
        <w:rFonts w:hint="default"/>
        <w:lang w:val="zh-CN" w:eastAsia="zh-CN" w:bidi="zh-CN"/>
      </w:rPr>
    </w:lvl>
    <w:lvl w:ilvl="7" w:tentative="0">
      <w:start w:val="0"/>
      <w:numFmt w:val="bullet"/>
      <w:lvlText w:val="•"/>
      <w:lvlJc w:val="left"/>
      <w:pPr>
        <w:ind w:left="7400" w:hanging="529"/>
      </w:pPr>
      <w:rPr>
        <w:rFonts w:hint="default"/>
        <w:lang w:val="zh-CN" w:eastAsia="zh-CN" w:bidi="zh-CN"/>
      </w:rPr>
    </w:lvl>
    <w:lvl w:ilvl="8" w:tentative="0">
      <w:start w:val="0"/>
      <w:numFmt w:val="bullet"/>
      <w:lvlText w:val="•"/>
      <w:lvlJc w:val="left"/>
      <w:pPr>
        <w:ind w:left="8409" w:hanging="529"/>
      </w:pPr>
      <w:rPr>
        <w:rFonts w:hint="default"/>
        <w:lang w:val="zh-CN" w:eastAsia="zh-CN" w:bidi="zh-CN"/>
      </w:rPr>
    </w:lvl>
  </w:abstractNum>
  <w:abstractNum w:abstractNumId="6">
    <w:nsid w:val="9288B902"/>
    <w:multiLevelType w:val="multilevel"/>
    <w:tmpl w:val="9288B902"/>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7">
    <w:nsid w:val="9ACF65A0"/>
    <w:multiLevelType w:val="multilevel"/>
    <w:tmpl w:val="9ACF65A0"/>
    <w:lvl w:ilvl="0" w:tentative="0">
      <w:start w:val="1"/>
      <w:numFmt w:val="decimal"/>
      <w:lvlText w:val="（%1）"/>
      <w:lvlJc w:val="left"/>
      <w:pPr>
        <w:ind w:left="337" w:hanging="529"/>
        <w:jc w:val="left"/>
      </w:pPr>
      <w:rPr>
        <w:rFonts w:hint="default" w:ascii="宋体" w:hAnsi="宋体" w:eastAsia="宋体" w:cs="宋体"/>
        <w:spacing w:val="-8"/>
        <w:w w:val="100"/>
        <w:sz w:val="19"/>
        <w:szCs w:val="19"/>
        <w:lang w:val="zh-CN" w:eastAsia="zh-CN" w:bidi="zh-CN"/>
      </w:rPr>
    </w:lvl>
    <w:lvl w:ilvl="1" w:tentative="0">
      <w:start w:val="0"/>
      <w:numFmt w:val="bullet"/>
      <w:lvlText w:val="•"/>
      <w:lvlJc w:val="left"/>
      <w:pPr>
        <w:ind w:left="1348" w:hanging="529"/>
      </w:pPr>
      <w:rPr>
        <w:rFonts w:hint="default"/>
        <w:lang w:val="zh-CN" w:eastAsia="zh-CN" w:bidi="zh-CN"/>
      </w:rPr>
    </w:lvl>
    <w:lvl w:ilvl="2" w:tentative="0">
      <w:start w:val="0"/>
      <w:numFmt w:val="bullet"/>
      <w:lvlText w:val="•"/>
      <w:lvlJc w:val="left"/>
      <w:pPr>
        <w:ind w:left="2357" w:hanging="529"/>
      </w:pPr>
      <w:rPr>
        <w:rFonts w:hint="default"/>
        <w:lang w:val="zh-CN" w:eastAsia="zh-CN" w:bidi="zh-CN"/>
      </w:rPr>
    </w:lvl>
    <w:lvl w:ilvl="3" w:tentative="0">
      <w:start w:val="0"/>
      <w:numFmt w:val="bullet"/>
      <w:lvlText w:val="•"/>
      <w:lvlJc w:val="left"/>
      <w:pPr>
        <w:ind w:left="3365" w:hanging="529"/>
      </w:pPr>
      <w:rPr>
        <w:rFonts w:hint="default"/>
        <w:lang w:val="zh-CN" w:eastAsia="zh-CN" w:bidi="zh-CN"/>
      </w:rPr>
    </w:lvl>
    <w:lvl w:ilvl="4" w:tentative="0">
      <w:start w:val="0"/>
      <w:numFmt w:val="bullet"/>
      <w:lvlText w:val="•"/>
      <w:lvlJc w:val="left"/>
      <w:pPr>
        <w:ind w:left="4374" w:hanging="529"/>
      </w:pPr>
      <w:rPr>
        <w:rFonts w:hint="default"/>
        <w:lang w:val="zh-CN" w:eastAsia="zh-CN" w:bidi="zh-CN"/>
      </w:rPr>
    </w:lvl>
    <w:lvl w:ilvl="5" w:tentative="0">
      <w:start w:val="0"/>
      <w:numFmt w:val="bullet"/>
      <w:lvlText w:val="•"/>
      <w:lvlJc w:val="left"/>
      <w:pPr>
        <w:ind w:left="5383" w:hanging="529"/>
      </w:pPr>
      <w:rPr>
        <w:rFonts w:hint="default"/>
        <w:lang w:val="zh-CN" w:eastAsia="zh-CN" w:bidi="zh-CN"/>
      </w:rPr>
    </w:lvl>
    <w:lvl w:ilvl="6" w:tentative="0">
      <w:start w:val="0"/>
      <w:numFmt w:val="bullet"/>
      <w:lvlText w:val="•"/>
      <w:lvlJc w:val="left"/>
      <w:pPr>
        <w:ind w:left="6391" w:hanging="529"/>
      </w:pPr>
      <w:rPr>
        <w:rFonts w:hint="default"/>
        <w:lang w:val="zh-CN" w:eastAsia="zh-CN" w:bidi="zh-CN"/>
      </w:rPr>
    </w:lvl>
    <w:lvl w:ilvl="7" w:tentative="0">
      <w:start w:val="0"/>
      <w:numFmt w:val="bullet"/>
      <w:lvlText w:val="•"/>
      <w:lvlJc w:val="left"/>
      <w:pPr>
        <w:ind w:left="7400" w:hanging="529"/>
      </w:pPr>
      <w:rPr>
        <w:rFonts w:hint="default"/>
        <w:lang w:val="zh-CN" w:eastAsia="zh-CN" w:bidi="zh-CN"/>
      </w:rPr>
    </w:lvl>
    <w:lvl w:ilvl="8" w:tentative="0">
      <w:start w:val="0"/>
      <w:numFmt w:val="bullet"/>
      <w:lvlText w:val="•"/>
      <w:lvlJc w:val="left"/>
      <w:pPr>
        <w:ind w:left="8409" w:hanging="529"/>
      </w:pPr>
      <w:rPr>
        <w:rFonts w:hint="default"/>
        <w:lang w:val="zh-CN" w:eastAsia="zh-CN" w:bidi="zh-CN"/>
      </w:rPr>
    </w:lvl>
  </w:abstractNum>
  <w:abstractNum w:abstractNumId="8">
    <w:nsid w:val="9C8AC8EF"/>
    <w:multiLevelType w:val="multilevel"/>
    <w:tmpl w:val="9C8AC8EF"/>
    <w:lvl w:ilvl="0" w:tentative="0">
      <w:start w:val="1"/>
      <w:numFmt w:val="decimal"/>
      <w:lvlText w:val="%1"/>
      <w:lvlJc w:val="left"/>
      <w:pPr>
        <w:ind w:left="1037" w:hanging="280"/>
        <w:jc w:val="left"/>
      </w:pPr>
      <w:rPr>
        <w:rFonts w:hint="default"/>
        <w:lang w:val="zh-CN" w:eastAsia="zh-CN" w:bidi="zh-CN"/>
      </w:rPr>
    </w:lvl>
    <w:lvl w:ilvl="1" w:tentative="0">
      <w:start w:val="1"/>
      <w:numFmt w:val="decimal"/>
      <w:lvlText w:val="%1-%2"/>
      <w:lvlJc w:val="left"/>
      <w:pPr>
        <w:ind w:left="10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9">
    <w:nsid w:val="A0C93552"/>
    <w:multiLevelType w:val="multilevel"/>
    <w:tmpl w:val="A0C93552"/>
    <w:lvl w:ilvl="0" w:tentative="0">
      <w:start w:val="2"/>
      <w:numFmt w:val="decimal"/>
      <w:lvlText w:val="%1"/>
      <w:lvlJc w:val="left"/>
      <w:pPr>
        <w:ind w:left="1127" w:hanging="370"/>
        <w:jc w:val="left"/>
      </w:pPr>
      <w:rPr>
        <w:rFonts w:hint="default"/>
        <w:lang w:val="zh-CN" w:eastAsia="zh-CN" w:bidi="zh-CN"/>
      </w:rPr>
    </w:lvl>
    <w:lvl w:ilvl="1" w:tentative="0">
      <w:start w:val="1"/>
      <w:numFmt w:val="decimal"/>
      <w:lvlText w:val="%1.%2"/>
      <w:lvlJc w:val="left"/>
      <w:pPr>
        <w:ind w:left="1127"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981" w:hanging="370"/>
      </w:pPr>
      <w:rPr>
        <w:rFonts w:hint="default"/>
        <w:lang w:val="zh-CN" w:eastAsia="zh-CN" w:bidi="zh-CN"/>
      </w:rPr>
    </w:lvl>
    <w:lvl w:ilvl="3" w:tentative="0">
      <w:start w:val="0"/>
      <w:numFmt w:val="bullet"/>
      <w:lvlText w:val="•"/>
      <w:lvlJc w:val="left"/>
      <w:pPr>
        <w:ind w:left="3911" w:hanging="370"/>
      </w:pPr>
      <w:rPr>
        <w:rFonts w:hint="default"/>
        <w:lang w:val="zh-CN" w:eastAsia="zh-CN" w:bidi="zh-CN"/>
      </w:rPr>
    </w:lvl>
    <w:lvl w:ilvl="4" w:tentative="0">
      <w:start w:val="0"/>
      <w:numFmt w:val="bullet"/>
      <w:lvlText w:val="•"/>
      <w:lvlJc w:val="left"/>
      <w:pPr>
        <w:ind w:left="4842" w:hanging="370"/>
      </w:pPr>
      <w:rPr>
        <w:rFonts w:hint="default"/>
        <w:lang w:val="zh-CN" w:eastAsia="zh-CN" w:bidi="zh-CN"/>
      </w:rPr>
    </w:lvl>
    <w:lvl w:ilvl="5" w:tentative="0">
      <w:start w:val="0"/>
      <w:numFmt w:val="bullet"/>
      <w:lvlText w:val="•"/>
      <w:lvlJc w:val="left"/>
      <w:pPr>
        <w:ind w:left="5773" w:hanging="370"/>
      </w:pPr>
      <w:rPr>
        <w:rFonts w:hint="default"/>
        <w:lang w:val="zh-CN" w:eastAsia="zh-CN" w:bidi="zh-CN"/>
      </w:rPr>
    </w:lvl>
    <w:lvl w:ilvl="6" w:tentative="0">
      <w:start w:val="0"/>
      <w:numFmt w:val="bullet"/>
      <w:lvlText w:val="•"/>
      <w:lvlJc w:val="left"/>
      <w:pPr>
        <w:ind w:left="6703" w:hanging="370"/>
      </w:pPr>
      <w:rPr>
        <w:rFonts w:hint="default"/>
        <w:lang w:val="zh-CN" w:eastAsia="zh-CN" w:bidi="zh-CN"/>
      </w:rPr>
    </w:lvl>
    <w:lvl w:ilvl="7" w:tentative="0">
      <w:start w:val="0"/>
      <w:numFmt w:val="bullet"/>
      <w:lvlText w:val="•"/>
      <w:lvlJc w:val="left"/>
      <w:pPr>
        <w:ind w:left="7634" w:hanging="370"/>
      </w:pPr>
      <w:rPr>
        <w:rFonts w:hint="default"/>
        <w:lang w:val="zh-CN" w:eastAsia="zh-CN" w:bidi="zh-CN"/>
      </w:rPr>
    </w:lvl>
    <w:lvl w:ilvl="8" w:tentative="0">
      <w:start w:val="0"/>
      <w:numFmt w:val="bullet"/>
      <w:lvlText w:val="•"/>
      <w:lvlJc w:val="left"/>
      <w:pPr>
        <w:ind w:left="8565" w:hanging="370"/>
      </w:pPr>
      <w:rPr>
        <w:rFonts w:hint="default"/>
        <w:lang w:val="zh-CN" w:eastAsia="zh-CN" w:bidi="zh-CN"/>
      </w:rPr>
    </w:lvl>
  </w:abstractNum>
  <w:abstractNum w:abstractNumId="10">
    <w:nsid w:val="A0F05207"/>
    <w:multiLevelType w:val="multilevel"/>
    <w:tmpl w:val="A0F05207"/>
    <w:lvl w:ilvl="0" w:tentative="0">
      <w:start w:val="3"/>
      <w:numFmt w:val="decimal"/>
      <w:lvlText w:val="%1"/>
      <w:lvlJc w:val="left"/>
      <w:pPr>
        <w:ind w:left="1180" w:hanging="423"/>
        <w:jc w:val="left"/>
      </w:pPr>
      <w:rPr>
        <w:rFonts w:hint="default"/>
        <w:lang w:val="zh-CN" w:eastAsia="zh-CN" w:bidi="zh-CN"/>
      </w:rPr>
    </w:lvl>
    <w:lvl w:ilvl="1" w:tentative="0">
      <w:start w:val="1"/>
      <w:numFmt w:val="decimal"/>
      <w:lvlText w:val="%1.%2"/>
      <w:lvlJc w:val="left"/>
      <w:pPr>
        <w:ind w:left="1180" w:hanging="42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029" w:hanging="423"/>
      </w:pPr>
      <w:rPr>
        <w:rFonts w:hint="default"/>
        <w:lang w:val="zh-CN" w:eastAsia="zh-CN" w:bidi="zh-CN"/>
      </w:rPr>
    </w:lvl>
    <w:lvl w:ilvl="3" w:tentative="0">
      <w:start w:val="0"/>
      <w:numFmt w:val="bullet"/>
      <w:lvlText w:val="•"/>
      <w:lvlJc w:val="left"/>
      <w:pPr>
        <w:ind w:left="3953" w:hanging="423"/>
      </w:pPr>
      <w:rPr>
        <w:rFonts w:hint="default"/>
        <w:lang w:val="zh-CN" w:eastAsia="zh-CN" w:bidi="zh-CN"/>
      </w:rPr>
    </w:lvl>
    <w:lvl w:ilvl="4" w:tentative="0">
      <w:start w:val="0"/>
      <w:numFmt w:val="bullet"/>
      <w:lvlText w:val="•"/>
      <w:lvlJc w:val="left"/>
      <w:pPr>
        <w:ind w:left="4878" w:hanging="423"/>
      </w:pPr>
      <w:rPr>
        <w:rFonts w:hint="default"/>
        <w:lang w:val="zh-CN" w:eastAsia="zh-CN" w:bidi="zh-CN"/>
      </w:rPr>
    </w:lvl>
    <w:lvl w:ilvl="5" w:tentative="0">
      <w:start w:val="0"/>
      <w:numFmt w:val="bullet"/>
      <w:lvlText w:val="•"/>
      <w:lvlJc w:val="left"/>
      <w:pPr>
        <w:ind w:left="5803" w:hanging="423"/>
      </w:pPr>
      <w:rPr>
        <w:rFonts w:hint="default"/>
        <w:lang w:val="zh-CN" w:eastAsia="zh-CN" w:bidi="zh-CN"/>
      </w:rPr>
    </w:lvl>
    <w:lvl w:ilvl="6" w:tentative="0">
      <w:start w:val="0"/>
      <w:numFmt w:val="bullet"/>
      <w:lvlText w:val="•"/>
      <w:lvlJc w:val="left"/>
      <w:pPr>
        <w:ind w:left="6727" w:hanging="423"/>
      </w:pPr>
      <w:rPr>
        <w:rFonts w:hint="default"/>
        <w:lang w:val="zh-CN" w:eastAsia="zh-CN" w:bidi="zh-CN"/>
      </w:rPr>
    </w:lvl>
    <w:lvl w:ilvl="7" w:tentative="0">
      <w:start w:val="0"/>
      <w:numFmt w:val="bullet"/>
      <w:lvlText w:val="•"/>
      <w:lvlJc w:val="left"/>
      <w:pPr>
        <w:ind w:left="7652" w:hanging="423"/>
      </w:pPr>
      <w:rPr>
        <w:rFonts w:hint="default"/>
        <w:lang w:val="zh-CN" w:eastAsia="zh-CN" w:bidi="zh-CN"/>
      </w:rPr>
    </w:lvl>
    <w:lvl w:ilvl="8" w:tentative="0">
      <w:start w:val="0"/>
      <w:numFmt w:val="bullet"/>
      <w:lvlText w:val="•"/>
      <w:lvlJc w:val="left"/>
      <w:pPr>
        <w:ind w:left="8577" w:hanging="423"/>
      </w:pPr>
      <w:rPr>
        <w:rFonts w:hint="default"/>
        <w:lang w:val="zh-CN" w:eastAsia="zh-CN" w:bidi="zh-CN"/>
      </w:rPr>
    </w:lvl>
  </w:abstractNum>
  <w:abstractNum w:abstractNumId="11">
    <w:nsid w:val="B0F1ACD9"/>
    <w:multiLevelType w:val="multilevel"/>
    <w:tmpl w:val="B0F1ACD9"/>
    <w:lvl w:ilvl="0" w:tentative="0">
      <w:start w:val="6"/>
      <w:numFmt w:val="decimal"/>
      <w:lvlText w:val="%1"/>
      <w:lvlJc w:val="left"/>
      <w:pPr>
        <w:ind w:left="1037" w:hanging="280"/>
        <w:jc w:val="left"/>
      </w:pPr>
      <w:rPr>
        <w:rFonts w:hint="default"/>
        <w:lang w:val="zh-CN" w:eastAsia="zh-CN" w:bidi="zh-CN"/>
      </w:rPr>
    </w:lvl>
    <w:lvl w:ilvl="1" w:tentative="0">
      <w:start w:val="1"/>
      <w:numFmt w:val="decimal"/>
      <w:lvlText w:val="%1-%2"/>
      <w:lvlJc w:val="left"/>
      <w:pPr>
        <w:ind w:left="10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12">
    <w:nsid w:val="B23A94A9"/>
    <w:multiLevelType w:val="multilevel"/>
    <w:tmpl w:val="B23A94A9"/>
    <w:lvl w:ilvl="0" w:tentative="0">
      <w:start w:val="1"/>
      <w:numFmt w:val="decimal"/>
      <w:lvlText w:val="（%1）"/>
      <w:lvlJc w:val="left"/>
      <w:pPr>
        <w:ind w:left="1289" w:hanging="529"/>
        <w:jc w:val="left"/>
      </w:pPr>
      <w:rPr>
        <w:rFonts w:hint="default" w:ascii="宋体" w:hAnsi="宋体" w:eastAsia="宋体" w:cs="宋体"/>
        <w:b/>
        <w:bCs/>
        <w:w w:val="99"/>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13">
    <w:nsid w:val="B53F3350"/>
    <w:multiLevelType w:val="multilevel"/>
    <w:tmpl w:val="B53F3350"/>
    <w:lvl w:ilvl="0" w:tentative="0">
      <w:start w:val="7"/>
      <w:numFmt w:val="decimal"/>
      <w:lvlText w:val="%1"/>
      <w:lvlJc w:val="left"/>
      <w:pPr>
        <w:ind w:left="1130" w:hanging="370"/>
        <w:jc w:val="left"/>
      </w:pPr>
      <w:rPr>
        <w:rFonts w:hint="default"/>
        <w:lang w:val="zh-CN" w:eastAsia="zh-CN" w:bidi="zh-CN"/>
      </w:rPr>
    </w:lvl>
    <w:lvl w:ilvl="1" w:tentative="0">
      <w:start w:val="1"/>
      <w:numFmt w:val="decimal"/>
      <w:lvlText w:val="%1.%2"/>
      <w:lvlJc w:val="left"/>
      <w:pPr>
        <w:ind w:left="1130" w:hanging="370"/>
        <w:jc w:val="left"/>
      </w:pPr>
      <w:rPr>
        <w:rFonts w:hint="default" w:ascii="宋体" w:hAnsi="宋体" w:eastAsia="宋体" w:cs="宋体"/>
        <w:b/>
        <w:bCs/>
        <w:w w:val="99"/>
        <w:sz w:val="21"/>
        <w:szCs w:val="21"/>
        <w:lang w:val="zh-CN" w:eastAsia="zh-CN" w:bidi="zh-CN"/>
      </w:rPr>
    </w:lvl>
    <w:lvl w:ilvl="2" w:tentative="0">
      <w:start w:val="0"/>
      <w:numFmt w:val="bullet"/>
      <w:lvlText w:val="•"/>
      <w:lvlJc w:val="left"/>
      <w:pPr>
        <w:ind w:left="2997" w:hanging="370"/>
      </w:pPr>
      <w:rPr>
        <w:rFonts w:hint="default"/>
        <w:lang w:val="zh-CN" w:eastAsia="zh-CN" w:bidi="zh-CN"/>
      </w:rPr>
    </w:lvl>
    <w:lvl w:ilvl="3" w:tentative="0">
      <w:start w:val="0"/>
      <w:numFmt w:val="bullet"/>
      <w:lvlText w:val="•"/>
      <w:lvlJc w:val="left"/>
      <w:pPr>
        <w:ind w:left="3925" w:hanging="370"/>
      </w:pPr>
      <w:rPr>
        <w:rFonts w:hint="default"/>
        <w:lang w:val="zh-CN" w:eastAsia="zh-CN" w:bidi="zh-CN"/>
      </w:rPr>
    </w:lvl>
    <w:lvl w:ilvl="4" w:tentative="0">
      <w:start w:val="0"/>
      <w:numFmt w:val="bullet"/>
      <w:lvlText w:val="•"/>
      <w:lvlJc w:val="left"/>
      <w:pPr>
        <w:ind w:left="4854" w:hanging="370"/>
      </w:pPr>
      <w:rPr>
        <w:rFonts w:hint="default"/>
        <w:lang w:val="zh-CN" w:eastAsia="zh-CN" w:bidi="zh-CN"/>
      </w:rPr>
    </w:lvl>
    <w:lvl w:ilvl="5" w:tentative="0">
      <w:start w:val="0"/>
      <w:numFmt w:val="bullet"/>
      <w:lvlText w:val="•"/>
      <w:lvlJc w:val="left"/>
      <w:pPr>
        <w:ind w:left="5783" w:hanging="370"/>
      </w:pPr>
      <w:rPr>
        <w:rFonts w:hint="default"/>
        <w:lang w:val="zh-CN" w:eastAsia="zh-CN" w:bidi="zh-CN"/>
      </w:rPr>
    </w:lvl>
    <w:lvl w:ilvl="6" w:tentative="0">
      <w:start w:val="0"/>
      <w:numFmt w:val="bullet"/>
      <w:lvlText w:val="•"/>
      <w:lvlJc w:val="left"/>
      <w:pPr>
        <w:ind w:left="6711" w:hanging="370"/>
      </w:pPr>
      <w:rPr>
        <w:rFonts w:hint="default"/>
        <w:lang w:val="zh-CN" w:eastAsia="zh-CN" w:bidi="zh-CN"/>
      </w:rPr>
    </w:lvl>
    <w:lvl w:ilvl="7" w:tentative="0">
      <w:start w:val="0"/>
      <w:numFmt w:val="bullet"/>
      <w:lvlText w:val="•"/>
      <w:lvlJc w:val="left"/>
      <w:pPr>
        <w:ind w:left="7640" w:hanging="370"/>
      </w:pPr>
      <w:rPr>
        <w:rFonts w:hint="default"/>
        <w:lang w:val="zh-CN" w:eastAsia="zh-CN" w:bidi="zh-CN"/>
      </w:rPr>
    </w:lvl>
    <w:lvl w:ilvl="8" w:tentative="0">
      <w:start w:val="0"/>
      <w:numFmt w:val="bullet"/>
      <w:lvlText w:val="•"/>
      <w:lvlJc w:val="left"/>
      <w:pPr>
        <w:ind w:left="8569" w:hanging="370"/>
      </w:pPr>
      <w:rPr>
        <w:rFonts w:hint="default"/>
        <w:lang w:val="zh-CN" w:eastAsia="zh-CN" w:bidi="zh-CN"/>
      </w:rPr>
    </w:lvl>
  </w:abstractNum>
  <w:abstractNum w:abstractNumId="14">
    <w:nsid w:val="B88D21A8"/>
    <w:multiLevelType w:val="multilevel"/>
    <w:tmpl w:val="B88D21A8"/>
    <w:lvl w:ilvl="0" w:tentative="0">
      <w:start w:val="5"/>
      <w:numFmt w:val="decimal"/>
      <w:lvlText w:val="%1"/>
      <w:lvlJc w:val="left"/>
      <w:pPr>
        <w:ind w:left="337" w:hanging="423"/>
        <w:jc w:val="left"/>
      </w:pPr>
      <w:rPr>
        <w:rFonts w:hint="default"/>
        <w:lang w:val="zh-CN" w:eastAsia="zh-CN" w:bidi="zh-CN"/>
      </w:rPr>
    </w:lvl>
    <w:lvl w:ilvl="1" w:tentative="0">
      <w:start w:val="1"/>
      <w:numFmt w:val="decimal"/>
      <w:lvlText w:val="%1.%2"/>
      <w:lvlJc w:val="left"/>
      <w:pPr>
        <w:ind w:left="337" w:hanging="42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357" w:hanging="423"/>
      </w:pPr>
      <w:rPr>
        <w:rFonts w:hint="default"/>
        <w:lang w:val="zh-CN" w:eastAsia="zh-CN" w:bidi="zh-CN"/>
      </w:rPr>
    </w:lvl>
    <w:lvl w:ilvl="3" w:tentative="0">
      <w:start w:val="0"/>
      <w:numFmt w:val="bullet"/>
      <w:lvlText w:val="•"/>
      <w:lvlJc w:val="left"/>
      <w:pPr>
        <w:ind w:left="3365" w:hanging="423"/>
      </w:pPr>
      <w:rPr>
        <w:rFonts w:hint="default"/>
        <w:lang w:val="zh-CN" w:eastAsia="zh-CN" w:bidi="zh-CN"/>
      </w:rPr>
    </w:lvl>
    <w:lvl w:ilvl="4" w:tentative="0">
      <w:start w:val="0"/>
      <w:numFmt w:val="bullet"/>
      <w:lvlText w:val="•"/>
      <w:lvlJc w:val="left"/>
      <w:pPr>
        <w:ind w:left="4374" w:hanging="423"/>
      </w:pPr>
      <w:rPr>
        <w:rFonts w:hint="default"/>
        <w:lang w:val="zh-CN" w:eastAsia="zh-CN" w:bidi="zh-CN"/>
      </w:rPr>
    </w:lvl>
    <w:lvl w:ilvl="5" w:tentative="0">
      <w:start w:val="0"/>
      <w:numFmt w:val="bullet"/>
      <w:lvlText w:val="•"/>
      <w:lvlJc w:val="left"/>
      <w:pPr>
        <w:ind w:left="5383" w:hanging="423"/>
      </w:pPr>
      <w:rPr>
        <w:rFonts w:hint="default"/>
        <w:lang w:val="zh-CN" w:eastAsia="zh-CN" w:bidi="zh-CN"/>
      </w:rPr>
    </w:lvl>
    <w:lvl w:ilvl="6" w:tentative="0">
      <w:start w:val="0"/>
      <w:numFmt w:val="bullet"/>
      <w:lvlText w:val="•"/>
      <w:lvlJc w:val="left"/>
      <w:pPr>
        <w:ind w:left="6391" w:hanging="423"/>
      </w:pPr>
      <w:rPr>
        <w:rFonts w:hint="default"/>
        <w:lang w:val="zh-CN" w:eastAsia="zh-CN" w:bidi="zh-CN"/>
      </w:rPr>
    </w:lvl>
    <w:lvl w:ilvl="7" w:tentative="0">
      <w:start w:val="0"/>
      <w:numFmt w:val="bullet"/>
      <w:lvlText w:val="•"/>
      <w:lvlJc w:val="left"/>
      <w:pPr>
        <w:ind w:left="7400" w:hanging="423"/>
      </w:pPr>
      <w:rPr>
        <w:rFonts w:hint="default"/>
        <w:lang w:val="zh-CN" w:eastAsia="zh-CN" w:bidi="zh-CN"/>
      </w:rPr>
    </w:lvl>
    <w:lvl w:ilvl="8" w:tentative="0">
      <w:start w:val="0"/>
      <w:numFmt w:val="bullet"/>
      <w:lvlText w:val="•"/>
      <w:lvlJc w:val="left"/>
      <w:pPr>
        <w:ind w:left="8409" w:hanging="423"/>
      </w:pPr>
      <w:rPr>
        <w:rFonts w:hint="default"/>
        <w:lang w:val="zh-CN" w:eastAsia="zh-CN" w:bidi="zh-CN"/>
      </w:rPr>
    </w:lvl>
  </w:abstractNum>
  <w:abstractNum w:abstractNumId="15">
    <w:nsid w:val="B8CEF35B"/>
    <w:multiLevelType w:val="multilevel"/>
    <w:tmpl w:val="B8CEF35B"/>
    <w:lvl w:ilvl="0" w:tentative="0">
      <w:start w:val="7"/>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tentative="0">
      <w:start w:val="1"/>
      <w:numFmt w:val="decimal"/>
      <w:lvlText w:val="（%2）"/>
      <w:lvlJc w:val="left"/>
      <w:pPr>
        <w:ind w:left="1057"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870" w:hanging="529"/>
      </w:pPr>
      <w:rPr>
        <w:rFonts w:hint="default"/>
        <w:lang w:val="zh-CN" w:eastAsia="zh-CN" w:bidi="zh-CN"/>
      </w:rPr>
    </w:lvl>
    <w:lvl w:ilvl="3" w:tentative="0">
      <w:start w:val="0"/>
      <w:numFmt w:val="bullet"/>
      <w:lvlText w:val="•"/>
      <w:lvlJc w:val="left"/>
      <w:pPr>
        <w:ind w:left="2681" w:hanging="529"/>
      </w:pPr>
      <w:rPr>
        <w:rFonts w:hint="default"/>
        <w:lang w:val="zh-CN" w:eastAsia="zh-CN" w:bidi="zh-CN"/>
      </w:rPr>
    </w:lvl>
    <w:lvl w:ilvl="4" w:tentative="0">
      <w:start w:val="0"/>
      <w:numFmt w:val="bullet"/>
      <w:lvlText w:val="•"/>
      <w:lvlJc w:val="left"/>
      <w:pPr>
        <w:ind w:left="3492" w:hanging="529"/>
      </w:pPr>
      <w:rPr>
        <w:rFonts w:hint="default"/>
        <w:lang w:val="zh-CN" w:eastAsia="zh-CN" w:bidi="zh-CN"/>
      </w:rPr>
    </w:lvl>
    <w:lvl w:ilvl="5" w:tentative="0">
      <w:start w:val="0"/>
      <w:numFmt w:val="bullet"/>
      <w:lvlText w:val="•"/>
      <w:lvlJc w:val="left"/>
      <w:pPr>
        <w:ind w:left="4303" w:hanging="529"/>
      </w:pPr>
      <w:rPr>
        <w:rFonts w:hint="default"/>
        <w:lang w:val="zh-CN" w:eastAsia="zh-CN" w:bidi="zh-CN"/>
      </w:rPr>
    </w:lvl>
    <w:lvl w:ilvl="6" w:tentative="0">
      <w:start w:val="0"/>
      <w:numFmt w:val="bullet"/>
      <w:lvlText w:val="•"/>
      <w:lvlJc w:val="left"/>
      <w:pPr>
        <w:ind w:left="5114" w:hanging="529"/>
      </w:pPr>
      <w:rPr>
        <w:rFonts w:hint="default"/>
        <w:lang w:val="zh-CN" w:eastAsia="zh-CN" w:bidi="zh-CN"/>
      </w:rPr>
    </w:lvl>
    <w:lvl w:ilvl="7" w:tentative="0">
      <w:start w:val="0"/>
      <w:numFmt w:val="bullet"/>
      <w:lvlText w:val="•"/>
      <w:lvlJc w:val="left"/>
      <w:pPr>
        <w:ind w:left="5925" w:hanging="529"/>
      </w:pPr>
      <w:rPr>
        <w:rFonts w:hint="default"/>
        <w:lang w:val="zh-CN" w:eastAsia="zh-CN" w:bidi="zh-CN"/>
      </w:rPr>
    </w:lvl>
    <w:lvl w:ilvl="8" w:tentative="0">
      <w:start w:val="0"/>
      <w:numFmt w:val="bullet"/>
      <w:lvlText w:val="•"/>
      <w:lvlJc w:val="left"/>
      <w:pPr>
        <w:ind w:left="6736" w:hanging="529"/>
      </w:pPr>
      <w:rPr>
        <w:rFonts w:hint="default"/>
        <w:lang w:val="zh-CN" w:eastAsia="zh-CN" w:bidi="zh-CN"/>
      </w:rPr>
    </w:lvl>
  </w:abstractNum>
  <w:abstractNum w:abstractNumId="16">
    <w:nsid w:val="BB64CFA9"/>
    <w:multiLevelType w:val="multilevel"/>
    <w:tmpl w:val="BB64CFA9"/>
    <w:lvl w:ilvl="0" w:tentative="0">
      <w:start w:val="5"/>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tentative="0">
      <w:start w:val="1"/>
      <w:numFmt w:val="decimal"/>
      <w:lvlText w:val="（%2）"/>
      <w:lvlJc w:val="left"/>
      <w:pPr>
        <w:ind w:left="1057"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870" w:hanging="529"/>
      </w:pPr>
      <w:rPr>
        <w:rFonts w:hint="default"/>
        <w:lang w:val="zh-CN" w:eastAsia="zh-CN" w:bidi="zh-CN"/>
      </w:rPr>
    </w:lvl>
    <w:lvl w:ilvl="3" w:tentative="0">
      <w:start w:val="0"/>
      <w:numFmt w:val="bullet"/>
      <w:lvlText w:val="•"/>
      <w:lvlJc w:val="left"/>
      <w:pPr>
        <w:ind w:left="2681" w:hanging="529"/>
      </w:pPr>
      <w:rPr>
        <w:rFonts w:hint="default"/>
        <w:lang w:val="zh-CN" w:eastAsia="zh-CN" w:bidi="zh-CN"/>
      </w:rPr>
    </w:lvl>
    <w:lvl w:ilvl="4" w:tentative="0">
      <w:start w:val="0"/>
      <w:numFmt w:val="bullet"/>
      <w:lvlText w:val="•"/>
      <w:lvlJc w:val="left"/>
      <w:pPr>
        <w:ind w:left="3492" w:hanging="529"/>
      </w:pPr>
      <w:rPr>
        <w:rFonts w:hint="default"/>
        <w:lang w:val="zh-CN" w:eastAsia="zh-CN" w:bidi="zh-CN"/>
      </w:rPr>
    </w:lvl>
    <w:lvl w:ilvl="5" w:tentative="0">
      <w:start w:val="0"/>
      <w:numFmt w:val="bullet"/>
      <w:lvlText w:val="•"/>
      <w:lvlJc w:val="left"/>
      <w:pPr>
        <w:ind w:left="4303" w:hanging="529"/>
      </w:pPr>
      <w:rPr>
        <w:rFonts w:hint="default"/>
        <w:lang w:val="zh-CN" w:eastAsia="zh-CN" w:bidi="zh-CN"/>
      </w:rPr>
    </w:lvl>
    <w:lvl w:ilvl="6" w:tentative="0">
      <w:start w:val="0"/>
      <w:numFmt w:val="bullet"/>
      <w:lvlText w:val="•"/>
      <w:lvlJc w:val="left"/>
      <w:pPr>
        <w:ind w:left="5114" w:hanging="529"/>
      </w:pPr>
      <w:rPr>
        <w:rFonts w:hint="default"/>
        <w:lang w:val="zh-CN" w:eastAsia="zh-CN" w:bidi="zh-CN"/>
      </w:rPr>
    </w:lvl>
    <w:lvl w:ilvl="7" w:tentative="0">
      <w:start w:val="0"/>
      <w:numFmt w:val="bullet"/>
      <w:lvlText w:val="•"/>
      <w:lvlJc w:val="left"/>
      <w:pPr>
        <w:ind w:left="5925" w:hanging="529"/>
      </w:pPr>
      <w:rPr>
        <w:rFonts w:hint="default"/>
        <w:lang w:val="zh-CN" w:eastAsia="zh-CN" w:bidi="zh-CN"/>
      </w:rPr>
    </w:lvl>
    <w:lvl w:ilvl="8" w:tentative="0">
      <w:start w:val="0"/>
      <w:numFmt w:val="bullet"/>
      <w:lvlText w:val="•"/>
      <w:lvlJc w:val="left"/>
      <w:pPr>
        <w:ind w:left="6736" w:hanging="529"/>
      </w:pPr>
      <w:rPr>
        <w:rFonts w:hint="default"/>
        <w:lang w:val="zh-CN" w:eastAsia="zh-CN" w:bidi="zh-CN"/>
      </w:rPr>
    </w:lvl>
  </w:abstractNum>
  <w:abstractNum w:abstractNumId="17">
    <w:nsid w:val="BDA1395C"/>
    <w:multiLevelType w:val="multilevel"/>
    <w:tmpl w:val="BDA1395C"/>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18">
    <w:nsid w:val="BE8A4F4C"/>
    <w:multiLevelType w:val="multilevel"/>
    <w:tmpl w:val="BE8A4F4C"/>
    <w:lvl w:ilvl="0" w:tentative="0">
      <w:start w:val="1"/>
      <w:numFmt w:val="decimal"/>
      <w:lvlText w:val="%1."/>
      <w:lvlJc w:val="left"/>
      <w:pPr>
        <w:ind w:left="1030" w:hanging="213"/>
        <w:jc w:val="left"/>
      </w:pPr>
      <w:rPr>
        <w:rFonts w:hint="default" w:ascii="Times New Roman" w:hAnsi="Times New Roman" w:eastAsia="Times New Roman" w:cs="Times New Roman"/>
        <w:spacing w:val="-1"/>
        <w:w w:val="100"/>
        <w:sz w:val="26"/>
        <w:szCs w:val="26"/>
        <w:lang w:val="zh-CN" w:eastAsia="zh-CN" w:bidi="zh-CN"/>
      </w:rPr>
    </w:lvl>
    <w:lvl w:ilvl="1" w:tentative="0">
      <w:start w:val="0"/>
      <w:numFmt w:val="bullet"/>
      <w:lvlText w:val="•"/>
      <w:lvlJc w:val="left"/>
      <w:pPr>
        <w:ind w:left="1978" w:hanging="213"/>
      </w:pPr>
      <w:rPr>
        <w:rFonts w:hint="default"/>
        <w:lang w:val="zh-CN" w:eastAsia="zh-CN" w:bidi="zh-CN"/>
      </w:rPr>
    </w:lvl>
    <w:lvl w:ilvl="2" w:tentative="0">
      <w:start w:val="0"/>
      <w:numFmt w:val="bullet"/>
      <w:lvlText w:val="•"/>
      <w:lvlJc w:val="left"/>
      <w:pPr>
        <w:ind w:left="2917" w:hanging="213"/>
      </w:pPr>
      <w:rPr>
        <w:rFonts w:hint="default"/>
        <w:lang w:val="zh-CN" w:eastAsia="zh-CN" w:bidi="zh-CN"/>
      </w:rPr>
    </w:lvl>
    <w:lvl w:ilvl="3" w:tentative="0">
      <w:start w:val="0"/>
      <w:numFmt w:val="bullet"/>
      <w:lvlText w:val="•"/>
      <w:lvlJc w:val="left"/>
      <w:pPr>
        <w:ind w:left="3855" w:hanging="213"/>
      </w:pPr>
      <w:rPr>
        <w:rFonts w:hint="default"/>
        <w:lang w:val="zh-CN" w:eastAsia="zh-CN" w:bidi="zh-CN"/>
      </w:rPr>
    </w:lvl>
    <w:lvl w:ilvl="4" w:tentative="0">
      <w:start w:val="0"/>
      <w:numFmt w:val="bullet"/>
      <w:lvlText w:val="•"/>
      <w:lvlJc w:val="left"/>
      <w:pPr>
        <w:ind w:left="4794" w:hanging="213"/>
      </w:pPr>
      <w:rPr>
        <w:rFonts w:hint="default"/>
        <w:lang w:val="zh-CN" w:eastAsia="zh-CN" w:bidi="zh-CN"/>
      </w:rPr>
    </w:lvl>
    <w:lvl w:ilvl="5" w:tentative="0">
      <w:start w:val="0"/>
      <w:numFmt w:val="bullet"/>
      <w:lvlText w:val="•"/>
      <w:lvlJc w:val="left"/>
      <w:pPr>
        <w:ind w:left="5733" w:hanging="213"/>
      </w:pPr>
      <w:rPr>
        <w:rFonts w:hint="default"/>
        <w:lang w:val="zh-CN" w:eastAsia="zh-CN" w:bidi="zh-CN"/>
      </w:rPr>
    </w:lvl>
    <w:lvl w:ilvl="6" w:tentative="0">
      <w:start w:val="0"/>
      <w:numFmt w:val="bullet"/>
      <w:lvlText w:val="•"/>
      <w:lvlJc w:val="left"/>
      <w:pPr>
        <w:ind w:left="6671" w:hanging="213"/>
      </w:pPr>
      <w:rPr>
        <w:rFonts w:hint="default"/>
        <w:lang w:val="zh-CN" w:eastAsia="zh-CN" w:bidi="zh-CN"/>
      </w:rPr>
    </w:lvl>
    <w:lvl w:ilvl="7" w:tentative="0">
      <w:start w:val="0"/>
      <w:numFmt w:val="bullet"/>
      <w:lvlText w:val="•"/>
      <w:lvlJc w:val="left"/>
      <w:pPr>
        <w:ind w:left="7610" w:hanging="213"/>
      </w:pPr>
      <w:rPr>
        <w:rFonts w:hint="default"/>
        <w:lang w:val="zh-CN" w:eastAsia="zh-CN" w:bidi="zh-CN"/>
      </w:rPr>
    </w:lvl>
    <w:lvl w:ilvl="8" w:tentative="0">
      <w:start w:val="0"/>
      <w:numFmt w:val="bullet"/>
      <w:lvlText w:val="•"/>
      <w:lvlJc w:val="left"/>
      <w:pPr>
        <w:ind w:left="8549" w:hanging="213"/>
      </w:pPr>
      <w:rPr>
        <w:rFonts w:hint="default"/>
        <w:lang w:val="zh-CN" w:eastAsia="zh-CN" w:bidi="zh-CN"/>
      </w:rPr>
    </w:lvl>
  </w:abstractNum>
  <w:abstractNum w:abstractNumId="19">
    <w:nsid w:val="BE923771"/>
    <w:multiLevelType w:val="multilevel"/>
    <w:tmpl w:val="BE923771"/>
    <w:lvl w:ilvl="0" w:tentative="0">
      <w:start w:val="3"/>
      <w:numFmt w:val="decimal"/>
      <w:lvlText w:val="%1"/>
      <w:lvlJc w:val="left"/>
      <w:pPr>
        <w:ind w:left="1037" w:hanging="280"/>
        <w:jc w:val="left"/>
      </w:pPr>
      <w:rPr>
        <w:rFonts w:hint="default"/>
        <w:lang w:val="zh-CN" w:eastAsia="zh-CN" w:bidi="zh-CN"/>
      </w:rPr>
    </w:lvl>
    <w:lvl w:ilvl="1" w:tentative="0">
      <w:start w:val="1"/>
      <w:numFmt w:val="decimal"/>
      <w:lvlText w:val="%1-%2"/>
      <w:lvlJc w:val="left"/>
      <w:pPr>
        <w:ind w:left="10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20">
    <w:nsid w:val="C0915F4F"/>
    <w:multiLevelType w:val="multilevel"/>
    <w:tmpl w:val="C0915F4F"/>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21">
    <w:nsid w:val="C4E0D24A"/>
    <w:multiLevelType w:val="multilevel"/>
    <w:tmpl w:val="C4E0D24A"/>
    <w:lvl w:ilvl="0" w:tentative="0">
      <w:start w:val="1"/>
      <w:numFmt w:val="decimal"/>
      <w:lvlText w:val="%1"/>
      <w:lvlJc w:val="left"/>
      <w:pPr>
        <w:ind w:left="1127" w:hanging="370"/>
        <w:jc w:val="left"/>
      </w:pPr>
      <w:rPr>
        <w:rFonts w:hint="default"/>
        <w:lang w:val="zh-CN" w:eastAsia="zh-CN" w:bidi="zh-CN"/>
      </w:rPr>
    </w:lvl>
    <w:lvl w:ilvl="1" w:tentative="0">
      <w:start w:val="1"/>
      <w:numFmt w:val="decimal"/>
      <w:lvlText w:val="%1.%2"/>
      <w:lvlJc w:val="left"/>
      <w:pPr>
        <w:ind w:left="1127"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981" w:hanging="370"/>
      </w:pPr>
      <w:rPr>
        <w:rFonts w:hint="default"/>
        <w:lang w:val="zh-CN" w:eastAsia="zh-CN" w:bidi="zh-CN"/>
      </w:rPr>
    </w:lvl>
    <w:lvl w:ilvl="3" w:tentative="0">
      <w:start w:val="0"/>
      <w:numFmt w:val="bullet"/>
      <w:lvlText w:val="•"/>
      <w:lvlJc w:val="left"/>
      <w:pPr>
        <w:ind w:left="3911" w:hanging="370"/>
      </w:pPr>
      <w:rPr>
        <w:rFonts w:hint="default"/>
        <w:lang w:val="zh-CN" w:eastAsia="zh-CN" w:bidi="zh-CN"/>
      </w:rPr>
    </w:lvl>
    <w:lvl w:ilvl="4" w:tentative="0">
      <w:start w:val="0"/>
      <w:numFmt w:val="bullet"/>
      <w:lvlText w:val="•"/>
      <w:lvlJc w:val="left"/>
      <w:pPr>
        <w:ind w:left="4842" w:hanging="370"/>
      </w:pPr>
      <w:rPr>
        <w:rFonts w:hint="default"/>
        <w:lang w:val="zh-CN" w:eastAsia="zh-CN" w:bidi="zh-CN"/>
      </w:rPr>
    </w:lvl>
    <w:lvl w:ilvl="5" w:tentative="0">
      <w:start w:val="0"/>
      <w:numFmt w:val="bullet"/>
      <w:lvlText w:val="•"/>
      <w:lvlJc w:val="left"/>
      <w:pPr>
        <w:ind w:left="5773" w:hanging="370"/>
      </w:pPr>
      <w:rPr>
        <w:rFonts w:hint="default"/>
        <w:lang w:val="zh-CN" w:eastAsia="zh-CN" w:bidi="zh-CN"/>
      </w:rPr>
    </w:lvl>
    <w:lvl w:ilvl="6" w:tentative="0">
      <w:start w:val="0"/>
      <w:numFmt w:val="bullet"/>
      <w:lvlText w:val="•"/>
      <w:lvlJc w:val="left"/>
      <w:pPr>
        <w:ind w:left="6703" w:hanging="370"/>
      </w:pPr>
      <w:rPr>
        <w:rFonts w:hint="default"/>
        <w:lang w:val="zh-CN" w:eastAsia="zh-CN" w:bidi="zh-CN"/>
      </w:rPr>
    </w:lvl>
    <w:lvl w:ilvl="7" w:tentative="0">
      <w:start w:val="0"/>
      <w:numFmt w:val="bullet"/>
      <w:lvlText w:val="•"/>
      <w:lvlJc w:val="left"/>
      <w:pPr>
        <w:ind w:left="7634" w:hanging="370"/>
      </w:pPr>
      <w:rPr>
        <w:rFonts w:hint="default"/>
        <w:lang w:val="zh-CN" w:eastAsia="zh-CN" w:bidi="zh-CN"/>
      </w:rPr>
    </w:lvl>
    <w:lvl w:ilvl="8" w:tentative="0">
      <w:start w:val="0"/>
      <w:numFmt w:val="bullet"/>
      <w:lvlText w:val="•"/>
      <w:lvlJc w:val="left"/>
      <w:pPr>
        <w:ind w:left="8565" w:hanging="370"/>
      </w:pPr>
      <w:rPr>
        <w:rFonts w:hint="default"/>
        <w:lang w:val="zh-CN" w:eastAsia="zh-CN" w:bidi="zh-CN"/>
      </w:rPr>
    </w:lvl>
  </w:abstractNum>
  <w:abstractNum w:abstractNumId="22">
    <w:nsid w:val="C8879AEF"/>
    <w:multiLevelType w:val="multilevel"/>
    <w:tmpl w:val="C8879AEF"/>
    <w:lvl w:ilvl="0" w:tentative="0">
      <w:start w:val="5"/>
      <w:numFmt w:val="decimal"/>
      <w:lvlText w:val="%1"/>
      <w:lvlJc w:val="left"/>
      <w:pPr>
        <w:ind w:left="337" w:hanging="280"/>
        <w:jc w:val="left"/>
      </w:pPr>
      <w:rPr>
        <w:rFonts w:hint="default"/>
        <w:lang w:val="zh-CN" w:eastAsia="zh-CN" w:bidi="zh-CN"/>
      </w:rPr>
    </w:lvl>
    <w:lvl w:ilvl="1" w:tentative="0">
      <w:start w:val="1"/>
      <w:numFmt w:val="decimal"/>
      <w:lvlText w:val="%1-%2"/>
      <w:lvlJc w:val="left"/>
      <w:pPr>
        <w:ind w:left="3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357" w:hanging="280"/>
      </w:pPr>
      <w:rPr>
        <w:rFonts w:hint="default"/>
        <w:lang w:val="zh-CN" w:eastAsia="zh-CN" w:bidi="zh-CN"/>
      </w:rPr>
    </w:lvl>
    <w:lvl w:ilvl="3" w:tentative="0">
      <w:start w:val="0"/>
      <w:numFmt w:val="bullet"/>
      <w:lvlText w:val="•"/>
      <w:lvlJc w:val="left"/>
      <w:pPr>
        <w:ind w:left="3365" w:hanging="280"/>
      </w:pPr>
      <w:rPr>
        <w:rFonts w:hint="default"/>
        <w:lang w:val="zh-CN" w:eastAsia="zh-CN" w:bidi="zh-CN"/>
      </w:rPr>
    </w:lvl>
    <w:lvl w:ilvl="4" w:tentative="0">
      <w:start w:val="0"/>
      <w:numFmt w:val="bullet"/>
      <w:lvlText w:val="•"/>
      <w:lvlJc w:val="left"/>
      <w:pPr>
        <w:ind w:left="4374" w:hanging="280"/>
      </w:pPr>
      <w:rPr>
        <w:rFonts w:hint="default"/>
        <w:lang w:val="zh-CN" w:eastAsia="zh-CN" w:bidi="zh-CN"/>
      </w:rPr>
    </w:lvl>
    <w:lvl w:ilvl="5" w:tentative="0">
      <w:start w:val="0"/>
      <w:numFmt w:val="bullet"/>
      <w:lvlText w:val="•"/>
      <w:lvlJc w:val="left"/>
      <w:pPr>
        <w:ind w:left="5383" w:hanging="280"/>
      </w:pPr>
      <w:rPr>
        <w:rFonts w:hint="default"/>
        <w:lang w:val="zh-CN" w:eastAsia="zh-CN" w:bidi="zh-CN"/>
      </w:rPr>
    </w:lvl>
    <w:lvl w:ilvl="6" w:tentative="0">
      <w:start w:val="0"/>
      <w:numFmt w:val="bullet"/>
      <w:lvlText w:val="•"/>
      <w:lvlJc w:val="left"/>
      <w:pPr>
        <w:ind w:left="6391" w:hanging="280"/>
      </w:pPr>
      <w:rPr>
        <w:rFonts w:hint="default"/>
        <w:lang w:val="zh-CN" w:eastAsia="zh-CN" w:bidi="zh-CN"/>
      </w:rPr>
    </w:lvl>
    <w:lvl w:ilvl="7" w:tentative="0">
      <w:start w:val="0"/>
      <w:numFmt w:val="bullet"/>
      <w:lvlText w:val="•"/>
      <w:lvlJc w:val="left"/>
      <w:pPr>
        <w:ind w:left="7400" w:hanging="280"/>
      </w:pPr>
      <w:rPr>
        <w:rFonts w:hint="default"/>
        <w:lang w:val="zh-CN" w:eastAsia="zh-CN" w:bidi="zh-CN"/>
      </w:rPr>
    </w:lvl>
    <w:lvl w:ilvl="8" w:tentative="0">
      <w:start w:val="0"/>
      <w:numFmt w:val="bullet"/>
      <w:lvlText w:val="•"/>
      <w:lvlJc w:val="left"/>
      <w:pPr>
        <w:ind w:left="8409" w:hanging="280"/>
      </w:pPr>
      <w:rPr>
        <w:rFonts w:hint="default"/>
        <w:lang w:val="zh-CN" w:eastAsia="zh-CN" w:bidi="zh-CN"/>
      </w:rPr>
    </w:lvl>
  </w:abstractNum>
  <w:abstractNum w:abstractNumId="23">
    <w:nsid w:val="D1EB1714"/>
    <w:multiLevelType w:val="multilevel"/>
    <w:tmpl w:val="D1EB1714"/>
    <w:lvl w:ilvl="0" w:tentative="0">
      <w:start w:val="1"/>
      <w:numFmt w:val="decimal"/>
      <w:lvlText w:val="%1."/>
      <w:lvlJc w:val="left"/>
      <w:pPr>
        <w:ind w:left="550" w:hanging="213"/>
        <w:jc w:val="left"/>
      </w:pPr>
      <w:rPr>
        <w:rFonts w:hint="default" w:ascii="Times New Roman" w:hAnsi="Times New Roman" w:eastAsia="Times New Roman" w:cs="Times New Roman"/>
        <w:b/>
        <w:bCs/>
        <w:spacing w:val="-1"/>
        <w:w w:val="100"/>
        <w:sz w:val="26"/>
        <w:szCs w:val="26"/>
        <w:lang w:val="zh-CN" w:eastAsia="zh-CN" w:bidi="zh-CN"/>
      </w:rPr>
    </w:lvl>
    <w:lvl w:ilvl="1" w:tentative="0">
      <w:start w:val="1"/>
      <w:numFmt w:val="decimal"/>
      <w:lvlText w:val="%1.%2"/>
      <w:lvlJc w:val="left"/>
      <w:pPr>
        <w:ind w:left="758" w:hanging="421"/>
        <w:jc w:val="left"/>
      </w:pPr>
      <w:rPr>
        <w:rFonts w:hint="default" w:ascii="Times New Roman" w:hAnsi="Times New Roman" w:eastAsia="Times New Roman" w:cs="Times New Roman"/>
        <w:b/>
        <w:bCs/>
        <w:spacing w:val="-1"/>
        <w:w w:val="100"/>
        <w:sz w:val="28"/>
        <w:szCs w:val="28"/>
        <w:lang w:val="zh-CN" w:eastAsia="zh-CN" w:bidi="zh-CN"/>
      </w:rPr>
    </w:lvl>
    <w:lvl w:ilvl="2" w:tentative="0">
      <w:start w:val="0"/>
      <w:numFmt w:val="bullet"/>
      <w:lvlText w:val="•"/>
      <w:lvlJc w:val="left"/>
      <w:pPr>
        <w:ind w:left="1045" w:hanging="421"/>
      </w:pPr>
      <w:rPr>
        <w:rFonts w:hint="default"/>
        <w:lang w:val="zh-CN" w:eastAsia="zh-CN" w:bidi="zh-CN"/>
      </w:rPr>
    </w:lvl>
    <w:lvl w:ilvl="3" w:tentative="0">
      <w:start w:val="0"/>
      <w:numFmt w:val="bullet"/>
      <w:lvlText w:val="•"/>
      <w:lvlJc w:val="left"/>
      <w:pPr>
        <w:ind w:left="1331" w:hanging="421"/>
      </w:pPr>
      <w:rPr>
        <w:rFonts w:hint="default"/>
        <w:lang w:val="zh-CN" w:eastAsia="zh-CN" w:bidi="zh-CN"/>
      </w:rPr>
    </w:lvl>
    <w:lvl w:ilvl="4" w:tentative="0">
      <w:start w:val="0"/>
      <w:numFmt w:val="bullet"/>
      <w:lvlText w:val="•"/>
      <w:lvlJc w:val="left"/>
      <w:pPr>
        <w:ind w:left="1616" w:hanging="421"/>
      </w:pPr>
      <w:rPr>
        <w:rFonts w:hint="default"/>
        <w:lang w:val="zh-CN" w:eastAsia="zh-CN" w:bidi="zh-CN"/>
      </w:rPr>
    </w:lvl>
    <w:lvl w:ilvl="5" w:tentative="0">
      <w:start w:val="0"/>
      <w:numFmt w:val="bullet"/>
      <w:lvlText w:val="•"/>
      <w:lvlJc w:val="left"/>
      <w:pPr>
        <w:ind w:left="1902" w:hanging="421"/>
      </w:pPr>
      <w:rPr>
        <w:rFonts w:hint="default"/>
        <w:lang w:val="zh-CN" w:eastAsia="zh-CN" w:bidi="zh-CN"/>
      </w:rPr>
    </w:lvl>
    <w:lvl w:ilvl="6" w:tentative="0">
      <w:start w:val="0"/>
      <w:numFmt w:val="bullet"/>
      <w:lvlText w:val="•"/>
      <w:lvlJc w:val="left"/>
      <w:pPr>
        <w:ind w:left="2187" w:hanging="421"/>
      </w:pPr>
      <w:rPr>
        <w:rFonts w:hint="default"/>
        <w:lang w:val="zh-CN" w:eastAsia="zh-CN" w:bidi="zh-CN"/>
      </w:rPr>
    </w:lvl>
    <w:lvl w:ilvl="7" w:tentative="0">
      <w:start w:val="0"/>
      <w:numFmt w:val="bullet"/>
      <w:lvlText w:val="•"/>
      <w:lvlJc w:val="left"/>
      <w:pPr>
        <w:ind w:left="2473" w:hanging="421"/>
      </w:pPr>
      <w:rPr>
        <w:rFonts w:hint="default"/>
        <w:lang w:val="zh-CN" w:eastAsia="zh-CN" w:bidi="zh-CN"/>
      </w:rPr>
    </w:lvl>
    <w:lvl w:ilvl="8" w:tentative="0">
      <w:start w:val="0"/>
      <w:numFmt w:val="bullet"/>
      <w:lvlText w:val="•"/>
      <w:lvlJc w:val="left"/>
      <w:pPr>
        <w:ind w:left="2759" w:hanging="421"/>
      </w:pPr>
      <w:rPr>
        <w:rFonts w:hint="default"/>
        <w:lang w:val="zh-CN" w:eastAsia="zh-CN" w:bidi="zh-CN"/>
      </w:rPr>
    </w:lvl>
  </w:abstractNum>
  <w:abstractNum w:abstractNumId="24">
    <w:nsid w:val="D7D140E4"/>
    <w:multiLevelType w:val="multilevel"/>
    <w:tmpl w:val="D7D140E4"/>
    <w:lvl w:ilvl="0" w:tentative="0">
      <w:start w:val="3"/>
      <w:numFmt w:val="decimal"/>
      <w:lvlText w:val="%1"/>
      <w:lvlJc w:val="left"/>
      <w:pPr>
        <w:ind w:left="337" w:hanging="370"/>
        <w:jc w:val="left"/>
      </w:pPr>
      <w:rPr>
        <w:rFonts w:hint="default"/>
        <w:lang w:val="zh-CN" w:eastAsia="zh-CN" w:bidi="zh-CN"/>
      </w:rPr>
    </w:lvl>
    <w:lvl w:ilvl="1" w:tentative="0">
      <w:start w:val="1"/>
      <w:numFmt w:val="decimal"/>
      <w:lvlText w:val="%1.%2"/>
      <w:lvlJc w:val="left"/>
      <w:pPr>
        <w:ind w:left="337"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357" w:hanging="370"/>
      </w:pPr>
      <w:rPr>
        <w:rFonts w:hint="default"/>
        <w:lang w:val="zh-CN" w:eastAsia="zh-CN" w:bidi="zh-CN"/>
      </w:rPr>
    </w:lvl>
    <w:lvl w:ilvl="3" w:tentative="0">
      <w:start w:val="0"/>
      <w:numFmt w:val="bullet"/>
      <w:lvlText w:val="•"/>
      <w:lvlJc w:val="left"/>
      <w:pPr>
        <w:ind w:left="3365" w:hanging="370"/>
      </w:pPr>
      <w:rPr>
        <w:rFonts w:hint="default"/>
        <w:lang w:val="zh-CN" w:eastAsia="zh-CN" w:bidi="zh-CN"/>
      </w:rPr>
    </w:lvl>
    <w:lvl w:ilvl="4" w:tentative="0">
      <w:start w:val="0"/>
      <w:numFmt w:val="bullet"/>
      <w:lvlText w:val="•"/>
      <w:lvlJc w:val="left"/>
      <w:pPr>
        <w:ind w:left="4374" w:hanging="370"/>
      </w:pPr>
      <w:rPr>
        <w:rFonts w:hint="default"/>
        <w:lang w:val="zh-CN" w:eastAsia="zh-CN" w:bidi="zh-CN"/>
      </w:rPr>
    </w:lvl>
    <w:lvl w:ilvl="5" w:tentative="0">
      <w:start w:val="0"/>
      <w:numFmt w:val="bullet"/>
      <w:lvlText w:val="•"/>
      <w:lvlJc w:val="left"/>
      <w:pPr>
        <w:ind w:left="5383" w:hanging="370"/>
      </w:pPr>
      <w:rPr>
        <w:rFonts w:hint="default"/>
        <w:lang w:val="zh-CN" w:eastAsia="zh-CN" w:bidi="zh-CN"/>
      </w:rPr>
    </w:lvl>
    <w:lvl w:ilvl="6" w:tentative="0">
      <w:start w:val="0"/>
      <w:numFmt w:val="bullet"/>
      <w:lvlText w:val="•"/>
      <w:lvlJc w:val="left"/>
      <w:pPr>
        <w:ind w:left="6391" w:hanging="370"/>
      </w:pPr>
      <w:rPr>
        <w:rFonts w:hint="default"/>
        <w:lang w:val="zh-CN" w:eastAsia="zh-CN" w:bidi="zh-CN"/>
      </w:rPr>
    </w:lvl>
    <w:lvl w:ilvl="7" w:tentative="0">
      <w:start w:val="0"/>
      <w:numFmt w:val="bullet"/>
      <w:lvlText w:val="•"/>
      <w:lvlJc w:val="left"/>
      <w:pPr>
        <w:ind w:left="7400" w:hanging="370"/>
      </w:pPr>
      <w:rPr>
        <w:rFonts w:hint="default"/>
        <w:lang w:val="zh-CN" w:eastAsia="zh-CN" w:bidi="zh-CN"/>
      </w:rPr>
    </w:lvl>
    <w:lvl w:ilvl="8" w:tentative="0">
      <w:start w:val="0"/>
      <w:numFmt w:val="bullet"/>
      <w:lvlText w:val="•"/>
      <w:lvlJc w:val="left"/>
      <w:pPr>
        <w:ind w:left="8409" w:hanging="370"/>
      </w:pPr>
      <w:rPr>
        <w:rFonts w:hint="default"/>
        <w:lang w:val="zh-CN" w:eastAsia="zh-CN" w:bidi="zh-CN"/>
      </w:rPr>
    </w:lvl>
  </w:abstractNum>
  <w:abstractNum w:abstractNumId="25">
    <w:nsid w:val="DAD3A854"/>
    <w:multiLevelType w:val="multilevel"/>
    <w:tmpl w:val="DAD3A854"/>
    <w:lvl w:ilvl="0" w:tentative="0">
      <w:start w:val="4"/>
      <w:numFmt w:val="decimal"/>
      <w:lvlText w:val="%1"/>
      <w:lvlJc w:val="left"/>
      <w:pPr>
        <w:ind w:left="1180" w:hanging="423"/>
        <w:jc w:val="left"/>
      </w:pPr>
      <w:rPr>
        <w:rFonts w:hint="default"/>
        <w:lang w:val="zh-CN" w:eastAsia="zh-CN" w:bidi="zh-CN"/>
      </w:rPr>
    </w:lvl>
    <w:lvl w:ilvl="1" w:tentative="0">
      <w:start w:val="1"/>
      <w:numFmt w:val="decimal"/>
      <w:lvlText w:val="%1.%2"/>
      <w:lvlJc w:val="left"/>
      <w:pPr>
        <w:ind w:left="1180" w:hanging="42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029" w:hanging="423"/>
      </w:pPr>
      <w:rPr>
        <w:rFonts w:hint="default"/>
        <w:lang w:val="zh-CN" w:eastAsia="zh-CN" w:bidi="zh-CN"/>
      </w:rPr>
    </w:lvl>
    <w:lvl w:ilvl="3" w:tentative="0">
      <w:start w:val="0"/>
      <w:numFmt w:val="bullet"/>
      <w:lvlText w:val="•"/>
      <w:lvlJc w:val="left"/>
      <w:pPr>
        <w:ind w:left="3953" w:hanging="423"/>
      </w:pPr>
      <w:rPr>
        <w:rFonts w:hint="default"/>
        <w:lang w:val="zh-CN" w:eastAsia="zh-CN" w:bidi="zh-CN"/>
      </w:rPr>
    </w:lvl>
    <w:lvl w:ilvl="4" w:tentative="0">
      <w:start w:val="0"/>
      <w:numFmt w:val="bullet"/>
      <w:lvlText w:val="•"/>
      <w:lvlJc w:val="left"/>
      <w:pPr>
        <w:ind w:left="4878" w:hanging="423"/>
      </w:pPr>
      <w:rPr>
        <w:rFonts w:hint="default"/>
        <w:lang w:val="zh-CN" w:eastAsia="zh-CN" w:bidi="zh-CN"/>
      </w:rPr>
    </w:lvl>
    <w:lvl w:ilvl="5" w:tentative="0">
      <w:start w:val="0"/>
      <w:numFmt w:val="bullet"/>
      <w:lvlText w:val="•"/>
      <w:lvlJc w:val="left"/>
      <w:pPr>
        <w:ind w:left="5803" w:hanging="423"/>
      </w:pPr>
      <w:rPr>
        <w:rFonts w:hint="default"/>
        <w:lang w:val="zh-CN" w:eastAsia="zh-CN" w:bidi="zh-CN"/>
      </w:rPr>
    </w:lvl>
    <w:lvl w:ilvl="6" w:tentative="0">
      <w:start w:val="0"/>
      <w:numFmt w:val="bullet"/>
      <w:lvlText w:val="•"/>
      <w:lvlJc w:val="left"/>
      <w:pPr>
        <w:ind w:left="6727" w:hanging="423"/>
      </w:pPr>
      <w:rPr>
        <w:rFonts w:hint="default"/>
        <w:lang w:val="zh-CN" w:eastAsia="zh-CN" w:bidi="zh-CN"/>
      </w:rPr>
    </w:lvl>
    <w:lvl w:ilvl="7" w:tentative="0">
      <w:start w:val="0"/>
      <w:numFmt w:val="bullet"/>
      <w:lvlText w:val="•"/>
      <w:lvlJc w:val="left"/>
      <w:pPr>
        <w:ind w:left="7652" w:hanging="423"/>
      </w:pPr>
      <w:rPr>
        <w:rFonts w:hint="default"/>
        <w:lang w:val="zh-CN" w:eastAsia="zh-CN" w:bidi="zh-CN"/>
      </w:rPr>
    </w:lvl>
    <w:lvl w:ilvl="8" w:tentative="0">
      <w:start w:val="0"/>
      <w:numFmt w:val="bullet"/>
      <w:lvlText w:val="•"/>
      <w:lvlJc w:val="left"/>
      <w:pPr>
        <w:ind w:left="8577" w:hanging="423"/>
      </w:pPr>
      <w:rPr>
        <w:rFonts w:hint="default"/>
        <w:lang w:val="zh-CN" w:eastAsia="zh-CN" w:bidi="zh-CN"/>
      </w:rPr>
    </w:lvl>
  </w:abstractNum>
  <w:abstractNum w:abstractNumId="26">
    <w:nsid w:val="DCBA6B53"/>
    <w:multiLevelType w:val="multilevel"/>
    <w:tmpl w:val="DCBA6B53"/>
    <w:lvl w:ilvl="0" w:tentative="0">
      <w:start w:val="1"/>
      <w:numFmt w:val="decimal"/>
      <w:lvlText w:val="（%1）"/>
      <w:lvlJc w:val="left"/>
      <w:pPr>
        <w:ind w:left="337" w:hanging="529"/>
        <w:jc w:val="left"/>
      </w:pPr>
      <w:rPr>
        <w:rFonts w:hint="default"/>
        <w:spacing w:val="-3"/>
        <w:w w:val="100"/>
        <w:sz w:val="19"/>
        <w:szCs w:val="19"/>
        <w:u w:val="single" w:color="000000"/>
        <w:lang w:val="zh-CN" w:eastAsia="zh-CN" w:bidi="zh-CN"/>
      </w:rPr>
    </w:lvl>
    <w:lvl w:ilvl="1" w:tentative="0">
      <w:start w:val="0"/>
      <w:numFmt w:val="bullet"/>
      <w:lvlText w:val="•"/>
      <w:lvlJc w:val="left"/>
      <w:pPr>
        <w:ind w:left="1348" w:hanging="529"/>
      </w:pPr>
      <w:rPr>
        <w:rFonts w:hint="default"/>
        <w:lang w:val="zh-CN" w:eastAsia="zh-CN" w:bidi="zh-CN"/>
      </w:rPr>
    </w:lvl>
    <w:lvl w:ilvl="2" w:tentative="0">
      <w:start w:val="0"/>
      <w:numFmt w:val="bullet"/>
      <w:lvlText w:val="•"/>
      <w:lvlJc w:val="left"/>
      <w:pPr>
        <w:ind w:left="2357" w:hanging="529"/>
      </w:pPr>
      <w:rPr>
        <w:rFonts w:hint="default"/>
        <w:lang w:val="zh-CN" w:eastAsia="zh-CN" w:bidi="zh-CN"/>
      </w:rPr>
    </w:lvl>
    <w:lvl w:ilvl="3" w:tentative="0">
      <w:start w:val="0"/>
      <w:numFmt w:val="bullet"/>
      <w:lvlText w:val="•"/>
      <w:lvlJc w:val="left"/>
      <w:pPr>
        <w:ind w:left="3365" w:hanging="529"/>
      </w:pPr>
      <w:rPr>
        <w:rFonts w:hint="default"/>
        <w:lang w:val="zh-CN" w:eastAsia="zh-CN" w:bidi="zh-CN"/>
      </w:rPr>
    </w:lvl>
    <w:lvl w:ilvl="4" w:tentative="0">
      <w:start w:val="0"/>
      <w:numFmt w:val="bullet"/>
      <w:lvlText w:val="•"/>
      <w:lvlJc w:val="left"/>
      <w:pPr>
        <w:ind w:left="4374" w:hanging="529"/>
      </w:pPr>
      <w:rPr>
        <w:rFonts w:hint="default"/>
        <w:lang w:val="zh-CN" w:eastAsia="zh-CN" w:bidi="zh-CN"/>
      </w:rPr>
    </w:lvl>
    <w:lvl w:ilvl="5" w:tentative="0">
      <w:start w:val="0"/>
      <w:numFmt w:val="bullet"/>
      <w:lvlText w:val="•"/>
      <w:lvlJc w:val="left"/>
      <w:pPr>
        <w:ind w:left="5383" w:hanging="529"/>
      </w:pPr>
      <w:rPr>
        <w:rFonts w:hint="default"/>
        <w:lang w:val="zh-CN" w:eastAsia="zh-CN" w:bidi="zh-CN"/>
      </w:rPr>
    </w:lvl>
    <w:lvl w:ilvl="6" w:tentative="0">
      <w:start w:val="0"/>
      <w:numFmt w:val="bullet"/>
      <w:lvlText w:val="•"/>
      <w:lvlJc w:val="left"/>
      <w:pPr>
        <w:ind w:left="6391" w:hanging="529"/>
      </w:pPr>
      <w:rPr>
        <w:rFonts w:hint="default"/>
        <w:lang w:val="zh-CN" w:eastAsia="zh-CN" w:bidi="zh-CN"/>
      </w:rPr>
    </w:lvl>
    <w:lvl w:ilvl="7" w:tentative="0">
      <w:start w:val="0"/>
      <w:numFmt w:val="bullet"/>
      <w:lvlText w:val="•"/>
      <w:lvlJc w:val="left"/>
      <w:pPr>
        <w:ind w:left="7400" w:hanging="529"/>
      </w:pPr>
      <w:rPr>
        <w:rFonts w:hint="default"/>
        <w:lang w:val="zh-CN" w:eastAsia="zh-CN" w:bidi="zh-CN"/>
      </w:rPr>
    </w:lvl>
    <w:lvl w:ilvl="8" w:tentative="0">
      <w:start w:val="0"/>
      <w:numFmt w:val="bullet"/>
      <w:lvlText w:val="•"/>
      <w:lvlJc w:val="left"/>
      <w:pPr>
        <w:ind w:left="8409" w:hanging="529"/>
      </w:pPr>
      <w:rPr>
        <w:rFonts w:hint="default"/>
        <w:lang w:val="zh-CN" w:eastAsia="zh-CN" w:bidi="zh-CN"/>
      </w:rPr>
    </w:lvl>
  </w:abstractNum>
  <w:abstractNum w:abstractNumId="27">
    <w:nsid w:val="E093A4B0"/>
    <w:multiLevelType w:val="multilevel"/>
    <w:tmpl w:val="E093A4B0"/>
    <w:lvl w:ilvl="0" w:tentative="0">
      <w:start w:val="2"/>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tentative="0">
      <w:start w:val="1"/>
      <w:numFmt w:val="decimal"/>
      <w:lvlText w:val="（%2）"/>
      <w:lvlJc w:val="left"/>
      <w:pPr>
        <w:ind w:left="1057"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870" w:hanging="529"/>
      </w:pPr>
      <w:rPr>
        <w:rFonts w:hint="default"/>
        <w:lang w:val="zh-CN" w:eastAsia="zh-CN" w:bidi="zh-CN"/>
      </w:rPr>
    </w:lvl>
    <w:lvl w:ilvl="3" w:tentative="0">
      <w:start w:val="0"/>
      <w:numFmt w:val="bullet"/>
      <w:lvlText w:val="•"/>
      <w:lvlJc w:val="left"/>
      <w:pPr>
        <w:ind w:left="2681" w:hanging="529"/>
      </w:pPr>
      <w:rPr>
        <w:rFonts w:hint="default"/>
        <w:lang w:val="zh-CN" w:eastAsia="zh-CN" w:bidi="zh-CN"/>
      </w:rPr>
    </w:lvl>
    <w:lvl w:ilvl="4" w:tentative="0">
      <w:start w:val="0"/>
      <w:numFmt w:val="bullet"/>
      <w:lvlText w:val="•"/>
      <w:lvlJc w:val="left"/>
      <w:pPr>
        <w:ind w:left="3492" w:hanging="529"/>
      </w:pPr>
      <w:rPr>
        <w:rFonts w:hint="default"/>
        <w:lang w:val="zh-CN" w:eastAsia="zh-CN" w:bidi="zh-CN"/>
      </w:rPr>
    </w:lvl>
    <w:lvl w:ilvl="5" w:tentative="0">
      <w:start w:val="0"/>
      <w:numFmt w:val="bullet"/>
      <w:lvlText w:val="•"/>
      <w:lvlJc w:val="left"/>
      <w:pPr>
        <w:ind w:left="4303" w:hanging="529"/>
      </w:pPr>
      <w:rPr>
        <w:rFonts w:hint="default"/>
        <w:lang w:val="zh-CN" w:eastAsia="zh-CN" w:bidi="zh-CN"/>
      </w:rPr>
    </w:lvl>
    <w:lvl w:ilvl="6" w:tentative="0">
      <w:start w:val="0"/>
      <w:numFmt w:val="bullet"/>
      <w:lvlText w:val="•"/>
      <w:lvlJc w:val="left"/>
      <w:pPr>
        <w:ind w:left="5114" w:hanging="529"/>
      </w:pPr>
      <w:rPr>
        <w:rFonts w:hint="default"/>
        <w:lang w:val="zh-CN" w:eastAsia="zh-CN" w:bidi="zh-CN"/>
      </w:rPr>
    </w:lvl>
    <w:lvl w:ilvl="7" w:tentative="0">
      <w:start w:val="0"/>
      <w:numFmt w:val="bullet"/>
      <w:lvlText w:val="•"/>
      <w:lvlJc w:val="left"/>
      <w:pPr>
        <w:ind w:left="5925" w:hanging="529"/>
      </w:pPr>
      <w:rPr>
        <w:rFonts w:hint="default"/>
        <w:lang w:val="zh-CN" w:eastAsia="zh-CN" w:bidi="zh-CN"/>
      </w:rPr>
    </w:lvl>
    <w:lvl w:ilvl="8" w:tentative="0">
      <w:start w:val="0"/>
      <w:numFmt w:val="bullet"/>
      <w:lvlText w:val="•"/>
      <w:lvlJc w:val="left"/>
      <w:pPr>
        <w:ind w:left="6736" w:hanging="529"/>
      </w:pPr>
      <w:rPr>
        <w:rFonts w:hint="default"/>
        <w:lang w:val="zh-CN" w:eastAsia="zh-CN" w:bidi="zh-CN"/>
      </w:rPr>
    </w:lvl>
  </w:abstractNum>
  <w:abstractNum w:abstractNumId="28">
    <w:nsid w:val="E504947C"/>
    <w:multiLevelType w:val="multilevel"/>
    <w:tmpl w:val="E504947C"/>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29">
    <w:nsid w:val="E7B27C5B"/>
    <w:multiLevelType w:val="multilevel"/>
    <w:tmpl w:val="E7B27C5B"/>
    <w:lvl w:ilvl="0" w:tentative="0">
      <w:start w:val="7"/>
      <w:numFmt w:val="decimal"/>
      <w:lvlText w:val="%1"/>
      <w:lvlJc w:val="left"/>
      <w:pPr>
        <w:ind w:left="1235" w:hanging="476"/>
        <w:jc w:val="left"/>
      </w:pPr>
      <w:rPr>
        <w:rFonts w:hint="default"/>
        <w:lang w:val="zh-CN" w:eastAsia="zh-CN" w:bidi="zh-CN"/>
      </w:rPr>
    </w:lvl>
    <w:lvl w:ilvl="1" w:tentative="0">
      <w:start w:val="10"/>
      <w:numFmt w:val="decimal"/>
      <w:lvlText w:val="%1.%2"/>
      <w:lvlJc w:val="left"/>
      <w:pPr>
        <w:ind w:left="1235" w:hanging="476"/>
        <w:jc w:val="left"/>
      </w:pPr>
      <w:rPr>
        <w:rFonts w:hint="default" w:ascii="宋体" w:hAnsi="宋体" w:eastAsia="宋体" w:cs="宋体"/>
        <w:b/>
        <w:bCs/>
        <w:w w:val="99"/>
        <w:sz w:val="21"/>
        <w:szCs w:val="21"/>
        <w:lang w:val="zh-CN" w:eastAsia="zh-CN" w:bidi="zh-CN"/>
      </w:rPr>
    </w:lvl>
    <w:lvl w:ilvl="2" w:tentative="0">
      <w:start w:val="0"/>
      <w:numFmt w:val="bullet"/>
      <w:lvlText w:val="•"/>
      <w:lvlJc w:val="left"/>
      <w:pPr>
        <w:ind w:left="3077" w:hanging="476"/>
      </w:pPr>
      <w:rPr>
        <w:rFonts w:hint="default"/>
        <w:lang w:val="zh-CN" w:eastAsia="zh-CN" w:bidi="zh-CN"/>
      </w:rPr>
    </w:lvl>
    <w:lvl w:ilvl="3" w:tentative="0">
      <w:start w:val="0"/>
      <w:numFmt w:val="bullet"/>
      <w:lvlText w:val="•"/>
      <w:lvlJc w:val="left"/>
      <w:pPr>
        <w:ind w:left="3995" w:hanging="476"/>
      </w:pPr>
      <w:rPr>
        <w:rFonts w:hint="default"/>
        <w:lang w:val="zh-CN" w:eastAsia="zh-CN" w:bidi="zh-CN"/>
      </w:rPr>
    </w:lvl>
    <w:lvl w:ilvl="4" w:tentative="0">
      <w:start w:val="0"/>
      <w:numFmt w:val="bullet"/>
      <w:lvlText w:val="•"/>
      <w:lvlJc w:val="left"/>
      <w:pPr>
        <w:ind w:left="4914" w:hanging="476"/>
      </w:pPr>
      <w:rPr>
        <w:rFonts w:hint="default"/>
        <w:lang w:val="zh-CN" w:eastAsia="zh-CN" w:bidi="zh-CN"/>
      </w:rPr>
    </w:lvl>
    <w:lvl w:ilvl="5" w:tentative="0">
      <w:start w:val="0"/>
      <w:numFmt w:val="bullet"/>
      <w:lvlText w:val="•"/>
      <w:lvlJc w:val="left"/>
      <w:pPr>
        <w:ind w:left="5833" w:hanging="476"/>
      </w:pPr>
      <w:rPr>
        <w:rFonts w:hint="default"/>
        <w:lang w:val="zh-CN" w:eastAsia="zh-CN" w:bidi="zh-CN"/>
      </w:rPr>
    </w:lvl>
    <w:lvl w:ilvl="6" w:tentative="0">
      <w:start w:val="0"/>
      <w:numFmt w:val="bullet"/>
      <w:lvlText w:val="•"/>
      <w:lvlJc w:val="left"/>
      <w:pPr>
        <w:ind w:left="6751" w:hanging="476"/>
      </w:pPr>
      <w:rPr>
        <w:rFonts w:hint="default"/>
        <w:lang w:val="zh-CN" w:eastAsia="zh-CN" w:bidi="zh-CN"/>
      </w:rPr>
    </w:lvl>
    <w:lvl w:ilvl="7" w:tentative="0">
      <w:start w:val="0"/>
      <w:numFmt w:val="bullet"/>
      <w:lvlText w:val="•"/>
      <w:lvlJc w:val="left"/>
      <w:pPr>
        <w:ind w:left="7670" w:hanging="476"/>
      </w:pPr>
      <w:rPr>
        <w:rFonts w:hint="default"/>
        <w:lang w:val="zh-CN" w:eastAsia="zh-CN" w:bidi="zh-CN"/>
      </w:rPr>
    </w:lvl>
    <w:lvl w:ilvl="8" w:tentative="0">
      <w:start w:val="0"/>
      <w:numFmt w:val="bullet"/>
      <w:lvlText w:val="•"/>
      <w:lvlJc w:val="left"/>
      <w:pPr>
        <w:ind w:left="8589" w:hanging="476"/>
      </w:pPr>
      <w:rPr>
        <w:rFonts w:hint="default"/>
        <w:lang w:val="zh-CN" w:eastAsia="zh-CN" w:bidi="zh-CN"/>
      </w:rPr>
    </w:lvl>
  </w:abstractNum>
  <w:abstractNum w:abstractNumId="30">
    <w:nsid w:val="F0E89278"/>
    <w:multiLevelType w:val="multilevel"/>
    <w:tmpl w:val="F0E89278"/>
    <w:lvl w:ilvl="0" w:tentative="0">
      <w:start w:val="5"/>
      <w:numFmt w:val="decimal"/>
      <w:lvlText w:val="%1"/>
      <w:lvlJc w:val="left"/>
      <w:pPr>
        <w:ind w:left="337" w:hanging="370"/>
        <w:jc w:val="left"/>
      </w:pPr>
      <w:rPr>
        <w:rFonts w:hint="default"/>
        <w:lang w:val="zh-CN" w:eastAsia="zh-CN" w:bidi="zh-CN"/>
      </w:rPr>
    </w:lvl>
    <w:lvl w:ilvl="1" w:tentative="0">
      <w:start w:val="1"/>
      <w:numFmt w:val="decimal"/>
      <w:lvlText w:val="%1.%2"/>
      <w:lvlJc w:val="left"/>
      <w:pPr>
        <w:ind w:left="337"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357" w:hanging="370"/>
      </w:pPr>
      <w:rPr>
        <w:rFonts w:hint="default"/>
        <w:lang w:val="zh-CN" w:eastAsia="zh-CN" w:bidi="zh-CN"/>
      </w:rPr>
    </w:lvl>
    <w:lvl w:ilvl="3" w:tentative="0">
      <w:start w:val="0"/>
      <w:numFmt w:val="bullet"/>
      <w:lvlText w:val="•"/>
      <w:lvlJc w:val="left"/>
      <w:pPr>
        <w:ind w:left="3365" w:hanging="370"/>
      </w:pPr>
      <w:rPr>
        <w:rFonts w:hint="default"/>
        <w:lang w:val="zh-CN" w:eastAsia="zh-CN" w:bidi="zh-CN"/>
      </w:rPr>
    </w:lvl>
    <w:lvl w:ilvl="4" w:tentative="0">
      <w:start w:val="0"/>
      <w:numFmt w:val="bullet"/>
      <w:lvlText w:val="•"/>
      <w:lvlJc w:val="left"/>
      <w:pPr>
        <w:ind w:left="4374" w:hanging="370"/>
      </w:pPr>
      <w:rPr>
        <w:rFonts w:hint="default"/>
        <w:lang w:val="zh-CN" w:eastAsia="zh-CN" w:bidi="zh-CN"/>
      </w:rPr>
    </w:lvl>
    <w:lvl w:ilvl="5" w:tentative="0">
      <w:start w:val="0"/>
      <w:numFmt w:val="bullet"/>
      <w:lvlText w:val="•"/>
      <w:lvlJc w:val="left"/>
      <w:pPr>
        <w:ind w:left="5383" w:hanging="370"/>
      </w:pPr>
      <w:rPr>
        <w:rFonts w:hint="default"/>
        <w:lang w:val="zh-CN" w:eastAsia="zh-CN" w:bidi="zh-CN"/>
      </w:rPr>
    </w:lvl>
    <w:lvl w:ilvl="6" w:tentative="0">
      <w:start w:val="0"/>
      <w:numFmt w:val="bullet"/>
      <w:lvlText w:val="•"/>
      <w:lvlJc w:val="left"/>
      <w:pPr>
        <w:ind w:left="6391" w:hanging="370"/>
      </w:pPr>
      <w:rPr>
        <w:rFonts w:hint="default"/>
        <w:lang w:val="zh-CN" w:eastAsia="zh-CN" w:bidi="zh-CN"/>
      </w:rPr>
    </w:lvl>
    <w:lvl w:ilvl="7" w:tentative="0">
      <w:start w:val="0"/>
      <w:numFmt w:val="bullet"/>
      <w:lvlText w:val="•"/>
      <w:lvlJc w:val="left"/>
      <w:pPr>
        <w:ind w:left="7400" w:hanging="370"/>
      </w:pPr>
      <w:rPr>
        <w:rFonts w:hint="default"/>
        <w:lang w:val="zh-CN" w:eastAsia="zh-CN" w:bidi="zh-CN"/>
      </w:rPr>
    </w:lvl>
    <w:lvl w:ilvl="8" w:tentative="0">
      <w:start w:val="0"/>
      <w:numFmt w:val="bullet"/>
      <w:lvlText w:val="•"/>
      <w:lvlJc w:val="left"/>
      <w:pPr>
        <w:ind w:left="8409" w:hanging="370"/>
      </w:pPr>
      <w:rPr>
        <w:rFonts w:hint="default"/>
        <w:lang w:val="zh-CN" w:eastAsia="zh-CN" w:bidi="zh-CN"/>
      </w:rPr>
    </w:lvl>
  </w:abstractNum>
  <w:abstractNum w:abstractNumId="31">
    <w:nsid w:val="F4B5D9F5"/>
    <w:multiLevelType w:val="multilevel"/>
    <w:tmpl w:val="F4B5D9F5"/>
    <w:lvl w:ilvl="0" w:tentative="0">
      <w:start w:val="8"/>
      <w:numFmt w:val="decimal"/>
      <w:lvlText w:val="%1"/>
      <w:lvlJc w:val="left"/>
      <w:pPr>
        <w:ind w:left="1037" w:hanging="280"/>
        <w:jc w:val="left"/>
      </w:pPr>
      <w:rPr>
        <w:rFonts w:hint="default"/>
        <w:lang w:val="zh-CN" w:eastAsia="zh-CN" w:bidi="zh-CN"/>
      </w:rPr>
    </w:lvl>
    <w:lvl w:ilvl="1" w:tentative="0">
      <w:start w:val="1"/>
      <w:numFmt w:val="decimal"/>
      <w:lvlText w:val="%1-%2"/>
      <w:lvlJc w:val="left"/>
      <w:pPr>
        <w:ind w:left="1037" w:hanging="280"/>
        <w:jc w:val="left"/>
      </w:pPr>
      <w:rPr>
        <w:rFonts w:hint="default"/>
        <w:spacing w:val="-4"/>
        <w:w w:val="100"/>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32">
    <w:nsid w:val="F689643B"/>
    <w:multiLevelType w:val="multilevel"/>
    <w:tmpl w:val="F689643B"/>
    <w:lvl w:ilvl="0" w:tentative="0">
      <w:start w:val="4"/>
      <w:numFmt w:val="decimal"/>
      <w:lvlText w:val="（%1）"/>
      <w:lvlJc w:val="left"/>
      <w:pPr>
        <w:ind w:left="1287" w:hanging="529"/>
        <w:jc w:val="left"/>
      </w:pPr>
      <w:rPr>
        <w:rFonts w:hint="default"/>
        <w:spacing w:val="-3"/>
        <w:w w:val="100"/>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33">
    <w:nsid w:val="F7735DC9"/>
    <w:multiLevelType w:val="multilevel"/>
    <w:tmpl w:val="F7735DC9"/>
    <w:lvl w:ilvl="0" w:tentative="0">
      <w:start w:val="1"/>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tentative="0">
      <w:start w:val="1"/>
      <w:numFmt w:val="decimal"/>
      <w:lvlText w:val="（%2）"/>
      <w:lvlJc w:val="left"/>
      <w:pPr>
        <w:ind w:left="1057"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870" w:hanging="529"/>
      </w:pPr>
      <w:rPr>
        <w:rFonts w:hint="default"/>
        <w:lang w:val="zh-CN" w:eastAsia="zh-CN" w:bidi="zh-CN"/>
      </w:rPr>
    </w:lvl>
    <w:lvl w:ilvl="3" w:tentative="0">
      <w:start w:val="0"/>
      <w:numFmt w:val="bullet"/>
      <w:lvlText w:val="•"/>
      <w:lvlJc w:val="left"/>
      <w:pPr>
        <w:ind w:left="2681" w:hanging="529"/>
      </w:pPr>
      <w:rPr>
        <w:rFonts w:hint="default"/>
        <w:lang w:val="zh-CN" w:eastAsia="zh-CN" w:bidi="zh-CN"/>
      </w:rPr>
    </w:lvl>
    <w:lvl w:ilvl="4" w:tentative="0">
      <w:start w:val="0"/>
      <w:numFmt w:val="bullet"/>
      <w:lvlText w:val="•"/>
      <w:lvlJc w:val="left"/>
      <w:pPr>
        <w:ind w:left="3492" w:hanging="529"/>
      </w:pPr>
      <w:rPr>
        <w:rFonts w:hint="default"/>
        <w:lang w:val="zh-CN" w:eastAsia="zh-CN" w:bidi="zh-CN"/>
      </w:rPr>
    </w:lvl>
    <w:lvl w:ilvl="5" w:tentative="0">
      <w:start w:val="0"/>
      <w:numFmt w:val="bullet"/>
      <w:lvlText w:val="•"/>
      <w:lvlJc w:val="left"/>
      <w:pPr>
        <w:ind w:left="4303" w:hanging="529"/>
      </w:pPr>
      <w:rPr>
        <w:rFonts w:hint="default"/>
        <w:lang w:val="zh-CN" w:eastAsia="zh-CN" w:bidi="zh-CN"/>
      </w:rPr>
    </w:lvl>
    <w:lvl w:ilvl="6" w:tentative="0">
      <w:start w:val="0"/>
      <w:numFmt w:val="bullet"/>
      <w:lvlText w:val="•"/>
      <w:lvlJc w:val="left"/>
      <w:pPr>
        <w:ind w:left="5114" w:hanging="529"/>
      </w:pPr>
      <w:rPr>
        <w:rFonts w:hint="default"/>
        <w:lang w:val="zh-CN" w:eastAsia="zh-CN" w:bidi="zh-CN"/>
      </w:rPr>
    </w:lvl>
    <w:lvl w:ilvl="7" w:tentative="0">
      <w:start w:val="0"/>
      <w:numFmt w:val="bullet"/>
      <w:lvlText w:val="•"/>
      <w:lvlJc w:val="left"/>
      <w:pPr>
        <w:ind w:left="5925" w:hanging="529"/>
      </w:pPr>
      <w:rPr>
        <w:rFonts w:hint="default"/>
        <w:lang w:val="zh-CN" w:eastAsia="zh-CN" w:bidi="zh-CN"/>
      </w:rPr>
    </w:lvl>
    <w:lvl w:ilvl="8" w:tentative="0">
      <w:start w:val="0"/>
      <w:numFmt w:val="bullet"/>
      <w:lvlText w:val="•"/>
      <w:lvlJc w:val="left"/>
      <w:pPr>
        <w:ind w:left="6736" w:hanging="529"/>
      </w:pPr>
      <w:rPr>
        <w:rFonts w:hint="default"/>
        <w:lang w:val="zh-CN" w:eastAsia="zh-CN" w:bidi="zh-CN"/>
      </w:rPr>
    </w:lvl>
  </w:abstractNum>
  <w:abstractNum w:abstractNumId="34">
    <w:nsid w:val="FEC2EA36"/>
    <w:multiLevelType w:val="multilevel"/>
    <w:tmpl w:val="FEC2EA36"/>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35">
    <w:nsid w:val="03A63A41"/>
    <w:multiLevelType w:val="multilevel"/>
    <w:tmpl w:val="03A63A41"/>
    <w:lvl w:ilvl="0" w:tentative="0">
      <w:start w:val="1"/>
      <w:numFmt w:val="decimal"/>
      <w:lvlText w:val="（%1）"/>
      <w:lvlJc w:val="left"/>
      <w:pPr>
        <w:ind w:left="1279" w:hanging="529"/>
        <w:jc w:val="left"/>
      </w:pPr>
      <w:rPr>
        <w:rFonts w:hint="default" w:ascii="宋体" w:hAnsi="宋体" w:eastAsia="宋体" w:cs="宋体"/>
        <w:b/>
        <w:bCs/>
        <w:spacing w:val="-3"/>
        <w:w w:val="99"/>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36">
    <w:nsid w:val="03D62ECE"/>
    <w:multiLevelType w:val="multilevel"/>
    <w:tmpl w:val="03D62ECE"/>
    <w:lvl w:ilvl="0" w:tentative="0">
      <w:start w:val="4"/>
      <w:numFmt w:val="decimal"/>
      <w:lvlText w:val="%1"/>
      <w:lvlJc w:val="left"/>
      <w:pPr>
        <w:ind w:left="337" w:hanging="280"/>
        <w:jc w:val="left"/>
      </w:pPr>
      <w:rPr>
        <w:rFonts w:hint="default"/>
        <w:lang w:val="zh-CN" w:eastAsia="zh-CN" w:bidi="zh-CN"/>
      </w:rPr>
    </w:lvl>
    <w:lvl w:ilvl="1" w:tentative="0">
      <w:start w:val="1"/>
      <w:numFmt w:val="decimal"/>
      <w:lvlText w:val="%1-%2"/>
      <w:lvlJc w:val="left"/>
      <w:pPr>
        <w:ind w:left="3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357" w:hanging="280"/>
      </w:pPr>
      <w:rPr>
        <w:rFonts w:hint="default"/>
        <w:lang w:val="zh-CN" w:eastAsia="zh-CN" w:bidi="zh-CN"/>
      </w:rPr>
    </w:lvl>
    <w:lvl w:ilvl="3" w:tentative="0">
      <w:start w:val="0"/>
      <w:numFmt w:val="bullet"/>
      <w:lvlText w:val="•"/>
      <w:lvlJc w:val="left"/>
      <w:pPr>
        <w:ind w:left="3365" w:hanging="280"/>
      </w:pPr>
      <w:rPr>
        <w:rFonts w:hint="default"/>
        <w:lang w:val="zh-CN" w:eastAsia="zh-CN" w:bidi="zh-CN"/>
      </w:rPr>
    </w:lvl>
    <w:lvl w:ilvl="4" w:tentative="0">
      <w:start w:val="0"/>
      <w:numFmt w:val="bullet"/>
      <w:lvlText w:val="•"/>
      <w:lvlJc w:val="left"/>
      <w:pPr>
        <w:ind w:left="4374" w:hanging="280"/>
      </w:pPr>
      <w:rPr>
        <w:rFonts w:hint="default"/>
        <w:lang w:val="zh-CN" w:eastAsia="zh-CN" w:bidi="zh-CN"/>
      </w:rPr>
    </w:lvl>
    <w:lvl w:ilvl="5" w:tentative="0">
      <w:start w:val="0"/>
      <w:numFmt w:val="bullet"/>
      <w:lvlText w:val="•"/>
      <w:lvlJc w:val="left"/>
      <w:pPr>
        <w:ind w:left="5383" w:hanging="280"/>
      </w:pPr>
      <w:rPr>
        <w:rFonts w:hint="default"/>
        <w:lang w:val="zh-CN" w:eastAsia="zh-CN" w:bidi="zh-CN"/>
      </w:rPr>
    </w:lvl>
    <w:lvl w:ilvl="6" w:tentative="0">
      <w:start w:val="0"/>
      <w:numFmt w:val="bullet"/>
      <w:lvlText w:val="•"/>
      <w:lvlJc w:val="left"/>
      <w:pPr>
        <w:ind w:left="6391" w:hanging="280"/>
      </w:pPr>
      <w:rPr>
        <w:rFonts w:hint="default"/>
        <w:lang w:val="zh-CN" w:eastAsia="zh-CN" w:bidi="zh-CN"/>
      </w:rPr>
    </w:lvl>
    <w:lvl w:ilvl="7" w:tentative="0">
      <w:start w:val="0"/>
      <w:numFmt w:val="bullet"/>
      <w:lvlText w:val="•"/>
      <w:lvlJc w:val="left"/>
      <w:pPr>
        <w:ind w:left="7400" w:hanging="280"/>
      </w:pPr>
      <w:rPr>
        <w:rFonts w:hint="default"/>
        <w:lang w:val="zh-CN" w:eastAsia="zh-CN" w:bidi="zh-CN"/>
      </w:rPr>
    </w:lvl>
    <w:lvl w:ilvl="8" w:tentative="0">
      <w:start w:val="0"/>
      <w:numFmt w:val="bullet"/>
      <w:lvlText w:val="•"/>
      <w:lvlJc w:val="left"/>
      <w:pPr>
        <w:ind w:left="8409" w:hanging="280"/>
      </w:pPr>
      <w:rPr>
        <w:rFonts w:hint="default"/>
        <w:lang w:val="zh-CN" w:eastAsia="zh-CN" w:bidi="zh-CN"/>
      </w:rPr>
    </w:lvl>
  </w:abstractNum>
  <w:abstractNum w:abstractNumId="37">
    <w:nsid w:val="0709FD3E"/>
    <w:multiLevelType w:val="multilevel"/>
    <w:tmpl w:val="0709FD3E"/>
    <w:lvl w:ilvl="0" w:tentative="0">
      <w:start w:val="1"/>
      <w:numFmt w:val="decimal"/>
      <w:lvlText w:val="%1）"/>
      <w:lvlJc w:val="left"/>
      <w:pPr>
        <w:ind w:left="1181" w:hanging="318"/>
        <w:jc w:val="left"/>
      </w:pPr>
      <w:rPr>
        <w:rFonts w:hint="default" w:ascii="宋体" w:hAnsi="宋体" w:eastAsia="宋体" w:cs="宋体"/>
        <w:w w:val="100"/>
        <w:sz w:val="19"/>
        <w:szCs w:val="19"/>
        <w:lang w:val="zh-CN" w:eastAsia="zh-CN" w:bidi="zh-CN"/>
      </w:rPr>
    </w:lvl>
    <w:lvl w:ilvl="1" w:tentative="0">
      <w:start w:val="1"/>
      <w:numFmt w:val="decimal"/>
      <w:lvlText w:val="%1.%2."/>
      <w:lvlJc w:val="left"/>
      <w:pPr>
        <w:ind w:left="337" w:hanging="424"/>
        <w:jc w:val="left"/>
      </w:pPr>
      <w:rPr>
        <w:rFonts w:hint="default" w:ascii="宋体" w:hAnsi="宋体" w:eastAsia="宋体" w:cs="宋体"/>
        <w:w w:val="100"/>
        <w:sz w:val="19"/>
        <w:szCs w:val="19"/>
        <w:lang w:val="zh-CN" w:eastAsia="zh-CN" w:bidi="zh-CN"/>
      </w:rPr>
    </w:lvl>
    <w:lvl w:ilvl="2" w:tentative="0">
      <w:start w:val="0"/>
      <w:numFmt w:val="bullet"/>
      <w:lvlText w:val="•"/>
      <w:lvlJc w:val="left"/>
      <w:pPr>
        <w:ind w:left="2207" w:hanging="424"/>
      </w:pPr>
      <w:rPr>
        <w:rFonts w:hint="default"/>
        <w:lang w:val="zh-CN" w:eastAsia="zh-CN" w:bidi="zh-CN"/>
      </w:rPr>
    </w:lvl>
    <w:lvl w:ilvl="3" w:tentative="0">
      <w:start w:val="0"/>
      <w:numFmt w:val="bullet"/>
      <w:lvlText w:val="•"/>
      <w:lvlJc w:val="left"/>
      <w:pPr>
        <w:ind w:left="3234" w:hanging="424"/>
      </w:pPr>
      <w:rPr>
        <w:rFonts w:hint="default"/>
        <w:lang w:val="zh-CN" w:eastAsia="zh-CN" w:bidi="zh-CN"/>
      </w:rPr>
    </w:lvl>
    <w:lvl w:ilvl="4" w:tentative="0">
      <w:start w:val="0"/>
      <w:numFmt w:val="bullet"/>
      <w:lvlText w:val="•"/>
      <w:lvlJc w:val="left"/>
      <w:pPr>
        <w:ind w:left="4262" w:hanging="424"/>
      </w:pPr>
      <w:rPr>
        <w:rFonts w:hint="default"/>
        <w:lang w:val="zh-CN" w:eastAsia="zh-CN" w:bidi="zh-CN"/>
      </w:rPr>
    </w:lvl>
    <w:lvl w:ilvl="5" w:tentative="0">
      <w:start w:val="0"/>
      <w:numFmt w:val="bullet"/>
      <w:lvlText w:val="•"/>
      <w:lvlJc w:val="left"/>
      <w:pPr>
        <w:ind w:left="5289" w:hanging="424"/>
      </w:pPr>
      <w:rPr>
        <w:rFonts w:hint="default"/>
        <w:lang w:val="zh-CN" w:eastAsia="zh-CN" w:bidi="zh-CN"/>
      </w:rPr>
    </w:lvl>
    <w:lvl w:ilvl="6" w:tentative="0">
      <w:start w:val="0"/>
      <w:numFmt w:val="bullet"/>
      <w:lvlText w:val="•"/>
      <w:lvlJc w:val="left"/>
      <w:pPr>
        <w:ind w:left="6316" w:hanging="424"/>
      </w:pPr>
      <w:rPr>
        <w:rFonts w:hint="default"/>
        <w:lang w:val="zh-CN" w:eastAsia="zh-CN" w:bidi="zh-CN"/>
      </w:rPr>
    </w:lvl>
    <w:lvl w:ilvl="7" w:tentative="0">
      <w:start w:val="0"/>
      <w:numFmt w:val="bullet"/>
      <w:lvlText w:val="•"/>
      <w:lvlJc w:val="left"/>
      <w:pPr>
        <w:ind w:left="7344" w:hanging="424"/>
      </w:pPr>
      <w:rPr>
        <w:rFonts w:hint="default"/>
        <w:lang w:val="zh-CN" w:eastAsia="zh-CN" w:bidi="zh-CN"/>
      </w:rPr>
    </w:lvl>
    <w:lvl w:ilvl="8" w:tentative="0">
      <w:start w:val="0"/>
      <w:numFmt w:val="bullet"/>
      <w:lvlText w:val="•"/>
      <w:lvlJc w:val="left"/>
      <w:pPr>
        <w:ind w:left="8371" w:hanging="424"/>
      </w:pPr>
      <w:rPr>
        <w:rFonts w:hint="default"/>
        <w:lang w:val="zh-CN" w:eastAsia="zh-CN" w:bidi="zh-CN"/>
      </w:rPr>
    </w:lvl>
  </w:abstractNum>
  <w:abstractNum w:abstractNumId="38">
    <w:nsid w:val="0E640482"/>
    <w:multiLevelType w:val="multilevel"/>
    <w:tmpl w:val="0E640482"/>
    <w:lvl w:ilvl="0" w:tentative="0">
      <w:start w:val="4"/>
      <w:numFmt w:val="decimal"/>
      <w:lvlText w:val="%1"/>
      <w:lvlJc w:val="left"/>
      <w:pPr>
        <w:ind w:left="1037" w:hanging="280"/>
        <w:jc w:val="left"/>
      </w:pPr>
      <w:rPr>
        <w:rFonts w:hint="default"/>
        <w:lang w:val="zh-CN" w:eastAsia="zh-CN" w:bidi="zh-CN"/>
      </w:rPr>
    </w:lvl>
    <w:lvl w:ilvl="1" w:tentative="0">
      <w:start w:val="1"/>
      <w:numFmt w:val="decimal"/>
      <w:lvlText w:val="%1-%2"/>
      <w:lvlJc w:val="left"/>
      <w:pPr>
        <w:ind w:left="10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39">
    <w:nsid w:val="0F9F9CCA"/>
    <w:multiLevelType w:val="multilevel"/>
    <w:tmpl w:val="0F9F9CCA"/>
    <w:lvl w:ilvl="0" w:tentative="0">
      <w:start w:val="1"/>
      <w:numFmt w:val="decimal"/>
      <w:lvlText w:val="（%1）"/>
      <w:lvlJc w:val="left"/>
      <w:pPr>
        <w:ind w:left="1289" w:hanging="529"/>
        <w:jc w:val="left"/>
      </w:pPr>
      <w:rPr>
        <w:rFonts w:hint="default" w:ascii="宋体" w:hAnsi="宋体" w:eastAsia="宋体" w:cs="宋体"/>
        <w:b/>
        <w:bCs/>
        <w:spacing w:val="-1"/>
        <w:w w:val="99"/>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40">
    <w:nsid w:val="12EADF99"/>
    <w:multiLevelType w:val="multilevel"/>
    <w:tmpl w:val="12EADF99"/>
    <w:lvl w:ilvl="0" w:tentative="0">
      <w:start w:val="5"/>
      <w:numFmt w:val="decimal"/>
      <w:lvlText w:val="（%1）"/>
      <w:lvlJc w:val="left"/>
      <w:pPr>
        <w:ind w:left="1289" w:hanging="529"/>
        <w:jc w:val="left"/>
      </w:pPr>
      <w:rPr>
        <w:rFonts w:hint="default" w:ascii="宋体" w:hAnsi="宋体" w:eastAsia="宋体" w:cs="宋体"/>
        <w:b/>
        <w:bCs/>
        <w:spacing w:val="-1"/>
        <w:w w:val="99"/>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41">
    <w:nsid w:val="1450273B"/>
    <w:multiLevelType w:val="multilevel"/>
    <w:tmpl w:val="1450273B"/>
    <w:lvl w:ilvl="0" w:tentative="0">
      <w:start w:val="11"/>
      <w:numFmt w:val="decimal"/>
      <w:lvlText w:val="%1."/>
      <w:lvlJc w:val="left"/>
      <w:pPr>
        <w:ind w:left="1172" w:hanging="355"/>
        <w:jc w:val="left"/>
      </w:pPr>
      <w:rPr>
        <w:rFonts w:hint="default" w:ascii="Times New Roman" w:hAnsi="Times New Roman" w:eastAsia="Times New Roman" w:cs="Times New Roman"/>
        <w:spacing w:val="-1"/>
        <w:w w:val="100"/>
        <w:sz w:val="26"/>
        <w:szCs w:val="26"/>
        <w:lang w:val="zh-CN" w:eastAsia="zh-CN" w:bidi="zh-CN"/>
      </w:rPr>
    </w:lvl>
    <w:lvl w:ilvl="1" w:tentative="0">
      <w:start w:val="0"/>
      <w:numFmt w:val="bullet"/>
      <w:lvlText w:val="•"/>
      <w:lvlJc w:val="left"/>
      <w:pPr>
        <w:ind w:left="2104" w:hanging="355"/>
      </w:pPr>
      <w:rPr>
        <w:rFonts w:hint="default"/>
        <w:lang w:val="zh-CN" w:eastAsia="zh-CN" w:bidi="zh-CN"/>
      </w:rPr>
    </w:lvl>
    <w:lvl w:ilvl="2" w:tentative="0">
      <w:start w:val="0"/>
      <w:numFmt w:val="bullet"/>
      <w:lvlText w:val="•"/>
      <w:lvlJc w:val="left"/>
      <w:pPr>
        <w:ind w:left="3029" w:hanging="355"/>
      </w:pPr>
      <w:rPr>
        <w:rFonts w:hint="default"/>
        <w:lang w:val="zh-CN" w:eastAsia="zh-CN" w:bidi="zh-CN"/>
      </w:rPr>
    </w:lvl>
    <w:lvl w:ilvl="3" w:tentative="0">
      <w:start w:val="0"/>
      <w:numFmt w:val="bullet"/>
      <w:lvlText w:val="•"/>
      <w:lvlJc w:val="left"/>
      <w:pPr>
        <w:ind w:left="3953" w:hanging="355"/>
      </w:pPr>
      <w:rPr>
        <w:rFonts w:hint="default"/>
        <w:lang w:val="zh-CN" w:eastAsia="zh-CN" w:bidi="zh-CN"/>
      </w:rPr>
    </w:lvl>
    <w:lvl w:ilvl="4" w:tentative="0">
      <w:start w:val="0"/>
      <w:numFmt w:val="bullet"/>
      <w:lvlText w:val="•"/>
      <w:lvlJc w:val="left"/>
      <w:pPr>
        <w:ind w:left="4878" w:hanging="355"/>
      </w:pPr>
      <w:rPr>
        <w:rFonts w:hint="default"/>
        <w:lang w:val="zh-CN" w:eastAsia="zh-CN" w:bidi="zh-CN"/>
      </w:rPr>
    </w:lvl>
    <w:lvl w:ilvl="5" w:tentative="0">
      <w:start w:val="0"/>
      <w:numFmt w:val="bullet"/>
      <w:lvlText w:val="•"/>
      <w:lvlJc w:val="left"/>
      <w:pPr>
        <w:ind w:left="5803" w:hanging="355"/>
      </w:pPr>
      <w:rPr>
        <w:rFonts w:hint="default"/>
        <w:lang w:val="zh-CN" w:eastAsia="zh-CN" w:bidi="zh-CN"/>
      </w:rPr>
    </w:lvl>
    <w:lvl w:ilvl="6" w:tentative="0">
      <w:start w:val="0"/>
      <w:numFmt w:val="bullet"/>
      <w:lvlText w:val="•"/>
      <w:lvlJc w:val="left"/>
      <w:pPr>
        <w:ind w:left="6727" w:hanging="355"/>
      </w:pPr>
      <w:rPr>
        <w:rFonts w:hint="default"/>
        <w:lang w:val="zh-CN" w:eastAsia="zh-CN" w:bidi="zh-CN"/>
      </w:rPr>
    </w:lvl>
    <w:lvl w:ilvl="7" w:tentative="0">
      <w:start w:val="0"/>
      <w:numFmt w:val="bullet"/>
      <w:lvlText w:val="•"/>
      <w:lvlJc w:val="left"/>
      <w:pPr>
        <w:ind w:left="7652" w:hanging="355"/>
      </w:pPr>
      <w:rPr>
        <w:rFonts w:hint="default"/>
        <w:lang w:val="zh-CN" w:eastAsia="zh-CN" w:bidi="zh-CN"/>
      </w:rPr>
    </w:lvl>
    <w:lvl w:ilvl="8" w:tentative="0">
      <w:start w:val="0"/>
      <w:numFmt w:val="bullet"/>
      <w:lvlText w:val="•"/>
      <w:lvlJc w:val="left"/>
      <w:pPr>
        <w:ind w:left="8577" w:hanging="355"/>
      </w:pPr>
      <w:rPr>
        <w:rFonts w:hint="default"/>
        <w:lang w:val="zh-CN" w:eastAsia="zh-CN" w:bidi="zh-CN"/>
      </w:rPr>
    </w:lvl>
  </w:abstractNum>
  <w:abstractNum w:abstractNumId="42">
    <w:nsid w:val="18F74015"/>
    <w:multiLevelType w:val="multilevel"/>
    <w:tmpl w:val="18F74015"/>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43">
    <w:nsid w:val="1ACDE60F"/>
    <w:multiLevelType w:val="multilevel"/>
    <w:tmpl w:val="1ACDE60F"/>
    <w:lvl w:ilvl="0" w:tentative="0">
      <w:start w:val="1"/>
      <w:numFmt w:val="decimal"/>
      <w:lvlText w:val="（%1）"/>
      <w:lvlJc w:val="left"/>
      <w:pPr>
        <w:ind w:left="337" w:hanging="529"/>
        <w:jc w:val="left"/>
      </w:pPr>
      <w:rPr>
        <w:rFonts w:hint="default" w:ascii="宋体" w:hAnsi="宋体" w:eastAsia="宋体" w:cs="宋体"/>
        <w:spacing w:val="-5"/>
        <w:w w:val="100"/>
        <w:sz w:val="19"/>
        <w:szCs w:val="19"/>
        <w:lang w:val="zh-CN" w:eastAsia="zh-CN" w:bidi="zh-CN"/>
      </w:rPr>
    </w:lvl>
    <w:lvl w:ilvl="1" w:tentative="0">
      <w:start w:val="0"/>
      <w:numFmt w:val="bullet"/>
      <w:lvlText w:val="•"/>
      <w:lvlJc w:val="left"/>
      <w:pPr>
        <w:ind w:left="1348" w:hanging="529"/>
      </w:pPr>
      <w:rPr>
        <w:rFonts w:hint="default"/>
        <w:lang w:val="zh-CN" w:eastAsia="zh-CN" w:bidi="zh-CN"/>
      </w:rPr>
    </w:lvl>
    <w:lvl w:ilvl="2" w:tentative="0">
      <w:start w:val="0"/>
      <w:numFmt w:val="bullet"/>
      <w:lvlText w:val="•"/>
      <w:lvlJc w:val="left"/>
      <w:pPr>
        <w:ind w:left="2357" w:hanging="529"/>
      </w:pPr>
      <w:rPr>
        <w:rFonts w:hint="default"/>
        <w:lang w:val="zh-CN" w:eastAsia="zh-CN" w:bidi="zh-CN"/>
      </w:rPr>
    </w:lvl>
    <w:lvl w:ilvl="3" w:tentative="0">
      <w:start w:val="0"/>
      <w:numFmt w:val="bullet"/>
      <w:lvlText w:val="•"/>
      <w:lvlJc w:val="left"/>
      <w:pPr>
        <w:ind w:left="3365" w:hanging="529"/>
      </w:pPr>
      <w:rPr>
        <w:rFonts w:hint="default"/>
        <w:lang w:val="zh-CN" w:eastAsia="zh-CN" w:bidi="zh-CN"/>
      </w:rPr>
    </w:lvl>
    <w:lvl w:ilvl="4" w:tentative="0">
      <w:start w:val="0"/>
      <w:numFmt w:val="bullet"/>
      <w:lvlText w:val="•"/>
      <w:lvlJc w:val="left"/>
      <w:pPr>
        <w:ind w:left="4374" w:hanging="529"/>
      </w:pPr>
      <w:rPr>
        <w:rFonts w:hint="default"/>
        <w:lang w:val="zh-CN" w:eastAsia="zh-CN" w:bidi="zh-CN"/>
      </w:rPr>
    </w:lvl>
    <w:lvl w:ilvl="5" w:tentative="0">
      <w:start w:val="0"/>
      <w:numFmt w:val="bullet"/>
      <w:lvlText w:val="•"/>
      <w:lvlJc w:val="left"/>
      <w:pPr>
        <w:ind w:left="5383" w:hanging="529"/>
      </w:pPr>
      <w:rPr>
        <w:rFonts w:hint="default"/>
        <w:lang w:val="zh-CN" w:eastAsia="zh-CN" w:bidi="zh-CN"/>
      </w:rPr>
    </w:lvl>
    <w:lvl w:ilvl="6" w:tentative="0">
      <w:start w:val="0"/>
      <w:numFmt w:val="bullet"/>
      <w:lvlText w:val="•"/>
      <w:lvlJc w:val="left"/>
      <w:pPr>
        <w:ind w:left="6391" w:hanging="529"/>
      </w:pPr>
      <w:rPr>
        <w:rFonts w:hint="default"/>
        <w:lang w:val="zh-CN" w:eastAsia="zh-CN" w:bidi="zh-CN"/>
      </w:rPr>
    </w:lvl>
    <w:lvl w:ilvl="7" w:tentative="0">
      <w:start w:val="0"/>
      <w:numFmt w:val="bullet"/>
      <w:lvlText w:val="•"/>
      <w:lvlJc w:val="left"/>
      <w:pPr>
        <w:ind w:left="7400" w:hanging="529"/>
      </w:pPr>
      <w:rPr>
        <w:rFonts w:hint="default"/>
        <w:lang w:val="zh-CN" w:eastAsia="zh-CN" w:bidi="zh-CN"/>
      </w:rPr>
    </w:lvl>
    <w:lvl w:ilvl="8" w:tentative="0">
      <w:start w:val="0"/>
      <w:numFmt w:val="bullet"/>
      <w:lvlText w:val="•"/>
      <w:lvlJc w:val="left"/>
      <w:pPr>
        <w:ind w:left="8409" w:hanging="529"/>
      </w:pPr>
      <w:rPr>
        <w:rFonts w:hint="default"/>
        <w:lang w:val="zh-CN" w:eastAsia="zh-CN" w:bidi="zh-CN"/>
      </w:rPr>
    </w:lvl>
  </w:abstractNum>
  <w:abstractNum w:abstractNumId="44">
    <w:nsid w:val="1C257C7B"/>
    <w:multiLevelType w:val="multilevel"/>
    <w:tmpl w:val="1C257C7B"/>
    <w:lvl w:ilvl="0" w:tentative="0">
      <w:start w:val="4"/>
      <w:numFmt w:val="decimal"/>
      <w:lvlText w:val="%1"/>
      <w:lvlJc w:val="left"/>
      <w:pPr>
        <w:ind w:left="1130" w:hanging="370"/>
        <w:jc w:val="left"/>
      </w:pPr>
      <w:rPr>
        <w:rFonts w:hint="default"/>
        <w:lang w:val="zh-CN" w:eastAsia="zh-CN" w:bidi="zh-CN"/>
      </w:rPr>
    </w:lvl>
    <w:lvl w:ilvl="1" w:tentative="0">
      <w:start w:val="1"/>
      <w:numFmt w:val="decimal"/>
      <w:lvlText w:val="%1.%2"/>
      <w:lvlJc w:val="left"/>
      <w:pPr>
        <w:ind w:left="1130" w:hanging="370"/>
        <w:jc w:val="left"/>
      </w:pPr>
      <w:rPr>
        <w:rFonts w:hint="default" w:ascii="宋体" w:hAnsi="宋体" w:eastAsia="宋体" w:cs="宋体"/>
        <w:b/>
        <w:bCs/>
        <w:w w:val="99"/>
        <w:sz w:val="21"/>
        <w:szCs w:val="21"/>
        <w:lang w:val="zh-CN" w:eastAsia="zh-CN" w:bidi="zh-CN"/>
      </w:rPr>
    </w:lvl>
    <w:lvl w:ilvl="2" w:tentative="0">
      <w:start w:val="0"/>
      <w:numFmt w:val="bullet"/>
      <w:lvlText w:val="•"/>
      <w:lvlJc w:val="left"/>
      <w:pPr>
        <w:ind w:left="2997" w:hanging="370"/>
      </w:pPr>
      <w:rPr>
        <w:rFonts w:hint="default"/>
        <w:lang w:val="zh-CN" w:eastAsia="zh-CN" w:bidi="zh-CN"/>
      </w:rPr>
    </w:lvl>
    <w:lvl w:ilvl="3" w:tentative="0">
      <w:start w:val="0"/>
      <w:numFmt w:val="bullet"/>
      <w:lvlText w:val="•"/>
      <w:lvlJc w:val="left"/>
      <w:pPr>
        <w:ind w:left="3925" w:hanging="370"/>
      </w:pPr>
      <w:rPr>
        <w:rFonts w:hint="default"/>
        <w:lang w:val="zh-CN" w:eastAsia="zh-CN" w:bidi="zh-CN"/>
      </w:rPr>
    </w:lvl>
    <w:lvl w:ilvl="4" w:tentative="0">
      <w:start w:val="0"/>
      <w:numFmt w:val="bullet"/>
      <w:lvlText w:val="•"/>
      <w:lvlJc w:val="left"/>
      <w:pPr>
        <w:ind w:left="4854" w:hanging="370"/>
      </w:pPr>
      <w:rPr>
        <w:rFonts w:hint="default"/>
        <w:lang w:val="zh-CN" w:eastAsia="zh-CN" w:bidi="zh-CN"/>
      </w:rPr>
    </w:lvl>
    <w:lvl w:ilvl="5" w:tentative="0">
      <w:start w:val="0"/>
      <w:numFmt w:val="bullet"/>
      <w:lvlText w:val="•"/>
      <w:lvlJc w:val="left"/>
      <w:pPr>
        <w:ind w:left="5783" w:hanging="370"/>
      </w:pPr>
      <w:rPr>
        <w:rFonts w:hint="default"/>
        <w:lang w:val="zh-CN" w:eastAsia="zh-CN" w:bidi="zh-CN"/>
      </w:rPr>
    </w:lvl>
    <w:lvl w:ilvl="6" w:tentative="0">
      <w:start w:val="0"/>
      <w:numFmt w:val="bullet"/>
      <w:lvlText w:val="•"/>
      <w:lvlJc w:val="left"/>
      <w:pPr>
        <w:ind w:left="6711" w:hanging="370"/>
      </w:pPr>
      <w:rPr>
        <w:rFonts w:hint="default"/>
        <w:lang w:val="zh-CN" w:eastAsia="zh-CN" w:bidi="zh-CN"/>
      </w:rPr>
    </w:lvl>
    <w:lvl w:ilvl="7" w:tentative="0">
      <w:start w:val="0"/>
      <w:numFmt w:val="bullet"/>
      <w:lvlText w:val="•"/>
      <w:lvlJc w:val="left"/>
      <w:pPr>
        <w:ind w:left="7640" w:hanging="370"/>
      </w:pPr>
      <w:rPr>
        <w:rFonts w:hint="default"/>
        <w:lang w:val="zh-CN" w:eastAsia="zh-CN" w:bidi="zh-CN"/>
      </w:rPr>
    </w:lvl>
    <w:lvl w:ilvl="8" w:tentative="0">
      <w:start w:val="0"/>
      <w:numFmt w:val="bullet"/>
      <w:lvlText w:val="•"/>
      <w:lvlJc w:val="left"/>
      <w:pPr>
        <w:ind w:left="8569" w:hanging="370"/>
      </w:pPr>
      <w:rPr>
        <w:rFonts w:hint="default"/>
        <w:lang w:val="zh-CN" w:eastAsia="zh-CN" w:bidi="zh-CN"/>
      </w:rPr>
    </w:lvl>
  </w:abstractNum>
  <w:abstractNum w:abstractNumId="45">
    <w:nsid w:val="23E97754"/>
    <w:multiLevelType w:val="multilevel"/>
    <w:tmpl w:val="23E97754"/>
    <w:lvl w:ilvl="0" w:tentative="0">
      <w:start w:val="6"/>
      <w:numFmt w:val="decimal"/>
      <w:lvlText w:val="%1"/>
      <w:lvlJc w:val="left"/>
      <w:pPr>
        <w:ind w:left="1338" w:hanging="370"/>
        <w:jc w:val="left"/>
      </w:pPr>
      <w:rPr>
        <w:rFonts w:hint="default"/>
        <w:lang w:val="zh-CN" w:eastAsia="zh-CN" w:bidi="zh-CN"/>
      </w:rPr>
    </w:lvl>
    <w:lvl w:ilvl="1" w:tentative="0">
      <w:start w:val="1"/>
      <w:numFmt w:val="decimal"/>
      <w:lvlText w:val="%1.%2"/>
      <w:lvlJc w:val="left"/>
      <w:pPr>
        <w:ind w:left="1338"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157" w:hanging="370"/>
      </w:pPr>
      <w:rPr>
        <w:rFonts w:hint="default"/>
        <w:lang w:val="zh-CN" w:eastAsia="zh-CN" w:bidi="zh-CN"/>
      </w:rPr>
    </w:lvl>
    <w:lvl w:ilvl="3" w:tentative="0">
      <w:start w:val="0"/>
      <w:numFmt w:val="bullet"/>
      <w:lvlText w:val="•"/>
      <w:lvlJc w:val="left"/>
      <w:pPr>
        <w:ind w:left="4065" w:hanging="370"/>
      </w:pPr>
      <w:rPr>
        <w:rFonts w:hint="default"/>
        <w:lang w:val="zh-CN" w:eastAsia="zh-CN" w:bidi="zh-CN"/>
      </w:rPr>
    </w:lvl>
    <w:lvl w:ilvl="4" w:tentative="0">
      <w:start w:val="0"/>
      <w:numFmt w:val="bullet"/>
      <w:lvlText w:val="•"/>
      <w:lvlJc w:val="left"/>
      <w:pPr>
        <w:ind w:left="4974" w:hanging="370"/>
      </w:pPr>
      <w:rPr>
        <w:rFonts w:hint="default"/>
        <w:lang w:val="zh-CN" w:eastAsia="zh-CN" w:bidi="zh-CN"/>
      </w:rPr>
    </w:lvl>
    <w:lvl w:ilvl="5" w:tentative="0">
      <w:start w:val="0"/>
      <w:numFmt w:val="bullet"/>
      <w:lvlText w:val="•"/>
      <w:lvlJc w:val="left"/>
      <w:pPr>
        <w:ind w:left="5883" w:hanging="370"/>
      </w:pPr>
      <w:rPr>
        <w:rFonts w:hint="default"/>
        <w:lang w:val="zh-CN" w:eastAsia="zh-CN" w:bidi="zh-CN"/>
      </w:rPr>
    </w:lvl>
    <w:lvl w:ilvl="6" w:tentative="0">
      <w:start w:val="0"/>
      <w:numFmt w:val="bullet"/>
      <w:lvlText w:val="•"/>
      <w:lvlJc w:val="left"/>
      <w:pPr>
        <w:ind w:left="6791" w:hanging="370"/>
      </w:pPr>
      <w:rPr>
        <w:rFonts w:hint="default"/>
        <w:lang w:val="zh-CN" w:eastAsia="zh-CN" w:bidi="zh-CN"/>
      </w:rPr>
    </w:lvl>
    <w:lvl w:ilvl="7" w:tentative="0">
      <w:start w:val="0"/>
      <w:numFmt w:val="bullet"/>
      <w:lvlText w:val="•"/>
      <w:lvlJc w:val="left"/>
      <w:pPr>
        <w:ind w:left="7700" w:hanging="370"/>
      </w:pPr>
      <w:rPr>
        <w:rFonts w:hint="default"/>
        <w:lang w:val="zh-CN" w:eastAsia="zh-CN" w:bidi="zh-CN"/>
      </w:rPr>
    </w:lvl>
    <w:lvl w:ilvl="8" w:tentative="0">
      <w:start w:val="0"/>
      <w:numFmt w:val="bullet"/>
      <w:lvlText w:val="•"/>
      <w:lvlJc w:val="left"/>
      <w:pPr>
        <w:ind w:left="8609" w:hanging="370"/>
      </w:pPr>
      <w:rPr>
        <w:rFonts w:hint="default"/>
        <w:lang w:val="zh-CN" w:eastAsia="zh-CN" w:bidi="zh-CN"/>
      </w:rPr>
    </w:lvl>
  </w:abstractNum>
  <w:abstractNum w:abstractNumId="46">
    <w:nsid w:val="243FCF68"/>
    <w:multiLevelType w:val="multilevel"/>
    <w:tmpl w:val="243FCF68"/>
    <w:lvl w:ilvl="0" w:tentative="0">
      <w:start w:val="1"/>
      <w:numFmt w:val="decimal"/>
      <w:lvlText w:val="（%1）"/>
      <w:lvlJc w:val="left"/>
      <w:pPr>
        <w:ind w:left="33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348" w:hanging="529"/>
      </w:pPr>
      <w:rPr>
        <w:rFonts w:hint="default"/>
        <w:lang w:val="zh-CN" w:eastAsia="zh-CN" w:bidi="zh-CN"/>
      </w:rPr>
    </w:lvl>
    <w:lvl w:ilvl="2" w:tentative="0">
      <w:start w:val="0"/>
      <w:numFmt w:val="bullet"/>
      <w:lvlText w:val="•"/>
      <w:lvlJc w:val="left"/>
      <w:pPr>
        <w:ind w:left="2357" w:hanging="529"/>
      </w:pPr>
      <w:rPr>
        <w:rFonts w:hint="default"/>
        <w:lang w:val="zh-CN" w:eastAsia="zh-CN" w:bidi="zh-CN"/>
      </w:rPr>
    </w:lvl>
    <w:lvl w:ilvl="3" w:tentative="0">
      <w:start w:val="0"/>
      <w:numFmt w:val="bullet"/>
      <w:lvlText w:val="•"/>
      <w:lvlJc w:val="left"/>
      <w:pPr>
        <w:ind w:left="3365" w:hanging="529"/>
      </w:pPr>
      <w:rPr>
        <w:rFonts w:hint="default"/>
        <w:lang w:val="zh-CN" w:eastAsia="zh-CN" w:bidi="zh-CN"/>
      </w:rPr>
    </w:lvl>
    <w:lvl w:ilvl="4" w:tentative="0">
      <w:start w:val="0"/>
      <w:numFmt w:val="bullet"/>
      <w:lvlText w:val="•"/>
      <w:lvlJc w:val="left"/>
      <w:pPr>
        <w:ind w:left="4374" w:hanging="529"/>
      </w:pPr>
      <w:rPr>
        <w:rFonts w:hint="default"/>
        <w:lang w:val="zh-CN" w:eastAsia="zh-CN" w:bidi="zh-CN"/>
      </w:rPr>
    </w:lvl>
    <w:lvl w:ilvl="5" w:tentative="0">
      <w:start w:val="0"/>
      <w:numFmt w:val="bullet"/>
      <w:lvlText w:val="•"/>
      <w:lvlJc w:val="left"/>
      <w:pPr>
        <w:ind w:left="5383" w:hanging="529"/>
      </w:pPr>
      <w:rPr>
        <w:rFonts w:hint="default"/>
        <w:lang w:val="zh-CN" w:eastAsia="zh-CN" w:bidi="zh-CN"/>
      </w:rPr>
    </w:lvl>
    <w:lvl w:ilvl="6" w:tentative="0">
      <w:start w:val="0"/>
      <w:numFmt w:val="bullet"/>
      <w:lvlText w:val="•"/>
      <w:lvlJc w:val="left"/>
      <w:pPr>
        <w:ind w:left="6391" w:hanging="529"/>
      </w:pPr>
      <w:rPr>
        <w:rFonts w:hint="default"/>
        <w:lang w:val="zh-CN" w:eastAsia="zh-CN" w:bidi="zh-CN"/>
      </w:rPr>
    </w:lvl>
    <w:lvl w:ilvl="7" w:tentative="0">
      <w:start w:val="0"/>
      <w:numFmt w:val="bullet"/>
      <w:lvlText w:val="•"/>
      <w:lvlJc w:val="left"/>
      <w:pPr>
        <w:ind w:left="7400" w:hanging="529"/>
      </w:pPr>
      <w:rPr>
        <w:rFonts w:hint="default"/>
        <w:lang w:val="zh-CN" w:eastAsia="zh-CN" w:bidi="zh-CN"/>
      </w:rPr>
    </w:lvl>
    <w:lvl w:ilvl="8" w:tentative="0">
      <w:start w:val="0"/>
      <w:numFmt w:val="bullet"/>
      <w:lvlText w:val="•"/>
      <w:lvlJc w:val="left"/>
      <w:pPr>
        <w:ind w:left="8409" w:hanging="529"/>
      </w:pPr>
      <w:rPr>
        <w:rFonts w:hint="default"/>
        <w:lang w:val="zh-CN" w:eastAsia="zh-CN" w:bidi="zh-CN"/>
      </w:rPr>
    </w:lvl>
  </w:abstractNum>
  <w:abstractNum w:abstractNumId="47">
    <w:nsid w:val="2470EC97"/>
    <w:multiLevelType w:val="multilevel"/>
    <w:tmpl w:val="2470EC97"/>
    <w:lvl w:ilvl="0" w:tentative="0">
      <w:start w:val="9"/>
      <w:numFmt w:val="decimal"/>
      <w:lvlText w:val="%1"/>
      <w:lvlJc w:val="left"/>
      <w:pPr>
        <w:ind w:left="1037" w:hanging="280"/>
        <w:jc w:val="left"/>
      </w:pPr>
      <w:rPr>
        <w:rFonts w:hint="default"/>
        <w:lang w:val="zh-CN" w:eastAsia="zh-CN" w:bidi="zh-CN"/>
      </w:rPr>
    </w:lvl>
    <w:lvl w:ilvl="1" w:tentative="0">
      <w:start w:val="1"/>
      <w:numFmt w:val="decimal"/>
      <w:lvlText w:val="%1-%2"/>
      <w:lvlJc w:val="left"/>
      <w:pPr>
        <w:ind w:left="10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48">
    <w:nsid w:val="25B654F3"/>
    <w:multiLevelType w:val="multilevel"/>
    <w:tmpl w:val="25B654F3"/>
    <w:lvl w:ilvl="0" w:tentative="0">
      <w:start w:val="1"/>
      <w:numFmt w:val="decimal"/>
      <w:lvlText w:val="%1"/>
      <w:lvlJc w:val="left"/>
      <w:pPr>
        <w:ind w:left="337" w:hanging="280"/>
        <w:jc w:val="left"/>
      </w:pPr>
      <w:rPr>
        <w:rFonts w:hint="default"/>
        <w:lang w:val="zh-CN" w:eastAsia="zh-CN" w:bidi="zh-CN"/>
      </w:rPr>
    </w:lvl>
    <w:lvl w:ilvl="1" w:tentative="0">
      <w:start w:val="1"/>
      <w:numFmt w:val="decimal"/>
      <w:lvlText w:val="%1-%2"/>
      <w:lvlJc w:val="left"/>
      <w:pPr>
        <w:ind w:left="3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357" w:hanging="280"/>
      </w:pPr>
      <w:rPr>
        <w:rFonts w:hint="default"/>
        <w:lang w:val="zh-CN" w:eastAsia="zh-CN" w:bidi="zh-CN"/>
      </w:rPr>
    </w:lvl>
    <w:lvl w:ilvl="3" w:tentative="0">
      <w:start w:val="0"/>
      <w:numFmt w:val="bullet"/>
      <w:lvlText w:val="•"/>
      <w:lvlJc w:val="left"/>
      <w:pPr>
        <w:ind w:left="3365" w:hanging="280"/>
      </w:pPr>
      <w:rPr>
        <w:rFonts w:hint="default"/>
        <w:lang w:val="zh-CN" w:eastAsia="zh-CN" w:bidi="zh-CN"/>
      </w:rPr>
    </w:lvl>
    <w:lvl w:ilvl="4" w:tentative="0">
      <w:start w:val="0"/>
      <w:numFmt w:val="bullet"/>
      <w:lvlText w:val="•"/>
      <w:lvlJc w:val="left"/>
      <w:pPr>
        <w:ind w:left="4374" w:hanging="280"/>
      </w:pPr>
      <w:rPr>
        <w:rFonts w:hint="default"/>
        <w:lang w:val="zh-CN" w:eastAsia="zh-CN" w:bidi="zh-CN"/>
      </w:rPr>
    </w:lvl>
    <w:lvl w:ilvl="5" w:tentative="0">
      <w:start w:val="0"/>
      <w:numFmt w:val="bullet"/>
      <w:lvlText w:val="•"/>
      <w:lvlJc w:val="left"/>
      <w:pPr>
        <w:ind w:left="5383" w:hanging="280"/>
      </w:pPr>
      <w:rPr>
        <w:rFonts w:hint="default"/>
        <w:lang w:val="zh-CN" w:eastAsia="zh-CN" w:bidi="zh-CN"/>
      </w:rPr>
    </w:lvl>
    <w:lvl w:ilvl="6" w:tentative="0">
      <w:start w:val="0"/>
      <w:numFmt w:val="bullet"/>
      <w:lvlText w:val="•"/>
      <w:lvlJc w:val="left"/>
      <w:pPr>
        <w:ind w:left="6391" w:hanging="280"/>
      </w:pPr>
      <w:rPr>
        <w:rFonts w:hint="default"/>
        <w:lang w:val="zh-CN" w:eastAsia="zh-CN" w:bidi="zh-CN"/>
      </w:rPr>
    </w:lvl>
    <w:lvl w:ilvl="7" w:tentative="0">
      <w:start w:val="0"/>
      <w:numFmt w:val="bullet"/>
      <w:lvlText w:val="•"/>
      <w:lvlJc w:val="left"/>
      <w:pPr>
        <w:ind w:left="7400" w:hanging="280"/>
      </w:pPr>
      <w:rPr>
        <w:rFonts w:hint="default"/>
        <w:lang w:val="zh-CN" w:eastAsia="zh-CN" w:bidi="zh-CN"/>
      </w:rPr>
    </w:lvl>
    <w:lvl w:ilvl="8" w:tentative="0">
      <w:start w:val="0"/>
      <w:numFmt w:val="bullet"/>
      <w:lvlText w:val="•"/>
      <w:lvlJc w:val="left"/>
      <w:pPr>
        <w:ind w:left="8409" w:hanging="280"/>
      </w:pPr>
      <w:rPr>
        <w:rFonts w:hint="default"/>
        <w:lang w:val="zh-CN" w:eastAsia="zh-CN" w:bidi="zh-CN"/>
      </w:rPr>
    </w:lvl>
  </w:abstractNum>
  <w:abstractNum w:abstractNumId="49">
    <w:nsid w:val="2A8F537B"/>
    <w:multiLevelType w:val="multilevel"/>
    <w:tmpl w:val="2A8F537B"/>
    <w:lvl w:ilvl="0" w:tentative="0">
      <w:start w:val="4"/>
      <w:numFmt w:val="decimal"/>
      <w:lvlText w:val="%1"/>
      <w:lvlJc w:val="left"/>
      <w:pPr>
        <w:ind w:left="1030" w:hanging="280"/>
        <w:jc w:val="left"/>
      </w:pPr>
      <w:rPr>
        <w:rFonts w:hint="default"/>
        <w:lang w:val="zh-CN" w:eastAsia="zh-CN" w:bidi="zh-CN"/>
      </w:rPr>
    </w:lvl>
    <w:lvl w:ilvl="1" w:tentative="0">
      <w:start w:val="1"/>
      <w:numFmt w:val="decimal"/>
      <w:lvlText w:val="%1-%2"/>
      <w:lvlJc w:val="left"/>
      <w:pPr>
        <w:ind w:left="1030"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50">
    <w:nsid w:val="2B8D7EBC"/>
    <w:multiLevelType w:val="singleLevel"/>
    <w:tmpl w:val="2B8D7EBC"/>
    <w:lvl w:ilvl="0" w:tentative="0">
      <w:start w:val="2"/>
      <w:numFmt w:val="chineseCounting"/>
      <w:suff w:val="nothing"/>
      <w:lvlText w:val="%1、"/>
      <w:lvlJc w:val="left"/>
      <w:rPr>
        <w:rFonts w:hint="eastAsia"/>
      </w:rPr>
    </w:lvl>
  </w:abstractNum>
  <w:abstractNum w:abstractNumId="51">
    <w:nsid w:val="2F2D79CE"/>
    <w:multiLevelType w:val="multilevel"/>
    <w:tmpl w:val="2F2D79CE"/>
    <w:lvl w:ilvl="0" w:tentative="0">
      <w:start w:val="6"/>
      <w:numFmt w:val="decimal"/>
      <w:lvlText w:val="%1"/>
      <w:lvlJc w:val="left"/>
      <w:pPr>
        <w:ind w:left="1180" w:hanging="423"/>
        <w:jc w:val="left"/>
      </w:pPr>
      <w:rPr>
        <w:rFonts w:hint="default"/>
        <w:lang w:val="zh-CN" w:eastAsia="zh-CN" w:bidi="zh-CN"/>
      </w:rPr>
    </w:lvl>
    <w:lvl w:ilvl="1" w:tentative="0">
      <w:start w:val="1"/>
      <w:numFmt w:val="decimal"/>
      <w:lvlText w:val="%1.%2"/>
      <w:lvlJc w:val="left"/>
      <w:pPr>
        <w:ind w:left="1180" w:hanging="42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029" w:hanging="423"/>
      </w:pPr>
      <w:rPr>
        <w:rFonts w:hint="default"/>
        <w:lang w:val="zh-CN" w:eastAsia="zh-CN" w:bidi="zh-CN"/>
      </w:rPr>
    </w:lvl>
    <w:lvl w:ilvl="3" w:tentative="0">
      <w:start w:val="0"/>
      <w:numFmt w:val="bullet"/>
      <w:lvlText w:val="•"/>
      <w:lvlJc w:val="left"/>
      <w:pPr>
        <w:ind w:left="3953" w:hanging="423"/>
      </w:pPr>
      <w:rPr>
        <w:rFonts w:hint="default"/>
        <w:lang w:val="zh-CN" w:eastAsia="zh-CN" w:bidi="zh-CN"/>
      </w:rPr>
    </w:lvl>
    <w:lvl w:ilvl="4" w:tentative="0">
      <w:start w:val="0"/>
      <w:numFmt w:val="bullet"/>
      <w:lvlText w:val="•"/>
      <w:lvlJc w:val="left"/>
      <w:pPr>
        <w:ind w:left="4878" w:hanging="423"/>
      </w:pPr>
      <w:rPr>
        <w:rFonts w:hint="default"/>
        <w:lang w:val="zh-CN" w:eastAsia="zh-CN" w:bidi="zh-CN"/>
      </w:rPr>
    </w:lvl>
    <w:lvl w:ilvl="5" w:tentative="0">
      <w:start w:val="0"/>
      <w:numFmt w:val="bullet"/>
      <w:lvlText w:val="•"/>
      <w:lvlJc w:val="left"/>
      <w:pPr>
        <w:ind w:left="5803" w:hanging="423"/>
      </w:pPr>
      <w:rPr>
        <w:rFonts w:hint="default"/>
        <w:lang w:val="zh-CN" w:eastAsia="zh-CN" w:bidi="zh-CN"/>
      </w:rPr>
    </w:lvl>
    <w:lvl w:ilvl="6" w:tentative="0">
      <w:start w:val="0"/>
      <w:numFmt w:val="bullet"/>
      <w:lvlText w:val="•"/>
      <w:lvlJc w:val="left"/>
      <w:pPr>
        <w:ind w:left="6727" w:hanging="423"/>
      </w:pPr>
      <w:rPr>
        <w:rFonts w:hint="default"/>
        <w:lang w:val="zh-CN" w:eastAsia="zh-CN" w:bidi="zh-CN"/>
      </w:rPr>
    </w:lvl>
    <w:lvl w:ilvl="7" w:tentative="0">
      <w:start w:val="0"/>
      <w:numFmt w:val="bullet"/>
      <w:lvlText w:val="•"/>
      <w:lvlJc w:val="left"/>
      <w:pPr>
        <w:ind w:left="7652" w:hanging="423"/>
      </w:pPr>
      <w:rPr>
        <w:rFonts w:hint="default"/>
        <w:lang w:val="zh-CN" w:eastAsia="zh-CN" w:bidi="zh-CN"/>
      </w:rPr>
    </w:lvl>
    <w:lvl w:ilvl="8" w:tentative="0">
      <w:start w:val="0"/>
      <w:numFmt w:val="bullet"/>
      <w:lvlText w:val="•"/>
      <w:lvlJc w:val="left"/>
      <w:pPr>
        <w:ind w:left="8577" w:hanging="423"/>
      </w:pPr>
      <w:rPr>
        <w:rFonts w:hint="default"/>
        <w:lang w:val="zh-CN" w:eastAsia="zh-CN" w:bidi="zh-CN"/>
      </w:rPr>
    </w:lvl>
  </w:abstractNum>
  <w:abstractNum w:abstractNumId="52">
    <w:nsid w:val="30A0AC00"/>
    <w:multiLevelType w:val="multilevel"/>
    <w:tmpl w:val="30A0AC00"/>
    <w:lvl w:ilvl="0" w:tentative="0">
      <w:start w:val="7"/>
      <w:numFmt w:val="decimal"/>
      <w:lvlText w:val="%1"/>
      <w:lvlJc w:val="left"/>
      <w:pPr>
        <w:ind w:left="1130" w:hanging="370"/>
        <w:jc w:val="left"/>
      </w:pPr>
      <w:rPr>
        <w:rFonts w:hint="default"/>
        <w:lang w:val="zh-CN" w:eastAsia="zh-CN" w:bidi="zh-CN"/>
      </w:rPr>
    </w:lvl>
    <w:lvl w:ilvl="1" w:tentative="0">
      <w:start w:val="6"/>
      <w:numFmt w:val="decimal"/>
      <w:lvlText w:val="%1.%2"/>
      <w:lvlJc w:val="left"/>
      <w:pPr>
        <w:ind w:left="1130" w:hanging="370"/>
        <w:jc w:val="left"/>
      </w:pPr>
      <w:rPr>
        <w:rFonts w:hint="default" w:ascii="宋体" w:hAnsi="宋体" w:eastAsia="宋体" w:cs="宋体"/>
        <w:b/>
        <w:bCs/>
        <w:w w:val="99"/>
        <w:sz w:val="21"/>
        <w:szCs w:val="21"/>
        <w:lang w:val="zh-CN" w:eastAsia="zh-CN" w:bidi="zh-CN"/>
      </w:rPr>
    </w:lvl>
    <w:lvl w:ilvl="2" w:tentative="0">
      <w:start w:val="0"/>
      <w:numFmt w:val="bullet"/>
      <w:lvlText w:val="•"/>
      <w:lvlJc w:val="left"/>
      <w:pPr>
        <w:ind w:left="2997" w:hanging="370"/>
      </w:pPr>
      <w:rPr>
        <w:rFonts w:hint="default"/>
        <w:lang w:val="zh-CN" w:eastAsia="zh-CN" w:bidi="zh-CN"/>
      </w:rPr>
    </w:lvl>
    <w:lvl w:ilvl="3" w:tentative="0">
      <w:start w:val="0"/>
      <w:numFmt w:val="bullet"/>
      <w:lvlText w:val="•"/>
      <w:lvlJc w:val="left"/>
      <w:pPr>
        <w:ind w:left="3925" w:hanging="370"/>
      </w:pPr>
      <w:rPr>
        <w:rFonts w:hint="default"/>
        <w:lang w:val="zh-CN" w:eastAsia="zh-CN" w:bidi="zh-CN"/>
      </w:rPr>
    </w:lvl>
    <w:lvl w:ilvl="4" w:tentative="0">
      <w:start w:val="0"/>
      <w:numFmt w:val="bullet"/>
      <w:lvlText w:val="•"/>
      <w:lvlJc w:val="left"/>
      <w:pPr>
        <w:ind w:left="4854" w:hanging="370"/>
      </w:pPr>
      <w:rPr>
        <w:rFonts w:hint="default"/>
        <w:lang w:val="zh-CN" w:eastAsia="zh-CN" w:bidi="zh-CN"/>
      </w:rPr>
    </w:lvl>
    <w:lvl w:ilvl="5" w:tentative="0">
      <w:start w:val="0"/>
      <w:numFmt w:val="bullet"/>
      <w:lvlText w:val="•"/>
      <w:lvlJc w:val="left"/>
      <w:pPr>
        <w:ind w:left="5783" w:hanging="370"/>
      </w:pPr>
      <w:rPr>
        <w:rFonts w:hint="default"/>
        <w:lang w:val="zh-CN" w:eastAsia="zh-CN" w:bidi="zh-CN"/>
      </w:rPr>
    </w:lvl>
    <w:lvl w:ilvl="6" w:tentative="0">
      <w:start w:val="0"/>
      <w:numFmt w:val="bullet"/>
      <w:lvlText w:val="•"/>
      <w:lvlJc w:val="left"/>
      <w:pPr>
        <w:ind w:left="6711" w:hanging="370"/>
      </w:pPr>
      <w:rPr>
        <w:rFonts w:hint="default"/>
        <w:lang w:val="zh-CN" w:eastAsia="zh-CN" w:bidi="zh-CN"/>
      </w:rPr>
    </w:lvl>
    <w:lvl w:ilvl="7" w:tentative="0">
      <w:start w:val="0"/>
      <w:numFmt w:val="bullet"/>
      <w:lvlText w:val="•"/>
      <w:lvlJc w:val="left"/>
      <w:pPr>
        <w:ind w:left="7640" w:hanging="370"/>
      </w:pPr>
      <w:rPr>
        <w:rFonts w:hint="default"/>
        <w:lang w:val="zh-CN" w:eastAsia="zh-CN" w:bidi="zh-CN"/>
      </w:rPr>
    </w:lvl>
    <w:lvl w:ilvl="8" w:tentative="0">
      <w:start w:val="0"/>
      <w:numFmt w:val="bullet"/>
      <w:lvlText w:val="•"/>
      <w:lvlJc w:val="left"/>
      <w:pPr>
        <w:ind w:left="8569" w:hanging="370"/>
      </w:pPr>
      <w:rPr>
        <w:rFonts w:hint="default"/>
        <w:lang w:val="zh-CN" w:eastAsia="zh-CN" w:bidi="zh-CN"/>
      </w:rPr>
    </w:lvl>
  </w:abstractNum>
  <w:abstractNum w:abstractNumId="53">
    <w:nsid w:val="30FC5B15"/>
    <w:multiLevelType w:val="multilevel"/>
    <w:tmpl w:val="30FC5B15"/>
    <w:lvl w:ilvl="0" w:tentative="0">
      <w:start w:val="3"/>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tentative="0">
      <w:start w:val="1"/>
      <w:numFmt w:val="decimal"/>
      <w:lvlText w:val="（%2）"/>
      <w:lvlJc w:val="left"/>
      <w:pPr>
        <w:ind w:left="1057"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870" w:hanging="529"/>
      </w:pPr>
      <w:rPr>
        <w:rFonts w:hint="default"/>
        <w:lang w:val="zh-CN" w:eastAsia="zh-CN" w:bidi="zh-CN"/>
      </w:rPr>
    </w:lvl>
    <w:lvl w:ilvl="3" w:tentative="0">
      <w:start w:val="0"/>
      <w:numFmt w:val="bullet"/>
      <w:lvlText w:val="•"/>
      <w:lvlJc w:val="left"/>
      <w:pPr>
        <w:ind w:left="2681" w:hanging="529"/>
      </w:pPr>
      <w:rPr>
        <w:rFonts w:hint="default"/>
        <w:lang w:val="zh-CN" w:eastAsia="zh-CN" w:bidi="zh-CN"/>
      </w:rPr>
    </w:lvl>
    <w:lvl w:ilvl="4" w:tentative="0">
      <w:start w:val="0"/>
      <w:numFmt w:val="bullet"/>
      <w:lvlText w:val="•"/>
      <w:lvlJc w:val="left"/>
      <w:pPr>
        <w:ind w:left="3492" w:hanging="529"/>
      </w:pPr>
      <w:rPr>
        <w:rFonts w:hint="default"/>
        <w:lang w:val="zh-CN" w:eastAsia="zh-CN" w:bidi="zh-CN"/>
      </w:rPr>
    </w:lvl>
    <w:lvl w:ilvl="5" w:tentative="0">
      <w:start w:val="0"/>
      <w:numFmt w:val="bullet"/>
      <w:lvlText w:val="•"/>
      <w:lvlJc w:val="left"/>
      <w:pPr>
        <w:ind w:left="4303" w:hanging="529"/>
      </w:pPr>
      <w:rPr>
        <w:rFonts w:hint="default"/>
        <w:lang w:val="zh-CN" w:eastAsia="zh-CN" w:bidi="zh-CN"/>
      </w:rPr>
    </w:lvl>
    <w:lvl w:ilvl="6" w:tentative="0">
      <w:start w:val="0"/>
      <w:numFmt w:val="bullet"/>
      <w:lvlText w:val="•"/>
      <w:lvlJc w:val="left"/>
      <w:pPr>
        <w:ind w:left="5114" w:hanging="529"/>
      </w:pPr>
      <w:rPr>
        <w:rFonts w:hint="default"/>
        <w:lang w:val="zh-CN" w:eastAsia="zh-CN" w:bidi="zh-CN"/>
      </w:rPr>
    </w:lvl>
    <w:lvl w:ilvl="7" w:tentative="0">
      <w:start w:val="0"/>
      <w:numFmt w:val="bullet"/>
      <w:lvlText w:val="•"/>
      <w:lvlJc w:val="left"/>
      <w:pPr>
        <w:ind w:left="5925" w:hanging="529"/>
      </w:pPr>
      <w:rPr>
        <w:rFonts w:hint="default"/>
        <w:lang w:val="zh-CN" w:eastAsia="zh-CN" w:bidi="zh-CN"/>
      </w:rPr>
    </w:lvl>
    <w:lvl w:ilvl="8" w:tentative="0">
      <w:start w:val="0"/>
      <w:numFmt w:val="bullet"/>
      <w:lvlText w:val="•"/>
      <w:lvlJc w:val="left"/>
      <w:pPr>
        <w:ind w:left="6736" w:hanging="529"/>
      </w:pPr>
      <w:rPr>
        <w:rFonts w:hint="default"/>
        <w:lang w:val="zh-CN" w:eastAsia="zh-CN" w:bidi="zh-CN"/>
      </w:rPr>
    </w:lvl>
  </w:abstractNum>
  <w:abstractNum w:abstractNumId="54">
    <w:nsid w:val="322D85CA"/>
    <w:multiLevelType w:val="multilevel"/>
    <w:tmpl w:val="322D85CA"/>
    <w:lvl w:ilvl="0" w:tentative="0">
      <w:start w:val="1"/>
      <w:numFmt w:val="decimal"/>
      <w:lvlText w:val="%1）"/>
      <w:lvlJc w:val="left"/>
      <w:pPr>
        <w:ind w:left="1181" w:hanging="318"/>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104" w:hanging="318"/>
      </w:pPr>
      <w:rPr>
        <w:rFonts w:hint="default"/>
        <w:lang w:val="zh-CN" w:eastAsia="zh-CN" w:bidi="zh-CN"/>
      </w:rPr>
    </w:lvl>
    <w:lvl w:ilvl="2" w:tentative="0">
      <w:start w:val="0"/>
      <w:numFmt w:val="bullet"/>
      <w:lvlText w:val="•"/>
      <w:lvlJc w:val="left"/>
      <w:pPr>
        <w:ind w:left="3029" w:hanging="318"/>
      </w:pPr>
      <w:rPr>
        <w:rFonts w:hint="default"/>
        <w:lang w:val="zh-CN" w:eastAsia="zh-CN" w:bidi="zh-CN"/>
      </w:rPr>
    </w:lvl>
    <w:lvl w:ilvl="3" w:tentative="0">
      <w:start w:val="0"/>
      <w:numFmt w:val="bullet"/>
      <w:lvlText w:val="•"/>
      <w:lvlJc w:val="left"/>
      <w:pPr>
        <w:ind w:left="3953" w:hanging="318"/>
      </w:pPr>
      <w:rPr>
        <w:rFonts w:hint="default"/>
        <w:lang w:val="zh-CN" w:eastAsia="zh-CN" w:bidi="zh-CN"/>
      </w:rPr>
    </w:lvl>
    <w:lvl w:ilvl="4" w:tentative="0">
      <w:start w:val="0"/>
      <w:numFmt w:val="bullet"/>
      <w:lvlText w:val="•"/>
      <w:lvlJc w:val="left"/>
      <w:pPr>
        <w:ind w:left="4878" w:hanging="318"/>
      </w:pPr>
      <w:rPr>
        <w:rFonts w:hint="default"/>
        <w:lang w:val="zh-CN" w:eastAsia="zh-CN" w:bidi="zh-CN"/>
      </w:rPr>
    </w:lvl>
    <w:lvl w:ilvl="5" w:tentative="0">
      <w:start w:val="0"/>
      <w:numFmt w:val="bullet"/>
      <w:lvlText w:val="•"/>
      <w:lvlJc w:val="left"/>
      <w:pPr>
        <w:ind w:left="5803" w:hanging="318"/>
      </w:pPr>
      <w:rPr>
        <w:rFonts w:hint="default"/>
        <w:lang w:val="zh-CN" w:eastAsia="zh-CN" w:bidi="zh-CN"/>
      </w:rPr>
    </w:lvl>
    <w:lvl w:ilvl="6" w:tentative="0">
      <w:start w:val="0"/>
      <w:numFmt w:val="bullet"/>
      <w:lvlText w:val="•"/>
      <w:lvlJc w:val="left"/>
      <w:pPr>
        <w:ind w:left="6727" w:hanging="318"/>
      </w:pPr>
      <w:rPr>
        <w:rFonts w:hint="default"/>
        <w:lang w:val="zh-CN" w:eastAsia="zh-CN" w:bidi="zh-CN"/>
      </w:rPr>
    </w:lvl>
    <w:lvl w:ilvl="7" w:tentative="0">
      <w:start w:val="0"/>
      <w:numFmt w:val="bullet"/>
      <w:lvlText w:val="•"/>
      <w:lvlJc w:val="left"/>
      <w:pPr>
        <w:ind w:left="7652" w:hanging="318"/>
      </w:pPr>
      <w:rPr>
        <w:rFonts w:hint="default"/>
        <w:lang w:val="zh-CN" w:eastAsia="zh-CN" w:bidi="zh-CN"/>
      </w:rPr>
    </w:lvl>
    <w:lvl w:ilvl="8" w:tentative="0">
      <w:start w:val="0"/>
      <w:numFmt w:val="bullet"/>
      <w:lvlText w:val="•"/>
      <w:lvlJc w:val="left"/>
      <w:pPr>
        <w:ind w:left="8577" w:hanging="318"/>
      </w:pPr>
      <w:rPr>
        <w:rFonts w:hint="default"/>
        <w:lang w:val="zh-CN" w:eastAsia="zh-CN" w:bidi="zh-CN"/>
      </w:rPr>
    </w:lvl>
  </w:abstractNum>
  <w:abstractNum w:abstractNumId="55">
    <w:nsid w:val="32A7AF2D"/>
    <w:multiLevelType w:val="multilevel"/>
    <w:tmpl w:val="32A7AF2D"/>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56">
    <w:nsid w:val="35E83B33"/>
    <w:multiLevelType w:val="multilevel"/>
    <w:tmpl w:val="35E83B33"/>
    <w:lvl w:ilvl="0" w:tentative="0">
      <w:start w:val="7"/>
      <w:numFmt w:val="decimal"/>
      <w:lvlText w:val="%1"/>
      <w:lvlJc w:val="left"/>
      <w:pPr>
        <w:ind w:left="1130" w:hanging="370"/>
        <w:jc w:val="left"/>
      </w:pPr>
      <w:rPr>
        <w:rFonts w:hint="default"/>
        <w:lang w:val="zh-CN" w:eastAsia="zh-CN" w:bidi="zh-CN"/>
      </w:rPr>
    </w:lvl>
    <w:lvl w:ilvl="1" w:tentative="0">
      <w:start w:val="4"/>
      <w:numFmt w:val="decimal"/>
      <w:lvlText w:val="%1.%2"/>
      <w:lvlJc w:val="left"/>
      <w:pPr>
        <w:ind w:left="1130" w:hanging="370"/>
        <w:jc w:val="left"/>
      </w:pPr>
      <w:rPr>
        <w:rFonts w:hint="default" w:ascii="宋体" w:hAnsi="宋体" w:eastAsia="宋体" w:cs="宋体"/>
        <w:b/>
        <w:bCs/>
        <w:w w:val="99"/>
        <w:sz w:val="21"/>
        <w:szCs w:val="21"/>
        <w:lang w:val="zh-CN" w:eastAsia="zh-CN" w:bidi="zh-CN"/>
      </w:rPr>
    </w:lvl>
    <w:lvl w:ilvl="2" w:tentative="0">
      <w:start w:val="0"/>
      <w:numFmt w:val="bullet"/>
      <w:lvlText w:val="•"/>
      <w:lvlJc w:val="left"/>
      <w:pPr>
        <w:ind w:left="2997" w:hanging="370"/>
      </w:pPr>
      <w:rPr>
        <w:rFonts w:hint="default"/>
        <w:lang w:val="zh-CN" w:eastAsia="zh-CN" w:bidi="zh-CN"/>
      </w:rPr>
    </w:lvl>
    <w:lvl w:ilvl="3" w:tentative="0">
      <w:start w:val="0"/>
      <w:numFmt w:val="bullet"/>
      <w:lvlText w:val="•"/>
      <w:lvlJc w:val="left"/>
      <w:pPr>
        <w:ind w:left="3925" w:hanging="370"/>
      </w:pPr>
      <w:rPr>
        <w:rFonts w:hint="default"/>
        <w:lang w:val="zh-CN" w:eastAsia="zh-CN" w:bidi="zh-CN"/>
      </w:rPr>
    </w:lvl>
    <w:lvl w:ilvl="4" w:tentative="0">
      <w:start w:val="0"/>
      <w:numFmt w:val="bullet"/>
      <w:lvlText w:val="•"/>
      <w:lvlJc w:val="left"/>
      <w:pPr>
        <w:ind w:left="4854" w:hanging="370"/>
      </w:pPr>
      <w:rPr>
        <w:rFonts w:hint="default"/>
        <w:lang w:val="zh-CN" w:eastAsia="zh-CN" w:bidi="zh-CN"/>
      </w:rPr>
    </w:lvl>
    <w:lvl w:ilvl="5" w:tentative="0">
      <w:start w:val="0"/>
      <w:numFmt w:val="bullet"/>
      <w:lvlText w:val="•"/>
      <w:lvlJc w:val="left"/>
      <w:pPr>
        <w:ind w:left="5783" w:hanging="370"/>
      </w:pPr>
      <w:rPr>
        <w:rFonts w:hint="default"/>
        <w:lang w:val="zh-CN" w:eastAsia="zh-CN" w:bidi="zh-CN"/>
      </w:rPr>
    </w:lvl>
    <w:lvl w:ilvl="6" w:tentative="0">
      <w:start w:val="0"/>
      <w:numFmt w:val="bullet"/>
      <w:lvlText w:val="•"/>
      <w:lvlJc w:val="left"/>
      <w:pPr>
        <w:ind w:left="6711" w:hanging="370"/>
      </w:pPr>
      <w:rPr>
        <w:rFonts w:hint="default"/>
        <w:lang w:val="zh-CN" w:eastAsia="zh-CN" w:bidi="zh-CN"/>
      </w:rPr>
    </w:lvl>
    <w:lvl w:ilvl="7" w:tentative="0">
      <w:start w:val="0"/>
      <w:numFmt w:val="bullet"/>
      <w:lvlText w:val="•"/>
      <w:lvlJc w:val="left"/>
      <w:pPr>
        <w:ind w:left="7640" w:hanging="370"/>
      </w:pPr>
      <w:rPr>
        <w:rFonts w:hint="default"/>
        <w:lang w:val="zh-CN" w:eastAsia="zh-CN" w:bidi="zh-CN"/>
      </w:rPr>
    </w:lvl>
    <w:lvl w:ilvl="8" w:tentative="0">
      <w:start w:val="0"/>
      <w:numFmt w:val="bullet"/>
      <w:lvlText w:val="•"/>
      <w:lvlJc w:val="left"/>
      <w:pPr>
        <w:ind w:left="8569" w:hanging="370"/>
      </w:pPr>
      <w:rPr>
        <w:rFonts w:hint="default"/>
        <w:lang w:val="zh-CN" w:eastAsia="zh-CN" w:bidi="zh-CN"/>
      </w:rPr>
    </w:lvl>
  </w:abstractNum>
  <w:abstractNum w:abstractNumId="57">
    <w:nsid w:val="39A0D9AC"/>
    <w:multiLevelType w:val="multilevel"/>
    <w:tmpl w:val="39A0D9AC"/>
    <w:lvl w:ilvl="0" w:tentative="0">
      <w:start w:val="1"/>
      <w:numFmt w:val="decimal"/>
      <w:lvlText w:val="（%1）"/>
      <w:lvlJc w:val="left"/>
      <w:pPr>
        <w:ind w:left="337" w:hanging="527"/>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348" w:hanging="527"/>
      </w:pPr>
      <w:rPr>
        <w:rFonts w:hint="default"/>
        <w:lang w:val="zh-CN" w:eastAsia="zh-CN" w:bidi="zh-CN"/>
      </w:rPr>
    </w:lvl>
    <w:lvl w:ilvl="2" w:tentative="0">
      <w:start w:val="0"/>
      <w:numFmt w:val="bullet"/>
      <w:lvlText w:val="•"/>
      <w:lvlJc w:val="left"/>
      <w:pPr>
        <w:ind w:left="2357" w:hanging="527"/>
      </w:pPr>
      <w:rPr>
        <w:rFonts w:hint="default"/>
        <w:lang w:val="zh-CN" w:eastAsia="zh-CN" w:bidi="zh-CN"/>
      </w:rPr>
    </w:lvl>
    <w:lvl w:ilvl="3" w:tentative="0">
      <w:start w:val="0"/>
      <w:numFmt w:val="bullet"/>
      <w:lvlText w:val="•"/>
      <w:lvlJc w:val="left"/>
      <w:pPr>
        <w:ind w:left="3365" w:hanging="527"/>
      </w:pPr>
      <w:rPr>
        <w:rFonts w:hint="default"/>
        <w:lang w:val="zh-CN" w:eastAsia="zh-CN" w:bidi="zh-CN"/>
      </w:rPr>
    </w:lvl>
    <w:lvl w:ilvl="4" w:tentative="0">
      <w:start w:val="0"/>
      <w:numFmt w:val="bullet"/>
      <w:lvlText w:val="•"/>
      <w:lvlJc w:val="left"/>
      <w:pPr>
        <w:ind w:left="4374" w:hanging="527"/>
      </w:pPr>
      <w:rPr>
        <w:rFonts w:hint="default"/>
        <w:lang w:val="zh-CN" w:eastAsia="zh-CN" w:bidi="zh-CN"/>
      </w:rPr>
    </w:lvl>
    <w:lvl w:ilvl="5" w:tentative="0">
      <w:start w:val="0"/>
      <w:numFmt w:val="bullet"/>
      <w:lvlText w:val="•"/>
      <w:lvlJc w:val="left"/>
      <w:pPr>
        <w:ind w:left="5383" w:hanging="527"/>
      </w:pPr>
      <w:rPr>
        <w:rFonts w:hint="default"/>
        <w:lang w:val="zh-CN" w:eastAsia="zh-CN" w:bidi="zh-CN"/>
      </w:rPr>
    </w:lvl>
    <w:lvl w:ilvl="6" w:tentative="0">
      <w:start w:val="0"/>
      <w:numFmt w:val="bullet"/>
      <w:lvlText w:val="•"/>
      <w:lvlJc w:val="left"/>
      <w:pPr>
        <w:ind w:left="6391" w:hanging="527"/>
      </w:pPr>
      <w:rPr>
        <w:rFonts w:hint="default"/>
        <w:lang w:val="zh-CN" w:eastAsia="zh-CN" w:bidi="zh-CN"/>
      </w:rPr>
    </w:lvl>
    <w:lvl w:ilvl="7" w:tentative="0">
      <w:start w:val="0"/>
      <w:numFmt w:val="bullet"/>
      <w:lvlText w:val="•"/>
      <w:lvlJc w:val="left"/>
      <w:pPr>
        <w:ind w:left="7400" w:hanging="527"/>
      </w:pPr>
      <w:rPr>
        <w:rFonts w:hint="default"/>
        <w:lang w:val="zh-CN" w:eastAsia="zh-CN" w:bidi="zh-CN"/>
      </w:rPr>
    </w:lvl>
    <w:lvl w:ilvl="8" w:tentative="0">
      <w:start w:val="0"/>
      <w:numFmt w:val="bullet"/>
      <w:lvlText w:val="•"/>
      <w:lvlJc w:val="left"/>
      <w:pPr>
        <w:ind w:left="8409" w:hanging="527"/>
      </w:pPr>
      <w:rPr>
        <w:rFonts w:hint="default"/>
        <w:lang w:val="zh-CN" w:eastAsia="zh-CN" w:bidi="zh-CN"/>
      </w:rPr>
    </w:lvl>
  </w:abstractNum>
  <w:abstractNum w:abstractNumId="58">
    <w:nsid w:val="3B8127DF"/>
    <w:multiLevelType w:val="multilevel"/>
    <w:tmpl w:val="3B8127DF"/>
    <w:lvl w:ilvl="0" w:tentative="0">
      <w:start w:val="1"/>
      <w:numFmt w:val="decimal"/>
      <w:lvlText w:val="%1"/>
      <w:lvlJc w:val="left"/>
      <w:pPr>
        <w:ind w:left="969" w:hanging="212"/>
        <w:jc w:val="left"/>
      </w:pPr>
      <w:rPr>
        <w:rFonts w:hint="default" w:ascii="宋体" w:hAnsi="宋体" w:eastAsia="宋体" w:cs="宋体"/>
        <w:w w:val="100"/>
        <w:sz w:val="21"/>
        <w:szCs w:val="21"/>
        <w:lang w:val="zh-CN" w:eastAsia="zh-CN" w:bidi="zh-CN"/>
      </w:rPr>
    </w:lvl>
    <w:lvl w:ilvl="1" w:tentative="0">
      <w:start w:val="1"/>
      <w:numFmt w:val="decimal"/>
      <w:lvlText w:val="%1.%2"/>
      <w:lvlJc w:val="left"/>
      <w:pPr>
        <w:ind w:left="337"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1180" w:hanging="370"/>
      </w:pPr>
      <w:rPr>
        <w:rFonts w:hint="default"/>
        <w:lang w:val="zh-CN" w:eastAsia="zh-CN" w:bidi="zh-CN"/>
      </w:rPr>
    </w:lvl>
    <w:lvl w:ilvl="3" w:tentative="0">
      <w:start w:val="0"/>
      <w:numFmt w:val="bullet"/>
      <w:lvlText w:val="•"/>
      <w:lvlJc w:val="left"/>
      <w:pPr>
        <w:ind w:left="2335" w:hanging="370"/>
      </w:pPr>
      <w:rPr>
        <w:rFonts w:hint="default"/>
        <w:lang w:val="zh-CN" w:eastAsia="zh-CN" w:bidi="zh-CN"/>
      </w:rPr>
    </w:lvl>
    <w:lvl w:ilvl="4" w:tentative="0">
      <w:start w:val="0"/>
      <w:numFmt w:val="bullet"/>
      <w:lvlText w:val="•"/>
      <w:lvlJc w:val="left"/>
      <w:pPr>
        <w:ind w:left="3491" w:hanging="370"/>
      </w:pPr>
      <w:rPr>
        <w:rFonts w:hint="default"/>
        <w:lang w:val="zh-CN" w:eastAsia="zh-CN" w:bidi="zh-CN"/>
      </w:rPr>
    </w:lvl>
    <w:lvl w:ilvl="5" w:tentative="0">
      <w:start w:val="0"/>
      <w:numFmt w:val="bullet"/>
      <w:lvlText w:val="•"/>
      <w:lvlJc w:val="left"/>
      <w:pPr>
        <w:ind w:left="4647" w:hanging="370"/>
      </w:pPr>
      <w:rPr>
        <w:rFonts w:hint="default"/>
        <w:lang w:val="zh-CN" w:eastAsia="zh-CN" w:bidi="zh-CN"/>
      </w:rPr>
    </w:lvl>
    <w:lvl w:ilvl="6" w:tentative="0">
      <w:start w:val="0"/>
      <w:numFmt w:val="bullet"/>
      <w:lvlText w:val="•"/>
      <w:lvlJc w:val="left"/>
      <w:pPr>
        <w:ind w:left="5803" w:hanging="370"/>
      </w:pPr>
      <w:rPr>
        <w:rFonts w:hint="default"/>
        <w:lang w:val="zh-CN" w:eastAsia="zh-CN" w:bidi="zh-CN"/>
      </w:rPr>
    </w:lvl>
    <w:lvl w:ilvl="7" w:tentative="0">
      <w:start w:val="0"/>
      <w:numFmt w:val="bullet"/>
      <w:lvlText w:val="•"/>
      <w:lvlJc w:val="left"/>
      <w:pPr>
        <w:ind w:left="6959" w:hanging="370"/>
      </w:pPr>
      <w:rPr>
        <w:rFonts w:hint="default"/>
        <w:lang w:val="zh-CN" w:eastAsia="zh-CN" w:bidi="zh-CN"/>
      </w:rPr>
    </w:lvl>
    <w:lvl w:ilvl="8" w:tentative="0">
      <w:start w:val="0"/>
      <w:numFmt w:val="bullet"/>
      <w:lvlText w:val="•"/>
      <w:lvlJc w:val="left"/>
      <w:pPr>
        <w:ind w:left="8114" w:hanging="370"/>
      </w:pPr>
      <w:rPr>
        <w:rFonts w:hint="default"/>
        <w:lang w:val="zh-CN" w:eastAsia="zh-CN" w:bidi="zh-CN"/>
      </w:rPr>
    </w:lvl>
  </w:abstractNum>
  <w:abstractNum w:abstractNumId="59">
    <w:nsid w:val="40B249F9"/>
    <w:multiLevelType w:val="multilevel"/>
    <w:tmpl w:val="40B249F9"/>
    <w:lvl w:ilvl="0" w:tentative="0">
      <w:start w:val="1"/>
      <w:numFmt w:val="decimal"/>
      <w:lvlText w:val="%1"/>
      <w:lvlJc w:val="left"/>
      <w:pPr>
        <w:ind w:left="337" w:hanging="423"/>
        <w:jc w:val="left"/>
      </w:pPr>
      <w:rPr>
        <w:rFonts w:hint="default"/>
        <w:lang w:val="zh-CN" w:eastAsia="zh-CN" w:bidi="zh-CN"/>
      </w:rPr>
    </w:lvl>
    <w:lvl w:ilvl="1" w:tentative="0">
      <w:start w:val="1"/>
      <w:numFmt w:val="decimal"/>
      <w:lvlText w:val="%1.%2"/>
      <w:lvlJc w:val="left"/>
      <w:pPr>
        <w:ind w:left="337" w:hanging="42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357" w:hanging="423"/>
      </w:pPr>
      <w:rPr>
        <w:rFonts w:hint="default"/>
        <w:lang w:val="zh-CN" w:eastAsia="zh-CN" w:bidi="zh-CN"/>
      </w:rPr>
    </w:lvl>
    <w:lvl w:ilvl="3" w:tentative="0">
      <w:start w:val="0"/>
      <w:numFmt w:val="bullet"/>
      <w:lvlText w:val="•"/>
      <w:lvlJc w:val="left"/>
      <w:pPr>
        <w:ind w:left="3365" w:hanging="423"/>
      </w:pPr>
      <w:rPr>
        <w:rFonts w:hint="default"/>
        <w:lang w:val="zh-CN" w:eastAsia="zh-CN" w:bidi="zh-CN"/>
      </w:rPr>
    </w:lvl>
    <w:lvl w:ilvl="4" w:tentative="0">
      <w:start w:val="0"/>
      <w:numFmt w:val="bullet"/>
      <w:lvlText w:val="•"/>
      <w:lvlJc w:val="left"/>
      <w:pPr>
        <w:ind w:left="4374" w:hanging="423"/>
      </w:pPr>
      <w:rPr>
        <w:rFonts w:hint="default"/>
        <w:lang w:val="zh-CN" w:eastAsia="zh-CN" w:bidi="zh-CN"/>
      </w:rPr>
    </w:lvl>
    <w:lvl w:ilvl="5" w:tentative="0">
      <w:start w:val="0"/>
      <w:numFmt w:val="bullet"/>
      <w:lvlText w:val="•"/>
      <w:lvlJc w:val="left"/>
      <w:pPr>
        <w:ind w:left="5383" w:hanging="423"/>
      </w:pPr>
      <w:rPr>
        <w:rFonts w:hint="default"/>
        <w:lang w:val="zh-CN" w:eastAsia="zh-CN" w:bidi="zh-CN"/>
      </w:rPr>
    </w:lvl>
    <w:lvl w:ilvl="6" w:tentative="0">
      <w:start w:val="0"/>
      <w:numFmt w:val="bullet"/>
      <w:lvlText w:val="•"/>
      <w:lvlJc w:val="left"/>
      <w:pPr>
        <w:ind w:left="6391" w:hanging="423"/>
      </w:pPr>
      <w:rPr>
        <w:rFonts w:hint="default"/>
        <w:lang w:val="zh-CN" w:eastAsia="zh-CN" w:bidi="zh-CN"/>
      </w:rPr>
    </w:lvl>
    <w:lvl w:ilvl="7" w:tentative="0">
      <w:start w:val="0"/>
      <w:numFmt w:val="bullet"/>
      <w:lvlText w:val="•"/>
      <w:lvlJc w:val="left"/>
      <w:pPr>
        <w:ind w:left="7400" w:hanging="423"/>
      </w:pPr>
      <w:rPr>
        <w:rFonts w:hint="default"/>
        <w:lang w:val="zh-CN" w:eastAsia="zh-CN" w:bidi="zh-CN"/>
      </w:rPr>
    </w:lvl>
    <w:lvl w:ilvl="8" w:tentative="0">
      <w:start w:val="0"/>
      <w:numFmt w:val="bullet"/>
      <w:lvlText w:val="•"/>
      <w:lvlJc w:val="left"/>
      <w:pPr>
        <w:ind w:left="8409" w:hanging="423"/>
      </w:pPr>
      <w:rPr>
        <w:rFonts w:hint="default"/>
        <w:lang w:val="zh-CN" w:eastAsia="zh-CN" w:bidi="zh-CN"/>
      </w:rPr>
    </w:lvl>
  </w:abstractNum>
  <w:abstractNum w:abstractNumId="60">
    <w:nsid w:val="46A08BB8"/>
    <w:multiLevelType w:val="multilevel"/>
    <w:tmpl w:val="46A08BB8"/>
    <w:lvl w:ilvl="0" w:tentative="0">
      <w:start w:val="5"/>
      <w:numFmt w:val="decimal"/>
      <w:lvlText w:val="%1"/>
      <w:lvlJc w:val="left"/>
      <w:pPr>
        <w:ind w:left="1037" w:hanging="280"/>
        <w:jc w:val="left"/>
      </w:pPr>
      <w:rPr>
        <w:rFonts w:hint="default"/>
        <w:lang w:val="zh-CN" w:eastAsia="zh-CN" w:bidi="zh-CN"/>
      </w:rPr>
    </w:lvl>
    <w:lvl w:ilvl="1" w:tentative="0">
      <w:start w:val="1"/>
      <w:numFmt w:val="decimal"/>
      <w:lvlText w:val="%1-%2"/>
      <w:lvlJc w:val="left"/>
      <w:pPr>
        <w:ind w:left="10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61">
    <w:nsid w:val="4C1BAE26"/>
    <w:multiLevelType w:val="multilevel"/>
    <w:tmpl w:val="4C1BAE26"/>
    <w:lvl w:ilvl="0" w:tentative="0">
      <w:start w:val="2"/>
      <w:numFmt w:val="decimal"/>
      <w:lvlText w:val="%1"/>
      <w:lvlJc w:val="left"/>
      <w:pPr>
        <w:ind w:left="337" w:hanging="280"/>
        <w:jc w:val="left"/>
      </w:pPr>
      <w:rPr>
        <w:rFonts w:hint="default"/>
        <w:lang w:val="zh-CN" w:eastAsia="zh-CN" w:bidi="zh-CN"/>
      </w:rPr>
    </w:lvl>
    <w:lvl w:ilvl="1" w:tentative="0">
      <w:start w:val="1"/>
      <w:numFmt w:val="decimal"/>
      <w:lvlText w:val="%1-%2"/>
      <w:lvlJc w:val="left"/>
      <w:pPr>
        <w:ind w:left="3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357" w:hanging="280"/>
      </w:pPr>
      <w:rPr>
        <w:rFonts w:hint="default"/>
        <w:lang w:val="zh-CN" w:eastAsia="zh-CN" w:bidi="zh-CN"/>
      </w:rPr>
    </w:lvl>
    <w:lvl w:ilvl="3" w:tentative="0">
      <w:start w:val="0"/>
      <w:numFmt w:val="bullet"/>
      <w:lvlText w:val="•"/>
      <w:lvlJc w:val="left"/>
      <w:pPr>
        <w:ind w:left="3365" w:hanging="280"/>
      </w:pPr>
      <w:rPr>
        <w:rFonts w:hint="default"/>
        <w:lang w:val="zh-CN" w:eastAsia="zh-CN" w:bidi="zh-CN"/>
      </w:rPr>
    </w:lvl>
    <w:lvl w:ilvl="4" w:tentative="0">
      <w:start w:val="0"/>
      <w:numFmt w:val="bullet"/>
      <w:lvlText w:val="•"/>
      <w:lvlJc w:val="left"/>
      <w:pPr>
        <w:ind w:left="4374" w:hanging="280"/>
      </w:pPr>
      <w:rPr>
        <w:rFonts w:hint="default"/>
        <w:lang w:val="zh-CN" w:eastAsia="zh-CN" w:bidi="zh-CN"/>
      </w:rPr>
    </w:lvl>
    <w:lvl w:ilvl="5" w:tentative="0">
      <w:start w:val="0"/>
      <w:numFmt w:val="bullet"/>
      <w:lvlText w:val="•"/>
      <w:lvlJc w:val="left"/>
      <w:pPr>
        <w:ind w:left="5383" w:hanging="280"/>
      </w:pPr>
      <w:rPr>
        <w:rFonts w:hint="default"/>
        <w:lang w:val="zh-CN" w:eastAsia="zh-CN" w:bidi="zh-CN"/>
      </w:rPr>
    </w:lvl>
    <w:lvl w:ilvl="6" w:tentative="0">
      <w:start w:val="0"/>
      <w:numFmt w:val="bullet"/>
      <w:lvlText w:val="•"/>
      <w:lvlJc w:val="left"/>
      <w:pPr>
        <w:ind w:left="6391" w:hanging="280"/>
      </w:pPr>
      <w:rPr>
        <w:rFonts w:hint="default"/>
        <w:lang w:val="zh-CN" w:eastAsia="zh-CN" w:bidi="zh-CN"/>
      </w:rPr>
    </w:lvl>
    <w:lvl w:ilvl="7" w:tentative="0">
      <w:start w:val="0"/>
      <w:numFmt w:val="bullet"/>
      <w:lvlText w:val="•"/>
      <w:lvlJc w:val="left"/>
      <w:pPr>
        <w:ind w:left="7400" w:hanging="280"/>
      </w:pPr>
      <w:rPr>
        <w:rFonts w:hint="default"/>
        <w:lang w:val="zh-CN" w:eastAsia="zh-CN" w:bidi="zh-CN"/>
      </w:rPr>
    </w:lvl>
    <w:lvl w:ilvl="8" w:tentative="0">
      <w:start w:val="0"/>
      <w:numFmt w:val="bullet"/>
      <w:lvlText w:val="•"/>
      <w:lvlJc w:val="left"/>
      <w:pPr>
        <w:ind w:left="8409" w:hanging="280"/>
      </w:pPr>
      <w:rPr>
        <w:rFonts w:hint="default"/>
        <w:lang w:val="zh-CN" w:eastAsia="zh-CN" w:bidi="zh-CN"/>
      </w:rPr>
    </w:lvl>
  </w:abstractNum>
  <w:abstractNum w:abstractNumId="62">
    <w:nsid w:val="4C3D7A74"/>
    <w:multiLevelType w:val="multilevel"/>
    <w:tmpl w:val="4C3D7A74"/>
    <w:lvl w:ilvl="0" w:tentative="0">
      <w:start w:val="1"/>
      <w:numFmt w:val="decimal"/>
      <w:lvlText w:val="%1）"/>
      <w:lvlJc w:val="left"/>
      <w:pPr>
        <w:ind w:left="1227" w:hanging="318"/>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140" w:hanging="318"/>
      </w:pPr>
      <w:rPr>
        <w:rFonts w:hint="default"/>
        <w:lang w:val="zh-CN" w:eastAsia="zh-CN" w:bidi="zh-CN"/>
      </w:rPr>
    </w:lvl>
    <w:lvl w:ilvl="2" w:tentative="0">
      <w:start w:val="0"/>
      <w:numFmt w:val="bullet"/>
      <w:lvlText w:val="•"/>
      <w:lvlJc w:val="left"/>
      <w:pPr>
        <w:ind w:left="3061" w:hanging="318"/>
      </w:pPr>
      <w:rPr>
        <w:rFonts w:hint="default"/>
        <w:lang w:val="zh-CN" w:eastAsia="zh-CN" w:bidi="zh-CN"/>
      </w:rPr>
    </w:lvl>
    <w:lvl w:ilvl="3" w:tentative="0">
      <w:start w:val="0"/>
      <w:numFmt w:val="bullet"/>
      <w:lvlText w:val="•"/>
      <w:lvlJc w:val="left"/>
      <w:pPr>
        <w:ind w:left="3981" w:hanging="318"/>
      </w:pPr>
      <w:rPr>
        <w:rFonts w:hint="default"/>
        <w:lang w:val="zh-CN" w:eastAsia="zh-CN" w:bidi="zh-CN"/>
      </w:rPr>
    </w:lvl>
    <w:lvl w:ilvl="4" w:tentative="0">
      <w:start w:val="0"/>
      <w:numFmt w:val="bullet"/>
      <w:lvlText w:val="•"/>
      <w:lvlJc w:val="left"/>
      <w:pPr>
        <w:ind w:left="4902" w:hanging="318"/>
      </w:pPr>
      <w:rPr>
        <w:rFonts w:hint="default"/>
        <w:lang w:val="zh-CN" w:eastAsia="zh-CN" w:bidi="zh-CN"/>
      </w:rPr>
    </w:lvl>
    <w:lvl w:ilvl="5" w:tentative="0">
      <w:start w:val="0"/>
      <w:numFmt w:val="bullet"/>
      <w:lvlText w:val="•"/>
      <w:lvlJc w:val="left"/>
      <w:pPr>
        <w:ind w:left="5823" w:hanging="318"/>
      </w:pPr>
      <w:rPr>
        <w:rFonts w:hint="default"/>
        <w:lang w:val="zh-CN" w:eastAsia="zh-CN" w:bidi="zh-CN"/>
      </w:rPr>
    </w:lvl>
    <w:lvl w:ilvl="6" w:tentative="0">
      <w:start w:val="0"/>
      <w:numFmt w:val="bullet"/>
      <w:lvlText w:val="•"/>
      <w:lvlJc w:val="left"/>
      <w:pPr>
        <w:ind w:left="6743" w:hanging="318"/>
      </w:pPr>
      <w:rPr>
        <w:rFonts w:hint="default"/>
        <w:lang w:val="zh-CN" w:eastAsia="zh-CN" w:bidi="zh-CN"/>
      </w:rPr>
    </w:lvl>
    <w:lvl w:ilvl="7" w:tentative="0">
      <w:start w:val="0"/>
      <w:numFmt w:val="bullet"/>
      <w:lvlText w:val="•"/>
      <w:lvlJc w:val="left"/>
      <w:pPr>
        <w:ind w:left="7664" w:hanging="318"/>
      </w:pPr>
      <w:rPr>
        <w:rFonts w:hint="default"/>
        <w:lang w:val="zh-CN" w:eastAsia="zh-CN" w:bidi="zh-CN"/>
      </w:rPr>
    </w:lvl>
    <w:lvl w:ilvl="8" w:tentative="0">
      <w:start w:val="0"/>
      <w:numFmt w:val="bullet"/>
      <w:lvlText w:val="•"/>
      <w:lvlJc w:val="left"/>
      <w:pPr>
        <w:ind w:left="8585" w:hanging="318"/>
      </w:pPr>
      <w:rPr>
        <w:rFonts w:hint="default"/>
        <w:lang w:val="zh-CN" w:eastAsia="zh-CN" w:bidi="zh-CN"/>
      </w:rPr>
    </w:lvl>
  </w:abstractNum>
  <w:abstractNum w:abstractNumId="63">
    <w:nsid w:val="4D4DC07F"/>
    <w:multiLevelType w:val="multilevel"/>
    <w:tmpl w:val="4D4DC07F"/>
    <w:lvl w:ilvl="0" w:tentative="0">
      <w:start w:val="6"/>
      <w:numFmt w:val="decimal"/>
      <w:lvlText w:val="%1"/>
      <w:lvlJc w:val="left"/>
      <w:pPr>
        <w:ind w:left="337" w:hanging="280"/>
        <w:jc w:val="left"/>
      </w:pPr>
      <w:rPr>
        <w:rFonts w:hint="default"/>
        <w:lang w:val="zh-CN" w:eastAsia="zh-CN" w:bidi="zh-CN"/>
      </w:rPr>
    </w:lvl>
    <w:lvl w:ilvl="1" w:tentative="0">
      <w:start w:val="1"/>
      <w:numFmt w:val="decimal"/>
      <w:lvlText w:val="%1-%2"/>
      <w:lvlJc w:val="left"/>
      <w:pPr>
        <w:ind w:left="3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357" w:hanging="280"/>
      </w:pPr>
      <w:rPr>
        <w:rFonts w:hint="default"/>
        <w:lang w:val="zh-CN" w:eastAsia="zh-CN" w:bidi="zh-CN"/>
      </w:rPr>
    </w:lvl>
    <w:lvl w:ilvl="3" w:tentative="0">
      <w:start w:val="0"/>
      <w:numFmt w:val="bullet"/>
      <w:lvlText w:val="•"/>
      <w:lvlJc w:val="left"/>
      <w:pPr>
        <w:ind w:left="3365" w:hanging="280"/>
      </w:pPr>
      <w:rPr>
        <w:rFonts w:hint="default"/>
        <w:lang w:val="zh-CN" w:eastAsia="zh-CN" w:bidi="zh-CN"/>
      </w:rPr>
    </w:lvl>
    <w:lvl w:ilvl="4" w:tentative="0">
      <w:start w:val="0"/>
      <w:numFmt w:val="bullet"/>
      <w:lvlText w:val="•"/>
      <w:lvlJc w:val="left"/>
      <w:pPr>
        <w:ind w:left="4374" w:hanging="280"/>
      </w:pPr>
      <w:rPr>
        <w:rFonts w:hint="default"/>
        <w:lang w:val="zh-CN" w:eastAsia="zh-CN" w:bidi="zh-CN"/>
      </w:rPr>
    </w:lvl>
    <w:lvl w:ilvl="5" w:tentative="0">
      <w:start w:val="0"/>
      <w:numFmt w:val="bullet"/>
      <w:lvlText w:val="•"/>
      <w:lvlJc w:val="left"/>
      <w:pPr>
        <w:ind w:left="5383" w:hanging="280"/>
      </w:pPr>
      <w:rPr>
        <w:rFonts w:hint="default"/>
        <w:lang w:val="zh-CN" w:eastAsia="zh-CN" w:bidi="zh-CN"/>
      </w:rPr>
    </w:lvl>
    <w:lvl w:ilvl="6" w:tentative="0">
      <w:start w:val="0"/>
      <w:numFmt w:val="bullet"/>
      <w:lvlText w:val="•"/>
      <w:lvlJc w:val="left"/>
      <w:pPr>
        <w:ind w:left="6391" w:hanging="280"/>
      </w:pPr>
      <w:rPr>
        <w:rFonts w:hint="default"/>
        <w:lang w:val="zh-CN" w:eastAsia="zh-CN" w:bidi="zh-CN"/>
      </w:rPr>
    </w:lvl>
    <w:lvl w:ilvl="7" w:tentative="0">
      <w:start w:val="0"/>
      <w:numFmt w:val="bullet"/>
      <w:lvlText w:val="•"/>
      <w:lvlJc w:val="left"/>
      <w:pPr>
        <w:ind w:left="7400" w:hanging="280"/>
      </w:pPr>
      <w:rPr>
        <w:rFonts w:hint="default"/>
        <w:lang w:val="zh-CN" w:eastAsia="zh-CN" w:bidi="zh-CN"/>
      </w:rPr>
    </w:lvl>
    <w:lvl w:ilvl="8" w:tentative="0">
      <w:start w:val="0"/>
      <w:numFmt w:val="bullet"/>
      <w:lvlText w:val="•"/>
      <w:lvlJc w:val="left"/>
      <w:pPr>
        <w:ind w:left="8409" w:hanging="280"/>
      </w:pPr>
      <w:rPr>
        <w:rFonts w:hint="default"/>
        <w:lang w:val="zh-CN" w:eastAsia="zh-CN" w:bidi="zh-CN"/>
      </w:rPr>
    </w:lvl>
  </w:abstractNum>
  <w:abstractNum w:abstractNumId="64">
    <w:nsid w:val="4D94DA66"/>
    <w:multiLevelType w:val="multilevel"/>
    <w:tmpl w:val="4D94DA66"/>
    <w:lvl w:ilvl="0" w:tentative="0">
      <w:start w:val="1"/>
      <w:numFmt w:val="decimal"/>
      <w:lvlText w:val="（%1）"/>
      <w:lvlJc w:val="left"/>
      <w:pPr>
        <w:ind w:left="33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348" w:hanging="529"/>
      </w:pPr>
      <w:rPr>
        <w:rFonts w:hint="default"/>
        <w:lang w:val="zh-CN" w:eastAsia="zh-CN" w:bidi="zh-CN"/>
      </w:rPr>
    </w:lvl>
    <w:lvl w:ilvl="2" w:tentative="0">
      <w:start w:val="0"/>
      <w:numFmt w:val="bullet"/>
      <w:lvlText w:val="•"/>
      <w:lvlJc w:val="left"/>
      <w:pPr>
        <w:ind w:left="2357" w:hanging="529"/>
      </w:pPr>
      <w:rPr>
        <w:rFonts w:hint="default"/>
        <w:lang w:val="zh-CN" w:eastAsia="zh-CN" w:bidi="zh-CN"/>
      </w:rPr>
    </w:lvl>
    <w:lvl w:ilvl="3" w:tentative="0">
      <w:start w:val="0"/>
      <w:numFmt w:val="bullet"/>
      <w:lvlText w:val="•"/>
      <w:lvlJc w:val="left"/>
      <w:pPr>
        <w:ind w:left="3365" w:hanging="529"/>
      </w:pPr>
      <w:rPr>
        <w:rFonts w:hint="default"/>
        <w:lang w:val="zh-CN" w:eastAsia="zh-CN" w:bidi="zh-CN"/>
      </w:rPr>
    </w:lvl>
    <w:lvl w:ilvl="4" w:tentative="0">
      <w:start w:val="0"/>
      <w:numFmt w:val="bullet"/>
      <w:lvlText w:val="•"/>
      <w:lvlJc w:val="left"/>
      <w:pPr>
        <w:ind w:left="4374" w:hanging="529"/>
      </w:pPr>
      <w:rPr>
        <w:rFonts w:hint="default"/>
        <w:lang w:val="zh-CN" w:eastAsia="zh-CN" w:bidi="zh-CN"/>
      </w:rPr>
    </w:lvl>
    <w:lvl w:ilvl="5" w:tentative="0">
      <w:start w:val="0"/>
      <w:numFmt w:val="bullet"/>
      <w:lvlText w:val="•"/>
      <w:lvlJc w:val="left"/>
      <w:pPr>
        <w:ind w:left="5383" w:hanging="529"/>
      </w:pPr>
      <w:rPr>
        <w:rFonts w:hint="default"/>
        <w:lang w:val="zh-CN" w:eastAsia="zh-CN" w:bidi="zh-CN"/>
      </w:rPr>
    </w:lvl>
    <w:lvl w:ilvl="6" w:tentative="0">
      <w:start w:val="0"/>
      <w:numFmt w:val="bullet"/>
      <w:lvlText w:val="•"/>
      <w:lvlJc w:val="left"/>
      <w:pPr>
        <w:ind w:left="6391" w:hanging="529"/>
      </w:pPr>
      <w:rPr>
        <w:rFonts w:hint="default"/>
        <w:lang w:val="zh-CN" w:eastAsia="zh-CN" w:bidi="zh-CN"/>
      </w:rPr>
    </w:lvl>
    <w:lvl w:ilvl="7" w:tentative="0">
      <w:start w:val="0"/>
      <w:numFmt w:val="bullet"/>
      <w:lvlText w:val="•"/>
      <w:lvlJc w:val="left"/>
      <w:pPr>
        <w:ind w:left="7400" w:hanging="529"/>
      </w:pPr>
      <w:rPr>
        <w:rFonts w:hint="default"/>
        <w:lang w:val="zh-CN" w:eastAsia="zh-CN" w:bidi="zh-CN"/>
      </w:rPr>
    </w:lvl>
    <w:lvl w:ilvl="8" w:tentative="0">
      <w:start w:val="0"/>
      <w:numFmt w:val="bullet"/>
      <w:lvlText w:val="•"/>
      <w:lvlJc w:val="left"/>
      <w:pPr>
        <w:ind w:left="8409" w:hanging="529"/>
      </w:pPr>
      <w:rPr>
        <w:rFonts w:hint="default"/>
        <w:lang w:val="zh-CN" w:eastAsia="zh-CN" w:bidi="zh-CN"/>
      </w:rPr>
    </w:lvl>
  </w:abstractNum>
  <w:abstractNum w:abstractNumId="65">
    <w:nsid w:val="58765686"/>
    <w:multiLevelType w:val="multilevel"/>
    <w:tmpl w:val="58765686"/>
    <w:lvl w:ilvl="0" w:tentative="0">
      <w:start w:val="1"/>
      <w:numFmt w:val="decimal"/>
      <w:lvlText w:val="（%1）"/>
      <w:lvlJc w:val="left"/>
      <w:pPr>
        <w:ind w:left="337" w:hanging="527"/>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348" w:hanging="527"/>
      </w:pPr>
      <w:rPr>
        <w:rFonts w:hint="default"/>
        <w:lang w:val="zh-CN" w:eastAsia="zh-CN" w:bidi="zh-CN"/>
      </w:rPr>
    </w:lvl>
    <w:lvl w:ilvl="2" w:tentative="0">
      <w:start w:val="0"/>
      <w:numFmt w:val="bullet"/>
      <w:lvlText w:val="•"/>
      <w:lvlJc w:val="left"/>
      <w:pPr>
        <w:ind w:left="2357" w:hanging="527"/>
      </w:pPr>
      <w:rPr>
        <w:rFonts w:hint="default"/>
        <w:lang w:val="zh-CN" w:eastAsia="zh-CN" w:bidi="zh-CN"/>
      </w:rPr>
    </w:lvl>
    <w:lvl w:ilvl="3" w:tentative="0">
      <w:start w:val="0"/>
      <w:numFmt w:val="bullet"/>
      <w:lvlText w:val="•"/>
      <w:lvlJc w:val="left"/>
      <w:pPr>
        <w:ind w:left="3365" w:hanging="527"/>
      </w:pPr>
      <w:rPr>
        <w:rFonts w:hint="default"/>
        <w:lang w:val="zh-CN" w:eastAsia="zh-CN" w:bidi="zh-CN"/>
      </w:rPr>
    </w:lvl>
    <w:lvl w:ilvl="4" w:tentative="0">
      <w:start w:val="0"/>
      <w:numFmt w:val="bullet"/>
      <w:lvlText w:val="•"/>
      <w:lvlJc w:val="left"/>
      <w:pPr>
        <w:ind w:left="4374" w:hanging="527"/>
      </w:pPr>
      <w:rPr>
        <w:rFonts w:hint="default"/>
        <w:lang w:val="zh-CN" w:eastAsia="zh-CN" w:bidi="zh-CN"/>
      </w:rPr>
    </w:lvl>
    <w:lvl w:ilvl="5" w:tentative="0">
      <w:start w:val="0"/>
      <w:numFmt w:val="bullet"/>
      <w:lvlText w:val="•"/>
      <w:lvlJc w:val="left"/>
      <w:pPr>
        <w:ind w:left="5383" w:hanging="527"/>
      </w:pPr>
      <w:rPr>
        <w:rFonts w:hint="default"/>
        <w:lang w:val="zh-CN" w:eastAsia="zh-CN" w:bidi="zh-CN"/>
      </w:rPr>
    </w:lvl>
    <w:lvl w:ilvl="6" w:tentative="0">
      <w:start w:val="0"/>
      <w:numFmt w:val="bullet"/>
      <w:lvlText w:val="•"/>
      <w:lvlJc w:val="left"/>
      <w:pPr>
        <w:ind w:left="6391" w:hanging="527"/>
      </w:pPr>
      <w:rPr>
        <w:rFonts w:hint="default"/>
        <w:lang w:val="zh-CN" w:eastAsia="zh-CN" w:bidi="zh-CN"/>
      </w:rPr>
    </w:lvl>
    <w:lvl w:ilvl="7" w:tentative="0">
      <w:start w:val="0"/>
      <w:numFmt w:val="bullet"/>
      <w:lvlText w:val="•"/>
      <w:lvlJc w:val="left"/>
      <w:pPr>
        <w:ind w:left="7400" w:hanging="527"/>
      </w:pPr>
      <w:rPr>
        <w:rFonts w:hint="default"/>
        <w:lang w:val="zh-CN" w:eastAsia="zh-CN" w:bidi="zh-CN"/>
      </w:rPr>
    </w:lvl>
    <w:lvl w:ilvl="8" w:tentative="0">
      <w:start w:val="0"/>
      <w:numFmt w:val="bullet"/>
      <w:lvlText w:val="•"/>
      <w:lvlJc w:val="left"/>
      <w:pPr>
        <w:ind w:left="8409" w:hanging="527"/>
      </w:pPr>
      <w:rPr>
        <w:rFonts w:hint="default"/>
        <w:lang w:val="zh-CN" w:eastAsia="zh-CN" w:bidi="zh-CN"/>
      </w:rPr>
    </w:lvl>
  </w:abstractNum>
  <w:abstractNum w:abstractNumId="66">
    <w:nsid w:val="59EEFD2A"/>
    <w:multiLevelType w:val="multilevel"/>
    <w:tmpl w:val="59EEFD2A"/>
    <w:lvl w:ilvl="0" w:tentative="0">
      <w:start w:val="1"/>
      <w:numFmt w:val="decimal"/>
      <w:lvlText w:val="（%1）"/>
      <w:lvlJc w:val="left"/>
      <w:pPr>
        <w:ind w:left="337" w:hanging="527"/>
        <w:jc w:val="left"/>
      </w:pPr>
      <w:rPr>
        <w:rFonts w:hint="default" w:ascii="宋体" w:hAnsi="宋体" w:eastAsia="宋体" w:cs="宋体"/>
        <w:spacing w:val="-13"/>
        <w:w w:val="100"/>
        <w:sz w:val="19"/>
        <w:szCs w:val="19"/>
        <w:lang w:val="zh-CN" w:eastAsia="zh-CN" w:bidi="zh-CN"/>
      </w:rPr>
    </w:lvl>
    <w:lvl w:ilvl="1" w:tentative="0">
      <w:start w:val="0"/>
      <w:numFmt w:val="bullet"/>
      <w:lvlText w:val="•"/>
      <w:lvlJc w:val="left"/>
      <w:pPr>
        <w:ind w:left="1348" w:hanging="527"/>
      </w:pPr>
      <w:rPr>
        <w:rFonts w:hint="default"/>
        <w:lang w:val="zh-CN" w:eastAsia="zh-CN" w:bidi="zh-CN"/>
      </w:rPr>
    </w:lvl>
    <w:lvl w:ilvl="2" w:tentative="0">
      <w:start w:val="0"/>
      <w:numFmt w:val="bullet"/>
      <w:lvlText w:val="•"/>
      <w:lvlJc w:val="left"/>
      <w:pPr>
        <w:ind w:left="2357" w:hanging="527"/>
      </w:pPr>
      <w:rPr>
        <w:rFonts w:hint="default"/>
        <w:lang w:val="zh-CN" w:eastAsia="zh-CN" w:bidi="zh-CN"/>
      </w:rPr>
    </w:lvl>
    <w:lvl w:ilvl="3" w:tentative="0">
      <w:start w:val="0"/>
      <w:numFmt w:val="bullet"/>
      <w:lvlText w:val="•"/>
      <w:lvlJc w:val="left"/>
      <w:pPr>
        <w:ind w:left="3365" w:hanging="527"/>
      </w:pPr>
      <w:rPr>
        <w:rFonts w:hint="default"/>
        <w:lang w:val="zh-CN" w:eastAsia="zh-CN" w:bidi="zh-CN"/>
      </w:rPr>
    </w:lvl>
    <w:lvl w:ilvl="4" w:tentative="0">
      <w:start w:val="0"/>
      <w:numFmt w:val="bullet"/>
      <w:lvlText w:val="•"/>
      <w:lvlJc w:val="left"/>
      <w:pPr>
        <w:ind w:left="4374" w:hanging="527"/>
      </w:pPr>
      <w:rPr>
        <w:rFonts w:hint="default"/>
        <w:lang w:val="zh-CN" w:eastAsia="zh-CN" w:bidi="zh-CN"/>
      </w:rPr>
    </w:lvl>
    <w:lvl w:ilvl="5" w:tentative="0">
      <w:start w:val="0"/>
      <w:numFmt w:val="bullet"/>
      <w:lvlText w:val="•"/>
      <w:lvlJc w:val="left"/>
      <w:pPr>
        <w:ind w:left="5383" w:hanging="527"/>
      </w:pPr>
      <w:rPr>
        <w:rFonts w:hint="default"/>
        <w:lang w:val="zh-CN" w:eastAsia="zh-CN" w:bidi="zh-CN"/>
      </w:rPr>
    </w:lvl>
    <w:lvl w:ilvl="6" w:tentative="0">
      <w:start w:val="0"/>
      <w:numFmt w:val="bullet"/>
      <w:lvlText w:val="•"/>
      <w:lvlJc w:val="left"/>
      <w:pPr>
        <w:ind w:left="6391" w:hanging="527"/>
      </w:pPr>
      <w:rPr>
        <w:rFonts w:hint="default"/>
        <w:lang w:val="zh-CN" w:eastAsia="zh-CN" w:bidi="zh-CN"/>
      </w:rPr>
    </w:lvl>
    <w:lvl w:ilvl="7" w:tentative="0">
      <w:start w:val="0"/>
      <w:numFmt w:val="bullet"/>
      <w:lvlText w:val="•"/>
      <w:lvlJc w:val="left"/>
      <w:pPr>
        <w:ind w:left="7400" w:hanging="527"/>
      </w:pPr>
      <w:rPr>
        <w:rFonts w:hint="default"/>
        <w:lang w:val="zh-CN" w:eastAsia="zh-CN" w:bidi="zh-CN"/>
      </w:rPr>
    </w:lvl>
    <w:lvl w:ilvl="8" w:tentative="0">
      <w:start w:val="0"/>
      <w:numFmt w:val="bullet"/>
      <w:lvlText w:val="•"/>
      <w:lvlJc w:val="left"/>
      <w:pPr>
        <w:ind w:left="8409" w:hanging="527"/>
      </w:pPr>
      <w:rPr>
        <w:rFonts w:hint="default"/>
        <w:lang w:val="zh-CN" w:eastAsia="zh-CN" w:bidi="zh-CN"/>
      </w:rPr>
    </w:lvl>
  </w:abstractNum>
  <w:abstractNum w:abstractNumId="67">
    <w:nsid w:val="5A241D34"/>
    <w:multiLevelType w:val="multilevel"/>
    <w:tmpl w:val="5A241D34"/>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68">
    <w:nsid w:val="5FFFB1A7"/>
    <w:multiLevelType w:val="multilevel"/>
    <w:tmpl w:val="5FFFB1A7"/>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69">
    <w:nsid w:val="60382F6E"/>
    <w:multiLevelType w:val="multilevel"/>
    <w:tmpl w:val="60382F6E"/>
    <w:lvl w:ilvl="0" w:tentative="0">
      <w:start w:val="3"/>
      <w:numFmt w:val="decimal"/>
      <w:lvlText w:val="%1"/>
      <w:lvlJc w:val="left"/>
      <w:pPr>
        <w:ind w:left="337" w:hanging="280"/>
        <w:jc w:val="left"/>
      </w:pPr>
      <w:rPr>
        <w:rFonts w:hint="default"/>
        <w:lang w:val="zh-CN" w:eastAsia="zh-CN" w:bidi="zh-CN"/>
      </w:rPr>
    </w:lvl>
    <w:lvl w:ilvl="1" w:tentative="0">
      <w:start w:val="1"/>
      <w:numFmt w:val="decimal"/>
      <w:lvlText w:val="%1-%2"/>
      <w:lvlJc w:val="left"/>
      <w:pPr>
        <w:ind w:left="337"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357" w:hanging="280"/>
      </w:pPr>
      <w:rPr>
        <w:rFonts w:hint="default"/>
        <w:lang w:val="zh-CN" w:eastAsia="zh-CN" w:bidi="zh-CN"/>
      </w:rPr>
    </w:lvl>
    <w:lvl w:ilvl="3" w:tentative="0">
      <w:start w:val="0"/>
      <w:numFmt w:val="bullet"/>
      <w:lvlText w:val="•"/>
      <w:lvlJc w:val="left"/>
      <w:pPr>
        <w:ind w:left="3365" w:hanging="280"/>
      </w:pPr>
      <w:rPr>
        <w:rFonts w:hint="default"/>
        <w:lang w:val="zh-CN" w:eastAsia="zh-CN" w:bidi="zh-CN"/>
      </w:rPr>
    </w:lvl>
    <w:lvl w:ilvl="4" w:tentative="0">
      <w:start w:val="0"/>
      <w:numFmt w:val="bullet"/>
      <w:lvlText w:val="•"/>
      <w:lvlJc w:val="left"/>
      <w:pPr>
        <w:ind w:left="4374" w:hanging="280"/>
      </w:pPr>
      <w:rPr>
        <w:rFonts w:hint="default"/>
        <w:lang w:val="zh-CN" w:eastAsia="zh-CN" w:bidi="zh-CN"/>
      </w:rPr>
    </w:lvl>
    <w:lvl w:ilvl="5" w:tentative="0">
      <w:start w:val="0"/>
      <w:numFmt w:val="bullet"/>
      <w:lvlText w:val="•"/>
      <w:lvlJc w:val="left"/>
      <w:pPr>
        <w:ind w:left="5383" w:hanging="280"/>
      </w:pPr>
      <w:rPr>
        <w:rFonts w:hint="default"/>
        <w:lang w:val="zh-CN" w:eastAsia="zh-CN" w:bidi="zh-CN"/>
      </w:rPr>
    </w:lvl>
    <w:lvl w:ilvl="6" w:tentative="0">
      <w:start w:val="0"/>
      <w:numFmt w:val="bullet"/>
      <w:lvlText w:val="•"/>
      <w:lvlJc w:val="left"/>
      <w:pPr>
        <w:ind w:left="6391" w:hanging="280"/>
      </w:pPr>
      <w:rPr>
        <w:rFonts w:hint="default"/>
        <w:lang w:val="zh-CN" w:eastAsia="zh-CN" w:bidi="zh-CN"/>
      </w:rPr>
    </w:lvl>
    <w:lvl w:ilvl="7" w:tentative="0">
      <w:start w:val="0"/>
      <w:numFmt w:val="bullet"/>
      <w:lvlText w:val="•"/>
      <w:lvlJc w:val="left"/>
      <w:pPr>
        <w:ind w:left="7400" w:hanging="280"/>
      </w:pPr>
      <w:rPr>
        <w:rFonts w:hint="default"/>
        <w:lang w:val="zh-CN" w:eastAsia="zh-CN" w:bidi="zh-CN"/>
      </w:rPr>
    </w:lvl>
    <w:lvl w:ilvl="8" w:tentative="0">
      <w:start w:val="0"/>
      <w:numFmt w:val="bullet"/>
      <w:lvlText w:val="•"/>
      <w:lvlJc w:val="left"/>
      <w:pPr>
        <w:ind w:left="8409" w:hanging="280"/>
      </w:pPr>
      <w:rPr>
        <w:rFonts w:hint="default"/>
        <w:lang w:val="zh-CN" w:eastAsia="zh-CN" w:bidi="zh-CN"/>
      </w:rPr>
    </w:lvl>
  </w:abstractNum>
  <w:abstractNum w:abstractNumId="70">
    <w:nsid w:val="629F7852"/>
    <w:multiLevelType w:val="multilevel"/>
    <w:tmpl w:val="629F7852"/>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71">
    <w:nsid w:val="65CD0074"/>
    <w:multiLevelType w:val="multilevel"/>
    <w:tmpl w:val="65CD0074"/>
    <w:lvl w:ilvl="0" w:tentative="0">
      <w:start w:val="1"/>
      <w:numFmt w:val="decimal"/>
      <w:lvlText w:val="%1）"/>
      <w:lvlJc w:val="left"/>
      <w:pPr>
        <w:ind w:left="1181" w:hanging="318"/>
        <w:jc w:val="left"/>
      </w:pPr>
      <w:rPr>
        <w:rFonts w:hint="default" w:ascii="宋体" w:hAnsi="宋体" w:eastAsia="宋体" w:cs="宋体"/>
        <w:w w:val="100"/>
        <w:sz w:val="19"/>
        <w:szCs w:val="19"/>
        <w:lang w:val="zh-CN" w:eastAsia="zh-CN" w:bidi="zh-CN"/>
      </w:rPr>
    </w:lvl>
    <w:lvl w:ilvl="1" w:tentative="0">
      <w:start w:val="0"/>
      <w:numFmt w:val="bullet"/>
      <w:lvlText w:val="•"/>
      <w:lvlJc w:val="left"/>
      <w:pPr>
        <w:ind w:left="2104" w:hanging="318"/>
      </w:pPr>
      <w:rPr>
        <w:rFonts w:hint="default"/>
        <w:lang w:val="zh-CN" w:eastAsia="zh-CN" w:bidi="zh-CN"/>
      </w:rPr>
    </w:lvl>
    <w:lvl w:ilvl="2" w:tentative="0">
      <w:start w:val="0"/>
      <w:numFmt w:val="bullet"/>
      <w:lvlText w:val="•"/>
      <w:lvlJc w:val="left"/>
      <w:pPr>
        <w:ind w:left="3029" w:hanging="318"/>
      </w:pPr>
      <w:rPr>
        <w:rFonts w:hint="default"/>
        <w:lang w:val="zh-CN" w:eastAsia="zh-CN" w:bidi="zh-CN"/>
      </w:rPr>
    </w:lvl>
    <w:lvl w:ilvl="3" w:tentative="0">
      <w:start w:val="0"/>
      <w:numFmt w:val="bullet"/>
      <w:lvlText w:val="•"/>
      <w:lvlJc w:val="left"/>
      <w:pPr>
        <w:ind w:left="3953" w:hanging="318"/>
      </w:pPr>
      <w:rPr>
        <w:rFonts w:hint="default"/>
        <w:lang w:val="zh-CN" w:eastAsia="zh-CN" w:bidi="zh-CN"/>
      </w:rPr>
    </w:lvl>
    <w:lvl w:ilvl="4" w:tentative="0">
      <w:start w:val="0"/>
      <w:numFmt w:val="bullet"/>
      <w:lvlText w:val="•"/>
      <w:lvlJc w:val="left"/>
      <w:pPr>
        <w:ind w:left="4878" w:hanging="318"/>
      </w:pPr>
      <w:rPr>
        <w:rFonts w:hint="default"/>
        <w:lang w:val="zh-CN" w:eastAsia="zh-CN" w:bidi="zh-CN"/>
      </w:rPr>
    </w:lvl>
    <w:lvl w:ilvl="5" w:tentative="0">
      <w:start w:val="0"/>
      <w:numFmt w:val="bullet"/>
      <w:lvlText w:val="•"/>
      <w:lvlJc w:val="left"/>
      <w:pPr>
        <w:ind w:left="5803" w:hanging="318"/>
      </w:pPr>
      <w:rPr>
        <w:rFonts w:hint="default"/>
        <w:lang w:val="zh-CN" w:eastAsia="zh-CN" w:bidi="zh-CN"/>
      </w:rPr>
    </w:lvl>
    <w:lvl w:ilvl="6" w:tentative="0">
      <w:start w:val="0"/>
      <w:numFmt w:val="bullet"/>
      <w:lvlText w:val="•"/>
      <w:lvlJc w:val="left"/>
      <w:pPr>
        <w:ind w:left="6727" w:hanging="318"/>
      </w:pPr>
      <w:rPr>
        <w:rFonts w:hint="default"/>
        <w:lang w:val="zh-CN" w:eastAsia="zh-CN" w:bidi="zh-CN"/>
      </w:rPr>
    </w:lvl>
    <w:lvl w:ilvl="7" w:tentative="0">
      <w:start w:val="0"/>
      <w:numFmt w:val="bullet"/>
      <w:lvlText w:val="•"/>
      <w:lvlJc w:val="left"/>
      <w:pPr>
        <w:ind w:left="7652" w:hanging="318"/>
      </w:pPr>
      <w:rPr>
        <w:rFonts w:hint="default"/>
        <w:lang w:val="zh-CN" w:eastAsia="zh-CN" w:bidi="zh-CN"/>
      </w:rPr>
    </w:lvl>
    <w:lvl w:ilvl="8" w:tentative="0">
      <w:start w:val="0"/>
      <w:numFmt w:val="bullet"/>
      <w:lvlText w:val="•"/>
      <w:lvlJc w:val="left"/>
      <w:pPr>
        <w:ind w:left="8577" w:hanging="318"/>
      </w:pPr>
      <w:rPr>
        <w:rFonts w:hint="default"/>
        <w:lang w:val="zh-CN" w:eastAsia="zh-CN" w:bidi="zh-CN"/>
      </w:rPr>
    </w:lvl>
  </w:abstractNum>
  <w:abstractNum w:abstractNumId="72">
    <w:nsid w:val="68B298F7"/>
    <w:multiLevelType w:val="multilevel"/>
    <w:tmpl w:val="68B298F7"/>
    <w:lvl w:ilvl="0" w:tentative="0">
      <w:start w:val="0"/>
      <w:numFmt w:val="bullet"/>
      <w:lvlText w:val="·"/>
      <w:lvlJc w:val="left"/>
      <w:pPr>
        <w:ind w:left="758" w:hanging="383"/>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726" w:hanging="383"/>
      </w:pPr>
      <w:rPr>
        <w:rFonts w:hint="default"/>
        <w:lang w:val="zh-CN" w:eastAsia="zh-CN" w:bidi="zh-CN"/>
      </w:rPr>
    </w:lvl>
    <w:lvl w:ilvl="2" w:tentative="0">
      <w:start w:val="0"/>
      <w:numFmt w:val="bullet"/>
      <w:lvlText w:val="•"/>
      <w:lvlJc w:val="left"/>
      <w:pPr>
        <w:ind w:left="2693" w:hanging="383"/>
      </w:pPr>
      <w:rPr>
        <w:rFonts w:hint="default"/>
        <w:lang w:val="zh-CN" w:eastAsia="zh-CN" w:bidi="zh-CN"/>
      </w:rPr>
    </w:lvl>
    <w:lvl w:ilvl="3" w:tentative="0">
      <w:start w:val="0"/>
      <w:numFmt w:val="bullet"/>
      <w:lvlText w:val="•"/>
      <w:lvlJc w:val="left"/>
      <w:pPr>
        <w:ind w:left="3659" w:hanging="383"/>
      </w:pPr>
      <w:rPr>
        <w:rFonts w:hint="default"/>
        <w:lang w:val="zh-CN" w:eastAsia="zh-CN" w:bidi="zh-CN"/>
      </w:rPr>
    </w:lvl>
    <w:lvl w:ilvl="4" w:tentative="0">
      <w:start w:val="0"/>
      <w:numFmt w:val="bullet"/>
      <w:lvlText w:val="•"/>
      <w:lvlJc w:val="left"/>
      <w:pPr>
        <w:ind w:left="4626" w:hanging="383"/>
      </w:pPr>
      <w:rPr>
        <w:rFonts w:hint="default"/>
        <w:lang w:val="zh-CN" w:eastAsia="zh-CN" w:bidi="zh-CN"/>
      </w:rPr>
    </w:lvl>
    <w:lvl w:ilvl="5" w:tentative="0">
      <w:start w:val="0"/>
      <w:numFmt w:val="bullet"/>
      <w:lvlText w:val="•"/>
      <w:lvlJc w:val="left"/>
      <w:pPr>
        <w:ind w:left="5593" w:hanging="383"/>
      </w:pPr>
      <w:rPr>
        <w:rFonts w:hint="default"/>
        <w:lang w:val="zh-CN" w:eastAsia="zh-CN" w:bidi="zh-CN"/>
      </w:rPr>
    </w:lvl>
    <w:lvl w:ilvl="6" w:tentative="0">
      <w:start w:val="0"/>
      <w:numFmt w:val="bullet"/>
      <w:lvlText w:val="•"/>
      <w:lvlJc w:val="left"/>
      <w:pPr>
        <w:ind w:left="6559" w:hanging="383"/>
      </w:pPr>
      <w:rPr>
        <w:rFonts w:hint="default"/>
        <w:lang w:val="zh-CN" w:eastAsia="zh-CN" w:bidi="zh-CN"/>
      </w:rPr>
    </w:lvl>
    <w:lvl w:ilvl="7" w:tentative="0">
      <w:start w:val="0"/>
      <w:numFmt w:val="bullet"/>
      <w:lvlText w:val="•"/>
      <w:lvlJc w:val="left"/>
      <w:pPr>
        <w:ind w:left="7526" w:hanging="383"/>
      </w:pPr>
      <w:rPr>
        <w:rFonts w:hint="default"/>
        <w:lang w:val="zh-CN" w:eastAsia="zh-CN" w:bidi="zh-CN"/>
      </w:rPr>
    </w:lvl>
    <w:lvl w:ilvl="8" w:tentative="0">
      <w:start w:val="0"/>
      <w:numFmt w:val="bullet"/>
      <w:lvlText w:val="•"/>
      <w:lvlJc w:val="left"/>
      <w:pPr>
        <w:ind w:left="8493" w:hanging="383"/>
      </w:pPr>
      <w:rPr>
        <w:rFonts w:hint="default"/>
        <w:lang w:val="zh-CN" w:eastAsia="zh-CN" w:bidi="zh-CN"/>
      </w:rPr>
    </w:lvl>
  </w:abstractNum>
  <w:abstractNum w:abstractNumId="73">
    <w:nsid w:val="700FDCEF"/>
    <w:multiLevelType w:val="multilevel"/>
    <w:tmpl w:val="700FDCEF"/>
    <w:lvl w:ilvl="0" w:tentative="0">
      <w:start w:val="1"/>
      <w:numFmt w:val="decimal"/>
      <w:lvlText w:val="（%1）"/>
      <w:lvlJc w:val="left"/>
      <w:pPr>
        <w:ind w:left="128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abstractNum w:abstractNumId="74">
    <w:nsid w:val="74C28B35"/>
    <w:multiLevelType w:val="multilevel"/>
    <w:tmpl w:val="74C28B35"/>
    <w:lvl w:ilvl="0" w:tentative="0">
      <w:start w:val="1"/>
      <w:numFmt w:val="decimal"/>
      <w:lvlText w:val="（%1）"/>
      <w:lvlJc w:val="left"/>
      <w:pPr>
        <w:ind w:left="337" w:hanging="529"/>
        <w:jc w:val="left"/>
      </w:pPr>
      <w:rPr>
        <w:rFonts w:hint="default" w:ascii="宋体" w:hAnsi="宋体" w:eastAsia="宋体" w:cs="宋体"/>
        <w:spacing w:val="-5"/>
        <w:w w:val="100"/>
        <w:sz w:val="19"/>
        <w:szCs w:val="19"/>
        <w:lang w:val="zh-CN" w:eastAsia="zh-CN" w:bidi="zh-CN"/>
      </w:rPr>
    </w:lvl>
    <w:lvl w:ilvl="1" w:tentative="0">
      <w:start w:val="1"/>
      <w:numFmt w:val="decimal"/>
      <w:lvlText w:val="%2）"/>
      <w:lvlJc w:val="left"/>
      <w:pPr>
        <w:ind w:left="1181" w:hanging="318"/>
        <w:jc w:val="left"/>
      </w:pPr>
      <w:rPr>
        <w:rFonts w:hint="default" w:ascii="宋体" w:hAnsi="宋体" w:eastAsia="宋体" w:cs="宋体"/>
        <w:w w:val="100"/>
        <w:sz w:val="19"/>
        <w:szCs w:val="19"/>
        <w:lang w:val="zh-CN" w:eastAsia="zh-CN" w:bidi="zh-CN"/>
      </w:rPr>
    </w:lvl>
    <w:lvl w:ilvl="2" w:tentative="0">
      <w:start w:val="0"/>
      <w:numFmt w:val="bullet"/>
      <w:lvlText w:val="•"/>
      <w:lvlJc w:val="left"/>
      <w:pPr>
        <w:ind w:left="2207" w:hanging="318"/>
      </w:pPr>
      <w:rPr>
        <w:rFonts w:hint="default"/>
        <w:lang w:val="zh-CN" w:eastAsia="zh-CN" w:bidi="zh-CN"/>
      </w:rPr>
    </w:lvl>
    <w:lvl w:ilvl="3" w:tentative="0">
      <w:start w:val="0"/>
      <w:numFmt w:val="bullet"/>
      <w:lvlText w:val="•"/>
      <w:lvlJc w:val="left"/>
      <w:pPr>
        <w:ind w:left="3234" w:hanging="318"/>
      </w:pPr>
      <w:rPr>
        <w:rFonts w:hint="default"/>
        <w:lang w:val="zh-CN" w:eastAsia="zh-CN" w:bidi="zh-CN"/>
      </w:rPr>
    </w:lvl>
    <w:lvl w:ilvl="4" w:tentative="0">
      <w:start w:val="0"/>
      <w:numFmt w:val="bullet"/>
      <w:lvlText w:val="•"/>
      <w:lvlJc w:val="left"/>
      <w:pPr>
        <w:ind w:left="4262" w:hanging="318"/>
      </w:pPr>
      <w:rPr>
        <w:rFonts w:hint="default"/>
        <w:lang w:val="zh-CN" w:eastAsia="zh-CN" w:bidi="zh-CN"/>
      </w:rPr>
    </w:lvl>
    <w:lvl w:ilvl="5" w:tentative="0">
      <w:start w:val="0"/>
      <w:numFmt w:val="bullet"/>
      <w:lvlText w:val="•"/>
      <w:lvlJc w:val="left"/>
      <w:pPr>
        <w:ind w:left="5289" w:hanging="318"/>
      </w:pPr>
      <w:rPr>
        <w:rFonts w:hint="default"/>
        <w:lang w:val="zh-CN" w:eastAsia="zh-CN" w:bidi="zh-CN"/>
      </w:rPr>
    </w:lvl>
    <w:lvl w:ilvl="6" w:tentative="0">
      <w:start w:val="0"/>
      <w:numFmt w:val="bullet"/>
      <w:lvlText w:val="•"/>
      <w:lvlJc w:val="left"/>
      <w:pPr>
        <w:ind w:left="6316" w:hanging="318"/>
      </w:pPr>
      <w:rPr>
        <w:rFonts w:hint="default"/>
        <w:lang w:val="zh-CN" w:eastAsia="zh-CN" w:bidi="zh-CN"/>
      </w:rPr>
    </w:lvl>
    <w:lvl w:ilvl="7" w:tentative="0">
      <w:start w:val="0"/>
      <w:numFmt w:val="bullet"/>
      <w:lvlText w:val="•"/>
      <w:lvlJc w:val="left"/>
      <w:pPr>
        <w:ind w:left="7344" w:hanging="318"/>
      </w:pPr>
      <w:rPr>
        <w:rFonts w:hint="default"/>
        <w:lang w:val="zh-CN" w:eastAsia="zh-CN" w:bidi="zh-CN"/>
      </w:rPr>
    </w:lvl>
    <w:lvl w:ilvl="8" w:tentative="0">
      <w:start w:val="0"/>
      <w:numFmt w:val="bullet"/>
      <w:lvlText w:val="•"/>
      <w:lvlJc w:val="left"/>
      <w:pPr>
        <w:ind w:left="8371" w:hanging="318"/>
      </w:pPr>
      <w:rPr>
        <w:rFonts w:hint="default"/>
        <w:lang w:val="zh-CN" w:eastAsia="zh-CN" w:bidi="zh-CN"/>
      </w:rPr>
    </w:lvl>
  </w:abstractNum>
  <w:abstractNum w:abstractNumId="75">
    <w:nsid w:val="77633216"/>
    <w:multiLevelType w:val="multilevel"/>
    <w:tmpl w:val="77633216"/>
    <w:lvl w:ilvl="0" w:tentative="0">
      <w:start w:val="3"/>
      <w:numFmt w:val="decimal"/>
      <w:lvlText w:val="%1"/>
      <w:lvlJc w:val="left"/>
      <w:pPr>
        <w:ind w:left="1180" w:hanging="423"/>
        <w:jc w:val="left"/>
      </w:pPr>
      <w:rPr>
        <w:rFonts w:hint="default"/>
        <w:lang w:val="zh-CN" w:eastAsia="zh-CN" w:bidi="zh-CN"/>
      </w:rPr>
    </w:lvl>
    <w:lvl w:ilvl="1" w:tentative="0">
      <w:start w:val="1"/>
      <w:numFmt w:val="decimal"/>
      <w:lvlText w:val="%1.%2"/>
      <w:lvlJc w:val="left"/>
      <w:pPr>
        <w:ind w:left="1180" w:hanging="42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029" w:hanging="423"/>
      </w:pPr>
      <w:rPr>
        <w:rFonts w:hint="default"/>
        <w:lang w:val="zh-CN" w:eastAsia="zh-CN" w:bidi="zh-CN"/>
      </w:rPr>
    </w:lvl>
    <w:lvl w:ilvl="3" w:tentative="0">
      <w:start w:val="0"/>
      <w:numFmt w:val="bullet"/>
      <w:lvlText w:val="•"/>
      <w:lvlJc w:val="left"/>
      <w:pPr>
        <w:ind w:left="3953" w:hanging="423"/>
      </w:pPr>
      <w:rPr>
        <w:rFonts w:hint="default"/>
        <w:lang w:val="zh-CN" w:eastAsia="zh-CN" w:bidi="zh-CN"/>
      </w:rPr>
    </w:lvl>
    <w:lvl w:ilvl="4" w:tentative="0">
      <w:start w:val="0"/>
      <w:numFmt w:val="bullet"/>
      <w:lvlText w:val="•"/>
      <w:lvlJc w:val="left"/>
      <w:pPr>
        <w:ind w:left="4878" w:hanging="423"/>
      </w:pPr>
      <w:rPr>
        <w:rFonts w:hint="default"/>
        <w:lang w:val="zh-CN" w:eastAsia="zh-CN" w:bidi="zh-CN"/>
      </w:rPr>
    </w:lvl>
    <w:lvl w:ilvl="5" w:tentative="0">
      <w:start w:val="0"/>
      <w:numFmt w:val="bullet"/>
      <w:lvlText w:val="•"/>
      <w:lvlJc w:val="left"/>
      <w:pPr>
        <w:ind w:left="5803" w:hanging="423"/>
      </w:pPr>
      <w:rPr>
        <w:rFonts w:hint="default"/>
        <w:lang w:val="zh-CN" w:eastAsia="zh-CN" w:bidi="zh-CN"/>
      </w:rPr>
    </w:lvl>
    <w:lvl w:ilvl="6" w:tentative="0">
      <w:start w:val="0"/>
      <w:numFmt w:val="bullet"/>
      <w:lvlText w:val="•"/>
      <w:lvlJc w:val="left"/>
      <w:pPr>
        <w:ind w:left="6727" w:hanging="423"/>
      </w:pPr>
      <w:rPr>
        <w:rFonts w:hint="default"/>
        <w:lang w:val="zh-CN" w:eastAsia="zh-CN" w:bidi="zh-CN"/>
      </w:rPr>
    </w:lvl>
    <w:lvl w:ilvl="7" w:tentative="0">
      <w:start w:val="0"/>
      <w:numFmt w:val="bullet"/>
      <w:lvlText w:val="•"/>
      <w:lvlJc w:val="left"/>
      <w:pPr>
        <w:ind w:left="7652" w:hanging="423"/>
      </w:pPr>
      <w:rPr>
        <w:rFonts w:hint="default"/>
        <w:lang w:val="zh-CN" w:eastAsia="zh-CN" w:bidi="zh-CN"/>
      </w:rPr>
    </w:lvl>
    <w:lvl w:ilvl="8" w:tentative="0">
      <w:start w:val="0"/>
      <w:numFmt w:val="bullet"/>
      <w:lvlText w:val="•"/>
      <w:lvlJc w:val="left"/>
      <w:pPr>
        <w:ind w:left="8577" w:hanging="423"/>
      </w:pPr>
      <w:rPr>
        <w:rFonts w:hint="default"/>
        <w:lang w:val="zh-CN" w:eastAsia="zh-CN" w:bidi="zh-CN"/>
      </w:rPr>
    </w:lvl>
  </w:abstractNum>
  <w:abstractNum w:abstractNumId="76">
    <w:nsid w:val="79AA4FA4"/>
    <w:multiLevelType w:val="multilevel"/>
    <w:tmpl w:val="79AA4FA4"/>
    <w:lvl w:ilvl="0" w:tentative="0">
      <w:start w:val="4"/>
      <w:numFmt w:val="decimal"/>
      <w:lvlText w:val="%1."/>
      <w:lvlJc w:val="left"/>
      <w:pPr>
        <w:ind w:left="267" w:hanging="160"/>
        <w:jc w:val="left"/>
      </w:pPr>
      <w:rPr>
        <w:rFonts w:hint="default" w:ascii="Times New Roman" w:hAnsi="Times New Roman" w:eastAsia="Times New Roman" w:cs="Times New Roman"/>
        <w:w w:val="100"/>
        <w:sz w:val="19"/>
        <w:szCs w:val="19"/>
        <w:lang w:val="zh-CN" w:eastAsia="zh-CN" w:bidi="zh-CN"/>
      </w:rPr>
    </w:lvl>
    <w:lvl w:ilvl="1" w:tentative="0">
      <w:start w:val="1"/>
      <w:numFmt w:val="decimal"/>
      <w:lvlText w:val="（%2）"/>
      <w:lvlJc w:val="left"/>
      <w:pPr>
        <w:ind w:left="1057" w:hanging="529"/>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1870" w:hanging="529"/>
      </w:pPr>
      <w:rPr>
        <w:rFonts w:hint="default"/>
        <w:lang w:val="zh-CN" w:eastAsia="zh-CN" w:bidi="zh-CN"/>
      </w:rPr>
    </w:lvl>
    <w:lvl w:ilvl="3" w:tentative="0">
      <w:start w:val="0"/>
      <w:numFmt w:val="bullet"/>
      <w:lvlText w:val="•"/>
      <w:lvlJc w:val="left"/>
      <w:pPr>
        <w:ind w:left="2681" w:hanging="529"/>
      </w:pPr>
      <w:rPr>
        <w:rFonts w:hint="default"/>
        <w:lang w:val="zh-CN" w:eastAsia="zh-CN" w:bidi="zh-CN"/>
      </w:rPr>
    </w:lvl>
    <w:lvl w:ilvl="4" w:tentative="0">
      <w:start w:val="0"/>
      <w:numFmt w:val="bullet"/>
      <w:lvlText w:val="•"/>
      <w:lvlJc w:val="left"/>
      <w:pPr>
        <w:ind w:left="3492" w:hanging="529"/>
      </w:pPr>
      <w:rPr>
        <w:rFonts w:hint="default"/>
        <w:lang w:val="zh-CN" w:eastAsia="zh-CN" w:bidi="zh-CN"/>
      </w:rPr>
    </w:lvl>
    <w:lvl w:ilvl="5" w:tentative="0">
      <w:start w:val="0"/>
      <w:numFmt w:val="bullet"/>
      <w:lvlText w:val="•"/>
      <w:lvlJc w:val="left"/>
      <w:pPr>
        <w:ind w:left="4303" w:hanging="529"/>
      </w:pPr>
      <w:rPr>
        <w:rFonts w:hint="default"/>
        <w:lang w:val="zh-CN" w:eastAsia="zh-CN" w:bidi="zh-CN"/>
      </w:rPr>
    </w:lvl>
    <w:lvl w:ilvl="6" w:tentative="0">
      <w:start w:val="0"/>
      <w:numFmt w:val="bullet"/>
      <w:lvlText w:val="•"/>
      <w:lvlJc w:val="left"/>
      <w:pPr>
        <w:ind w:left="5114" w:hanging="529"/>
      </w:pPr>
      <w:rPr>
        <w:rFonts w:hint="default"/>
        <w:lang w:val="zh-CN" w:eastAsia="zh-CN" w:bidi="zh-CN"/>
      </w:rPr>
    </w:lvl>
    <w:lvl w:ilvl="7" w:tentative="0">
      <w:start w:val="0"/>
      <w:numFmt w:val="bullet"/>
      <w:lvlText w:val="•"/>
      <w:lvlJc w:val="left"/>
      <w:pPr>
        <w:ind w:left="5925" w:hanging="529"/>
      </w:pPr>
      <w:rPr>
        <w:rFonts w:hint="default"/>
        <w:lang w:val="zh-CN" w:eastAsia="zh-CN" w:bidi="zh-CN"/>
      </w:rPr>
    </w:lvl>
    <w:lvl w:ilvl="8" w:tentative="0">
      <w:start w:val="0"/>
      <w:numFmt w:val="bullet"/>
      <w:lvlText w:val="•"/>
      <w:lvlJc w:val="left"/>
      <w:pPr>
        <w:ind w:left="6736" w:hanging="529"/>
      </w:pPr>
      <w:rPr>
        <w:rFonts w:hint="default"/>
        <w:lang w:val="zh-CN" w:eastAsia="zh-CN" w:bidi="zh-CN"/>
      </w:rPr>
    </w:lvl>
  </w:abstractNum>
  <w:abstractNum w:abstractNumId="77">
    <w:nsid w:val="7C246926"/>
    <w:multiLevelType w:val="multilevel"/>
    <w:tmpl w:val="7C246926"/>
    <w:lvl w:ilvl="0" w:tentative="0">
      <w:start w:val="1"/>
      <w:numFmt w:val="decimal"/>
      <w:lvlText w:val="%1"/>
      <w:lvlJc w:val="left"/>
      <w:pPr>
        <w:ind w:left="1030" w:hanging="280"/>
        <w:jc w:val="left"/>
      </w:pPr>
      <w:rPr>
        <w:rFonts w:hint="default"/>
        <w:lang w:val="zh-CN" w:eastAsia="zh-CN" w:bidi="zh-CN"/>
      </w:rPr>
    </w:lvl>
    <w:lvl w:ilvl="1" w:tentative="0">
      <w:start w:val="1"/>
      <w:numFmt w:val="decimal"/>
      <w:lvlText w:val="%1-%2"/>
      <w:lvlJc w:val="left"/>
      <w:pPr>
        <w:ind w:left="1030" w:hanging="280"/>
        <w:jc w:val="left"/>
      </w:pPr>
      <w:rPr>
        <w:rFonts w:hint="default" w:ascii="Times New Roman" w:hAnsi="Times New Roman" w:eastAsia="Times New Roman" w:cs="Times New Roman"/>
        <w:spacing w:val="-4"/>
        <w:w w:val="100"/>
        <w:sz w:val="19"/>
        <w:szCs w:val="19"/>
        <w:lang w:val="zh-CN" w:eastAsia="zh-CN" w:bidi="zh-CN"/>
      </w:rPr>
    </w:lvl>
    <w:lvl w:ilvl="2" w:tentative="0">
      <w:start w:val="0"/>
      <w:numFmt w:val="bullet"/>
      <w:lvlText w:val="•"/>
      <w:lvlJc w:val="left"/>
      <w:pPr>
        <w:ind w:left="2917" w:hanging="280"/>
      </w:pPr>
      <w:rPr>
        <w:rFonts w:hint="default"/>
        <w:lang w:val="zh-CN" w:eastAsia="zh-CN" w:bidi="zh-CN"/>
      </w:rPr>
    </w:lvl>
    <w:lvl w:ilvl="3" w:tentative="0">
      <w:start w:val="0"/>
      <w:numFmt w:val="bullet"/>
      <w:lvlText w:val="•"/>
      <w:lvlJc w:val="left"/>
      <w:pPr>
        <w:ind w:left="3855" w:hanging="280"/>
      </w:pPr>
      <w:rPr>
        <w:rFonts w:hint="default"/>
        <w:lang w:val="zh-CN" w:eastAsia="zh-CN" w:bidi="zh-CN"/>
      </w:rPr>
    </w:lvl>
    <w:lvl w:ilvl="4" w:tentative="0">
      <w:start w:val="0"/>
      <w:numFmt w:val="bullet"/>
      <w:lvlText w:val="•"/>
      <w:lvlJc w:val="left"/>
      <w:pPr>
        <w:ind w:left="4794" w:hanging="280"/>
      </w:pPr>
      <w:rPr>
        <w:rFonts w:hint="default"/>
        <w:lang w:val="zh-CN" w:eastAsia="zh-CN" w:bidi="zh-CN"/>
      </w:rPr>
    </w:lvl>
    <w:lvl w:ilvl="5" w:tentative="0">
      <w:start w:val="0"/>
      <w:numFmt w:val="bullet"/>
      <w:lvlText w:val="•"/>
      <w:lvlJc w:val="left"/>
      <w:pPr>
        <w:ind w:left="5733" w:hanging="280"/>
      </w:pPr>
      <w:rPr>
        <w:rFonts w:hint="default"/>
        <w:lang w:val="zh-CN" w:eastAsia="zh-CN" w:bidi="zh-CN"/>
      </w:rPr>
    </w:lvl>
    <w:lvl w:ilvl="6" w:tentative="0">
      <w:start w:val="0"/>
      <w:numFmt w:val="bullet"/>
      <w:lvlText w:val="•"/>
      <w:lvlJc w:val="left"/>
      <w:pPr>
        <w:ind w:left="6671" w:hanging="280"/>
      </w:pPr>
      <w:rPr>
        <w:rFonts w:hint="default"/>
        <w:lang w:val="zh-CN" w:eastAsia="zh-CN" w:bidi="zh-CN"/>
      </w:rPr>
    </w:lvl>
    <w:lvl w:ilvl="7" w:tentative="0">
      <w:start w:val="0"/>
      <w:numFmt w:val="bullet"/>
      <w:lvlText w:val="•"/>
      <w:lvlJc w:val="left"/>
      <w:pPr>
        <w:ind w:left="7610" w:hanging="280"/>
      </w:pPr>
      <w:rPr>
        <w:rFonts w:hint="default"/>
        <w:lang w:val="zh-CN" w:eastAsia="zh-CN" w:bidi="zh-CN"/>
      </w:rPr>
    </w:lvl>
    <w:lvl w:ilvl="8" w:tentative="0">
      <w:start w:val="0"/>
      <w:numFmt w:val="bullet"/>
      <w:lvlText w:val="•"/>
      <w:lvlJc w:val="left"/>
      <w:pPr>
        <w:ind w:left="8549" w:hanging="280"/>
      </w:pPr>
      <w:rPr>
        <w:rFonts w:hint="default"/>
        <w:lang w:val="zh-CN" w:eastAsia="zh-CN" w:bidi="zh-CN"/>
      </w:rPr>
    </w:lvl>
  </w:abstractNum>
  <w:abstractNum w:abstractNumId="78">
    <w:nsid w:val="7DEC2089"/>
    <w:multiLevelType w:val="multilevel"/>
    <w:tmpl w:val="7DEC2089"/>
    <w:lvl w:ilvl="0" w:tentative="0">
      <w:start w:val="1"/>
      <w:numFmt w:val="decimal"/>
      <w:lvlText w:val="（%1）"/>
      <w:lvlJc w:val="left"/>
      <w:pPr>
        <w:ind w:left="127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94" w:hanging="529"/>
      </w:pPr>
      <w:rPr>
        <w:rFonts w:hint="default"/>
        <w:lang w:val="zh-CN" w:eastAsia="zh-CN" w:bidi="zh-CN"/>
      </w:rPr>
    </w:lvl>
    <w:lvl w:ilvl="2" w:tentative="0">
      <w:start w:val="0"/>
      <w:numFmt w:val="bullet"/>
      <w:lvlText w:val="•"/>
      <w:lvlJc w:val="left"/>
      <w:pPr>
        <w:ind w:left="3109" w:hanging="529"/>
      </w:pPr>
      <w:rPr>
        <w:rFonts w:hint="default"/>
        <w:lang w:val="zh-CN" w:eastAsia="zh-CN" w:bidi="zh-CN"/>
      </w:rPr>
    </w:lvl>
    <w:lvl w:ilvl="3" w:tentative="0">
      <w:start w:val="0"/>
      <w:numFmt w:val="bullet"/>
      <w:lvlText w:val="•"/>
      <w:lvlJc w:val="left"/>
      <w:pPr>
        <w:ind w:left="4023" w:hanging="529"/>
      </w:pPr>
      <w:rPr>
        <w:rFonts w:hint="default"/>
        <w:lang w:val="zh-CN" w:eastAsia="zh-CN" w:bidi="zh-CN"/>
      </w:rPr>
    </w:lvl>
    <w:lvl w:ilvl="4" w:tentative="0">
      <w:start w:val="0"/>
      <w:numFmt w:val="bullet"/>
      <w:lvlText w:val="•"/>
      <w:lvlJc w:val="left"/>
      <w:pPr>
        <w:ind w:left="4938" w:hanging="529"/>
      </w:pPr>
      <w:rPr>
        <w:rFonts w:hint="default"/>
        <w:lang w:val="zh-CN" w:eastAsia="zh-CN" w:bidi="zh-CN"/>
      </w:rPr>
    </w:lvl>
    <w:lvl w:ilvl="5" w:tentative="0">
      <w:start w:val="0"/>
      <w:numFmt w:val="bullet"/>
      <w:lvlText w:val="•"/>
      <w:lvlJc w:val="left"/>
      <w:pPr>
        <w:ind w:left="585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82" w:hanging="529"/>
      </w:pPr>
      <w:rPr>
        <w:rFonts w:hint="default"/>
        <w:lang w:val="zh-CN" w:eastAsia="zh-CN" w:bidi="zh-CN"/>
      </w:rPr>
    </w:lvl>
    <w:lvl w:ilvl="8" w:tentative="0">
      <w:start w:val="0"/>
      <w:numFmt w:val="bullet"/>
      <w:lvlText w:val="•"/>
      <w:lvlJc w:val="left"/>
      <w:pPr>
        <w:ind w:left="8597" w:hanging="529"/>
      </w:pPr>
      <w:rPr>
        <w:rFonts w:hint="default"/>
        <w:lang w:val="zh-CN" w:eastAsia="zh-CN" w:bidi="zh-CN"/>
      </w:rPr>
    </w:lvl>
  </w:abstractNum>
  <w:num w:numId="1">
    <w:abstractNumId w:val="36"/>
  </w:num>
  <w:num w:numId="2">
    <w:abstractNumId w:val="48"/>
  </w:num>
  <w:num w:numId="3">
    <w:abstractNumId w:val="5"/>
  </w:num>
  <w:num w:numId="4">
    <w:abstractNumId w:val="49"/>
  </w:num>
  <w:num w:numId="5">
    <w:abstractNumId w:val="67"/>
  </w:num>
  <w:num w:numId="6">
    <w:abstractNumId w:val="22"/>
  </w:num>
  <w:num w:numId="7">
    <w:abstractNumId w:val="63"/>
  </w:num>
  <w:num w:numId="8">
    <w:abstractNumId w:val="31"/>
  </w:num>
  <w:num w:numId="9">
    <w:abstractNumId w:val="47"/>
  </w:num>
  <w:num w:numId="10">
    <w:abstractNumId w:val="26"/>
  </w:num>
  <w:num w:numId="11">
    <w:abstractNumId w:val="8"/>
  </w:num>
  <w:num w:numId="12">
    <w:abstractNumId w:val="61"/>
  </w:num>
  <w:num w:numId="13">
    <w:abstractNumId w:val="69"/>
  </w:num>
  <w:num w:numId="14">
    <w:abstractNumId w:val="38"/>
  </w:num>
  <w:num w:numId="15">
    <w:abstractNumId w:val="60"/>
  </w:num>
  <w:num w:numId="16">
    <w:abstractNumId w:val="11"/>
  </w:num>
  <w:num w:numId="17">
    <w:abstractNumId w:val="77"/>
  </w:num>
  <w:num w:numId="18">
    <w:abstractNumId w:val="19"/>
  </w:num>
  <w:num w:numId="19">
    <w:abstractNumId w:val="70"/>
  </w:num>
  <w:num w:numId="20">
    <w:abstractNumId w:val="6"/>
  </w:num>
  <w:num w:numId="21">
    <w:abstractNumId w:val="57"/>
  </w:num>
  <w:num w:numId="22">
    <w:abstractNumId w:val="2"/>
  </w:num>
  <w:num w:numId="23">
    <w:abstractNumId w:val="65"/>
  </w:num>
  <w:num w:numId="24">
    <w:abstractNumId w:val="78"/>
  </w:num>
  <w:num w:numId="25">
    <w:abstractNumId w:val="0"/>
  </w:num>
  <w:num w:numId="26">
    <w:abstractNumId w:val="46"/>
  </w:num>
  <w:num w:numId="27">
    <w:abstractNumId w:val="64"/>
  </w:num>
  <w:num w:numId="28">
    <w:abstractNumId w:val="33"/>
  </w:num>
  <w:num w:numId="29">
    <w:abstractNumId w:val="27"/>
  </w:num>
  <w:num w:numId="30">
    <w:abstractNumId w:val="53"/>
  </w:num>
  <w:num w:numId="31">
    <w:abstractNumId w:val="76"/>
  </w:num>
  <w:num w:numId="32">
    <w:abstractNumId w:val="16"/>
  </w:num>
  <w:num w:numId="33">
    <w:abstractNumId w:val="4"/>
  </w:num>
  <w:num w:numId="34">
    <w:abstractNumId w:val="15"/>
  </w:num>
  <w:num w:numId="35">
    <w:abstractNumId w:val="1"/>
  </w:num>
  <w:num w:numId="36">
    <w:abstractNumId w:val="43"/>
  </w:num>
  <w:num w:numId="37">
    <w:abstractNumId w:val="3"/>
  </w:num>
  <w:num w:numId="38">
    <w:abstractNumId w:val="68"/>
  </w:num>
  <w:num w:numId="39">
    <w:abstractNumId w:val="74"/>
  </w:num>
  <w:num w:numId="40">
    <w:abstractNumId w:val="62"/>
  </w:num>
  <w:num w:numId="41">
    <w:abstractNumId w:val="54"/>
  </w:num>
  <w:num w:numId="42">
    <w:abstractNumId w:val="71"/>
  </w:num>
  <w:num w:numId="43">
    <w:abstractNumId w:val="37"/>
  </w:num>
  <w:num w:numId="44">
    <w:abstractNumId w:val="50"/>
  </w:num>
  <w:num w:numId="45">
    <w:abstractNumId w:val="24"/>
  </w:num>
  <w:num w:numId="46">
    <w:abstractNumId w:val="55"/>
  </w:num>
  <w:num w:numId="47">
    <w:abstractNumId w:val="44"/>
  </w:num>
  <w:num w:numId="48">
    <w:abstractNumId w:val="30"/>
  </w:num>
  <w:num w:numId="49">
    <w:abstractNumId w:val="45"/>
  </w:num>
  <w:num w:numId="50">
    <w:abstractNumId w:val="13"/>
  </w:num>
  <w:num w:numId="51">
    <w:abstractNumId w:val="59"/>
  </w:num>
  <w:num w:numId="52">
    <w:abstractNumId w:val="39"/>
  </w:num>
  <w:num w:numId="53">
    <w:abstractNumId w:val="56"/>
  </w:num>
  <w:num w:numId="54">
    <w:abstractNumId w:val="35"/>
  </w:num>
  <w:num w:numId="55">
    <w:abstractNumId w:val="20"/>
  </w:num>
  <w:num w:numId="56">
    <w:abstractNumId w:val="40"/>
  </w:num>
  <w:num w:numId="57">
    <w:abstractNumId w:val="12"/>
  </w:num>
  <w:num w:numId="58">
    <w:abstractNumId w:val="58"/>
  </w:num>
  <w:num w:numId="59">
    <w:abstractNumId w:val="10"/>
  </w:num>
  <w:num w:numId="60">
    <w:abstractNumId w:val="32"/>
  </w:num>
  <w:num w:numId="61">
    <w:abstractNumId w:val="52"/>
  </w:num>
  <w:num w:numId="62">
    <w:abstractNumId w:val="34"/>
  </w:num>
  <w:num w:numId="63">
    <w:abstractNumId w:val="42"/>
  </w:num>
  <w:num w:numId="64">
    <w:abstractNumId w:val="73"/>
  </w:num>
  <w:num w:numId="65">
    <w:abstractNumId w:val="28"/>
  </w:num>
  <w:num w:numId="66">
    <w:abstractNumId w:val="21"/>
  </w:num>
  <w:num w:numId="67">
    <w:abstractNumId w:val="9"/>
  </w:num>
  <w:num w:numId="68">
    <w:abstractNumId w:val="75"/>
  </w:num>
  <w:num w:numId="69">
    <w:abstractNumId w:val="25"/>
  </w:num>
  <w:num w:numId="70">
    <w:abstractNumId w:val="14"/>
  </w:num>
  <w:num w:numId="71">
    <w:abstractNumId w:val="51"/>
  </w:num>
  <w:num w:numId="72">
    <w:abstractNumId w:val="29"/>
  </w:num>
  <w:num w:numId="73">
    <w:abstractNumId w:val="7"/>
  </w:num>
  <w:num w:numId="74">
    <w:abstractNumId w:val="66"/>
  </w:num>
  <w:num w:numId="75">
    <w:abstractNumId w:val="17"/>
  </w:num>
  <w:num w:numId="76">
    <w:abstractNumId w:val="18"/>
  </w:num>
  <w:num w:numId="77">
    <w:abstractNumId w:val="41"/>
  </w:num>
  <w:num w:numId="78">
    <w:abstractNumId w:val="23"/>
  </w:num>
  <w:num w:numId="79">
    <w:abstractNumId w:val="7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晨">
    <w15:presenceInfo w15:providerId="None" w15:userId="梁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12DCD"/>
    <w:rsid w:val="0195184D"/>
    <w:rsid w:val="01CD72AB"/>
    <w:rsid w:val="01E40953"/>
    <w:rsid w:val="01E80255"/>
    <w:rsid w:val="01EC3AB7"/>
    <w:rsid w:val="01EC590A"/>
    <w:rsid w:val="01F80E25"/>
    <w:rsid w:val="01FD037B"/>
    <w:rsid w:val="021A71AD"/>
    <w:rsid w:val="022A7E22"/>
    <w:rsid w:val="036C6D06"/>
    <w:rsid w:val="03BD7E9C"/>
    <w:rsid w:val="03FB5E74"/>
    <w:rsid w:val="03FB697A"/>
    <w:rsid w:val="040C66C3"/>
    <w:rsid w:val="04156EC9"/>
    <w:rsid w:val="0465274F"/>
    <w:rsid w:val="047B7546"/>
    <w:rsid w:val="04E73882"/>
    <w:rsid w:val="055862EB"/>
    <w:rsid w:val="05D13978"/>
    <w:rsid w:val="06437267"/>
    <w:rsid w:val="087E0590"/>
    <w:rsid w:val="093012C9"/>
    <w:rsid w:val="0A004C5F"/>
    <w:rsid w:val="0A135AAD"/>
    <w:rsid w:val="0AFB1D8F"/>
    <w:rsid w:val="0C8722D8"/>
    <w:rsid w:val="0CD236A4"/>
    <w:rsid w:val="0D203E27"/>
    <w:rsid w:val="0E430536"/>
    <w:rsid w:val="0E7D1D54"/>
    <w:rsid w:val="0E9C1C4D"/>
    <w:rsid w:val="0EFB2586"/>
    <w:rsid w:val="0F743BEE"/>
    <w:rsid w:val="0F7D4938"/>
    <w:rsid w:val="0F9D2C6D"/>
    <w:rsid w:val="112519ED"/>
    <w:rsid w:val="115A2324"/>
    <w:rsid w:val="122F0D8E"/>
    <w:rsid w:val="12541D15"/>
    <w:rsid w:val="12F91691"/>
    <w:rsid w:val="13C6677D"/>
    <w:rsid w:val="13F66BB9"/>
    <w:rsid w:val="145539EE"/>
    <w:rsid w:val="145550E3"/>
    <w:rsid w:val="14F031A6"/>
    <w:rsid w:val="150D57CD"/>
    <w:rsid w:val="159F3D18"/>
    <w:rsid w:val="16EC48BC"/>
    <w:rsid w:val="172747C1"/>
    <w:rsid w:val="180C48EA"/>
    <w:rsid w:val="188825C3"/>
    <w:rsid w:val="18EB6672"/>
    <w:rsid w:val="18F70307"/>
    <w:rsid w:val="197D294C"/>
    <w:rsid w:val="1A643871"/>
    <w:rsid w:val="1A71254D"/>
    <w:rsid w:val="1B2E37A6"/>
    <w:rsid w:val="1C49535B"/>
    <w:rsid w:val="1C707CC9"/>
    <w:rsid w:val="1CC455E5"/>
    <w:rsid w:val="1D5B7E50"/>
    <w:rsid w:val="1D950947"/>
    <w:rsid w:val="1E510D7A"/>
    <w:rsid w:val="1E6E6DFF"/>
    <w:rsid w:val="1E964E46"/>
    <w:rsid w:val="1F743D63"/>
    <w:rsid w:val="1FAB074F"/>
    <w:rsid w:val="1FAD0AB4"/>
    <w:rsid w:val="1FF46B6A"/>
    <w:rsid w:val="205D3640"/>
    <w:rsid w:val="22761B70"/>
    <w:rsid w:val="23084E7D"/>
    <w:rsid w:val="2311190F"/>
    <w:rsid w:val="233D342D"/>
    <w:rsid w:val="234654EB"/>
    <w:rsid w:val="244503AF"/>
    <w:rsid w:val="250038BD"/>
    <w:rsid w:val="255F74D5"/>
    <w:rsid w:val="25C971FD"/>
    <w:rsid w:val="25E407E4"/>
    <w:rsid w:val="267B5A4F"/>
    <w:rsid w:val="27186F56"/>
    <w:rsid w:val="27607B36"/>
    <w:rsid w:val="28DD39AB"/>
    <w:rsid w:val="28F90C3D"/>
    <w:rsid w:val="29114F13"/>
    <w:rsid w:val="29884409"/>
    <w:rsid w:val="2A801ABA"/>
    <w:rsid w:val="2B3B61AD"/>
    <w:rsid w:val="2B5A52B7"/>
    <w:rsid w:val="2B920ED4"/>
    <w:rsid w:val="2B967F24"/>
    <w:rsid w:val="2C3669C4"/>
    <w:rsid w:val="2C5F33F5"/>
    <w:rsid w:val="2C8C441E"/>
    <w:rsid w:val="2D1301C3"/>
    <w:rsid w:val="2D352A58"/>
    <w:rsid w:val="2D5D50CB"/>
    <w:rsid w:val="2EEC18DE"/>
    <w:rsid w:val="2F7A1496"/>
    <w:rsid w:val="2FE22461"/>
    <w:rsid w:val="309A392C"/>
    <w:rsid w:val="318D3897"/>
    <w:rsid w:val="32131641"/>
    <w:rsid w:val="33191DEA"/>
    <w:rsid w:val="35ED3212"/>
    <w:rsid w:val="36590CA0"/>
    <w:rsid w:val="369B5E1B"/>
    <w:rsid w:val="379160BD"/>
    <w:rsid w:val="37F06038"/>
    <w:rsid w:val="39F013E2"/>
    <w:rsid w:val="3AF5569F"/>
    <w:rsid w:val="3B2D6E3C"/>
    <w:rsid w:val="3B75113A"/>
    <w:rsid w:val="3C2330DB"/>
    <w:rsid w:val="3C2C21A0"/>
    <w:rsid w:val="3D677174"/>
    <w:rsid w:val="3DB11C3D"/>
    <w:rsid w:val="3DFF4463"/>
    <w:rsid w:val="3E9C41E1"/>
    <w:rsid w:val="400935BA"/>
    <w:rsid w:val="407D1F33"/>
    <w:rsid w:val="424335ED"/>
    <w:rsid w:val="44197234"/>
    <w:rsid w:val="44CF1764"/>
    <w:rsid w:val="44EC3B05"/>
    <w:rsid w:val="456D4E61"/>
    <w:rsid w:val="478874A8"/>
    <w:rsid w:val="47B313D9"/>
    <w:rsid w:val="47DA5AA2"/>
    <w:rsid w:val="47F44C32"/>
    <w:rsid w:val="4816490A"/>
    <w:rsid w:val="48A055AA"/>
    <w:rsid w:val="49A40991"/>
    <w:rsid w:val="4AB11344"/>
    <w:rsid w:val="4AC6279B"/>
    <w:rsid w:val="4AC87770"/>
    <w:rsid w:val="4C4E2B66"/>
    <w:rsid w:val="4D6F6A8D"/>
    <w:rsid w:val="4DA956FE"/>
    <w:rsid w:val="4E3511AC"/>
    <w:rsid w:val="4F13659A"/>
    <w:rsid w:val="4F952373"/>
    <w:rsid w:val="50AC6918"/>
    <w:rsid w:val="50DA3CB8"/>
    <w:rsid w:val="51446F95"/>
    <w:rsid w:val="519535A8"/>
    <w:rsid w:val="525D511F"/>
    <w:rsid w:val="53D63ED6"/>
    <w:rsid w:val="55113A6B"/>
    <w:rsid w:val="554E0ABA"/>
    <w:rsid w:val="55AB3B7B"/>
    <w:rsid w:val="567B081C"/>
    <w:rsid w:val="56FC4DFE"/>
    <w:rsid w:val="572C494A"/>
    <w:rsid w:val="57E6432F"/>
    <w:rsid w:val="5AFE2CE7"/>
    <w:rsid w:val="5C2C3935"/>
    <w:rsid w:val="5C387E9A"/>
    <w:rsid w:val="5D2B1691"/>
    <w:rsid w:val="5E270610"/>
    <w:rsid w:val="5E8A2201"/>
    <w:rsid w:val="5EA814FA"/>
    <w:rsid w:val="5EF9353A"/>
    <w:rsid w:val="5FDD54F5"/>
    <w:rsid w:val="60270958"/>
    <w:rsid w:val="62EA662B"/>
    <w:rsid w:val="631454BC"/>
    <w:rsid w:val="638A7DA7"/>
    <w:rsid w:val="63972C54"/>
    <w:rsid w:val="63A96CD9"/>
    <w:rsid w:val="642D109F"/>
    <w:rsid w:val="64823371"/>
    <w:rsid w:val="6550002F"/>
    <w:rsid w:val="65C97EE8"/>
    <w:rsid w:val="65D84F29"/>
    <w:rsid w:val="66667495"/>
    <w:rsid w:val="669C414A"/>
    <w:rsid w:val="66CA4CF0"/>
    <w:rsid w:val="66EB192D"/>
    <w:rsid w:val="67974020"/>
    <w:rsid w:val="6882627A"/>
    <w:rsid w:val="689140B2"/>
    <w:rsid w:val="68E51B89"/>
    <w:rsid w:val="69C97B3F"/>
    <w:rsid w:val="6A034AFD"/>
    <w:rsid w:val="6A9B7FFC"/>
    <w:rsid w:val="6AA6016E"/>
    <w:rsid w:val="6AD6348B"/>
    <w:rsid w:val="6C2725F7"/>
    <w:rsid w:val="6C34651B"/>
    <w:rsid w:val="6C405DE6"/>
    <w:rsid w:val="6C6542E1"/>
    <w:rsid w:val="6D495BAA"/>
    <w:rsid w:val="6D7523C6"/>
    <w:rsid w:val="6D802BD0"/>
    <w:rsid w:val="6DF64E09"/>
    <w:rsid w:val="6E4D40F8"/>
    <w:rsid w:val="6F5125A7"/>
    <w:rsid w:val="700707D9"/>
    <w:rsid w:val="709E4007"/>
    <w:rsid w:val="70C37FE5"/>
    <w:rsid w:val="731A5A1C"/>
    <w:rsid w:val="734562FB"/>
    <w:rsid w:val="73D05C40"/>
    <w:rsid w:val="7460521F"/>
    <w:rsid w:val="74832E3F"/>
    <w:rsid w:val="74B47F77"/>
    <w:rsid w:val="75157B13"/>
    <w:rsid w:val="752D18D4"/>
    <w:rsid w:val="75B15831"/>
    <w:rsid w:val="75BB63EA"/>
    <w:rsid w:val="760512D2"/>
    <w:rsid w:val="761C6D1F"/>
    <w:rsid w:val="763C0A86"/>
    <w:rsid w:val="77071537"/>
    <w:rsid w:val="77967170"/>
    <w:rsid w:val="78887496"/>
    <w:rsid w:val="78AA324A"/>
    <w:rsid w:val="78EC069C"/>
    <w:rsid w:val="7C7B36DB"/>
    <w:rsid w:val="7C7D608D"/>
    <w:rsid w:val="7D122B1F"/>
    <w:rsid w:val="7E486ED2"/>
    <w:rsid w:val="7EAA6D23"/>
    <w:rsid w:val="7FDA29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jc w:val="cente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267"/>
      <w:ind w:left="336" w:right="332"/>
      <w:jc w:val="center"/>
      <w:outlineLvl w:val="2"/>
    </w:pPr>
    <w:rPr>
      <w:rFonts w:ascii="宋体" w:hAnsi="宋体" w:eastAsia="宋体" w:cs="宋体"/>
      <w:b/>
      <w:bCs/>
      <w:sz w:val="32"/>
      <w:szCs w:val="32"/>
      <w:lang w:val="zh-CN" w:eastAsia="zh-CN" w:bidi="zh-CN"/>
    </w:rPr>
  </w:style>
  <w:style w:type="paragraph" w:styleId="5">
    <w:name w:val="heading 3"/>
    <w:basedOn w:val="1"/>
    <w:next w:val="1"/>
    <w:qFormat/>
    <w:uiPriority w:val="1"/>
    <w:pPr>
      <w:spacing w:before="58"/>
      <w:ind w:left="488"/>
      <w:outlineLvl w:val="3"/>
    </w:pPr>
    <w:rPr>
      <w:rFonts w:ascii="宋体" w:hAnsi="宋体" w:eastAsia="宋体" w:cs="宋体"/>
      <w:sz w:val="30"/>
      <w:szCs w:val="30"/>
      <w:lang w:val="zh-CN" w:eastAsia="zh-CN" w:bidi="zh-CN"/>
    </w:rPr>
  </w:style>
  <w:style w:type="paragraph" w:styleId="6">
    <w:name w:val="heading 4"/>
    <w:basedOn w:val="1"/>
    <w:next w:val="1"/>
    <w:qFormat/>
    <w:uiPriority w:val="1"/>
    <w:pPr>
      <w:ind w:left="337"/>
      <w:outlineLvl w:val="4"/>
    </w:pPr>
    <w:rPr>
      <w:rFonts w:ascii="宋体" w:hAnsi="宋体" w:eastAsia="宋体" w:cs="宋体"/>
      <w:b/>
      <w:bCs/>
      <w:sz w:val="28"/>
      <w:szCs w:val="28"/>
      <w:lang w:val="zh-CN" w:eastAsia="zh-CN" w:bidi="zh-CN"/>
    </w:rPr>
  </w:style>
  <w:style w:type="paragraph" w:styleId="7">
    <w:name w:val="heading 5"/>
    <w:basedOn w:val="1"/>
    <w:next w:val="1"/>
    <w:qFormat/>
    <w:uiPriority w:val="1"/>
    <w:pPr>
      <w:ind w:left="1030"/>
      <w:outlineLvl w:val="5"/>
    </w:pPr>
    <w:rPr>
      <w:rFonts w:ascii="宋体" w:hAnsi="宋体" w:eastAsia="宋体" w:cs="宋体"/>
      <w:sz w:val="28"/>
      <w:szCs w:val="28"/>
      <w:lang w:val="zh-CN" w:eastAsia="zh-CN" w:bidi="zh-CN"/>
    </w:rPr>
  </w:style>
  <w:style w:type="paragraph" w:styleId="8">
    <w:name w:val="heading 6"/>
    <w:basedOn w:val="1"/>
    <w:next w:val="1"/>
    <w:qFormat/>
    <w:uiPriority w:val="1"/>
    <w:pPr>
      <w:spacing w:before="88"/>
      <w:ind w:left="337" w:right="452"/>
      <w:jc w:val="both"/>
      <w:outlineLvl w:val="6"/>
    </w:pPr>
    <w:rPr>
      <w:rFonts w:ascii="宋体" w:hAnsi="宋体" w:eastAsia="宋体" w:cs="宋体"/>
      <w:b/>
      <w:bCs/>
      <w:sz w:val="24"/>
      <w:szCs w:val="24"/>
      <w:lang w:val="zh-CN" w:eastAsia="zh-CN" w:bidi="zh-CN"/>
    </w:rPr>
  </w:style>
  <w:style w:type="paragraph" w:styleId="9">
    <w:name w:val="heading 7"/>
    <w:basedOn w:val="1"/>
    <w:next w:val="1"/>
    <w:qFormat/>
    <w:uiPriority w:val="1"/>
    <w:pPr>
      <w:ind w:left="818"/>
      <w:outlineLvl w:val="7"/>
    </w:pPr>
    <w:rPr>
      <w:rFonts w:ascii="宋体" w:hAnsi="宋体" w:eastAsia="宋体" w:cs="宋体"/>
      <w:sz w:val="24"/>
      <w:szCs w:val="24"/>
      <w:lang w:val="zh-CN" w:eastAsia="zh-CN" w:bidi="zh-CN"/>
    </w:rPr>
  </w:style>
  <w:style w:type="paragraph" w:styleId="10">
    <w:name w:val="heading 8"/>
    <w:basedOn w:val="1"/>
    <w:next w:val="1"/>
    <w:qFormat/>
    <w:uiPriority w:val="1"/>
    <w:pPr>
      <w:ind w:left="337"/>
      <w:outlineLvl w:val="8"/>
    </w:pPr>
    <w:rPr>
      <w:rFonts w:ascii="宋体" w:hAnsi="宋体" w:eastAsia="宋体" w:cs="宋体"/>
      <w:b/>
      <w:bCs/>
      <w:sz w:val="23"/>
      <w:szCs w:val="23"/>
      <w:lang w:val="zh-CN" w:eastAsia="zh-CN" w:bidi="zh-CN"/>
    </w:rPr>
  </w:style>
  <w:style w:type="paragraph" w:styleId="11">
    <w:name w:val="heading 9"/>
    <w:basedOn w:val="1"/>
    <w:next w:val="1"/>
    <w:qFormat/>
    <w:uiPriority w:val="1"/>
    <w:pPr>
      <w:ind w:left="1130"/>
      <w:outlineLvl w:val="9"/>
    </w:pPr>
    <w:rPr>
      <w:rFonts w:ascii="宋体" w:hAnsi="宋体" w:eastAsia="宋体" w:cs="宋体"/>
      <w:b/>
      <w:bCs/>
      <w:sz w:val="21"/>
      <w:szCs w:val="21"/>
      <w:lang w:val="zh-CN" w:eastAsia="zh-CN" w:bidi="zh-CN"/>
    </w:rPr>
  </w:style>
  <w:style w:type="character" w:default="1" w:styleId="18">
    <w:name w:val="Default Paragraph Font"/>
    <w:semiHidden/>
    <w:unhideWhenUsed/>
    <w:qFormat/>
    <w:uiPriority w:val="1"/>
  </w:style>
  <w:style w:type="table" w:default="1" w:styleId="1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39"/>
    <w:pPr>
      <w:ind w:left="420"/>
      <w:jc w:val="left"/>
    </w:pPr>
    <w:rPr>
      <w:i/>
      <w:iCs/>
      <w:sz w:val="20"/>
      <w:szCs w:val="20"/>
    </w:rPr>
  </w:style>
  <w:style w:type="paragraph" w:styleId="12">
    <w:name w:val="Body Text"/>
    <w:basedOn w:val="1"/>
    <w:qFormat/>
    <w:uiPriority w:val="1"/>
    <w:rPr>
      <w:rFonts w:ascii="宋体" w:hAnsi="宋体" w:eastAsia="宋体" w:cs="宋体"/>
      <w:sz w:val="21"/>
      <w:szCs w:val="21"/>
      <w:lang w:val="zh-CN" w:eastAsia="zh-CN" w:bidi="zh-CN"/>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1"/>
    <w:pPr>
      <w:spacing w:before="294"/>
      <w:ind w:left="337"/>
    </w:pPr>
    <w:rPr>
      <w:rFonts w:ascii="宋体" w:hAnsi="宋体" w:eastAsia="宋体" w:cs="宋体"/>
      <w:b/>
      <w:bCs/>
      <w:sz w:val="28"/>
      <w:szCs w:val="28"/>
      <w:lang w:val="zh-CN" w:eastAsia="zh-CN" w:bidi="zh-CN"/>
    </w:rPr>
  </w:style>
  <w:style w:type="paragraph" w:styleId="16">
    <w:name w:val="Normal (Web)"/>
    <w:basedOn w:val="1"/>
    <w:qFormat/>
    <w:uiPriority w:val="0"/>
    <w:pPr>
      <w:widowControl/>
      <w:spacing w:before="100" w:beforeAutospacing="1" w:after="100" w:afterAutospacing="1"/>
      <w:jc w:val="left"/>
    </w:pPr>
    <w:rPr>
      <w:kern w:val="0"/>
      <w:sz w:val="24"/>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20">
    <w:name w:val="No Spacing"/>
    <w:qFormat/>
    <w:uiPriority w:val="0"/>
    <w:pPr>
      <w:widowControl w:val="0"/>
      <w:jc w:val="both"/>
    </w:pPr>
    <w:rPr>
      <w:rFonts w:ascii="Times New Roman" w:hAnsi="Times New Roman" w:eastAsia="Times New Roman" w:cs="Times New Roman"/>
      <w:kern w:val="2"/>
      <w:sz w:val="21"/>
      <w:szCs w:val="22"/>
      <w:lang w:val="en-US" w:eastAsia="zh-CN" w:bidi="ar-SA"/>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337" w:hanging="530"/>
    </w:pPr>
    <w:rPr>
      <w:rFonts w:ascii="宋体" w:hAnsi="宋体" w:eastAsia="宋体" w:cs="宋体"/>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Normal Indent"/>
    <w:basedOn w:val="1"/>
    <w:qFormat/>
    <w:uiPriority w:val="0"/>
    <w:pPr>
      <w:adjustRightInd w:val="0"/>
      <w:spacing w:line="360" w:lineRule="atLeast"/>
      <w:ind w:firstLine="420"/>
      <w:textAlignment w:val="baseline"/>
    </w:pPr>
    <w:rPr>
      <w:szCs w:val="20"/>
    </w:rPr>
  </w:style>
  <w:style w:type="paragraph" w:customStyle="1" w:styleId="25">
    <w:name w:val="p1"/>
    <w:basedOn w:val="1"/>
    <w:qFormat/>
    <w:uiPriority w:val="0"/>
    <w:pPr>
      <w:ind w:firstLine="560"/>
    </w:pPr>
    <w:rPr>
      <w:rFonts w:ascii="Times" w:hAnsi="Times" w:eastAsia="Times"/>
      <w:color w:val="000000"/>
      <w:kern w:val="0"/>
      <w:sz w:val="28"/>
      <w:szCs w:val="28"/>
    </w:rPr>
  </w:style>
  <w:style w:type="paragraph" w:customStyle="1" w:styleId="26">
    <w:name w:val="p4"/>
    <w:basedOn w:val="1"/>
    <w:qFormat/>
    <w:uiPriority w:val="0"/>
    <w:pPr>
      <w:ind w:firstLine="560"/>
    </w:pPr>
    <w:rPr>
      <w:rFonts w:hint="eastAsia" w:ascii="songti sc" w:hAnsi="songti sc" w:eastAsia="songti sc"/>
      <w:color w:val="000000"/>
      <w:kern w:val="0"/>
      <w:sz w:val="28"/>
      <w:szCs w:val="28"/>
    </w:rPr>
  </w:style>
  <w:style w:type="character" w:customStyle="1" w:styleId="27">
    <w:name w:val="s4"/>
    <w:basedOn w:val="18"/>
    <w:qFormat/>
    <w:uiPriority w:val="0"/>
    <w:rPr>
      <w:rFonts w:hint="default" w:ascii="Times" w:hAnsi="Times" w:eastAsia="Times" w:cs="Times"/>
      <w:sz w:val="28"/>
      <w:szCs w:val="28"/>
    </w:rPr>
  </w:style>
  <w:style w:type="character" w:customStyle="1" w:styleId="28">
    <w:name w:val="s2"/>
    <w:basedOn w:val="18"/>
    <w:qFormat/>
    <w:uiPriority w:val="0"/>
  </w:style>
  <w:style w:type="character" w:customStyle="1" w:styleId="29">
    <w:name w:val="s1"/>
    <w:basedOn w:val="18"/>
    <w:qFormat/>
    <w:uiPriority w:val="0"/>
    <w:rPr>
      <w:rFonts w:ascii="songti sc" w:hAnsi="songti sc" w:eastAsia="songti sc" w:cs="songti sc"/>
      <w:sz w:val="28"/>
      <w:szCs w:val="28"/>
    </w:rPr>
  </w:style>
  <w:style w:type="paragraph" w:customStyle="1" w:styleId="30">
    <w:name w:val="正文格式"/>
    <w:qFormat/>
    <w:uiPriority w:val="0"/>
    <w:pPr>
      <w:spacing w:beforeLines="50" w:afterLines="50" w:line="360" w:lineRule="auto"/>
      <w:ind w:firstLine="480" w:firstLineChars="200"/>
    </w:pPr>
    <w:rPr>
      <w:rFonts w:ascii="Times New Roman" w:hAnsi="Times New Roman" w:eastAsia="华文仿宋"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2020-12-28T04:43:00Z</dcterms:created>
  <dc:creator>51323</dc:creator>
  <cp:lastModifiedBy>Administrator</cp:lastModifiedBy>
  <dcterms:modified xsi:type="dcterms:W3CDTF">2021-01-13T02:12:10Z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2010</vt:lpwstr>
  </property>
  <property fmtid="{D5CDD505-2E9C-101B-9397-08002B2CF9AE}" pid="4" name="LastSaved">
    <vt:filetime>2020-12-28T00:00:00Z</vt:filetime>
  </property>
  <property fmtid="{D5CDD505-2E9C-101B-9397-08002B2CF9AE}" pid="5" name="KSOProductBuildVer">
    <vt:lpwstr>2052-11.1.0.10228</vt:lpwstr>
  </property>
</Properties>
</file>