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微软雅黑" w:hAnsi="微软雅黑" w:eastAsia="微软雅黑" w:cs="微软雅黑"/>
          <w:b/>
          <w:color w:val="auto"/>
          <w:kern w:val="44"/>
          <w:sz w:val="48"/>
          <w:szCs w:val="48"/>
          <w:highlight w:val="none"/>
          <w:lang w:eastAsia="zh-CN"/>
        </w:rPr>
      </w:pPr>
      <w:bookmarkStart w:id="0" w:name="_Toc13057"/>
      <w:bookmarkStart w:id="1" w:name="_Toc22083"/>
      <w:bookmarkStart w:id="2" w:name="_Toc27286"/>
      <w:bookmarkStart w:id="3" w:name="_Toc12442"/>
      <w:bookmarkStart w:id="4" w:name="_Toc17321"/>
      <w:bookmarkStart w:id="5" w:name="_Toc11880"/>
      <w:bookmarkStart w:id="6" w:name="_Toc1934"/>
      <w:bookmarkStart w:id="7" w:name="_Toc3501"/>
      <w:bookmarkStart w:id="8" w:name="_Toc29241"/>
      <w:bookmarkStart w:id="9" w:name="_Toc31645"/>
      <w:bookmarkStart w:id="10" w:name="_Toc13297"/>
      <w:bookmarkStart w:id="11" w:name="_Toc16093"/>
      <w:bookmarkStart w:id="12" w:name="_Toc31636"/>
      <w:bookmarkStart w:id="13" w:name="_Toc4177"/>
      <w:bookmarkStart w:id="14" w:name="_Toc219175639"/>
      <w:bookmarkStart w:id="15" w:name="_Toc507399907"/>
      <w:bookmarkStart w:id="16" w:name="_Toc7971"/>
      <w:bookmarkStart w:id="17" w:name="_Toc515647832"/>
      <w:bookmarkStart w:id="18" w:name="_Toc32647"/>
      <w:bookmarkStart w:id="19" w:name="_Toc218935355"/>
      <w:bookmarkStart w:id="20" w:name="_Toc216582826"/>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微软雅黑" w:hAnsi="微软雅黑" w:eastAsia="微软雅黑" w:cs="微软雅黑"/>
          <w:b/>
          <w:color w:val="auto"/>
          <w:spacing w:val="-20"/>
          <w:kern w:val="44"/>
          <w:sz w:val="56"/>
          <w:szCs w:val="56"/>
          <w:highlight w:val="none"/>
          <w:lang w:eastAsia="zh-CN"/>
        </w:rPr>
      </w:pPr>
      <w:r>
        <w:rPr>
          <w:rFonts w:hint="eastAsia" w:ascii="微软雅黑" w:hAnsi="微软雅黑" w:eastAsia="微软雅黑" w:cs="微软雅黑"/>
          <w:b/>
          <w:color w:val="auto"/>
          <w:spacing w:val="-20"/>
          <w:kern w:val="44"/>
          <w:sz w:val="56"/>
          <w:szCs w:val="56"/>
          <w:highlight w:val="none"/>
          <w:lang w:eastAsia="zh-CN"/>
        </w:rPr>
        <w:t>麦盖提县酸枣种子采购项目</w:t>
      </w:r>
    </w:p>
    <w:p>
      <w:pPr>
        <w:pStyle w:val="5"/>
        <w:rPr>
          <w:rFonts w:hint="eastAsia"/>
          <w:highlight w:val="none"/>
          <w:lang w:eastAsia="zh-CN"/>
        </w:rPr>
      </w:pPr>
    </w:p>
    <w:p>
      <w:pPr>
        <w:rPr>
          <w:rFonts w:hint="eastAsia"/>
          <w:highlight w:val="none"/>
          <w:lang w:eastAsia="zh-CN"/>
        </w:rPr>
      </w:pPr>
    </w:p>
    <w:p>
      <w:pPr>
        <w:spacing w:line="240" w:lineRule="atLeast"/>
        <w:jc w:val="center"/>
        <w:rPr>
          <w:rFonts w:hint="eastAsia" w:ascii="微软雅黑" w:hAnsi="微软雅黑" w:eastAsia="微软雅黑" w:cs="微软雅黑"/>
          <w:color w:val="auto"/>
          <w:sz w:val="48"/>
          <w:szCs w:val="48"/>
          <w:highlight w:val="none"/>
        </w:rPr>
      </w:pPr>
      <w:r>
        <w:rPr>
          <w:rFonts w:hint="eastAsia" w:ascii="微软雅黑" w:hAnsi="微软雅黑" w:eastAsia="微软雅黑" w:cs="微软雅黑"/>
          <w:b/>
          <w:bCs w:val="0"/>
          <w:color w:val="auto"/>
          <w:sz w:val="48"/>
          <w:szCs w:val="48"/>
          <w:highlight w:val="none"/>
        </w:rPr>
        <w:t>招 标 文 件</w:t>
      </w:r>
    </w:p>
    <w:p>
      <w:pPr>
        <w:spacing w:line="360" w:lineRule="auto"/>
        <w:jc w:val="center"/>
        <w:rPr>
          <w:rFonts w:hint="eastAsia" w:ascii="微软雅黑" w:hAnsi="微软雅黑" w:eastAsia="微软雅黑" w:cs="微软雅黑"/>
          <w:b/>
          <w:color w:val="auto"/>
          <w:sz w:val="32"/>
          <w:szCs w:val="32"/>
          <w:highlight w:val="none"/>
          <w:lang w:eastAsia="zh-CN"/>
        </w:rPr>
      </w:pPr>
      <w:r>
        <w:rPr>
          <w:rFonts w:hint="eastAsia" w:ascii="微软雅黑" w:hAnsi="微软雅黑" w:eastAsia="微软雅黑" w:cs="微软雅黑"/>
          <w:b/>
          <w:color w:val="auto"/>
          <w:sz w:val="32"/>
          <w:szCs w:val="32"/>
          <w:highlight w:val="none"/>
          <w:lang w:eastAsia="zh-CN"/>
        </w:rPr>
        <w:t>项目编号：23GJ-(GK)014</w:t>
      </w:r>
    </w:p>
    <w:p>
      <w:pPr>
        <w:spacing w:line="240" w:lineRule="atLeast"/>
        <w:jc w:val="center"/>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rPr>
        <w:t xml:space="preserve">  </w:t>
      </w:r>
    </w:p>
    <w:p>
      <w:pPr>
        <w:spacing w:line="240" w:lineRule="atLeast"/>
        <w:ind w:left="2879" w:leftChars="304" w:hanging="2241" w:hangingChars="700"/>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rPr>
        <w:t>采购单位名称：</w:t>
      </w:r>
      <w:r>
        <w:rPr>
          <w:rFonts w:hint="eastAsia" w:ascii="微软雅黑" w:hAnsi="微软雅黑" w:eastAsia="微软雅黑" w:cs="微软雅黑"/>
          <w:b/>
          <w:color w:val="auto"/>
          <w:sz w:val="32"/>
          <w:szCs w:val="32"/>
          <w:highlight w:val="none"/>
          <w:lang w:val="en-US" w:eastAsia="zh-CN"/>
        </w:rPr>
        <w:t xml:space="preserve"> </w:t>
      </w:r>
      <w:r>
        <w:rPr>
          <w:rFonts w:hint="eastAsia" w:ascii="微软雅黑" w:hAnsi="微软雅黑" w:eastAsia="微软雅黑" w:cs="微软雅黑"/>
          <w:b/>
          <w:color w:val="auto"/>
          <w:sz w:val="32"/>
          <w:szCs w:val="32"/>
          <w:highlight w:val="none"/>
          <w:u w:val="single"/>
          <w:lang w:val="en-US" w:eastAsia="zh-CN"/>
        </w:rPr>
        <w:t xml:space="preserve">    麦盖提县自然资源局   </w:t>
      </w:r>
      <w:r>
        <w:rPr>
          <w:rFonts w:hint="eastAsia" w:ascii="微软雅黑" w:hAnsi="微软雅黑" w:eastAsia="微软雅黑" w:cs="微软雅黑"/>
          <w:b/>
          <w:color w:val="auto"/>
          <w:sz w:val="32"/>
          <w:szCs w:val="32"/>
          <w:highlight w:val="none"/>
          <w:u w:val="single"/>
        </w:rPr>
        <w:t xml:space="preserve">   </w:t>
      </w:r>
    </w:p>
    <w:p>
      <w:pPr>
        <w:ind w:firstLine="640" w:firstLineChars="200"/>
        <w:rPr>
          <w:rFonts w:hint="eastAsia" w:ascii="微软雅黑" w:hAnsi="微软雅黑" w:eastAsia="微软雅黑" w:cs="微软雅黑"/>
          <w:b/>
          <w:color w:val="auto"/>
          <w:sz w:val="32"/>
          <w:szCs w:val="32"/>
          <w:highlight w:val="none"/>
          <w:u w:val="single"/>
        </w:rPr>
      </w:pPr>
      <w:r>
        <w:rPr>
          <w:rFonts w:hint="eastAsia" w:ascii="微软雅黑" w:hAnsi="微软雅黑" w:eastAsia="微软雅黑" w:cs="微软雅黑"/>
          <w:b/>
          <w:color w:val="auto"/>
          <w:sz w:val="32"/>
          <w:szCs w:val="32"/>
          <w:highlight w:val="none"/>
        </w:rPr>
        <w:t xml:space="preserve">联   系   人： </w:t>
      </w:r>
      <w:r>
        <w:rPr>
          <w:rFonts w:hint="eastAsia" w:ascii="微软雅黑" w:hAnsi="微软雅黑" w:eastAsia="微软雅黑" w:cs="微软雅黑"/>
          <w:b/>
          <w:color w:val="auto"/>
          <w:sz w:val="32"/>
          <w:szCs w:val="32"/>
          <w:highlight w:val="none"/>
          <w:u w:val="single"/>
        </w:rPr>
        <w:t xml:space="preserve">     </w:t>
      </w:r>
      <w:r>
        <w:rPr>
          <w:rFonts w:hint="eastAsia" w:ascii="微软雅黑" w:hAnsi="微软雅黑" w:eastAsia="微软雅黑" w:cs="微软雅黑"/>
          <w:b/>
          <w:color w:val="auto"/>
          <w:sz w:val="32"/>
          <w:szCs w:val="32"/>
          <w:highlight w:val="none"/>
          <w:u w:val="single"/>
          <w:lang w:val="en-US" w:eastAsia="zh-CN"/>
        </w:rPr>
        <w:t xml:space="preserve">     </w:t>
      </w:r>
      <w:r>
        <w:rPr>
          <w:rFonts w:hint="eastAsia" w:ascii="微软雅黑" w:hAnsi="微软雅黑" w:eastAsia="微软雅黑" w:cs="微软雅黑"/>
          <w:b/>
          <w:color w:val="auto"/>
          <w:sz w:val="32"/>
          <w:szCs w:val="32"/>
          <w:highlight w:val="none"/>
          <w:u w:val="single"/>
        </w:rPr>
        <w:t xml:space="preserve"> 艾江春</w:t>
      </w:r>
      <w:r>
        <w:rPr>
          <w:rFonts w:hint="eastAsia" w:ascii="微软雅黑" w:hAnsi="微软雅黑" w:eastAsia="微软雅黑" w:cs="微软雅黑"/>
          <w:b/>
          <w:color w:val="auto"/>
          <w:sz w:val="32"/>
          <w:szCs w:val="32"/>
          <w:highlight w:val="none"/>
          <w:u w:val="single"/>
          <w:lang w:val="en-US" w:eastAsia="zh-CN"/>
        </w:rPr>
        <w:t xml:space="preserve">         </w:t>
      </w:r>
      <w:r>
        <w:rPr>
          <w:rFonts w:hint="eastAsia" w:ascii="微软雅黑" w:hAnsi="微软雅黑" w:eastAsia="微软雅黑" w:cs="微软雅黑"/>
          <w:b/>
          <w:color w:val="auto"/>
          <w:sz w:val="32"/>
          <w:szCs w:val="32"/>
          <w:highlight w:val="none"/>
          <w:u w:val="single"/>
        </w:rPr>
        <w:t xml:space="preserve">  </w:t>
      </w:r>
      <w:r>
        <w:rPr>
          <w:rFonts w:hint="eastAsia" w:ascii="微软雅黑" w:hAnsi="微软雅黑" w:eastAsia="微软雅黑" w:cs="微软雅黑"/>
          <w:b/>
          <w:color w:val="auto"/>
          <w:sz w:val="32"/>
          <w:szCs w:val="32"/>
          <w:highlight w:val="none"/>
        </w:rPr>
        <w:t xml:space="preserve">      </w:t>
      </w:r>
    </w:p>
    <w:p>
      <w:pPr>
        <w:spacing w:line="360" w:lineRule="auto"/>
        <w:ind w:firstLine="640" w:firstLineChars="200"/>
        <w:rPr>
          <w:rFonts w:hint="eastAsia" w:ascii="微软雅黑" w:hAnsi="微软雅黑" w:eastAsia="微软雅黑" w:cs="微软雅黑"/>
          <w:b/>
          <w:color w:val="auto"/>
          <w:sz w:val="32"/>
          <w:szCs w:val="32"/>
          <w:highlight w:val="none"/>
          <w:u w:val="single"/>
          <w:lang w:val="en-US" w:eastAsia="zh-CN"/>
        </w:rPr>
      </w:pPr>
      <w:r>
        <w:rPr>
          <w:rFonts w:hint="eastAsia" w:ascii="微软雅黑" w:hAnsi="微软雅黑" w:eastAsia="微软雅黑" w:cs="微软雅黑"/>
          <w:b/>
          <w:color w:val="auto"/>
          <w:sz w:val="32"/>
          <w:szCs w:val="32"/>
          <w:highlight w:val="none"/>
        </w:rPr>
        <w:t xml:space="preserve">联 系  电 话： </w:t>
      </w:r>
      <w:r>
        <w:rPr>
          <w:rFonts w:hint="eastAsia" w:ascii="微软雅黑" w:hAnsi="微软雅黑" w:eastAsia="微软雅黑" w:cs="微软雅黑"/>
          <w:b/>
          <w:color w:val="auto"/>
          <w:sz w:val="32"/>
          <w:szCs w:val="32"/>
          <w:highlight w:val="none"/>
          <w:u w:val="single"/>
        </w:rPr>
        <w:t xml:space="preserve">    </w:t>
      </w:r>
      <w:r>
        <w:rPr>
          <w:rFonts w:hint="eastAsia" w:ascii="微软雅黑" w:hAnsi="微软雅黑" w:eastAsia="微软雅黑" w:cs="微软雅黑"/>
          <w:b/>
          <w:color w:val="auto"/>
          <w:sz w:val="32"/>
          <w:szCs w:val="32"/>
          <w:highlight w:val="none"/>
          <w:u w:val="single"/>
          <w:lang w:val="en-US" w:eastAsia="zh-CN"/>
        </w:rPr>
        <w:t xml:space="preserve">    13199980776      </w:t>
      </w:r>
    </w:p>
    <w:p>
      <w:pPr>
        <w:spacing w:line="240" w:lineRule="atLeast"/>
        <w:jc w:val="center"/>
        <w:rPr>
          <w:rFonts w:hint="eastAsia" w:ascii="微软雅黑" w:hAnsi="微软雅黑" w:eastAsia="微软雅黑" w:cs="微软雅黑"/>
          <w:b/>
          <w:color w:val="auto"/>
          <w:sz w:val="32"/>
          <w:szCs w:val="32"/>
          <w:highlight w:val="none"/>
        </w:rPr>
      </w:pPr>
    </w:p>
    <w:p>
      <w:pPr>
        <w:pStyle w:val="4"/>
        <w:rPr>
          <w:rFonts w:hint="eastAsia" w:ascii="微软雅黑" w:hAnsi="微软雅黑" w:eastAsia="微软雅黑" w:cs="微软雅黑"/>
          <w:color w:val="auto"/>
          <w:sz w:val="32"/>
          <w:szCs w:val="32"/>
          <w:highlight w:val="none"/>
        </w:rPr>
      </w:pPr>
    </w:p>
    <w:p>
      <w:pPr>
        <w:rPr>
          <w:rFonts w:hint="eastAsia" w:ascii="微软雅黑" w:hAnsi="微软雅黑" w:eastAsia="微软雅黑" w:cs="微软雅黑"/>
          <w:color w:val="auto"/>
          <w:sz w:val="32"/>
          <w:szCs w:val="32"/>
          <w:highlight w:val="none"/>
        </w:rPr>
      </w:pPr>
    </w:p>
    <w:p>
      <w:pPr>
        <w:pStyle w:val="4"/>
        <w:rPr>
          <w:rFonts w:hint="eastAsia" w:ascii="微软雅黑" w:hAnsi="微软雅黑" w:eastAsia="微软雅黑" w:cs="微软雅黑"/>
          <w:color w:val="auto"/>
          <w:sz w:val="32"/>
          <w:szCs w:val="32"/>
          <w:highlight w:val="none"/>
        </w:rPr>
      </w:pPr>
    </w:p>
    <w:p>
      <w:pPr>
        <w:rPr>
          <w:rFonts w:hint="eastAsia" w:ascii="微软雅黑" w:hAnsi="微软雅黑" w:eastAsia="微软雅黑" w:cs="微软雅黑"/>
          <w:color w:val="auto"/>
          <w:sz w:val="32"/>
          <w:szCs w:val="32"/>
          <w:highlight w:val="none"/>
        </w:rPr>
      </w:pPr>
    </w:p>
    <w:p>
      <w:pPr>
        <w:spacing w:line="240" w:lineRule="atLeast"/>
        <w:ind w:firstLine="640" w:firstLineChars="200"/>
        <w:rPr>
          <w:rFonts w:hint="eastAsia" w:ascii="微软雅黑" w:hAnsi="微软雅黑" w:eastAsia="微软雅黑" w:cs="微软雅黑"/>
          <w:b/>
          <w:color w:val="auto"/>
          <w:sz w:val="32"/>
          <w:szCs w:val="32"/>
          <w:highlight w:val="none"/>
          <w:u w:val="single"/>
        </w:rPr>
      </w:pPr>
      <w:r>
        <w:rPr>
          <w:rFonts w:hint="eastAsia" w:ascii="微软雅黑" w:hAnsi="微软雅黑" w:eastAsia="微软雅黑" w:cs="微软雅黑"/>
          <w:b/>
          <w:color w:val="auto"/>
          <w:sz w:val="32"/>
          <w:szCs w:val="32"/>
          <w:highlight w:val="none"/>
        </w:rPr>
        <w:t xml:space="preserve">代理机构名称： </w:t>
      </w:r>
      <w:r>
        <w:rPr>
          <w:rFonts w:hint="eastAsia" w:ascii="微软雅黑" w:hAnsi="微软雅黑" w:eastAsia="微软雅黑" w:cs="微软雅黑"/>
          <w:b/>
          <w:color w:val="auto"/>
          <w:sz w:val="32"/>
          <w:szCs w:val="32"/>
          <w:highlight w:val="none"/>
          <w:u w:val="single"/>
        </w:rPr>
        <w:t>新疆共建恒业信息咨询有限责任公司</w:t>
      </w:r>
    </w:p>
    <w:p>
      <w:pPr>
        <w:spacing w:line="240" w:lineRule="atLeast"/>
        <w:ind w:firstLine="640" w:firstLineChars="200"/>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rPr>
        <w:t xml:space="preserve">联   系   人： </w:t>
      </w:r>
      <w:r>
        <w:rPr>
          <w:rFonts w:hint="eastAsia" w:ascii="微软雅黑" w:hAnsi="微软雅黑" w:eastAsia="微软雅黑" w:cs="微软雅黑"/>
          <w:b/>
          <w:color w:val="auto"/>
          <w:sz w:val="32"/>
          <w:szCs w:val="32"/>
          <w:highlight w:val="none"/>
          <w:u w:val="single"/>
        </w:rPr>
        <w:t xml:space="preserve">           </w:t>
      </w:r>
      <w:r>
        <w:rPr>
          <w:rFonts w:hint="eastAsia" w:ascii="微软雅黑" w:hAnsi="微软雅黑" w:eastAsia="微软雅黑" w:cs="微软雅黑"/>
          <w:b/>
          <w:color w:val="auto"/>
          <w:sz w:val="32"/>
          <w:szCs w:val="32"/>
          <w:highlight w:val="none"/>
          <w:u w:val="single"/>
          <w:lang w:val="en-US" w:eastAsia="zh-CN"/>
        </w:rPr>
        <w:t xml:space="preserve">   </w:t>
      </w:r>
      <w:r>
        <w:rPr>
          <w:rFonts w:hint="eastAsia" w:ascii="微软雅黑" w:hAnsi="微软雅黑" w:eastAsia="微软雅黑" w:cs="微软雅黑"/>
          <w:b/>
          <w:color w:val="auto"/>
          <w:sz w:val="32"/>
          <w:szCs w:val="32"/>
          <w:highlight w:val="none"/>
          <w:u w:val="single"/>
          <w:lang w:eastAsia="zh-CN"/>
        </w:rPr>
        <w:t>朱萍</w:t>
      </w:r>
      <w:r>
        <w:rPr>
          <w:rFonts w:hint="eastAsia" w:ascii="微软雅黑" w:hAnsi="微软雅黑" w:eastAsia="微软雅黑" w:cs="微软雅黑"/>
          <w:b/>
          <w:color w:val="auto"/>
          <w:sz w:val="32"/>
          <w:szCs w:val="32"/>
          <w:highlight w:val="none"/>
          <w:u w:val="single"/>
        </w:rPr>
        <w:t xml:space="preserve">   </w:t>
      </w:r>
      <w:r>
        <w:rPr>
          <w:rFonts w:hint="eastAsia" w:ascii="微软雅黑" w:hAnsi="微软雅黑" w:eastAsia="微软雅黑" w:cs="微软雅黑"/>
          <w:b/>
          <w:color w:val="auto"/>
          <w:sz w:val="32"/>
          <w:szCs w:val="32"/>
          <w:highlight w:val="none"/>
          <w:u w:val="single"/>
          <w:lang w:val="en-US" w:eastAsia="zh-CN"/>
        </w:rPr>
        <w:t xml:space="preserve"> </w:t>
      </w:r>
      <w:r>
        <w:rPr>
          <w:rFonts w:hint="eastAsia" w:ascii="微软雅黑" w:hAnsi="微软雅黑" w:eastAsia="微软雅黑" w:cs="微软雅黑"/>
          <w:b/>
          <w:color w:val="auto"/>
          <w:sz w:val="32"/>
          <w:szCs w:val="32"/>
          <w:highlight w:val="none"/>
          <w:u w:val="single"/>
        </w:rPr>
        <w:t xml:space="preserve">          </w:t>
      </w:r>
      <w:r>
        <w:rPr>
          <w:rFonts w:hint="eastAsia" w:ascii="微软雅黑" w:hAnsi="微软雅黑" w:eastAsia="微软雅黑" w:cs="微软雅黑"/>
          <w:b/>
          <w:color w:val="auto"/>
          <w:sz w:val="32"/>
          <w:szCs w:val="32"/>
          <w:highlight w:val="none"/>
        </w:rPr>
        <w:t xml:space="preserve">       </w:t>
      </w:r>
    </w:p>
    <w:p>
      <w:pPr>
        <w:ind w:firstLine="640" w:firstLineChars="200"/>
        <w:jc w:val="both"/>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rPr>
        <w:t xml:space="preserve">联 系 电 话 ： </w:t>
      </w:r>
      <w:r>
        <w:rPr>
          <w:rFonts w:hint="eastAsia" w:ascii="微软雅黑" w:hAnsi="微软雅黑" w:eastAsia="微软雅黑" w:cs="微软雅黑"/>
          <w:b/>
          <w:color w:val="auto"/>
          <w:sz w:val="32"/>
          <w:szCs w:val="32"/>
          <w:highlight w:val="none"/>
          <w:u w:val="single"/>
        </w:rPr>
        <w:t xml:space="preserve">        18209987338     </w:t>
      </w:r>
      <w:r>
        <w:rPr>
          <w:rFonts w:hint="eastAsia" w:ascii="微软雅黑" w:hAnsi="微软雅黑" w:eastAsia="微软雅黑" w:cs="微软雅黑"/>
          <w:b/>
          <w:color w:val="auto"/>
          <w:sz w:val="32"/>
          <w:szCs w:val="32"/>
          <w:highlight w:val="none"/>
          <w:u w:val="single"/>
          <w:lang w:val="en-US" w:eastAsia="zh-CN"/>
        </w:rPr>
        <w:t xml:space="preserve"> </w:t>
      </w:r>
      <w:r>
        <w:rPr>
          <w:rFonts w:hint="eastAsia" w:ascii="微软雅黑" w:hAnsi="微软雅黑" w:eastAsia="微软雅黑" w:cs="微软雅黑"/>
          <w:b/>
          <w:color w:val="auto"/>
          <w:sz w:val="32"/>
          <w:szCs w:val="32"/>
          <w:highlight w:val="none"/>
          <w:u w:val="single"/>
        </w:rPr>
        <w:t xml:space="preserve">    </w:t>
      </w:r>
      <w:r>
        <w:rPr>
          <w:rFonts w:hint="eastAsia" w:ascii="微软雅黑" w:hAnsi="微软雅黑" w:eastAsia="微软雅黑" w:cs="微软雅黑"/>
          <w:b/>
          <w:color w:val="auto"/>
          <w:sz w:val="32"/>
          <w:szCs w:val="32"/>
          <w:highlight w:val="none"/>
        </w:rPr>
        <w:t xml:space="preserve"> </w:t>
      </w:r>
    </w:p>
    <w:p>
      <w:pPr>
        <w:pStyle w:val="2"/>
        <w:rPr>
          <w:rFonts w:hint="eastAsia" w:ascii="微软雅黑" w:hAnsi="微软雅黑" w:eastAsia="微软雅黑" w:cs="微软雅黑"/>
          <w:b/>
          <w:color w:val="auto"/>
          <w:sz w:val="32"/>
          <w:szCs w:val="32"/>
          <w:highlight w:val="none"/>
        </w:rPr>
      </w:pPr>
    </w:p>
    <w:p>
      <w:pPr>
        <w:pStyle w:val="4"/>
        <w:jc w:val="center"/>
        <w:rPr>
          <w:rFonts w:hint="eastAsia" w:ascii="微软雅黑" w:hAnsi="微软雅黑" w:eastAsia="微软雅黑" w:cs="微软雅黑"/>
          <w:b/>
          <w:color w:val="auto"/>
          <w:kern w:val="2"/>
          <w:sz w:val="32"/>
          <w:szCs w:val="32"/>
          <w:highlight w:val="none"/>
          <w:lang w:val="en-US" w:eastAsia="zh-CN" w:bidi="ar-SA"/>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微软雅黑" w:hAnsi="微软雅黑" w:eastAsia="微软雅黑" w:cs="微软雅黑"/>
          <w:b/>
          <w:color w:val="auto"/>
          <w:kern w:val="2"/>
          <w:sz w:val="32"/>
          <w:szCs w:val="32"/>
          <w:highlight w:val="none"/>
          <w:lang w:val="en-US" w:eastAsia="zh-CN" w:bidi="ar-SA"/>
        </w:rPr>
        <w:t>2023年3月</w:t>
      </w:r>
    </w:p>
    <w:p>
      <w:pPr>
        <w:ind w:firstLine="3522" w:firstLineChars="1100"/>
        <w:jc w:val="both"/>
        <w:rPr>
          <w:rFonts w:hint="eastAsia" w:ascii="微软雅黑" w:hAnsi="微软雅黑" w:eastAsia="微软雅黑" w:cs="微软雅黑"/>
          <w:b/>
          <w:bCs/>
          <w:color w:val="auto"/>
          <w:sz w:val="32"/>
          <w:szCs w:val="40"/>
          <w:highlight w:val="none"/>
        </w:rPr>
      </w:pPr>
      <w:r>
        <w:rPr>
          <w:rFonts w:hint="eastAsia" w:ascii="微软雅黑" w:hAnsi="微软雅黑" w:eastAsia="微软雅黑" w:cs="微软雅黑"/>
          <w:b/>
          <w:bCs/>
          <w:color w:val="auto"/>
          <w:sz w:val="32"/>
          <w:szCs w:val="40"/>
          <w:highlight w:val="none"/>
        </w:rPr>
        <w:t>目   录</w:t>
      </w:r>
    </w:p>
    <w:p>
      <w:pPr>
        <w:pStyle w:val="18"/>
        <w:tabs>
          <w:tab w:val="right" w:leader="dot" w:pos="8312"/>
        </w:tabs>
        <w:rPr>
          <w:highlight w:val="none"/>
        </w:rPr>
      </w:pP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TOC \o "1-3" \h \u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highlight w:val="none"/>
        </w:rPr>
        <w:instrText xml:space="preserve"> HYPERLINK \l _Toc11560 </w:instrText>
      </w:r>
      <w:r>
        <w:rPr>
          <w:rFonts w:hint="eastAsia" w:ascii="微软雅黑" w:hAnsi="微软雅黑" w:eastAsia="微软雅黑" w:cs="微软雅黑"/>
          <w:highlight w:val="none"/>
        </w:rPr>
        <w:fldChar w:fldCharType="separate"/>
      </w:r>
      <w:r>
        <w:rPr>
          <w:rFonts w:hint="eastAsia" w:ascii="微软雅黑" w:hAnsi="微软雅黑" w:eastAsia="微软雅黑" w:cs="微软雅黑"/>
          <w:bCs/>
          <w:szCs w:val="32"/>
          <w:highlight w:val="none"/>
        </w:rPr>
        <w:t xml:space="preserve">第1章  </w:t>
      </w:r>
      <w:r>
        <w:rPr>
          <w:rFonts w:hint="eastAsia" w:ascii="微软雅黑" w:hAnsi="微软雅黑" w:eastAsia="微软雅黑" w:cs="微软雅黑"/>
          <w:bCs/>
          <w:szCs w:val="32"/>
          <w:highlight w:val="none"/>
          <w:lang w:eastAsia="zh-CN"/>
        </w:rPr>
        <w:t>供应商</w:t>
      </w:r>
      <w:r>
        <w:rPr>
          <w:rFonts w:hint="eastAsia" w:ascii="微软雅黑" w:hAnsi="微软雅黑" w:eastAsia="微软雅黑" w:cs="微软雅黑"/>
          <w:bCs/>
          <w:szCs w:val="32"/>
          <w:highlight w:val="none"/>
        </w:rPr>
        <w:t>须知</w:t>
      </w:r>
      <w:r>
        <w:rPr>
          <w:highlight w:val="none"/>
        </w:rPr>
        <w:tab/>
      </w:r>
      <w:r>
        <w:rPr>
          <w:highlight w:val="none"/>
        </w:rPr>
        <w:fldChar w:fldCharType="begin"/>
      </w:r>
      <w:r>
        <w:rPr>
          <w:highlight w:val="none"/>
        </w:rPr>
        <w:instrText xml:space="preserve"> PAGEREF _Toc11560 \h </w:instrText>
      </w:r>
      <w:r>
        <w:rPr>
          <w:highlight w:val="none"/>
        </w:rPr>
        <w:fldChar w:fldCharType="separate"/>
      </w:r>
      <w:r>
        <w:rPr>
          <w:highlight w:val="none"/>
        </w:rPr>
        <w:t>3</w:t>
      </w:r>
      <w:r>
        <w:rPr>
          <w:highlight w:val="none"/>
        </w:rPr>
        <w:fldChar w:fldCharType="end"/>
      </w:r>
      <w:r>
        <w:rPr>
          <w:rFonts w:hint="eastAsia" w:ascii="微软雅黑" w:hAnsi="微软雅黑" w:eastAsia="微软雅黑" w:cs="微软雅黑"/>
          <w:color w:val="auto"/>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_Toc10804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一   总 则</w:t>
      </w:r>
      <w:r>
        <w:rPr>
          <w:highlight w:val="none"/>
        </w:rPr>
        <w:tab/>
      </w:r>
      <w:r>
        <w:rPr>
          <w:highlight w:val="none"/>
        </w:rPr>
        <w:fldChar w:fldCharType="begin"/>
      </w:r>
      <w:r>
        <w:rPr>
          <w:highlight w:val="none"/>
        </w:rPr>
        <w:instrText xml:space="preserve"> PAGEREF _Toc10804 \h </w:instrText>
      </w:r>
      <w:r>
        <w:rPr>
          <w:highlight w:val="none"/>
        </w:rPr>
        <w:fldChar w:fldCharType="separate"/>
      </w:r>
      <w:r>
        <w:rPr>
          <w:highlight w:val="none"/>
        </w:rPr>
        <w:t>3</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_Toc31123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二   招标文件</w:t>
      </w:r>
      <w:r>
        <w:rPr>
          <w:highlight w:val="none"/>
        </w:rPr>
        <w:tab/>
      </w:r>
      <w:r>
        <w:rPr>
          <w:highlight w:val="none"/>
        </w:rPr>
        <w:fldChar w:fldCharType="begin"/>
      </w:r>
      <w:r>
        <w:rPr>
          <w:highlight w:val="none"/>
        </w:rPr>
        <w:instrText xml:space="preserve"> PAGEREF _Toc31123 \h </w:instrText>
      </w:r>
      <w:r>
        <w:rPr>
          <w:highlight w:val="none"/>
        </w:rPr>
        <w:fldChar w:fldCharType="separate"/>
      </w:r>
      <w:r>
        <w:rPr>
          <w:highlight w:val="none"/>
        </w:rPr>
        <w:t>4</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_Toc2750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三   投标文件的编制</w:t>
      </w:r>
      <w:r>
        <w:rPr>
          <w:highlight w:val="none"/>
        </w:rPr>
        <w:tab/>
      </w:r>
      <w:r>
        <w:rPr>
          <w:highlight w:val="none"/>
        </w:rPr>
        <w:fldChar w:fldCharType="begin"/>
      </w:r>
      <w:r>
        <w:rPr>
          <w:highlight w:val="none"/>
        </w:rPr>
        <w:instrText xml:space="preserve"> PAGEREF _Toc2750 \h </w:instrText>
      </w:r>
      <w:r>
        <w:rPr>
          <w:highlight w:val="none"/>
        </w:rPr>
        <w:fldChar w:fldCharType="separate"/>
      </w:r>
      <w:r>
        <w:rPr>
          <w:highlight w:val="none"/>
        </w:rPr>
        <w:t>5</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_Toc25625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四   投标文件的递交</w:t>
      </w:r>
      <w:r>
        <w:rPr>
          <w:highlight w:val="none"/>
        </w:rPr>
        <w:tab/>
      </w:r>
      <w:r>
        <w:rPr>
          <w:highlight w:val="none"/>
        </w:rPr>
        <w:fldChar w:fldCharType="begin"/>
      </w:r>
      <w:r>
        <w:rPr>
          <w:highlight w:val="none"/>
        </w:rPr>
        <w:instrText xml:space="preserve"> PAGEREF _Toc25625 \h </w:instrText>
      </w:r>
      <w:r>
        <w:rPr>
          <w:highlight w:val="none"/>
        </w:rPr>
        <w:fldChar w:fldCharType="separate"/>
      </w:r>
      <w:r>
        <w:rPr>
          <w:highlight w:val="none"/>
        </w:rPr>
        <w:t>7</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_Toc14020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五   开标及评标</w:t>
      </w:r>
      <w:r>
        <w:rPr>
          <w:highlight w:val="none"/>
        </w:rPr>
        <w:tab/>
      </w:r>
      <w:r>
        <w:rPr>
          <w:highlight w:val="none"/>
        </w:rPr>
        <w:fldChar w:fldCharType="begin"/>
      </w:r>
      <w:r>
        <w:rPr>
          <w:highlight w:val="none"/>
        </w:rPr>
        <w:instrText xml:space="preserve"> PAGEREF _Toc14020 \h </w:instrText>
      </w:r>
      <w:r>
        <w:rPr>
          <w:highlight w:val="none"/>
        </w:rPr>
        <w:fldChar w:fldCharType="separate"/>
      </w:r>
      <w:r>
        <w:rPr>
          <w:highlight w:val="none"/>
        </w:rPr>
        <w:t>8</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_Toc5517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六   确定中标</w:t>
      </w:r>
      <w:r>
        <w:rPr>
          <w:highlight w:val="none"/>
        </w:rPr>
        <w:tab/>
      </w:r>
      <w:r>
        <w:rPr>
          <w:highlight w:val="none"/>
        </w:rPr>
        <w:fldChar w:fldCharType="begin"/>
      </w:r>
      <w:r>
        <w:rPr>
          <w:highlight w:val="none"/>
        </w:rPr>
        <w:instrText xml:space="preserve"> PAGEREF _Toc5517 \h </w:instrText>
      </w:r>
      <w:r>
        <w:rPr>
          <w:highlight w:val="none"/>
        </w:rPr>
        <w:fldChar w:fldCharType="separate"/>
      </w:r>
      <w:r>
        <w:rPr>
          <w:highlight w:val="none"/>
        </w:rPr>
        <w:t>13</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18"/>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_Toc6770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32"/>
          <w:highlight w:val="none"/>
        </w:rPr>
        <w:t>第2章   投标文件格式</w:t>
      </w:r>
      <w:r>
        <w:rPr>
          <w:highlight w:val="none"/>
        </w:rPr>
        <w:tab/>
      </w:r>
      <w:r>
        <w:rPr>
          <w:highlight w:val="none"/>
        </w:rPr>
        <w:fldChar w:fldCharType="begin"/>
      </w:r>
      <w:r>
        <w:rPr>
          <w:highlight w:val="none"/>
        </w:rPr>
        <w:instrText xml:space="preserve"> PAGEREF _Toc6770 \h </w:instrText>
      </w:r>
      <w:r>
        <w:rPr>
          <w:highlight w:val="none"/>
        </w:rPr>
        <w:fldChar w:fldCharType="separate"/>
      </w:r>
      <w:r>
        <w:rPr>
          <w:highlight w:val="none"/>
        </w:rPr>
        <w:t>18</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_Toc16575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8"/>
          <w:highlight w:val="none"/>
        </w:rPr>
        <w:t>第一部分 开标一览表及资格证明文件</w:t>
      </w:r>
      <w:r>
        <w:rPr>
          <w:highlight w:val="none"/>
        </w:rPr>
        <w:tab/>
      </w:r>
      <w:r>
        <w:rPr>
          <w:highlight w:val="none"/>
        </w:rPr>
        <w:fldChar w:fldCharType="begin"/>
      </w:r>
      <w:r>
        <w:rPr>
          <w:highlight w:val="none"/>
        </w:rPr>
        <w:instrText xml:space="preserve"> PAGEREF _Toc16575 \h </w:instrText>
      </w:r>
      <w:r>
        <w:rPr>
          <w:highlight w:val="none"/>
        </w:rPr>
        <w:fldChar w:fldCharType="separate"/>
      </w:r>
      <w:r>
        <w:rPr>
          <w:highlight w:val="none"/>
        </w:rPr>
        <w:t>18</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_Toc19126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4"/>
          <w:highlight w:val="none"/>
        </w:rPr>
        <w:t>1、开标一览表</w:t>
      </w:r>
      <w:r>
        <w:rPr>
          <w:highlight w:val="none"/>
        </w:rPr>
        <w:tab/>
      </w:r>
      <w:r>
        <w:rPr>
          <w:highlight w:val="none"/>
        </w:rPr>
        <w:fldChar w:fldCharType="begin"/>
      </w:r>
      <w:r>
        <w:rPr>
          <w:highlight w:val="none"/>
        </w:rPr>
        <w:instrText xml:space="preserve"> PAGEREF _Toc19126 \h </w:instrText>
      </w:r>
      <w:r>
        <w:rPr>
          <w:highlight w:val="none"/>
        </w:rPr>
        <w:fldChar w:fldCharType="separate"/>
      </w:r>
      <w:r>
        <w:rPr>
          <w:highlight w:val="none"/>
        </w:rPr>
        <w:t>19</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_Toc26537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4"/>
          <w:highlight w:val="none"/>
        </w:rPr>
        <w:t>2、</w:t>
      </w:r>
      <w:r>
        <w:rPr>
          <w:rFonts w:hint="eastAsia" w:ascii="微软雅黑" w:hAnsi="微软雅黑" w:eastAsia="微软雅黑" w:cs="微软雅黑"/>
          <w:szCs w:val="24"/>
          <w:highlight w:val="none"/>
          <w:lang w:eastAsia="zh-CN"/>
        </w:rPr>
        <w:t>具有有效的营业执照</w:t>
      </w:r>
      <w:r>
        <w:rPr>
          <w:rFonts w:hint="eastAsia" w:ascii="微软雅黑" w:hAnsi="微软雅黑" w:eastAsia="微软雅黑" w:cs="微软雅黑"/>
          <w:szCs w:val="24"/>
          <w:highlight w:val="none"/>
        </w:rPr>
        <w:t>；</w:t>
      </w:r>
      <w:r>
        <w:rPr>
          <w:highlight w:val="none"/>
        </w:rPr>
        <w:tab/>
      </w:r>
      <w:r>
        <w:rPr>
          <w:highlight w:val="none"/>
        </w:rPr>
        <w:fldChar w:fldCharType="begin"/>
      </w:r>
      <w:r>
        <w:rPr>
          <w:highlight w:val="none"/>
        </w:rPr>
        <w:instrText xml:space="preserve"> PAGEREF _Toc26537 \h </w:instrText>
      </w:r>
      <w:r>
        <w:rPr>
          <w:highlight w:val="none"/>
        </w:rPr>
        <w:fldChar w:fldCharType="separate"/>
      </w:r>
      <w:r>
        <w:rPr>
          <w:highlight w:val="none"/>
        </w:rPr>
        <w:t>19</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_Toc3066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4"/>
          <w:highlight w:val="none"/>
          <w:lang w:eastAsia="zh-CN"/>
        </w:rPr>
        <w:t>3、投标供应商需具备有效期内的《林木种子生产许可证》或《林木种子经营许可证》和有效期内、经年审合格的《新疆维吾尔自治区林业植物检疫登记证》；</w:t>
      </w:r>
      <w:r>
        <w:rPr>
          <w:highlight w:val="none"/>
        </w:rPr>
        <w:tab/>
      </w:r>
      <w:r>
        <w:rPr>
          <w:highlight w:val="none"/>
        </w:rPr>
        <w:fldChar w:fldCharType="begin"/>
      </w:r>
      <w:r>
        <w:rPr>
          <w:highlight w:val="none"/>
        </w:rPr>
        <w:instrText xml:space="preserve"> PAGEREF _Toc3066 \h </w:instrText>
      </w:r>
      <w:r>
        <w:rPr>
          <w:highlight w:val="none"/>
        </w:rPr>
        <w:fldChar w:fldCharType="separate"/>
      </w:r>
      <w:r>
        <w:rPr>
          <w:highlight w:val="none"/>
        </w:rPr>
        <w:t>19</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_Toc27258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lang w:val="en-US" w:eastAsia="zh-CN"/>
        </w:rPr>
        <w:t>4、提供法定代表人资格证明及授权书、被授权人身份证；(法定代表人投标需提供法定代表人身份证)；</w:t>
      </w:r>
      <w:r>
        <w:rPr>
          <w:highlight w:val="none"/>
        </w:rPr>
        <w:tab/>
      </w:r>
      <w:r>
        <w:rPr>
          <w:highlight w:val="none"/>
        </w:rPr>
        <w:fldChar w:fldCharType="begin"/>
      </w:r>
      <w:r>
        <w:rPr>
          <w:highlight w:val="none"/>
        </w:rPr>
        <w:instrText xml:space="preserve"> PAGEREF _Toc27258 \h </w:instrText>
      </w:r>
      <w:r>
        <w:rPr>
          <w:highlight w:val="none"/>
        </w:rPr>
        <w:fldChar w:fldCharType="separate"/>
      </w:r>
      <w:r>
        <w:rPr>
          <w:highlight w:val="none"/>
        </w:rPr>
        <w:t>20</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_Toc30168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lang w:val="en-US" w:eastAsia="zh-CN"/>
        </w:rPr>
        <w:t>5、</w:t>
      </w:r>
      <w:r>
        <w:rPr>
          <w:rFonts w:hint="eastAsia" w:ascii="微软雅黑" w:hAnsi="微软雅黑" w:eastAsia="微软雅黑" w:cs="微软雅黑"/>
          <w:kern w:val="0"/>
          <w:szCs w:val="24"/>
          <w:highlight w:val="none"/>
          <w:lang w:eastAsia="zh-CN"/>
        </w:rPr>
        <w:t>提近两年任意一年的财务审计报告，新成立的公司提供近三个月内任意一个月的银行资信证明</w:t>
      </w:r>
      <w:r>
        <w:rPr>
          <w:rFonts w:hint="eastAsia" w:ascii="微软雅黑" w:hAnsi="微软雅黑" w:eastAsia="微软雅黑" w:cs="微软雅黑"/>
          <w:kern w:val="0"/>
          <w:szCs w:val="24"/>
          <w:highlight w:val="none"/>
        </w:rPr>
        <w:t>；</w:t>
      </w:r>
      <w:r>
        <w:rPr>
          <w:highlight w:val="none"/>
        </w:rPr>
        <w:tab/>
      </w:r>
      <w:r>
        <w:rPr>
          <w:highlight w:val="none"/>
        </w:rPr>
        <w:fldChar w:fldCharType="begin"/>
      </w:r>
      <w:r>
        <w:rPr>
          <w:highlight w:val="none"/>
        </w:rPr>
        <w:instrText xml:space="preserve"> PAGEREF _Toc30168 \h </w:instrText>
      </w:r>
      <w:r>
        <w:rPr>
          <w:highlight w:val="none"/>
        </w:rPr>
        <w:fldChar w:fldCharType="separate"/>
      </w:r>
      <w:r>
        <w:rPr>
          <w:highlight w:val="none"/>
        </w:rPr>
        <w:t>22</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_Toc914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lang w:val="en-US" w:eastAsia="zh-CN"/>
        </w:rPr>
        <w:t>6、</w:t>
      </w:r>
      <w:r>
        <w:rPr>
          <w:rFonts w:hint="eastAsia" w:ascii="微软雅黑" w:hAnsi="微软雅黑" w:eastAsia="微软雅黑" w:cs="微软雅黑"/>
          <w:kern w:val="0"/>
          <w:szCs w:val="24"/>
          <w:highlight w:val="none"/>
          <w:lang w:eastAsia="zh-CN"/>
        </w:rPr>
        <w:t>提供依法缴纳2022年至2023年内连续6个月的社保证明及明细</w:t>
      </w:r>
      <w:r>
        <w:rPr>
          <w:rFonts w:hint="eastAsia" w:ascii="微软雅黑" w:hAnsi="微软雅黑" w:eastAsia="微软雅黑" w:cs="微软雅黑"/>
          <w:kern w:val="0"/>
          <w:szCs w:val="24"/>
          <w:highlight w:val="none"/>
        </w:rPr>
        <w:t>；</w:t>
      </w:r>
      <w:r>
        <w:rPr>
          <w:highlight w:val="none"/>
        </w:rPr>
        <w:tab/>
      </w:r>
      <w:r>
        <w:rPr>
          <w:highlight w:val="none"/>
        </w:rPr>
        <w:fldChar w:fldCharType="begin"/>
      </w:r>
      <w:r>
        <w:rPr>
          <w:highlight w:val="none"/>
        </w:rPr>
        <w:instrText xml:space="preserve"> PAGEREF _Toc914 \h </w:instrText>
      </w:r>
      <w:r>
        <w:rPr>
          <w:highlight w:val="none"/>
        </w:rPr>
        <w:fldChar w:fldCharType="separate"/>
      </w:r>
      <w:r>
        <w:rPr>
          <w:highlight w:val="none"/>
        </w:rPr>
        <w:t>22</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_Toc7573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lang w:val="en-US" w:eastAsia="zh-CN"/>
        </w:rPr>
        <w:t>7</w:t>
      </w:r>
      <w:r>
        <w:rPr>
          <w:rFonts w:hint="eastAsia" w:ascii="微软雅黑" w:hAnsi="微软雅黑" w:eastAsia="微软雅黑" w:cs="微软雅黑"/>
          <w:kern w:val="0"/>
          <w:szCs w:val="24"/>
          <w:highlight w:val="none"/>
        </w:rPr>
        <w:t>、</w:t>
      </w:r>
      <w:r>
        <w:rPr>
          <w:rFonts w:hint="eastAsia" w:ascii="微软雅黑" w:hAnsi="微软雅黑" w:eastAsia="微软雅黑" w:cs="微软雅黑"/>
          <w:kern w:val="0"/>
          <w:szCs w:val="24"/>
          <w:highlight w:val="none"/>
          <w:lang w:eastAsia="zh-CN"/>
        </w:rPr>
        <w:t>提供税务部门出具2022年至2023年内连续6个月的的完税证明</w:t>
      </w:r>
      <w:r>
        <w:rPr>
          <w:rFonts w:hint="eastAsia" w:ascii="微软雅黑" w:hAnsi="微软雅黑" w:eastAsia="微软雅黑" w:cs="微软雅黑"/>
          <w:bCs/>
          <w:szCs w:val="24"/>
          <w:highlight w:val="none"/>
          <w:lang w:val="en-US" w:eastAsia="zh-CN"/>
        </w:rPr>
        <w:t>；</w:t>
      </w:r>
      <w:r>
        <w:rPr>
          <w:highlight w:val="none"/>
        </w:rPr>
        <w:tab/>
      </w:r>
      <w:r>
        <w:rPr>
          <w:highlight w:val="none"/>
        </w:rPr>
        <w:fldChar w:fldCharType="begin"/>
      </w:r>
      <w:r>
        <w:rPr>
          <w:highlight w:val="none"/>
        </w:rPr>
        <w:instrText xml:space="preserve"> PAGEREF _Toc7573 \h </w:instrText>
      </w:r>
      <w:r>
        <w:rPr>
          <w:highlight w:val="none"/>
        </w:rPr>
        <w:fldChar w:fldCharType="separate"/>
      </w:r>
      <w:r>
        <w:rPr>
          <w:highlight w:val="none"/>
        </w:rPr>
        <w:t>22</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_Toc19945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lang w:val="en-US" w:eastAsia="zh-CN"/>
        </w:rPr>
        <w:t>8</w:t>
      </w:r>
      <w:r>
        <w:rPr>
          <w:rFonts w:hint="eastAsia" w:ascii="微软雅黑" w:hAnsi="微软雅黑" w:eastAsia="微软雅黑" w:cs="微软雅黑"/>
          <w:kern w:val="0"/>
          <w:szCs w:val="24"/>
          <w:highlight w:val="none"/>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截图，“国家企业信用信息公示系统（http://www.gsxt.gov.cn）”列入严重违法失信企业名单（黑名单）信息截图；将拒绝其参加本次招标活动；</w:t>
      </w:r>
      <w:r>
        <w:rPr>
          <w:highlight w:val="none"/>
        </w:rPr>
        <w:tab/>
      </w:r>
      <w:r>
        <w:rPr>
          <w:highlight w:val="none"/>
        </w:rPr>
        <w:fldChar w:fldCharType="begin"/>
      </w:r>
      <w:r>
        <w:rPr>
          <w:highlight w:val="none"/>
        </w:rPr>
        <w:instrText xml:space="preserve"> PAGEREF _Toc19945 \h </w:instrText>
      </w:r>
      <w:r>
        <w:rPr>
          <w:highlight w:val="none"/>
        </w:rPr>
        <w:fldChar w:fldCharType="separate"/>
      </w:r>
      <w:r>
        <w:rPr>
          <w:highlight w:val="none"/>
        </w:rPr>
        <w:t>22</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_Toc10758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lang w:val="en-US" w:eastAsia="zh-CN"/>
        </w:rPr>
        <w:t>9</w:t>
      </w:r>
      <w:r>
        <w:rPr>
          <w:rFonts w:hint="eastAsia" w:ascii="微软雅黑" w:hAnsi="微软雅黑" w:eastAsia="微软雅黑" w:cs="微软雅黑"/>
          <w:kern w:val="0"/>
          <w:szCs w:val="24"/>
          <w:highlight w:val="none"/>
        </w:rPr>
        <w:t>、提供参与政府采购活动前3年内未被列入失信、重大税收违法案件、财政部门禁止参加政府采购活动的承诺书</w:t>
      </w:r>
      <w:r>
        <w:rPr>
          <w:rFonts w:hint="eastAsia" w:ascii="微软雅黑" w:hAnsi="微软雅黑" w:eastAsia="微软雅黑" w:cs="微软雅黑"/>
          <w:bCs/>
          <w:szCs w:val="24"/>
          <w:highlight w:val="none"/>
          <w:lang w:val="en-US" w:eastAsia="zh-CN"/>
        </w:rPr>
        <w:t>；</w:t>
      </w:r>
      <w:r>
        <w:rPr>
          <w:highlight w:val="none"/>
        </w:rPr>
        <w:tab/>
      </w:r>
      <w:r>
        <w:rPr>
          <w:highlight w:val="none"/>
        </w:rPr>
        <w:fldChar w:fldCharType="begin"/>
      </w:r>
      <w:r>
        <w:rPr>
          <w:highlight w:val="none"/>
        </w:rPr>
        <w:instrText xml:space="preserve"> PAGEREF _Toc10758 \h </w:instrText>
      </w:r>
      <w:r>
        <w:rPr>
          <w:highlight w:val="none"/>
        </w:rPr>
        <w:fldChar w:fldCharType="separate"/>
      </w:r>
      <w:r>
        <w:rPr>
          <w:highlight w:val="none"/>
        </w:rPr>
        <w:t>22</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_Toc21968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lang w:val="en-US" w:eastAsia="zh-CN"/>
        </w:rPr>
        <w:t>10</w:t>
      </w:r>
      <w:r>
        <w:rPr>
          <w:rFonts w:hint="eastAsia" w:ascii="微软雅黑" w:hAnsi="微软雅黑" w:eastAsia="微软雅黑" w:cs="微软雅黑"/>
          <w:kern w:val="0"/>
          <w:szCs w:val="24"/>
          <w:highlight w:val="none"/>
        </w:rPr>
        <w:t>、</w:t>
      </w:r>
      <w:r>
        <w:rPr>
          <w:rFonts w:hint="eastAsia" w:ascii="微软雅黑" w:hAnsi="微软雅黑" w:eastAsia="微软雅黑" w:cs="微软雅黑"/>
          <w:kern w:val="0"/>
          <w:szCs w:val="24"/>
          <w:highlight w:val="none"/>
          <w:lang w:val="en-US" w:eastAsia="zh-CN"/>
        </w:rPr>
        <w:t>提供针对本次项目《反商业贿赂承诺书》</w:t>
      </w:r>
      <w:r>
        <w:rPr>
          <w:rFonts w:hint="eastAsia" w:ascii="微软雅黑" w:hAnsi="微软雅黑" w:eastAsia="微软雅黑" w:cs="微软雅黑"/>
          <w:kern w:val="0"/>
          <w:szCs w:val="24"/>
          <w:highlight w:val="none"/>
        </w:rPr>
        <w:t>；</w:t>
      </w:r>
      <w:r>
        <w:rPr>
          <w:highlight w:val="none"/>
        </w:rPr>
        <w:tab/>
      </w:r>
      <w:r>
        <w:rPr>
          <w:highlight w:val="none"/>
        </w:rPr>
        <w:fldChar w:fldCharType="begin"/>
      </w:r>
      <w:r>
        <w:rPr>
          <w:highlight w:val="none"/>
        </w:rPr>
        <w:instrText xml:space="preserve"> PAGEREF _Toc21968 \h </w:instrText>
      </w:r>
      <w:r>
        <w:rPr>
          <w:highlight w:val="none"/>
        </w:rPr>
        <w:fldChar w:fldCharType="separate"/>
      </w:r>
      <w:r>
        <w:rPr>
          <w:highlight w:val="none"/>
        </w:rPr>
        <w:t>22</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_Toc15302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lang w:val="en-US" w:eastAsia="zh-CN"/>
        </w:rPr>
        <w:t>11</w:t>
      </w:r>
      <w:r>
        <w:rPr>
          <w:rFonts w:hint="eastAsia" w:ascii="微软雅黑" w:hAnsi="微软雅黑" w:eastAsia="微软雅黑" w:cs="微软雅黑"/>
          <w:kern w:val="0"/>
          <w:szCs w:val="24"/>
          <w:highlight w:val="none"/>
        </w:rPr>
        <w:t>、</w:t>
      </w:r>
      <w:r>
        <w:rPr>
          <w:rFonts w:hint="eastAsia" w:ascii="微软雅黑" w:hAnsi="微软雅黑" w:eastAsia="微软雅黑" w:cs="微软雅黑"/>
          <w:bCs/>
          <w:szCs w:val="24"/>
          <w:highlight w:val="none"/>
          <w:lang w:val="en-US" w:eastAsia="zh-CN"/>
        </w:rPr>
        <w:t>缴纳投标保证金有效凭证；</w:t>
      </w:r>
      <w:r>
        <w:rPr>
          <w:highlight w:val="none"/>
        </w:rPr>
        <w:tab/>
      </w:r>
      <w:r>
        <w:rPr>
          <w:highlight w:val="none"/>
        </w:rPr>
        <w:fldChar w:fldCharType="begin"/>
      </w:r>
      <w:r>
        <w:rPr>
          <w:highlight w:val="none"/>
        </w:rPr>
        <w:instrText xml:space="preserve"> PAGEREF _Toc15302 \h </w:instrText>
      </w:r>
      <w:r>
        <w:rPr>
          <w:highlight w:val="none"/>
        </w:rPr>
        <w:fldChar w:fldCharType="separate"/>
      </w:r>
      <w:r>
        <w:rPr>
          <w:highlight w:val="none"/>
        </w:rPr>
        <w:t>23</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_Toc29687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lang w:val="en-US" w:eastAsia="zh-CN"/>
        </w:rPr>
        <w:t>12、</w:t>
      </w:r>
      <w:r>
        <w:rPr>
          <w:rFonts w:hint="eastAsia" w:ascii="微软雅黑" w:hAnsi="微软雅黑" w:eastAsia="微软雅黑" w:cs="微软雅黑"/>
          <w:kern w:val="0"/>
          <w:szCs w:val="24"/>
          <w:highlight w:val="none"/>
        </w:rPr>
        <w:t>银行开户许可证复印件或银行基本账户信息(包含：银行账号及开户行名称）</w:t>
      </w:r>
      <w:r>
        <w:rPr>
          <w:rFonts w:hint="eastAsia" w:ascii="微软雅黑" w:hAnsi="微软雅黑" w:eastAsia="微软雅黑" w:cs="微软雅黑"/>
          <w:kern w:val="0"/>
          <w:szCs w:val="24"/>
          <w:highlight w:val="none"/>
          <w:lang w:eastAsia="zh-CN"/>
        </w:rPr>
        <w:t>；</w:t>
      </w:r>
      <w:r>
        <w:rPr>
          <w:highlight w:val="none"/>
        </w:rPr>
        <w:tab/>
      </w:r>
      <w:r>
        <w:rPr>
          <w:highlight w:val="none"/>
        </w:rPr>
        <w:fldChar w:fldCharType="begin"/>
      </w:r>
      <w:r>
        <w:rPr>
          <w:highlight w:val="none"/>
        </w:rPr>
        <w:instrText xml:space="preserve"> PAGEREF _Toc29687 \h </w:instrText>
      </w:r>
      <w:r>
        <w:rPr>
          <w:highlight w:val="none"/>
        </w:rPr>
        <w:fldChar w:fldCharType="separate"/>
      </w:r>
      <w:r>
        <w:rPr>
          <w:highlight w:val="none"/>
        </w:rPr>
        <w:t>23</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_Toc32268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lang w:val="en-US" w:eastAsia="zh-CN"/>
        </w:rPr>
        <w:t>13</w:t>
      </w:r>
      <w:r>
        <w:rPr>
          <w:rFonts w:hint="eastAsia" w:ascii="微软雅黑" w:hAnsi="微软雅黑" w:eastAsia="微软雅黑" w:cs="微软雅黑"/>
          <w:bCs/>
          <w:szCs w:val="24"/>
          <w:highlight w:val="none"/>
        </w:rPr>
        <w:t>、</w:t>
      </w:r>
      <w:r>
        <w:rPr>
          <w:rFonts w:hint="eastAsia" w:ascii="微软雅黑" w:hAnsi="微软雅黑" w:eastAsia="微软雅黑" w:cs="微软雅黑"/>
          <w:kern w:val="0"/>
          <w:szCs w:val="24"/>
          <w:highlight w:val="none"/>
          <w:lang w:val="en-US" w:eastAsia="zh-CN" w:bidi="ar-SA"/>
        </w:rPr>
        <w:t>供应商可提供有利于投标的其他资格证明材料。</w:t>
      </w:r>
      <w:r>
        <w:rPr>
          <w:highlight w:val="none"/>
        </w:rPr>
        <w:tab/>
      </w:r>
      <w:r>
        <w:rPr>
          <w:highlight w:val="none"/>
        </w:rPr>
        <w:fldChar w:fldCharType="begin"/>
      </w:r>
      <w:r>
        <w:rPr>
          <w:highlight w:val="none"/>
        </w:rPr>
        <w:instrText xml:space="preserve"> PAGEREF _Toc32268 \h </w:instrText>
      </w:r>
      <w:r>
        <w:rPr>
          <w:highlight w:val="none"/>
        </w:rPr>
        <w:fldChar w:fldCharType="separate"/>
      </w:r>
      <w:r>
        <w:rPr>
          <w:highlight w:val="none"/>
        </w:rPr>
        <w:t>23</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_Toc30238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8"/>
          <w:highlight w:val="none"/>
        </w:rPr>
        <w:t>第二部分  商务及技术文件</w:t>
      </w:r>
      <w:r>
        <w:rPr>
          <w:highlight w:val="none"/>
        </w:rPr>
        <w:tab/>
      </w:r>
      <w:r>
        <w:rPr>
          <w:highlight w:val="none"/>
        </w:rPr>
        <w:fldChar w:fldCharType="begin"/>
      </w:r>
      <w:r>
        <w:rPr>
          <w:highlight w:val="none"/>
        </w:rPr>
        <w:instrText xml:space="preserve"> PAGEREF _Toc30238 \h </w:instrText>
      </w:r>
      <w:r>
        <w:rPr>
          <w:highlight w:val="none"/>
        </w:rPr>
        <w:fldChar w:fldCharType="separate"/>
      </w:r>
      <w:r>
        <w:rPr>
          <w:highlight w:val="none"/>
        </w:rPr>
        <w:t>24</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_Toc26083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rPr>
        <w:t>1</w:t>
      </w:r>
      <w:r>
        <w:rPr>
          <w:rFonts w:hint="eastAsia" w:ascii="微软雅黑" w:hAnsi="微软雅黑" w:eastAsia="微软雅黑" w:cs="微软雅黑"/>
          <w:bCs/>
          <w:szCs w:val="24"/>
          <w:highlight w:val="none"/>
          <w:lang w:eastAsia="zh-CN"/>
        </w:rPr>
        <w:t>、</w:t>
      </w:r>
      <w:r>
        <w:rPr>
          <w:rFonts w:hint="eastAsia" w:ascii="微软雅黑" w:hAnsi="微软雅黑" w:eastAsia="微软雅黑" w:cs="微软雅黑"/>
          <w:bCs/>
          <w:szCs w:val="24"/>
          <w:highlight w:val="none"/>
        </w:rPr>
        <w:t>投标书</w:t>
      </w:r>
      <w:r>
        <w:rPr>
          <w:highlight w:val="none"/>
        </w:rPr>
        <w:tab/>
      </w:r>
      <w:r>
        <w:rPr>
          <w:highlight w:val="none"/>
        </w:rPr>
        <w:fldChar w:fldCharType="begin"/>
      </w:r>
      <w:r>
        <w:rPr>
          <w:highlight w:val="none"/>
        </w:rPr>
        <w:instrText xml:space="preserve"> PAGEREF _Toc26083 \h </w:instrText>
      </w:r>
      <w:r>
        <w:rPr>
          <w:highlight w:val="none"/>
        </w:rPr>
        <w:fldChar w:fldCharType="separate"/>
      </w:r>
      <w:r>
        <w:rPr>
          <w:highlight w:val="none"/>
        </w:rPr>
        <w:t>25</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_Toc10161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rPr>
        <w:t>2</w:t>
      </w:r>
      <w:r>
        <w:rPr>
          <w:rFonts w:hint="eastAsia" w:ascii="微软雅黑" w:hAnsi="微软雅黑" w:eastAsia="微软雅黑" w:cs="微软雅黑"/>
          <w:bCs/>
          <w:szCs w:val="24"/>
          <w:highlight w:val="none"/>
          <w:lang w:eastAsia="zh-CN"/>
        </w:rPr>
        <w:t>、</w:t>
      </w:r>
      <w:r>
        <w:rPr>
          <w:rFonts w:hint="eastAsia" w:ascii="微软雅黑" w:hAnsi="微软雅黑" w:eastAsia="微软雅黑" w:cs="微软雅黑"/>
          <w:bCs/>
          <w:szCs w:val="24"/>
          <w:highlight w:val="none"/>
        </w:rPr>
        <w:t>投标分项报价表</w:t>
      </w:r>
      <w:r>
        <w:rPr>
          <w:highlight w:val="none"/>
        </w:rPr>
        <w:tab/>
      </w:r>
      <w:r>
        <w:rPr>
          <w:highlight w:val="none"/>
        </w:rPr>
        <w:fldChar w:fldCharType="begin"/>
      </w:r>
      <w:r>
        <w:rPr>
          <w:highlight w:val="none"/>
        </w:rPr>
        <w:instrText xml:space="preserve"> PAGEREF _Toc10161 \h </w:instrText>
      </w:r>
      <w:r>
        <w:rPr>
          <w:highlight w:val="none"/>
        </w:rPr>
        <w:fldChar w:fldCharType="separate"/>
      </w:r>
      <w:r>
        <w:rPr>
          <w:highlight w:val="none"/>
        </w:rPr>
        <w:t>26</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_Toc16924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lang w:val="en-US" w:eastAsia="zh-CN"/>
        </w:rPr>
        <w:t>3、货物说明一览表</w:t>
      </w:r>
      <w:r>
        <w:rPr>
          <w:highlight w:val="none"/>
        </w:rPr>
        <w:tab/>
      </w:r>
      <w:r>
        <w:rPr>
          <w:highlight w:val="none"/>
        </w:rPr>
        <w:fldChar w:fldCharType="begin"/>
      </w:r>
      <w:r>
        <w:rPr>
          <w:highlight w:val="none"/>
        </w:rPr>
        <w:instrText xml:space="preserve"> PAGEREF _Toc16924 \h </w:instrText>
      </w:r>
      <w:r>
        <w:rPr>
          <w:highlight w:val="none"/>
        </w:rPr>
        <w:fldChar w:fldCharType="separate"/>
      </w:r>
      <w:r>
        <w:rPr>
          <w:highlight w:val="none"/>
        </w:rPr>
        <w:t>27</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_Toc9109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8"/>
          <w:highlight w:val="none"/>
          <w:lang w:val="en-US" w:eastAsia="zh-CN"/>
        </w:rPr>
        <w:t>4、技术规格偏离表</w:t>
      </w:r>
      <w:r>
        <w:rPr>
          <w:highlight w:val="none"/>
        </w:rPr>
        <w:tab/>
      </w:r>
      <w:r>
        <w:rPr>
          <w:highlight w:val="none"/>
        </w:rPr>
        <w:fldChar w:fldCharType="begin"/>
      </w:r>
      <w:r>
        <w:rPr>
          <w:highlight w:val="none"/>
        </w:rPr>
        <w:instrText xml:space="preserve"> PAGEREF _Toc9109 \h </w:instrText>
      </w:r>
      <w:r>
        <w:rPr>
          <w:highlight w:val="none"/>
        </w:rPr>
        <w:fldChar w:fldCharType="separate"/>
      </w:r>
      <w:r>
        <w:rPr>
          <w:highlight w:val="none"/>
        </w:rPr>
        <w:t>28</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_Toc15726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4"/>
          <w:highlight w:val="none"/>
        </w:rPr>
        <w:t>5</w:t>
      </w:r>
      <w:r>
        <w:rPr>
          <w:rFonts w:hint="eastAsia" w:ascii="微软雅黑" w:hAnsi="微软雅黑" w:eastAsia="微软雅黑" w:cs="微软雅黑"/>
          <w:szCs w:val="24"/>
          <w:highlight w:val="none"/>
          <w:lang w:eastAsia="zh-CN"/>
        </w:rPr>
        <w:t>、</w:t>
      </w:r>
      <w:r>
        <w:rPr>
          <w:rFonts w:hint="eastAsia" w:ascii="微软雅黑" w:hAnsi="微软雅黑" w:eastAsia="微软雅黑" w:cs="微软雅黑"/>
          <w:szCs w:val="24"/>
          <w:highlight w:val="none"/>
        </w:rPr>
        <w:t>商务条款偏离表</w:t>
      </w:r>
      <w:r>
        <w:rPr>
          <w:highlight w:val="none"/>
        </w:rPr>
        <w:tab/>
      </w:r>
      <w:r>
        <w:rPr>
          <w:highlight w:val="none"/>
        </w:rPr>
        <w:fldChar w:fldCharType="begin"/>
      </w:r>
      <w:r>
        <w:rPr>
          <w:highlight w:val="none"/>
        </w:rPr>
        <w:instrText xml:space="preserve"> PAGEREF _Toc15726 \h </w:instrText>
      </w:r>
      <w:r>
        <w:rPr>
          <w:highlight w:val="none"/>
        </w:rPr>
        <w:fldChar w:fldCharType="separate"/>
      </w:r>
      <w:r>
        <w:rPr>
          <w:highlight w:val="none"/>
        </w:rPr>
        <w:t>29</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_Toc968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4"/>
          <w:highlight w:val="none"/>
        </w:rPr>
        <w:t>6-1  中小企业声明函</w:t>
      </w:r>
      <w:r>
        <w:rPr>
          <w:highlight w:val="none"/>
        </w:rPr>
        <w:tab/>
      </w:r>
      <w:r>
        <w:rPr>
          <w:highlight w:val="none"/>
        </w:rPr>
        <w:fldChar w:fldCharType="begin"/>
      </w:r>
      <w:r>
        <w:rPr>
          <w:highlight w:val="none"/>
        </w:rPr>
        <w:instrText xml:space="preserve"> PAGEREF _Toc968 \h </w:instrText>
      </w:r>
      <w:r>
        <w:rPr>
          <w:highlight w:val="none"/>
        </w:rPr>
        <w:fldChar w:fldCharType="separate"/>
      </w:r>
      <w:r>
        <w:rPr>
          <w:highlight w:val="none"/>
        </w:rPr>
        <w:t>30</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_Toc18686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4"/>
          <w:highlight w:val="none"/>
        </w:rPr>
        <w:t>6-2  残疾人福利性单位声明函</w:t>
      </w:r>
      <w:r>
        <w:rPr>
          <w:highlight w:val="none"/>
        </w:rPr>
        <w:tab/>
      </w:r>
      <w:r>
        <w:rPr>
          <w:highlight w:val="none"/>
        </w:rPr>
        <w:fldChar w:fldCharType="begin"/>
      </w:r>
      <w:r>
        <w:rPr>
          <w:highlight w:val="none"/>
        </w:rPr>
        <w:instrText xml:space="preserve"> PAGEREF _Toc18686 \h </w:instrText>
      </w:r>
      <w:r>
        <w:rPr>
          <w:highlight w:val="none"/>
        </w:rPr>
        <w:fldChar w:fldCharType="separate"/>
      </w:r>
      <w:r>
        <w:rPr>
          <w:highlight w:val="none"/>
        </w:rPr>
        <w:t>34</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_Toc29890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24"/>
          <w:highlight w:val="none"/>
        </w:rPr>
        <w:t>7</w:t>
      </w:r>
      <w:r>
        <w:rPr>
          <w:rFonts w:hint="eastAsia" w:ascii="微软雅黑" w:hAnsi="微软雅黑" w:eastAsia="微软雅黑" w:cs="微软雅黑"/>
          <w:szCs w:val="24"/>
          <w:highlight w:val="none"/>
          <w:lang w:eastAsia="zh-CN"/>
        </w:rPr>
        <w:t>、</w:t>
      </w:r>
      <w:r>
        <w:rPr>
          <w:rFonts w:hint="eastAsia" w:ascii="微软雅黑" w:hAnsi="微软雅黑" w:eastAsia="微软雅黑" w:cs="微软雅黑"/>
          <w:szCs w:val="24"/>
          <w:highlight w:val="none"/>
        </w:rPr>
        <w:t>供应商关联单位的说明</w:t>
      </w:r>
      <w:r>
        <w:rPr>
          <w:highlight w:val="none"/>
        </w:rPr>
        <w:tab/>
      </w:r>
      <w:r>
        <w:rPr>
          <w:highlight w:val="none"/>
        </w:rPr>
        <w:fldChar w:fldCharType="begin"/>
      </w:r>
      <w:r>
        <w:rPr>
          <w:highlight w:val="none"/>
        </w:rPr>
        <w:instrText xml:space="preserve"> PAGEREF _Toc29890 \h </w:instrText>
      </w:r>
      <w:r>
        <w:rPr>
          <w:highlight w:val="none"/>
        </w:rPr>
        <w:fldChar w:fldCharType="separate"/>
      </w:r>
      <w:r>
        <w:rPr>
          <w:highlight w:val="none"/>
        </w:rPr>
        <w:t>34</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_Toc29363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rPr>
        <w:t>8</w:t>
      </w:r>
      <w:r>
        <w:rPr>
          <w:rFonts w:hint="eastAsia" w:ascii="微软雅黑" w:hAnsi="微软雅黑" w:eastAsia="微软雅黑" w:cs="微软雅黑"/>
          <w:bCs/>
          <w:szCs w:val="24"/>
          <w:highlight w:val="none"/>
          <w:lang w:val="en-US" w:eastAsia="zh-CN"/>
        </w:rPr>
        <w:t>、</w:t>
      </w:r>
      <w:r>
        <w:rPr>
          <w:rFonts w:hint="eastAsia" w:ascii="微软雅黑" w:hAnsi="微软雅黑" w:eastAsia="微软雅黑" w:cs="微软雅黑"/>
          <w:bCs/>
          <w:szCs w:val="24"/>
          <w:highlight w:val="none"/>
        </w:rPr>
        <w:t>供应商可提供有利于投标的其他资格证明材料</w:t>
      </w:r>
      <w:r>
        <w:rPr>
          <w:highlight w:val="none"/>
        </w:rPr>
        <w:tab/>
      </w:r>
      <w:r>
        <w:rPr>
          <w:highlight w:val="none"/>
        </w:rPr>
        <w:fldChar w:fldCharType="begin"/>
      </w:r>
      <w:r>
        <w:rPr>
          <w:highlight w:val="none"/>
        </w:rPr>
        <w:instrText xml:space="preserve"> PAGEREF _Toc29363 \h </w:instrText>
      </w:r>
      <w:r>
        <w:rPr>
          <w:highlight w:val="none"/>
        </w:rPr>
        <w:fldChar w:fldCharType="separate"/>
      </w:r>
      <w:r>
        <w:rPr>
          <w:highlight w:val="none"/>
        </w:rPr>
        <w:t>34</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_Toc23253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kern w:val="0"/>
          <w:szCs w:val="24"/>
          <w:highlight w:val="none"/>
        </w:rPr>
        <w:t>9</w:t>
      </w:r>
      <w:r>
        <w:rPr>
          <w:rFonts w:hint="eastAsia" w:ascii="微软雅黑" w:hAnsi="微软雅黑" w:eastAsia="微软雅黑" w:cs="微软雅黑"/>
          <w:kern w:val="0"/>
          <w:szCs w:val="24"/>
          <w:highlight w:val="none"/>
          <w:lang w:eastAsia="zh-CN"/>
        </w:rPr>
        <w:t>、</w:t>
      </w:r>
      <w:r>
        <w:rPr>
          <w:rFonts w:hint="eastAsia" w:ascii="微软雅黑" w:hAnsi="微软雅黑" w:eastAsia="微软雅黑" w:cs="微软雅黑"/>
          <w:kern w:val="0"/>
          <w:szCs w:val="24"/>
          <w:highlight w:val="none"/>
        </w:rPr>
        <w:t>投标文件格式范本</w:t>
      </w:r>
      <w:r>
        <w:rPr>
          <w:highlight w:val="none"/>
        </w:rPr>
        <w:tab/>
      </w:r>
      <w:r>
        <w:rPr>
          <w:highlight w:val="none"/>
        </w:rPr>
        <w:fldChar w:fldCharType="begin"/>
      </w:r>
      <w:r>
        <w:rPr>
          <w:highlight w:val="none"/>
        </w:rPr>
        <w:instrText xml:space="preserve"> PAGEREF _Toc23253 \h </w:instrText>
      </w:r>
      <w:r>
        <w:rPr>
          <w:highlight w:val="none"/>
        </w:rPr>
        <w:fldChar w:fldCharType="separate"/>
      </w:r>
      <w:r>
        <w:rPr>
          <w:highlight w:val="none"/>
        </w:rPr>
        <w:t>35</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18"/>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_Toc2939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第3章  投标邀请</w:t>
      </w:r>
      <w:r>
        <w:rPr>
          <w:highlight w:val="none"/>
        </w:rPr>
        <w:tab/>
      </w:r>
      <w:r>
        <w:rPr>
          <w:highlight w:val="none"/>
        </w:rPr>
        <w:fldChar w:fldCharType="begin"/>
      </w:r>
      <w:r>
        <w:rPr>
          <w:highlight w:val="none"/>
        </w:rPr>
        <w:instrText xml:space="preserve"> PAGEREF _Toc2939 \h </w:instrText>
      </w:r>
      <w:r>
        <w:rPr>
          <w:highlight w:val="none"/>
        </w:rPr>
        <w:fldChar w:fldCharType="separate"/>
      </w:r>
      <w:r>
        <w:rPr>
          <w:highlight w:val="none"/>
        </w:rPr>
        <w:t>37</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18"/>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_Toc20889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highlight w:val="none"/>
          <w:lang w:val="en-US" w:eastAsia="zh-CN"/>
        </w:rPr>
        <w:t>第4章</w:t>
      </w:r>
      <w:r>
        <w:rPr>
          <w:rFonts w:hint="eastAsia" w:ascii="微软雅黑" w:hAnsi="微软雅黑" w:eastAsia="微软雅黑" w:cs="微软雅黑"/>
          <w:bCs/>
          <w:highlight w:val="none"/>
        </w:rPr>
        <w:t xml:space="preserve">  供应商须知资料表</w:t>
      </w:r>
      <w:r>
        <w:rPr>
          <w:highlight w:val="none"/>
        </w:rPr>
        <w:tab/>
      </w:r>
      <w:r>
        <w:rPr>
          <w:highlight w:val="none"/>
        </w:rPr>
        <w:fldChar w:fldCharType="begin"/>
      </w:r>
      <w:r>
        <w:rPr>
          <w:highlight w:val="none"/>
        </w:rPr>
        <w:instrText xml:space="preserve"> PAGEREF _Toc20889 \h </w:instrText>
      </w:r>
      <w:r>
        <w:rPr>
          <w:highlight w:val="none"/>
        </w:rPr>
        <w:fldChar w:fldCharType="separate"/>
      </w:r>
      <w:r>
        <w:rPr>
          <w:highlight w:val="none"/>
        </w:rPr>
        <w:t>40</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18"/>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_Toc32130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32"/>
          <w:highlight w:val="none"/>
        </w:rPr>
        <w:t xml:space="preserve">第5章 </w:t>
      </w:r>
      <w:r>
        <w:rPr>
          <w:rFonts w:hint="eastAsia" w:ascii="微软雅黑" w:hAnsi="微软雅黑" w:eastAsia="微软雅黑" w:cs="微软雅黑"/>
          <w:szCs w:val="32"/>
          <w:highlight w:val="none"/>
          <w:lang w:val="en-US" w:eastAsia="zh-CN"/>
        </w:rPr>
        <w:t xml:space="preserve"> 货物</w:t>
      </w:r>
      <w:r>
        <w:rPr>
          <w:rFonts w:hint="eastAsia" w:ascii="微软雅黑" w:hAnsi="微软雅黑" w:eastAsia="微软雅黑" w:cs="微软雅黑"/>
          <w:szCs w:val="32"/>
          <w:highlight w:val="none"/>
        </w:rPr>
        <w:t>内容及项目要求</w:t>
      </w:r>
      <w:r>
        <w:rPr>
          <w:highlight w:val="none"/>
        </w:rPr>
        <w:tab/>
      </w:r>
      <w:r>
        <w:rPr>
          <w:highlight w:val="none"/>
        </w:rPr>
        <w:fldChar w:fldCharType="begin"/>
      </w:r>
      <w:r>
        <w:rPr>
          <w:highlight w:val="none"/>
        </w:rPr>
        <w:instrText xml:space="preserve"> PAGEREF _Toc32130 \h </w:instrText>
      </w:r>
      <w:r>
        <w:rPr>
          <w:highlight w:val="none"/>
        </w:rPr>
        <w:fldChar w:fldCharType="separate"/>
      </w:r>
      <w:r>
        <w:rPr>
          <w:highlight w:val="none"/>
        </w:rPr>
        <w:t>44</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18"/>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_Toc17774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szCs w:val="32"/>
          <w:highlight w:val="none"/>
        </w:rPr>
        <w:t xml:space="preserve">第6章 </w:t>
      </w:r>
      <w:r>
        <w:rPr>
          <w:rFonts w:hint="eastAsia" w:ascii="微软雅黑" w:hAnsi="微软雅黑" w:eastAsia="微软雅黑" w:cs="微软雅黑"/>
          <w:szCs w:val="32"/>
          <w:highlight w:val="none"/>
          <w:lang w:val="en-US" w:eastAsia="zh-CN"/>
        </w:rPr>
        <w:t xml:space="preserve"> </w:t>
      </w:r>
      <w:r>
        <w:rPr>
          <w:rFonts w:hint="eastAsia" w:ascii="微软雅黑" w:hAnsi="微软雅黑" w:eastAsia="微软雅黑" w:cs="微软雅黑"/>
          <w:szCs w:val="32"/>
          <w:highlight w:val="none"/>
        </w:rPr>
        <w:t>评标方法和标准</w:t>
      </w:r>
      <w:r>
        <w:rPr>
          <w:highlight w:val="none"/>
        </w:rPr>
        <w:tab/>
      </w:r>
      <w:r>
        <w:rPr>
          <w:highlight w:val="none"/>
        </w:rPr>
        <w:fldChar w:fldCharType="begin"/>
      </w:r>
      <w:r>
        <w:rPr>
          <w:highlight w:val="none"/>
        </w:rPr>
        <w:instrText xml:space="preserve"> PAGEREF _Toc17774 \h </w:instrText>
      </w:r>
      <w:r>
        <w:rPr>
          <w:highlight w:val="none"/>
        </w:rPr>
        <w:fldChar w:fldCharType="separate"/>
      </w:r>
      <w:r>
        <w:rPr>
          <w:highlight w:val="none"/>
        </w:rPr>
        <w:t>46</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_Toc7579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初步评审—资格性审查表</w:t>
      </w:r>
      <w:r>
        <w:rPr>
          <w:highlight w:val="none"/>
        </w:rPr>
        <w:tab/>
      </w:r>
      <w:r>
        <w:rPr>
          <w:highlight w:val="none"/>
        </w:rPr>
        <w:fldChar w:fldCharType="begin"/>
      </w:r>
      <w:r>
        <w:rPr>
          <w:highlight w:val="none"/>
        </w:rPr>
        <w:instrText xml:space="preserve"> PAGEREF _Toc7579 \h </w:instrText>
      </w:r>
      <w:r>
        <w:rPr>
          <w:highlight w:val="none"/>
        </w:rPr>
        <w:fldChar w:fldCharType="separate"/>
      </w:r>
      <w:r>
        <w:rPr>
          <w:highlight w:val="none"/>
        </w:rPr>
        <w:t>51</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_Toc11817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highlight w:val="none"/>
        </w:rPr>
        <w:t>初步评审—符合性审查表</w:t>
      </w:r>
      <w:r>
        <w:rPr>
          <w:highlight w:val="none"/>
        </w:rPr>
        <w:tab/>
      </w:r>
      <w:r>
        <w:rPr>
          <w:highlight w:val="none"/>
        </w:rPr>
        <w:fldChar w:fldCharType="begin"/>
      </w:r>
      <w:r>
        <w:rPr>
          <w:highlight w:val="none"/>
        </w:rPr>
        <w:instrText xml:space="preserve"> PAGEREF _Toc11817 \h </w:instrText>
      </w:r>
      <w:r>
        <w:rPr>
          <w:highlight w:val="none"/>
        </w:rPr>
        <w:fldChar w:fldCharType="separate"/>
      </w:r>
      <w:r>
        <w:rPr>
          <w:highlight w:val="none"/>
        </w:rPr>
        <w:t>52</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20"/>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_Toc21743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24"/>
          <w:highlight w:val="none"/>
        </w:rPr>
        <w:t>综合评分表</w:t>
      </w:r>
      <w:r>
        <w:rPr>
          <w:highlight w:val="none"/>
        </w:rPr>
        <w:tab/>
      </w:r>
      <w:r>
        <w:rPr>
          <w:highlight w:val="none"/>
        </w:rPr>
        <w:fldChar w:fldCharType="begin"/>
      </w:r>
      <w:r>
        <w:rPr>
          <w:highlight w:val="none"/>
        </w:rPr>
        <w:instrText xml:space="preserve"> PAGEREF _Toc21743 \h </w:instrText>
      </w:r>
      <w:r>
        <w:rPr>
          <w:highlight w:val="none"/>
        </w:rPr>
        <w:fldChar w:fldCharType="separate"/>
      </w:r>
      <w:r>
        <w:rPr>
          <w:highlight w:val="none"/>
        </w:rPr>
        <w:t>53</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18"/>
        <w:tabs>
          <w:tab w:val="right" w:leader="dot" w:pos="8312"/>
        </w:tabs>
        <w:rPr>
          <w:highlight w:val="none"/>
        </w:rPr>
      </w:pPr>
      <w:r>
        <w:rPr>
          <w:rFonts w:hint="eastAsia" w:ascii="微软雅黑" w:hAnsi="微软雅黑" w:eastAsia="微软雅黑" w:cs="微软雅黑"/>
          <w:color w:val="auto"/>
          <w:kern w:val="2"/>
          <w:szCs w:val="24"/>
          <w:highlight w:val="none"/>
        </w:rPr>
        <w:fldChar w:fldCharType="begin"/>
      </w:r>
      <w:r>
        <w:rPr>
          <w:rFonts w:hint="eastAsia" w:ascii="微软雅黑" w:hAnsi="微软雅黑" w:eastAsia="微软雅黑" w:cs="微软雅黑"/>
          <w:kern w:val="2"/>
          <w:szCs w:val="24"/>
          <w:highlight w:val="none"/>
        </w:rPr>
        <w:instrText xml:space="preserve"> HYPERLINK \l _Toc11323 </w:instrText>
      </w:r>
      <w:r>
        <w:rPr>
          <w:rFonts w:hint="eastAsia" w:ascii="微软雅黑" w:hAnsi="微软雅黑" w:eastAsia="微软雅黑" w:cs="微软雅黑"/>
          <w:kern w:val="2"/>
          <w:szCs w:val="24"/>
          <w:highlight w:val="none"/>
        </w:rPr>
        <w:fldChar w:fldCharType="separate"/>
      </w:r>
      <w:r>
        <w:rPr>
          <w:rFonts w:hint="eastAsia" w:ascii="微软雅黑" w:hAnsi="微软雅黑" w:eastAsia="微软雅黑" w:cs="微软雅黑"/>
          <w:bCs/>
          <w:szCs w:val="32"/>
          <w:highlight w:val="none"/>
        </w:rPr>
        <w:t>第7章 政府采购合同</w:t>
      </w:r>
      <w:r>
        <w:rPr>
          <w:highlight w:val="none"/>
        </w:rPr>
        <w:tab/>
      </w:r>
      <w:r>
        <w:rPr>
          <w:highlight w:val="none"/>
        </w:rPr>
        <w:fldChar w:fldCharType="begin"/>
      </w:r>
      <w:r>
        <w:rPr>
          <w:highlight w:val="none"/>
        </w:rPr>
        <w:instrText xml:space="preserve"> PAGEREF _Toc11323 \h </w:instrText>
      </w:r>
      <w:r>
        <w:rPr>
          <w:highlight w:val="none"/>
        </w:rPr>
        <w:fldChar w:fldCharType="separate"/>
      </w:r>
      <w:r>
        <w:rPr>
          <w:highlight w:val="none"/>
        </w:rPr>
        <w:t>56</w:t>
      </w:r>
      <w:r>
        <w:rPr>
          <w:highlight w:val="none"/>
        </w:rPr>
        <w:fldChar w:fldCharType="end"/>
      </w:r>
      <w:r>
        <w:rPr>
          <w:rFonts w:hint="eastAsia" w:ascii="微软雅黑" w:hAnsi="微软雅黑" w:eastAsia="微软雅黑" w:cs="微软雅黑"/>
          <w:color w:val="auto"/>
          <w:kern w:val="2"/>
          <w:szCs w:val="24"/>
          <w:highlight w:val="none"/>
        </w:rPr>
        <w:fldChar w:fldCharType="end"/>
      </w:r>
    </w:p>
    <w:p>
      <w:pPr>
        <w:pStyle w:val="4"/>
        <w:ind w:firstLine="0"/>
        <w:jc w:val="center"/>
        <w:outlineLvl w:val="9"/>
        <w:rPr>
          <w:rFonts w:hint="eastAsia" w:ascii="微软雅黑" w:hAnsi="微软雅黑" w:eastAsia="微软雅黑" w:cs="微软雅黑"/>
          <w:color w:val="auto"/>
          <w:highlight w:val="none"/>
        </w:rPr>
      </w:pPr>
      <w:r>
        <w:rPr>
          <w:rFonts w:hint="eastAsia" w:ascii="微软雅黑" w:hAnsi="微软雅黑" w:eastAsia="微软雅黑" w:cs="微软雅黑"/>
          <w:color w:val="auto"/>
          <w:kern w:val="2"/>
          <w:szCs w:val="24"/>
          <w:highlight w:val="none"/>
        </w:rPr>
        <w:fldChar w:fldCharType="end"/>
      </w:r>
      <w:bookmarkStart w:id="21" w:name="_Toc8627"/>
      <w:bookmarkStart w:id="22" w:name="_Toc17230"/>
      <w:bookmarkStart w:id="23" w:name="_Toc22782"/>
      <w:bookmarkStart w:id="24" w:name="_Toc216582804"/>
      <w:bookmarkStart w:id="25" w:name="_Toc1148"/>
      <w:bookmarkStart w:id="26" w:name="_Toc25253"/>
      <w:bookmarkStart w:id="27" w:name="_Toc11115"/>
      <w:bookmarkStart w:id="28" w:name="_Toc16548"/>
      <w:bookmarkStart w:id="29" w:name="_Toc515647798"/>
      <w:r>
        <w:rPr>
          <w:rFonts w:hint="eastAsia" w:ascii="微软雅黑" w:hAnsi="微软雅黑" w:eastAsia="微软雅黑" w:cs="微软雅黑"/>
          <w:color w:val="auto"/>
          <w:highlight w:val="none"/>
        </w:rPr>
        <w:t xml:space="preserve">      </w:t>
      </w:r>
    </w:p>
    <w:p>
      <w:pPr>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br w:type="page"/>
      </w:r>
    </w:p>
    <w:bookmarkEnd w:id="21"/>
    <w:bookmarkEnd w:id="22"/>
    <w:bookmarkEnd w:id="23"/>
    <w:bookmarkEnd w:id="24"/>
    <w:p>
      <w:pPr>
        <w:pStyle w:val="4"/>
        <w:ind w:firstLine="0"/>
        <w:jc w:val="center"/>
        <w:outlineLvl w:val="0"/>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 xml:space="preserve"> </w:t>
      </w:r>
      <w:bookmarkStart w:id="30" w:name="_Toc11560"/>
      <w:bookmarkStart w:id="31" w:name="_Toc18196"/>
      <w:r>
        <w:rPr>
          <w:rFonts w:hint="eastAsia" w:ascii="微软雅黑" w:hAnsi="微软雅黑" w:eastAsia="微软雅黑" w:cs="微软雅黑"/>
          <w:b/>
          <w:bCs/>
          <w:color w:val="auto"/>
          <w:sz w:val="32"/>
          <w:szCs w:val="32"/>
          <w:highlight w:val="none"/>
        </w:rPr>
        <w:t xml:space="preserve">第1章  </w:t>
      </w:r>
      <w:bookmarkStart w:id="32" w:name="_Toc515647756"/>
      <w:r>
        <w:rPr>
          <w:rFonts w:hint="eastAsia" w:ascii="微软雅黑" w:hAnsi="微软雅黑" w:eastAsia="微软雅黑" w:cs="微软雅黑"/>
          <w:b/>
          <w:bCs/>
          <w:color w:val="auto"/>
          <w:sz w:val="32"/>
          <w:szCs w:val="32"/>
          <w:highlight w:val="none"/>
          <w:lang w:eastAsia="zh-CN"/>
        </w:rPr>
        <w:t>供应商</w:t>
      </w:r>
      <w:r>
        <w:rPr>
          <w:rFonts w:hint="eastAsia" w:ascii="微软雅黑" w:hAnsi="微软雅黑" w:eastAsia="微软雅黑" w:cs="微软雅黑"/>
          <w:b/>
          <w:bCs/>
          <w:color w:val="auto"/>
          <w:sz w:val="32"/>
          <w:szCs w:val="32"/>
          <w:highlight w:val="none"/>
        </w:rPr>
        <w:t>须知</w:t>
      </w:r>
      <w:bookmarkEnd w:id="30"/>
      <w:bookmarkEnd w:id="31"/>
      <w:bookmarkEnd w:id="32"/>
    </w:p>
    <w:p>
      <w:pPr>
        <w:pStyle w:val="7"/>
        <w:spacing w:before="0" w:line="240" w:lineRule="atLeast"/>
        <w:ind w:left="1080" w:leftChars="257" w:hanging="540"/>
        <w:rPr>
          <w:rFonts w:hint="eastAsia" w:ascii="微软雅黑" w:hAnsi="微软雅黑" w:eastAsia="微软雅黑" w:cs="微软雅黑"/>
          <w:color w:val="auto"/>
          <w:highlight w:val="none"/>
        </w:rPr>
      </w:pPr>
      <w:bookmarkStart w:id="33" w:name="_Toc216582805"/>
      <w:bookmarkStart w:id="34" w:name="_Toc515647757"/>
      <w:bookmarkStart w:id="35" w:name="_Toc520356143"/>
      <w:bookmarkStart w:id="36" w:name="_Toc10804"/>
      <w:bookmarkStart w:id="37" w:name="_Toc21215"/>
      <w:bookmarkStart w:id="38" w:name="_Toc21015"/>
      <w:bookmarkStart w:id="39" w:name="_Toc11227"/>
      <w:bookmarkStart w:id="40" w:name="_Toc24746"/>
      <w:r>
        <w:rPr>
          <w:rFonts w:hint="eastAsia" w:ascii="微软雅黑" w:hAnsi="微软雅黑" w:eastAsia="微软雅黑" w:cs="微软雅黑"/>
          <w:color w:val="auto"/>
          <w:sz w:val="28"/>
          <w:highlight w:val="none"/>
        </w:rPr>
        <w:t xml:space="preserve">一   </w:t>
      </w:r>
      <w:bookmarkEnd w:id="33"/>
      <w:bookmarkEnd w:id="34"/>
      <w:bookmarkEnd w:id="35"/>
      <w:r>
        <w:rPr>
          <w:rFonts w:hint="eastAsia" w:ascii="微软雅黑" w:hAnsi="微软雅黑" w:eastAsia="微软雅黑" w:cs="微软雅黑"/>
          <w:color w:val="auto"/>
          <w:sz w:val="28"/>
          <w:highlight w:val="none"/>
        </w:rPr>
        <w:t>总 则</w:t>
      </w:r>
      <w:bookmarkEnd w:id="36"/>
      <w:bookmarkEnd w:id="37"/>
      <w:bookmarkEnd w:id="38"/>
      <w:bookmarkEnd w:id="39"/>
      <w:bookmarkEnd w:id="40"/>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41" w:name="_Toc29554"/>
      <w:bookmarkStart w:id="42" w:name="_Toc11808"/>
      <w:bookmarkStart w:id="43" w:name="_Toc28967"/>
      <w:bookmarkStart w:id="44" w:name="_Toc4880"/>
      <w:bookmarkStart w:id="45" w:name="_Toc333"/>
      <w:bookmarkStart w:id="46" w:name="_Toc32189"/>
      <w:bookmarkStart w:id="47" w:name="_Toc520356144"/>
      <w:bookmarkStart w:id="48" w:name="_Toc12861"/>
      <w:bookmarkStart w:id="49" w:name="_Toc515647758"/>
      <w:bookmarkStart w:id="50" w:name="_Toc23985"/>
      <w:bookmarkStart w:id="51" w:name="_Toc32623"/>
      <w:bookmarkStart w:id="52" w:name="_Toc31685"/>
      <w:bookmarkStart w:id="53" w:name="_Toc6114"/>
      <w:bookmarkStart w:id="54" w:name="_Toc20793"/>
      <w:bookmarkStart w:id="55" w:name="_Toc12038"/>
      <w:bookmarkStart w:id="56" w:name="_Toc15966"/>
      <w:bookmarkStart w:id="57" w:name="_Toc15043"/>
      <w:bookmarkStart w:id="58" w:name="_Toc32450"/>
      <w:bookmarkStart w:id="59" w:name="_Toc30668"/>
      <w:bookmarkStart w:id="60" w:name="_Toc32742"/>
      <w:bookmarkStart w:id="61" w:name="_Toc18135"/>
      <w:bookmarkStart w:id="62" w:name="_Toc12120"/>
      <w:bookmarkStart w:id="63" w:name="_Toc32697"/>
      <w:bookmarkStart w:id="64" w:name="_Toc14344"/>
      <w:bookmarkStart w:id="65" w:name="_Toc23980"/>
      <w:bookmarkStart w:id="66" w:name="_Toc15895"/>
      <w:bookmarkStart w:id="67" w:name="_Toc31755"/>
      <w:bookmarkStart w:id="68" w:name="_Toc16017"/>
      <w:r>
        <w:rPr>
          <w:rFonts w:hint="eastAsia" w:ascii="微软雅黑" w:hAnsi="微软雅黑" w:eastAsia="微软雅黑" w:cs="微软雅黑"/>
          <w:color w:val="auto"/>
          <w:highlight w:val="none"/>
          <w:u w:val="none"/>
        </w:rPr>
        <w:t>采购人、采购代理机构及</w:t>
      </w:r>
      <w:bookmarkEnd w:id="41"/>
      <w:bookmarkEnd w:id="42"/>
      <w:bookmarkEnd w:id="43"/>
      <w:bookmarkEnd w:id="44"/>
      <w:bookmarkEnd w:id="45"/>
      <w:bookmarkEnd w:id="46"/>
      <w:bookmarkEnd w:id="47"/>
      <w:bookmarkEnd w:id="48"/>
      <w:bookmarkEnd w:id="49"/>
      <w:bookmarkEnd w:id="50"/>
      <w:bookmarkEnd w:id="51"/>
      <w:bookmarkEnd w:id="52"/>
      <w:r>
        <w:rPr>
          <w:rFonts w:hint="eastAsia" w:ascii="微软雅黑" w:hAnsi="微软雅黑" w:eastAsia="微软雅黑" w:cs="微软雅黑"/>
          <w:color w:val="auto"/>
          <w:highlight w:val="none"/>
          <w:u w:val="none"/>
          <w:lang w:eastAsia="zh-CN"/>
        </w:rPr>
        <w:t>供应商</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ageBreakBefore w:val="0"/>
        <w:widowControl w:val="0"/>
        <w:numPr>
          <w:ilvl w:val="0"/>
          <w:numId w:val="0"/>
        </w:numPr>
        <w:tabs>
          <w:tab w:val="left" w:pos="0"/>
        </w:tabs>
        <w:kinsoku/>
        <w:wordWrap/>
        <w:overflowPunct/>
        <w:topLinePunct w:val="0"/>
        <w:bidi w:val="0"/>
        <w:spacing w:line="360" w:lineRule="exac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 xml:space="preserve">1.1  </w:t>
      </w:r>
      <w:r>
        <w:rPr>
          <w:rFonts w:hint="eastAsia" w:ascii="微软雅黑" w:hAnsi="微软雅黑" w:eastAsia="微软雅黑" w:cs="微软雅黑"/>
          <w:color w:val="auto"/>
          <w:sz w:val="24"/>
          <w:highlight w:val="none"/>
        </w:rPr>
        <w:t>采购人：是指依法开展政府采购活动的国家机关、事业单位、团体组织。</w:t>
      </w:r>
    </w:p>
    <w:p>
      <w:pPr>
        <w:pageBreakBefore w:val="0"/>
        <w:widowControl w:val="0"/>
        <w:tabs>
          <w:tab w:val="left" w:pos="0"/>
        </w:tabs>
        <w:kinsoku/>
        <w:wordWrap/>
        <w:overflowPunct/>
        <w:topLinePunct w:val="0"/>
        <w:bidi w:val="0"/>
        <w:spacing w:line="360" w:lineRule="exact"/>
        <w:ind w:firstLine="720" w:firstLineChars="3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本项目的采购人见</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w:t>
      </w:r>
    </w:p>
    <w:p>
      <w:pPr>
        <w:pageBreakBefore w:val="0"/>
        <w:widowControl w:val="0"/>
        <w:numPr>
          <w:ilvl w:val="0"/>
          <w:numId w:val="0"/>
        </w:numPr>
        <w:tabs>
          <w:tab w:val="left" w:pos="0"/>
        </w:tabs>
        <w:kinsoku/>
        <w:wordWrap/>
        <w:overflowPunct/>
        <w:topLinePunct w:val="0"/>
        <w:bidi w:val="0"/>
        <w:spacing w:line="360" w:lineRule="exact"/>
        <w:ind w:left="720" w:hanging="720" w:hangingChars="3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 xml:space="preserve">1.2   </w:t>
      </w:r>
      <w:r>
        <w:rPr>
          <w:rFonts w:hint="eastAsia" w:ascii="微软雅黑" w:hAnsi="微软雅黑" w:eastAsia="微软雅黑" w:cs="微软雅黑"/>
          <w:color w:val="auto"/>
          <w:sz w:val="24"/>
          <w:highlight w:val="none"/>
        </w:rPr>
        <w:t>采购代理机构：是指在集中采购机构或从事采购代理业务的社会中介机构。本项目的采购代理机构见</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w:t>
      </w:r>
    </w:p>
    <w:p>
      <w:pPr>
        <w:pageBreakBefore w:val="0"/>
        <w:widowControl w:val="0"/>
        <w:numPr>
          <w:ilvl w:val="0"/>
          <w:numId w:val="0"/>
        </w:numPr>
        <w:kinsoku/>
        <w:wordWrap/>
        <w:overflowPunct/>
        <w:topLinePunct w:val="0"/>
        <w:bidi w:val="0"/>
        <w:spacing w:line="360" w:lineRule="exact"/>
        <w:ind w:left="960" w:hanging="960" w:hangingChars="4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 xml:space="preserve">1.3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：是指向采购人提供货物、工程或者服务的法人、非法人组织或者自然人。本项目的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及其投标货物须满足以下条件：</w:t>
      </w:r>
    </w:p>
    <w:p>
      <w:pPr>
        <w:pageBreakBefore w:val="0"/>
        <w:widowControl w:val="0"/>
        <w:kinsoku/>
        <w:wordWrap/>
        <w:overflowPunct/>
        <w:topLinePunct w:val="0"/>
        <w:bidi w:val="0"/>
        <w:spacing w:line="360" w:lineRule="exact"/>
        <w:ind w:left="849" w:leftChars="0" w:hanging="849" w:hangingChars="354"/>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在中华人民共和国境内注册，能够独立承担民事责任，有生产或供应能力的本国供应商。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1.3.2  具备《中华人民共和国政府采购法》第二十二条关于供应商条件的规定，遵守本项目采购人本级和上级财政部门政府采购的有关规定。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1.3.3   以采购代理机构认可的方式获得了本项目的招标文件。</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1.3.4   符合</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中规定的其他要求。</w:t>
      </w:r>
    </w:p>
    <w:p>
      <w:pPr>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1.3.5   若</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中写明专门面向中小企业采购的，如</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为非中小企业且所投产品为非中小企业产品，其投标将被认定为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    如</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中允许联合体投标，对联合体规定如下：</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1.4.1   两个以上供应商可以组成一个投标联合体，以一个</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的身份投标。</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1.4.2   联合体各方均应符合《中华人民共和国政府采购法》第二十二条规定的条件。</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1.4.3   采购人根据采购项目对</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的特殊要求，联合体中至少应当有一方符合相关规定。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1.4.4   联合体各方应签订共同投标协议，明确约定联合体各方承担的工作和相应的责任，并将共同投标协议连同作为投标文件第一部分的内容提交。</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1.4.6  联合体中有同类资质的供应商按照联合体分工承担相同工作的，按照较低的资质等级确定联合体的资质等级。</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1.4.7  以联合体形式参加政府采购活动的，联合体各方不得再单独参加或者与其他供应商另外组成联合体参加本项目投标，否则相关投标将被认定为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1.4.8   对联合体投标的其他资格要求见</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    单位负责人为同一人或者存在直接控股、管理关系的不同供应商，其相关投标将被认定为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1.6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在投标过程中不得向采购人提供、给予任何有价值的物品，影响其正常决策行为。一经发现，其将被认定为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69" w:name="_Toc29854"/>
      <w:bookmarkStart w:id="70" w:name="_Toc27814"/>
      <w:bookmarkStart w:id="71" w:name="_Toc9691"/>
      <w:bookmarkStart w:id="72" w:name="_Toc3555"/>
      <w:bookmarkStart w:id="73" w:name="_Toc4816"/>
      <w:bookmarkStart w:id="74" w:name="_Toc19431"/>
      <w:bookmarkStart w:id="75" w:name="_Toc30940"/>
      <w:bookmarkStart w:id="76" w:name="_Toc1760"/>
      <w:bookmarkStart w:id="77" w:name="_Toc19970"/>
      <w:bookmarkStart w:id="78" w:name="_Toc21286"/>
      <w:bookmarkStart w:id="79" w:name="_Toc2406"/>
      <w:bookmarkStart w:id="80" w:name="_Toc10189"/>
      <w:bookmarkStart w:id="81" w:name="_Toc515647759"/>
      <w:bookmarkStart w:id="82" w:name="_Toc13272"/>
      <w:bookmarkStart w:id="83" w:name="_Toc12139"/>
      <w:bookmarkStart w:id="84" w:name="_Toc1572"/>
      <w:bookmarkStart w:id="85" w:name="_Toc26154"/>
      <w:bookmarkStart w:id="86" w:name="_Toc16197"/>
      <w:bookmarkStart w:id="87" w:name="_Toc1403"/>
      <w:bookmarkStart w:id="88" w:name="_Toc82"/>
      <w:bookmarkStart w:id="89" w:name="_Toc7800"/>
      <w:bookmarkStart w:id="90" w:name="_Toc28511"/>
      <w:bookmarkStart w:id="91" w:name="_Toc11068"/>
      <w:bookmarkStart w:id="92" w:name="_Toc10699"/>
      <w:bookmarkStart w:id="93" w:name="_Toc5286"/>
      <w:bookmarkStart w:id="94" w:name="_Toc8897"/>
      <w:bookmarkStart w:id="95" w:name="_Toc4311"/>
      <w:r>
        <w:rPr>
          <w:rFonts w:hint="eastAsia" w:ascii="微软雅黑" w:hAnsi="微软雅黑" w:eastAsia="微软雅黑" w:cs="微软雅黑"/>
          <w:color w:val="auto"/>
          <w:highlight w:val="none"/>
          <w:u w:val="none"/>
        </w:rPr>
        <w:t>2.资金来源</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本项目的采购人已获得足以支付本次招标后所签订的合同项下的资金（包括财政性资金和本项目采购中无法与财政性资金分割的非财政性资金）。</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    项目预算金额和分项或分包最高限价</w:t>
      </w:r>
      <w:r>
        <w:rPr>
          <w:rFonts w:hint="eastAsia" w:ascii="微软雅黑" w:hAnsi="微软雅黑" w:eastAsia="微软雅黑" w:cs="微软雅黑"/>
          <w:color w:val="auto"/>
          <w:sz w:val="24"/>
          <w:highlight w:val="none"/>
          <w:u w:val="single"/>
        </w:rPr>
        <w:t>见</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2.3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报价超过招标文件规定的预算金额或者分项、分包最高限价的，其投标将被认定为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96" w:name="_Toc235"/>
      <w:bookmarkStart w:id="97" w:name="_Toc9996"/>
      <w:bookmarkStart w:id="98" w:name="_Toc15936"/>
      <w:bookmarkStart w:id="99" w:name="_Toc25239"/>
      <w:bookmarkStart w:id="100" w:name="_Toc6389"/>
      <w:bookmarkStart w:id="101" w:name="_Toc20799"/>
      <w:bookmarkStart w:id="102" w:name="_Toc515647760"/>
      <w:bookmarkStart w:id="103" w:name="_Toc16588"/>
      <w:bookmarkStart w:id="104" w:name="_Toc30708"/>
      <w:bookmarkStart w:id="105" w:name="_Toc30650"/>
      <w:bookmarkStart w:id="106" w:name="_Toc22731"/>
      <w:bookmarkStart w:id="107" w:name="_Toc2156"/>
      <w:bookmarkStart w:id="108" w:name="_Toc20539"/>
      <w:bookmarkStart w:id="109" w:name="_Toc24375"/>
      <w:bookmarkStart w:id="110" w:name="_Toc29481"/>
      <w:bookmarkStart w:id="111" w:name="_Toc14612"/>
      <w:bookmarkStart w:id="112" w:name="_Toc20526"/>
      <w:bookmarkStart w:id="113" w:name="_Toc520356145"/>
      <w:bookmarkStart w:id="114" w:name="_Toc10963"/>
      <w:bookmarkStart w:id="115" w:name="_Toc32250"/>
      <w:bookmarkStart w:id="116" w:name="_Toc5207"/>
      <w:bookmarkStart w:id="117" w:name="_Toc1678"/>
      <w:bookmarkStart w:id="118" w:name="_Toc15518"/>
      <w:bookmarkStart w:id="119" w:name="_Toc8775"/>
      <w:bookmarkStart w:id="120" w:name="_Toc20044"/>
      <w:bookmarkStart w:id="121" w:name="_Toc144"/>
      <w:bookmarkStart w:id="122" w:name="_Toc6415"/>
      <w:bookmarkStart w:id="123" w:name="_Toc29504"/>
      <w:r>
        <w:rPr>
          <w:rFonts w:hint="eastAsia" w:ascii="微软雅黑" w:hAnsi="微软雅黑" w:eastAsia="微软雅黑" w:cs="微软雅黑"/>
          <w:color w:val="auto"/>
          <w:highlight w:val="none"/>
          <w:u w:val="none"/>
        </w:rPr>
        <w:t>3.投标费用</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不论投标的结果如何，</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应承担所有与准备和参加投标有关的费用。</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124" w:name="_Toc25508"/>
      <w:bookmarkStart w:id="125" w:name="_Toc15765"/>
      <w:bookmarkStart w:id="126" w:name="_Toc23230"/>
      <w:bookmarkStart w:id="127" w:name="_Toc18172"/>
      <w:bookmarkStart w:id="128" w:name="_Toc15600"/>
      <w:bookmarkStart w:id="129" w:name="_Toc7511"/>
      <w:bookmarkStart w:id="130" w:name="_Toc14210"/>
      <w:bookmarkStart w:id="131" w:name="_Toc6759"/>
      <w:bookmarkStart w:id="132" w:name="_Toc29011"/>
      <w:bookmarkStart w:id="133" w:name="_Toc4463"/>
      <w:bookmarkStart w:id="134" w:name="_Toc21675"/>
      <w:bookmarkStart w:id="135" w:name="_Toc27687"/>
      <w:bookmarkStart w:id="136" w:name="_Toc16751"/>
      <w:bookmarkStart w:id="137" w:name="_Toc1198"/>
      <w:bookmarkStart w:id="138" w:name="_Toc16328"/>
      <w:bookmarkStart w:id="139" w:name="_Toc12920"/>
      <w:bookmarkStart w:id="140" w:name="_Toc21641"/>
      <w:bookmarkStart w:id="141" w:name="_Toc24881"/>
      <w:bookmarkStart w:id="142" w:name="_Toc30731"/>
      <w:bookmarkStart w:id="143" w:name="_Toc5853"/>
      <w:bookmarkStart w:id="144" w:name="_Toc6116"/>
      <w:bookmarkStart w:id="145" w:name="_Toc20080"/>
      <w:bookmarkStart w:id="146" w:name="_Toc515647761"/>
      <w:bookmarkStart w:id="147" w:name="_Toc11355"/>
      <w:bookmarkStart w:id="148" w:name="_Toc8894"/>
      <w:bookmarkStart w:id="149" w:name="_Toc16052"/>
      <w:bookmarkStart w:id="150" w:name="_Toc17308"/>
      <w:r>
        <w:rPr>
          <w:rFonts w:hint="eastAsia" w:ascii="微软雅黑" w:hAnsi="微软雅黑" w:eastAsia="微软雅黑" w:cs="微软雅黑"/>
          <w:color w:val="auto"/>
          <w:highlight w:val="none"/>
          <w:u w:val="none"/>
        </w:rPr>
        <w:t>4.适用法律</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本项目采购人、采购代理机构、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、评标委员会的相关行为均受《中华人民共和国政府采购法》、《中华人民共和国政府采购法实施条例》</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eastAsia="zh-CN"/>
        </w:rPr>
        <w:t>中华人民共和国财政部令第87号--政府采购货物和货物招标投标管理办法</w:t>
      </w:r>
      <w:r>
        <w:rPr>
          <w:rFonts w:hint="eastAsia" w:ascii="微软雅黑" w:hAnsi="微软雅黑" w:eastAsia="微软雅黑" w:cs="微软雅黑"/>
          <w:color w:val="auto"/>
          <w:sz w:val="24"/>
          <w:highlight w:val="none"/>
        </w:rPr>
        <w:t>》及本项目本级和上级财政部门政府采购有关规定的约束，其权利受到上述法律法规的保护。</w:t>
      </w:r>
    </w:p>
    <w:p>
      <w:pPr>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highlight w:val="none"/>
        </w:rPr>
      </w:pPr>
    </w:p>
    <w:p>
      <w:pPr>
        <w:pStyle w:val="7"/>
        <w:pageBreakBefore w:val="0"/>
        <w:widowControl w:val="0"/>
        <w:kinsoku/>
        <w:wordWrap/>
        <w:overflowPunct/>
        <w:topLinePunct w:val="0"/>
        <w:bidi w:val="0"/>
        <w:spacing w:before="0" w:line="360" w:lineRule="exact"/>
        <w:ind w:left="0" w:leftChars="0"/>
        <w:textAlignment w:val="auto"/>
        <w:rPr>
          <w:rFonts w:hint="eastAsia" w:ascii="微软雅黑" w:hAnsi="微软雅黑" w:eastAsia="微软雅黑" w:cs="微软雅黑"/>
          <w:color w:val="auto"/>
          <w:highlight w:val="none"/>
        </w:rPr>
      </w:pPr>
      <w:bookmarkStart w:id="151" w:name="_Toc515647762"/>
      <w:bookmarkStart w:id="152" w:name="_Toc31123"/>
      <w:bookmarkStart w:id="153" w:name="_Toc216582806"/>
      <w:bookmarkStart w:id="154" w:name="_Toc4365"/>
      <w:bookmarkStart w:id="155" w:name="_Toc6385"/>
      <w:bookmarkStart w:id="156" w:name="_Toc520356146"/>
      <w:bookmarkStart w:id="157" w:name="_Toc21566"/>
      <w:bookmarkStart w:id="158" w:name="_Toc8437"/>
      <w:r>
        <w:rPr>
          <w:rFonts w:hint="eastAsia" w:ascii="微软雅黑" w:hAnsi="微软雅黑" w:eastAsia="微软雅黑" w:cs="微软雅黑"/>
          <w:color w:val="auto"/>
          <w:sz w:val="28"/>
          <w:highlight w:val="none"/>
        </w:rPr>
        <w:t>二   招标文件</w:t>
      </w:r>
      <w:bookmarkEnd w:id="151"/>
      <w:bookmarkEnd w:id="152"/>
      <w:bookmarkEnd w:id="153"/>
      <w:bookmarkEnd w:id="154"/>
      <w:bookmarkEnd w:id="155"/>
      <w:bookmarkEnd w:id="156"/>
      <w:bookmarkEnd w:id="157"/>
      <w:bookmarkEnd w:id="158"/>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159" w:name="_Toc31365"/>
      <w:bookmarkStart w:id="160" w:name="_Toc18931"/>
      <w:bookmarkStart w:id="161" w:name="_Toc14084"/>
      <w:bookmarkStart w:id="162" w:name="_Toc18213"/>
      <w:bookmarkStart w:id="163" w:name="_Toc29395"/>
      <w:bookmarkStart w:id="164" w:name="_Toc10939"/>
      <w:bookmarkStart w:id="165" w:name="_Toc24971"/>
      <w:bookmarkStart w:id="166" w:name="_Toc21275"/>
      <w:bookmarkStart w:id="167" w:name="_Toc24945"/>
      <w:bookmarkStart w:id="168" w:name="_Toc21734"/>
      <w:bookmarkStart w:id="169" w:name="_Toc5875"/>
      <w:bookmarkStart w:id="170" w:name="_Toc21313"/>
      <w:bookmarkStart w:id="171" w:name="_Toc26987"/>
      <w:bookmarkStart w:id="172" w:name="_Toc515647763"/>
      <w:bookmarkStart w:id="173" w:name="_Toc18714"/>
      <w:bookmarkStart w:id="174" w:name="_Toc1044"/>
      <w:bookmarkStart w:id="175" w:name="_Toc14269"/>
      <w:bookmarkStart w:id="176" w:name="_Toc14656"/>
      <w:bookmarkStart w:id="177" w:name="_Toc12831"/>
      <w:bookmarkStart w:id="178" w:name="_Toc31428"/>
      <w:bookmarkStart w:id="179" w:name="_Toc15203"/>
      <w:bookmarkStart w:id="180" w:name="_Toc27186"/>
      <w:bookmarkStart w:id="181" w:name="_Toc25743"/>
      <w:bookmarkStart w:id="182" w:name="_Toc10025"/>
      <w:bookmarkStart w:id="183" w:name="_Toc520356147"/>
      <w:bookmarkStart w:id="184" w:name="_Toc29550"/>
      <w:bookmarkStart w:id="185" w:name="_Toc31526"/>
      <w:bookmarkStart w:id="186" w:name="_Toc30280"/>
      <w:r>
        <w:rPr>
          <w:rFonts w:hint="eastAsia" w:ascii="微软雅黑" w:hAnsi="微软雅黑" w:eastAsia="微软雅黑" w:cs="微软雅黑"/>
          <w:color w:val="auto"/>
          <w:highlight w:val="none"/>
          <w:u w:val="none"/>
        </w:rPr>
        <w:t>5.招标文件构成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招标文件分为三册共7章，内容如下：</w:t>
      </w:r>
    </w:p>
    <w:p>
      <w:pPr>
        <w:pageBreakBefore w:val="0"/>
        <w:widowControl w:val="0"/>
        <w:kinsoku/>
        <w:wordWrap/>
        <w:overflowPunct/>
        <w:topLinePunct w:val="0"/>
        <w:bidi w:val="0"/>
        <w:spacing w:line="360" w:lineRule="exact"/>
        <w:ind w:left="0" w:leftChars="0" w:firstLine="60" w:firstLineChars="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第一册</w:t>
      </w:r>
    </w:p>
    <w:p>
      <w:pPr>
        <w:pageBreakBefore w:val="0"/>
        <w:widowControl w:val="0"/>
        <w:tabs>
          <w:tab w:val="left" w:pos="0"/>
        </w:tabs>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1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须知</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2投标文件格式</w:t>
      </w:r>
    </w:p>
    <w:p>
      <w:pPr>
        <w:pageBreakBefore w:val="0"/>
        <w:widowControl w:val="0"/>
        <w:kinsoku/>
        <w:wordWrap/>
        <w:overflowPunct/>
        <w:topLinePunct w:val="0"/>
        <w:bidi w:val="0"/>
        <w:spacing w:line="360" w:lineRule="exact"/>
        <w:ind w:left="0" w:leftChars="0" w:firstLine="33" w:firstLineChars="14"/>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第二册</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 投标邀请</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4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须知资料表</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5 </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 xml:space="preserve">内容及项目要求 </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 评标方法和标准</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第三册</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7政府采购合同格式</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5.2</w:t>
      </w: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rPr>
        <w:t>如本文件的前后内容不一致，以最后描述为准。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5.3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应认真阅读招标文件所有的事项、格式、条款和技术规范等。如</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没有按照招标文件要求提交全部资料，或者投标文件没有对招标文件在各方面都做出实质性响应，可能导致其投标将被认定为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187" w:name="_Toc520356148"/>
      <w:bookmarkStart w:id="188" w:name="_Toc515904805"/>
      <w:bookmarkStart w:id="189" w:name="_Toc29627"/>
      <w:bookmarkStart w:id="190" w:name="_Toc12536"/>
      <w:bookmarkStart w:id="191" w:name="_Toc21165"/>
      <w:bookmarkStart w:id="192" w:name="_Toc20604"/>
      <w:bookmarkStart w:id="193" w:name="_Toc24450"/>
      <w:bookmarkStart w:id="194" w:name="_Toc21098"/>
      <w:bookmarkStart w:id="195" w:name="_Toc14314"/>
      <w:bookmarkStart w:id="196" w:name="_Toc22552"/>
      <w:bookmarkStart w:id="197" w:name="_Toc9232"/>
      <w:bookmarkStart w:id="198" w:name="_Toc32213"/>
      <w:bookmarkStart w:id="199" w:name="_Toc26044"/>
      <w:bookmarkStart w:id="200" w:name="_Toc20908"/>
      <w:bookmarkStart w:id="201" w:name="_Toc19275"/>
      <w:bookmarkStart w:id="202" w:name="_Toc20202"/>
      <w:bookmarkStart w:id="203" w:name="_Toc28731"/>
      <w:bookmarkStart w:id="204" w:name="_Toc18199"/>
      <w:bookmarkStart w:id="205" w:name="_Toc7432"/>
      <w:bookmarkStart w:id="206" w:name="_Toc25866"/>
      <w:bookmarkStart w:id="207" w:name="_Toc5991"/>
      <w:bookmarkStart w:id="208" w:name="_Toc10034"/>
      <w:bookmarkStart w:id="209" w:name="_Toc12813"/>
      <w:bookmarkStart w:id="210" w:name="_Toc1117"/>
      <w:bookmarkStart w:id="211" w:name="_Toc14372"/>
      <w:bookmarkStart w:id="212" w:name="_Toc10213"/>
      <w:bookmarkStart w:id="213" w:name="_Toc8643"/>
      <w:bookmarkStart w:id="214" w:name="_Toc20556"/>
      <w:r>
        <w:rPr>
          <w:rFonts w:hint="eastAsia" w:ascii="微软雅黑" w:hAnsi="微软雅黑" w:eastAsia="微软雅黑" w:cs="微软雅黑"/>
          <w:color w:val="auto"/>
          <w:highlight w:val="none"/>
          <w:u w:val="none"/>
        </w:rPr>
        <w:t>6.招标文件的澄清</w:t>
      </w:r>
      <w:bookmarkEnd w:id="187"/>
      <w:bookmarkEnd w:id="188"/>
      <w:r>
        <w:rPr>
          <w:rFonts w:hint="eastAsia" w:ascii="微软雅黑" w:hAnsi="微软雅黑" w:eastAsia="微软雅黑" w:cs="微软雅黑"/>
          <w:color w:val="auto"/>
          <w:highlight w:val="none"/>
          <w:u w:val="none"/>
        </w:rPr>
        <w:t>与修改</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4"/>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6.1    为了保证对招标文件的澄清和修改满足法律的时限要求，任何要求对招标文件进行澄清的</w:t>
      </w:r>
      <w:r>
        <w:rPr>
          <w:rFonts w:hint="eastAsia" w:ascii="微软雅黑" w:hAnsi="微软雅黑" w:eastAsia="微软雅黑" w:cs="微软雅黑"/>
          <w:color w:val="auto"/>
          <w:szCs w:val="24"/>
          <w:highlight w:val="none"/>
          <w:lang w:eastAsia="zh-CN"/>
        </w:rPr>
        <w:t>供应商</w:t>
      </w:r>
      <w:r>
        <w:rPr>
          <w:rFonts w:hint="eastAsia" w:ascii="微软雅黑" w:hAnsi="微软雅黑" w:eastAsia="微软雅黑" w:cs="微软雅黑"/>
          <w:color w:val="auto"/>
          <w:szCs w:val="24"/>
          <w:highlight w:val="none"/>
        </w:rPr>
        <w:t>，均应在投标截止期十五日前，以书面形式将澄清要求通知采购人或采购代理机构。</w:t>
      </w:r>
    </w:p>
    <w:p>
      <w:pPr>
        <w:pStyle w:val="4"/>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Cs w:val="24"/>
          <w:highlight w:val="none"/>
        </w:rPr>
      </w:pPr>
      <w:bookmarkStart w:id="215" w:name="_Toc515904806"/>
      <w:bookmarkStart w:id="216" w:name="_Ref467378678"/>
      <w:bookmarkStart w:id="217" w:name="_Toc520356149"/>
      <w:r>
        <w:rPr>
          <w:rFonts w:hint="eastAsia" w:ascii="微软雅黑" w:hAnsi="微软雅黑" w:eastAsia="微软雅黑" w:cs="微软雅黑"/>
          <w:color w:val="auto"/>
          <w:szCs w:val="24"/>
          <w:highlight w:val="none"/>
        </w:rPr>
        <w:t>6.2</w:t>
      </w:r>
      <w:r>
        <w:rPr>
          <w:rFonts w:hint="eastAsia" w:ascii="微软雅黑" w:hAnsi="微软雅黑" w:eastAsia="微软雅黑" w:cs="微软雅黑"/>
          <w:color w:val="auto"/>
          <w:szCs w:val="24"/>
          <w:highlight w:val="none"/>
        </w:rPr>
        <w:tab/>
      </w:r>
      <w:r>
        <w:rPr>
          <w:rFonts w:hint="eastAsia" w:ascii="微软雅黑" w:hAnsi="微软雅黑" w:eastAsia="微软雅黑" w:cs="微软雅黑"/>
          <w:color w:val="auto"/>
          <w:szCs w:val="24"/>
          <w:highlight w:val="none"/>
        </w:rPr>
        <w:t>采购人可主动地或在解答</w:t>
      </w:r>
      <w:r>
        <w:rPr>
          <w:rFonts w:hint="eastAsia" w:ascii="微软雅黑" w:hAnsi="微软雅黑" w:eastAsia="微软雅黑" w:cs="微软雅黑"/>
          <w:color w:val="auto"/>
          <w:szCs w:val="24"/>
          <w:highlight w:val="none"/>
          <w:lang w:eastAsia="zh-CN"/>
        </w:rPr>
        <w:t>供应商</w:t>
      </w:r>
      <w:r>
        <w:rPr>
          <w:rFonts w:hint="eastAsia" w:ascii="微软雅黑" w:hAnsi="微软雅黑" w:eastAsia="微软雅黑" w:cs="微软雅黑"/>
          <w:color w:val="auto"/>
          <w:szCs w:val="24"/>
          <w:highlight w:val="none"/>
        </w:rPr>
        <w:t>提出的澄清问题时对招标文件进行澄清或修改。采购代理机构将以发布澄清（更正）公告的方式，澄清或修改招标文件，澄清或修改内容作为招标文件的组成部分。</w:t>
      </w:r>
    </w:p>
    <w:p>
      <w:pPr>
        <w:pStyle w:val="4"/>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6.3</w:t>
      </w:r>
      <w:r>
        <w:rPr>
          <w:rFonts w:hint="eastAsia" w:ascii="微软雅黑" w:hAnsi="微软雅黑" w:eastAsia="微软雅黑" w:cs="微软雅黑"/>
          <w:color w:val="auto"/>
          <w:szCs w:val="24"/>
          <w:highlight w:val="none"/>
        </w:rPr>
        <w:tab/>
      </w:r>
      <w:r>
        <w:rPr>
          <w:rFonts w:hint="eastAsia" w:ascii="微软雅黑" w:hAnsi="微软雅黑" w:eastAsia="微软雅黑" w:cs="微软雅黑"/>
          <w:color w:val="auto"/>
          <w:szCs w:val="24"/>
          <w:highlight w:val="none"/>
        </w:rPr>
        <w:t>澄清或者修改的内容可能影响投标文件编制的，采购代理机构将以书面形式通知所有购买招标文件的潜在</w:t>
      </w:r>
      <w:r>
        <w:rPr>
          <w:rFonts w:hint="eastAsia" w:ascii="微软雅黑" w:hAnsi="微软雅黑" w:eastAsia="微软雅黑" w:cs="微软雅黑"/>
          <w:color w:val="auto"/>
          <w:szCs w:val="24"/>
          <w:highlight w:val="none"/>
          <w:lang w:eastAsia="zh-CN"/>
        </w:rPr>
        <w:t>供应商</w:t>
      </w:r>
      <w:r>
        <w:rPr>
          <w:rFonts w:hint="eastAsia" w:ascii="微软雅黑" w:hAnsi="微软雅黑" w:eastAsia="微软雅黑" w:cs="微软雅黑"/>
          <w:color w:val="auto"/>
          <w:szCs w:val="24"/>
          <w:highlight w:val="none"/>
        </w:rPr>
        <w:t>，并对其具有约束力。</w:t>
      </w:r>
      <w:r>
        <w:rPr>
          <w:rFonts w:hint="eastAsia" w:ascii="微软雅黑" w:hAnsi="微软雅黑" w:eastAsia="微软雅黑" w:cs="微软雅黑"/>
          <w:color w:val="auto"/>
          <w:szCs w:val="24"/>
          <w:highlight w:val="none"/>
          <w:lang w:eastAsia="zh-CN"/>
        </w:rPr>
        <w:t>供应商</w:t>
      </w:r>
      <w:r>
        <w:rPr>
          <w:rFonts w:hint="eastAsia" w:ascii="微软雅黑" w:hAnsi="微软雅黑" w:eastAsia="微软雅黑" w:cs="微软雅黑"/>
          <w:color w:val="auto"/>
          <w:szCs w:val="24"/>
          <w:highlight w:val="none"/>
        </w:rPr>
        <w:t>在收到上述通知后，应及时向采购代理机构回函确认。</w:t>
      </w:r>
    </w:p>
    <w:p>
      <w:pPr>
        <w:pStyle w:val="8"/>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218" w:name="_Toc25635"/>
      <w:bookmarkStart w:id="219" w:name="_Toc22107"/>
      <w:bookmarkStart w:id="220" w:name="_Toc24028"/>
      <w:bookmarkStart w:id="221" w:name="_Toc517"/>
      <w:bookmarkStart w:id="222" w:name="_Toc14569"/>
      <w:bookmarkStart w:id="223" w:name="_Toc1073"/>
      <w:bookmarkStart w:id="224" w:name="_Toc10823"/>
      <w:bookmarkStart w:id="225" w:name="_Toc32714"/>
      <w:bookmarkStart w:id="226" w:name="_Toc4777"/>
      <w:bookmarkStart w:id="227" w:name="_Toc11082"/>
      <w:bookmarkStart w:id="228" w:name="_Toc21187"/>
      <w:bookmarkStart w:id="229" w:name="_Toc14901"/>
      <w:bookmarkStart w:id="230" w:name="_Toc9080"/>
      <w:bookmarkStart w:id="231" w:name="_Toc24496"/>
      <w:bookmarkStart w:id="232" w:name="_Toc5103"/>
      <w:bookmarkStart w:id="233" w:name="_Toc7919"/>
      <w:bookmarkStart w:id="234" w:name="_Toc13079"/>
      <w:bookmarkStart w:id="235" w:name="_Toc24382"/>
      <w:bookmarkStart w:id="236" w:name="_Toc23315"/>
      <w:bookmarkStart w:id="237" w:name="_Toc20093"/>
      <w:bookmarkStart w:id="238" w:name="_Toc13423"/>
      <w:bookmarkStart w:id="239" w:name="_Toc25066"/>
      <w:bookmarkStart w:id="240" w:name="_Toc27811"/>
      <w:bookmarkStart w:id="241" w:name="_Toc978"/>
      <w:bookmarkStart w:id="242" w:name="_Toc10609"/>
      <w:bookmarkStart w:id="243" w:name="_Toc14856"/>
      <w:r>
        <w:rPr>
          <w:rFonts w:hint="eastAsia" w:ascii="微软雅黑" w:hAnsi="微软雅黑" w:eastAsia="微软雅黑" w:cs="微软雅黑"/>
          <w:color w:val="auto"/>
          <w:highlight w:val="none"/>
          <w:u w:val="none"/>
        </w:rPr>
        <w:t>7</w:t>
      </w:r>
      <w:bookmarkEnd w:id="215"/>
      <w:bookmarkEnd w:id="216"/>
      <w:bookmarkEnd w:id="217"/>
      <w:r>
        <w:rPr>
          <w:rFonts w:hint="eastAsia" w:ascii="微软雅黑" w:hAnsi="微软雅黑" w:eastAsia="微软雅黑" w:cs="微软雅黑"/>
          <w:color w:val="auto"/>
          <w:highlight w:val="none"/>
          <w:u w:val="none"/>
        </w:rPr>
        <w:t>.投标截止时间的顺延</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8"/>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为使</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准备投标时有足够的时间对招标文件的澄清或者修改部分进行研究，采购人将依法决定是否顺延投标截止时间。</w:t>
      </w:r>
      <w:bookmarkStart w:id="244" w:name="_Toc516367020"/>
      <w:bookmarkStart w:id="245" w:name="_Toc7636"/>
      <w:bookmarkStart w:id="246" w:name="_Toc515647766"/>
      <w:bookmarkStart w:id="247" w:name="_Toc520356150"/>
      <w:bookmarkStart w:id="248" w:name="_Toc30808"/>
      <w:bookmarkStart w:id="249" w:name="_Toc216582807"/>
    </w:p>
    <w:p>
      <w:pPr>
        <w:pageBreakBefore w:val="0"/>
        <w:widowControl w:val="0"/>
        <w:tabs>
          <w:tab w:val="left" w:pos="900"/>
        </w:tabs>
        <w:kinsoku/>
        <w:wordWrap/>
        <w:overflowPunct/>
        <w:topLinePunct w:val="0"/>
        <w:bidi w:val="0"/>
        <w:spacing w:line="360" w:lineRule="exact"/>
        <w:ind w:left="0" w:leftChars="0" w:hanging="540"/>
        <w:textAlignment w:val="auto"/>
        <w:rPr>
          <w:rFonts w:hint="eastAsia" w:ascii="微软雅黑" w:hAnsi="微软雅黑" w:eastAsia="微软雅黑" w:cs="微软雅黑"/>
          <w:color w:val="auto"/>
          <w:sz w:val="28"/>
          <w:highlight w:val="none"/>
        </w:rPr>
      </w:pPr>
    </w:p>
    <w:p>
      <w:pPr>
        <w:pStyle w:val="7"/>
        <w:pageBreakBefore w:val="0"/>
        <w:widowControl w:val="0"/>
        <w:tabs>
          <w:tab w:val="left" w:pos="900"/>
        </w:tabs>
        <w:kinsoku/>
        <w:wordWrap/>
        <w:overflowPunct/>
        <w:topLinePunct w:val="0"/>
        <w:bidi w:val="0"/>
        <w:spacing w:before="0" w:line="360" w:lineRule="exact"/>
        <w:ind w:left="0" w:leftChars="0" w:hanging="540"/>
        <w:textAlignment w:val="auto"/>
        <w:rPr>
          <w:rFonts w:hint="eastAsia" w:ascii="微软雅黑" w:hAnsi="微软雅黑" w:eastAsia="微软雅黑" w:cs="微软雅黑"/>
          <w:color w:val="auto"/>
          <w:sz w:val="28"/>
          <w:highlight w:val="none"/>
        </w:rPr>
      </w:pPr>
      <w:bookmarkStart w:id="250" w:name="_Toc29522"/>
      <w:bookmarkStart w:id="251" w:name="_Toc21912"/>
      <w:bookmarkStart w:id="252" w:name="_Toc2750"/>
      <w:r>
        <w:rPr>
          <w:rFonts w:hint="eastAsia" w:ascii="微软雅黑" w:hAnsi="微软雅黑" w:eastAsia="微软雅黑" w:cs="微软雅黑"/>
          <w:color w:val="auto"/>
          <w:sz w:val="28"/>
          <w:highlight w:val="none"/>
        </w:rPr>
        <w:t>三   投标文件</w:t>
      </w:r>
      <w:bookmarkEnd w:id="244"/>
      <w:r>
        <w:rPr>
          <w:rFonts w:hint="eastAsia" w:ascii="微软雅黑" w:hAnsi="微软雅黑" w:eastAsia="微软雅黑" w:cs="微软雅黑"/>
          <w:color w:val="auto"/>
          <w:sz w:val="28"/>
          <w:highlight w:val="none"/>
        </w:rPr>
        <w:t>的编制</w:t>
      </w:r>
      <w:bookmarkEnd w:id="245"/>
      <w:bookmarkEnd w:id="246"/>
      <w:bookmarkEnd w:id="247"/>
      <w:bookmarkEnd w:id="248"/>
      <w:bookmarkEnd w:id="249"/>
      <w:bookmarkEnd w:id="250"/>
      <w:bookmarkEnd w:id="251"/>
      <w:bookmarkEnd w:id="252"/>
    </w:p>
    <w:p>
      <w:pPr>
        <w:pStyle w:val="4"/>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highlight w:val="none"/>
        </w:rPr>
      </w:pPr>
    </w:p>
    <w:p>
      <w:pPr>
        <w:pStyle w:val="8"/>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253" w:name="_Toc5025"/>
      <w:bookmarkStart w:id="254" w:name="_Toc14086"/>
      <w:bookmarkStart w:id="255" w:name="_Toc515647767"/>
      <w:bookmarkStart w:id="256" w:name="_Toc32487"/>
      <w:bookmarkStart w:id="257" w:name="_Toc17410"/>
      <w:bookmarkStart w:id="258" w:name="_Toc3553"/>
      <w:bookmarkStart w:id="259" w:name="_Toc2539"/>
      <w:bookmarkStart w:id="260" w:name="_Toc30204"/>
      <w:bookmarkStart w:id="261" w:name="_Toc10748"/>
      <w:bookmarkStart w:id="262" w:name="_Toc24558"/>
      <w:bookmarkStart w:id="263" w:name="_Toc516367021"/>
      <w:bookmarkStart w:id="264" w:name="_Toc28980"/>
      <w:bookmarkStart w:id="265" w:name="_Toc12887"/>
      <w:bookmarkStart w:id="266" w:name="_Toc7120"/>
      <w:bookmarkStart w:id="267" w:name="_Toc1632"/>
      <w:bookmarkStart w:id="268" w:name="_Toc14739"/>
      <w:bookmarkStart w:id="269" w:name="_Toc25093"/>
      <w:bookmarkStart w:id="270" w:name="_Toc7114"/>
      <w:bookmarkStart w:id="271" w:name="_Toc15642"/>
      <w:bookmarkStart w:id="272" w:name="_Toc14602"/>
      <w:bookmarkStart w:id="273" w:name="_Toc2129"/>
      <w:bookmarkStart w:id="274" w:name="_Toc10810"/>
      <w:bookmarkStart w:id="275" w:name="_Toc20486"/>
      <w:bookmarkStart w:id="276" w:name="_Toc13375"/>
      <w:bookmarkStart w:id="277" w:name="_Toc30945"/>
      <w:bookmarkStart w:id="278" w:name="_Toc520356151"/>
      <w:bookmarkStart w:id="279" w:name="_Toc28288"/>
      <w:bookmarkStart w:id="280" w:name="_Toc11687"/>
      <w:bookmarkStart w:id="281" w:name="_Toc7786"/>
      <w:r>
        <w:rPr>
          <w:rFonts w:hint="eastAsia" w:ascii="微软雅黑" w:hAnsi="微软雅黑" w:eastAsia="微软雅黑" w:cs="微软雅黑"/>
          <w:color w:val="auto"/>
          <w:highlight w:val="none"/>
          <w:u w:val="none"/>
        </w:rPr>
        <w:t>8.</w:t>
      </w:r>
      <w:r>
        <w:rPr>
          <w:rFonts w:hint="eastAsia" w:ascii="微软雅黑" w:hAnsi="微软雅黑" w:eastAsia="微软雅黑" w:cs="微软雅黑"/>
          <w:color w:val="auto"/>
          <w:highlight w:val="none"/>
          <w:u w:val="none"/>
        </w:rPr>
        <w:tab/>
      </w:r>
      <w:r>
        <w:rPr>
          <w:rFonts w:hint="eastAsia" w:ascii="微软雅黑" w:hAnsi="微软雅黑" w:eastAsia="微软雅黑" w:cs="微软雅黑"/>
          <w:color w:val="auto"/>
          <w:highlight w:val="none"/>
          <w:u w:val="none"/>
        </w:rPr>
        <w:t>投标范围及投标文件中标准和计量单位的使用</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项目有分包的，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可对招标文件其中某一个或几个分包服务进行投标，除非在</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中另有规定。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8.2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应当对所投分包招标文件中“</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内容及项目要求”所列的所有内容进行投标，如仅响应某一包中的部分内容，其该包投标将被认定为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8.3     除招标文件中有特殊要求外，投标文件中所使用的计量单位，应采用中华人民共和国法定计量单位。</w:t>
      </w:r>
    </w:p>
    <w:p>
      <w:pPr>
        <w:pStyle w:val="8"/>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282" w:name="_Toc516367022"/>
      <w:bookmarkStart w:id="283" w:name="_Ref467306195"/>
      <w:bookmarkStart w:id="284" w:name="_Ref467306676"/>
      <w:bookmarkStart w:id="285" w:name="_Toc16016"/>
      <w:bookmarkStart w:id="286" w:name="_Toc22417"/>
      <w:bookmarkStart w:id="287" w:name="_Toc20101"/>
      <w:bookmarkStart w:id="288" w:name="_Toc520356152"/>
      <w:bookmarkStart w:id="289" w:name="_Toc25596"/>
      <w:bookmarkStart w:id="290" w:name="_Toc515647768"/>
      <w:bookmarkStart w:id="291" w:name="_Toc18991"/>
      <w:bookmarkStart w:id="292" w:name="_Toc22958"/>
      <w:bookmarkStart w:id="293" w:name="_Toc907"/>
      <w:bookmarkStart w:id="294" w:name="_Toc11452"/>
      <w:bookmarkStart w:id="295" w:name="_Toc10364"/>
      <w:bookmarkStart w:id="296" w:name="_Toc23114"/>
      <w:bookmarkStart w:id="297" w:name="_Toc10573"/>
      <w:bookmarkStart w:id="298" w:name="_Toc22897"/>
      <w:bookmarkStart w:id="299" w:name="_Toc26873"/>
      <w:bookmarkStart w:id="300" w:name="_Toc28307"/>
      <w:bookmarkStart w:id="301" w:name="_Toc11144"/>
      <w:bookmarkStart w:id="302" w:name="_Toc258"/>
      <w:bookmarkStart w:id="303" w:name="_Toc7658"/>
      <w:bookmarkStart w:id="304" w:name="_Toc4852"/>
      <w:bookmarkStart w:id="305" w:name="_Toc9418"/>
      <w:bookmarkStart w:id="306" w:name="_Toc15740"/>
      <w:bookmarkStart w:id="307" w:name="_Toc23291"/>
      <w:bookmarkStart w:id="308" w:name="_Toc6152"/>
      <w:bookmarkStart w:id="309" w:name="_Toc12220"/>
      <w:bookmarkStart w:id="310" w:name="_Toc18673"/>
      <w:bookmarkStart w:id="311" w:name="_Toc11888"/>
      <w:bookmarkStart w:id="312" w:name="_Toc7278"/>
      <w:r>
        <w:rPr>
          <w:rFonts w:hint="eastAsia" w:ascii="微软雅黑" w:hAnsi="微软雅黑" w:eastAsia="微软雅黑" w:cs="微软雅黑"/>
          <w:color w:val="auto"/>
          <w:highlight w:val="none"/>
          <w:u w:val="none"/>
        </w:rPr>
        <w:t>9.投标文件</w:t>
      </w:r>
      <w:bookmarkEnd w:id="282"/>
      <w:bookmarkEnd w:id="283"/>
      <w:bookmarkEnd w:id="284"/>
      <w:r>
        <w:rPr>
          <w:rFonts w:hint="eastAsia" w:ascii="微软雅黑" w:hAnsi="微软雅黑" w:eastAsia="微软雅黑" w:cs="微软雅黑"/>
          <w:color w:val="auto"/>
          <w:highlight w:val="none"/>
          <w:u w:val="none"/>
        </w:rPr>
        <w:t>构成</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ageBreakBefore w:val="0"/>
        <w:widowControl w:val="0"/>
        <w:tabs>
          <w:tab w:val="left" w:pos="900"/>
          <w:tab w:val="left" w:pos="5580"/>
        </w:tabs>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highlight w:val="none"/>
          <w:u w:val="single"/>
        </w:rPr>
      </w:pPr>
      <w:bookmarkStart w:id="313" w:name="_Ref467052588"/>
      <w:r>
        <w:rPr>
          <w:rFonts w:hint="eastAsia" w:ascii="微软雅黑" w:hAnsi="微软雅黑" w:eastAsia="微软雅黑" w:cs="微软雅黑"/>
          <w:color w:val="auto"/>
          <w:sz w:val="24"/>
          <w:highlight w:val="none"/>
        </w:rPr>
        <w:t xml:space="preserve">9.1    </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b/>
          <w:bCs/>
          <w:sz w:val="24"/>
          <w:highlight w:val="none"/>
          <w:u w:val="single"/>
        </w:rPr>
        <w:t>供应商应完整地按招标文件提供的投标文件格式及要求编写投标文件，根据平台关联点上传对应佐证资料，投标文件应包括“开标一览表及资格证明文件”和“商务及技术文件”两部分，两部分合并成完整一册上传至政采云平台。供应商应承担</w:t>
      </w:r>
      <w:r>
        <w:rPr>
          <w:rFonts w:hint="eastAsia" w:ascii="微软雅黑" w:hAnsi="微软雅黑" w:eastAsia="微软雅黑" w:cs="微软雅黑"/>
          <w:b/>
          <w:bCs/>
          <w:sz w:val="24"/>
          <w:highlight w:val="none"/>
          <w:u w:val="single"/>
          <w:lang w:val="en-US" w:eastAsia="zh-CN"/>
        </w:rPr>
        <w:t>上传</w:t>
      </w:r>
      <w:r>
        <w:rPr>
          <w:rFonts w:hint="eastAsia" w:ascii="微软雅黑" w:hAnsi="微软雅黑" w:eastAsia="微软雅黑" w:cs="微软雅黑"/>
          <w:b/>
          <w:bCs/>
          <w:sz w:val="24"/>
          <w:highlight w:val="none"/>
          <w:u w:val="single"/>
        </w:rPr>
        <w:t>失误产生的任何后果。</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9.2    上述文件应按照招标文件规定的格式填写、签署和盖章。</w:t>
      </w:r>
      <w:bookmarkEnd w:id="313"/>
    </w:p>
    <w:p>
      <w:pPr>
        <w:pStyle w:val="8"/>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lang w:eastAsia="zh-CN"/>
        </w:rPr>
      </w:pPr>
      <w:bookmarkStart w:id="314" w:name="_Toc22195"/>
      <w:bookmarkStart w:id="315" w:name="_Toc515647769"/>
      <w:bookmarkStart w:id="316" w:name="_Toc516367023"/>
      <w:bookmarkStart w:id="317" w:name="_Toc10379"/>
      <w:bookmarkStart w:id="318" w:name="_Toc2056"/>
      <w:bookmarkStart w:id="319" w:name="_Toc6978"/>
      <w:bookmarkStart w:id="320" w:name="_Toc520356153"/>
      <w:bookmarkStart w:id="321" w:name="_Toc30354"/>
      <w:bookmarkStart w:id="322" w:name="_Toc17715"/>
      <w:bookmarkStart w:id="323" w:name="_Toc12338"/>
      <w:bookmarkStart w:id="324" w:name="_Toc12121"/>
      <w:bookmarkStart w:id="325" w:name="_Toc4601"/>
      <w:bookmarkStart w:id="326" w:name="_Toc14035"/>
      <w:bookmarkStart w:id="327" w:name="_Toc17150"/>
      <w:bookmarkStart w:id="328" w:name="_Toc15151"/>
      <w:bookmarkStart w:id="329" w:name="_Toc10584"/>
      <w:bookmarkStart w:id="330" w:name="_Toc17541"/>
      <w:bookmarkStart w:id="331" w:name="_Toc23028"/>
      <w:bookmarkStart w:id="332" w:name="_Toc32499"/>
      <w:bookmarkStart w:id="333" w:name="_Toc9764"/>
      <w:bookmarkStart w:id="334" w:name="_Toc1879"/>
      <w:bookmarkStart w:id="335" w:name="_Toc28823"/>
      <w:bookmarkStart w:id="336" w:name="_Toc286"/>
      <w:bookmarkStart w:id="337" w:name="_Toc14265"/>
      <w:bookmarkStart w:id="338" w:name="_Toc32119"/>
      <w:bookmarkStart w:id="339" w:name="_Toc28842"/>
      <w:bookmarkStart w:id="340" w:name="_Toc6734"/>
      <w:bookmarkStart w:id="341" w:name="_Toc18045"/>
      <w:bookmarkStart w:id="342" w:name="_Toc31216"/>
      <w:r>
        <w:rPr>
          <w:rFonts w:hint="eastAsia" w:ascii="微软雅黑" w:hAnsi="微软雅黑" w:eastAsia="微软雅黑" w:cs="微软雅黑"/>
          <w:color w:val="auto"/>
          <w:highlight w:val="none"/>
          <w:u w:val="none"/>
        </w:rPr>
        <w:t>10.</w:t>
      </w:r>
      <w:r>
        <w:rPr>
          <w:rFonts w:hint="eastAsia" w:ascii="微软雅黑" w:hAnsi="微软雅黑" w:eastAsia="微软雅黑" w:cs="微软雅黑"/>
          <w:color w:val="auto"/>
          <w:highlight w:val="none"/>
          <w:u w:val="none"/>
        </w:rPr>
        <w:tab/>
      </w:r>
      <w:r>
        <w:rPr>
          <w:rFonts w:hint="eastAsia" w:ascii="微软雅黑" w:hAnsi="微软雅黑" w:eastAsia="微软雅黑" w:cs="微软雅黑"/>
          <w:color w:val="auto"/>
          <w:highlight w:val="none"/>
          <w:u w:val="none"/>
        </w:rPr>
        <w:t>证明投标的的合格性和符合招标文件规定的技术文件</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ascii="微软雅黑" w:hAnsi="微软雅黑" w:eastAsia="微软雅黑" w:cs="微软雅黑"/>
          <w:color w:val="auto"/>
          <w:highlight w:val="none"/>
          <w:u w:val="none"/>
          <w:lang w:eastAsia="zh-CN"/>
        </w:rPr>
        <w:t>。</w:t>
      </w:r>
      <w:bookmarkEnd w:id="330"/>
      <w:bookmarkEnd w:id="331"/>
      <w:bookmarkEnd w:id="332"/>
      <w:bookmarkEnd w:id="333"/>
      <w:bookmarkEnd w:id="334"/>
      <w:bookmarkEnd w:id="335"/>
      <w:bookmarkEnd w:id="336"/>
      <w:bookmarkEnd w:id="337"/>
      <w:bookmarkEnd w:id="338"/>
      <w:bookmarkEnd w:id="339"/>
      <w:bookmarkEnd w:id="340"/>
      <w:bookmarkEnd w:id="341"/>
      <w:bookmarkEnd w:id="342"/>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应提交证明文件，证明其投标内容符合招标文件规定。该证明文件是投标文件的一部分。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bookmarkStart w:id="343" w:name="_Ref467306244"/>
      <w:r>
        <w:rPr>
          <w:rFonts w:hint="eastAsia" w:ascii="微软雅黑" w:hAnsi="微软雅黑" w:eastAsia="微软雅黑" w:cs="微软雅黑"/>
          <w:color w:val="auto"/>
          <w:sz w:val="24"/>
          <w:highlight w:val="none"/>
        </w:rPr>
        <w:t>10.2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上款所述的证明文件，可以是文字资料、图纸和数据，</w:t>
      </w:r>
      <w:bookmarkEnd w:id="343"/>
      <w:r>
        <w:rPr>
          <w:rFonts w:hint="eastAsia" w:ascii="微软雅黑" w:hAnsi="微软雅黑" w:eastAsia="微软雅黑" w:cs="微软雅黑"/>
          <w:color w:val="auto"/>
          <w:sz w:val="24"/>
          <w:highlight w:val="none"/>
        </w:rPr>
        <w:t>它包括：</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10.2.1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设备主要技术指标的详细说明；</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10.2.2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货物从买方开始使用至谈判文件规定的保质期内正常、连续地使用所必须的备件和专用工具清单，包括备件和专用工具的货源及现行价格；</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10.2.3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对照招标文件技术规格，逐条说明所提供</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及伴随的工程和</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已对招标文件的技术规格做出了实质性的响应，或申明与技术规格条文的偏差和例外。</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在投标中可以选用替代牌号或分类号，但这些替代要实质上相当于技术规格的要求。采购人、采购代理机构承诺不以上述参照品牌型号或分类号作为评标时判定其投标是否有效的标准。</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344" w:name="_Toc24510"/>
      <w:bookmarkStart w:id="345" w:name="_Toc28501"/>
      <w:bookmarkStart w:id="346" w:name="_Toc32747"/>
      <w:bookmarkStart w:id="347" w:name="_Toc16452"/>
      <w:bookmarkStart w:id="348" w:name="_Toc23231"/>
      <w:bookmarkStart w:id="349" w:name="_Toc29220"/>
      <w:bookmarkStart w:id="350" w:name="_Toc515647770"/>
      <w:bookmarkStart w:id="351" w:name="_Toc2248"/>
      <w:bookmarkStart w:id="352" w:name="_Toc30162"/>
      <w:bookmarkStart w:id="353" w:name="_Toc6338"/>
      <w:bookmarkStart w:id="354" w:name="_Toc30792"/>
      <w:bookmarkStart w:id="355" w:name="_Toc25118"/>
      <w:bookmarkStart w:id="356" w:name="_Toc3868"/>
      <w:bookmarkStart w:id="357" w:name="_Toc25641"/>
      <w:bookmarkStart w:id="358" w:name="_Toc28480"/>
      <w:bookmarkStart w:id="359" w:name="_Toc520356155"/>
      <w:bookmarkStart w:id="360" w:name="_Toc24468"/>
      <w:bookmarkStart w:id="361" w:name="_Toc9374"/>
      <w:bookmarkStart w:id="362" w:name="_Toc21396"/>
      <w:bookmarkStart w:id="363" w:name="_Toc301"/>
      <w:bookmarkStart w:id="364" w:name="_Toc16481"/>
      <w:bookmarkStart w:id="365" w:name="_Toc30467"/>
      <w:bookmarkStart w:id="366" w:name="_Toc11160"/>
      <w:bookmarkStart w:id="367" w:name="_Toc29204"/>
      <w:bookmarkStart w:id="368" w:name="_Toc5886"/>
      <w:bookmarkStart w:id="369" w:name="_Toc26145"/>
      <w:bookmarkStart w:id="370" w:name="_Toc14799"/>
      <w:bookmarkStart w:id="371" w:name="_Toc5144"/>
      <w:r>
        <w:rPr>
          <w:rFonts w:hint="eastAsia" w:ascii="微软雅黑" w:hAnsi="微软雅黑" w:eastAsia="微软雅黑" w:cs="微软雅黑"/>
          <w:color w:val="auto"/>
          <w:highlight w:val="none"/>
          <w:u w:val="none"/>
        </w:rPr>
        <w:t>11.投标报价</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所有投标均以人民币报价。</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的投标报价应遵守《中华人民共和国价格法》。同时，根据《中华人民共和国政府采购法》第二条的规定，为保证公平竞争，如有主体部分的赠与行为，其投标将被认定为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应在投标分项报价表上标明投标相关</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的单价（如适用）和总价，并由法定代表人或其授权代表签署。</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投标分项报价表上的价格应按下列方式填写；</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11.4</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所报的各分项投标单价在合同履行过程中是固定不变的，不得以任何理由予以变更。任何包含价格调整要求的投标，其投标将被认定为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11.5</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每种</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只能有一个投标报价。采购人不接受具有附加条件的报价。</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372" w:name="_Toc30245"/>
      <w:bookmarkStart w:id="373" w:name="_Toc20304"/>
      <w:bookmarkStart w:id="374" w:name="_Toc21719"/>
      <w:bookmarkStart w:id="375" w:name="_Toc19711"/>
      <w:bookmarkStart w:id="376" w:name="_Toc797"/>
      <w:bookmarkStart w:id="377" w:name="_Toc18556"/>
      <w:bookmarkStart w:id="378" w:name="_Toc1683"/>
      <w:bookmarkStart w:id="379" w:name="_Toc15349"/>
      <w:bookmarkStart w:id="380" w:name="_Toc520356156"/>
      <w:bookmarkStart w:id="381" w:name="_Toc25003"/>
      <w:bookmarkStart w:id="382" w:name="_Toc3670"/>
      <w:bookmarkStart w:id="383" w:name="_Toc18712"/>
      <w:bookmarkStart w:id="384" w:name="_Toc22722"/>
      <w:bookmarkStart w:id="385" w:name="_Toc24283"/>
      <w:bookmarkStart w:id="386" w:name="_Toc23666"/>
      <w:bookmarkStart w:id="387" w:name="_Toc9261"/>
      <w:bookmarkStart w:id="388" w:name="_Toc11514"/>
      <w:bookmarkStart w:id="389" w:name="_Toc515647771"/>
      <w:bookmarkStart w:id="390" w:name="_Toc9203"/>
      <w:bookmarkStart w:id="391" w:name="_Toc401"/>
      <w:bookmarkStart w:id="392" w:name="_Toc23784"/>
      <w:bookmarkStart w:id="393" w:name="_Toc17788"/>
      <w:bookmarkStart w:id="394" w:name="_Ref467306513"/>
      <w:bookmarkStart w:id="395" w:name="_Toc28149"/>
      <w:bookmarkStart w:id="396" w:name="_Toc19603"/>
      <w:bookmarkStart w:id="397" w:name="_Toc24205"/>
      <w:bookmarkStart w:id="398" w:name="_Toc5648"/>
      <w:bookmarkStart w:id="399" w:name="_Toc28730"/>
      <w:bookmarkStart w:id="400" w:name="_Toc10329"/>
      <w:r>
        <w:rPr>
          <w:rFonts w:hint="eastAsia" w:ascii="微软雅黑" w:hAnsi="微软雅黑" w:eastAsia="微软雅黑" w:cs="微软雅黑"/>
          <w:color w:val="auto"/>
          <w:highlight w:val="none"/>
          <w:u w:val="none"/>
        </w:rPr>
        <w:t>12.投标保证金</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bookmarkStart w:id="401" w:name="_Ref467306302"/>
      <w:r>
        <w:rPr>
          <w:rFonts w:hint="eastAsia" w:ascii="微软雅黑" w:hAnsi="微软雅黑" w:eastAsia="微软雅黑" w:cs="微软雅黑"/>
          <w:color w:val="auto"/>
          <w:sz w:val="24"/>
          <w:highlight w:val="none"/>
        </w:rPr>
        <w:t>12.1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应提交</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中规定的投标保证金</w:t>
      </w:r>
      <w:bookmarkEnd w:id="401"/>
      <w:r>
        <w:rPr>
          <w:rFonts w:hint="eastAsia" w:ascii="微软雅黑" w:hAnsi="微软雅黑" w:eastAsia="微软雅黑" w:cs="微软雅黑"/>
          <w:color w:val="auto"/>
          <w:sz w:val="24"/>
          <w:highlight w:val="none"/>
        </w:rPr>
        <w:t>，并作为其投标的一部分。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存在下列情形的，投标保证金不予退还：</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（1）在投标有效期内，撤销投标的；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（2）中标后不按本须知第30条的规定与采购人签订合同的；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（3）中标后不按本须知第31条的规定提交履约保证金的；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（4）中标后不按本须知第32条的规定缴纳中标服务费的；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（5）存在其他违法违规行为的。</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bookmarkStart w:id="402" w:name="_Ref467306336"/>
      <w:r>
        <w:rPr>
          <w:rFonts w:hint="eastAsia" w:ascii="微软雅黑" w:hAnsi="微软雅黑" w:eastAsia="微软雅黑" w:cs="微软雅黑"/>
          <w:color w:val="auto"/>
          <w:sz w:val="24"/>
          <w:highlight w:val="none"/>
        </w:rPr>
        <w:t>12.3</w:t>
      </w:r>
      <w:r>
        <w:rPr>
          <w:rFonts w:hint="eastAsia" w:ascii="微软雅黑" w:hAnsi="微软雅黑" w:eastAsia="微软雅黑" w:cs="微软雅黑"/>
          <w:color w:val="auto"/>
          <w:sz w:val="24"/>
          <w:highlight w:val="none"/>
        </w:rPr>
        <w:tab/>
      </w:r>
      <w:bookmarkEnd w:id="402"/>
      <w:r>
        <w:rPr>
          <w:rFonts w:hint="eastAsia" w:ascii="微软雅黑" w:hAnsi="微软雅黑" w:eastAsia="微软雅黑" w:cs="微软雅黑"/>
          <w:color w:val="auto"/>
          <w:sz w:val="24"/>
          <w:highlight w:val="none"/>
        </w:rPr>
        <w:t>政府采购信用担保试点范围内的项目，接受符合财政部门规定的政府采购投标担</w:t>
      </w:r>
      <w:r>
        <w:rPr>
          <w:rFonts w:hint="eastAsia" w:ascii="微软雅黑" w:hAnsi="微软雅黑" w:eastAsia="微软雅黑" w:cs="微软雅黑"/>
          <w:color w:val="auto"/>
          <w:sz w:val="24"/>
          <w:highlight w:val="none"/>
          <w:lang w:eastAsia="zh-CN"/>
        </w:rPr>
        <w:t>开户行银行保函</w:t>
      </w:r>
      <w:r>
        <w:rPr>
          <w:rFonts w:hint="eastAsia" w:ascii="微软雅黑" w:hAnsi="微软雅黑" w:eastAsia="微软雅黑" w:cs="微软雅黑"/>
          <w:color w:val="auto"/>
          <w:sz w:val="24"/>
          <w:highlight w:val="none"/>
        </w:rPr>
        <w:t>原件。</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12.4</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未按本须知第12.1和12.3条规定提交投标保证金的，其投标将被认定为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12.4.1  采用电汇形式的，一般可以实时入账。</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12.4.2  采用支票形式的，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则应充分考虑支票入账时间，以确保投标保证金能按时进入指定账户。根据银行信息交换和付款时间，支票从递交至实际入账一般需要4-5个工作日。如</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未及时提交支票或支票不符合银行委托收款要求（如污损、折叠、胶装等），导致投标保证金不能按时进入指定账户的，将按照招标文件的第22.2条相关规定处理。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12.5   联合体投标的，可以由联合体中的一方或者共同提交投标保证金。以一方名义提交投标保证金的，对联合体各方均具有约束力。</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投标保证金的退还</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12.6.1  中标人应在与采购人签订合同之日起5个工作日内，及时联系保证金收受机构办理投标保证金无息退还手续。</w:t>
      </w:r>
    </w:p>
    <w:p>
      <w:pPr>
        <w:pageBreakBefore w:val="0"/>
        <w:widowControl w:val="0"/>
        <w:kinsoku/>
        <w:wordWrap/>
        <w:overflowPunct/>
        <w:topLinePunct w:val="0"/>
        <w:bidi w:val="0"/>
        <w:spacing w:line="360" w:lineRule="exact"/>
        <w:ind w:left="960" w:leftChars="0" w:hanging="960" w:hangingChars="4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12.6.2  未中标</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的投标保证金将在中标通知书发出之日暨中标结果公告公布之日起5个工作日内无息退还。</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应及时联系保证金收受机构办理退还投标保证金手续。</w:t>
      </w:r>
    </w:p>
    <w:p>
      <w:pPr>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12.6.3  政府采购投标担</w:t>
      </w:r>
      <w:r>
        <w:rPr>
          <w:rFonts w:hint="eastAsia" w:ascii="微软雅黑" w:hAnsi="微软雅黑" w:eastAsia="微软雅黑" w:cs="微软雅黑"/>
          <w:color w:val="auto"/>
          <w:sz w:val="24"/>
          <w:highlight w:val="none"/>
          <w:lang w:eastAsia="zh-CN"/>
        </w:rPr>
        <w:t>开户行银行保函</w:t>
      </w:r>
      <w:r>
        <w:rPr>
          <w:rFonts w:hint="eastAsia" w:ascii="微软雅黑" w:hAnsi="微软雅黑" w:eastAsia="微软雅黑" w:cs="微软雅黑"/>
          <w:color w:val="auto"/>
          <w:sz w:val="24"/>
          <w:highlight w:val="none"/>
        </w:rPr>
        <w:t>不予退回。</w:t>
      </w:r>
    </w:p>
    <w:p>
      <w:pPr>
        <w:pageBreakBefore w:val="0"/>
        <w:widowControl w:val="0"/>
        <w:kinsoku/>
        <w:wordWrap/>
        <w:overflowPunct/>
        <w:topLinePunct w:val="0"/>
        <w:bidi w:val="0"/>
        <w:spacing w:line="360" w:lineRule="exact"/>
        <w:ind w:left="960" w:leftChars="0" w:hanging="960" w:hangingChars="4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12.7    因</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自身原因导致无法及时退还的，采购人或采购代理机构将不承担相应责任。</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403" w:name="_Toc25148"/>
      <w:bookmarkStart w:id="404" w:name="_Toc515647772"/>
      <w:bookmarkStart w:id="405" w:name="_Toc7349"/>
      <w:bookmarkStart w:id="406" w:name="_Toc17927"/>
      <w:bookmarkStart w:id="407" w:name="_Toc31306"/>
      <w:bookmarkStart w:id="408" w:name="_Toc30519"/>
      <w:bookmarkStart w:id="409" w:name="_Toc13589"/>
      <w:bookmarkStart w:id="410" w:name="_Toc13507"/>
      <w:bookmarkStart w:id="411" w:name="_Toc1977"/>
      <w:bookmarkStart w:id="412" w:name="_Toc11132"/>
      <w:bookmarkStart w:id="413" w:name="_Toc3538"/>
      <w:bookmarkStart w:id="414" w:name="_Toc18019"/>
      <w:bookmarkStart w:id="415" w:name="_Toc28650"/>
      <w:bookmarkStart w:id="416" w:name="_Toc8168"/>
      <w:bookmarkStart w:id="417" w:name="_Toc12947"/>
      <w:bookmarkStart w:id="418" w:name="_Toc11882"/>
      <w:bookmarkStart w:id="419" w:name="_Toc1255"/>
      <w:bookmarkStart w:id="420" w:name="_Toc21008"/>
      <w:bookmarkStart w:id="421" w:name="_Toc520356157"/>
      <w:bookmarkStart w:id="422" w:name="_Toc32569"/>
      <w:bookmarkStart w:id="423" w:name="_Toc19152"/>
      <w:bookmarkStart w:id="424" w:name="_Toc1719"/>
      <w:bookmarkStart w:id="425" w:name="_Toc3015"/>
      <w:bookmarkStart w:id="426" w:name="_Toc3714"/>
      <w:bookmarkStart w:id="427" w:name="_Toc14951"/>
      <w:bookmarkStart w:id="428" w:name="_Toc27999"/>
      <w:bookmarkStart w:id="429" w:name="_Toc23657"/>
      <w:bookmarkStart w:id="430" w:name="_Toc23590"/>
      <w:r>
        <w:rPr>
          <w:rFonts w:hint="eastAsia" w:ascii="微软雅黑" w:hAnsi="微软雅黑" w:eastAsia="微软雅黑" w:cs="微软雅黑"/>
          <w:color w:val="auto"/>
          <w:highlight w:val="none"/>
          <w:u w:val="none"/>
        </w:rPr>
        <w:t>13.投标有效期</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投标应在</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中规定时间内保持有效。投标有效期不满足要求的投标，其投标将被认定为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为保证有充分时间签订合同，采购人或采购代理机构可根据实际情况，在原投标有效期截止之前，要求</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延长投标文件的有效期。接受该要求的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将不会被要求和允许修正其投标，且本须知中有关投标保证金的要求须在延长的有效期内继续有效。</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可以拒绝延长投标有效期的要求，其投标保证金将及时无息退还。上述要求和答复都应以书面形式提交。</w:t>
      </w:r>
    </w:p>
    <w:p>
      <w:pPr>
        <w:pStyle w:val="8"/>
        <w:shd w:val="clear"/>
        <w:spacing w:before="0" w:after="0" w:line="360" w:lineRule="exact"/>
        <w:rPr>
          <w:rFonts w:hint="eastAsia" w:ascii="微软雅黑" w:hAnsi="微软雅黑" w:eastAsia="微软雅黑" w:cs="微软雅黑"/>
          <w:color w:val="auto"/>
          <w:highlight w:val="none"/>
          <w:u w:val="none"/>
        </w:rPr>
      </w:pPr>
      <w:bookmarkStart w:id="431" w:name="_Toc520356158"/>
      <w:bookmarkStart w:id="432" w:name="_Toc17074"/>
      <w:bookmarkStart w:id="433" w:name="_Toc29619"/>
      <w:bookmarkStart w:id="434" w:name="_Toc493"/>
      <w:bookmarkStart w:id="435" w:name="_Toc16503"/>
      <w:bookmarkStart w:id="436" w:name="_Toc10391"/>
      <w:bookmarkStart w:id="437" w:name="_Toc6286"/>
      <w:bookmarkStart w:id="438" w:name="_Toc9672"/>
      <w:bookmarkStart w:id="439" w:name="_Toc30127"/>
      <w:bookmarkStart w:id="440" w:name="_Toc3558"/>
      <w:bookmarkStart w:id="441" w:name="_Toc24787"/>
      <w:bookmarkStart w:id="442" w:name="_Toc515647773"/>
      <w:bookmarkStart w:id="443" w:name="_Toc4425"/>
      <w:bookmarkStart w:id="444" w:name="_Toc87"/>
      <w:bookmarkStart w:id="445" w:name="_Toc27307"/>
      <w:bookmarkStart w:id="446" w:name="_Toc11669"/>
      <w:bookmarkStart w:id="447" w:name="_Toc12998"/>
      <w:bookmarkStart w:id="448" w:name="_Toc26730"/>
      <w:bookmarkStart w:id="449" w:name="_Toc9768"/>
      <w:bookmarkStart w:id="450" w:name="_Toc11337"/>
      <w:bookmarkStart w:id="451" w:name="_Toc27840"/>
      <w:bookmarkStart w:id="452" w:name="_Toc27178"/>
      <w:bookmarkStart w:id="453" w:name="_Toc6302"/>
      <w:bookmarkStart w:id="454" w:name="_Toc8513"/>
      <w:r>
        <w:rPr>
          <w:rFonts w:hint="eastAsia" w:ascii="微软雅黑" w:hAnsi="微软雅黑" w:eastAsia="微软雅黑" w:cs="微软雅黑"/>
          <w:color w:val="auto"/>
          <w:highlight w:val="none"/>
          <w:u w:val="none"/>
        </w:rPr>
        <w:t>14.投标文件的签署</w:t>
      </w:r>
      <w:bookmarkEnd w:id="431"/>
      <w:r>
        <w:rPr>
          <w:rFonts w:hint="eastAsia" w:ascii="微软雅黑" w:hAnsi="微软雅黑" w:eastAsia="微软雅黑" w:cs="微软雅黑"/>
          <w:color w:val="auto"/>
          <w:highlight w:val="none"/>
          <w:u w:val="none"/>
        </w:rPr>
        <w:t>及规定</w:t>
      </w:r>
      <w:bookmarkEnd w:id="432"/>
      <w:bookmarkEnd w:id="433"/>
      <w:bookmarkEnd w:id="434"/>
      <w:bookmarkEnd w:id="435"/>
      <w:bookmarkEnd w:id="436"/>
      <w:bookmarkEnd w:id="437"/>
      <w:bookmarkEnd w:id="438"/>
      <w:bookmarkEnd w:id="439"/>
      <w:bookmarkEnd w:id="440"/>
      <w:bookmarkEnd w:id="441"/>
      <w:bookmarkEnd w:id="442"/>
      <w:bookmarkEnd w:id="443"/>
      <w:r>
        <w:rPr>
          <w:rFonts w:hint="eastAsia" w:ascii="微软雅黑" w:hAnsi="微软雅黑" w:eastAsia="微软雅黑" w:cs="微软雅黑"/>
          <w:b/>
          <w:i w:val="0"/>
          <w:caps w:val="0"/>
          <w:color w:val="auto"/>
          <w:spacing w:val="0"/>
          <w:w w:val="100"/>
          <w:sz w:val="24"/>
          <w:highlight w:val="none"/>
          <w:u w:val="single" w:color="000000"/>
          <w:lang w:eastAsia="zh-CN"/>
        </w:rPr>
        <w:t>（</w:t>
      </w:r>
      <w:r>
        <w:rPr>
          <w:rFonts w:hint="eastAsia" w:ascii="微软雅黑" w:hAnsi="微软雅黑" w:eastAsia="微软雅黑" w:cs="微软雅黑"/>
          <w:b/>
          <w:i w:val="0"/>
          <w:caps w:val="0"/>
          <w:color w:val="auto"/>
          <w:spacing w:val="0"/>
          <w:w w:val="100"/>
          <w:sz w:val="24"/>
          <w:highlight w:val="none"/>
          <w:u w:val="single" w:color="000000"/>
          <w:lang w:val="en-US" w:eastAsia="zh-CN"/>
        </w:rPr>
        <w:t>后期邮寄的投标文件</w:t>
      </w:r>
      <w:r>
        <w:rPr>
          <w:rFonts w:hint="eastAsia" w:ascii="微软雅黑" w:hAnsi="微软雅黑" w:eastAsia="微软雅黑" w:cs="微软雅黑"/>
          <w:b/>
          <w:i w:val="0"/>
          <w:caps w:val="0"/>
          <w:color w:val="auto"/>
          <w:spacing w:val="0"/>
          <w:w w:val="100"/>
          <w:sz w:val="24"/>
          <w:highlight w:val="none"/>
          <w:u w:val="single" w:color="000000"/>
          <w:lang w:eastAsia="zh-CN"/>
        </w:rPr>
        <w:t>）</w:t>
      </w:r>
      <w:bookmarkEnd w:id="444"/>
      <w:bookmarkEnd w:id="445"/>
      <w:bookmarkEnd w:id="446"/>
      <w:bookmarkEnd w:id="447"/>
      <w:bookmarkEnd w:id="448"/>
      <w:bookmarkEnd w:id="449"/>
      <w:bookmarkEnd w:id="450"/>
      <w:bookmarkEnd w:id="451"/>
      <w:bookmarkEnd w:id="452"/>
      <w:bookmarkEnd w:id="453"/>
      <w:bookmarkEnd w:id="454"/>
    </w:p>
    <w:p>
      <w:pPr>
        <w:shd w:val="clear"/>
        <w:spacing w:line="360" w:lineRule="exact"/>
        <w:ind w:left="900" w:hanging="900" w:hangingChars="375"/>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供应商应按供应商须知资料表中的规定，准备和递交</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开标</w:t>
      </w:r>
      <w:r>
        <w:rPr>
          <w:rFonts w:hint="eastAsia" w:ascii="微软雅黑" w:hAnsi="微软雅黑" w:eastAsia="微软雅黑" w:cs="微软雅黑"/>
          <w:color w:val="auto"/>
          <w:sz w:val="24"/>
          <w:highlight w:val="none"/>
        </w:rPr>
        <w:t>一览表”。</w:t>
      </w:r>
    </w:p>
    <w:p>
      <w:pPr>
        <w:shd w:val="clear"/>
        <w:spacing w:line="360" w:lineRule="exact"/>
        <w:ind w:left="900" w:hanging="900" w:hangingChars="375"/>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的正本需打印或用不褪色墨水书写，并由供应商的法定代表人或经其正式委托代理人按</w:t>
      </w:r>
      <w:r>
        <w:rPr>
          <w:rFonts w:hint="eastAsia" w:ascii="微软雅黑" w:hAnsi="微软雅黑" w:eastAsia="微软雅黑" w:cs="微软雅黑"/>
          <w:color w:val="auto"/>
          <w:sz w:val="24"/>
          <w:highlight w:val="none"/>
          <w:lang w:eastAsia="zh-CN"/>
        </w:rPr>
        <w:t>招标文件</w:t>
      </w:r>
      <w:r>
        <w:rPr>
          <w:rFonts w:hint="eastAsia" w:ascii="微软雅黑" w:hAnsi="微软雅黑" w:eastAsia="微软雅黑" w:cs="微软雅黑"/>
          <w:color w:val="auto"/>
          <w:sz w:val="24"/>
          <w:highlight w:val="none"/>
        </w:rPr>
        <w:t>规定在</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上签字或盖章并加盖单位印章。委托代理人须持有书面的“法定代表人授权委托书”，并将其附在</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中。如对</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进行了修改，则应由供应商的法定代表人或其委托代理人在每一修改处签字。</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的副本可采用正本的复印件。</w:t>
      </w:r>
    </w:p>
    <w:p>
      <w:pPr>
        <w:keepNext w:val="0"/>
        <w:keepLines w:val="0"/>
        <w:pageBreakBefore w:val="0"/>
        <w:widowControl w:val="0"/>
        <w:shd w:val="clear"/>
        <w:kinsoku/>
        <w:wordWrap/>
        <w:overflowPunct/>
        <w:topLinePunct w:val="0"/>
        <w:autoSpaceDE/>
        <w:autoSpaceDN/>
        <w:bidi w:val="0"/>
        <w:adjustRightInd/>
        <w:snapToGrid/>
        <w:spacing w:line="360" w:lineRule="exact"/>
        <w:ind w:left="0" w:firstLine="0" w:firstLine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14.3   </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因字迹潦草、表达不清或装订不当所引起的后果由供应商负责。</w:t>
      </w:r>
      <w:bookmarkStart w:id="455" w:name="_Toc11179"/>
      <w:bookmarkStart w:id="456" w:name="_Toc520356159"/>
      <w:bookmarkStart w:id="457" w:name="_Toc16865"/>
      <w:bookmarkStart w:id="458" w:name="_Toc515647774"/>
      <w:bookmarkStart w:id="459" w:name="_Toc216582808"/>
    </w:p>
    <w:p>
      <w:pPr>
        <w:pStyle w:val="19"/>
        <w:rPr>
          <w:rFonts w:hint="eastAsia" w:ascii="微软雅黑" w:hAnsi="微软雅黑" w:eastAsia="微软雅黑" w:cs="微软雅黑"/>
          <w:color w:val="auto"/>
          <w:sz w:val="24"/>
          <w:highlight w:val="none"/>
        </w:rPr>
      </w:pPr>
    </w:p>
    <w:p>
      <w:pPr>
        <w:pStyle w:val="7"/>
        <w:shd w:val="clear"/>
        <w:spacing w:before="0" w:line="360" w:lineRule="exact"/>
        <w:ind w:hanging="540"/>
        <w:rPr>
          <w:rFonts w:hint="eastAsia" w:ascii="微软雅黑" w:hAnsi="微软雅黑" w:eastAsia="微软雅黑" w:cs="微软雅黑"/>
          <w:color w:val="auto"/>
          <w:sz w:val="24"/>
          <w:highlight w:val="none"/>
        </w:rPr>
      </w:pPr>
      <w:bookmarkStart w:id="460" w:name="_Toc30935"/>
      <w:bookmarkStart w:id="461" w:name="_Toc25625"/>
      <w:bookmarkStart w:id="462" w:name="_Toc25125"/>
      <w:r>
        <w:rPr>
          <w:rFonts w:hint="eastAsia" w:ascii="微软雅黑" w:hAnsi="微软雅黑" w:eastAsia="微软雅黑" w:cs="微软雅黑"/>
          <w:color w:val="auto"/>
          <w:sz w:val="24"/>
          <w:highlight w:val="none"/>
        </w:rPr>
        <w:t>四   投标文件的递交</w:t>
      </w:r>
      <w:bookmarkEnd w:id="455"/>
      <w:bookmarkEnd w:id="456"/>
      <w:bookmarkEnd w:id="457"/>
      <w:bookmarkEnd w:id="458"/>
      <w:bookmarkEnd w:id="459"/>
      <w:bookmarkEnd w:id="460"/>
      <w:bookmarkEnd w:id="461"/>
      <w:bookmarkEnd w:id="462"/>
    </w:p>
    <w:p>
      <w:pPr>
        <w:rPr>
          <w:rFonts w:hint="eastAsia" w:ascii="微软雅黑" w:hAnsi="微软雅黑" w:eastAsia="微软雅黑" w:cs="微软雅黑"/>
          <w:color w:val="auto"/>
          <w:highlight w:val="none"/>
        </w:rPr>
      </w:pPr>
    </w:p>
    <w:p>
      <w:pPr>
        <w:numPr>
          <w:ilvl w:val="0"/>
          <w:numId w:val="5"/>
        </w:numPr>
        <w:shd w:val="clear"/>
        <w:spacing w:line="360" w:lineRule="exact"/>
        <w:outlineLvl w:val="2"/>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 xml:space="preserve">  </w:t>
      </w:r>
      <w:bookmarkStart w:id="463" w:name="_Toc6672"/>
      <w:bookmarkStart w:id="464" w:name="_Toc24919"/>
      <w:bookmarkStart w:id="465" w:name="_Toc14401"/>
      <w:bookmarkStart w:id="466" w:name="_Toc2920"/>
      <w:bookmarkStart w:id="467" w:name="_Toc8129"/>
      <w:bookmarkStart w:id="468" w:name="_Toc217"/>
      <w:bookmarkStart w:id="469" w:name="_Toc4802"/>
      <w:bookmarkStart w:id="470" w:name="_Toc30751"/>
      <w:bookmarkStart w:id="471" w:name="_Toc8561"/>
      <w:bookmarkStart w:id="472" w:name="_Toc26050"/>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的密封和标记</w:t>
      </w:r>
      <w:r>
        <w:rPr>
          <w:rFonts w:hint="eastAsia" w:ascii="微软雅黑" w:hAnsi="微软雅黑" w:eastAsia="微软雅黑" w:cs="微软雅黑"/>
          <w:b/>
          <w:i w:val="0"/>
          <w:caps w:val="0"/>
          <w:color w:val="auto"/>
          <w:spacing w:val="0"/>
          <w:w w:val="100"/>
          <w:sz w:val="24"/>
          <w:highlight w:val="none"/>
          <w:u w:val="single" w:color="000000"/>
          <w:lang w:eastAsia="zh-CN"/>
        </w:rPr>
        <w:t>（</w:t>
      </w:r>
      <w:r>
        <w:rPr>
          <w:rFonts w:hint="eastAsia" w:ascii="微软雅黑" w:hAnsi="微软雅黑" w:eastAsia="微软雅黑" w:cs="微软雅黑"/>
          <w:b/>
          <w:i w:val="0"/>
          <w:caps w:val="0"/>
          <w:color w:val="auto"/>
          <w:spacing w:val="0"/>
          <w:w w:val="100"/>
          <w:sz w:val="24"/>
          <w:highlight w:val="none"/>
          <w:u w:val="single" w:color="000000"/>
          <w:lang w:val="en-US" w:eastAsia="zh-CN"/>
        </w:rPr>
        <w:t>后期邮寄的投标文件</w:t>
      </w:r>
      <w:r>
        <w:rPr>
          <w:rFonts w:hint="eastAsia" w:ascii="微软雅黑" w:hAnsi="微软雅黑" w:eastAsia="微软雅黑" w:cs="微软雅黑"/>
          <w:b/>
          <w:i w:val="0"/>
          <w:caps w:val="0"/>
          <w:color w:val="auto"/>
          <w:spacing w:val="0"/>
          <w:w w:val="100"/>
          <w:sz w:val="24"/>
          <w:highlight w:val="none"/>
          <w:u w:val="single" w:color="000000"/>
          <w:lang w:eastAsia="zh-CN"/>
        </w:rPr>
        <w:t>）</w:t>
      </w:r>
      <w:bookmarkEnd w:id="463"/>
      <w:bookmarkEnd w:id="464"/>
      <w:bookmarkEnd w:id="465"/>
      <w:bookmarkEnd w:id="466"/>
      <w:bookmarkEnd w:id="467"/>
      <w:bookmarkEnd w:id="468"/>
      <w:bookmarkEnd w:id="469"/>
      <w:bookmarkEnd w:id="470"/>
      <w:bookmarkEnd w:id="471"/>
      <w:bookmarkEnd w:id="472"/>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15.1  为方便开启，供应商应将</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第一部分和第二部分的内容合并装订成一册，密封提交，并在封皮正面标明“</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”字样。</w:t>
      </w:r>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15.2   如果供应商未按上述要求标记的，将承担相应的后果。</w:t>
      </w:r>
    </w:p>
    <w:p>
      <w:pPr>
        <w:shd w:val="clear"/>
        <w:spacing w:line="360" w:lineRule="exact"/>
        <w:outlineLvl w:val="2"/>
        <w:rPr>
          <w:rFonts w:hint="eastAsia" w:ascii="微软雅黑" w:hAnsi="微软雅黑" w:eastAsia="微软雅黑" w:cs="微软雅黑"/>
          <w:color w:val="auto"/>
          <w:sz w:val="24"/>
          <w:highlight w:val="none"/>
        </w:rPr>
      </w:pPr>
      <w:bookmarkStart w:id="473" w:name="_Toc7925"/>
      <w:bookmarkStart w:id="474" w:name="_Toc21602"/>
      <w:bookmarkStart w:id="475" w:name="_Toc17998"/>
      <w:bookmarkStart w:id="476" w:name="_Toc4266"/>
      <w:bookmarkStart w:id="477" w:name="_Toc24708"/>
      <w:bookmarkStart w:id="478" w:name="_Toc23034"/>
      <w:bookmarkStart w:id="479" w:name="_Toc27535"/>
      <w:bookmarkStart w:id="480" w:name="_Toc9298"/>
      <w:bookmarkStart w:id="481" w:name="_Toc8491"/>
      <w:bookmarkStart w:id="482" w:name="_Toc9893"/>
      <w:r>
        <w:rPr>
          <w:rFonts w:hint="eastAsia" w:ascii="微软雅黑" w:hAnsi="微软雅黑" w:eastAsia="微软雅黑" w:cs="微软雅黑"/>
          <w:color w:val="auto"/>
          <w:sz w:val="24"/>
          <w:highlight w:val="none"/>
        </w:rPr>
        <w:t>16.</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截止</w:t>
      </w:r>
      <w:bookmarkEnd w:id="473"/>
      <w:bookmarkEnd w:id="474"/>
      <w:bookmarkEnd w:id="475"/>
      <w:bookmarkEnd w:id="476"/>
      <w:bookmarkEnd w:id="477"/>
      <w:bookmarkEnd w:id="478"/>
      <w:bookmarkEnd w:id="479"/>
      <w:bookmarkEnd w:id="480"/>
      <w:bookmarkEnd w:id="481"/>
      <w:bookmarkEnd w:id="482"/>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供应商应在供应商须知资料表中规定的</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截止时间前，将</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上传到</w:t>
      </w:r>
      <w:r>
        <w:rPr>
          <w:rFonts w:hint="eastAsia" w:ascii="微软雅黑" w:hAnsi="微软雅黑" w:eastAsia="微软雅黑" w:cs="微软雅黑"/>
          <w:color w:val="auto"/>
          <w:sz w:val="24"/>
          <w:highlight w:val="none"/>
          <w:lang w:val="en-US" w:eastAsia="zh-CN"/>
        </w:rPr>
        <w:t>公开招标</w:t>
      </w:r>
      <w:r>
        <w:rPr>
          <w:rFonts w:hint="eastAsia" w:ascii="微软雅黑" w:hAnsi="微软雅黑" w:eastAsia="微软雅黑" w:cs="微软雅黑"/>
          <w:color w:val="auto"/>
          <w:sz w:val="24"/>
          <w:highlight w:val="none"/>
        </w:rPr>
        <w:t>公告中规定的地点。</w:t>
      </w:r>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采购人和采购代理机构有权按本须知的规定，延迟</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截止时间。在此情况下，采购人、采购代理机构和供应商受</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截止时间制约的所有权利和义务均应延长至新的截止时间。</w:t>
      </w:r>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采购人和采购代理机构将拒绝接收在</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截止时间后上传的</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w:t>
      </w:r>
    </w:p>
    <w:p>
      <w:pPr>
        <w:shd w:val="clear"/>
        <w:spacing w:line="360" w:lineRule="exact"/>
        <w:outlineLvl w:val="2"/>
        <w:rPr>
          <w:rFonts w:hint="eastAsia" w:ascii="微软雅黑" w:hAnsi="微软雅黑" w:eastAsia="微软雅黑" w:cs="微软雅黑"/>
          <w:color w:val="auto"/>
          <w:sz w:val="24"/>
          <w:highlight w:val="none"/>
        </w:rPr>
      </w:pPr>
      <w:bookmarkStart w:id="483" w:name="_Toc15743"/>
      <w:bookmarkStart w:id="484" w:name="_Toc1712"/>
      <w:bookmarkStart w:id="485" w:name="_Toc22638"/>
      <w:bookmarkStart w:id="486" w:name="_Toc23097"/>
      <w:bookmarkStart w:id="487" w:name="_Toc79"/>
      <w:bookmarkStart w:id="488" w:name="_Toc29765"/>
      <w:bookmarkStart w:id="489" w:name="_Toc19194"/>
      <w:bookmarkStart w:id="490" w:name="_Toc18015"/>
      <w:bookmarkStart w:id="491" w:name="_Toc21003"/>
      <w:bookmarkStart w:id="492" w:name="_Toc27778"/>
      <w:r>
        <w:rPr>
          <w:rFonts w:hint="eastAsia" w:ascii="微软雅黑" w:hAnsi="微软雅黑" w:eastAsia="微软雅黑" w:cs="微软雅黑"/>
          <w:color w:val="auto"/>
          <w:sz w:val="24"/>
          <w:highlight w:val="none"/>
        </w:rPr>
        <w:t>17.</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的接收、修改与撤回</w:t>
      </w:r>
      <w:bookmarkEnd w:id="483"/>
      <w:bookmarkEnd w:id="484"/>
      <w:bookmarkEnd w:id="485"/>
      <w:bookmarkEnd w:id="486"/>
      <w:bookmarkEnd w:id="487"/>
      <w:bookmarkEnd w:id="488"/>
      <w:bookmarkEnd w:id="489"/>
      <w:bookmarkEnd w:id="490"/>
      <w:bookmarkEnd w:id="491"/>
      <w:bookmarkEnd w:id="492"/>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在</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截止时间后上传的</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的，采购人和采购代理机构将拒绝接收。</w:t>
      </w:r>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上传</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以后，如果供应商要进行修改或撤回</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，供应商对</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的修改或撤回通知应按本须知规定编制、标记。采购人和采购代理机构将予以接收，并视为</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的组成部分。</w:t>
      </w:r>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在</w:t>
      </w:r>
      <w:r>
        <w:rPr>
          <w:rFonts w:hint="eastAsia" w:ascii="微软雅黑" w:hAnsi="微软雅黑" w:eastAsia="微软雅黑" w:cs="微软雅黑"/>
          <w:color w:val="auto"/>
          <w:sz w:val="24"/>
          <w:highlight w:val="none"/>
          <w:lang w:val="en-US" w:eastAsia="zh-CN"/>
        </w:rPr>
        <w:t>投标</w:t>
      </w:r>
      <w:r>
        <w:rPr>
          <w:rFonts w:hint="eastAsia" w:ascii="微软雅黑" w:hAnsi="微软雅黑" w:eastAsia="微软雅黑" w:cs="微软雅黑"/>
          <w:color w:val="auto"/>
          <w:sz w:val="24"/>
          <w:highlight w:val="none"/>
        </w:rPr>
        <w:t>截止期之后，采购人和采购代理机构不接受供应商主动对其</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做任何修改。</w:t>
      </w:r>
    </w:p>
    <w:p>
      <w:pPr>
        <w:shd w:val="clear"/>
        <w:spacing w:line="36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17.4</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采购人和采购代理机构对所接收</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概不退回。</w:t>
      </w:r>
    </w:p>
    <w:p>
      <w:pPr>
        <w:pageBreakBefore w:val="0"/>
        <w:widowControl w:val="0"/>
        <w:kinsoku/>
        <w:wordWrap/>
        <w:overflowPunct/>
        <w:topLinePunct w:val="0"/>
        <w:bidi w:val="0"/>
        <w:spacing w:before="0" w:line="360" w:lineRule="exact"/>
        <w:ind w:left="0" w:leftChars="0" w:hanging="540"/>
        <w:textAlignment w:val="auto"/>
        <w:outlineLvl w:val="9"/>
        <w:rPr>
          <w:rFonts w:hint="eastAsia" w:ascii="微软雅黑" w:hAnsi="微软雅黑" w:eastAsia="微软雅黑" w:cs="微软雅黑"/>
          <w:color w:val="auto"/>
          <w:sz w:val="24"/>
          <w:highlight w:val="none"/>
        </w:rPr>
      </w:pPr>
      <w:bookmarkStart w:id="493" w:name="_Toc28398"/>
      <w:bookmarkStart w:id="494" w:name="_Toc216582809"/>
      <w:bookmarkStart w:id="495" w:name="_Toc515647778"/>
      <w:bookmarkStart w:id="496" w:name="_Toc15915"/>
      <w:bookmarkStart w:id="497" w:name="_Toc12436"/>
      <w:bookmarkStart w:id="498" w:name="_Toc7470"/>
      <w:bookmarkStart w:id="499" w:name="_Toc520356163"/>
    </w:p>
    <w:p>
      <w:pPr>
        <w:pStyle w:val="7"/>
        <w:pageBreakBefore w:val="0"/>
        <w:widowControl w:val="0"/>
        <w:kinsoku/>
        <w:wordWrap/>
        <w:overflowPunct/>
        <w:topLinePunct w:val="0"/>
        <w:bidi w:val="0"/>
        <w:spacing w:before="0" w:line="360" w:lineRule="exact"/>
        <w:ind w:left="0" w:leftChars="0" w:hanging="540"/>
        <w:textAlignment w:val="auto"/>
        <w:rPr>
          <w:rFonts w:hint="eastAsia" w:ascii="微软雅黑" w:hAnsi="微软雅黑" w:eastAsia="微软雅黑" w:cs="微软雅黑"/>
          <w:color w:val="auto"/>
          <w:sz w:val="24"/>
          <w:highlight w:val="none"/>
        </w:rPr>
      </w:pPr>
      <w:bookmarkStart w:id="500" w:name="_Toc14020"/>
      <w:r>
        <w:rPr>
          <w:rFonts w:hint="eastAsia" w:ascii="微软雅黑" w:hAnsi="微软雅黑" w:eastAsia="微软雅黑" w:cs="微软雅黑"/>
          <w:color w:val="auto"/>
          <w:sz w:val="24"/>
          <w:highlight w:val="none"/>
        </w:rPr>
        <w:t>五   开标及评标</w:t>
      </w:r>
      <w:bookmarkEnd w:id="493"/>
      <w:bookmarkEnd w:id="494"/>
      <w:bookmarkEnd w:id="495"/>
      <w:bookmarkEnd w:id="496"/>
      <w:bookmarkEnd w:id="497"/>
      <w:bookmarkEnd w:id="498"/>
      <w:bookmarkEnd w:id="499"/>
      <w:bookmarkEnd w:id="500"/>
    </w:p>
    <w:p>
      <w:pPr>
        <w:rPr>
          <w:rFonts w:hint="eastAsia" w:ascii="微软雅黑" w:hAnsi="微软雅黑" w:eastAsia="微软雅黑" w:cs="微软雅黑"/>
          <w:color w:val="auto"/>
          <w:highlight w:val="none"/>
        </w:rPr>
      </w:pPr>
    </w:p>
    <w:p>
      <w:pPr>
        <w:pStyle w:val="8"/>
        <w:numPr>
          <w:ilvl w:val="0"/>
          <w:numId w:val="0"/>
        </w:numPr>
        <w:shd w:val="clear" w:color="auto" w:fill="auto"/>
        <w:spacing w:before="0" w:line="360" w:lineRule="exact"/>
        <w:rPr>
          <w:rFonts w:hint="eastAsia" w:ascii="微软雅黑" w:hAnsi="微软雅黑" w:eastAsia="微软雅黑" w:cs="微软雅黑"/>
          <w:color w:val="auto"/>
          <w:highlight w:val="none"/>
        </w:rPr>
      </w:pPr>
      <w:bookmarkStart w:id="501" w:name="_Toc63"/>
      <w:bookmarkStart w:id="502" w:name="_Toc1239"/>
      <w:bookmarkStart w:id="503" w:name="_Toc515647779"/>
      <w:bookmarkStart w:id="504" w:name="_Toc32409"/>
      <w:bookmarkStart w:id="505" w:name="_Toc31511"/>
      <w:bookmarkStart w:id="506" w:name="_Toc23772"/>
      <w:bookmarkStart w:id="507" w:name="_Toc20264"/>
      <w:bookmarkStart w:id="508" w:name="_Toc23987"/>
      <w:bookmarkStart w:id="509" w:name="_Toc520356164"/>
      <w:bookmarkStart w:id="510" w:name="_Toc25345"/>
      <w:bookmarkStart w:id="511" w:name="_Toc2886"/>
      <w:bookmarkStart w:id="512" w:name="_Toc24922"/>
      <w:bookmarkStart w:id="513" w:name="_Toc28057"/>
      <w:bookmarkStart w:id="514" w:name="_Toc11726"/>
      <w:bookmarkStart w:id="515" w:name="_Toc1738"/>
      <w:bookmarkStart w:id="516" w:name="_Toc20045"/>
      <w:bookmarkStart w:id="517" w:name="_Toc26436"/>
      <w:bookmarkStart w:id="518" w:name="_Toc4771"/>
      <w:bookmarkStart w:id="519" w:name="_Toc30037"/>
      <w:bookmarkStart w:id="520" w:name="_Toc17121"/>
      <w:bookmarkStart w:id="521" w:name="_Toc9432"/>
      <w:bookmarkStart w:id="522" w:name="_Toc10415"/>
      <w:bookmarkStart w:id="523" w:name="_Toc21418"/>
      <w:bookmarkStart w:id="524" w:name="_Toc17233"/>
      <w:bookmarkStart w:id="525" w:name="_Toc7186"/>
      <w:bookmarkStart w:id="526" w:name="_Toc5825"/>
      <w:bookmarkStart w:id="527" w:name="_Toc29791"/>
      <w:bookmarkStart w:id="528" w:name="_Toc520356165"/>
      <w:bookmarkStart w:id="529" w:name="_Toc2316"/>
      <w:bookmarkStart w:id="530" w:name="_Toc5052"/>
      <w:bookmarkStart w:id="531" w:name="_Toc515647780"/>
      <w:bookmarkStart w:id="532" w:name="_Toc19296"/>
      <w:bookmarkStart w:id="533" w:name="_Toc18228"/>
      <w:bookmarkStart w:id="534" w:name="_Toc21667"/>
      <w:bookmarkStart w:id="535" w:name="_Toc3080"/>
      <w:bookmarkStart w:id="536" w:name="_Toc21372"/>
      <w:bookmarkStart w:id="537" w:name="_Toc22770"/>
      <w:bookmarkStart w:id="538" w:name="_Toc10550"/>
      <w:bookmarkStart w:id="539" w:name="_Toc18233"/>
      <w:bookmarkStart w:id="540" w:name="_Toc4063"/>
      <w:bookmarkStart w:id="541" w:name="_Toc22792"/>
      <w:bookmarkStart w:id="542" w:name="_Toc28586"/>
      <w:bookmarkStart w:id="543" w:name="_Toc16864"/>
      <w:bookmarkStart w:id="544" w:name="_Toc10746"/>
      <w:bookmarkStart w:id="545" w:name="_Toc26266"/>
      <w:r>
        <w:rPr>
          <w:rFonts w:hint="eastAsia" w:ascii="微软雅黑" w:hAnsi="微软雅黑" w:eastAsia="微软雅黑" w:cs="微软雅黑"/>
          <w:color w:val="auto"/>
          <w:highlight w:val="none"/>
          <w:u w:val="none"/>
          <w:lang w:val="en-US" w:eastAsia="zh-CN"/>
        </w:rPr>
        <w:t>18.</w:t>
      </w:r>
      <w:r>
        <w:rPr>
          <w:rFonts w:hint="eastAsia" w:ascii="微软雅黑" w:hAnsi="微软雅黑" w:eastAsia="微软雅黑" w:cs="微软雅黑"/>
          <w:color w:val="auto"/>
          <w:highlight w:val="none"/>
          <w:u w:val="none"/>
        </w:rPr>
        <w:t>开标</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keepNext w:val="0"/>
        <w:keepLines w:val="0"/>
        <w:pageBreakBefore w:val="0"/>
        <w:widowControl w:val="0"/>
        <w:shd w:val="clear" w:color="auto" w:fill="auto"/>
        <w:kinsoku/>
        <w:wordWrap/>
        <w:overflowPunct/>
        <w:topLinePunct w:val="0"/>
        <w:bidi w:val="0"/>
        <w:snapToGrid/>
        <w:spacing w:line="387" w:lineRule="exact"/>
        <w:ind w:left="960" w:hanging="960" w:hangingChars="4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18.1</w:t>
      </w:r>
      <w:r>
        <w:rPr>
          <w:rFonts w:hint="eastAsia" w:ascii="微软雅黑" w:hAnsi="微软雅黑" w:eastAsia="微软雅黑" w:cs="微软雅黑"/>
          <w:color w:val="auto"/>
          <w:sz w:val="24"/>
          <w:highlight w:val="none"/>
        </w:rPr>
        <w:t>采购人和采购代理机构将按</w:t>
      </w:r>
      <w:r>
        <w:rPr>
          <w:rFonts w:hint="eastAsia" w:ascii="微软雅黑" w:hAnsi="微软雅黑" w:eastAsia="微软雅黑" w:cs="微软雅黑"/>
          <w:color w:val="auto"/>
          <w:sz w:val="24"/>
          <w:highlight w:val="none"/>
          <w:lang w:eastAsia="zh-CN"/>
        </w:rPr>
        <w:t>投标供应商</w:t>
      </w:r>
      <w:r>
        <w:rPr>
          <w:rFonts w:hint="eastAsia" w:ascii="微软雅黑" w:hAnsi="微软雅黑" w:eastAsia="微软雅黑" w:cs="微软雅黑"/>
          <w:color w:val="auto"/>
          <w:sz w:val="24"/>
          <w:highlight w:val="none"/>
        </w:rPr>
        <w:t>须知资料表中规定的开标时间和地点组织公开开标并邀请所有</w:t>
      </w:r>
      <w:r>
        <w:rPr>
          <w:rFonts w:hint="eastAsia" w:ascii="微软雅黑" w:hAnsi="微软雅黑" w:eastAsia="微软雅黑" w:cs="微软雅黑"/>
          <w:color w:val="auto"/>
          <w:sz w:val="24"/>
          <w:highlight w:val="none"/>
          <w:lang w:eastAsia="zh-CN"/>
        </w:rPr>
        <w:t>投标供应商</w:t>
      </w:r>
      <w:r>
        <w:rPr>
          <w:rFonts w:hint="eastAsia" w:ascii="微软雅黑" w:hAnsi="微软雅黑" w:eastAsia="微软雅黑" w:cs="微软雅黑"/>
          <w:color w:val="auto"/>
          <w:sz w:val="24"/>
          <w:highlight w:val="none"/>
        </w:rPr>
        <w:t>代表参加。</w:t>
      </w:r>
    </w:p>
    <w:p>
      <w:pPr>
        <w:keepNext w:val="0"/>
        <w:keepLines w:val="0"/>
        <w:pageBreakBefore w:val="0"/>
        <w:widowControl w:val="0"/>
        <w:shd w:val="clear" w:color="auto" w:fill="auto"/>
        <w:kinsoku/>
        <w:wordWrap/>
        <w:overflowPunct/>
        <w:topLinePunct w:val="0"/>
        <w:bidi w:val="0"/>
        <w:snapToGrid/>
        <w:spacing w:line="387" w:lineRule="exact"/>
        <w:ind w:left="958" w:leftChars="456" w:firstLine="0" w:firstLine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eastAsia="zh-CN"/>
        </w:rPr>
        <w:t>投标供应商</w:t>
      </w:r>
      <w:r>
        <w:rPr>
          <w:rFonts w:hint="eastAsia" w:ascii="微软雅黑" w:hAnsi="微软雅黑" w:eastAsia="微软雅黑" w:cs="微软雅黑"/>
          <w:color w:val="auto"/>
          <w:sz w:val="24"/>
          <w:highlight w:val="none"/>
        </w:rPr>
        <w:t>不足3家的，不得开标。</w:t>
      </w:r>
    </w:p>
    <w:p>
      <w:pPr>
        <w:keepNext w:val="0"/>
        <w:keepLines w:val="0"/>
        <w:pageBreakBefore w:val="0"/>
        <w:widowControl w:val="0"/>
        <w:shd w:val="clear" w:color="auto" w:fill="auto"/>
        <w:kinsoku/>
        <w:wordWrap/>
        <w:overflowPunct/>
        <w:topLinePunct w:val="0"/>
        <w:bidi w:val="0"/>
        <w:snapToGrid/>
        <w:spacing w:line="387" w:lineRule="exact"/>
        <w:ind w:left="960" w:hanging="960" w:hangingChars="4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18.2   </w:t>
      </w:r>
      <w:r>
        <w:rPr>
          <w:rFonts w:hint="eastAsia" w:ascii="微软雅黑" w:hAnsi="微软雅黑" w:eastAsia="微软雅黑" w:cs="微软雅黑"/>
          <w:color w:val="auto"/>
          <w:sz w:val="24"/>
          <w:highlight w:val="none"/>
          <w:lang w:val="en-US" w:eastAsia="zh-CN"/>
        </w:rPr>
        <w:t>供应商按照</w:t>
      </w:r>
      <w:r>
        <w:rPr>
          <w:rFonts w:hint="eastAsia" w:ascii="微软雅黑" w:hAnsi="微软雅黑" w:eastAsia="微软雅黑" w:cs="微软雅黑"/>
          <w:color w:val="auto"/>
          <w:sz w:val="24"/>
          <w:highlight w:val="none"/>
        </w:rPr>
        <w:t>须知资料表中规定的开标时间和地点</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在规定时间内上传投标文件</w:t>
      </w:r>
      <w:r>
        <w:rPr>
          <w:rFonts w:hint="eastAsia" w:ascii="微软雅黑" w:hAnsi="微软雅黑" w:eastAsia="微软雅黑" w:cs="微软雅黑"/>
          <w:color w:val="auto"/>
          <w:sz w:val="24"/>
          <w:highlight w:val="none"/>
        </w:rPr>
        <w:t>。</w:t>
      </w:r>
    </w:p>
    <w:p>
      <w:pPr>
        <w:keepNext w:val="0"/>
        <w:keepLines w:val="0"/>
        <w:pageBreakBefore w:val="0"/>
        <w:widowControl w:val="0"/>
        <w:shd w:val="clear" w:color="auto" w:fill="auto"/>
        <w:kinsoku/>
        <w:wordWrap/>
        <w:overflowPunct/>
        <w:topLinePunct w:val="0"/>
        <w:bidi w:val="0"/>
        <w:snapToGrid/>
        <w:spacing w:line="387" w:lineRule="exact"/>
        <w:ind w:left="960" w:hanging="960" w:hangingChars="4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xml:space="preserve">18.3   </w:t>
      </w:r>
      <w:r>
        <w:rPr>
          <w:rFonts w:hint="eastAsia" w:ascii="微软雅黑" w:hAnsi="微软雅黑" w:eastAsia="微软雅黑" w:cs="微软雅黑"/>
          <w:color w:val="auto"/>
          <w:sz w:val="24"/>
          <w:highlight w:val="none"/>
        </w:rPr>
        <w:t>采购代理机构</w:t>
      </w:r>
      <w:r>
        <w:rPr>
          <w:rFonts w:hint="eastAsia" w:ascii="微软雅黑" w:hAnsi="微软雅黑" w:eastAsia="微软雅黑" w:cs="微软雅黑"/>
          <w:color w:val="auto"/>
          <w:sz w:val="24"/>
          <w:highlight w:val="none"/>
          <w:lang w:val="en-US" w:eastAsia="zh-CN"/>
        </w:rPr>
        <w:t>在规定时间内度投标文件进行</w:t>
      </w:r>
      <w:r>
        <w:rPr>
          <w:rFonts w:hint="eastAsia" w:ascii="微软雅黑" w:hAnsi="微软雅黑" w:eastAsia="微软雅黑" w:cs="微软雅黑"/>
          <w:b/>
          <w:bCs/>
          <w:color w:val="auto"/>
          <w:sz w:val="24"/>
          <w:highlight w:val="none"/>
          <w:lang w:val="en-US" w:eastAsia="zh-CN"/>
        </w:rPr>
        <w:t>解密，时长为30分钟</w:t>
      </w:r>
      <w:r>
        <w:rPr>
          <w:rFonts w:hint="eastAsia" w:ascii="微软雅黑" w:hAnsi="微软雅黑" w:eastAsia="微软雅黑" w:cs="微软雅黑"/>
          <w:color w:val="auto"/>
          <w:sz w:val="24"/>
          <w:highlight w:val="none"/>
          <w:lang w:val="en-US" w:eastAsia="zh-CN"/>
        </w:rPr>
        <w:t>。</w:t>
      </w:r>
    </w:p>
    <w:p>
      <w:pPr>
        <w:keepNext w:val="0"/>
        <w:keepLines w:val="0"/>
        <w:pageBreakBefore w:val="0"/>
        <w:widowControl w:val="0"/>
        <w:shd w:val="clear" w:color="auto" w:fill="auto"/>
        <w:kinsoku/>
        <w:wordWrap/>
        <w:overflowPunct/>
        <w:topLinePunct w:val="0"/>
        <w:bidi w:val="0"/>
        <w:snapToGrid/>
        <w:spacing w:line="387" w:lineRule="exact"/>
        <w:ind w:left="960" w:hanging="960" w:hangingChars="4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18.4   由</w:t>
      </w:r>
      <w:r>
        <w:rPr>
          <w:rFonts w:hint="eastAsia" w:ascii="微软雅黑" w:hAnsi="微软雅黑" w:eastAsia="微软雅黑" w:cs="微软雅黑"/>
          <w:color w:val="auto"/>
          <w:sz w:val="24"/>
          <w:highlight w:val="none"/>
        </w:rPr>
        <w:t>采购代理机构</w:t>
      </w:r>
      <w:r>
        <w:rPr>
          <w:rFonts w:hint="eastAsia" w:ascii="微软雅黑" w:hAnsi="微软雅黑" w:eastAsia="微软雅黑" w:cs="微软雅黑"/>
          <w:color w:val="auto"/>
          <w:sz w:val="24"/>
          <w:highlight w:val="none"/>
          <w:lang w:val="en-US" w:eastAsia="zh-CN"/>
        </w:rPr>
        <w:t>开启开标记录</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须</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lang w:val="en-US" w:eastAsia="zh-CN"/>
        </w:rPr>
        <w:t>在政采云平台对报价进行签字确认</w:t>
      </w:r>
      <w:r>
        <w:rPr>
          <w:rFonts w:hint="eastAsia" w:ascii="微软雅黑" w:hAnsi="微软雅黑" w:eastAsia="微软雅黑" w:cs="微软雅黑"/>
          <w:color w:val="auto"/>
          <w:sz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outlineLvl w:val="2"/>
        <w:rPr>
          <w:rFonts w:hint="eastAsia" w:ascii="微软雅黑" w:hAnsi="微软雅黑" w:eastAsia="微软雅黑" w:cs="微软雅黑"/>
          <w:color w:val="auto"/>
          <w:sz w:val="24"/>
          <w:highlight w:val="none"/>
          <w:lang w:eastAsia="zh-CN"/>
        </w:rPr>
      </w:pPr>
      <w:bookmarkStart w:id="546" w:name="_Toc11958"/>
      <w:bookmarkStart w:id="547" w:name="_Toc29637"/>
      <w:bookmarkStart w:id="548" w:name="_Toc27046"/>
      <w:bookmarkStart w:id="549" w:name="_Toc25827"/>
      <w:bookmarkStart w:id="550" w:name="_Toc20330"/>
      <w:bookmarkStart w:id="551" w:name="_Toc18314"/>
      <w:bookmarkStart w:id="552" w:name="_Toc6774"/>
      <w:bookmarkStart w:id="553" w:name="_Toc8520"/>
      <w:bookmarkStart w:id="554" w:name="_Toc24180"/>
      <w:bookmarkStart w:id="555" w:name="_Toc25205"/>
      <w:r>
        <w:rPr>
          <w:rFonts w:hint="eastAsia" w:ascii="微软雅黑" w:hAnsi="微软雅黑" w:eastAsia="微软雅黑" w:cs="微软雅黑"/>
          <w:color w:val="auto"/>
          <w:sz w:val="24"/>
          <w:highlight w:val="none"/>
          <w:lang w:eastAsia="zh-CN"/>
        </w:rPr>
        <w:t>19.</w:t>
      </w:r>
      <w:bookmarkEnd w:id="528"/>
      <w:r>
        <w:rPr>
          <w:rFonts w:hint="eastAsia" w:ascii="微软雅黑" w:hAnsi="微软雅黑" w:eastAsia="微软雅黑" w:cs="微软雅黑"/>
          <w:color w:val="auto"/>
          <w:sz w:val="24"/>
          <w:highlight w:val="none"/>
          <w:lang w:eastAsia="zh-CN"/>
        </w:rPr>
        <w:t>资格审查及组建评标委员会</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20" w:leftChars="0" w:hanging="720" w:hangingChars="300"/>
        <w:jc w:val="both"/>
        <w:textAlignment w:val="baseline"/>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rPr>
        <w:t>19.1</w:t>
      </w:r>
      <w:r>
        <w:rPr>
          <w:rFonts w:hint="eastAsia" w:ascii="微软雅黑" w:hAnsi="微软雅黑" w:eastAsia="微软雅黑" w:cs="微软雅黑"/>
          <w:color w:val="auto"/>
          <w:sz w:val="24"/>
          <w:highlight w:val="none"/>
          <w:lang w:eastAsia="zh-CN"/>
        </w:rPr>
        <w:t xml:space="preserve"> 采购人或采购代理机构依据法律法规和招标文件中规定的内容，对供应商及其</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lang w:eastAsia="zh-CN"/>
        </w:rPr>
        <w:t>的资格进行审查，本项目审查内容如下：</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80" w:lineRule="exact"/>
        <w:ind w:left="718" w:leftChars="342" w:firstLine="0" w:firstLineChars="0"/>
        <w:jc w:val="both"/>
        <w:textAlignment w:val="baseline"/>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i w:val="0"/>
          <w:caps w:val="0"/>
          <w:color w:val="auto"/>
          <w:spacing w:val="0"/>
          <w:w w:val="100"/>
          <w:sz w:val="24"/>
          <w:highlight w:val="none"/>
        </w:rPr>
        <w:t>本项目</w:t>
      </w:r>
      <w:r>
        <w:rPr>
          <w:rFonts w:hint="eastAsia" w:ascii="微软雅黑" w:hAnsi="微软雅黑" w:eastAsia="微软雅黑" w:cs="微软雅黑"/>
          <w:b/>
          <w:bCs/>
          <w:i w:val="0"/>
          <w:caps w:val="0"/>
          <w:color w:val="auto"/>
          <w:spacing w:val="0"/>
          <w:w w:val="100"/>
          <w:sz w:val="24"/>
          <w:highlight w:val="none"/>
          <w:lang w:val="en-US" w:eastAsia="zh-CN"/>
        </w:rPr>
        <w:t>资格审查资料须附在投标文件中</w:t>
      </w:r>
      <w:r>
        <w:rPr>
          <w:rFonts w:hint="eastAsia" w:ascii="微软雅黑" w:hAnsi="微软雅黑" w:eastAsia="微软雅黑" w:cs="微软雅黑"/>
          <w:b/>
          <w:bCs/>
          <w:i w:val="0"/>
          <w:caps w:val="0"/>
          <w:color w:val="auto"/>
          <w:spacing w:val="0"/>
          <w:w w:val="100"/>
          <w:sz w:val="24"/>
          <w:highlight w:val="none"/>
        </w:rPr>
        <w:t>：</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1、具有有效的营业执照；</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2、投标供应商需具备有效期内的《林木种子生产许可证》或《林木种子经营许可证》和有效期内、经年审合格的《新疆维吾尔自治区林业植物检疫登记证》；</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3、提供法定代表人资格证明及授权书、被授权人身份证；(法定代表人投标需提供法定代表人身份证)；</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4、提近两年任意一年的财务审计报告，新成立的公司提供近三个月内任意一个月的银行资信证明；</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5、提供依法缴纳2022年至2023年内连续6个月的社保证明及明细；</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6、提供税务部门出具2022年至2023年内连续6个月的的完税证明；</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截图，“国家企业信用信息公示系统（http://www.gsxt.gov.cn）”列入严重违法失信企业名单（黑名单）信息截图；将拒绝其参加本次招标活动；</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8、提供参与政府采购活动前3年内未被列入失信、重大税收违法案件、财政部门禁止参加政府采购活动的承诺书；</w:t>
      </w:r>
    </w:p>
    <w:p>
      <w:pPr>
        <w:pStyle w:val="19"/>
        <w:ind w:firstLine="720" w:firstLineChars="3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9、提供针对本次项目《反商业贿赂承诺书》。</w:t>
      </w:r>
    </w:p>
    <w:p>
      <w:pPr>
        <w:pStyle w:val="19"/>
        <w:ind w:firstLine="720" w:firstLineChars="300"/>
        <w:rPr>
          <w:rFonts w:hint="eastAsia" w:ascii="微软雅黑" w:hAnsi="微软雅黑" w:eastAsia="微软雅黑" w:cs="微软雅黑"/>
          <w:b/>
          <w:bCs/>
          <w:i w:val="0"/>
          <w:caps w:val="0"/>
          <w:color w:val="auto"/>
          <w:spacing w:val="0"/>
          <w:w w:val="100"/>
          <w:kern w:val="2"/>
          <w:sz w:val="24"/>
          <w:szCs w:val="24"/>
          <w:highlight w:val="none"/>
          <w:lang w:val="en-US" w:eastAsia="zh-CN" w:bidi="ar-SA"/>
        </w:rPr>
      </w:pPr>
      <w:r>
        <w:rPr>
          <w:rFonts w:hint="eastAsia" w:ascii="微软雅黑" w:hAnsi="微软雅黑" w:eastAsia="微软雅黑" w:cs="微软雅黑"/>
          <w:b/>
          <w:bCs/>
          <w:i w:val="0"/>
          <w:caps w:val="0"/>
          <w:color w:val="auto"/>
          <w:spacing w:val="0"/>
          <w:w w:val="100"/>
          <w:kern w:val="2"/>
          <w:sz w:val="24"/>
          <w:szCs w:val="24"/>
          <w:highlight w:val="none"/>
          <w:lang w:val="en-US" w:eastAsia="zh-CN" w:bidi="ar-SA"/>
        </w:rPr>
        <w:t>10、提供缴纳投标保证金有效凭证。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注：“</w:t>
      </w:r>
      <w:r>
        <w:rPr>
          <w:rFonts w:hint="eastAsia" w:ascii="微软雅黑" w:hAnsi="微软雅黑" w:eastAsia="微软雅黑" w:cs="微软雅黑"/>
          <w:b/>
          <w:bCs/>
          <w:i w:val="0"/>
          <w:caps w:val="0"/>
          <w:color w:val="auto"/>
          <w:spacing w:val="0"/>
          <w:w w:val="100"/>
          <w:sz w:val="24"/>
          <w:szCs w:val="24"/>
          <w:highlight w:val="none"/>
          <w:lang w:val="en-US" w:eastAsia="zh-CN"/>
        </w:rPr>
        <w:t>提供税务部门出具2022年至2023年内连续6个月的的完税证明</w:t>
      </w:r>
      <w:r>
        <w:rPr>
          <w:rFonts w:hint="eastAsia" w:ascii="微软雅黑" w:hAnsi="微软雅黑" w:eastAsia="微软雅黑" w:cs="微软雅黑"/>
          <w:b/>
          <w:bCs/>
          <w:i w:val="0"/>
          <w:caps w:val="0"/>
          <w:color w:val="auto"/>
          <w:spacing w:val="0"/>
          <w:w w:val="100"/>
          <w:sz w:val="24"/>
          <w:highlight w:val="none"/>
        </w:rPr>
        <w:t>”：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p>
      <w:pPr>
        <w:pageBreakBefore w:val="0"/>
        <w:widowControl w:val="0"/>
        <w:kinsoku/>
        <w:wordWrap/>
        <w:overflowPunct/>
        <w:topLinePunct w:val="0"/>
        <w:bidi w:val="0"/>
        <w:spacing w:line="36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未通过资格审查的</w:t>
      </w:r>
      <w:r>
        <w:rPr>
          <w:rFonts w:hint="eastAsia" w:ascii="微软雅黑" w:hAnsi="微软雅黑" w:eastAsia="微软雅黑" w:cs="微软雅黑"/>
          <w:b/>
          <w:bCs/>
          <w:color w:val="auto"/>
          <w:sz w:val="24"/>
          <w:highlight w:val="none"/>
          <w:lang w:eastAsia="zh-CN"/>
        </w:rPr>
        <w:t>供应商</w:t>
      </w:r>
      <w:r>
        <w:rPr>
          <w:rFonts w:hint="eastAsia" w:ascii="微软雅黑" w:hAnsi="微软雅黑" w:eastAsia="微软雅黑" w:cs="微软雅黑"/>
          <w:b/>
          <w:bCs/>
          <w:color w:val="auto"/>
          <w:sz w:val="24"/>
          <w:highlight w:val="none"/>
        </w:rPr>
        <w:t>不进入评标；通过资格审查的</w:t>
      </w:r>
      <w:r>
        <w:rPr>
          <w:rFonts w:hint="eastAsia" w:ascii="微软雅黑" w:hAnsi="微软雅黑" w:eastAsia="微软雅黑" w:cs="微软雅黑"/>
          <w:b/>
          <w:bCs/>
          <w:color w:val="auto"/>
          <w:sz w:val="24"/>
          <w:highlight w:val="none"/>
          <w:lang w:eastAsia="zh-CN"/>
        </w:rPr>
        <w:t>供应商</w:t>
      </w:r>
      <w:r>
        <w:rPr>
          <w:rFonts w:hint="eastAsia" w:ascii="微软雅黑" w:hAnsi="微软雅黑" w:eastAsia="微软雅黑" w:cs="微软雅黑"/>
          <w:b/>
          <w:bCs/>
          <w:color w:val="auto"/>
          <w:sz w:val="24"/>
          <w:highlight w:val="none"/>
        </w:rPr>
        <w:t>少于不足三家的，不得评标。</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19.2   采购人或采购代理机构将在开标前1个工作日至投标截止后1小时的期间内查询</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的信用记录。</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存在不良信用记录的，其投标将被认定为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19.2.1 不良信用记录指：</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lang w:val="en-US" w:eastAsia="zh-CN"/>
        </w:rPr>
        <w:t>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国家企业信用信息公示系统（http://www.gsxt.gov.cn）”列入严重违法失信企业名单（黑名单）信息截图</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58" w:leftChars="456" w:firstLine="60" w:firstLineChars="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以联合体形式参加投标的，联合体任何成员存在以上不良信用记录的，联合体投标将被认定为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4"/>
        <w:pageBreakBefore w:val="0"/>
        <w:widowControl w:val="0"/>
        <w:kinsoku/>
        <w:wordWrap/>
        <w:overflowPunct/>
        <w:topLinePunct w:val="0"/>
        <w:bidi w:val="0"/>
        <w:spacing w:line="360" w:lineRule="exact"/>
        <w:ind w:left="849" w:leftChars="0" w:hanging="849" w:hangingChars="354"/>
        <w:jc w:val="both"/>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19.2.2 查询及记录方式：采购人或采购代理机构经办人将查询网页打印、签字并存档备查。</w:t>
      </w:r>
      <w:r>
        <w:rPr>
          <w:rFonts w:hint="eastAsia" w:ascii="微软雅黑" w:hAnsi="微软雅黑" w:eastAsia="微软雅黑" w:cs="微软雅黑"/>
          <w:color w:val="auto"/>
          <w:highlight w:val="none"/>
          <w:lang w:eastAsia="zh-CN"/>
        </w:rPr>
        <w:t>供应商</w:t>
      </w:r>
      <w:r>
        <w:rPr>
          <w:rFonts w:hint="eastAsia" w:ascii="微软雅黑" w:hAnsi="微软雅黑" w:eastAsia="微软雅黑" w:cs="微软雅黑"/>
          <w:color w:val="auto"/>
          <w:highlight w:val="none"/>
        </w:rPr>
        <w:t>不良信用记录以采购人或采购代理机构查询结果为准。</w:t>
      </w:r>
    </w:p>
    <w:p>
      <w:pPr>
        <w:pStyle w:val="4"/>
        <w:pageBreakBefore w:val="0"/>
        <w:widowControl w:val="0"/>
        <w:kinsoku/>
        <w:wordWrap/>
        <w:overflowPunct/>
        <w:topLinePunct w:val="0"/>
        <w:bidi w:val="0"/>
        <w:spacing w:line="360" w:lineRule="exact"/>
        <w:ind w:left="0" w:leftChars="0" w:firstLine="0"/>
        <w:jc w:val="both"/>
        <w:textAlignment w:val="auto"/>
        <w:rPr>
          <w:rFonts w:hint="eastAsia"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在本招标文件规定的查询时间之后，网站信息发生的任何变更均不再作为评标依据。</w:t>
      </w:r>
    </w:p>
    <w:p>
      <w:pPr>
        <w:pStyle w:val="4"/>
        <w:pageBreakBefore w:val="0"/>
        <w:widowControl w:val="0"/>
        <w:kinsoku/>
        <w:wordWrap/>
        <w:overflowPunct/>
        <w:topLinePunct w:val="0"/>
        <w:bidi w:val="0"/>
        <w:spacing w:line="360" w:lineRule="exact"/>
        <w:ind w:left="0" w:leftChars="0" w:firstLine="0"/>
        <w:jc w:val="both"/>
        <w:textAlignment w:val="auto"/>
        <w:rPr>
          <w:rFonts w:hint="eastAsia"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lang w:eastAsia="zh-CN"/>
        </w:rPr>
        <w:t>供应商</w:t>
      </w:r>
      <w:r>
        <w:rPr>
          <w:rFonts w:hint="eastAsia" w:ascii="微软雅黑" w:hAnsi="微软雅黑" w:eastAsia="微软雅黑" w:cs="微软雅黑"/>
          <w:b/>
          <w:bCs/>
          <w:color w:val="auto"/>
          <w:highlight w:val="none"/>
        </w:rPr>
        <w:t>自行提供的与网站信息不一致的其他证明材料亦不作为资格审查依据。</w:t>
      </w:r>
    </w:p>
    <w:p>
      <w:pPr>
        <w:pageBreakBefore w:val="0"/>
        <w:widowControl w:val="0"/>
        <w:kinsoku/>
        <w:wordWrap/>
        <w:overflowPunct/>
        <w:topLinePunct w:val="0"/>
        <w:bidi w:val="0"/>
        <w:spacing w:line="360" w:lineRule="exact"/>
        <w:ind w:left="849" w:leftChars="0" w:hanging="849" w:hangingChars="354"/>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19.3   按照《中华人民共和国政府采购法》、《中华人民共和国政府采购法实施条例》</w:t>
      </w:r>
      <w:r>
        <w:rPr>
          <w:rFonts w:hint="eastAsia" w:ascii="微软雅黑" w:hAnsi="微软雅黑" w:eastAsia="微软雅黑" w:cs="微软雅黑"/>
          <w:color w:val="auto"/>
          <w:sz w:val="24"/>
          <w:highlight w:val="none"/>
          <w:lang w:eastAsia="zh-CN"/>
        </w:rPr>
        <w:t>、《政府采购货物和服务招标投标管理办法》财政部令第87号</w:t>
      </w:r>
      <w:r>
        <w:rPr>
          <w:rFonts w:hint="eastAsia" w:ascii="微软雅黑" w:hAnsi="微软雅黑" w:eastAsia="微软雅黑" w:cs="微软雅黑"/>
          <w:color w:val="auto"/>
          <w:sz w:val="24"/>
          <w:highlight w:val="none"/>
        </w:rPr>
        <w:t>及本项目本级和上级财政部门的有关规定依法</w:t>
      </w:r>
      <w:bookmarkStart w:id="556" w:name="_Toc520356166"/>
      <w:r>
        <w:rPr>
          <w:rFonts w:hint="eastAsia" w:ascii="微软雅黑" w:hAnsi="微软雅黑" w:eastAsia="微软雅黑" w:cs="微软雅黑"/>
          <w:color w:val="auto"/>
          <w:sz w:val="24"/>
          <w:highlight w:val="none"/>
          <w:lang w:eastAsia="zh-CN"/>
        </w:rPr>
        <w:t>在</w:t>
      </w:r>
      <w:r>
        <w:rPr>
          <w:rFonts w:hint="eastAsia" w:ascii="微软雅黑" w:hAnsi="微软雅黑" w:eastAsia="微软雅黑" w:cs="微软雅黑"/>
          <w:b/>
          <w:bCs/>
          <w:color w:val="auto"/>
          <w:sz w:val="24"/>
          <w:highlight w:val="none"/>
          <w:lang w:eastAsia="zh-CN"/>
        </w:rPr>
        <w:t>政采云平台上随机抽取</w:t>
      </w:r>
      <w:r>
        <w:rPr>
          <w:rFonts w:hint="eastAsia" w:ascii="微软雅黑" w:hAnsi="微软雅黑" w:eastAsia="微软雅黑" w:cs="微软雅黑"/>
          <w:b/>
          <w:bCs/>
          <w:color w:val="auto"/>
          <w:sz w:val="24"/>
          <w:highlight w:val="none"/>
          <w:lang w:val="en-US" w:eastAsia="zh-CN"/>
        </w:rPr>
        <w:t>5</w:t>
      </w:r>
      <w:r>
        <w:rPr>
          <w:rFonts w:hint="eastAsia" w:ascii="微软雅黑" w:hAnsi="微软雅黑" w:eastAsia="微软雅黑" w:cs="微软雅黑"/>
          <w:b/>
          <w:bCs/>
          <w:color w:val="auto"/>
          <w:sz w:val="24"/>
          <w:highlight w:val="none"/>
        </w:rPr>
        <w:t>名评标委员会成员</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color w:val="auto"/>
          <w:sz w:val="24"/>
          <w:highlight w:val="none"/>
        </w:rPr>
        <w:t>负责评标工作。</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bCs/>
          <w:color w:val="auto"/>
          <w:highlight w:val="none"/>
          <w:bdr w:val="single" w:color="auto" w:sz="4" w:space="0"/>
        </w:rPr>
      </w:pPr>
      <w:bookmarkStart w:id="557" w:name="_Toc32378"/>
      <w:bookmarkStart w:id="558" w:name="_Toc7309"/>
      <w:bookmarkStart w:id="559" w:name="_Toc515647781"/>
      <w:bookmarkStart w:id="560" w:name="_Toc29187"/>
      <w:bookmarkStart w:id="561" w:name="_Toc6519"/>
      <w:bookmarkStart w:id="562" w:name="_Toc5870"/>
      <w:bookmarkStart w:id="563" w:name="_Toc13892"/>
      <w:bookmarkStart w:id="564" w:name="_Toc3936"/>
      <w:bookmarkStart w:id="565" w:name="_Toc14028"/>
      <w:bookmarkStart w:id="566" w:name="_Toc30105"/>
      <w:bookmarkStart w:id="567" w:name="_Toc7345"/>
      <w:bookmarkStart w:id="568" w:name="_Toc8432"/>
      <w:bookmarkStart w:id="569" w:name="_Toc15121"/>
      <w:bookmarkStart w:id="570" w:name="_Toc21920"/>
      <w:bookmarkStart w:id="571" w:name="_Toc14377"/>
      <w:bookmarkStart w:id="572" w:name="_Toc12111"/>
      <w:bookmarkStart w:id="573" w:name="_Toc24865"/>
      <w:bookmarkStart w:id="574" w:name="_Toc4413"/>
      <w:bookmarkStart w:id="575" w:name="_Toc21876"/>
      <w:bookmarkStart w:id="576" w:name="_Toc13448"/>
      <w:bookmarkStart w:id="577" w:name="_Toc19094"/>
      <w:bookmarkStart w:id="578" w:name="_Toc827"/>
      <w:bookmarkStart w:id="579" w:name="_Toc19949"/>
      <w:bookmarkStart w:id="580" w:name="_Toc4062"/>
      <w:bookmarkStart w:id="581" w:name="_Toc22736"/>
      <w:bookmarkStart w:id="582" w:name="_Toc31534"/>
      <w:bookmarkStart w:id="583" w:name="_Toc28479"/>
      <w:bookmarkStart w:id="584" w:name="_Toc22021"/>
      <w:r>
        <w:rPr>
          <w:rFonts w:hint="eastAsia" w:ascii="微软雅黑" w:hAnsi="微软雅黑" w:eastAsia="微软雅黑" w:cs="微软雅黑"/>
          <w:color w:val="auto"/>
          <w:highlight w:val="none"/>
          <w:u w:val="none"/>
        </w:rPr>
        <w:t>20.投标文件</w:t>
      </w:r>
      <w:bookmarkEnd w:id="556"/>
      <w:r>
        <w:rPr>
          <w:rFonts w:hint="eastAsia" w:ascii="微软雅黑" w:hAnsi="微软雅黑" w:eastAsia="微软雅黑" w:cs="微软雅黑"/>
          <w:color w:val="auto"/>
          <w:highlight w:val="none"/>
          <w:u w:val="none"/>
        </w:rPr>
        <w:t>符合性审查与澄清</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20.1   符合性审查是指依据招标文件的规定，从投标文件的有效性和完整性对招标文件的响应程度进行审查，以确定是否对招标文件的实质性要求做出响应。</w:t>
      </w:r>
      <w:bookmarkStart w:id="585" w:name="_Hlt522424701"/>
      <w:bookmarkEnd w:id="585"/>
      <w:bookmarkStart w:id="586" w:name="_Toc520356167"/>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投标文件的澄清</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20.2.1  在评标期间，评标委员会将以书面方式要求</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对其投标文件中含义不明确、对同类问题表述不一致或者有明显文字和计算错误的内容，以及评标委员会认为</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的报价明显低于其他通过符合性检查</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的报价，有可能影响履约的情况作必要的澄清、说明或补正。</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的澄清、说明或补正应在评标委员会规定的时间内以书面方式进行，并不得超出投标文件范围或者改变投标文件的实质性内容。</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20.2.2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的的澄清、说明或补正将作为投标文件的一部分。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20.3  投标文件报价出现前后不一致的，按照下列规定修正：</w:t>
      </w:r>
    </w:p>
    <w:p>
      <w:pPr>
        <w:pageBreakBefore w:val="0"/>
        <w:widowControl w:val="0"/>
        <w:kinsoku/>
        <w:wordWrap/>
        <w:overflowPunct/>
        <w:topLinePunct w:val="0"/>
        <w:bidi w:val="0"/>
        <w:spacing w:line="360" w:lineRule="exact"/>
        <w:ind w:left="1020" w:leftChars="0" w:hanging="1020" w:hangingChars="4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（一）投标文件中开标一览表（报价表）内容与投标文件中相应内容不一致的，以开标一览表（报价表）为准；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（二）大写金额和小写金额不一致的，</w:t>
      </w:r>
      <w:r>
        <w:rPr>
          <w:rFonts w:hint="eastAsia" w:ascii="微软雅黑" w:hAnsi="微软雅黑" w:eastAsia="微软雅黑" w:cs="微软雅黑"/>
          <w:b/>
          <w:bCs/>
          <w:color w:val="auto"/>
          <w:sz w:val="24"/>
          <w:highlight w:val="none"/>
        </w:rPr>
        <w:t>以大写金额为准</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1020" w:leftChars="0" w:hanging="1020" w:hangingChars="4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（三）单价金额小数点或者百分比有明显错位的，以开标一览表的总价为准，并修改单价；</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（四）总价金额与按单价汇总金额不一致的，以单价金额计算结果为准。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同时出现两种以上不一致的，按照前款规定的顺序修正。修正后的报价按照第20.2条的规定经</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确认后产生约束力，</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不确认的，其投标将被认定为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0" w:leftChars="0" w:firstLine="120" w:firstLineChars="5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对不同文字文本投标文件的解释发生异议的，以中文文本为准。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20.4   如一个分包内只有一种产品，不同</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所投产品为同一品牌的，按如下方式处理：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20.4.1  如本项目使用最低评标价法，提供相同品牌产品的不同</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以其中通过资格审查、符合性审查且报价最低的参加评标；报价相同的，由采购人或者采购人委托评标委员会按照招标文件中评标办法规定的方式确定一个参加评标的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；未规定的采取随机抽取方式确定，其他投标将被认定为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20.4.2  如本项目使用综合评分法，提供相同品牌产品且通过资格审查、符合性审查的不同</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，按一家</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计算，评审后得分最高的同品牌</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获得中标人推荐资格；评审得分相同的，由采购人或者采购人委托评标委员会按照招标文件中评标办法规定的方式确定一个</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获得中标人推荐资格；未规定的采取随机抽取方式确定，其他同品牌</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不作为中标候选人。</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20.5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所投产品如被列入财政部与国家主管部门颁发的节能产品目录或环境标志产品目录或无线局域网产品目录，应提供相关证明，在评标时予以优先采购，具体优先采购办法见第六章评标方法和标准。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如采购人所采购产品为政府强制采购的节能产品，</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所投产品的品牌及型号必须为清单中有效期内产品并提供证明文件，否则其投标将被认定为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587" w:name="_Toc9469"/>
      <w:bookmarkStart w:id="588" w:name="_Toc9583"/>
      <w:bookmarkStart w:id="589" w:name="_Toc10306"/>
      <w:bookmarkStart w:id="590" w:name="_Toc22089"/>
      <w:bookmarkStart w:id="591" w:name="_Toc19042"/>
      <w:bookmarkStart w:id="592" w:name="_Toc21138"/>
      <w:bookmarkStart w:id="593" w:name="_Toc31408"/>
      <w:bookmarkStart w:id="594" w:name="_Toc28156"/>
      <w:bookmarkStart w:id="595" w:name="_Toc630"/>
      <w:bookmarkStart w:id="596" w:name="_Toc16225"/>
      <w:bookmarkStart w:id="597" w:name="_Toc8380"/>
      <w:bookmarkStart w:id="598" w:name="_Toc7973"/>
      <w:bookmarkStart w:id="599" w:name="_Toc10143"/>
      <w:bookmarkStart w:id="600" w:name="_Toc12161"/>
      <w:bookmarkStart w:id="601" w:name="_Toc24403"/>
      <w:bookmarkStart w:id="602" w:name="_Toc22"/>
      <w:bookmarkStart w:id="603" w:name="_Toc6784"/>
      <w:bookmarkStart w:id="604" w:name="_Toc11608"/>
      <w:bookmarkStart w:id="605" w:name="_Toc10619"/>
      <w:bookmarkStart w:id="606" w:name="_Toc6538"/>
      <w:bookmarkStart w:id="607" w:name="_Toc515647782"/>
      <w:bookmarkStart w:id="608" w:name="_Toc29292"/>
      <w:bookmarkStart w:id="609" w:name="_Toc6364"/>
      <w:bookmarkStart w:id="610" w:name="_Toc21482"/>
      <w:bookmarkStart w:id="611" w:name="_Toc1633"/>
      <w:bookmarkStart w:id="612" w:name="_Toc16070"/>
      <w:bookmarkStart w:id="613" w:name="_Toc4417"/>
      <w:bookmarkStart w:id="614" w:name="_Toc18062"/>
      <w:r>
        <w:rPr>
          <w:rFonts w:hint="eastAsia" w:ascii="微软雅黑" w:hAnsi="微软雅黑" w:eastAsia="微软雅黑" w:cs="微软雅黑"/>
          <w:color w:val="auto"/>
          <w:highlight w:val="none"/>
          <w:u w:val="none"/>
        </w:rPr>
        <w:t>21.投标偏离</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ageBreakBefore w:val="0"/>
        <w:widowControl w:val="0"/>
        <w:kinsoku/>
        <w:wordWrap/>
        <w:overflowPunct/>
        <w:topLinePunct w:val="0"/>
        <w:bidi w:val="0"/>
        <w:spacing w:line="360" w:lineRule="exact"/>
        <w:ind w:left="640" w:leftChars="0" w:hanging="640" w:hangingChars="267"/>
        <w:textAlignment w:val="auto"/>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sz w:val="24"/>
          <w:highlight w:val="none"/>
        </w:rPr>
        <w:t xml:space="preserve">     评标委员会可以接受投标文件中不构成实质性偏离的不正规或不一致。</w:t>
      </w:r>
      <w:bookmarkStart w:id="615" w:name="_Toc515647783"/>
      <w:bookmarkStart w:id="616" w:name="_Toc4950"/>
      <w:bookmarkStart w:id="617" w:name="_Toc6092"/>
      <w:r>
        <w:rPr>
          <w:rFonts w:hint="eastAsia" w:ascii="微软雅黑" w:hAnsi="微软雅黑" w:eastAsia="微软雅黑" w:cs="微软雅黑"/>
          <w:color w:val="auto"/>
          <w:sz w:val="24"/>
          <w:highlight w:val="none"/>
        </w:rPr>
        <w:t>本项目技术参数接受偏离，投标供应商提供的技术参数中出现正偏离，正偏离加分，负偏离扣分。</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618" w:name="_Toc23335"/>
      <w:bookmarkStart w:id="619" w:name="_Toc17823"/>
      <w:bookmarkStart w:id="620" w:name="_Toc12995"/>
      <w:bookmarkStart w:id="621" w:name="_Toc5011"/>
      <w:bookmarkStart w:id="622" w:name="_Toc11798"/>
      <w:bookmarkStart w:id="623" w:name="_Toc8254"/>
      <w:bookmarkStart w:id="624" w:name="_Toc20572"/>
      <w:bookmarkStart w:id="625" w:name="_Toc4727"/>
      <w:bookmarkStart w:id="626" w:name="_Toc31280"/>
      <w:bookmarkStart w:id="627" w:name="_Toc27324"/>
      <w:bookmarkStart w:id="628" w:name="_Toc7169"/>
      <w:bookmarkStart w:id="629" w:name="_Toc28742"/>
      <w:bookmarkStart w:id="630" w:name="_Toc12294"/>
      <w:bookmarkStart w:id="631" w:name="_Toc1257"/>
      <w:bookmarkStart w:id="632" w:name="_Toc19103"/>
      <w:bookmarkStart w:id="633" w:name="_Toc1222"/>
      <w:bookmarkStart w:id="634" w:name="_Toc550"/>
      <w:bookmarkStart w:id="635" w:name="_Toc26299"/>
      <w:bookmarkStart w:id="636" w:name="_Toc665"/>
      <w:bookmarkStart w:id="637" w:name="_Toc18096"/>
      <w:bookmarkStart w:id="638" w:name="_Toc17316"/>
      <w:bookmarkStart w:id="639" w:name="_Toc776"/>
      <w:bookmarkStart w:id="640" w:name="_Toc31472"/>
      <w:bookmarkStart w:id="641" w:name="_Toc17009"/>
      <w:bookmarkStart w:id="642" w:name="_Toc8973"/>
      <w:r>
        <w:rPr>
          <w:rFonts w:hint="eastAsia" w:ascii="微软雅黑" w:hAnsi="微软雅黑" w:eastAsia="微软雅黑" w:cs="微软雅黑"/>
          <w:color w:val="auto"/>
          <w:highlight w:val="none"/>
          <w:u w:val="none"/>
        </w:rPr>
        <w:t>22.投标</w:t>
      </w:r>
      <w:bookmarkEnd w:id="615"/>
      <w:r>
        <w:rPr>
          <w:rFonts w:hint="eastAsia" w:ascii="微软雅黑" w:hAnsi="微软雅黑" w:eastAsia="微软雅黑" w:cs="微软雅黑"/>
          <w:color w:val="auto"/>
          <w:highlight w:val="none"/>
          <w:u w:val="none"/>
        </w:rPr>
        <w:t>无效</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不得通过修正或撤销不符合要求的偏离，从而使其投标成为实质上响应的投标。</w:t>
      </w:r>
    </w:p>
    <w:p>
      <w:pPr>
        <w:pageBreakBefore w:val="0"/>
        <w:widowControl w:val="0"/>
        <w:kinsoku/>
        <w:wordWrap/>
        <w:overflowPunct/>
        <w:topLinePunct w:val="0"/>
        <w:bidi w:val="0"/>
        <w:spacing w:line="360" w:lineRule="exact"/>
        <w:ind w:left="718" w:leftChars="342" w:firstLine="0" w:firstLine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评标委员会决定投标的响应性只根据招标文件要求、投标文件内容及财政主管部门指定相关信息发布媒体。</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b/>
          <w:bCs/>
          <w:color w:val="auto"/>
          <w:sz w:val="24"/>
          <w:highlight w:val="none"/>
        </w:rPr>
        <w:t>如发现下列情况之一的，其投标将被认定为投标无效</w:t>
      </w:r>
      <w:r>
        <w:rPr>
          <w:rFonts w:hint="eastAsia" w:ascii="微软雅黑" w:hAnsi="微软雅黑" w:eastAsia="微软雅黑" w:cs="微软雅黑"/>
          <w:color w:val="auto"/>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1</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未按招标文件规定的形式和金额提交投标保证金的；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2</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未按照招标文件规定要求签署、盖章的；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3</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未满足招标文件中技术条款的实质性要求；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4</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与其他</w:t>
      </w:r>
      <w:r>
        <w:rPr>
          <w:rFonts w:hint="eastAsia" w:ascii="微软雅黑" w:hAnsi="微软雅黑" w:eastAsia="微软雅黑" w:cs="微软雅黑"/>
          <w:b/>
          <w:bCs/>
          <w:color w:val="auto"/>
          <w:sz w:val="24"/>
          <w:highlight w:val="none"/>
          <w:lang w:eastAsia="zh-CN"/>
        </w:rPr>
        <w:t>供应商</w:t>
      </w:r>
      <w:r>
        <w:rPr>
          <w:rFonts w:hint="eastAsia" w:ascii="微软雅黑" w:hAnsi="微软雅黑" w:eastAsia="微软雅黑" w:cs="微软雅黑"/>
          <w:b/>
          <w:bCs/>
          <w:color w:val="auto"/>
          <w:sz w:val="24"/>
          <w:highlight w:val="none"/>
        </w:rPr>
        <w:t>串通投标，或者与</w:t>
      </w:r>
      <w:r>
        <w:rPr>
          <w:rFonts w:hint="eastAsia" w:ascii="微软雅黑" w:hAnsi="微软雅黑" w:eastAsia="微软雅黑" w:cs="微软雅黑"/>
          <w:b/>
          <w:bCs/>
          <w:color w:val="auto"/>
          <w:sz w:val="24"/>
          <w:highlight w:val="none"/>
          <w:lang w:eastAsia="zh-CN"/>
        </w:rPr>
        <w:t>采购人</w:t>
      </w:r>
      <w:r>
        <w:rPr>
          <w:rFonts w:hint="eastAsia" w:ascii="微软雅黑" w:hAnsi="微软雅黑" w:eastAsia="微软雅黑" w:cs="微软雅黑"/>
          <w:b/>
          <w:bCs/>
          <w:color w:val="auto"/>
          <w:sz w:val="24"/>
          <w:highlight w:val="none"/>
        </w:rPr>
        <w:t>串通投标；</w:t>
      </w:r>
      <w:r>
        <w:rPr>
          <w:rFonts w:hint="eastAsia" w:ascii="微软雅黑" w:hAnsi="微软雅黑" w:eastAsia="微软雅黑" w:cs="微软雅黑"/>
          <w:b/>
          <w:bCs/>
          <w:color w:val="auto"/>
          <w:sz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5</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属于招标文件规定的其他投标无效情形；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38" w:leftChars="256" w:firstLine="0" w:firstLineChars="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6</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评标委员会认为</w:t>
      </w:r>
      <w:r>
        <w:rPr>
          <w:rFonts w:hint="eastAsia" w:ascii="微软雅黑" w:hAnsi="微软雅黑" w:eastAsia="微软雅黑" w:cs="微软雅黑"/>
          <w:b/>
          <w:bCs/>
          <w:color w:val="auto"/>
          <w:sz w:val="24"/>
          <w:highlight w:val="none"/>
          <w:lang w:eastAsia="zh-CN"/>
        </w:rPr>
        <w:t>供应商</w:t>
      </w:r>
      <w:r>
        <w:rPr>
          <w:rFonts w:hint="eastAsia" w:ascii="微软雅黑" w:hAnsi="微软雅黑" w:eastAsia="微软雅黑" w:cs="微软雅黑"/>
          <w:b/>
          <w:bCs/>
          <w:color w:val="auto"/>
          <w:sz w:val="24"/>
          <w:highlight w:val="none"/>
        </w:rPr>
        <w:t>的报价明显低于其他通过符合性检查</w:t>
      </w:r>
      <w:r>
        <w:rPr>
          <w:rFonts w:hint="eastAsia" w:ascii="微软雅黑" w:hAnsi="微软雅黑" w:eastAsia="微软雅黑" w:cs="微软雅黑"/>
          <w:b/>
          <w:bCs/>
          <w:color w:val="auto"/>
          <w:sz w:val="24"/>
          <w:highlight w:val="none"/>
          <w:lang w:eastAsia="zh-CN"/>
        </w:rPr>
        <w:t>供应</w:t>
      </w:r>
      <w:r>
        <w:rPr>
          <w:rFonts w:hint="eastAsia" w:ascii="微软雅黑" w:hAnsi="微软雅黑" w:eastAsia="微软雅黑" w:cs="微软雅黑"/>
          <w:b/>
          <w:bCs/>
          <w:color w:val="auto"/>
          <w:sz w:val="24"/>
          <w:highlight w:val="none"/>
          <w:lang w:val="en-US" w:eastAsia="zh-CN"/>
        </w:rPr>
        <w:t xml:space="preserve">                    </w:t>
      </w:r>
      <w:r>
        <w:rPr>
          <w:rFonts w:hint="eastAsia" w:ascii="微软雅黑" w:hAnsi="微软雅黑" w:eastAsia="微软雅黑" w:cs="微软雅黑"/>
          <w:b/>
          <w:bCs/>
          <w:color w:val="auto"/>
          <w:sz w:val="24"/>
          <w:highlight w:val="none"/>
          <w:lang w:eastAsia="zh-CN"/>
        </w:rPr>
        <w:t>商</w:t>
      </w:r>
      <w:r>
        <w:rPr>
          <w:rFonts w:hint="eastAsia" w:ascii="微软雅黑" w:hAnsi="微软雅黑" w:eastAsia="微软雅黑" w:cs="微软雅黑"/>
          <w:b/>
          <w:bCs/>
          <w:color w:val="auto"/>
          <w:sz w:val="24"/>
          <w:highlight w:val="none"/>
        </w:rPr>
        <w:t>的报价，有可能影响履约的，且</w:t>
      </w:r>
      <w:r>
        <w:rPr>
          <w:rFonts w:hint="eastAsia" w:ascii="微软雅黑" w:hAnsi="微软雅黑" w:eastAsia="微软雅黑" w:cs="微软雅黑"/>
          <w:b/>
          <w:bCs/>
          <w:color w:val="auto"/>
          <w:sz w:val="24"/>
          <w:highlight w:val="none"/>
          <w:lang w:eastAsia="zh-CN"/>
        </w:rPr>
        <w:t>供应商</w:t>
      </w:r>
      <w:r>
        <w:rPr>
          <w:rFonts w:hint="eastAsia" w:ascii="微软雅黑" w:hAnsi="微软雅黑" w:eastAsia="微软雅黑" w:cs="微软雅黑"/>
          <w:b/>
          <w:bCs/>
          <w:color w:val="auto"/>
          <w:sz w:val="24"/>
          <w:highlight w:val="none"/>
        </w:rPr>
        <w:t>未按照规定证明其报价合理性的；</w:t>
      </w:r>
    </w:p>
    <w:p>
      <w:pPr>
        <w:pageBreakBefore w:val="0"/>
        <w:widowControl w:val="0"/>
        <w:numPr>
          <w:ilvl w:val="0"/>
          <w:numId w:val="0"/>
        </w:numPr>
        <w:kinsoku/>
        <w:wordWrap/>
        <w:overflowPunct/>
        <w:topLinePunct w:val="0"/>
        <w:bidi w:val="0"/>
        <w:spacing w:line="360" w:lineRule="exact"/>
        <w:ind w:left="-180" w:leftChars="0" w:firstLine="720" w:firstLineChars="30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7</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投标文件含有采购人不能接受的附加条件的；</w:t>
      </w:r>
    </w:p>
    <w:p>
      <w:pPr>
        <w:pageBreakBefore w:val="0"/>
        <w:widowControl w:val="0"/>
        <w:numPr>
          <w:ilvl w:val="0"/>
          <w:numId w:val="0"/>
        </w:numPr>
        <w:tabs>
          <w:tab w:val="left" w:pos="0"/>
        </w:tabs>
        <w:kinsoku/>
        <w:wordWrap/>
        <w:overflowPunct/>
        <w:topLinePunct w:val="0"/>
        <w:bidi w:val="0"/>
        <w:spacing w:line="360" w:lineRule="exact"/>
        <w:ind w:left="-180" w:leftChars="0" w:firstLine="720" w:firstLineChars="30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8</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不符合法规和招标文件中规定的其他实质性要求的。</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22.3   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（1）供应商直接或者间接从采购人或者采购代理机构处获得其他供应商的相关情况并修改其投标文件或者投标文件；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（2）供应商按照采购人或者采购代理机构的授意撤换、修改投标文件或者投标文件；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（3）供应商之间协商报价、技术方案等投标文件或者投标文件的实质性内容；</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（4）属于同一集团、协会、商会等组织成员的供应商按照该组织要求协同参加政府采购活动；</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（5）供应商之间事先约定由某一特定供应商中标、成交；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（6）供应商之间商定部分供应商放弃参加政府采购活动或者放弃中标、成交；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　　 （7）供应商与采购人或者采购代理机构之间、供应商相互之间，为谋求特定供应商中标、成交或者排斥其他供应商的其他串通行为。</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643" w:name="_Toc16915"/>
      <w:bookmarkStart w:id="644" w:name="_Toc2915"/>
      <w:bookmarkStart w:id="645" w:name="_Toc20639"/>
      <w:bookmarkStart w:id="646" w:name="_Toc14805"/>
      <w:bookmarkStart w:id="647" w:name="_Toc22981"/>
      <w:bookmarkStart w:id="648" w:name="_Toc22160"/>
      <w:bookmarkStart w:id="649" w:name="_Toc515647784"/>
      <w:bookmarkStart w:id="650" w:name="_Toc1180"/>
      <w:bookmarkStart w:id="651" w:name="_Toc4328"/>
      <w:bookmarkStart w:id="652" w:name="_Toc20498"/>
      <w:bookmarkStart w:id="653" w:name="_Toc3877"/>
      <w:bookmarkStart w:id="654" w:name="_Toc9523"/>
      <w:bookmarkStart w:id="655" w:name="_Toc2833"/>
      <w:bookmarkStart w:id="656" w:name="_Toc13922"/>
      <w:bookmarkStart w:id="657" w:name="_Toc25837"/>
      <w:bookmarkStart w:id="658" w:name="_Toc6292"/>
      <w:bookmarkStart w:id="659" w:name="_Toc30348"/>
      <w:bookmarkStart w:id="660" w:name="_Toc13652"/>
      <w:bookmarkStart w:id="661" w:name="_Toc20859"/>
      <w:bookmarkStart w:id="662" w:name="_Toc13566"/>
      <w:bookmarkStart w:id="663" w:name="_Toc12033"/>
      <w:bookmarkStart w:id="664" w:name="_Toc6708"/>
      <w:bookmarkStart w:id="665" w:name="_Toc24694"/>
      <w:bookmarkStart w:id="666" w:name="_Toc17418"/>
      <w:bookmarkStart w:id="667" w:name="_Toc22941"/>
      <w:r>
        <w:rPr>
          <w:rFonts w:hint="eastAsia" w:ascii="微软雅黑" w:hAnsi="微软雅黑" w:eastAsia="微软雅黑" w:cs="微软雅黑"/>
          <w:color w:val="auto"/>
          <w:highlight w:val="none"/>
          <w:u w:val="none"/>
        </w:rPr>
        <w:t>23.</w:t>
      </w:r>
      <w:bookmarkEnd w:id="586"/>
      <w:r>
        <w:rPr>
          <w:rFonts w:hint="eastAsia" w:ascii="微软雅黑" w:hAnsi="微软雅黑" w:eastAsia="微软雅黑" w:cs="微软雅黑"/>
          <w:color w:val="auto"/>
          <w:highlight w:val="none"/>
          <w:u w:val="none"/>
        </w:rPr>
        <w:t>比较与评价</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经符合性审查合格的投标文件，评标委员会将根据招标文件确定的评标方法和标准，对其技术部分和商务部分作进一步的比较和评价。</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23.2  </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评标严格按照招标文件的要求和条件进行。根据实际情况，在</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中规定采用下列一种评标方法，详细评标标准见招标文件第六章：</w:t>
      </w:r>
    </w:p>
    <w:p>
      <w:pPr>
        <w:pStyle w:val="13"/>
        <w:pageBreakBefore w:val="0"/>
        <w:widowControl w:val="0"/>
        <w:kinsoku/>
        <w:wordWrap/>
        <w:overflowPunct/>
        <w:topLinePunct w:val="0"/>
        <w:bidi w:val="0"/>
        <w:spacing w:line="360" w:lineRule="exact"/>
        <w:ind w:left="239" w:leftChars="114" w:firstLine="31" w:firstLineChars="13"/>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（1）最低评标价法，是指投标文件满足招标文件全部实质性要求，且投标报价最低的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为中标候选人的评标方法。</w:t>
      </w:r>
    </w:p>
    <w:p>
      <w:pPr>
        <w:pStyle w:val="13"/>
        <w:pageBreakBefore w:val="0"/>
        <w:widowControl w:val="0"/>
        <w:kinsoku/>
        <w:wordWrap/>
        <w:overflowPunct/>
        <w:topLinePunct w:val="0"/>
        <w:bidi w:val="0"/>
        <w:spacing w:line="360" w:lineRule="exact"/>
        <w:ind w:left="239" w:leftChars="114" w:firstLine="33" w:firstLineChars="14"/>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（2）综合评分法，是指投标文件满足招标文件全部实质性要求，且按照评审因素的量化指标评审得分最高的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为中标候选人的评标方法。</w:t>
      </w:r>
    </w:p>
    <w:p>
      <w:pPr>
        <w:pStyle w:val="13"/>
        <w:pageBreakBefore w:val="0"/>
        <w:widowControl w:val="0"/>
        <w:kinsoku/>
        <w:wordWrap/>
        <w:overflowPunct/>
        <w:topLinePunct w:val="0"/>
        <w:bidi w:val="0"/>
        <w:spacing w:line="360" w:lineRule="exact"/>
        <w:ind w:left="239" w:leftChars="114" w:firstLine="34" w:firstLineChars="14"/>
        <w:textAlignment w:val="auto"/>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b/>
          <w:bCs/>
          <w:i w:val="0"/>
          <w:caps w:val="0"/>
          <w:color w:val="auto"/>
          <w:spacing w:val="0"/>
          <w:w w:val="100"/>
          <w:sz w:val="24"/>
          <w:highlight w:val="none"/>
        </w:rPr>
        <w:t>本项目采用综合评分法，</w:t>
      </w:r>
      <w:r>
        <w:rPr>
          <w:rFonts w:hint="eastAsia" w:ascii="微软雅黑" w:hAnsi="微软雅黑" w:eastAsia="微软雅黑" w:cs="微软雅黑"/>
          <w:b/>
          <w:bCs/>
          <w:color w:val="auto"/>
          <w:sz w:val="24"/>
          <w:szCs w:val="24"/>
          <w:highlight w:val="none"/>
        </w:rPr>
        <w:t>价格占</w:t>
      </w:r>
      <w:r>
        <w:rPr>
          <w:rFonts w:hint="eastAsia" w:ascii="微软雅黑" w:hAnsi="微软雅黑" w:eastAsia="微软雅黑" w:cs="微软雅黑"/>
          <w:b/>
          <w:bCs/>
          <w:color w:val="auto"/>
          <w:sz w:val="24"/>
          <w:szCs w:val="24"/>
          <w:highlight w:val="none"/>
          <w:lang w:val="en-US" w:eastAsia="zh-CN"/>
        </w:rPr>
        <w:t>30</w:t>
      </w:r>
      <w:r>
        <w:rPr>
          <w:rFonts w:hint="eastAsia" w:ascii="微软雅黑" w:hAnsi="微软雅黑" w:eastAsia="微软雅黑" w:cs="微软雅黑"/>
          <w:b/>
          <w:bCs/>
          <w:color w:val="auto"/>
          <w:sz w:val="24"/>
          <w:szCs w:val="24"/>
          <w:highlight w:val="none"/>
        </w:rPr>
        <w:t>%，商务占</w:t>
      </w:r>
      <w:r>
        <w:rPr>
          <w:rFonts w:hint="eastAsia" w:ascii="微软雅黑" w:hAnsi="微软雅黑" w:eastAsia="微软雅黑" w:cs="微软雅黑"/>
          <w:b/>
          <w:bCs/>
          <w:color w:val="auto"/>
          <w:sz w:val="24"/>
          <w:szCs w:val="24"/>
          <w:highlight w:val="none"/>
          <w:lang w:val="en-US" w:eastAsia="zh-CN"/>
        </w:rPr>
        <w:t>8</w:t>
      </w:r>
      <w:r>
        <w:rPr>
          <w:rFonts w:hint="eastAsia" w:ascii="微软雅黑" w:hAnsi="微软雅黑" w:eastAsia="微软雅黑" w:cs="微软雅黑"/>
          <w:b/>
          <w:bCs/>
          <w:color w:val="auto"/>
          <w:sz w:val="24"/>
          <w:szCs w:val="24"/>
          <w:highlight w:val="none"/>
        </w:rPr>
        <w:t>%，技术占</w:t>
      </w:r>
      <w:r>
        <w:rPr>
          <w:rFonts w:hint="eastAsia" w:ascii="微软雅黑" w:hAnsi="微软雅黑" w:eastAsia="微软雅黑" w:cs="微软雅黑"/>
          <w:b/>
          <w:bCs/>
          <w:color w:val="auto"/>
          <w:sz w:val="24"/>
          <w:szCs w:val="24"/>
          <w:highlight w:val="none"/>
          <w:lang w:val="en-US" w:eastAsia="zh-CN"/>
        </w:rPr>
        <w:t>62</w:t>
      </w:r>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b/>
          <w:bCs/>
          <w:color w:val="auto"/>
          <w:sz w:val="24"/>
          <w:szCs w:val="24"/>
          <w:highlight w:val="none"/>
          <w:lang w:eastAsia="zh-CN"/>
        </w:rPr>
        <w:t>。</w:t>
      </w:r>
    </w:p>
    <w:p>
      <w:pPr>
        <w:pStyle w:val="13"/>
        <w:pageBreakBefore w:val="0"/>
        <w:widowControl w:val="0"/>
        <w:kinsoku/>
        <w:wordWrap/>
        <w:overflowPunct/>
        <w:topLinePunct w:val="0"/>
        <w:bidi w:val="0"/>
        <w:spacing w:line="340" w:lineRule="exact"/>
        <w:ind w:left="480" w:hanging="480" w:hangingChars="200"/>
        <w:textAlignment w:val="auto"/>
        <w:rPr>
          <w:rFonts w:hint="eastAsia" w:ascii="微软雅黑" w:hAnsi="微软雅黑" w:eastAsia="微软雅黑" w:cs="微软雅黑"/>
          <w:b/>
          <w:bCs/>
          <w:color w:val="auto"/>
          <w:kern w:val="2"/>
          <w:sz w:val="24"/>
          <w:szCs w:val="24"/>
          <w:highlight w:val="none"/>
          <w:lang w:val="en-US" w:eastAsia="zh-CN" w:bidi="ar-SA"/>
        </w:rPr>
      </w:pPr>
      <w:r>
        <w:rPr>
          <w:rFonts w:hint="eastAsia" w:ascii="微软雅黑" w:hAnsi="微软雅黑" w:eastAsia="微软雅黑" w:cs="微软雅黑"/>
          <w:b/>
          <w:bCs/>
          <w:color w:val="auto"/>
          <w:kern w:val="2"/>
          <w:sz w:val="24"/>
          <w:szCs w:val="24"/>
          <w:highlight w:val="none"/>
          <w:lang w:val="en-US" w:eastAsia="zh-CN" w:bidi="ar-SA"/>
        </w:rPr>
        <w:t xml:space="preserve">23.3   本项目专门面向中小企业采购。根据财政部关于进一步加大政府采购支持中小企业力度的通知》财库〔2022〕19号、《政府采购促进中小企业发展管理办法》（财库[2020]46号）、《财政部司法部关于政府采购支持监狱企业发展有关问 题 的通知》（财库〔2014〕68号）、《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扣除  </w:t>
      </w:r>
      <w:r>
        <w:rPr>
          <w:rFonts w:hint="eastAsia" w:ascii="微软雅黑" w:hAnsi="微软雅黑" w:eastAsia="微软雅黑" w:cs="微软雅黑"/>
          <w:b/>
          <w:bCs/>
          <w:color w:val="auto"/>
          <w:kern w:val="2"/>
          <w:sz w:val="24"/>
          <w:szCs w:val="24"/>
          <w:highlight w:val="none"/>
          <w:u w:val="single"/>
          <w:lang w:val="en-US" w:eastAsia="zh-CN" w:bidi="ar-SA"/>
        </w:rPr>
        <w:t>10 %</w:t>
      </w:r>
      <w:r>
        <w:rPr>
          <w:rFonts w:hint="eastAsia" w:ascii="微软雅黑" w:hAnsi="微软雅黑" w:eastAsia="微软雅黑" w:cs="微软雅黑"/>
          <w:b/>
          <w:bCs/>
          <w:color w:val="auto"/>
          <w:kern w:val="2"/>
          <w:sz w:val="24"/>
          <w:szCs w:val="24"/>
          <w:highlight w:val="none"/>
          <w:lang w:val="en-US" w:eastAsia="zh-CN" w:bidi="ar-SA"/>
        </w:rPr>
        <w:t>后参与评审。对于同时属于小型、微型及小微企业、监狱企业或残疾人福利性单位的，不重复进行报价扣除。具体办法详见招标文件第6章。</w:t>
      </w:r>
    </w:p>
    <w:p>
      <w:pPr>
        <w:pStyle w:val="8"/>
        <w:pageBreakBefore w:val="0"/>
        <w:widowControl w:val="0"/>
        <w:kinsoku/>
        <w:wordWrap/>
        <w:overflowPunct/>
        <w:topLinePunct w:val="0"/>
        <w:bidi w:val="0"/>
        <w:spacing w:before="0" w:after="0" w:line="340" w:lineRule="exact"/>
        <w:ind w:left="0" w:leftChars="0"/>
        <w:textAlignment w:val="auto"/>
        <w:rPr>
          <w:rFonts w:hint="eastAsia" w:ascii="微软雅黑" w:hAnsi="微软雅黑" w:eastAsia="微软雅黑" w:cs="微软雅黑"/>
          <w:color w:val="auto"/>
          <w:highlight w:val="none"/>
          <w:u w:val="none"/>
        </w:rPr>
      </w:pPr>
      <w:bookmarkStart w:id="668" w:name="_Toc520356168"/>
      <w:bookmarkStart w:id="669" w:name="_Toc20064"/>
      <w:bookmarkStart w:id="670" w:name="_Toc14346"/>
      <w:bookmarkStart w:id="671" w:name="_Toc11382"/>
      <w:bookmarkStart w:id="672" w:name="_Toc7858"/>
      <w:bookmarkStart w:id="673" w:name="_Toc23302"/>
      <w:bookmarkStart w:id="674" w:name="_Toc5540"/>
      <w:bookmarkStart w:id="675" w:name="_Toc9820"/>
      <w:bookmarkStart w:id="676" w:name="_Toc30611"/>
      <w:bookmarkStart w:id="677" w:name="_Toc31084"/>
      <w:bookmarkStart w:id="678" w:name="_Toc32401"/>
      <w:bookmarkStart w:id="679" w:name="_Toc29970"/>
      <w:bookmarkStart w:id="680" w:name="_Toc515647785"/>
      <w:bookmarkStart w:id="681" w:name="_Toc14038"/>
      <w:bookmarkStart w:id="682" w:name="_Toc6751"/>
      <w:bookmarkStart w:id="683" w:name="_Toc10678"/>
      <w:bookmarkStart w:id="684" w:name="_Toc27067"/>
      <w:bookmarkStart w:id="685" w:name="_Toc30004"/>
      <w:bookmarkStart w:id="686" w:name="_Toc4813"/>
      <w:bookmarkStart w:id="687" w:name="_Toc20227"/>
      <w:bookmarkStart w:id="688" w:name="_Toc26540"/>
      <w:bookmarkStart w:id="689" w:name="_Toc9378"/>
      <w:bookmarkStart w:id="690" w:name="_Toc23495"/>
      <w:bookmarkStart w:id="691" w:name="_Toc30532"/>
      <w:bookmarkStart w:id="692" w:name="_Toc7770"/>
      <w:bookmarkStart w:id="693" w:name="_Toc20165"/>
      <w:bookmarkStart w:id="694" w:name="_Toc6053"/>
      <w:bookmarkStart w:id="695" w:name="_Toc19218"/>
      <w:bookmarkStart w:id="696" w:name="_Toc13678"/>
      <w:r>
        <w:rPr>
          <w:rFonts w:hint="eastAsia" w:ascii="微软雅黑" w:hAnsi="微软雅黑" w:eastAsia="微软雅黑" w:cs="微软雅黑"/>
          <w:color w:val="auto"/>
          <w:highlight w:val="none"/>
          <w:u w:val="none"/>
        </w:rPr>
        <w:t>24</w:t>
      </w:r>
      <w:bookmarkEnd w:id="668"/>
      <w:r>
        <w:rPr>
          <w:rFonts w:hint="eastAsia" w:ascii="微软雅黑" w:hAnsi="微软雅黑" w:eastAsia="微软雅黑" w:cs="微软雅黑"/>
          <w:color w:val="auto"/>
          <w:highlight w:val="none"/>
          <w:u w:val="none"/>
        </w:rPr>
        <w:t>.废标</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ageBreakBefore w:val="0"/>
        <w:widowControl w:val="0"/>
        <w:kinsoku/>
        <w:wordWrap/>
        <w:overflowPunct/>
        <w:topLinePunct w:val="0"/>
        <w:bidi w:val="0"/>
        <w:spacing w:line="340" w:lineRule="exact"/>
        <w:ind w:left="60" w:leftChars="0" w:hanging="60" w:hangingChars="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lang w:val="en-US" w:eastAsia="zh-CN"/>
        </w:rPr>
        <w:t>24.1</w:t>
      </w:r>
      <w:r>
        <w:rPr>
          <w:rFonts w:hint="eastAsia" w:ascii="微软雅黑" w:hAnsi="微软雅黑" w:eastAsia="微软雅黑" w:cs="微软雅黑"/>
          <w:b/>
          <w:bCs/>
          <w:color w:val="auto"/>
          <w:sz w:val="24"/>
          <w:highlight w:val="none"/>
        </w:rPr>
        <w:t>出现下列情形之一，将导致项目废标：</w:t>
      </w:r>
      <w:r>
        <w:rPr>
          <w:rFonts w:hint="eastAsia" w:ascii="微软雅黑" w:hAnsi="微软雅黑" w:eastAsia="微软雅黑" w:cs="微软雅黑"/>
          <w:color w:val="auto"/>
          <w:sz w:val="24"/>
          <w:highlight w:val="none"/>
        </w:rPr>
        <w:t xml:space="preserve"> </w:t>
      </w:r>
    </w:p>
    <w:p>
      <w:pPr>
        <w:pageBreakBefore w:val="0"/>
        <w:widowControl w:val="0"/>
        <w:kinsoku/>
        <w:wordWrap/>
        <w:overflowPunct/>
        <w:topLinePunct w:val="0"/>
        <w:bidi w:val="0"/>
        <w:spacing w:line="340" w:lineRule="exact"/>
        <w:ind w:left="900" w:leftChars="0" w:hanging="900" w:hangingChars="375"/>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b/>
          <w:bCs/>
          <w:color w:val="auto"/>
          <w:sz w:val="24"/>
          <w:highlight w:val="none"/>
        </w:rPr>
        <w:t>（1）符合专业条件的供应商或者对招标文件做实质性响应的供应商不足三家；</w:t>
      </w:r>
    </w:p>
    <w:p>
      <w:pPr>
        <w:pageBreakBefore w:val="0"/>
        <w:widowControl w:val="0"/>
        <w:kinsoku/>
        <w:wordWrap/>
        <w:overflowPunct/>
        <w:topLinePunct w:val="0"/>
        <w:bidi w:val="0"/>
        <w:spacing w:line="340" w:lineRule="exact"/>
        <w:ind w:left="900" w:leftChars="0" w:hanging="900" w:hangingChars="375"/>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ab/>
      </w:r>
      <w:r>
        <w:rPr>
          <w:rFonts w:hint="eastAsia" w:ascii="微软雅黑" w:hAnsi="微软雅黑" w:eastAsia="微软雅黑" w:cs="微软雅黑"/>
          <w:b/>
          <w:bCs/>
          <w:color w:val="auto"/>
          <w:sz w:val="24"/>
          <w:highlight w:val="none"/>
        </w:rPr>
        <w:t>（2）出现影响采购公正的违法、违规行为的；</w:t>
      </w:r>
    </w:p>
    <w:p>
      <w:pPr>
        <w:pageBreakBefore w:val="0"/>
        <w:widowControl w:val="0"/>
        <w:kinsoku/>
        <w:wordWrap/>
        <w:overflowPunct/>
        <w:topLinePunct w:val="0"/>
        <w:bidi w:val="0"/>
        <w:spacing w:line="340" w:lineRule="exact"/>
        <w:ind w:left="0" w:leftChars="0" w:firstLine="840" w:firstLineChars="35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（3）</w:t>
      </w:r>
      <w:r>
        <w:rPr>
          <w:rFonts w:hint="eastAsia" w:ascii="微软雅黑" w:hAnsi="微软雅黑" w:eastAsia="微软雅黑" w:cs="微软雅黑"/>
          <w:b/>
          <w:bCs/>
          <w:color w:val="auto"/>
          <w:sz w:val="24"/>
          <w:highlight w:val="none"/>
          <w:lang w:eastAsia="zh-CN"/>
        </w:rPr>
        <w:t>供应商</w:t>
      </w:r>
      <w:r>
        <w:rPr>
          <w:rFonts w:hint="eastAsia" w:ascii="微软雅黑" w:hAnsi="微软雅黑" w:eastAsia="微软雅黑" w:cs="微软雅黑"/>
          <w:b/>
          <w:bCs/>
          <w:color w:val="auto"/>
          <w:sz w:val="24"/>
          <w:highlight w:val="none"/>
        </w:rPr>
        <w:t>的报价均超过了采购预算，采购人不能支付的；</w:t>
      </w:r>
    </w:p>
    <w:p>
      <w:pPr>
        <w:pageBreakBefore w:val="0"/>
        <w:widowControl w:val="0"/>
        <w:kinsoku/>
        <w:wordWrap/>
        <w:overflowPunct/>
        <w:topLinePunct w:val="0"/>
        <w:bidi w:val="0"/>
        <w:spacing w:line="340" w:lineRule="exact"/>
        <w:ind w:left="0" w:leftChars="0" w:firstLine="840" w:firstLineChars="35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 xml:space="preserve">（4）因重大变故，采购任务取消的。  </w:t>
      </w:r>
      <w:r>
        <w:rPr>
          <w:rFonts w:hint="eastAsia" w:ascii="微软雅黑" w:hAnsi="微软雅黑" w:eastAsia="微软雅黑" w:cs="微软雅黑"/>
          <w:color w:val="auto"/>
          <w:sz w:val="24"/>
          <w:highlight w:val="none"/>
        </w:rPr>
        <w:t xml:space="preserve"> </w:t>
      </w:r>
    </w:p>
    <w:p>
      <w:pPr>
        <w:pStyle w:val="8"/>
        <w:pageBreakBefore w:val="0"/>
        <w:widowControl w:val="0"/>
        <w:kinsoku/>
        <w:wordWrap/>
        <w:overflowPunct/>
        <w:topLinePunct w:val="0"/>
        <w:bidi w:val="0"/>
        <w:spacing w:before="0" w:after="0" w:line="340" w:lineRule="exact"/>
        <w:ind w:left="0" w:leftChars="0"/>
        <w:textAlignment w:val="auto"/>
        <w:rPr>
          <w:rFonts w:hint="eastAsia" w:ascii="微软雅黑" w:hAnsi="微软雅黑" w:eastAsia="微软雅黑" w:cs="微软雅黑"/>
          <w:color w:val="auto"/>
          <w:highlight w:val="none"/>
          <w:u w:val="none"/>
        </w:rPr>
      </w:pPr>
      <w:bookmarkStart w:id="697" w:name="_Toc21697"/>
      <w:bookmarkStart w:id="698" w:name="_Toc5674"/>
      <w:bookmarkStart w:id="699" w:name="_Toc21380"/>
      <w:bookmarkStart w:id="700" w:name="_Toc19139"/>
      <w:bookmarkStart w:id="701" w:name="_Toc6579"/>
      <w:bookmarkStart w:id="702" w:name="_Toc31733"/>
      <w:bookmarkStart w:id="703" w:name="_Toc28540"/>
      <w:bookmarkStart w:id="704" w:name="_Toc9864"/>
      <w:bookmarkStart w:id="705" w:name="_Toc5599"/>
      <w:bookmarkStart w:id="706" w:name="_Toc24972"/>
      <w:bookmarkStart w:id="707" w:name="_Toc11422"/>
      <w:bookmarkStart w:id="708" w:name="_Toc24099"/>
      <w:bookmarkStart w:id="709" w:name="_Toc31289"/>
      <w:bookmarkStart w:id="710" w:name="_Toc23488"/>
      <w:bookmarkStart w:id="711" w:name="_Toc13284"/>
      <w:bookmarkStart w:id="712" w:name="_Toc29790"/>
      <w:bookmarkStart w:id="713" w:name="_Toc6457"/>
      <w:bookmarkStart w:id="714" w:name="_Toc7287"/>
      <w:bookmarkStart w:id="715" w:name="_Toc30848"/>
      <w:bookmarkStart w:id="716" w:name="_Toc515647786"/>
      <w:bookmarkStart w:id="717" w:name="_Toc5328"/>
      <w:bookmarkStart w:id="718" w:name="_Toc896"/>
      <w:bookmarkStart w:id="719" w:name="_Toc25775"/>
      <w:bookmarkStart w:id="720" w:name="_Toc23725"/>
      <w:bookmarkStart w:id="721" w:name="_Toc27604"/>
      <w:bookmarkStart w:id="722" w:name="_Toc3793"/>
      <w:bookmarkStart w:id="723" w:name="_Toc10657"/>
      <w:bookmarkStart w:id="724" w:name="_Toc29646"/>
      <w:bookmarkStart w:id="725" w:name="_Toc520356169"/>
      <w:r>
        <w:rPr>
          <w:rFonts w:hint="eastAsia" w:ascii="微软雅黑" w:hAnsi="微软雅黑" w:eastAsia="微软雅黑" w:cs="微软雅黑"/>
          <w:color w:val="auto"/>
          <w:highlight w:val="none"/>
          <w:u w:val="none"/>
        </w:rPr>
        <w:t>25.保密原则</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ageBreakBefore w:val="0"/>
        <w:widowControl w:val="0"/>
        <w:kinsoku/>
        <w:wordWrap/>
        <w:overflowPunct/>
        <w:topLinePunct w:val="0"/>
        <w:bidi w:val="0"/>
        <w:spacing w:line="34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25.1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评标将在严格保密的情况下进行。</w:t>
      </w:r>
    </w:p>
    <w:p>
      <w:pPr>
        <w:pageBreakBefore w:val="0"/>
        <w:widowControl w:val="0"/>
        <w:kinsoku/>
        <w:wordWrap/>
        <w:overflowPunct/>
        <w:topLinePunct w:val="0"/>
        <w:bidi w:val="0"/>
        <w:spacing w:line="34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25.2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政府采购评审专家应当遵守评审工作纪律，不得泄露评审文件、评审情况和评审中获悉的商业秘密。</w:t>
      </w:r>
    </w:p>
    <w:p>
      <w:pPr>
        <w:pageBreakBefore w:val="0"/>
        <w:widowControl w:val="0"/>
        <w:kinsoku/>
        <w:wordWrap/>
        <w:overflowPunct/>
        <w:topLinePunct w:val="0"/>
        <w:bidi w:val="0"/>
        <w:spacing w:line="340" w:lineRule="exact"/>
        <w:ind w:left="0" w:leftChars="0" w:hanging="540"/>
        <w:textAlignment w:val="auto"/>
        <w:rPr>
          <w:rFonts w:hint="eastAsia" w:ascii="微软雅黑" w:hAnsi="微软雅黑" w:eastAsia="微软雅黑" w:cs="微软雅黑"/>
          <w:color w:val="auto"/>
          <w:sz w:val="24"/>
          <w:highlight w:val="none"/>
        </w:rPr>
      </w:pPr>
    </w:p>
    <w:p>
      <w:pPr>
        <w:pStyle w:val="7"/>
        <w:pageBreakBefore w:val="0"/>
        <w:widowControl w:val="0"/>
        <w:kinsoku/>
        <w:wordWrap/>
        <w:overflowPunct/>
        <w:topLinePunct w:val="0"/>
        <w:bidi w:val="0"/>
        <w:spacing w:before="0" w:line="340" w:lineRule="exact"/>
        <w:ind w:left="0" w:leftChars="0" w:hanging="540"/>
        <w:textAlignment w:val="auto"/>
        <w:rPr>
          <w:rFonts w:hint="eastAsia" w:ascii="微软雅黑" w:hAnsi="微软雅黑" w:eastAsia="微软雅黑" w:cs="微软雅黑"/>
          <w:color w:val="auto"/>
          <w:highlight w:val="none"/>
        </w:rPr>
      </w:pPr>
      <w:bookmarkStart w:id="726" w:name="_Toc515647787"/>
      <w:bookmarkStart w:id="727" w:name="_Toc31410"/>
      <w:bookmarkStart w:id="728" w:name="_Toc23904"/>
      <w:bookmarkStart w:id="729" w:name="_Toc12143"/>
      <w:bookmarkStart w:id="730" w:name="_Toc216582810"/>
      <w:bookmarkStart w:id="731" w:name="_Toc5517"/>
      <w:r>
        <w:rPr>
          <w:rFonts w:hint="eastAsia" w:ascii="微软雅黑" w:hAnsi="微软雅黑" w:eastAsia="微软雅黑" w:cs="微软雅黑"/>
          <w:color w:val="auto"/>
          <w:sz w:val="24"/>
          <w:highlight w:val="none"/>
        </w:rPr>
        <w:t xml:space="preserve">六   </w:t>
      </w:r>
      <w:bookmarkEnd w:id="725"/>
      <w:r>
        <w:rPr>
          <w:rFonts w:hint="eastAsia" w:ascii="微软雅黑" w:hAnsi="微软雅黑" w:eastAsia="微软雅黑" w:cs="微软雅黑"/>
          <w:color w:val="auto"/>
          <w:sz w:val="24"/>
          <w:highlight w:val="none"/>
        </w:rPr>
        <w:t>确定中标</w:t>
      </w:r>
      <w:bookmarkEnd w:id="726"/>
      <w:bookmarkEnd w:id="727"/>
      <w:bookmarkEnd w:id="728"/>
      <w:bookmarkEnd w:id="729"/>
      <w:bookmarkEnd w:id="730"/>
      <w:bookmarkEnd w:id="731"/>
    </w:p>
    <w:p>
      <w:pPr>
        <w:pStyle w:val="8"/>
        <w:pageBreakBefore w:val="0"/>
        <w:widowControl w:val="0"/>
        <w:kinsoku/>
        <w:wordWrap/>
        <w:overflowPunct/>
        <w:topLinePunct w:val="0"/>
        <w:bidi w:val="0"/>
        <w:spacing w:before="0" w:after="0" w:line="340" w:lineRule="exact"/>
        <w:ind w:left="0" w:leftChars="0"/>
        <w:textAlignment w:val="auto"/>
        <w:rPr>
          <w:rFonts w:hint="eastAsia" w:ascii="微软雅黑" w:hAnsi="微软雅黑" w:eastAsia="微软雅黑" w:cs="微软雅黑"/>
          <w:color w:val="auto"/>
          <w:kern w:val="2"/>
          <w:sz w:val="24"/>
          <w:szCs w:val="24"/>
          <w:highlight w:val="none"/>
          <w:u w:val="none"/>
          <w:lang w:val="en-US" w:eastAsia="zh-CN" w:bidi="ar-SA"/>
        </w:rPr>
      </w:pPr>
      <w:bookmarkStart w:id="732" w:name="_Toc15249"/>
      <w:bookmarkStart w:id="733" w:name="_Toc29156"/>
      <w:bookmarkStart w:id="734" w:name="_Toc20061"/>
      <w:bookmarkStart w:id="735" w:name="_Toc31813"/>
      <w:bookmarkStart w:id="736" w:name="_Toc14800"/>
      <w:bookmarkStart w:id="737" w:name="_Toc6381"/>
      <w:bookmarkStart w:id="738" w:name="_Toc23645"/>
      <w:bookmarkStart w:id="739" w:name="_Toc24864"/>
      <w:bookmarkStart w:id="740" w:name="_Toc21488"/>
      <w:bookmarkStart w:id="741" w:name="_Toc25101"/>
      <w:bookmarkStart w:id="742" w:name="_Toc520356170"/>
      <w:bookmarkStart w:id="743" w:name="_Toc23617"/>
      <w:bookmarkStart w:id="744" w:name="_Toc515647788"/>
      <w:bookmarkStart w:id="745" w:name="_Toc30698"/>
      <w:bookmarkStart w:id="746" w:name="_Toc12168"/>
      <w:bookmarkStart w:id="747" w:name="_Toc23762"/>
      <w:bookmarkStart w:id="748" w:name="_Toc28649"/>
      <w:bookmarkStart w:id="749" w:name="_Toc13936"/>
      <w:bookmarkStart w:id="750" w:name="_Toc24914"/>
      <w:bookmarkStart w:id="751" w:name="_Toc31710"/>
      <w:bookmarkStart w:id="752" w:name="_Toc24563"/>
      <w:bookmarkStart w:id="753" w:name="_Toc154"/>
      <w:bookmarkStart w:id="754" w:name="_Toc28179"/>
      <w:bookmarkStart w:id="755" w:name="_Toc27501"/>
      <w:bookmarkStart w:id="756" w:name="_Toc24602"/>
      <w:bookmarkStart w:id="757" w:name="_Toc5464"/>
      <w:bookmarkStart w:id="758" w:name="_Ref467307010"/>
      <w:bookmarkStart w:id="759" w:name="_Toc27787"/>
      <w:bookmarkStart w:id="760" w:name="_Toc30510"/>
      <w:r>
        <w:rPr>
          <w:rFonts w:hint="eastAsia" w:ascii="微软雅黑" w:hAnsi="微软雅黑" w:eastAsia="微软雅黑" w:cs="微软雅黑"/>
          <w:color w:val="auto"/>
          <w:kern w:val="2"/>
          <w:sz w:val="24"/>
          <w:szCs w:val="24"/>
          <w:highlight w:val="none"/>
          <w:u w:val="none"/>
          <w:lang w:val="en-US" w:eastAsia="zh-CN" w:bidi="ar-SA"/>
        </w:rPr>
        <w:t>26.中标候选人的确定原则及标准</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ageBreakBefore w:val="0"/>
        <w:widowControl w:val="0"/>
        <w:kinsoku/>
        <w:wordWrap/>
        <w:overflowPunct/>
        <w:topLinePunct w:val="0"/>
        <w:bidi w:val="0"/>
        <w:spacing w:line="34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对实质上响应招标文件的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按下列方法进行排序，确定投标候选人：</w:t>
      </w:r>
    </w:p>
    <w:p>
      <w:pPr>
        <w:pageBreakBefore w:val="0"/>
        <w:widowControl w:val="0"/>
        <w:kinsoku/>
        <w:wordWrap/>
        <w:overflowPunct/>
        <w:topLinePunct w:val="0"/>
        <w:bidi w:val="0"/>
        <w:spacing w:line="340" w:lineRule="exact"/>
        <w:ind w:left="0" w:leftChars="0" w:firstLine="480" w:firstLineChars="200"/>
        <w:textAlignment w:val="auto"/>
        <w:rPr>
          <w:rFonts w:hint="eastAsia" w:ascii="微软雅黑" w:hAnsi="微软雅黑" w:eastAsia="微软雅黑" w:cs="微软雅黑"/>
          <w:color w:val="auto"/>
          <w:sz w:val="24"/>
          <w:highlight w:val="none"/>
        </w:rPr>
      </w:pPr>
      <w:bookmarkStart w:id="761" w:name="_Toc515647789"/>
      <w:bookmarkStart w:id="762" w:name="_Toc520356171"/>
      <w:r>
        <w:rPr>
          <w:rFonts w:hint="eastAsia" w:ascii="微软雅黑" w:hAnsi="微软雅黑" w:eastAsia="微软雅黑" w:cs="微软雅黑"/>
          <w:color w:val="auto"/>
          <w:sz w:val="24"/>
          <w:highlight w:val="none"/>
        </w:rPr>
        <w:t>（1）采用最低评标价法的，除了算术修正和落实政府采购政策需进行的价格扣除外，不对</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的投标价格进行任何调整。评标结果按修正和扣除后的投标报价由低到高顺序排列。报价相同的处理方式详见招标文件第6章。</w:t>
      </w:r>
    </w:p>
    <w:p>
      <w:pPr>
        <w:pageBreakBefore w:val="0"/>
        <w:widowControl w:val="0"/>
        <w:kinsoku/>
        <w:wordWrap/>
        <w:overflowPunct/>
        <w:topLinePunct w:val="0"/>
        <w:bidi w:val="0"/>
        <w:spacing w:line="34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（2）采用综合评分法的，评标结果按评审后得分由高到低顺序排列。得分相同的，按修正和扣除后的投标报价由低到高顺序排列。得分与投标报价均相同的处理方式详见招标文件第6章。</w:t>
      </w:r>
    </w:p>
    <w:p>
      <w:pPr>
        <w:pStyle w:val="13"/>
        <w:pageBreakBefore w:val="0"/>
        <w:widowControl w:val="0"/>
        <w:kinsoku/>
        <w:wordWrap/>
        <w:overflowPunct/>
        <w:topLinePunct w:val="0"/>
        <w:bidi w:val="0"/>
        <w:spacing w:line="360" w:lineRule="exact"/>
        <w:ind w:left="239" w:leftChars="114" w:firstLine="34" w:firstLineChars="14"/>
        <w:textAlignment w:val="auto"/>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b/>
          <w:bCs/>
          <w:i w:val="0"/>
          <w:caps w:val="0"/>
          <w:color w:val="auto"/>
          <w:spacing w:val="0"/>
          <w:w w:val="100"/>
          <w:sz w:val="24"/>
          <w:highlight w:val="none"/>
        </w:rPr>
        <w:t>本项目采用综合评分法，</w:t>
      </w:r>
      <w:bookmarkStart w:id="763" w:name="_Toc17933"/>
      <w:bookmarkStart w:id="764" w:name="_Toc28294"/>
      <w:bookmarkStart w:id="765" w:name="_Toc3720"/>
      <w:bookmarkStart w:id="766" w:name="_Toc14558"/>
      <w:bookmarkStart w:id="767" w:name="_Toc26752"/>
      <w:bookmarkStart w:id="768" w:name="_Toc21913"/>
      <w:bookmarkStart w:id="769" w:name="_Toc11247"/>
      <w:bookmarkStart w:id="770" w:name="_Toc17164"/>
      <w:bookmarkStart w:id="771" w:name="_Toc1644"/>
      <w:bookmarkStart w:id="772" w:name="_Toc21306"/>
      <w:bookmarkStart w:id="773" w:name="_Toc721"/>
      <w:bookmarkStart w:id="774" w:name="_Toc16846"/>
      <w:bookmarkStart w:id="775" w:name="_Toc25274"/>
      <w:bookmarkStart w:id="776" w:name="_Toc24948"/>
      <w:bookmarkStart w:id="777" w:name="_Toc976"/>
      <w:bookmarkStart w:id="778" w:name="_Toc27172"/>
      <w:bookmarkStart w:id="779" w:name="_Toc29803"/>
      <w:bookmarkStart w:id="780" w:name="_Toc30756"/>
      <w:r>
        <w:rPr>
          <w:rFonts w:hint="eastAsia" w:ascii="微软雅黑" w:hAnsi="微软雅黑" w:eastAsia="微软雅黑" w:cs="微软雅黑"/>
          <w:b/>
          <w:bCs/>
          <w:color w:val="auto"/>
          <w:sz w:val="24"/>
          <w:szCs w:val="24"/>
          <w:highlight w:val="none"/>
        </w:rPr>
        <w:t>价格占</w:t>
      </w:r>
      <w:r>
        <w:rPr>
          <w:rFonts w:hint="eastAsia" w:ascii="微软雅黑" w:hAnsi="微软雅黑" w:eastAsia="微软雅黑" w:cs="微软雅黑"/>
          <w:b/>
          <w:bCs/>
          <w:color w:val="auto"/>
          <w:sz w:val="24"/>
          <w:szCs w:val="24"/>
          <w:highlight w:val="none"/>
          <w:lang w:val="en-US" w:eastAsia="zh-CN"/>
        </w:rPr>
        <w:t>30</w:t>
      </w:r>
      <w:r>
        <w:rPr>
          <w:rFonts w:hint="eastAsia" w:ascii="微软雅黑" w:hAnsi="微软雅黑" w:eastAsia="微软雅黑" w:cs="微软雅黑"/>
          <w:b/>
          <w:bCs/>
          <w:color w:val="auto"/>
          <w:sz w:val="24"/>
          <w:szCs w:val="24"/>
          <w:highlight w:val="none"/>
        </w:rPr>
        <w:t>%，商务占</w:t>
      </w:r>
      <w:r>
        <w:rPr>
          <w:rFonts w:hint="eastAsia" w:ascii="微软雅黑" w:hAnsi="微软雅黑" w:eastAsia="微软雅黑" w:cs="微软雅黑"/>
          <w:b/>
          <w:bCs/>
          <w:color w:val="auto"/>
          <w:sz w:val="24"/>
          <w:szCs w:val="24"/>
          <w:highlight w:val="none"/>
          <w:lang w:val="en-US" w:eastAsia="zh-CN"/>
        </w:rPr>
        <w:t>8</w:t>
      </w:r>
      <w:r>
        <w:rPr>
          <w:rFonts w:hint="eastAsia" w:ascii="微软雅黑" w:hAnsi="微软雅黑" w:eastAsia="微软雅黑" w:cs="微软雅黑"/>
          <w:b/>
          <w:bCs/>
          <w:color w:val="auto"/>
          <w:sz w:val="24"/>
          <w:szCs w:val="24"/>
          <w:highlight w:val="none"/>
        </w:rPr>
        <w:t>%，技术占</w:t>
      </w:r>
      <w:r>
        <w:rPr>
          <w:rFonts w:hint="eastAsia" w:ascii="微软雅黑" w:hAnsi="微软雅黑" w:eastAsia="微软雅黑" w:cs="微软雅黑"/>
          <w:b/>
          <w:bCs/>
          <w:color w:val="auto"/>
          <w:sz w:val="24"/>
          <w:szCs w:val="24"/>
          <w:highlight w:val="none"/>
          <w:lang w:val="en-US" w:eastAsia="zh-CN"/>
        </w:rPr>
        <w:t>62</w:t>
      </w:r>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b/>
          <w:bCs/>
          <w:color w:val="auto"/>
          <w:sz w:val="24"/>
          <w:szCs w:val="24"/>
          <w:highlight w:val="none"/>
          <w:lang w:eastAsia="zh-CN"/>
        </w:rPr>
        <w:t>。</w:t>
      </w:r>
    </w:p>
    <w:p>
      <w:pPr>
        <w:pStyle w:val="8"/>
        <w:pageBreakBefore w:val="0"/>
        <w:widowControl w:val="0"/>
        <w:tabs>
          <w:tab w:val="left" w:pos="900"/>
        </w:tabs>
        <w:kinsoku/>
        <w:wordWrap/>
        <w:overflowPunct/>
        <w:topLinePunct w:val="0"/>
        <w:bidi w:val="0"/>
        <w:snapToGrid w:val="0"/>
        <w:spacing w:before="0" w:beforeAutospacing="0" w:after="0" w:afterAutospacing="0" w:line="340" w:lineRule="exact"/>
        <w:ind w:left="0" w:leftChars="0"/>
        <w:jc w:val="left"/>
        <w:textAlignment w:val="baseline"/>
        <w:rPr>
          <w:rFonts w:hint="eastAsia" w:ascii="微软雅黑" w:hAnsi="微软雅黑" w:eastAsia="微软雅黑" w:cs="微软雅黑"/>
          <w:color w:val="auto"/>
          <w:sz w:val="24"/>
          <w:highlight w:val="none"/>
        </w:rPr>
      </w:pPr>
      <w:bookmarkStart w:id="781" w:name="_Toc15609"/>
      <w:bookmarkStart w:id="782" w:name="_Toc20632"/>
      <w:bookmarkStart w:id="783" w:name="_Toc14191"/>
      <w:bookmarkStart w:id="784" w:name="_Toc15060"/>
      <w:bookmarkStart w:id="785" w:name="_Toc18364"/>
      <w:bookmarkStart w:id="786" w:name="_Toc12555"/>
      <w:bookmarkStart w:id="787" w:name="_Toc7999"/>
      <w:bookmarkStart w:id="788" w:name="_Toc10865"/>
      <w:bookmarkStart w:id="789" w:name="_Toc18838"/>
      <w:bookmarkStart w:id="790" w:name="_Toc29392"/>
      <w:r>
        <w:rPr>
          <w:rFonts w:hint="eastAsia" w:ascii="微软雅黑" w:hAnsi="微软雅黑" w:eastAsia="微软雅黑" w:cs="微软雅黑"/>
          <w:b/>
          <w:i w:val="0"/>
          <w:caps w:val="0"/>
          <w:color w:val="auto"/>
          <w:spacing w:val="0"/>
          <w:w w:val="100"/>
          <w:sz w:val="24"/>
          <w:highlight w:val="none"/>
          <w:u w:val="single" w:color="000000"/>
        </w:rPr>
        <w:t>27.确定成交候选人和</w:t>
      </w:r>
      <w:bookmarkEnd w:id="763"/>
      <w:r>
        <w:rPr>
          <w:rFonts w:hint="eastAsia" w:ascii="微软雅黑" w:hAnsi="微软雅黑" w:eastAsia="微软雅黑" w:cs="微软雅黑"/>
          <w:b/>
          <w:i w:val="0"/>
          <w:caps w:val="0"/>
          <w:color w:val="auto"/>
          <w:spacing w:val="0"/>
          <w:w w:val="100"/>
          <w:sz w:val="24"/>
          <w:highlight w:val="none"/>
          <w:u w:val="single" w:color="000000"/>
        </w:rPr>
        <w:t>成交人</w:t>
      </w:r>
      <w:bookmarkEnd w:id="761"/>
      <w:bookmarkEnd w:id="762"/>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ageBreakBefore w:val="0"/>
        <w:widowControl w:val="0"/>
        <w:kinsoku/>
        <w:wordWrap/>
        <w:overflowPunct/>
        <w:topLinePunct w:val="0"/>
        <w:bidi w:val="0"/>
        <w:spacing w:line="360" w:lineRule="exact"/>
        <w:ind w:left="479" w:leftChars="228" w:firstLine="60" w:firstLineChars="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评标委员会将根据评标标准，按</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须知资料表中</w:t>
      </w:r>
      <w:r>
        <w:rPr>
          <w:rFonts w:hint="eastAsia" w:ascii="微软雅黑" w:hAnsi="微软雅黑" w:eastAsia="微软雅黑" w:cs="微软雅黑"/>
          <w:color w:val="auto"/>
          <w:sz w:val="24"/>
          <w:highlight w:val="none"/>
        </w:rPr>
        <w:t>规定数量推荐中标候</w:t>
      </w:r>
    </w:p>
    <w:p>
      <w:pPr>
        <w:pageBreakBefore w:val="0"/>
        <w:widowControl w:val="0"/>
        <w:kinsoku/>
        <w:wordWrap/>
        <w:overflowPunct/>
        <w:topLinePunct w:val="0"/>
        <w:bidi w:val="0"/>
        <w:spacing w:line="360" w:lineRule="exact"/>
        <w:ind w:left="479" w:leftChars="228" w:firstLine="60" w:firstLineChars="2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选人；或根据采购人的委托，直接确定中标人。</w:t>
      </w:r>
    </w:p>
    <w:p>
      <w:pPr>
        <w:pStyle w:val="8"/>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791" w:name="_Toc520356173"/>
      <w:bookmarkStart w:id="792" w:name="_Ref467306874"/>
      <w:bookmarkStart w:id="793" w:name="_Toc150"/>
      <w:bookmarkStart w:id="794" w:name="_Toc28562"/>
      <w:bookmarkStart w:id="795" w:name="_Toc3328"/>
      <w:bookmarkStart w:id="796" w:name="_Toc27140"/>
      <w:bookmarkStart w:id="797" w:name="_Toc9640"/>
      <w:bookmarkStart w:id="798" w:name="_Toc9701"/>
      <w:bookmarkStart w:id="799" w:name="_Toc7095"/>
      <w:bookmarkStart w:id="800" w:name="_Toc6340"/>
      <w:bookmarkStart w:id="801" w:name="_Toc19022"/>
      <w:bookmarkStart w:id="802" w:name="_Toc29776"/>
      <w:bookmarkStart w:id="803" w:name="_Toc28987"/>
      <w:bookmarkStart w:id="804" w:name="_Toc19158"/>
      <w:bookmarkStart w:id="805" w:name="_Toc8389"/>
      <w:bookmarkStart w:id="806" w:name="_Toc19007"/>
      <w:bookmarkStart w:id="807" w:name="_Toc11177"/>
      <w:bookmarkStart w:id="808" w:name="_Toc20001"/>
      <w:bookmarkStart w:id="809" w:name="_Toc21208"/>
      <w:bookmarkStart w:id="810" w:name="_Toc27570"/>
      <w:bookmarkStart w:id="811" w:name="_Toc31043"/>
      <w:bookmarkStart w:id="812" w:name="_Toc20705"/>
      <w:bookmarkStart w:id="813" w:name="_Toc515647790"/>
      <w:bookmarkStart w:id="814" w:name="_Toc21618"/>
      <w:bookmarkStart w:id="815" w:name="_Toc27248"/>
      <w:bookmarkStart w:id="816" w:name="_Toc1211"/>
      <w:bookmarkStart w:id="817" w:name="_Toc32455"/>
      <w:bookmarkStart w:id="818" w:name="_Toc7156"/>
      <w:bookmarkStart w:id="819" w:name="_Toc17591"/>
      <w:bookmarkStart w:id="820" w:name="_Toc5507"/>
      <w:r>
        <w:rPr>
          <w:rFonts w:hint="eastAsia" w:ascii="微软雅黑" w:hAnsi="微软雅黑" w:eastAsia="微软雅黑" w:cs="微软雅黑"/>
          <w:color w:val="auto"/>
          <w:highlight w:val="none"/>
          <w:u w:val="none"/>
        </w:rPr>
        <w:t>28.</w:t>
      </w:r>
      <w:bookmarkEnd w:id="791"/>
      <w:bookmarkEnd w:id="792"/>
      <w:r>
        <w:rPr>
          <w:rFonts w:hint="eastAsia" w:ascii="微软雅黑" w:hAnsi="微软雅黑" w:eastAsia="微软雅黑" w:cs="微软雅黑"/>
          <w:color w:val="auto"/>
          <w:highlight w:val="none"/>
          <w:u w:val="none"/>
        </w:rPr>
        <w:t>采购任务取消</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因重大变故采购任务取消时，采购人有权拒绝任何</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中标，且对受影响的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不承担任何责任。</w:t>
      </w:r>
      <w:bookmarkStart w:id="821" w:name="_Toc520356174"/>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822" w:name="_Toc31099"/>
      <w:bookmarkStart w:id="823" w:name="_Toc17800"/>
      <w:bookmarkStart w:id="824" w:name="_Toc137"/>
      <w:bookmarkStart w:id="825" w:name="_Toc17202"/>
      <w:bookmarkStart w:id="826" w:name="_Toc30149"/>
      <w:bookmarkStart w:id="827" w:name="_Toc27996"/>
      <w:bookmarkStart w:id="828" w:name="_Toc28837"/>
      <w:bookmarkStart w:id="829" w:name="_Toc1178"/>
      <w:bookmarkStart w:id="830" w:name="_Toc3980"/>
      <w:bookmarkStart w:id="831" w:name="_Toc21583"/>
      <w:bookmarkStart w:id="832" w:name="_Toc13422"/>
      <w:bookmarkStart w:id="833" w:name="_Toc965"/>
      <w:bookmarkStart w:id="834" w:name="_Toc30931"/>
      <w:bookmarkStart w:id="835" w:name="_Toc24981"/>
      <w:bookmarkStart w:id="836" w:name="_Toc8140"/>
      <w:bookmarkStart w:id="837" w:name="_Toc1676"/>
      <w:bookmarkStart w:id="838" w:name="_Toc30170"/>
      <w:bookmarkStart w:id="839" w:name="_Toc28733"/>
      <w:bookmarkStart w:id="840" w:name="_Toc12348"/>
      <w:bookmarkStart w:id="841" w:name="_Toc7324"/>
      <w:bookmarkStart w:id="842" w:name="_Toc5820"/>
      <w:bookmarkStart w:id="843" w:name="_Toc515647791"/>
      <w:bookmarkStart w:id="844" w:name="_Toc14076"/>
      <w:bookmarkStart w:id="845" w:name="_Toc1818"/>
      <w:bookmarkStart w:id="846" w:name="_Toc20388"/>
      <w:bookmarkStart w:id="847" w:name="_Toc16908"/>
      <w:bookmarkStart w:id="848" w:name="_Toc8834"/>
      <w:bookmarkStart w:id="849" w:name="_Toc4099"/>
      <w:r>
        <w:rPr>
          <w:rFonts w:hint="eastAsia" w:ascii="微软雅黑" w:hAnsi="微软雅黑" w:eastAsia="微软雅黑" w:cs="微软雅黑"/>
          <w:color w:val="auto"/>
          <w:highlight w:val="none"/>
          <w:u w:val="none"/>
        </w:rPr>
        <w:t>29.中标通知书</w:t>
      </w:r>
      <w:bookmarkEnd w:id="821"/>
      <w:r>
        <w:rPr>
          <w:rFonts w:hint="eastAsia" w:ascii="微软雅黑" w:hAnsi="微软雅黑" w:eastAsia="微软雅黑" w:cs="微软雅黑"/>
          <w:color w:val="auto"/>
          <w:highlight w:val="none"/>
          <w:u w:val="none"/>
        </w:rPr>
        <w:t>和招标结果通知书</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在投标有效期内，中标人确定后，采购人或者采购代理机构发布中标公告，同时以书面形式向中标人发出中标通知书。</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中标通知书是合同的组成部分。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29.3    招标结果通知书和中标通知书同时发出。招标结果通知书中将告知未通过资格审查的</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未通过的原因；采用综合评分法评审的，还将告知未中标人本人的评审得分和排序。</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850" w:name="_Toc17305"/>
      <w:bookmarkStart w:id="851" w:name="_Ref467306978"/>
      <w:bookmarkStart w:id="852" w:name="_Toc30068"/>
      <w:bookmarkStart w:id="853" w:name="_Toc26465"/>
      <w:bookmarkStart w:id="854" w:name="_Toc29255"/>
      <w:bookmarkStart w:id="855" w:name="_Ref467306377"/>
      <w:bookmarkStart w:id="856" w:name="_Toc7584"/>
      <w:bookmarkStart w:id="857" w:name="_Toc15752"/>
      <w:bookmarkStart w:id="858" w:name="_Toc13210"/>
      <w:bookmarkStart w:id="859" w:name="_Toc14551"/>
      <w:bookmarkStart w:id="860" w:name="_Toc6372"/>
      <w:bookmarkStart w:id="861" w:name="_Toc10001"/>
      <w:bookmarkStart w:id="862" w:name="_Toc15018"/>
      <w:bookmarkStart w:id="863" w:name="_Toc515647792"/>
      <w:bookmarkStart w:id="864" w:name="_Toc790"/>
      <w:bookmarkStart w:id="865" w:name="_Toc520356175"/>
      <w:bookmarkStart w:id="866" w:name="_Toc13873"/>
      <w:bookmarkStart w:id="867" w:name="_Ref467307204"/>
      <w:bookmarkStart w:id="868" w:name="_Toc1386"/>
      <w:bookmarkStart w:id="869" w:name="_Toc14896"/>
      <w:bookmarkStart w:id="870" w:name="_Toc5006"/>
      <w:bookmarkStart w:id="871" w:name="_Toc14606"/>
      <w:bookmarkStart w:id="872" w:name="_Toc10408"/>
      <w:bookmarkStart w:id="873" w:name="_Toc830"/>
      <w:bookmarkStart w:id="874" w:name="_Toc24666"/>
      <w:bookmarkStart w:id="875" w:name="_Ref467307062"/>
      <w:bookmarkStart w:id="876" w:name="_Toc8909"/>
      <w:bookmarkStart w:id="877" w:name="_Toc29299"/>
      <w:bookmarkStart w:id="878" w:name="_Toc32740"/>
      <w:bookmarkStart w:id="879" w:name="_Toc7779"/>
      <w:bookmarkStart w:id="880" w:name="_Toc14106"/>
      <w:bookmarkStart w:id="881" w:name="_Toc4021"/>
      <w:bookmarkStart w:id="882" w:name="_Toc12782"/>
      <w:r>
        <w:rPr>
          <w:rFonts w:hint="eastAsia" w:ascii="微软雅黑" w:hAnsi="微软雅黑" w:eastAsia="微软雅黑" w:cs="微软雅黑"/>
          <w:color w:val="auto"/>
          <w:highlight w:val="none"/>
          <w:u w:val="none"/>
        </w:rPr>
        <w:t>30.签订合同</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中标人应当自发出中标通知书之日起</w:t>
      </w:r>
      <w:r>
        <w:rPr>
          <w:rFonts w:hint="eastAsia" w:ascii="微软雅黑" w:hAnsi="微软雅黑" w:eastAsia="微软雅黑" w:cs="微软雅黑"/>
          <w:color w:val="auto"/>
          <w:sz w:val="24"/>
          <w:highlight w:val="none"/>
          <w:lang w:val="en-US" w:eastAsia="zh-CN"/>
        </w:rPr>
        <w:t>30</w:t>
      </w:r>
      <w:r>
        <w:rPr>
          <w:rFonts w:hint="eastAsia" w:ascii="微软雅黑" w:hAnsi="微软雅黑" w:eastAsia="微软雅黑" w:cs="微软雅黑"/>
          <w:color w:val="auto"/>
          <w:sz w:val="24"/>
          <w:highlight w:val="none"/>
        </w:rPr>
        <w:t>日内，与采购人签订合同。</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30.2</w:t>
      </w:r>
      <w:r>
        <w:rPr>
          <w:rFonts w:hint="eastAsia" w:ascii="微软雅黑" w:hAnsi="微软雅黑" w:eastAsia="微软雅黑" w:cs="微软雅黑"/>
          <w:color w:val="auto"/>
          <w:sz w:val="24"/>
          <w:highlight w:val="none"/>
        </w:rPr>
        <w:tab/>
      </w:r>
      <w:bookmarkStart w:id="883" w:name="_Ref467306425"/>
      <w:bookmarkStart w:id="884" w:name="_Toc520356176"/>
      <w:bookmarkStart w:id="885" w:name="_Ref467307090"/>
      <w:r>
        <w:rPr>
          <w:rFonts w:hint="eastAsia" w:ascii="微软雅黑" w:hAnsi="微软雅黑" w:eastAsia="微软雅黑" w:cs="微软雅黑"/>
          <w:color w:val="auto"/>
          <w:sz w:val="24"/>
          <w:highlight w:val="none"/>
        </w:rPr>
        <w:t>招标文件、中标人的投标文件及其澄清文件等，均为签订合同的依据。</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30.3   中标人拒绝与采购人签订合同的，采购人可以按照评审报告推荐的中标候选人名单排序，确定下一中标候选人为中标人，也可以重新开展政府采购活动。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30.4   当出现法规规定的</w:t>
      </w:r>
      <w:r>
        <w:rPr>
          <w:rFonts w:hint="eastAsia" w:ascii="微软雅黑" w:hAnsi="微软雅黑" w:eastAsia="微软雅黑" w:cs="微软雅黑"/>
          <w:b/>
          <w:color w:val="auto"/>
          <w:sz w:val="24"/>
          <w:highlight w:val="none"/>
        </w:rPr>
        <w:t>中标无效或中标结果无效</w:t>
      </w:r>
      <w:r>
        <w:rPr>
          <w:rFonts w:hint="eastAsia" w:ascii="微软雅黑" w:hAnsi="微软雅黑" w:eastAsia="微软雅黑" w:cs="微软雅黑"/>
          <w:color w:val="auto"/>
          <w:sz w:val="24"/>
          <w:highlight w:val="none"/>
        </w:rPr>
        <w:t>情形时，采购人可与排名下一位的中标候选人另行签订合同，或依法重新开展采购活动。</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886" w:name="_Toc6806"/>
      <w:bookmarkStart w:id="887" w:name="_Toc29601"/>
      <w:bookmarkStart w:id="888" w:name="_Toc26902"/>
      <w:bookmarkStart w:id="889" w:name="_Toc22555"/>
      <w:bookmarkStart w:id="890" w:name="_Toc8189"/>
      <w:bookmarkStart w:id="891" w:name="_Toc8900"/>
      <w:bookmarkStart w:id="892" w:name="_Toc9468"/>
      <w:bookmarkStart w:id="893" w:name="_Toc10831"/>
      <w:bookmarkStart w:id="894" w:name="_Toc10991"/>
      <w:bookmarkStart w:id="895" w:name="_Toc23943"/>
      <w:bookmarkStart w:id="896" w:name="_Toc8801"/>
      <w:bookmarkStart w:id="897" w:name="_Toc7815"/>
      <w:bookmarkStart w:id="898" w:name="_Toc14195"/>
      <w:bookmarkStart w:id="899" w:name="_Toc12603"/>
      <w:bookmarkStart w:id="900" w:name="_Toc28788"/>
      <w:bookmarkStart w:id="901" w:name="_Toc349"/>
      <w:bookmarkStart w:id="902" w:name="_Toc17960"/>
      <w:bookmarkStart w:id="903" w:name="_Toc11467"/>
      <w:bookmarkStart w:id="904" w:name="_Toc14080"/>
      <w:bookmarkStart w:id="905" w:name="_Toc32131"/>
      <w:bookmarkStart w:id="906" w:name="_Toc15450"/>
      <w:bookmarkStart w:id="907" w:name="_Toc21179"/>
      <w:bookmarkStart w:id="908" w:name="_Toc515647793"/>
      <w:bookmarkStart w:id="909" w:name="_Toc8051"/>
      <w:bookmarkStart w:id="910" w:name="_Toc4460"/>
      <w:bookmarkStart w:id="911" w:name="_Toc32530"/>
      <w:bookmarkStart w:id="912" w:name="_Toc4849"/>
      <w:bookmarkStart w:id="913" w:name="_Toc11471"/>
      <w:r>
        <w:rPr>
          <w:rFonts w:hint="eastAsia" w:ascii="微软雅黑" w:hAnsi="微软雅黑" w:eastAsia="微软雅黑" w:cs="微软雅黑"/>
          <w:color w:val="auto"/>
          <w:highlight w:val="none"/>
          <w:u w:val="none"/>
        </w:rPr>
        <w:t>31.履约保证金</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31.1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中标人应按照</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规定向采购人缴纳履约保证金。</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rPr>
        <w:t>31.2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政府采购利用担保试点范围内的项目，除31.1规定的情形外，中标人也可以按照财政部门的规定，向采购人提供合格的履约担</w:t>
      </w:r>
      <w:r>
        <w:rPr>
          <w:rFonts w:hint="eastAsia" w:ascii="微软雅黑" w:hAnsi="微软雅黑" w:eastAsia="微软雅黑" w:cs="微软雅黑"/>
          <w:color w:val="auto"/>
          <w:sz w:val="24"/>
          <w:highlight w:val="none"/>
          <w:lang w:eastAsia="zh-CN"/>
        </w:rPr>
        <w:t>开户行银行保函。</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914" w:name="_Toc7936"/>
      <w:bookmarkStart w:id="915" w:name="_Toc26497"/>
      <w:bookmarkStart w:id="916" w:name="_Toc20540"/>
      <w:bookmarkStart w:id="917" w:name="_Toc9831"/>
      <w:bookmarkStart w:id="918" w:name="_Toc9993"/>
      <w:bookmarkStart w:id="919" w:name="_Toc13043"/>
      <w:bookmarkStart w:id="920" w:name="_Toc17827"/>
      <w:bookmarkStart w:id="921" w:name="_Toc29408"/>
      <w:bookmarkStart w:id="922" w:name="_Toc22441"/>
      <w:bookmarkStart w:id="923" w:name="_Toc515647794"/>
      <w:bookmarkStart w:id="924" w:name="_Toc24421"/>
      <w:bookmarkStart w:id="925" w:name="_Toc21835"/>
      <w:bookmarkStart w:id="926" w:name="_Toc3090"/>
      <w:bookmarkStart w:id="927" w:name="_Toc836"/>
      <w:bookmarkStart w:id="928" w:name="_Toc11473"/>
      <w:bookmarkStart w:id="929" w:name="_Toc15314"/>
      <w:bookmarkStart w:id="930" w:name="_Toc14539"/>
      <w:bookmarkStart w:id="931" w:name="_Toc30176"/>
      <w:bookmarkStart w:id="932" w:name="_Toc24979"/>
      <w:bookmarkStart w:id="933" w:name="_Toc8906"/>
      <w:bookmarkStart w:id="934" w:name="_Toc16905"/>
      <w:bookmarkStart w:id="935" w:name="_Toc21246"/>
      <w:bookmarkStart w:id="936" w:name="_Toc737"/>
      <w:bookmarkStart w:id="937" w:name="_Toc12103"/>
      <w:bookmarkStart w:id="938" w:name="_Toc9967"/>
      <w:bookmarkStart w:id="939" w:name="_Toc17462"/>
      <w:bookmarkStart w:id="940" w:name="_Toc4264"/>
      <w:bookmarkStart w:id="941" w:name="_Toc16406"/>
      <w:r>
        <w:rPr>
          <w:rFonts w:hint="eastAsia" w:ascii="微软雅黑" w:hAnsi="微软雅黑" w:eastAsia="微软雅黑" w:cs="微软雅黑"/>
          <w:color w:val="auto"/>
          <w:highlight w:val="none"/>
          <w:u w:val="none"/>
        </w:rPr>
        <w:t>32.中标服务费</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ageBreakBefore w:val="0"/>
        <w:widowControl w:val="0"/>
        <w:kinsoku/>
        <w:wordWrap/>
        <w:overflowPunct/>
        <w:topLinePunct w:val="0"/>
        <w:bidi w:val="0"/>
        <w:spacing w:line="360" w:lineRule="exact"/>
        <w:ind w:left="420" w:leftChars="0" w:hanging="420" w:hangingChars="1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中标人须按照</w:t>
      </w:r>
      <w:r>
        <w:rPr>
          <w:rFonts w:hint="eastAsia" w:ascii="微软雅黑" w:hAnsi="微软雅黑" w:eastAsia="微软雅黑" w:cs="微软雅黑"/>
          <w:color w:val="auto"/>
          <w:sz w:val="24"/>
          <w:highlight w:val="none"/>
          <w:u w:val="single"/>
        </w:rPr>
        <w:t>投标须知资料表</w:t>
      </w:r>
      <w:r>
        <w:rPr>
          <w:rFonts w:hint="eastAsia" w:ascii="微软雅黑" w:hAnsi="微软雅黑" w:eastAsia="微软雅黑" w:cs="微软雅黑"/>
          <w:color w:val="auto"/>
          <w:sz w:val="24"/>
          <w:highlight w:val="none"/>
        </w:rPr>
        <w:t>规定，向采购代理机构支付中标服务费。</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942" w:name="_Toc515647795"/>
      <w:bookmarkStart w:id="943" w:name="_Toc20497"/>
      <w:bookmarkStart w:id="944" w:name="_Toc8477"/>
      <w:bookmarkStart w:id="945" w:name="_Toc14969"/>
      <w:bookmarkStart w:id="946" w:name="_Toc28707"/>
      <w:bookmarkStart w:id="947" w:name="_Toc10071"/>
      <w:bookmarkStart w:id="948" w:name="_Toc15486"/>
      <w:bookmarkStart w:id="949" w:name="_Toc10747"/>
      <w:bookmarkStart w:id="950" w:name="_Toc3053"/>
      <w:bookmarkStart w:id="951" w:name="_Toc29061"/>
      <w:bookmarkStart w:id="952" w:name="_Toc24525"/>
      <w:bookmarkStart w:id="953" w:name="_Toc25538"/>
      <w:bookmarkStart w:id="954" w:name="_Toc7158"/>
      <w:bookmarkStart w:id="955" w:name="_Toc21966"/>
      <w:bookmarkStart w:id="956" w:name="_Toc22905"/>
      <w:bookmarkStart w:id="957" w:name="_Toc31379"/>
      <w:bookmarkStart w:id="958" w:name="_Toc17458"/>
      <w:bookmarkStart w:id="959" w:name="_Toc31464"/>
      <w:bookmarkStart w:id="960" w:name="_Toc10756"/>
      <w:bookmarkStart w:id="961" w:name="_Toc6923"/>
      <w:bookmarkStart w:id="962" w:name="_Toc7049"/>
      <w:bookmarkStart w:id="963" w:name="_Toc3584"/>
      <w:bookmarkStart w:id="964" w:name="_Toc10808"/>
      <w:bookmarkStart w:id="965" w:name="_Toc29584"/>
      <w:bookmarkStart w:id="966" w:name="_Toc4947"/>
      <w:bookmarkStart w:id="967" w:name="_Toc23330"/>
      <w:bookmarkStart w:id="968" w:name="_Toc16900"/>
      <w:bookmarkStart w:id="969" w:name="_Toc20843"/>
      <w:r>
        <w:rPr>
          <w:rFonts w:hint="eastAsia" w:ascii="微软雅黑" w:hAnsi="微软雅黑" w:eastAsia="微软雅黑" w:cs="微软雅黑"/>
          <w:color w:val="auto"/>
          <w:highlight w:val="none"/>
          <w:u w:val="none"/>
        </w:rPr>
        <w:t>33.政府采购信用担保</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33.1   本项目是否属于信用担保试点范围见</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w:t>
      </w:r>
    </w:p>
    <w:p>
      <w:pPr>
        <w:pageBreakBefore w:val="0"/>
        <w:widowControl w:val="0"/>
        <w:kinsoku/>
        <w:wordWrap/>
        <w:overflowPunct/>
        <w:topLinePunct w:val="0"/>
        <w:bidi w:val="0"/>
        <w:spacing w:line="360" w:lineRule="exact"/>
        <w:ind w:left="849" w:leftChars="0" w:hanging="849" w:hangingChars="354"/>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33.2   如属于政府采购信用担保试点范围内，中小型企业</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可以自由按照财政部门的规定，采用投标担保、履约担保和融资担保。</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33.2.1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递交的投标担</w:t>
      </w:r>
      <w:r>
        <w:rPr>
          <w:rFonts w:hint="eastAsia" w:ascii="微软雅黑" w:hAnsi="微软雅黑" w:eastAsia="微软雅黑" w:cs="微软雅黑"/>
          <w:color w:val="auto"/>
          <w:sz w:val="24"/>
          <w:highlight w:val="none"/>
          <w:lang w:eastAsia="zh-CN"/>
        </w:rPr>
        <w:t>开户行银行保函</w:t>
      </w:r>
      <w:r>
        <w:rPr>
          <w:rFonts w:hint="eastAsia" w:ascii="微软雅黑" w:hAnsi="微软雅黑" w:eastAsia="微软雅黑" w:cs="微软雅黑"/>
          <w:color w:val="auto"/>
          <w:sz w:val="24"/>
          <w:highlight w:val="none"/>
        </w:rPr>
        <w:t>和履约担</w:t>
      </w:r>
      <w:r>
        <w:rPr>
          <w:rFonts w:hint="eastAsia" w:ascii="微软雅黑" w:hAnsi="微软雅黑" w:eastAsia="微软雅黑" w:cs="微软雅黑"/>
          <w:color w:val="auto"/>
          <w:sz w:val="24"/>
          <w:highlight w:val="none"/>
          <w:lang w:eastAsia="zh-CN"/>
        </w:rPr>
        <w:t>开户行银行保函</w:t>
      </w:r>
      <w:r>
        <w:rPr>
          <w:rFonts w:hint="eastAsia" w:ascii="微软雅黑" w:hAnsi="微软雅黑" w:eastAsia="微软雅黑" w:cs="微软雅黑"/>
          <w:color w:val="auto"/>
          <w:sz w:val="24"/>
          <w:highlight w:val="none"/>
        </w:rPr>
        <w:t>应符合本招标文件的规定。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33.2.2 中标人可以采取融资担保的形式为政府采购项目履约进行融资。</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33.2.3 合格的政府采购专业信用担保机构名单见</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w:t>
      </w:r>
      <w:r>
        <w:rPr>
          <w:rFonts w:hint="eastAsia" w:ascii="微软雅黑" w:hAnsi="微软雅黑" w:eastAsia="微软雅黑" w:cs="微软雅黑"/>
          <w:color w:val="auto"/>
          <w:sz w:val="24"/>
          <w:highlight w:val="none"/>
        </w:rPr>
        <w:t>。</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970" w:name="_Toc3616"/>
      <w:bookmarkStart w:id="971" w:name="_Toc22046"/>
      <w:bookmarkStart w:id="972" w:name="_Toc24627"/>
      <w:bookmarkStart w:id="973" w:name="_Toc5262"/>
      <w:bookmarkStart w:id="974" w:name="_Toc22695"/>
      <w:bookmarkStart w:id="975" w:name="_Toc3588"/>
      <w:bookmarkStart w:id="976" w:name="_Toc5750"/>
      <w:bookmarkStart w:id="977" w:name="_Toc25791"/>
      <w:bookmarkStart w:id="978" w:name="_Toc11707"/>
      <w:bookmarkStart w:id="979" w:name="_Toc27009"/>
      <w:bookmarkStart w:id="980" w:name="_Toc31178"/>
      <w:bookmarkStart w:id="981" w:name="_Toc29028"/>
      <w:bookmarkStart w:id="982" w:name="_Toc23999"/>
      <w:bookmarkStart w:id="983" w:name="_Toc3656"/>
      <w:bookmarkStart w:id="984" w:name="_Toc5431"/>
      <w:bookmarkStart w:id="985" w:name="_Toc29108"/>
      <w:bookmarkStart w:id="986" w:name="_Toc3890"/>
      <w:bookmarkStart w:id="987" w:name="_Toc515647796"/>
      <w:bookmarkStart w:id="988" w:name="_Toc23161"/>
      <w:bookmarkStart w:id="989" w:name="_Toc5365"/>
      <w:bookmarkStart w:id="990" w:name="_Toc2133"/>
      <w:bookmarkStart w:id="991" w:name="_Toc22315"/>
      <w:bookmarkStart w:id="992" w:name="_Toc9656"/>
      <w:bookmarkStart w:id="993" w:name="_Toc20411"/>
      <w:bookmarkStart w:id="994" w:name="_Toc31425"/>
      <w:bookmarkStart w:id="995" w:name="_Toc30439"/>
      <w:bookmarkStart w:id="996" w:name="_Toc11552"/>
      <w:bookmarkStart w:id="997" w:name="_Toc868"/>
      <w:r>
        <w:rPr>
          <w:rFonts w:hint="eastAsia" w:ascii="微软雅黑" w:hAnsi="微软雅黑" w:eastAsia="微软雅黑" w:cs="微软雅黑"/>
          <w:color w:val="auto"/>
          <w:highlight w:val="none"/>
          <w:u w:val="none"/>
        </w:rPr>
        <w:t>34.廉洁自律规定</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34.1   采购代理机构工作人员不得以不正当手段获取政府采购代理业务，不得与采购人、供应商恶意串通操纵政府采购活动。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34.2   采购代理机构工作人员不得接受采购人或者供应商组织的宴请、旅游、娱乐，不得收受礼品、现金、有价证券等，不得向采购人或者供应商报销应当由个人承担的费用。</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34.3   为强化采购代理机构内部监督机制，供应商可按</w:t>
      </w:r>
      <w:r>
        <w:rPr>
          <w:rFonts w:hint="eastAsia" w:ascii="微软雅黑" w:hAnsi="微软雅黑" w:eastAsia="微软雅黑" w:cs="微软雅黑"/>
          <w:color w:val="auto"/>
          <w:sz w:val="24"/>
          <w:highlight w:val="none"/>
          <w:u w:val="single"/>
          <w:lang w:eastAsia="zh-CN"/>
        </w:rPr>
        <w:t>供应商</w:t>
      </w:r>
      <w:r>
        <w:rPr>
          <w:rFonts w:hint="eastAsia" w:ascii="微软雅黑" w:hAnsi="微软雅黑" w:eastAsia="微软雅黑" w:cs="微软雅黑"/>
          <w:color w:val="auto"/>
          <w:sz w:val="24"/>
          <w:highlight w:val="none"/>
          <w:u w:val="single"/>
        </w:rPr>
        <w:t>须知资料表中的</w:t>
      </w:r>
      <w:r>
        <w:rPr>
          <w:rFonts w:hint="eastAsia" w:ascii="微软雅黑" w:hAnsi="微软雅黑" w:eastAsia="微软雅黑" w:cs="微软雅黑"/>
          <w:color w:val="auto"/>
          <w:sz w:val="24"/>
          <w:highlight w:val="none"/>
        </w:rPr>
        <w:t>监督电话和邮箱，反映采购代理机构的廉洁自律等问题。</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highlight w:val="none"/>
          <w:u w:val="none"/>
        </w:rPr>
      </w:pPr>
      <w:bookmarkStart w:id="998" w:name="_Toc4826"/>
      <w:bookmarkStart w:id="999" w:name="_Toc12862"/>
      <w:bookmarkStart w:id="1000" w:name="_Toc21508"/>
      <w:bookmarkStart w:id="1001" w:name="_Toc27260"/>
      <w:bookmarkStart w:id="1002" w:name="_Toc13673"/>
      <w:bookmarkStart w:id="1003" w:name="_Toc12422"/>
      <w:bookmarkStart w:id="1004" w:name="_Toc30950"/>
      <w:bookmarkStart w:id="1005" w:name="_Toc26517"/>
      <w:bookmarkStart w:id="1006" w:name="_Toc25480"/>
      <w:bookmarkStart w:id="1007" w:name="_Toc515647797"/>
      <w:bookmarkStart w:id="1008" w:name="_Toc5069"/>
      <w:bookmarkStart w:id="1009" w:name="_Toc11586"/>
      <w:bookmarkStart w:id="1010" w:name="_Toc5448"/>
      <w:bookmarkStart w:id="1011" w:name="_Toc17682"/>
      <w:bookmarkStart w:id="1012" w:name="_Toc27794"/>
      <w:bookmarkStart w:id="1013" w:name="_Toc25227"/>
      <w:bookmarkStart w:id="1014" w:name="_Toc8153"/>
      <w:bookmarkStart w:id="1015" w:name="_Toc23695"/>
      <w:bookmarkStart w:id="1016" w:name="_Toc25871"/>
      <w:bookmarkStart w:id="1017" w:name="_Toc29018"/>
      <w:bookmarkStart w:id="1018" w:name="_Toc22848"/>
      <w:bookmarkStart w:id="1019" w:name="_Toc17079"/>
      <w:bookmarkStart w:id="1020" w:name="_Toc3319"/>
      <w:bookmarkStart w:id="1021" w:name="_Toc23126"/>
      <w:bookmarkStart w:id="1022" w:name="_Toc3289"/>
      <w:bookmarkStart w:id="1023" w:name="_Toc30009"/>
      <w:bookmarkStart w:id="1024" w:name="_Toc17686"/>
      <w:bookmarkStart w:id="1025" w:name="_Toc20945"/>
      <w:r>
        <w:rPr>
          <w:rFonts w:hint="eastAsia" w:ascii="微软雅黑" w:hAnsi="微软雅黑" w:eastAsia="微软雅黑" w:cs="微软雅黑"/>
          <w:color w:val="auto"/>
          <w:highlight w:val="none"/>
          <w:u w:val="none"/>
        </w:rPr>
        <w:t>35.人员回避</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eastAsia="zh-CN"/>
        </w:rPr>
        <w:t>供应商</w:t>
      </w:r>
      <w:r>
        <w:rPr>
          <w:rFonts w:hint="eastAsia" w:ascii="微软雅黑" w:hAnsi="微软雅黑" w:eastAsia="微软雅黑" w:cs="微软雅黑"/>
          <w:color w:val="auto"/>
          <w:sz w:val="24"/>
          <w:highlight w:val="none"/>
        </w:rPr>
        <w:t>认为采购人员及其相关人员有法律法规所列与其他供应商有利害关系的，可以向采购人或采购代理机构书面提出回避申请，并说明理由。</w:t>
      </w:r>
    </w:p>
    <w:p>
      <w:pPr>
        <w:pStyle w:val="8"/>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Cs w:val="24"/>
          <w:highlight w:val="none"/>
          <w:u w:val="none"/>
        </w:rPr>
      </w:pPr>
      <w:bookmarkStart w:id="1026" w:name="_Toc31362"/>
      <w:bookmarkStart w:id="1027" w:name="_Toc8352"/>
      <w:bookmarkStart w:id="1028" w:name="_Toc1162"/>
      <w:bookmarkStart w:id="1029" w:name="_Toc14227"/>
      <w:bookmarkStart w:id="1030" w:name="_Toc24245"/>
      <w:bookmarkStart w:id="1031" w:name="_Toc15630"/>
      <w:bookmarkStart w:id="1032" w:name="_Toc12470"/>
      <w:bookmarkStart w:id="1033" w:name="_Toc27328"/>
      <w:bookmarkStart w:id="1034" w:name="_Toc22831"/>
      <w:bookmarkStart w:id="1035" w:name="_Toc12236"/>
      <w:bookmarkStart w:id="1036" w:name="_Toc6387"/>
      <w:bookmarkStart w:id="1037" w:name="_Toc102"/>
      <w:bookmarkStart w:id="1038" w:name="_Toc29739"/>
      <w:bookmarkStart w:id="1039" w:name="_Toc22349"/>
      <w:bookmarkStart w:id="1040" w:name="_Toc12880"/>
      <w:bookmarkStart w:id="1041" w:name="_Toc30943"/>
      <w:bookmarkStart w:id="1042" w:name="_Toc14457"/>
      <w:bookmarkStart w:id="1043" w:name="_Toc2110"/>
      <w:bookmarkStart w:id="1044" w:name="_Toc26250"/>
      <w:bookmarkStart w:id="1045" w:name="_Toc9865"/>
      <w:bookmarkStart w:id="1046" w:name="_Toc6634"/>
      <w:bookmarkStart w:id="1047" w:name="_Toc25450"/>
      <w:bookmarkStart w:id="1048" w:name="_Toc5814"/>
      <w:bookmarkStart w:id="1049" w:name="_Toc12727"/>
      <w:bookmarkStart w:id="1050" w:name="_Toc7870"/>
      <w:r>
        <w:rPr>
          <w:rFonts w:hint="eastAsia" w:ascii="微软雅黑" w:hAnsi="微软雅黑" w:eastAsia="微软雅黑" w:cs="微软雅黑"/>
          <w:color w:val="auto"/>
          <w:highlight w:val="none"/>
          <w:u w:val="none"/>
        </w:rPr>
        <w:t>36.</w:t>
      </w:r>
      <w:bookmarkEnd w:id="1026"/>
      <w:r>
        <w:rPr>
          <w:rFonts w:hint="eastAsia" w:ascii="微软雅黑" w:hAnsi="微软雅黑" w:eastAsia="微软雅黑" w:cs="微软雅黑"/>
          <w:color w:val="auto"/>
          <w:szCs w:val="24"/>
          <w:highlight w:val="none"/>
          <w:u w:val="none"/>
        </w:rPr>
        <w:t>质疑与接收</w:t>
      </w:r>
      <w:bookmarkEnd w:id="25"/>
      <w:bookmarkEnd w:id="26"/>
      <w:bookmarkEnd w:id="27"/>
      <w:bookmarkEnd w:id="28"/>
      <w:bookmarkEnd w:id="29"/>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37"/>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37"/>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36.5  采购代理机构质疑函接收部门、联系电话和通讯地址, 见</w:t>
      </w:r>
      <w:r>
        <w:rPr>
          <w:rFonts w:hint="eastAsia" w:ascii="微软雅黑" w:hAnsi="微软雅黑" w:eastAsia="微软雅黑" w:cs="微软雅黑"/>
          <w:color w:val="auto"/>
          <w:sz w:val="24"/>
          <w:highlight w:val="none"/>
          <w:u w:val="single"/>
        </w:rPr>
        <w:t>供应商须知资料表。</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（一）对可以质疑的采购文件提出质疑的，为收到采购文件之日或者采购文件公告期限届满之日；</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（二）对采购过程提出质疑的，为各采购程序环节结束之日；</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（三）对中标结果提出质疑的，为中标结果公告期限届满之日。</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rPr>
        <w:t xml:space="preserve">36.7   </w:t>
      </w:r>
      <w:r>
        <w:rPr>
          <w:rFonts w:hint="eastAsia" w:ascii="微软雅黑" w:hAnsi="微软雅黑" w:eastAsia="微软雅黑" w:cs="微软雅黑"/>
          <w:b w:val="0"/>
          <w:bCs w:val="0"/>
          <w:color w:val="auto"/>
          <w:sz w:val="24"/>
          <w:highlight w:val="none"/>
          <w:lang w:val="en-US" w:eastAsia="zh-CN"/>
        </w:rPr>
        <w:t>供应商有权提出一次质疑，不能多次提出。</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b w:val="0"/>
          <w:bCs w:val="0"/>
          <w:color w:val="auto"/>
          <w:sz w:val="24"/>
          <w:highlight w:val="none"/>
          <w:lang w:val="en-US" w:eastAsia="zh-CN"/>
        </w:rPr>
        <w:t xml:space="preserve">36.8   </w:t>
      </w:r>
      <w:r>
        <w:rPr>
          <w:rFonts w:hint="eastAsia" w:ascii="微软雅黑" w:hAnsi="微软雅黑" w:eastAsia="微软雅黑" w:cs="微软雅黑"/>
          <w:b w:val="0"/>
          <w:bCs w:val="0"/>
          <w:color w:val="auto"/>
          <w:sz w:val="24"/>
          <w:highlight w:val="none"/>
        </w:rPr>
        <w:t>对可以质</w:t>
      </w:r>
      <w:r>
        <w:rPr>
          <w:rFonts w:hint="eastAsia" w:ascii="微软雅黑" w:hAnsi="微软雅黑" w:eastAsia="微软雅黑" w:cs="微软雅黑"/>
          <w:color w:val="auto"/>
          <w:sz w:val="24"/>
          <w:highlight w:val="none"/>
        </w:rPr>
        <w:t>疑的采购文件提出质疑的，质疑人为参与本项目的报价方或潜在报价方。可质疑的文件为采购公告以及采购文件（包括属于其组成部分的澄清、修改、补充文件和评审标准、合同文本等）。</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9</w:t>
      </w:r>
      <w:r>
        <w:rPr>
          <w:rFonts w:hint="eastAsia" w:ascii="微软雅黑" w:hAnsi="微软雅黑" w:eastAsia="微软雅黑" w:cs="微软雅黑"/>
          <w:color w:val="auto"/>
          <w:sz w:val="24"/>
          <w:highlight w:val="none"/>
        </w:rPr>
        <w:t xml:space="preserve">  对采购过程和中标结果提出质疑的，质疑人为直接参与本项目的报价方。采购过程,即从采购项目信息公告发布起到中标结果公告止，包括采购文件的发出、提交</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eastAsia="zh-CN"/>
        </w:rPr>
        <w:t>投标文件</w:t>
      </w:r>
      <w:r>
        <w:rPr>
          <w:rFonts w:hint="eastAsia" w:ascii="微软雅黑" w:hAnsi="微软雅黑" w:eastAsia="微软雅黑" w:cs="微软雅黑"/>
          <w:color w:val="auto"/>
          <w:sz w:val="24"/>
          <w:highlight w:val="none"/>
        </w:rPr>
        <w:t>开启、评审等各个采购程序环节。</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10</w:t>
      </w:r>
      <w:r>
        <w:rPr>
          <w:rFonts w:hint="eastAsia" w:ascii="微软雅黑" w:hAnsi="微软雅黑" w:eastAsia="微软雅黑" w:cs="微软雅黑"/>
          <w:color w:val="auto"/>
          <w:sz w:val="24"/>
          <w:highlight w:val="none"/>
        </w:rPr>
        <w:t xml:space="preserve">  提出质疑应当符合下列条件：</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（一）质疑主体应当符合有关规定；</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（二）在质疑法定期限内提出；</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（三）属于可以提出质疑的政府采购事项受理范围和本项目采购人的管辖权范围；</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（四）政府采购法律、法规、规章规定的其他条件。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11</w:t>
      </w:r>
      <w:r>
        <w:rPr>
          <w:rFonts w:hint="eastAsia" w:ascii="微软雅黑" w:hAnsi="微软雅黑" w:eastAsia="微软雅黑" w:cs="微软雅黑"/>
          <w:color w:val="auto"/>
          <w:sz w:val="24"/>
          <w:highlight w:val="none"/>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12</w:t>
      </w:r>
      <w:r>
        <w:rPr>
          <w:rFonts w:hint="eastAsia" w:ascii="微软雅黑" w:hAnsi="微软雅黑" w:eastAsia="微软雅黑" w:cs="微软雅黑"/>
          <w:color w:val="auto"/>
          <w:sz w:val="24"/>
          <w:highlight w:val="none"/>
        </w:rPr>
        <w:t xml:space="preserve">  质疑人所提供的证明材料应当具有真实性、合法性以及与质疑事项的关联性和证明力，否则不能作为认定该质疑事项成立的依据。</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13</w:t>
      </w:r>
      <w:r>
        <w:rPr>
          <w:rFonts w:hint="eastAsia" w:ascii="微软雅黑" w:hAnsi="微软雅黑" w:eastAsia="微软雅黑" w:cs="微软雅黑"/>
          <w:color w:val="auto"/>
          <w:sz w:val="24"/>
          <w:highlight w:val="none"/>
        </w:rPr>
        <w:t xml:space="preserve"> 质疑人提出质疑时应当提交质疑函。质疑函包括下列内容：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（一）提出质疑的质疑人的名称、地址、邮编、联系人及联系电话等；</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（二）质疑项目的名称、编号；</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（三）质疑事项；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（四）事实依据和证明材料；</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（五）法律依据；</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（六）提出质疑的日期。</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14</w:t>
      </w:r>
      <w:r>
        <w:rPr>
          <w:rFonts w:hint="eastAsia" w:ascii="微软雅黑" w:hAnsi="微软雅黑" w:eastAsia="微软雅黑" w:cs="微软雅黑"/>
          <w:color w:val="auto"/>
          <w:sz w:val="24"/>
          <w:highlight w:val="none"/>
        </w:rPr>
        <w:t xml:space="preserve">  质疑人可以委托代理人进行质疑。代理人应当提交授权委托书。授权委托书应当载明委托代理的具体权限、期限和相关事项。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36.1</w:t>
      </w:r>
      <w:r>
        <w:rPr>
          <w:rFonts w:hint="eastAsia" w:ascii="微软雅黑" w:hAnsi="微软雅黑" w:eastAsia="微软雅黑" w:cs="微软雅黑"/>
          <w:color w:val="auto"/>
          <w:sz w:val="24"/>
          <w:highlight w:val="none"/>
          <w:lang w:val="en-US" w:eastAsia="zh-CN"/>
        </w:rPr>
        <w:t>5</w:t>
      </w:r>
      <w:r>
        <w:rPr>
          <w:rFonts w:hint="eastAsia" w:ascii="微软雅黑" w:hAnsi="微软雅黑" w:eastAsia="微软雅黑" w:cs="微软雅黑"/>
          <w:color w:val="auto"/>
          <w:sz w:val="24"/>
          <w:highlight w:val="none"/>
        </w:rPr>
        <w:t xml:space="preserve">  质疑的审查和受理</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采购方在收到质疑函后应当及时审查是否符合质疑受理条件，对符合质疑受理条件的，及时予以受理。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36.1</w:t>
      </w:r>
      <w:r>
        <w:rPr>
          <w:rFonts w:hint="eastAsia" w:ascii="微软雅黑" w:hAnsi="微软雅黑" w:eastAsia="微软雅黑" w:cs="微软雅黑"/>
          <w:color w:val="auto"/>
          <w:sz w:val="24"/>
          <w:highlight w:val="none"/>
          <w:lang w:val="en-US" w:eastAsia="zh-CN"/>
        </w:rPr>
        <w:t>6</w:t>
      </w:r>
      <w:r>
        <w:rPr>
          <w:rFonts w:hint="eastAsia" w:ascii="微软雅黑" w:hAnsi="微软雅黑" w:eastAsia="微软雅黑" w:cs="微软雅黑"/>
          <w:color w:val="auto"/>
          <w:sz w:val="24"/>
          <w:highlight w:val="none"/>
        </w:rPr>
        <w:t xml:space="preserve">  对不符合质疑受理条件的，分别按照下列不同情形予以处理：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（一）质疑函内容不符合规定的，告知质疑人进行修改并重新提出质疑。修改后质疑事项仍不具体、不明确或者最终递交质疑函的时间超过质疑法定期限的，不予受理；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（二）质疑主体不符合有关规定的，告知质疑人不予受理；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（三）超过质疑法定期限提出质疑的，告知质疑人不予受理；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（四）对不属于可以提出质疑的政府采购事项提出质疑的，告知质疑人不予受理；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（五）质疑不属于本项目采购方管辖的，告知质疑人向有管辖权的采购人提出质疑；</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（六）质疑不符合其他条件的，告知质疑人不予受理。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36.1</w:t>
      </w:r>
      <w:r>
        <w:rPr>
          <w:rFonts w:hint="eastAsia" w:ascii="微软雅黑" w:hAnsi="微软雅黑" w:eastAsia="微软雅黑" w:cs="微软雅黑"/>
          <w:color w:val="auto"/>
          <w:sz w:val="24"/>
          <w:highlight w:val="none"/>
          <w:lang w:val="en-US" w:eastAsia="zh-CN"/>
        </w:rPr>
        <w:t>7</w:t>
      </w:r>
      <w:r>
        <w:rPr>
          <w:rFonts w:hint="eastAsia" w:ascii="微软雅黑" w:hAnsi="微软雅黑" w:eastAsia="微软雅黑" w:cs="微软雅黑"/>
          <w:color w:val="auto"/>
          <w:sz w:val="24"/>
          <w:highlight w:val="none"/>
        </w:rPr>
        <w:t xml:space="preserve">  质疑的处理和答复</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36.1</w:t>
      </w:r>
      <w:r>
        <w:rPr>
          <w:rFonts w:hint="eastAsia" w:ascii="微软雅黑" w:hAnsi="微软雅黑" w:eastAsia="微软雅黑" w:cs="微软雅黑"/>
          <w:color w:val="auto"/>
          <w:sz w:val="24"/>
          <w:highlight w:val="none"/>
          <w:lang w:val="en-US" w:eastAsia="zh-CN"/>
        </w:rPr>
        <w:t>8</w:t>
      </w:r>
      <w:r>
        <w:rPr>
          <w:rFonts w:hint="eastAsia" w:ascii="微软雅黑" w:hAnsi="微软雅黑" w:eastAsia="微软雅黑" w:cs="微软雅黑"/>
          <w:color w:val="auto"/>
          <w:sz w:val="24"/>
          <w:highlight w:val="none"/>
        </w:rPr>
        <w:t xml:space="preserve">  采购方受理质疑后，将及时把质疑函发送给被质疑人，并要求其在一定限期内提交书面答复，同时提供有关证据、依据和相关材料。</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19</w:t>
      </w:r>
      <w:r>
        <w:rPr>
          <w:rFonts w:hint="eastAsia" w:ascii="微软雅黑" w:hAnsi="微软雅黑" w:eastAsia="微软雅黑" w:cs="微软雅黑"/>
          <w:color w:val="auto"/>
          <w:sz w:val="24"/>
          <w:highlight w:val="none"/>
        </w:rPr>
        <w:t xml:space="preserve">  对于质疑事项中涉及的问题较多、情况比较复杂的，为了全面查清事实、取得充分的证据，采购方认为有必要时，可以进行调查取证或者组织质证。</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w:t>
      </w:r>
      <w:r>
        <w:rPr>
          <w:rFonts w:hint="eastAsia" w:ascii="微软雅黑" w:hAnsi="微软雅黑" w:eastAsia="微软雅黑" w:cs="微软雅黑"/>
          <w:color w:val="auto"/>
          <w:sz w:val="24"/>
          <w:highlight w:val="none"/>
          <w:lang w:val="en-US" w:eastAsia="zh-CN"/>
        </w:rPr>
        <w:t>20</w:t>
      </w:r>
      <w:r>
        <w:rPr>
          <w:rFonts w:hint="eastAsia" w:ascii="微软雅黑" w:hAnsi="微软雅黑" w:eastAsia="微软雅黑" w:cs="微软雅黑"/>
          <w:color w:val="auto"/>
          <w:sz w:val="24"/>
          <w:highlight w:val="none"/>
        </w:rPr>
        <w:t xml:space="preserve">  对评审过程、中标结果提出质疑的，采购方可以组织原评审委员会协助答复质疑。</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36.2</w:t>
      </w:r>
      <w:r>
        <w:rPr>
          <w:rFonts w:hint="eastAsia" w:ascii="微软雅黑" w:hAnsi="微软雅黑" w:eastAsia="微软雅黑" w:cs="微软雅黑"/>
          <w:color w:val="auto"/>
          <w:sz w:val="24"/>
          <w:highlight w:val="none"/>
          <w:lang w:val="en-US" w:eastAsia="zh-CN"/>
        </w:rPr>
        <w:t>1</w:t>
      </w:r>
      <w:r>
        <w:rPr>
          <w:rFonts w:hint="eastAsia" w:ascii="微软雅黑" w:hAnsi="微软雅黑" w:eastAsia="微软雅黑" w:cs="微软雅黑"/>
          <w:color w:val="auto"/>
          <w:sz w:val="24"/>
          <w:highlight w:val="none"/>
        </w:rPr>
        <w:t xml:space="preserve">  质疑处理过程中，质疑人书面申请撤回质疑的，将终止质疑处理程序。</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36.2</w:t>
      </w:r>
      <w:r>
        <w:rPr>
          <w:rFonts w:hint="eastAsia" w:ascii="微软雅黑" w:hAnsi="微软雅黑" w:eastAsia="微软雅黑" w:cs="微软雅黑"/>
          <w:color w:val="auto"/>
          <w:sz w:val="24"/>
          <w:highlight w:val="none"/>
          <w:lang w:val="en-US" w:eastAsia="zh-CN"/>
        </w:rPr>
        <w:t>2</w:t>
      </w:r>
      <w:r>
        <w:rPr>
          <w:rFonts w:hint="eastAsia" w:ascii="微软雅黑" w:hAnsi="微软雅黑" w:eastAsia="微软雅黑" w:cs="微软雅黑"/>
          <w:color w:val="auto"/>
          <w:sz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36.2</w:t>
      </w:r>
      <w:r>
        <w:rPr>
          <w:rFonts w:hint="eastAsia" w:ascii="微软雅黑" w:hAnsi="微软雅黑" w:eastAsia="微软雅黑" w:cs="微软雅黑"/>
          <w:color w:val="auto"/>
          <w:sz w:val="24"/>
          <w:highlight w:val="none"/>
          <w:lang w:val="en-US" w:eastAsia="zh-CN"/>
        </w:rPr>
        <w:t xml:space="preserve">3 </w:t>
      </w:r>
      <w:r>
        <w:rPr>
          <w:rFonts w:hint="eastAsia" w:ascii="微软雅黑" w:hAnsi="微软雅黑" w:eastAsia="微软雅黑" w:cs="微软雅黑"/>
          <w:color w:val="auto"/>
          <w:sz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b/>
          <w:bCs/>
          <w:color w:val="auto"/>
          <w:highlight w:val="none"/>
          <w:lang w:val="en-US" w:eastAsia="zh-CN"/>
        </w:rPr>
      </w:pPr>
      <w:r>
        <w:rPr>
          <w:rFonts w:hint="eastAsia" w:ascii="微软雅黑" w:hAnsi="微软雅黑" w:eastAsia="微软雅黑" w:cs="微软雅黑"/>
          <w:color w:val="auto"/>
          <w:sz w:val="24"/>
          <w:highlight w:val="none"/>
        </w:rPr>
        <w:t>36.2</w:t>
      </w:r>
      <w:r>
        <w:rPr>
          <w:rFonts w:hint="eastAsia" w:ascii="微软雅黑" w:hAnsi="微软雅黑" w:eastAsia="微软雅黑" w:cs="微软雅黑"/>
          <w:color w:val="auto"/>
          <w:sz w:val="24"/>
          <w:highlight w:val="none"/>
          <w:lang w:val="en-US" w:eastAsia="zh-CN"/>
        </w:rPr>
        <w:t>4</w:t>
      </w:r>
      <w:r>
        <w:rPr>
          <w:rFonts w:hint="eastAsia" w:ascii="微软雅黑" w:hAnsi="微软雅黑" w:eastAsia="微软雅黑" w:cs="微软雅黑"/>
          <w:color w:val="auto"/>
          <w:sz w:val="24"/>
          <w:highlight w:val="none"/>
        </w:rPr>
        <w:t xml:space="preserve">  采购方将在正式受理质疑后7个工作日内作出答复。</w:t>
      </w:r>
      <w:r>
        <w:rPr>
          <w:rFonts w:hint="eastAsia" w:ascii="微软雅黑" w:hAnsi="微软雅黑" w:eastAsia="微软雅黑" w:cs="微软雅黑"/>
          <w:color w:val="auto"/>
          <w:sz w:val="24"/>
          <w:highlight w:val="none"/>
          <w:lang w:val="en-US" w:eastAsia="zh-CN"/>
        </w:rPr>
        <w:t xml:space="preserve"> </w:t>
      </w:r>
    </w:p>
    <w:p>
      <w:pPr>
        <w:pStyle w:val="37"/>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36.2</w:t>
      </w:r>
      <w:r>
        <w:rPr>
          <w:rFonts w:hint="eastAsia" w:ascii="微软雅黑" w:hAnsi="微软雅黑" w:eastAsia="微软雅黑" w:cs="微软雅黑"/>
          <w:color w:val="auto"/>
          <w:highlight w:val="none"/>
          <w:lang w:val="en-US" w:eastAsia="zh-CN"/>
        </w:rPr>
        <w:t>5</w:t>
      </w:r>
      <w:r>
        <w:rPr>
          <w:rFonts w:hint="eastAsia" w:ascii="微软雅黑" w:hAnsi="微软雅黑" w:eastAsia="微软雅黑" w:cs="微软雅黑"/>
          <w:color w:val="auto"/>
          <w:highlight w:val="none"/>
        </w:rPr>
        <w:t xml:space="preserve"> 质疑答复应当包括下列内容：</w:t>
      </w:r>
    </w:p>
    <w:p>
      <w:pPr>
        <w:pStyle w:val="37"/>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（一）质疑人的姓名或者名称；</w:t>
      </w:r>
    </w:p>
    <w:p>
      <w:pPr>
        <w:pStyle w:val="37"/>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（二）收到质疑函的日期、质疑项目名称及编号；</w:t>
      </w:r>
    </w:p>
    <w:p>
      <w:pPr>
        <w:pStyle w:val="37"/>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（三）质疑事项、质疑答复的具体内容、事实依据和法律依据；</w:t>
      </w:r>
    </w:p>
    <w:p>
      <w:pPr>
        <w:pStyle w:val="37"/>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（四）告知质疑供应商依法投诉的权利；</w:t>
      </w:r>
    </w:p>
    <w:p>
      <w:pPr>
        <w:pStyle w:val="37"/>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color w:val="auto"/>
          <w:highlight w:val="none"/>
        </w:rPr>
        <w:t>（五）质疑答复人名称；</w:t>
      </w:r>
      <w:bookmarkStart w:id="1051" w:name="_Toc9437"/>
      <w:bookmarkStart w:id="1052" w:name="_Toc21687"/>
      <w:bookmarkStart w:id="1053" w:name="_Toc27601"/>
      <w:bookmarkStart w:id="1054" w:name="_Toc15112"/>
      <w:bookmarkStart w:id="1055" w:name="_Toc23411"/>
      <w:bookmarkStart w:id="1056" w:name="_Toc8353"/>
      <w:bookmarkStart w:id="1057" w:name="_Toc1819"/>
      <w:bookmarkStart w:id="1058" w:name="_Toc3696"/>
      <w:bookmarkStart w:id="1059" w:name="_Toc6589"/>
      <w:bookmarkStart w:id="1060" w:name="_Toc22908"/>
      <w:bookmarkStart w:id="1061" w:name="_Toc2072"/>
      <w:bookmarkStart w:id="1062" w:name="_Toc14357"/>
      <w:bookmarkStart w:id="1063" w:name="_Toc12088"/>
      <w:bookmarkStart w:id="1064" w:name="_Toc14014"/>
      <w:bookmarkStart w:id="1065" w:name="_Toc13905"/>
      <w:bookmarkStart w:id="1066" w:name="_Toc30512"/>
      <w:bookmarkStart w:id="1067" w:name="_Toc11297"/>
      <w:bookmarkStart w:id="1068" w:name="_Toc30093"/>
      <w:bookmarkStart w:id="1069" w:name="_Toc25636"/>
      <w:bookmarkStart w:id="1070" w:name="_Toc8910"/>
      <w:bookmarkStart w:id="1071" w:name="_Toc16553"/>
      <w:bookmarkStart w:id="1072" w:name="_Toc18518"/>
      <w:bookmarkStart w:id="1073" w:name="_Toc17298"/>
      <w:bookmarkStart w:id="1074" w:name="_Toc14560"/>
      <w:bookmarkStart w:id="1075" w:name="_Toc4532"/>
      <w:bookmarkStart w:id="1076" w:name="_Toc1369"/>
      <w:bookmarkStart w:id="1077" w:name="_Toc2500"/>
      <w:bookmarkStart w:id="1078" w:name="_Toc2799"/>
      <w:r>
        <w:rPr>
          <w:rFonts w:hint="eastAsia" w:ascii="微软雅黑" w:hAnsi="微软雅黑" w:eastAsia="微软雅黑" w:cs="微软雅黑"/>
          <w:b/>
          <w:bCs/>
          <w:color w:val="auto"/>
          <w:sz w:val="24"/>
          <w:highlight w:val="none"/>
        </w:rPr>
        <w:t>质疑函范本</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一、质疑供应商基本信息</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质疑供应商：</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邮编：</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联系电话：</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授权代表：</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联系电话：</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邮编：</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二、质疑项目基本情况</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质疑项目的名称：</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质疑项目的编号：</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包号：</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采购人名称：</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采购文件获取日期：</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三、质疑事项具体内容</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质疑事项1：</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事实依据：</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法律依据：</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四、与质疑事项相关的质疑请求</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请求：</w:t>
      </w:r>
      <w:r>
        <w:rPr>
          <w:rFonts w:hint="eastAsia" w:ascii="微软雅黑" w:hAnsi="微软雅黑" w:eastAsia="微软雅黑" w:cs="微软雅黑"/>
          <w:color w:val="auto"/>
          <w:sz w:val="24"/>
          <w:highlight w:val="none"/>
          <w:u w:val="single"/>
        </w:rPr>
        <w:t xml:space="preserve">                                               </w:t>
      </w:r>
    </w:p>
    <w:p>
      <w:pPr>
        <w:pageBreakBefore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签字(签章)：                   公章：                      </w:t>
      </w:r>
    </w:p>
    <w:p>
      <w:pPr>
        <w:pageBreakBefore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日期：    </w:t>
      </w:r>
    </w:p>
    <w:p>
      <w:pPr>
        <w:pageBreakBefore w:val="0"/>
        <w:kinsoku/>
        <w:wordWrap/>
        <w:overflowPunct/>
        <w:topLinePunct w:val="0"/>
        <w:bidi w:val="0"/>
        <w:spacing w:line="360" w:lineRule="exact"/>
        <w:ind w:left="0" w:leftChars="0"/>
        <w:textAlignment w:val="auto"/>
        <w:rPr>
          <w:rFonts w:hint="eastAsia"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质疑函制作说明：</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1.供应商提出质疑时，应提交质疑函和必要的证明材料。</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2.质疑供应商若委托代理人进行质疑的，质疑函应按要求列明“授权代表”的有关内容，并在附件中提交由质疑</w:t>
      </w:r>
      <w:r>
        <w:rPr>
          <w:rFonts w:hint="eastAsia" w:ascii="微软雅黑" w:hAnsi="微软雅黑" w:eastAsia="微软雅黑" w:cs="微软雅黑"/>
          <w:color w:val="auto"/>
          <w:kern w:val="0"/>
          <w:sz w:val="24"/>
          <w:highlight w:val="none"/>
        </w:rPr>
        <w:t>供应商签署的授权委托书。授权委托书应载明代理人的姓名或者名称、代理事项、具体权限、期限和相关事项。</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3.质疑供应商若对项目的某一分包进行质疑，质疑函中应列明具体分包号。</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4.质疑函的质疑事项应具体、明确，并有必要的事实依据和法律依据。</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5.质疑函的质疑请求应与质疑事项相关。</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6.质疑供应商为自然人的，质疑函应由本人签字；质疑供应商为法人或者其他组织的，质疑函应由法定代表人、主要负责人，或者其授权代表签字或者盖章，并加盖公章。</w:t>
      </w:r>
    </w:p>
    <w:p>
      <w:pPr>
        <w:pStyle w:val="4"/>
        <w:spacing w:line="400" w:lineRule="exact"/>
        <w:ind w:firstLine="0"/>
        <w:rPr>
          <w:rFonts w:hint="eastAsia" w:ascii="微软雅黑" w:hAnsi="微软雅黑" w:eastAsia="微软雅黑" w:cs="微软雅黑"/>
          <w:color w:val="auto"/>
          <w:kern w:val="2"/>
          <w:sz w:val="21"/>
          <w:szCs w:val="21"/>
          <w:highlight w:val="none"/>
        </w:rPr>
      </w:pPr>
      <w:r>
        <w:rPr>
          <w:rFonts w:hint="eastAsia" w:ascii="微软雅黑" w:hAnsi="微软雅黑" w:eastAsia="微软雅黑" w:cs="微软雅黑"/>
          <w:b/>
          <w:color w:val="auto"/>
          <w:szCs w:val="24"/>
          <w:highlight w:val="none"/>
        </w:rPr>
        <w:br w:type="page"/>
      </w:r>
    </w:p>
    <w:p>
      <w:pPr>
        <w:pStyle w:val="6"/>
        <w:keepNext/>
        <w:keepLines/>
        <w:pageBreakBefore w:val="0"/>
        <w:widowControl w:val="0"/>
        <w:kinsoku/>
        <w:wordWrap/>
        <w:overflowPunct/>
        <w:topLinePunct w:val="0"/>
        <w:autoSpaceDE w:val="0"/>
        <w:autoSpaceDN w:val="0"/>
        <w:bidi w:val="0"/>
        <w:adjustRightInd w:val="0"/>
        <w:snapToGrid/>
        <w:spacing w:before="0" w:after="0" w:line="240" w:lineRule="atLeast"/>
        <w:ind w:left="0"/>
        <w:jc w:val="center"/>
        <w:textAlignment w:val="auto"/>
        <w:rPr>
          <w:rFonts w:hint="eastAsia" w:ascii="微软雅黑" w:hAnsi="微软雅黑" w:eastAsia="微软雅黑" w:cs="微软雅黑"/>
          <w:b/>
          <w:bCs/>
          <w:color w:val="auto"/>
          <w:sz w:val="32"/>
          <w:szCs w:val="32"/>
          <w:highlight w:val="none"/>
        </w:rPr>
      </w:pPr>
      <w:bookmarkStart w:id="1079" w:name="_Toc3574"/>
      <w:bookmarkStart w:id="1080" w:name="_Toc702"/>
      <w:bookmarkStart w:id="1081" w:name="_Toc216582812"/>
      <w:bookmarkStart w:id="1082" w:name="_Toc515647802"/>
      <w:bookmarkStart w:id="1083" w:name="_Toc6770"/>
      <w:bookmarkStart w:id="1084" w:name="_Toc29770"/>
      <w:bookmarkStart w:id="1085" w:name="_Toc728"/>
      <w:r>
        <w:rPr>
          <w:rFonts w:hint="eastAsia" w:ascii="微软雅黑" w:hAnsi="微软雅黑" w:eastAsia="微软雅黑" w:cs="微软雅黑"/>
          <w:b/>
          <w:bCs/>
          <w:color w:val="auto"/>
          <w:sz w:val="32"/>
          <w:szCs w:val="32"/>
          <w:highlight w:val="none"/>
        </w:rPr>
        <w:t>第2章   投标文件格式</w:t>
      </w:r>
      <w:bookmarkEnd w:id="1079"/>
      <w:bookmarkEnd w:id="1080"/>
      <w:bookmarkEnd w:id="1081"/>
      <w:bookmarkEnd w:id="1082"/>
      <w:bookmarkEnd w:id="1083"/>
      <w:bookmarkEnd w:id="1084"/>
      <w:bookmarkEnd w:id="1085"/>
    </w:p>
    <w:p>
      <w:pPr>
        <w:pStyle w:val="7"/>
        <w:spacing w:before="0" w:line="240" w:lineRule="atLeast"/>
        <w:ind w:left="1080" w:leftChars="257" w:hanging="540"/>
        <w:rPr>
          <w:rFonts w:hint="eastAsia" w:ascii="微软雅黑" w:hAnsi="微软雅黑" w:eastAsia="微软雅黑" w:cs="微软雅黑"/>
          <w:color w:val="auto"/>
          <w:szCs w:val="21"/>
          <w:highlight w:val="none"/>
        </w:rPr>
      </w:pPr>
      <w:bookmarkStart w:id="1086" w:name="_Toc18694"/>
      <w:bookmarkStart w:id="1087" w:name="_Toc515647803"/>
      <w:bookmarkStart w:id="1088" w:name="_Toc18974"/>
      <w:bookmarkStart w:id="1089" w:name="_Toc32123"/>
      <w:bookmarkStart w:id="1090" w:name="_Toc16575"/>
      <w:bookmarkStart w:id="1091" w:name="_Toc22572"/>
      <w:bookmarkStart w:id="1092" w:name="_Toc32079"/>
      <w:bookmarkStart w:id="1093" w:name="_Toc16750"/>
      <w:bookmarkStart w:id="1094" w:name="_Toc16568"/>
      <w:bookmarkStart w:id="1095" w:name="_Toc13595"/>
      <w:bookmarkStart w:id="1096" w:name="_Toc522"/>
      <w:bookmarkStart w:id="1097" w:name="_Toc3620"/>
      <w:bookmarkStart w:id="1098" w:name="_Toc29091"/>
      <w:bookmarkStart w:id="1099" w:name="_Toc30524"/>
      <w:bookmarkStart w:id="1100" w:name="_Toc30630"/>
      <w:bookmarkStart w:id="1101" w:name="_Toc11138"/>
      <w:bookmarkStart w:id="1102" w:name="_Toc14118"/>
      <w:bookmarkStart w:id="1103" w:name="_Toc515647804"/>
      <w:bookmarkStart w:id="1104" w:name="_Toc21614"/>
      <w:bookmarkStart w:id="1105" w:name="_Toc216582813"/>
      <w:bookmarkStart w:id="1106" w:name="_Toc480942349"/>
      <w:bookmarkStart w:id="1107" w:name="_Toc520356217"/>
      <w:bookmarkStart w:id="1108" w:name="_Ref467988698"/>
      <w:r>
        <w:rPr>
          <w:rFonts w:hint="eastAsia" w:ascii="微软雅黑" w:hAnsi="微软雅黑" w:eastAsia="微软雅黑" w:cs="微软雅黑"/>
          <w:color w:val="auto"/>
          <w:sz w:val="28"/>
          <w:szCs w:val="28"/>
          <w:highlight w:val="none"/>
        </w:rPr>
        <w:t>第一部分 开标一览表及资格证明文件</w:t>
      </w:r>
      <w:bookmarkEnd w:id="1086"/>
      <w:bookmarkEnd w:id="1087"/>
      <w:bookmarkEnd w:id="1088"/>
      <w:bookmarkEnd w:id="1089"/>
      <w:bookmarkEnd w:id="1090"/>
      <w:bookmarkEnd w:id="1091"/>
      <w:bookmarkEnd w:id="1092"/>
    </w:p>
    <w:bookmarkEnd w:id="1093"/>
    <w:bookmarkEnd w:id="1094"/>
    <w:bookmarkEnd w:id="1095"/>
    <w:bookmarkEnd w:id="1096"/>
    <w:bookmarkEnd w:id="1097"/>
    <w:bookmarkEnd w:id="1098"/>
    <w:bookmarkEnd w:id="1099"/>
    <w:bookmarkEnd w:id="1100"/>
    <w:bookmarkEnd w:id="1101"/>
    <w:bookmarkEnd w:id="1102"/>
    <w:bookmarkEnd w:id="1103"/>
    <w:bookmarkEnd w:id="1104"/>
    <w:p>
      <w:pPr>
        <w:keepNext w:val="0"/>
        <w:keepLines w:val="0"/>
        <w:pageBreakBefore w:val="0"/>
        <w:widowControl w:val="0"/>
        <w:tabs>
          <w:tab w:val="left" w:pos="5580"/>
        </w:tabs>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bookmarkStart w:id="1109" w:name="_Toc30653"/>
      <w:bookmarkStart w:id="1110" w:name="_Toc22967"/>
      <w:bookmarkStart w:id="1111" w:name="_Toc18263"/>
      <w:bookmarkStart w:id="1112" w:name="_Toc15346"/>
      <w:bookmarkStart w:id="1113" w:name="_Toc515647816"/>
      <w:bookmarkStart w:id="1114" w:name="_Toc11180"/>
      <w:r>
        <w:rPr>
          <w:rFonts w:hint="eastAsia" w:ascii="微软雅黑" w:hAnsi="微软雅黑" w:eastAsia="微软雅黑" w:cs="微软雅黑"/>
          <w:color w:val="auto"/>
          <w:kern w:val="0"/>
          <w:sz w:val="24"/>
          <w:szCs w:val="24"/>
          <w:highlight w:val="none"/>
        </w:rPr>
        <w:t>1</w:t>
      </w:r>
      <w:r>
        <w:rPr>
          <w:rFonts w:hint="eastAsia" w:ascii="微软雅黑" w:hAnsi="微软雅黑" w:eastAsia="微软雅黑" w:cs="微软雅黑"/>
          <w:color w:val="auto"/>
          <w:kern w:val="0"/>
          <w:sz w:val="24"/>
          <w:szCs w:val="24"/>
          <w:highlight w:val="none"/>
          <w:lang w:eastAsia="zh-CN"/>
        </w:rPr>
        <w:t>、</w:t>
      </w:r>
      <w:r>
        <w:rPr>
          <w:rFonts w:hint="eastAsia" w:ascii="微软雅黑" w:hAnsi="微软雅黑" w:eastAsia="微软雅黑" w:cs="微软雅黑"/>
          <w:color w:val="auto"/>
          <w:kern w:val="0"/>
          <w:sz w:val="24"/>
          <w:szCs w:val="24"/>
          <w:highlight w:val="none"/>
        </w:rPr>
        <w:t>开标一览表</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具有有效的营业执照；</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、投标供应商需具备有效期内的《林木种子生产许可证》或《林木种子经营许可证》和有效期内、经年审合格的《新疆维吾尔自治区林业植物检疫登记证》；</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、提供法定代表人资格证明及授权书、被授权人身份证；(法定代表人投标需提供法定代表人身份证)；</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、提近两年任意一年的财务审计报告，新成立的公司提供近三个月内任意一个月的银行资信证明；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提供依法缴纳2022年至2023年内连续6个月的社保证明及明细</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7</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提供税务部门出具2022年至2023年内连续6个月的的完税证明</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截图，“国家企业信用信息公示系统（http://www.gsxt.gov.cn）”列入严重违法失信企业名单（黑名单）信息截图；将拒绝其参加本次招标活动；</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、提供参与政府采购活动前3年内未被列入失信、重大税收违法案件、财政部门禁止参加政府采购活动的承诺书；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、提供针对本次项目《反商业贿赂承诺书》。</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、提供缴纳投标保证金有效凭证。</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sz w:val="24"/>
          <w:szCs w:val="24"/>
          <w:highlight w:val="none"/>
          <w:lang w:val="en-US" w:eastAsia="zh-CN"/>
        </w:rPr>
        <w:t>12、</w:t>
      </w:r>
      <w:r>
        <w:rPr>
          <w:rFonts w:hint="eastAsia" w:ascii="微软雅黑" w:hAnsi="微软雅黑" w:eastAsia="微软雅黑" w:cs="微软雅黑"/>
          <w:color w:val="auto"/>
          <w:kern w:val="0"/>
          <w:sz w:val="24"/>
          <w:szCs w:val="24"/>
          <w:highlight w:val="none"/>
        </w:rPr>
        <w:t>银行开户许可证复印件或银行基本账户信息(包含：银行账号及开户行名称）；</w:t>
      </w:r>
    </w:p>
    <w:p>
      <w:pPr>
        <w:keepNext w:val="0"/>
        <w:keepLines w:val="0"/>
        <w:pageBreakBefore w:val="0"/>
        <w:widowControl w:val="0"/>
        <w:tabs>
          <w:tab w:val="left" w:pos="5580"/>
        </w:tabs>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13、供应商可提供有利于投标的其他资格证明材料。</w:t>
      </w:r>
    </w:p>
    <w:p>
      <w:pPr>
        <w:pStyle w:val="2"/>
        <w:rPr>
          <w:rFonts w:hint="eastAsia" w:ascii="微软雅黑" w:hAnsi="微软雅黑" w:eastAsia="微软雅黑" w:cs="微软雅黑"/>
          <w:highlight w:val="none"/>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00" w:lineRule="exact"/>
        <w:ind w:left="0" w:leftChars="0"/>
        <w:jc w:val="left"/>
        <w:textAlignment w:val="baseline"/>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注：1、“</w:t>
      </w:r>
      <w:r>
        <w:rPr>
          <w:rFonts w:hint="eastAsia" w:ascii="微软雅黑" w:hAnsi="微软雅黑" w:eastAsia="微软雅黑" w:cs="微软雅黑"/>
          <w:b/>
          <w:bCs/>
          <w:color w:val="auto"/>
          <w:sz w:val="24"/>
          <w:szCs w:val="24"/>
          <w:highlight w:val="none"/>
          <w:lang w:eastAsia="zh-CN"/>
        </w:rPr>
        <w:t>提供税务部门出具2022年至2023年内连续6个月的的完税证明</w:t>
      </w:r>
      <w:r>
        <w:rPr>
          <w:rFonts w:hint="eastAsia" w:ascii="微软雅黑" w:hAnsi="微软雅黑" w:eastAsia="微软雅黑" w:cs="微软雅黑"/>
          <w:b/>
          <w:bCs/>
          <w:color w:val="auto"/>
          <w:sz w:val="24"/>
          <w:szCs w:val="24"/>
          <w:highlight w:val="none"/>
        </w:rPr>
        <w:t>”：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p>
      <w:pP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br w:type="page"/>
      </w:r>
    </w:p>
    <w:p>
      <w:pPr>
        <w:pStyle w:val="7"/>
        <w:spacing w:before="0" w:line="400" w:lineRule="exact"/>
        <w:ind w:left="1080" w:leftChars="257" w:hanging="540"/>
        <w:rPr>
          <w:rFonts w:hint="eastAsia" w:ascii="微软雅黑" w:hAnsi="微软雅黑" w:eastAsia="微软雅黑" w:cs="微软雅黑"/>
          <w:color w:val="auto"/>
          <w:sz w:val="24"/>
          <w:szCs w:val="24"/>
          <w:highlight w:val="none"/>
        </w:rPr>
      </w:pPr>
      <w:bookmarkStart w:id="1115" w:name="_Toc1244"/>
      <w:bookmarkStart w:id="1116" w:name="_Toc19126"/>
      <w:r>
        <w:rPr>
          <w:rFonts w:hint="eastAsia" w:ascii="微软雅黑" w:hAnsi="微软雅黑" w:eastAsia="微软雅黑" w:cs="微软雅黑"/>
          <w:color w:val="auto"/>
          <w:sz w:val="24"/>
          <w:szCs w:val="24"/>
          <w:highlight w:val="none"/>
        </w:rPr>
        <w:t>1、开标一览表</w:t>
      </w:r>
      <w:bookmarkEnd w:id="1115"/>
      <w:bookmarkEnd w:id="1116"/>
    </w:p>
    <w:p>
      <w:pPr>
        <w:pStyle w:val="4"/>
        <w:tabs>
          <w:tab w:val="left" w:pos="5580"/>
        </w:tabs>
        <w:spacing w:line="400" w:lineRule="exact"/>
        <w:ind w:left="1080" w:leftChars="257" w:hanging="540"/>
        <w:jc w:val="center"/>
        <w:rPr>
          <w:rFonts w:hint="eastAsia" w:ascii="微软雅黑" w:hAnsi="微软雅黑" w:eastAsia="微软雅黑" w:cs="微软雅黑"/>
          <w:color w:val="auto"/>
          <w:sz w:val="24"/>
          <w:szCs w:val="24"/>
          <w:highlight w:val="none"/>
        </w:rPr>
      </w:pPr>
      <w:bookmarkStart w:id="1117" w:name="_Hlt520356241"/>
      <w:bookmarkEnd w:id="1117"/>
      <w:bookmarkStart w:id="1118" w:name="_Toc494296984"/>
      <w:r>
        <w:rPr>
          <w:rFonts w:hint="eastAsia" w:ascii="微软雅黑" w:hAnsi="微软雅黑" w:eastAsia="微软雅黑" w:cs="微软雅黑"/>
          <w:b/>
          <w:color w:val="auto"/>
          <w:sz w:val="24"/>
          <w:szCs w:val="24"/>
          <w:highlight w:val="none"/>
        </w:rPr>
        <w:t>开标一览表</w:t>
      </w:r>
      <w:bookmarkEnd w:id="1118"/>
    </w:p>
    <w:p>
      <w:pPr>
        <w:tabs>
          <w:tab w:val="left" w:pos="1800"/>
          <w:tab w:val="left" w:pos="5580"/>
        </w:tabs>
        <w:spacing w:line="400" w:lineRule="exact"/>
        <w:ind w:left="1080" w:leftChars="257" w:right="-867" w:rightChars="-413"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项目名称：　                  项目编号：                          </w:t>
      </w:r>
    </w:p>
    <w:p>
      <w:pPr>
        <w:tabs>
          <w:tab w:val="left" w:pos="1800"/>
          <w:tab w:val="left" w:pos="5580"/>
        </w:tabs>
        <w:spacing w:line="400" w:lineRule="exact"/>
        <w:ind w:left="1080" w:leftChars="257" w:right="-867" w:rightChars="-413"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报价单位：人民币</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b/>
          <w:color w:val="auto"/>
          <w:sz w:val="24"/>
          <w:szCs w:val="24"/>
          <w:highlight w:val="none"/>
        </w:rPr>
        <w:t>元</w:t>
      </w:r>
    </w:p>
    <w:tbl>
      <w:tblPr>
        <w:tblStyle w:val="25"/>
        <w:tblW w:w="9155"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0"/>
        <w:gridCol w:w="2468"/>
        <w:gridCol w:w="1585"/>
        <w:gridCol w:w="1488"/>
        <w:gridCol w:w="12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1420" w:type="dxa"/>
            <w:vAlign w:val="center"/>
          </w:tcPr>
          <w:p>
            <w:pPr>
              <w:keepNext w:val="0"/>
              <w:keepLines w:val="0"/>
              <w:suppressLineNumbers w:val="0"/>
              <w:tabs>
                <w:tab w:val="left" w:pos="5580"/>
              </w:tabs>
              <w:spacing w:before="0" w:beforeAutospacing="0" w:after="0" w:afterAutospacing="0" w:line="240" w:lineRule="atLeast"/>
              <w:ind w:left="0" w:right="-199" w:rightChars="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highlight w:val="none"/>
              </w:rPr>
              <w:t>名称</w:t>
            </w:r>
          </w:p>
        </w:tc>
        <w:tc>
          <w:tcPr>
            <w:tcW w:w="2468" w:type="dxa"/>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highlight w:val="none"/>
                <w:lang w:eastAsia="zh-CN"/>
              </w:rPr>
              <w:t>投标</w:t>
            </w:r>
            <w:r>
              <w:rPr>
                <w:rFonts w:hint="eastAsia" w:ascii="微软雅黑" w:hAnsi="微软雅黑" w:eastAsia="微软雅黑" w:cs="微软雅黑"/>
                <w:color w:val="auto"/>
                <w:sz w:val="24"/>
                <w:highlight w:val="none"/>
              </w:rPr>
              <w:t>总价</w:t>
            </w:r>
          </w:p>
        </w:tc>
        <w:tc>
          <w:tcPr>
            <w:tcW w:w="1585" w:type="dxa"/>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highlight w:val="none"/>
                <w:lang w:eastAsia="zh-CN"/>
              </w:rPr>
              <w:t>投标</w:t>
            </w:r>
            <w:r>
              <w:rPr>
                <w:rFonts w:hint="eastAsia" w:ascii="微软雅黑" w:hAnsi="微软雅黑" w:eastAsia="微软雅黑" w:cs="微软雅黑"/>
                <w:color w:val="auto"/>
                <w:sz w:val="24"/>
                <w:highlight w:val="none"/>
              </w:rPr>
              <w:t>保证金</w:t>
            </w:r>
          </w:p>
        </w:tc>
        <w:tc>
          <w:tcPr>
            <w:tcW w:w="1488" w:type="dxa"/>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微软雅黑" w:hAnsi="微软雅黑" w:eastAsia="微软雅黑" w:cs="微软雅黑"/>
                <w:color w:val="auto"/>
                <w:sz w:val="24"/>
                <w:szCs w:val="24"/>
                <w:highlight w:val="none"/>
                <w:lang w:val="en-US"/>
              </w:rPr>
            </w:pPr>
            <w:r>
              <w:rPr>
                <w:rFonts w:hint="eastAsia" w:ascii="微软雅黑" w:hAnsi="微软雅黑" w:eastAsia="微软雅黑" w:cs="微软雅黑"/>
                <w:color w:val="auto"/>
                <w:sz w:val="24"/>
                <w:szCs w:val="24"/>
                <w:highlight w:val="none"/>
                <w:lang w:val="en-US" w:eastAsia="zh-CN"/>
              </w:rPr>
              <w:t>交货</w:t>
            </w:r>
            <w:r>
              <w:rPr>
                <w:rFonts w:hint="eastAsia" w:ascii="微软雅黑" w:hAnsi="微软雅黑" w:eastAsia="微软雅黑" w:cs="微软雅黑"/>
                <w:color w:val="auto"/>
                <w:sz w:val="24"/>
                <w:szCs w:val="24"/>
                <w:highlight w:val="none"/>
                <w:lang w:val="en-US"/>
              </w:rPr>
              <w:t>时间</w:t>
            </w:r>
          </w:p>
        </w:tc>
        <w:tc>
          <w:tcPr>
            <w:tcW w:w="1234" w:type="dxa"/>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微软雅黑" w:hAnsi="微软雅黑" w:eastAsia="微软雅黑" w:cs="微软雅黑"/>
                <w:color w:val="auto"/>
                <w:sz w:val="24"/>
                <w:szCs w:val="24"/>
                <w:highlight w:val="none"/>
                <w:lang w:val="en-US"/>
              </w:rPr>
            </w:pPr>
            <w:r>
              <w:rPr>
                <w:rFonts w:hint="eastAsia" w:ascii="微软雅黑" w:hAnsi="微软雅黑" w:eastAsia="微软雅黑" w:cs="微软雅黑"/>
                <w:color w:val="auto"/>
                <w:sz w:val="24"/>
                <w:szCs w:val="24"/>
                <w:highlight w:val="none"/>
                <w:lang w:val="en-US" w:eastAsia="zh-CN"/>
              </w:rPr>
              <w:t>交货</w:t>
            </w:r>
            <w:r>
              <w:rPr>
                <w:rFonts w:hint="eastAsia" w:ascii="微软雅黑" w:hAnsi="微软雅黑" w:eastAsia="微软雅黑" w:cs="微软雅黑"/>
                <w:color w:val="auto"/>
                <w:sz w:val="24"/>
                <w:highlight w:val="none"/>
                <w:lang w:val="en-US" w:eastAsia="zh-CN"/>
              </w:rPr>
              <w:t>地点</w:t>
            </w:r>
          </w:p>
        </w:tc>
        <w:tc>
          <w:tcPr>
            <w:tcW w:w="960" w:type="dxa"/>
            <w:vAlign w:val="center"/>
          </w:tcPr>
          <w:p>
            <w:pPr>
              <w:keepNext w:val="0"/>
              <w:keepLines w:val="0"/>
              <w:suppressLineNumbers w:val="0"/>
              <w:tabs>
                <w:tab w:val="left" w:pos="5580"/>
              </w:tabs>
              <w:spacing w:before="0" w:beforeAutospacing="0" w:after="0" w:afterAutospacing="0" w:line="240" w:lineRule="atLeast"/>
              <w:ind w:left="0" w:right="0"/>
              <w:jc w:val="cente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0" w:hRule="atLeast"/>
        </w:trPr>
        <w:tc>
          <w:tcPr>
            <w:tcW w:w="1420" w:type="dxa"/>
            <w:vAlign w:val="center"/>
          </w:tcPr>
          <w:p>
            <w:pPr>
              <w:keepNext w:val="0"/>
              <w:keepLines w:val="0"/>
              <w:suppressLineNumbers w:val="0"/>
              <w:tabs>
                <w:tab w:val="left" w:pos="5580"/>
              </w:tabs>
              <w:spacing w:before="0" w:beforeAutospacing="0" w:after="0" w:afterAutospacing="0" w:line="400" w:lineRule="exact"/>
              <w:ind w:left="1080" w:leftChars="257" w:right="0" w:hanging="540"/>
              <w:jc w:val="center"/>
              <w:rPr>
                <w:rFonts w:hint="eastAsia" w:ascii="微软雅黑" w:hAnsi="微软雅黑" w:eastAsia="微软雅黑" w:cs="微软雅黑"/>
                <w:color w:val="auto"/>
                <w:sz w:val="24"/>
                <w:szCs w:val="24"/>
                <w:highlight w:val="none"/>
              </w:rPr>
            </w:pPr>
          </w:p>
        </w:tc>
        <w:tc>
          <w:tcPr>
            <w:tcW w:w="2468" w:type="dxa"/>
            <w:vAlign w:val="center"/>
          </w:tcPr>
          <w:p>
            <w:pPr>
              <w:keepNext w:val="0"/>
              <w:keepLines w:val="0"/>
              <w:suppressLineNumbers w:val="0"/>
              <w:tabs>
                <w:tab w:val="left" w:pos="5580"/>
              </w:tabs>
              <w:spacing w:before="0" w:beforeAutospacing="0" w:after="0" w:afterAutospacing="0" w:line="400" w:lineRule="exact"/>
              <w:ind w:left="0" w:right="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大写：</w:t>
            </w:r>
          </w:p>
          <w:p>
            <w:pPr>
              <w:keepNext w:val="0"/>
              <w:keepLines w:val="0"/>
              <w:suppressLineNumbers w:val="0"/>
              <w:tabs>
                <w:tab w:val="left" w:pos="5580"/>
              </w:tabs>
              <w:spacing w:before="0" w:beforeAutospacing="0" w:after="0" w:afterAutospacing="0" w:line="400" w:lineRule="exact"/>
              <w:ind w:left="0" w:right="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小写：</w:t>
            </w:r>
          </w:p>
        </w:tc>
        <w:tc>
          <w:tcPr>
            <w:tcW w:w="1585" w:type="dxa"/>
            <w:vAlign w:val="center"/>
          </w:tcPr>
          <w:p>
            <w:pPr>
              <w:keepNext w:val="0"/>
              <w:keepLines w:val="0"/>
              <w:suppressLineNumbers w:val="0"/>
              <w:tabs>
                <w:tab w:val="left" w:pos="5580"/>
              </w:tabs>
              <w:spacing w:before="0" w:beforeAutospacing="0" w:after="0" w:afterAutospacing="0" w:line="400" w:lineRule="exact"/>
              <w:ind w:left="1080" w:leftChars="257" w:right="0" w:hanging="540"/>
              <w:jc w:val="center"/>
              <w:rPr>
                <w:rFonts w:hint="eastAsia" w:ascii="微软雅黑" w:hAnsi="微软雅黑" w:eastAsia="微软雅黑" w:cs="微软雅黑"/>
                <w:color w:val="auto"/>
                <w:sz w:val="24"/>
                <w:szCs w:val="24"/>
                <w:highlight w:val="none"/>
              </w:rPr>
            </w:pPr>
          </w:p>
        </w:tc>
        <w:tc>
          <w:tcPr>
            <w:tcW w:w="1488" w:type="dxa"/>
            <w:vAlign w:val="center"/>
          </w:tcPr>
          <w:p>
            <w:pPr>
              <w:keepNext w:val="0"/>
              <w:keepLines w:val="0"/>
              <w:suppressLineNumbers w:val="0"/>
              <w:tabs>
                <w:tab w:val="left" w:pos="5580"/>
              </w:tabs>
              <w:spacing w:before="0" w:beforeAutospacing="0" w:after="0" w:afterAutospacing="0" w:line="400" w:lineRule="exact"/>
              <w:ind w:left="1080" w:leftChars="257" w:right="0" w:hanging="540"/>
              <w:jc w:val="center"/>
              <w:rPr>
                <w:rFonts w:hint="eastAsia" w:ascii="微软雅黑" w:hAnsi="微软雅黑" w:eastAsia="微软雅黑" w:cs="微软雅黑"/>
                <w:color w:val="auto"/>
                <w:sz w:val="24"/>
                <w:szCs w:val="24"/>
                <w:highlight w:val="none"/>
              </w:rPr>
            </w:pPr>
          </w:p>
        </w:tc>
        <w:tc>
          <w:tcPr>
            <w:tcW w:w="1234" w:type="dxa"/>
            <w:vAlign w:val="center"/>
          </w:tcPr>
          <w:p>
            <w:pPr>
              <w:keepNext w:val="0"/>
              <w:keepLines w:val="0"/>
              <w:suppressLineNumbers w:val="0"/>
              <w:tabs>
                <w:tab w:val="left" w:pos="5580"/>
              </w:tabs>
              <w:spacing w:before="0" w:beforeAutospacing="0" w:after="0" w:afterAutospacing="0" w:line="400" w:lineRule="exact"/>
              <w:ind w:left="1080" w:leftChars="257" w:right="0" w:hanging="540"/>
              <w:jc w:val="center"/>
              <w:rPr>
                <w:rFonts w:hint="eastAsia" w:ascii="微软雅黑" w:hAnsi="微软雅黑" w:eastAsia="微软雅黑" w:cs="微软雅黑"/>
                <w:color w:val="auto"/>
                <w:sz w:val="24"/>
                <w:szCs w:val="24"/>
                <w:highlight w:val="none"/>
              </w:rPr>
            </w:pPr>
          </w:p>
        </w:tc>
        <w:tc>
          <w:tcPr>
            <w:tcW w:w="960" w:type="dxa"/>
            <w:vAlign w:val="center"/>
          </w:tcPr>
          <w:p>
            <w:pPr>
              <w:keepNext w:val="0"/>
              <w:keepLines w:val="0"/>
              <w:pageBreakBefore w:val="0"/>
              <w:widowControl w:val="0"/>
              <w:suppressLineNumbers w:val="0"/>
              <w:tabs>
                <w:tab w:val="left" w:pos="5580"/>
              </w:tabs>
              <w:kinsoku/>
              <w:wordWrap/>
              <w:overflowPunct/>
              <w:topLinePunct w:val="0"/>
              <w:autoSpaceDE/>
              <w:autoSpaceDN/>
              <w:bidi w:val="0"/>
              <w:adjustRightInd/>
              <w:snapToGrid/>
              <w:spacing w:before="0" w:beforeAutospacing="0" w:after="0" w:afterAutospacing="0" w:line="400" w:lineRule="exact"/>
              <w:ind w:left="539" w:leftChars="0" w:right="0" w:hanging="539"/>
              <w:jc w:val="center"/>
              <w:textAlignment w:val="auto"/>
              <w:rPr>
                <w:rFonts w:hint="eastAsia" w:ascii="微软雅黑" w:hAnsi="微软雅黑" w:eastAsia="微软雅黑" w:cs="微软雅黑"/>
                <w:color w:val="auto"/>
                <w:sz w:val="24"/>
                <w:szCs w:val="24"/>
                <w:highlight w:val="none"/>
              </w:rPr>
            </w:pPr>
          </w:p>
        </w:tc>
      </w:tr>
    </w:tbl>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供应商名称（公章）：</w:t>
      </w:r>
      <w:r>
        <w:rPr>
          <w:rFonts w:hint="eastAsia" w:ascii="微软雅黑" w:hAnsi="微软雅黑" w:eastAsia="微软雅黑" w:cs="微软雅黑"/>
          <w:color w:val="auto"/>
          <w:sz w:val="24"/>
          <w:szCs w:val="24"/>
          <w:highlight w:val="none"/>
          <w:u w:val="single"/>
        </w:rPr>
        <w:t xml:space="preserve">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法定代表人或委托代理</w:t>
      </w:r>
      <w:r>
        <w:rPr>
          <w:rFonts w:hint="eastAsia" w:ascii="微软雅黑" w:hAnsi="微软雅黑" w:eastAsia="微软雅黑" w:cs="微软雅黑"/>
          <w:color w:val="auto"/>
          <w:sz w:val="24"/>
          <w:szCs w:val="24"/>
          <w:highlight w:val="none"/>
          <w:lang w:eastAsia="zh-CN"/>
        </w:rPr>
        <w:t>人</w:t>
      </w:r>
      <w:r>
        <w:rPr>
          <w:rFonts w:hint="eastAsia" w:ascii="微软雅黑" w:hAnsi="微软雅黑" w:eastAsia="微软雅黑" w:cs="微软雅黑"/>
          <w:color w:val="auto"/>
          <w:sz w:val="24"/>
          <w:szCs w:val="24"/>
          <w:highlight w:val="none"/>
        </w:rPr>
        <w:t>(签字</w:t>
      </w:r>
      <w:r>
        <w:rPr>
          <w:rFonts w:hint="eastAsia" w:ascii="微软雅黑" w:hAnsi="微软雅黑" w:eastAsia="微软雅黑" w:cs="微软雅黑"/>
          <w:color w:val="auto"/>
          <w:sz w:val="24"/>
          <w:szCs w:val="24"/>
          <w:highlight w:val="none"/>
          <w:lang w:val="en-US" w:eastAsia="zh-CN"/>
        </w:rPr>
        <w:t>或盖章</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u w:val="single"/>
        </w:rPr>
        <w:tab/>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741" w:leftChars="353"/>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注:1、此表中，投标总价应和投标分项报价表的总价相一致。</w:t>
      </w:r>
    </w:p>
    <w:p>
      <w:pPr>
        <w:pStyle w:val="13"/>
        <w:tabs>
          <w:tab w:val="left" w:pos="5580"/>
        </w:tabs>
        <w:spacing w:line="400" w:lineRule="exact"/>
        <w:ind w:left="741" w:leftChars="353"/>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、投标商报价时包含税费等一切与本次项目相关的费用。</w:t>
      </w:r>
    </w:p>
    <w:p>
      <w:pPr>
        <w:pStyle w:val="13"/>
        <w:tabs>
          <w:tab w:val="left" w:pos="5580"/>
        </w:tabs>
        <w:spacing w:line="240" w:lineRule="atLeast"/>
        <w:rPr>
          <w:rFonts w:hint="eastAsia" w:ascii="微软雅黑" w:hAnsi="微软雅黑" w:eastAsia="微软雅黑" w:cs="微软雅黑"/>
          <w:b/>
          <w:color w:val="auto"/>
          <w:sz w:val="24"/>
          <w:szCs w:val="24"/>
          <w:highlight w:val="none"/>
        </w:rPr>
      </w:pPr>
    </w:p>
    <w:p>
      <w:pPr>
        <w:pStyle w:val="13"/>
        <w:tabs>
          <w:tab w:val="left" w:pos="5580"/>
        </w:tabs>
        <w:spacing w:line="240" w:lineRule="atLeast"/>
        <w:rPr>
          <w:rFonts w:hint="eastAsia" w:ascii="微软雅黑" w:hAnsi="微软雅黑" w:eastAsia="微软雅黑" w:cs="微软雅黑"/>
          <w:b/>
          <w:color w:val="auto"/>
          <w:sz w:val="24"/>
          <w:szCs w:val="24"/>
          <w:highlight w:val="none"/>
        </w:rPr>
      </w:pPr>
    </w:p>
    <w:p>
      <w:pPr>
        <w:pStyle w:val="13"/>
        <w:tabs>
          <w:tab w:val="left" w:pos="5580"/>
        </w:tabs>
        <w:spacing w:line="240" w:lineRule="atLeast"/>
        <w:rPr>
          <w:rFonts w:hint="eastAsia" w:ascii="微软雅黑" w:hAnsi="微软雅黑" w:eastAsia="微软雅黑" w:cs="微软雅黑"/>
          <w:b/>
          <w:color w:val="auto"/>
          <w:sz w:val="24"/>
          <w:szCs w:val="24"/>
          <w:highlight w:val="none"/>
        </w:rPr>
      </w:pPr>
    </w:p>
    <w:p>
      <w:pPr>
        <w:pStyle w:val="13"/>
        <w:numPr>
          <w:ilvl w:val="0"/>
          <w:numId w:val="6"/>
        </w:numPr>
        <w:tabs>
          <w:tab w:val="left" w:pos="5580"/>
        </w:tabs>
        <w:spacing w:line="400" w:lineRule="exact"/>
        <w:jc w:val="left"/>
        <w:outlineLvl w:val="1"/>
        <w:rPr>
          <w:rFonts w:hint="eastAsia" w:ascii="微软雅黑" w:hAnsi="微软雅黑" w:eastAsia="微软雅黑" w:cs="微软雅黑"/>
          <w:b/>
          <w:color w:val="auto"/>
          <w:sz w:val="24"/>
          <w:szCs w:val="24"/>
          <w:highlight w:val="none"/>
        </w:rPr>
      </w:pPr>
      <w:bookmarkStart w:id="1119" w:name="_Toc26385"/>
      <w:bookmarkStart w:id="1120" w:name="_Toc26537"/>
      <w:r>
        <w:rPr>
          <w:rFonts w:hint="eastAsia" w:ascii="微软雅黑" w:hAnsi="微软雅黑" w:eastAsia="微软雅黑" w:cs="微软雅黑"/>
          <w:b/>
          <w:color w:val="auto"/>
          <w:sz w:val="24"/>
          <w:szCs w:val="24"/>
          <w:highlight w:val="none"/>
          <w:lang w:eastAsia="zh-CN"/>
        </w:rPr>
        <w:t>具有有效的营业执照</w:t>
      </w:r>
      <w:r>
        <w:rPr>
          <w:rFonts w:hint="eastAsia" w:ascii="微软雅黑" w:hAnsi="微软雅黑" w:eastAsia="微软雅黑" w:cs="微软雅黑"/>
          <w:b/>
          <w:color w:val="auto"/>
          <w:sz w:val="24"/>
          <w:szCs w:val="24"/>
          <w:highlight w:val="none"/>
        </w:rPr>
        <w:t>；</w:t>
      </w:r>
      <w:bookmarkEnd w:id="1119"/>
      <w:bookmarkEnd w:id="1120"/>
    </w:p>
    <w:p>
      <w:pPr>
        <w:pStyle w:val="13"/>
        <w:tabs>
          <w:tab w:val="left" w:pos="5580"/>
        </w:tabs>
        <w:spacing w:line="240" w:lineRule="atLeast"/>
        <w:jc w:val="center"/>
        <w:rPr>
          <w:rFonts w:hint="eastAsia" w:ascii="微软雅黑" w:hAnsi="微软雅黑" w:eastAsia="微软雅黑" w:cs="微软雅黑"/>
          <w:b/>
          <w:color w:val="auto"/>
          <w:sz w:val="24"/>
          <w:szCs w:val="24"/>
          <w:highlight w:val="none"/>
        </w:rPr>
      </w:pPr>
    </w:p>
    <w:p>
      <w:pPr>
        <w:pStyle w:val="13"/>
        <w:tabs>
          <w:tab w:val="left" w:pos="5580"/>
        </w:tabs>
        <w:spacing w:line="240" w:lineRule="atLeast"/>
        <w:jc w:val="center"/>
        <w:rPr>
          <w:rFonts w:hint="eastAsia" w:ascii="微软雅黑" w:hAnsi="微软雅黑" w:eastAsia="微软雅黑" w:cs="微软雅黑"/>
          <w:b/>
          <w:color w:val="auto"/>
          <w:sz w:val="24"/>
          <w:szCs w:val="24"/>
          <w:highlight w:val="none"/>
        </w:rPr>
      </w:pPr>
    </w:p>
    <w:p>
      <w:pPr>
        <w:pStyle w:val="13"/>
        <w:tabs>
          <w:tab w:val="left" w:pos="5580"/>
        </w:tabs>
        <w:spacing w:line="240" w:lineRule="atLeast"/>
        <w:jc w:val="center"/>
        <w:rPr>
          <w:rFonts w:hint="eastAsia" w:ascii="微软雅黑" w:hAnsi="微软雅黑" w:eastAsia="微软雅黑" w:cs="微软雅黑"/>
          <w:b/>
          <w:color w:val="auto"/>
          <w:sz w:val="24"/>
          <w:szCs w:val="24"/>
          <w:highlight w:val="none"/>
        </w:rPr>
      </w:pPr>
    </w:p>
    <w:p>
      <w:pPr>
        <w:pStyle w:val="2"/>
        <w:numPr>
          <w:ilvl w:val="0"/>
          <w:numId w:val="6"/>
        </w:numPr>
        <w:ind w:left="0" w:leftChars="0" w:firstLine="0" w:firstLineChars="0"/>
        <w:outlineLvl w:val="1"/>
        <w:rPr>
          <w:rFonts w:hint="eastAsia" w:ascii="微软雅黑" w:hAnsi="微软雅黑" w:eastAsia="微软雅黑" w:cs="微软雅黑"/>
          <w:b/>
          <w:color w:val="auto"/>
          <w:sz w:val="24"/>
          <w:szCs w:val="24"/>
          <w:highlight w:val="none"/>
          <w:lang w:eastAsia="zh-CN"/>
        </w:rPr>
      </w:pPr>
      <w:bookmarkStart w:id="1121" w:name="_Toc3066"/>
      <w:bookmarkStart w:id="1122" w:name="_Toc6321"/>
      <w:r>
        <w:rPr>
          <w:rFonts w:hint="eastAsia" w:ascii="微软雅黑" w:hAnsi="微软雅黑" w:eastAsia="微软雅黑" w:cs="微软雅黑"/>
          <w:b/>
          <w:color w:val="auto"/>
          <w:sz w:val="24"/>
          <w:szCs w:val="24"/>
          <w:highlight w:val="none"/>
          <w:lang w:eastAsia="zh-CN"/>
        </w:rPr>
        <w:t>投标供应商需具备有效期内的《林木种子生产许可证》或《林木种子经营许可证》和有效期内、经年审合格的《新疆维吾尔自治区林业植物检疫登记证》；</w:t>
      </w:r>
      <w:bookmarkEnd w:id="1121"/>
    </w:p>
    <w:p>
      <w:pPr>
        <w:pStyle w:val="4"/>
        <w:widowControl w:val="0"/>
        <w:numPr>
          <w:ilvl w:val="0"/>
          <w:numId w:val="0"/>
        </w:numPr>
        <w:autoSpaceDE w:val="0"/>
        <w:autoSpaceDN w:val="0"/>
        <w:adjustRightInd w:val="0"/>
        <w:jc w:val="left"/>
        <w:rPr>
          <w:rFonts w:hint="eastAsia"/>
          <w:highlight w:val="none"/>
          <w:lang w:eastAsia="zh-CN"/>
        </w:rPr>
      </w:pPr>
    </w:p>
    <w:p>
      <w:pPr>
        <w:pStyle w:val="5"/>
        <w:rPr>
          <w:rFonts w:hint="eastAsia"/>
          <w:highlight w:val="none"/>
          <w:lang w:eastAsia="zh-CN"/>
        </w:rPr>
      </w:pPr>
    </w:p>
    <w:p>
      <w:pPr>
        <w:rPr>
          <w:rFonts w:hint="eastAsia"/>
          <w:highlight w:val="none"/>
          <w:lang w:eastAsia="zh-CN"/>
        </w:rPr>
      </w:pPr>
    </w:p>
    <w:p>
      <w:pPr>
        <w:rPr>
          <w:rFonts w:hint="eastAsia"/>
          <w:highlight w:val="none"/>
          <w:lang w:eastAsia="zh-CN"/>
        </w:rPr>
      </w:pPr>
    </w:p>
    <w:p>
      <w:pPr>
        <w:pStyle w:val="2"/>
        <w:rPr>
          <w:rFonts w:hint="eastAsia"/>
          <w:highlight w:val="none"/>
          <w:lang w:eastAsia="zh-CN"/>
        </w:rPr>
      </w:pPr>
    </w:p>
    <w:p>
      <w:pPr>
        <w:pStyle w:val="4"/>
        <w:rPr>
          <w:rFonts w:hint="eastAsia"/>
          <w:highlight w:val="none"/>
          <w:lang w:eastAsia="zh-CN"/>
        </w:rPr>
      </w:pPr>
    </w:p>
    <w:p>
      <w:pPr>
        <w:pStyle w:val="5"/>
        <w:rPr>
          <w:rFonts w:hint="eastAsia"/>
          <w:highlight w:val="none"/>
          <w:lang w:eastAsia="zh-CN"/>
        </w:rPr>
      </w:pPr>
    </w:p>
    <w:p>
      <w:pPr>
        <w:rPr>
          <w:rFonts w:hint="eastAsia"/>
          <w:highlight w:val="none"/>
          <w:lang w:eastAsia="zh-CN"/>
        </w:rPr>
      </w:pPr>
    </w:p>
    <w:p>
      <w:pPr>
        <w:tabs>
          <w:tab w:val="left" w:pos="5580"/>
        </w:tabs>
        <w:spacing w:line="400" w:lineRule="exact"/>
        <w:outlineLvl w:val="1"/>
        <w:rPr>
          <w:rFonts w:hint="eastAsia" w:ascii="微软雅黑" w:hAnsi="微软雅黑" w:eastAsia="微软雅黑" w:cs="微软雅黑"/>
          <w:b/>
          <w:bCs/>
          <w:color w:val="auto"/>
          <w:sz w:val="24"/>
          <w:szCs w:val="24"/>
          <w:highlight w:val="none"/>
          <w:lang w:val="en-US" w:eastAsia="zh-CN"/>
        </w:rPr>
      </w:pPr>
      <w:bookmarkStart w:id="1123" w:name="_Toc27258"/>
      <w:r>
        <w:rPr>
          <w:rFonts w:hint="eastAsia" w:ascii="微软雅黑" w:hAnsi="微软雅黑" w:eastAsia="微软雅黑" w:cs="微软雅黑"/>
          <w:b/>
          <w:bCs/>
          <w:color w:val="auto"/>
          <w:sz w:val="24"/>
          <w:szCs w:val="24"/>
          <w:highlight w:val="none"/>
          <w:lang w:val="en-US" w:eastAsia="zh-CN"/>
        </w:rPr>
        <w:t>4、提供法定代表人资格证明及授权书、被授权人身份证；(法定代表人投标需提供法定代表人身份证)；</w:t>
      </w:r>
      <w:bookmarkEnd w:id="1122"/>
      <w:bookmarkEnd w:id="1123"/>
    </w:p>
    <w:p>
      <w:pPr>
        <w:adjustRightInd w:val="0"/>
        <w:snapToGrid w:val="0"/>
        <w:spacing w:before="240" w:beforeLines="100" w:after="240" w:afterLines="100" w:line="400" w:lineRule="exact"/>
        <w:jc w:val="center"/>
        <w:rPr>
          <w:rFonts w:hint="eastAsia" w:ascii="微软雅黑" w:hAnsi="微软雅黑" w:eastAsia="微软雅黑" w:cs="微软雅黑"/>
          <w:b/>
          <w:color w:val="auto"/>
          <w:sz w:val="24"/>
          <w:szCs w:val="24"/>
          <w:highlight w:val="none"/>
        </w:rPr>
      </w:pPr>
    </w:p>
    <w:p>
      <w:pPr>
        <w:adjustRightInd w:val="0"/>
        <w:snapToGrid w:val="0"/>
        <w:spacing w:before="240" w:beforeLines="100" w:after="240" w:afterLines="100" w:line="40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color w:val="auto"/>
          <w:sz w:val="24"/>
          <w:szCs w:val="24"/>
          <w:highlight w:val="none"/>
        </w:rPr>
        <w:t>法定代表人身份证明</w:t>
      </w:r>
    </w:p>
    <w:p>
      <w:pPr>
        <w:spacing w:line="40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同志，现任我单位          职务，为法定代表人，特此证明。</w:t>
      </w:r>
    </w:p>
    <w:p>
      <w:pPr>
        <w:spacing w:line="400" w:lineRule="exact"/>
        <w:ind w:firstLine="240" w:firstLineChars="1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身份证</w:t>
      </w:r>
      <w:r>
        <w:rPr>
          <w:rFonts w:hint="eastAsia" w:ascii="微软雅黑" w:hAnsi="微软雅黑" w:eastAsia="微软雅黑" w:cs="微软雅黑"/>
          <w:color w:val="auto"/>
          <w:sz w:val="24"/>
          <w:szCs w:val="24"/>
          <w:highlight w:val="none"/>
        </w:rPr>
        <w:t xml:space="preserve">签发日期：                              </w:t>
      </w:r>
    </w:p>
    <w:p>
      <w:pPr>
        <w:spacing w:line="400" w:lineRule="exact"/>
        <w:ind w:firstLine="240" w:firstLineChars="1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附：性别：            年龄：           </w:t>
      </w:r>
    </w:p>
    <w:p>
      <w:pPr>
        <w:spacing w:line="400" w:lineRule="exact"/>
        <w:ind w:firstLine="240" w:firstLineChars="1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联系电话：</w:t>
      </w:r>
    </w:p>
    <w:p>
      <w:pPr>
        <w:outlineLvl w:val="9"/>
        <w:rPr>
          <w:rFonts w:hint="eastAsia"/>
          <w:highlight w:val="none"/>
        </w:rPr>
      </w:pPr>
    </w:p>
    <w:p>
      <w:pP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2729230</wp:posOffset>
                </wp:positionH>
                <wp:positionV relativeFrom="paragraph">
                  <wp:posOffset>28575</wp:posOffset>
                </wp:positionV>
                <wp:extent cx="2266315" cy="1385570"/>
                <wp:effectExtent l="7620" t="7620" r="12065" b="8890"/>
                <wp:wrapNone/>
                <wp:docPr id="1026" name="圆角矩形 18"/>
                <wp:cNvGraphicFramePr/>
                <a:graphic xmlns:a="http://schemas.openxmlformats.org/drawingml/2006/main">
                  <a:graphicData uri="http://schemas.microsoft.com/office/word/2010/wordprocessingShape">
                    <wps:wsp>
                      <wps:cNvSpPr/>
                      <wps:spPr>
                        <a:xfrm>
                          <a:off x="0" y="0"/>
                          <a:ext cx="2266314" cy="138557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rPr>
                              <w:t>法定代表人身份</w:t>
                            </w:r>
                            <w:r>
                              <w:rPr>
                                <w:rFonts w:hint="eastAsia" w:hAnsi="宋体"/>
                                <w:szCs w:val="21"/>
                                <w:lang w:eastAsia="zh-CN"/>
                              </w:rPr>
                              <w:t>证</w:t>
                            </w:r>
                            <w:r>
                              <w:rPr>
                                <w:rFonts w:hint="eastAsia" w:hAnsi="宋体"/>
                                <w:szCs w:val="21"/>
                                <w:lang w:val="en-US" w:eastAsia="zh-CN"/>
                              </w:rPr>
                              <w:t>复印件</w:t>
                            </w:r>
                          </w:p>
                          <w:p/>
                          <w:p>
                            <w:pPr>
                              <w:pStyle w:val="4"/>
                            </w:pPr>
                          </w:p>
                          <w:p>
                            <w:pPr>
                              <w:pStyle w:val="4"/>
                            </w:pPr>
                          </w:p>
                          <w:p>
                            <w:pPr>
                              <w:pStyle w:val="4"/>
                            </w:pPr>
                          </w:p>
                          <w:p>
                            <w:pPr>
                              <w:pStyle w:val="4"/>
                            </w:pPr>
                          </w:p>
                        </w:txbxContent>
                      </wps:txbx>
                      <wps:bodyPr upright="1"/>
                    </wps:wsp>
                  </a:graphicData>
                </a:graphic>
              </wp:anchor>
            </w:drawing>
          </mc:Choice>
          <mc:Fallback>
            <w:pict>
              <v:roundrect id="圆角矩形 18" o:spid="_x0000_s1026" o:spt="2" style="position:absolute;left:0pt;margin-left:214.9pt;margin-top:2.25pt;height:109.1pt;width:178.45pt;z-index:251659264;mso-width-relative:page;mso-height-relative:page;" fillcolor="#FFFFFF" filled="t" stroked="t" coordsize="21600,21600" arcsize="0.166666666666667" o:gfxdata="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Zn6QvaAAAACQEAAA8AAAAAAAAAAQAgAAAAIgAAAGRycy9kb3ducmV2LnhtbFBL&#10;AQIUABQAAAAIAIdO4kAet4fULQIAAGYEAAAOAAAAAAAAAAEAIAAAACkBAABkcnMvZTJvRG9jLnht&#10;bFBLBQYAAAAABgAGAFkBAADI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rPr>
                        <w:t>法定代表人身份</w:t>
                      </w:r>
                      <w:r>
                        <w:rPr>
                          <w:rFonts w:hint="eastAsia" w:hAnsi="宋体"/>
                          <w:szCs w:val="21"/>
                          <w:lang w:eastAsia="zh-CN"/>
                        </w:rPr>
                        <w:t>证</w:t>
                      </w:r>
                      <w:r>
                        <w:rPr>
                          <w:rFonts w:hint="eastAsia" w:hAnsi="宋体"/>
                          <w:szCs w:val="21"/>
                          <w:lang w:val="en-US" w:eastAsia="zh-CN"/>
                        </w:rPr>
                        <w:t>复印件</w:t>
                      </w:r>
                    </w:p>
                    <w:p/>
                    <w:p>
                      <w:pPr>
                        <w:pStyle w:val="4"/>
                      </w:pPr>
                    </w:p>
                    <w:p>
                      <w:pPr>
                        <w:pStyle w:val="4"/>
                      </w:pPr>
                    </w:p>
                    <w:p>
                      <w:pPr>
                        <w:pStyle w:val="4"/>
                      </w:pPr>
                    </w:p>
                    <w:p>
                      <w:pPr>
                        <w:pStyle w:val="4"/>
                      </w:pPr>
                    </w:p>
                  </w:txbxContent>
                </v:textbox>
              </v:roundrect>
            </w:pict>
          </mc:Fallback>
        </mc:AlternateContent>
      </w: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52705</wp:posOffset>
                </wp:positionH>
                <wp:positionV relativeFrom="paragraph">
                  <wp:posOffset>10795</wp:posOffset>
                </wp:positionV>
                <wp:extent cx="2216150" cy="1375410"/>
                <wp:effectExtent l="4445" t="4445" r="19685" b="6985"/>
                <wp:wrapNone/>
                <wp:docPr id="1027" name="流程图: 可选过程 14"/>
                <wp:cNvGraphicFramePr/>
                <a:graphic xmlns:a="http://schemas.openxmlformats.org/drawingml/2006/main">
                  <a:graphicData uri="http://schemas.microsoft.com/office/word/2010/wordprocessingShape">
                    <wps:wsp>
                      <wps:cNvSpPr/>
                      <wps:spPr>
                        <a:xfrm>
                          <a:off x="0" y="0"/>
                          <a:ext cx="2216150" cy="1375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highlight w:val="none"/>
                              </w:rPr>
                              <w:t>法定代表人身份</w:t>
                            </w:r>
                            <w:r>
                              <w:rPr>
                                <w:rFonts w:hint="eastAsia" w:hAnsi="宋体"/>
                                <w:szCs w:val="21"/>
                              </w:rPr>
                              <w:t>证</w:t>
                            </w:r>
                            <w:r>
                              <w:rPr>
                                <w:rFonts w:hint="eastAsia" w:hAnsi="宋体"/>
                                <w:szCs w:val="21"/>
                                <w:lang w:val="en-US" w:eastAsia="zh-CN"/>
                              </w:rPr>
                              <w:t>复印件</w:t>
                            </w:r>
                          </w:p>
                        </w:txbxContent>
                      </wps:txbx>
                      <wps:bodyPr upright="1"/>
                    </wps:wsp>
                  </a:graphicData>
                </a:graphic>
              </wp:anchor>
            </w:drawing>
          </mc:Choice>
          <mc:Fallback>
            <w:pict>
              <v:shape id="流程图: 可选过程 14" o:spid="_x0000_s1026" o:spt="176" type="#_x0000_t176" style="position:absolute;left:0pt;margin-left:4.15pt;margin-top:0.85pt;height:108.3pt;width:174.5pt;z-index:251659264;mso-width-relative:page;mso-height-relative:page;" fillcolor="#FFFFFF" filled="t" stroked="t" coordsize="21600,21600" o:gfxdata="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QZS5zTAAAABwEAAA8AAAAAAAAAAQAgAAAAIgAAAGRycy9kb3ducmV2LnhtbFBLAQIUABQA&#10;AAAIAIdO4kD/w1QLLgIAAFQEAAAOAAAAAAAAAAEAIAAAACI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highlight w:val="none"/>
                        </w:rPr>
                        <w:t>法定代表人身份</w:t>
                      </w:r>
                      <w:r>
                        <w:rPr>
                          <w:rFonts w:hint="eastAsia" w:hAnsi="宋体"/>
                          <w:szCs w:val="21"/>
                        </w:rPr>
                        <w:t>证</w:t>
                      </w:r>
                      <w:r>
                        <w:rPr>
                          <w:rFonts w:hint="eastAsia" w:hAnsi="宋体"/>
                          <w:szCs w:val="21"/>
                          <w:lang w:val="en-US" w:eastAsia="zh-CN"/>
                        </w:rPr>
                        <w:t>复印件</w:t>
                      </w:r>
                    </w:p>
                  </w:txbxContent>
                </v:textbox>
              </v:shape>
            </w:pict>
          </mc:Fallback>
        </mc:AlternateContent>
      </w:r>
    </w:p>
    <w:p>
      <w:pPr>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color w:val="auto"/>
          <w:sz w:val="24"/>
          <w:szCs w:val="24"/>
          <w:highlight w:val="none"/>
        </w:rPr>
      </w:pPr>
    </w:p>
    <w:p>
      <w:pPr>
        <w:autoSpaceDE w:val="0"/>
        <w:autoSpaceDN w:val="0"/>
        <w:adjustRightInd w:val="0"/>
        <w:ind w:right="246"/>
        <w:rPr>
          <w:rFonts w:hint="eastAsia" w:ascii="微软雅黑" w:hAnsi="微软雅黑" w:eastAsia="微软雅黑" w:cs="微软雅黑"/>
          <w:color w:val="auto"/>
          <w:sz w:val="24"/>
          <w:szCs w:val="24"/>
          <w:highlight w:val="none"/>
        </w:rPr>
      </w:pPr>
    </w:p>
    <w:p>
      <w:pPr>
        <w:autoSpaceDE w:val="0"/>
        <w:autoSpaceDN w:val="0"/>
        <w:adjustRightInd w:val="0"/>
        <w:ind w:right="246" w:firstLine="784" w:firstLineChars="32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供应商（盖章）：                              </w:t>
      </w:r>
    </w:p>
    <w:p>
      <w:pPr>
        <w:adjustRightInd w:val="0"/>
        <w:snapToGrid w:val="0"/>
        <w:ind w:firstLine="784" w:firstLineChars="327"/>
        <w:rPr>
          <w:rFonts w:hint="eastAsia" w:ascii="微软雅黑" w:hAnsi="微软雅黑" w:eastAsia="微软雅黑" w:cs="微软雅黑"/>
          <w:color w:val="auto"/>
          <w:sz w:val="24"/>
          <w:szCs w:val="24"/>
          <w:highlight w:val="none"/>
        </w:rPr>
      </w:pPr>
    </w:p>
    <w:p>
      <w:pPr>
        <w:outlineLvl w:val="9"/>
        <w:rPr>
          <w:rFonts w:hint="eastAsia" w:ascii="微软雅黑" w:hAnsi="微软雅黑" w:eastAsia="微软雅黑" w:cs="微软雅黑"/>
          <w:b/>
          <w:bCs/>
          <w:color w:val="auto"/>
          <w:sz w:val="24"/>
          <w:szCs w:val="24"/>
          <w:highlight w:val="none"/>
          <w:u w:val="none"/>
          <w:lang w:eastAsia="zh-CN"/>
        </w:rPr>
      </w:pPr>
      <w:r>
        <w:rPr>
          <w:rFonts w:hint="eastAsia" w:ascii="微软雅黑" w:hAnsi="微软雅黑" w:eastAsia="微软雅黑" w:cs="微软雅黑"/>
          <w:b/>
          <w:bCs/>
          <w:color w:val="auto"/>
          <w:sz w:val="24"/>
          <w:szCs w:val="24"/>
          <w:highlight w:val="none"/>
          <w:u w:val="none"/>
          <w:lang w:eastAsia="zh-CN"/>
        </w:rPr>
        <w:t>注：须提供身份证正反面。</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供应商名称（公章）：</w:t>
      </w:r>
      <w:r>
        <w:rPr>
          <w:rFonts w:hint="eastAsia" w:ascii="微软雅黑" w:hAnsi="微软雅黑" w:eastAsia="微软雅黑" w:cs="微软雅黑"/>
          <w:color w:val="auto"/>
          <w:sz w:val="24"/>
          <w:szCs w:val="24"/>
          <w:highlight w:val="none"/>
          <w:u w:val="single"/>
        </w:rPr>
        <w:t xml:space="preserve">                       </w:t>
      </w:r>
    </w:p>
    <w:p>
      <w:pPr>
        <w:adjustRightInd w:val="0"/>
        <w:snapToGrid w:val="0"/>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法定代表人（签/章）：</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 xml:space="preserve">                    </w:t>
      </w:r>
    </w:p>
    <w:p>
      <w:pPr>
        <w:adjustRightInd w:val="0"/>
        <w:snapToGrid w:val="0"/>
        <w:spacing w:line="400" w:lineRule="exact"/>
        <w:ind w:firstLine="784" w:firstLineChars="32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日期：</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 xml:space="preserve">     </w:t>
      </w:r>
    </w:p>
    <w:p>
      <w:pPr>
        <w:adjustRightInd w:val="0"/>
        <w:snapToGrid w:val="0"/>
        <w:spacing w:line="400" w:lineRule="exact"/>
        <w:ind w:firstLine="784" w:firstLineChars="32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说明：1.供应商为自然人的，应提供身份证明的复印件。</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.联合体投标应提供联合体各方满足以上要求的证明文件。</w:t>
      </w:r>
      <w:bookmarkStart w:id="1124" w:name="_Toc6829"/>
      <w:bookmarkStart w:id="1125" w:name="_Toc22472"/>
      <w:bookmarkStart w:id="1126" w:name="_Toc21867"/>
      <w:bookmarkStart w:id="1127" w:name="_Toc13107"/>
      <w:bookmarkStart w:id="1128" w:name="_Toc1083"/>
      <w:bookmarkStart w:id="1129" w:name="_Toc5436"/>
      <w:bookmarkStart w:id="1130" w:name="_Toc515647807"/>
      <w:bookmarkStart w:id="1131" w:name="_Toc16640"/>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jc w:val="center"/>
        <w:textAlignment w:val="auto"/>
        <w:rPr>
          <w:rFonts w:hint="eastAsia" w:ascii="微软雅黑" w:hAnsi="微软雅黑" w:eastAsia="微软雅黑" w:cs="微软雅黑"/>
          <w:b/>
          <w:bCs/>
          <w:color w:val="auto"/>
          <w:sz w:val="24"/>
          <w:szCs w:val="24"/>
          <w:highlight w:val="none"/>
        </w:rPr>
      </w:pPr>
      <w:bookmarkStart w:id="1132" w:name="_Toc6179"/>
      <w:bookmarkStart w:id="1133" w:name="_Toc32380"/>
      <w:bookmarkStart w:id="1134" w:name="_Toc24769"/>
      <w:r>
        <w:rPr>
          <w:rFonts w:hint="eastAsia" w:ascii="微软雅黑" w:hAnsi="微软雅黑" w:eastAsia="微软雅黑" w:cs="微软雅黑"/>
          <w:b/>
          <w:bCs/>
          <w:color w:val="auto"/>
          <w:sz w:val="24"/>
          <w:szCs w:val="24"/>
          <w:highlight w:val="none"/>
        </w:rPr>
        <w:t>法定代表人授权委托书</w:t>
      </w:r>
      <w:bookmarkEnd w:id="1124"/>
      <w:bookmarkEnd w:id="1125"/>
      <w:bookmarkEnd w:id="1126"/>
      <w:bookmarkEnd w:id="1127"/>
      <w:bookmarkEnd w:id="1128"/>
      <w:bookmarkEnd w:id="1129"/>
      <w:bookmarkEnd w:id="1130"/>
      <w:bookmarkEnd w:id="1131"/>
      <w:bookmarkEnd w:id="1132"/>
      <w:bookmarkEnd w:id="1133"/>
      <w:bookmarkEnd w:id="1134"/>
      <w:bookmarkStart w:id="1135" w:name="_Toc7039"/>
      <w:bookmarkStart w:id="1136" w:name="_Toc515647808"/>
      <w:bookmarkStart w:id="1137" w:name="_Toc32520"/>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cr/>
      </w:r>
      <w:r>
        <w:rPr>
          <w:rFonts w:hint="eastAsia" w:ascii="微软雅黑" w:hAnsi="微软雅黑" w:eastAsia="微软雅黑" w:cs="微软雅黑"/>
          <w:color w:val="auto"/>
          <w:sz w:val="24"/>
          <w:szCs w:val="24"/>
          <w:highlight w:val="none"/>
        </w:rPr>
        <w:t xml:space="preserve">    本授权书声明：注册于（国家或地区的名称）的（供应商）的在下面签字的（法人代表姓名、职务）代表我单位授权（单位名称）的在下面签字的（被授权人的姓名、职务）为我单位的合法代理人，就（项目名称）的投标，以我单位名义处理一切与之有关的事务。</w:t>
      </w:r>
    </w:p>
    <w:p>
      <w:pPr>
        <w:pStyle w:val="13"/>
        <w:keepNext w:val="0"/>
        <w:keepLines w:val="0"/>
        <w:pageBreakBefore w:val="0"/>
        <w:widowControl w:val="0"/>
        <w:tabs>
          <w:tab w:val="left" w:pos="5580"/>
        </w:tabs>
        <w:kinsoku/>
        <w:wordWrap/>
        <w:overflowPunct/>
        <w:topLinePunct w:val="0"/>
        <w:autoSpaceDE/>
        <w:autoSpaceDN/>
        <w:bidi w:val="0"/>
        <w:adjustRightInd/>
        <w:snapToGrid/>
        <w:spacing w:line="400" w:lineRule="exact"/>
        <w:ind w:left="615" w:leftChars="228" w:hanging="136" w:hangingChars="57"/>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本授权书于           年     月     日签字生效,特此声明。</w:t>
      </w:r>
    </w:p>
    <w:p>
      <w:pPr>
        <w:pStyle w:val="13"/>
        <w:tabs>
          <w:tab w:val="left" w:pos="5580"/>
        </w:tabs>
        <w:spacing w:line="240" w:lineRule="atLeas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3039110</wp:posOffset>
                </wp:positionH>
                <wp:positionV relativeFrom="paragraph">
                  <wp:posOffset>97155</wp:posOffset>
                </wp:positionV>
                <wp:extent cx="2478405" cy="1387475"/>
                <wp:effectExtent l="7620" t="7620" r="13335" b="22225"/>
                <wp:wrapNone/>
                <wp:docPr id="1028" name="圆角矩形 15"/>
                <wp:cNvGraphicFramePr/>
                <a:graphic xmlns:a="http://schemas.openxmlformats.org/drawingml/2006/main">
                  <a:graphicData uri="http://schemas.microsoft.com/office/word/2010/wordprocessingShape">
                    <wps:wsp>
                      <wps:cNvSpPr/>
                      <wps:spPr>
                        <a:xfrm>
                          <a:off x="0" y="0"/>
                          <a:ext cx="2478405" cy="1387475"/>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rPr>
                                <w:rFonts w:hAnsi="宋体"/>
                              </w:rPr>
                            </w:pPr>
                          </w:p>
                          <w:p>
                            <w:pPr>
                              <w:rPr>
                                <w:rFonts w:hAnsi="宋体"/>
                              </w:rPr>
                            </w:pPr>
                          </w:p>
                          <w:p>
                            <w:pPr>
                              <w:rPr>
                                <w:rFonts w:hAnsi="宋体"/>
                              </w:rPr>
                            </w:pPr>
                          </w:p>
                          <w:p>
                            <w:pPr>
                              <w:ind w:firstLine="630" w:firstLineChars="300"/>
                              <w:jc w:val="both"/>
                            </w:pPr>
                            <w:r>
                              <w:rPr>
                                <w:rFonts w:hint="eastAsia" w:hAnsi="宋体"/>
                              </w:rPr>
                              <w:t>授权委托人身份证复印件</w:t>
                            </w:r>
                          </w:p>
                          <w:p/>
                        </w:txbxContent>
                      </wps:txbx>
                      <wps:bodyPr upright="1"/>
                    </wps:wsp>
                  </a:graphicData>
                </a:graphic>
              </wp:anchor>
            </w:drawing>
          </mc:Choice>
          <mc:Fallback>
            <w:pict>
              <v:roundrect id="圆角矩形 15" o:spid="_x0000_s1026" o:spt="2" style="position:absolute;left:0pt;margin-left:239.3pt;margin-top:7.65pt;height:109.25pt;width:195.15pt;z-index:251659264;mso-width-relative:page;mso-height-relative:page;" fillcolor="#FFFFFF" filled="t" stroked="t" coordsize="21600,21600" arcsize="0.166666666666667" o:gfxdata="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Bk62fbAAAACgEAAA8AAAAAAAAAAQAgAAAAIgAAAGRycy9kb3ducmV2LnhtbFBL&#10;AQIUABQAAAAIAIdO4kC/extPLAIAAGYEAAAOAAAAAAAAAAEAIAAAACoBAABkcnMvZTJvRG9jLnht&#10;bFBLBQYAAAAABgAGAFkBAADIBQ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pPr>
                        <w:ind w:firstLine="630" w:firstLineChars="300"/>
                        <w:jc w:val="both"/>
                      </w:pPr>
                      <w:r>
                        <w:rPr>
                          <w:rFonts w:hint="eastAsia" w:hAnsi="宋体"/>
                        </w:rPr>
                        <w:t>授权委托人身份证复印件</w:t>
                      </w:r>
                    </w:p>
                    <w:p/>
                  </w:txbxContent>
                </v:textbox>
              </v:roundrect>
            </w:pict>
          </mc:Fallback>
        </mc:AlternateContent>
      </w: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20955</wp:posOffset>
                </wp:positionH>
                <wp:positionV relativeFrom="paragraph">
                  <wp:posOffset>135890</wp:posOffset>
                </wp:positionV>
                <wp:extent cx="2507615" cy="1405890"/>
                <wp:effectExtent l="4445" t="4445" r="17780" b="6985"/>
                <wp:wrapNone/>
                <wp:docPr id="1029" name="流程图: 可选过程 19"/>
                <wp:cNvGraphicFramePr/>
                <a:graphic xmlns:a="http://schemas.openxmlformats.org/drawingml/2006/main">
                  <a:graphicData uri="http://schemas.microsoft.com/office/word/2010/wordprocessingShape">
                    <wps:wsp>
                      <wps:cNvSpPr/>
                      <wps:spPr>
                        <a:xfrm>
                          <a:off x="0" y="0"/>
                          <a:ext cx="2507615" cy="14058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rPr>
                                <w:rFonts w:hint="eastAsia" w:eastAsia="宋体"/>
                                <w:lang w:eastAsia="zh-CN"/>
                              </w:rPr>
                            </w:pPr>
                            <w:r>
                              <w:rPr>
                                <w:rFonts w:hint="eastAsia" w:hAnsi="宋体"/>
                              </w:rPr>
                              <w:t>授权委托人身份证复印</w:t>
                            </w:r>
                            <w:r>
                              <w:rPr>
                                <w:rFonts w:hint="eastAsia" w:hAnsi="宋体"/>
                                <w:lang w:eastAsia="zh-CN"/>
                              </w:rPr>
                              <w:t>件</w:t>
                            </w:r>
                          </w:p>
                        </w:txbxContent>
                      </wps:txbx>
                      <wps:bodyPr upright="1"/>
                    </wps:wsp>
                  </a:graphicData>
                </a:graphic>
              </wp:anchor>
            </w:drawing>
          </mc:Choice>
          <mc:Fallback>
            <w:pict>
              <v:shape id="流程图: 可选过程 19" o:spid="_x0000_s1026" o:spt="176" type="#_x0000_t176" style="position:absolute;left:0pt;margin-left:1.65pt;margin-top:10.7pt;height:110.7pt;width:197.45pt;z-index:251659264;mso-width-relative:page;mso-height-relative:page;" fillcolor="#FFFFFF" filled="t" stroked="t" coordsize="21600,21600" o:gfxdata="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OS6tt1wAAAAgBAAAPAAAAAAAAAAEAIAAAACIAAABkcnMvZG93bnJldi54bWxQSwEC&#10;FAAUAAAACACHTuJAbjjyqS4CAABUBAAADgAAAAAAAAABACAAAAAmAQAAZHJzL2Uyb0RvYy54bWxQ&#10;SwUGAAAAAAYABgBZAQAAxgU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rPr>
                          <w:rFonts w:hint="eastAsia" w:eastAsia="宋体"/>
                          <w:lang w:eastAsia="zh-CN"/>
                        </w:rPr>
                      </w:pPr>
                      <w:r>
                        <w:rPr>
                          <w:rFonts w:hint="eastAsia" w:hAnsi="宋体"/>
                        </w:rPr>
                        <w:t>授权委托人身份证复印</w:t>
                      </w:r>
                      <w:r>
                        <w:rPr>
                          <w:rFonts w:hint="eastAsia" w:hAnsi="宋体"/>
                          <w:lang w:eastAsia="zh-CN"/>
                        </w:rPr>
                        <w:t>件</w:t>
                      </w:r>
                    </w:p>
                  </w:txbxContent>
                </v:textbox>
              </v:shape>
            </w:pict>
          </mc:Fallback>
        </mc:AlternateContent>
      </w:r>
    </w:p>
    <w:p>
      <w:pPr>
        <w:pStyle w:val="13"/>
        <w:tabs>
          <w:tab w:val="left" w:pos="5580"/>
        </w:tabs>
        <w:spacing w:line="240" w:lineRule="atLeas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240" w:lineRule="atLeas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29845</wp:posOffset>
                </wp:positionH>
                <wp:positionV relativeFrom="paragraph">
                  <wp:posOffset>235585</wp:posOffset>
                </wp:positionV>
                <wp:extent cx="2555240" cy="1409065"/>
                <wp:effectExtent l="7620" t="7620" r="12700" b="15875"/>
                <wp:wrapNone/>
                <wp:docPr id="1030" name="圆角矩形 16"/>
                <wp:cNvGraphicFramePr/>
                <a:graphic xmlns:a="http://schemas.openxmlformats.org/drawingml/2006/main">
                  <a:graphicData uri="http://schemas.microsoft.com/office/word/2010/wordprocessingShape">
                    <wps:wsp>
                      <wps:cNvSpPr/>
                      <wps:spPr>
                        <a:xfrm>
                          <a:off x="0" y="0"/>
                          <a:ext cx="2555240" cy="1409065"/>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rPr>
                                <w:highlight w:val="none"/>
                              </w:rPr>
                            </w:pPr>
                            <w:r>
                              <w:rPr>
                                <w:rFonts w:hint="eastAsia" w:hAnsi="宋体"/>
                                <w:highlight w:val="none"/>
                              </w:rPr>
                              <w:t>法</w:t>
                            </w:r>
                            <w:r>
                              <w:rPr>
                                <w:rFonts w:hint="eastAsia" w:hAnsi="宋体"/>
                                <w:highlight w:val="none"/>
                                <w:lang w:eastAsia="zh-CN"/>
                              </w:rPr>
                              <w:t>定代表人</w:t>
                            </w:r>
                            <w:r>
                              <w:rPr>
                                <w:rFonts w:hint="eastAsia" w:hAnsi="宋体"/>
                                <w:highlight w:val="none"/>
                              </w:rPr>
                              <w:t>身份证复印件</w:t>
                            </w:r>
                          </w:p>
                          <w:p/>
                        </w:txbxContent>
                      </wps:txbx>
                      <wps:bodyPr upright="1"/>
                    </wps:wsp>
                  </a:graphicData>
                </a:graphic>
              </wp:anchor>
            </w:drawing>
          </mc:Choice>
          <mc:Fallback>
            <w:pict>
              <v:roundrect id="圆角矩形 16" o:spid="_x0000_s1026" o:spt="2" style="position:absolute;left:0pt;margin-left:2.35pt;margin-top:18.55pt;height:110.95pt;width:201.2pt;z-index:251659264;mso-width-relative:page;mso-height-relative:page;" fillcolor="#FFFFFF" filled="t" stroked="t" coordsize="21600,21600" arcsize="0.166666666666667" o:gfxdata="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1cJUzZAAAACAEAAA8AAAAAAAAAAQAgAAAAIgAAAGRycy9kb3ducmV2LnhtbFBLAQIU&#10;ABQAAAAIAIdO4kAwn2ooKwIAAGYEAAAOAAAAAAAAAAEAIAAAACgBAABkcnMvZTJvRG9jLnhtbFBL&#10;BQYAAAAABgAGAFkBAADFBQAAAAA=&#10;">
                <v:fill on="t" focussize="0,0"/>
                <v:stroke weight="1.25pt" color="#808080" joinstyle="round"/>
                <v:imagedata o:title=""/>
                <o:lock v:ext="edit" aspectratio="f"/>
                <v:textbox>
                  <w:txbxContent>
                    <w:p>
                      <w:pPr>
                        <w:jc w:val="center"/>
                        <w:rPr>
                          <w:rFonts w:hAnsi="宋体"/>
                        </w:rPr>
                      </w:pPr>
                    </w:p>
                    <w:p>
                      <w:pPr>
                        <w:jc w:val="center"/>
                        <w:rPr>
                          <w:rFonts w:hAnsi="宋体"/>
                        </w:rPr>
                      </w:pPr>
                    </w:p>
                    <w:p>
                      <w:pPr>
                        <w:jc w:val="center"/>
                        <w:rPr>
                          <w:rFonts w:hAnsi="宋体"/>
                        </w:rPr>
                      </w:pPr>
                    </w:p>
                    <w:p>
                      <w:pPr>
                        <w:jc w:val="center"/>
                        <w:rPr>
                          <w:highlight w:val="none"/>
                        </w:rPr>
                      </w:pPr>
                      <w:r>
                        <w:rPr>
                          <w:rFonts w:hint="eastAsia" w:hAnsi="宋体"/>
                          <w:highlight w:val="none"/>
                        </w:rPr>
                        <w:t>法</w:t>
                      </w:r>
                      <w:r>
                        <w:rPr>
                          <w:rFonts w:hint="eastAsia" w:hAnsi="宋体"/>
                          <w:highlight w:val="none"/>
                          <w:lang w:eastAsia="zh-CN"/>
                        </w:rPr>
                        <w:t>定代表人</w:t>
                      </w:r>
                      <w:r>
                        <w:rPr>
                          <w:rFonts w:hint="eastAsia" w:hAnsi="宋体"/>
                          <w:highlight w:val="none"/>
                        </w:rPr>
                        <w:t>身份证复印件</w:t>
                      </w:r>
                    </w:p>
                    <w:p/>
                  </w:txbxContent>
                </v:textbox>
              </v:roundrect>
            </w:pict>
          </mc:Fallback>
        </mc:AlternateContent>
      </w:r>
    </w:p>
    <w:p>
      <w:pPr>
        <w:pStyle w:val="13"/>
        <w:tabs>
          <w:tab w:val="left" w:pos="5580"/>
        </w:tabs>
        <w:spacing w:line="240" w:lineRule="atLeas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3028315</wp:posOffset>
                </wp:positionH>
                <wp:positionV relativeFrom="paragraph">
                  <wp:posOffset>140335</wp:posOffset>
                </wp:positionV>
                <wp:extent cx="2535555" cy="1252220"/>
                <wp:effectExtent l="7620" t="7620" r="17145" b="20320"/>
                <wp:wrapNone/>
                <wp:docPr id="1031" name="圆角矩形 13"/>
                <wp:cNvGraphicFramePr/>
                <a:graphic xmlns:a="http://schemas.openxmlformats.org/drawingml/2006/main">
                  <a:graphicData uri="http://schemas.microsoft.com/office/word/2010/wordprocessingShape">
                    <wps:wsp>
                      <wps:cNvSpPr/>
                      <wps:spPr>
                        <a:xfrm>
                          <a:off x="0" y="0"/>
                          <a:ext cx="2535554" cy="125222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r>
                              <w:rPr>
                                <w:rFonts w:hint="eastAsia" w:hAnsi="宋体"/>
                              </w:rPr>
                              <w:t xml:space="preserve">  </w:t>
                            </w:r>
                          </w:p>
                          <w:p>
                            <w:pPr>
                              <w:jc w:val="center"/>
                              <w:rPr>
                                <w:rFonts w:hAnsi="宋体"/>
                              </w:rPr>
                            </w:pPr>
                          </w:p>
                          <w:p>
                            <w:pPr>
                              <w:jc w:val="center"/>
                              <w:rPr>
                                <w:rFonts w:hAnsi="宋体"/>
                              </w:rPr>
                            </w:pPr>
                          </w:p>
                          <w:p>
                            <w:pPr>
                              <w:jc w:val="center"/>
                            </w:pPr>
                            <w:r>
                              <w:rPr>
                                <w:rFonts w:hint="eastAsia" w:hAnsi="宋体"/>
                                <w:lang w:eastAsia="zh-CN"/>
                              </w:rPr>
                              <w:t>法定代表人</w:t>
                            </w:r>
                            <w:r>
                              <w:rPr>
                                <w:rFonts w:hint="eastAsia" w:hAnsi="宋体"/>
                              </w:rPr>
                              <w:t>身份证复印件</w:t>
                            </w:r>
                          </w:p>
                          <w:p/>
                        </w:txbxContent>
                      </wps:txbx>
                      <wps:bodyPr upright="1"/>
                    </wps:wsp>
                  </a:graphicData>
                </a:graphic>
              </wp:anchor>
            </w:drawing>
          </mc:Choice>
          <mc:Fallback>
            <w:pict>
              <v:roundrect id="圆角矩形 13" o:spid="_x0000_s1026" o:spt="2" style="position:absolute;left:0pt;margin-left:238.45pt;margin-top:11.05pt;height:98.6pt;width:199.65pt;z-index:251659264;mso-width-relative:page;mso-height-relative:page;" fillcolor="#FFFFFF" filled="t" stroked="t" coordsize="21600,21600" arcsize="0.166666666666667" o:gfxdata="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bhb8+2wAAAAoBAAAPAAAAAAAAAAEAIAAAACIAAABkcnMvZG93bnJldi54bWxQ&#10;SwECFAAUAAAACACHTuJA1/Zebi0CAABmBAAADgAAAAAAAAABACAAAAAqAQAAZHJzL2Uyb0RvYy54&#10;bWxQSwUGAAAAAAYABgBZAQAAyQ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jc w:val="center"/>
                        <w:rPr>
                          <w:rFonts w:hAnsi="宋体"/>
                        </w:rPr>
                      </w:pPr>
                    </w:p>
                    <w:p>
                      <w:pPr>
                        <w:jc w:val="center"/>
                        <w:rPr>
                          <w:rFonts w:hAnsi="宋体"/>
                        </w:rPr>
                      </w:pPr>
                    </w:p>
                    <w:p>
                      <w:pPr>
                        <w:jc w:val="center"/>
                      </w:pPr>
                      <w:r>
                        <w:rPr>
                          <w:rFonts w:hint="eastAsia" w:hAnsi="宋体"/>
                          <w:lang w:eastAsia="zh-CN"/>
                        </w:rPr>
                        <w:t>法定代表人</w:t>
                      </w:r>
                      <w:r>
                        <w:rPr>
                          <w:rFonts w:hint="eastAsia" w:hAnsi="宋体"/>
                        </w:rPr>
                        <w:t>身份证复印件</w:t>
                      </w:r>
                    </w:p>
                    <w:p/>
                  </w:txbxContent>
                </v:textbox>
              </v:roundrect>
            </w:pict>
          </mc:Fallback>
        </mc:AlternateContent>
      </w: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供应商（公章）;                           </w:t>
      </w:r>
    </w:p>
    <w:p>
      <w:pPr>
        <w:pStyle w:val="13"/>
        <w:tabs>
          <w:tab w:val="left" w:pos="5580"/>
        </w:tabs>
        <w:spacing w:line="240" w:lineRule="atLeas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240" w:lineRule="atLeast"/>
        <w:ind w:left="1080" w:leftChars="257" w:hanging="540"/>
        <w:rPr>
          <w:rFonts w:hint="eastAsia" w:ascii="微软雅黑" w:hAnsi="微软雅黑" w:eastAsia="微软雅黑" w:cs="微软雅黑"/>
          <w:color w:val="auto"/>
          <w:sz w:val="24"/>
          <w:szCs w:val="24"/>
          <w:highlight w:val="none"/>
        </w:rPr>
      </w:pPr>
    </w:p>
    <w:p>
      <w:pPr>
        <w:ind w:firstLine="480" w:firstLineChars="200"/>
        <w:outlineLvl w:val="9"/>
        <w:rPr>
          <w:rFonts w:hint="eastAsia" w:ascii="微软雅黑" w:hAnsi="微软雅黑" w:eastAsia="微软雅黑" w:cs="微软雅黑"/>
          <w:b/>
          <w:bCs/>
          <w:color w:val="auto"/>
          <w:sz w:val="24"/>
          <w:szCs w:val="24"/>
          <w:highlight w:val="none"/>
          <w:u w:val="none"/>
          <w:lang w:eastAsia="zh-CN"/>
        </w:rPr>
      </w:pPr>
      <w:r>
        <w:rPr>
          <w:rFonts w:hint="eastAsia" w:ascii="微软雅黑" w:hAnsi="微软雅黑" w:eastAsia="微软雅黑" w:cs="微软雅黑"/>
          <w:b/>
          <w:bCs/>
          <w:color w:val="auto"/>
          <w:sz w:val="24"/>
          <w:szCs w:val="24"/>
          <w:highlight w:val="none"/>
          <w:u w:val="none"/>
          <w:lang w:eastAsia="zh-CN"/>
        </w:rPr>
        <w:t>注：须提供身份证正反面。</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供应商名称（公章）：</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法定代表人（签/章）：</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u w:val="single"/>
          <w:lang w:val="en-US" w:eastAsia="zh-CN"/>
        </w:rPr>
      </w:pPr>
      <w:r>
        <w:rPr>
          <w:rFonts w:hint="eastAsia" w:ascii="微软雅黑" w:hAnsi="微软雅黑" w:eastAsia="微软雅黑" w:cs="微软雅黑"/>
          <w:color w:val="auto"/>
          <w:sz w:val="24"/>
          <w:szCs w:val="24"/>
          <w:highlight w:val="none"/>
        </w:rPr>
        <w:t>身份证号码：</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委托代理人（签/章）：                                </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身份证号码：                                 </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详细通讯地址：                               </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邮 政 编 码 ：                               </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传　　　　真：                              </w:t>
      </w: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电　　　　话：     </w:t>
      </w:r>
      <w:bookmarkEnd w:id="1135"/>
      <w:bookmarkEnd w:id="1136"/>
      <w:bookmarkEnd w:id="1137"/>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p>
    <w:p>
      <w:pPr>
        <w:pStyle w:val="13"/>
        <w:tabs>
          <w:tab w:val="left" w:pos="5580"/>
        </w:tabs>
        <w:spacing w:line="400" w:lineRule="exact"/>
        <w:ind w:left="1079" w:leftChars="257" w:hanging="539"/>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rPr>
        <w:br w:type="page"/>
      </w:r>
    </w:p>
    <w:p>
      <w:pPr>
        <w:pStyle w:val="2"/>
        <w:spacing w:line="400" w:lineRule="exact"/>
        <w:ind w:firstLine="0" w:firstLineChars="0"/>
        <w:outlineLvl w:val="1"/>
        <w:rPr>
          <w:rFonts w:hint="eastAsia" w:ascii="微软雅黑" w:hAnsi="微软雅黑" w:eastAsia="微软雅黑" w:cs="微软雅黑"/>
          <w:b/>
          <w:color w:val="auto"/>
          <w:kern w:val="0"/>
          <w:sz w:val="24"/>
          <w:szCs w:val="24"/>
          <w:highlight w:val="none"/>
        </w:rPr>
      </w:pPr>
      <w:bookmarkStart w:id="1138" w:name="_Toc30168"/>
      <w:r>
        <w:rPr>
          <w:rFonts w:hint="eastAsia" w:ascii="微软雅黑" w:hAnsi="微软雅黑" w:eastAsia="微软雅黑" w:cs="微软雅黑"/>
          <w:b/>
          <w:color w:val="auto"/>
          <w:kern w:val="0"/>
          <w:sz w:val="24"/>
          <w:szCs w:val="24"/>
          <w:highlight w:val="none"/>
          <w:lang w:val="en-US" w:eastAsia="zh-CN"/>
        </w:rPr>
        <w:t>5、</w:t>
      </w:r>
      <w:bookmarkStart w:id="1139" w:name="_Toc15796"/>
      <w:r>
        <w:rPr>
          <w:rFonts w:hint="eastAsia" w:ascii="微软雅黑" w:hAnsi="微软雅黑" w:eastAsia="微软雅黑" w:cs="微软雅黑"/>
          <w:b/>
          <w:color w:val="auto"/>
          <w:kern w:val="0"/>
          <w:sz w:val="24"/>
          <w:szCs w:val="24"/>
          <w:highlight w:val="none"/>
          <w:lang w:eastAsia="zh-CN"/>
        </w:rPr>
        <w:t>提近两年任意一年的财务审计报告，新成立的公司提供近三个月内任意一个月的银行资信证明</w:t>
      </w:r>
      <w:r>
        <w:rPr>
          <w:rFonts w:hint="eastAsia" w:ascii="微软雅黑" w:hAnsi="微软雅黑" w:eastAsia="微软雅黑" w:cs="微软雅黑"/>
          <w:b/>
          <w:color w:val="auto"/>
          <w:kern w:val="0"/>
          <w:sz w:val="24"/>
          <w:szCs w:val="24"/>
          <w:highlight w:val="none"/>
        </w:rPr>
        <w:t>；</w:t>
      </w:r>
      <w:bookmarkEnd w:id="1138"/>
      <w:bookmarkEnd w:id="1139"/>
    </w:p>
    <w:p>
      <w:pPr>
        <w:pStyle w:val="2"/>
        <w:spacing w:line="400" w:lineRule="exact"/>
        <w:ind w:firstLine="0" w:firstLineChars="0"/>
        <w:rPr>
          <w:rFonts w:hint="eastAsia" w:ascii="微软雅黑" w:hAnsi="微软雅黑" w:eastAsia="微软雅黑" w:cs="微软雅黑"/>
          <w:b/>
          <w:color w:val="auto"/>
          <w:kern w:val="0"/>
          <w:sz w:val="24"/>
          <w:szCs w:val="24"/>
          <w:highlight w:val="none"/>
        </w:rPr>
      </w:pPr>
    </w:p>
    <w:p>
      <w:pPr>
        <w:pStyle w:val="2"/>
        <w:spacing w:line="400" w:lineRule="exact"/>
        <w:ind w:firstLine="0" w:firstLineChars="0"/>
        <w:rPr>
          <w:rFonts w:hint="eastAsia" w:ascii="微软雅黑" w:hAnsi="微软雅黑" w:eastAsia="微软雅黑" w:cs="微软雅黑"/>
          <w:b/>
          <w:color w:val="auto"/>
          <w:kern w:val="0"/>
          <w:sz w:val="24"/>
          <w:szCs w:val="24"/>
          <w:highlight w:val="none"/>
        </w:rPr>
      </w:pPr>
    </w:p>
    <w:p>
      <w:pPr>
        <w:pStyle w:val="2"/>
        <w:spacing w:line="400" w:lineRule="exact"/>
        <w:ind w:firstLine="0" w:firstLineChars="0"/>
        <w:rPr>
          <w:rFonts w:hint="eastAsia" w:ascii="微软雅黑" w:hAnsi="微软雅黑" w:eastAsia="微软雅黑" w:cs="微软雅黑"/>
          <w:b/>
          <w:color w:val="auto"/>
          <w:kern w:val="0"/>
          <w:sz w:val="24"/>
          <w:szCs w:val="24"/>
          <w:highlight w:val="none"/>
        </w:rPr>
      </w:pPr>
    </w:p>
    <w:p>
      <w:pPr>
        <w:pStyle w:val="2"/>
        <w:numPr>
          <w:ilvl w:val="0"/>
          <w:numId w:val="0"/>
        </w:numPr>
        <w:spacing w:line="400" w:lineRule="exact"/>
        <w:outlineLvl w:val="1"/>
        <w:rPr>
          <w:rFonts w:hint="eastAsia" w:ascii="微软雅黑" w:hAnsi="微软雅黑" w:eastAsia="微软雅黑" w:cs="微软雅黑"/>
          <w:b/>
          <w:color w:val="auto"/>
          <w:kern w:val="0"/>
          <w:sz w:val="24"/>
          <w:szCs w:val="24"/>
          <w:highlight w:val="none"/>
        </w:rPr>
      </w:pPr>
      <w:bookmarkStart w:id="1140" w:name="_Toc22192"/>
      <w:bookmarkStart w:id="1141" w:name="_Toc914"/>
      <w:r>
        <w:rPr>
          <w:rFonts w:hint="eastAsia" w:ascii="微软雅黑" w:hAnsi="微软雅黑" w:eastAsia="微软雅黑" w:cs="微软雅黑"/>
          <w:b/>
          <w:color w:val="auto"/>
          <w:kern w:val="0"/>
          <w:sz w:val="24"/>
          <w:szCs w:val="24"/>
          <w:highlight w:val="none"/>
          <w:lang w:val="en-US" w:eastAsia="zh-CN"/>
        </w:rPr>
        <w:t>6、</w:t>
      </w:r>
      <w:r>
        <w:rPr>
          <w:rFonts w:hint="eastAsia" w:ascii="微软雅黑" w:hAnsi="微软雅黑" w:eastAsia="微软雅黑" w:cs="微软雅黑"/>
          <w:b/>
          <w:color w:val="auto"/>
          <w:kern w:val="0"/>
          <w:sz w:val="24"/>
          <w:szCs w:val="24"/>
          <w:highlight w:val="none"/>
          <w:lang w:eastAsia="zh-CN"/>
        </w:rPr>
        <w:t>提供依法缴纳2022年至2023年内连续6个月的社保证明及明细</w:t>
      </w:r>
      <w:r>
        <w:rPr>
          <w:rFonts w:hint="eastAsia" w:ascii="微软雅黑" w:hAnsi="微软雅黑" w:eastAsia="微软雅黑" w:cs="微软雅黑"/>
          <w:b/>
          <w:color w:val="auto"/>
          <w:kern w:val="0"/>
          <w:sz w:val="24"/>
          <w:szCs w:val="24"/>
          <w:highlight w:val="none"/>
        </w:rPr>
        <w:t>；</w:t>
      </w:r>
      <w:bookmarkEnd w:id="1140"/>
      <w:bookmarkEnd w:id="1141"/>
    </w:p>
    <w:p>
      <w:pPr>
        <w:pStyle w:val="2"/>
        <w:widowControl w:val="0"/>
        <w:numPr>
          <w:ilvl w:val="0"/>
          <w:numId w:val="0"/>
        </w:numPr>
        <w:spacing w:line="400" w:lineRule="exact"/>
        <w:jc w:val="both"/>
        <w:rPr>
          <w:rFonts w:hint="eastAsia" w:ascii="微软雅黑" w:hAnsi="微软雅黑" w:eastAsia="微软雅黑" w:cs="微软雅黑"/>
          <w:b/>
          <w:color w:val="auto"/>
          <w:kern w:val="0"/>
          <w:sz w:val="24"/>
          <w:szCs w:val="24"/>
          <w:highlight w:val="none"/>
        </w:rPr>
      </w:pPr>
    </w:p>
    <w:p>
      <w:pPr>
        <w:pStyle w:val="2"/>
        <w:widowControl w:val="0"/>
        <w:numPr>
          <w:ilvl w:val="0"/>
          <w:numId w:val="0"/>
        </w:numPr>
        <w:spacing w:line="400" w:lineRule="exact"/>
        <w:jc w:val="both"/>
        <w:rPr>
          <w:rFonts w:hint="eastAsia" w:ascii="微软雅黑" w:hAnsi="微软雅黑" w:eastAsia="微软雅黑" w:cs="微软雅黑"/>
          <w:b/>
          <w:color w:val="auto"/>
          <w:kern w:val="0"/>
          <w:sz w:val="24"/>
          <w:szCs w:val="24"/>
          <w:highlight w:val="none"/>
        </w:rPr>
      </w:pPr>
    </w:p>
    <w:p>
      <w:pPr>
        <w:pStyle w:val="2"/>
        <w:widowControl w:val="0"/>
        <w:numPr>
          <w:ilvl w:val="0"/>
          <w:numId w:val="0"/>
        </w:numPr>
        <w:spacing w:line="400" w:lineRule="exact"/>
        <w:jc w:val="both"/>
        <w:rPr>
          <w:rFonts w:hint="eastAsia" w:ascii="微软雅黑" w:hAnsi="微软雅黑" w:eastAsia="微软雅黑" w:cs="微软雅黑"/>
          <w:b/>
          <w:color w:val="auto"/>
          <w:kern w:val="0"/>
          <w:sz w:val="24"/>
          <w:szCs w:val="24"/>
          <w:highlight w:val="none"/>
        </w:rPr>
      </w:pPr>
    </w:p>
    <w:p>
      <w:pPr>
        <w:pStyle w:val="2"/>
        <w:spacing w:line="400" w:lineRule="exact"/>
        <w:ind w:firstLine="0" w:firstLineChars="0"/>
        <w:outlineLvl w:val="1"/>
        <w:rPr>
          <w:rFonts w:hint="eastAsia" w:ascii="微软雅黑" w:hAnsi="微软雅黑" w:eastAsia="微软雅黑" w:cs="微软雅黑"/>
          <w:color w:val="auto"/>
          <w:sz w:val="24"/>
          <w:szCs w:val="24"/>
          <w:highlight w:val="none"/>
        </w:rPr>
      </w:pPr>
      <w:bookmarkStart w:id="1142" w:name="_Toc7573"/>
      <w:bookmarkStart w:id="1143" w:name="_Toc30357"/>
      <w:r>
        <w:rPr>
          <w:rFonts w:hint="eastAsia" w:ascii="微软雅黑" w:hAnsi="微软雅黑" w:eastAsia="微软雅黑" w:cs="微软雅黑"/>
          <w:b/>
          <w:color w:val="auto"/>
          <w:kern w:val="0"/>
          <w:sz w:val="24"/>
          <w:szCs w:val="24"/>
          <w:highlight w:val="none"/>
          <w:lang w:val="en-US" w:eastAsia="zh-CN"/>
        </w:rPr>
        <w:t>7</w:t>
      </w: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eastAsia="zh-CN"/>
        </w:rPr>
        <w:t>提供税务部门出具2022年至2023年内连续6个月的的完税证明</w:t>
      </w:r>
      <w:r>
        <w:rPr>
          <w:rFonts w:hint="eastAsia" w:ascii="微软雅黑" w:hAnsi="微软雅黑" w:eastAsia="微软雅黑" w:cs="微软雅黑"/>
          <w:b/>
          <w:bCs/>
          <w:color w:val="auto"/>
          <w:sz w:val="24"/>
          <w:szCs w:val="24"/>
          <w:highlight w:val="none"/>
          <w:lang w:val="en-US" w:eastAsia="zh-CN"/>
        </w:rPr>
        <w:t>；</w:t>
      </w:r>
      <w:bookmarkEnd w:id="1142"/>
      <w:bookmarkEnd w:id="1143"/>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ind w:left="1080" w:leftChars="257" w:hanging="540"/>
        <w:rPr>
          <w:rFonts w:hint="eastAsia" w:ascii="微软雅黑" w:hAnsi="微软雅黑" w:eastAsia="微软雅黑" w:cs="微软雅黑"/>
          <w:b/>
          <w:color w:val="auto"/>
          <w:kern w:val="0"/>
          <w:sz w:val="24"/>
          <w:szCs w:val="24"/>
          <w:highlight w:val="none"/>
        </w:rPr>
      </w:pPr>
    </w:p>
    <w:p>
      <w:pPr>
        <w:spacing w:line="400" w:lineRule="exact"/>
        <w:outlineLvl w:val="1"/>
        <w:rPr>
          <w:rFonts w:hint="eastAsia" w:ascii="微软雅黑" w:hAnsi="微软雅黑" w:eastAsia="微软雅黑" w:cs="微软雅黑"/>
          <w:b/>
          <w:color w:val="auto"/>
          <w:kern w:val="0"/>
          <w:sz w:val="24"/>
          <w:szCs w:val="24"/>
          <w:highlight w:val="none"/>
          <w:lang w:val="en-US" w:eastAsia="zh-CN"/>
        </w:rPr>
      </w:pPr>
      <w:bookmarkStart w:id="1144" w:name="_Toc5258"/>
      <w:bookmarkStart w:id="1145" w:name="_Toc19945"/>
      <w:r>
        <w:rPr>
          <w:rFonts w:hint="eastAsia" w:ascii="微软雅黑" w:hAnsi="微软雅黑" w:eastAsia="微软雅黑" w:cs="微软雅黑"/>
          <w:b/>
          <w:color w:val="auto"/>
          <w:kern w:val="0"/>
          <w:sz w:val="24"/>
          <w:szCs w:val="24"/>
          <w:highlight w:val="none"/>
          <w:lang w:val="en-US" w:eastAsia="zh-CN"/>
        </w:rPr>
        <w:t>8</w:t>
      </w:r>
      <w:r>
        <w:rPr>
          <w:rFonts w:hint="eastAsia" w:ascii="微软雅黑" w:hAnsi="微软雅黑" w:eastAsia="微软雅黑" w:cs="微软雅黑"/>
          <w:b/>
          <w:color w:val="auto"/>
          <w:kern w:val="0"/>
          <w:sz w:val="24"/>
          <w:szCs w:val="24"/>
          <w:highlight w:val="none"/>
        </w:rPr>
        <w:t>、</w:t>
      </w:r>
      <w:bookmarkEnd w:id="1144"/>
      <w:r>
        <w:rPr>
          <w:rFonts w:hint="eastAsia" w:ascii="微软雅黑" w:hAnsi="微软雅黑" w:eastAsia="微软雅黑" w:cs="微软雅黑"/>
          <w:b/>
          <w:color w:val="auto"/>
          <w:kern w:val="0"/>
          <w:sz w:val="24"/>
          <w:szCs w:val="24"/>
          <w:highlight w:val="none"/>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截图，“国家企业信用信息公示系统（http://www.gsxt.gov.cn）”列入严重违法失信企业名单（黑名单）信息截图；将拒绝其参加本次招标活动；</w:t>
      </w:r>
      <w:bookmarkEnd w:id="1145"/>
    </w:p>
    <w:p>
      <w:pPr>
        <w:pStyle w:val="13"/>
        <w:tabs>
          <w:tab w:val="left" w:pos="5580"/>
        </w:tabs>
        <w:spacing w:line="400" w:lineRule="exact"/>
        <w:ind w:left="1080" w:leftChars="257" w:hanging="540"/>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ageBreakBefore w:val="0"/>
        <w:widowControl w:val="0"/>
        <w:kinsoku/>
        <w:wordWrap/>
        <w:overflowPunct/>
        <w:topLinePunct w:val="0"/>
        <w:bidi w:val="0"/>
        <w:spacing w:line="360" w:lineRule="exact"/>
        <w:textAlignment w:val="auto"/>
        <w:outlineLvl w:val="1"/>
        <w:rPr>
          <w:rFonts w:hint="eastAsia" w:ascii="微软雅黑" w:hAnsi="微软雅黑" w:eastAsia="微软雅黑" w:cs="微软雅黑"/>
          <w:b/>
          <w:bCs/>
          <w:color w:val="auto"/>
          <w:sz w:val="24"/>
          <w:szCs w:val="24"/>
          <w:highlight w:val="none"/>
          <w:lang w:val="en-US" w:eastAsia="zh-CN"/>
        </w:rPr>
      </w:pPr>
      <w:bookmarkStart w:id="1146" w:name="_Toc10758"/>
      <w:bookmarkStart w:id="1147" w:name="_Toc18226"/>
      <w:r>
        <w:rPr>
          <w:rFonts w:hint="eastAsia" w:ascii="微软雅黑" w:hAnsi="微软雅黑" w:eastAsia="微软雅黑" w:cs="微软雅黑"/>
          <w:b/>
          <w:color w:val="auto"/>
          <w:kern w:val="0"/>
          <w:sz w:val="24"/>
          <w:szCs w:val="24"/>
          <w:highlight w:val="none"/>
          <w:lang w:val="en-US" w:eastAsia="zh-CN"/>
        </w:rPr>
        <w:t>9</w:t>
      </w:r>
      <w:r>
        <w:rPr>
          <w:rFonts w:hint="eastAsia" w:ascii="微软雅黑" w:hAnsi="微软雅黑" w:eastAsia="微软雅黑" w:cs="微软雅黑"/>
          <w:b/>
          <w:color w:val="auto"/>
          <w:kern w:val="0"/>
          <w:sz w:val="24"/>
          <w:szCs w:val="24"/>
          <w:highlight w:val="none"/>
        </w:rPr>
        <w:t>、提供参与政府采购活动前3年内未被列入失信、重大税收违法案件、财政部门禁止参加政府采购活动的承诺书</w:t>
      </w:r>
      <w:r>
        <w:rPr>
          <w:rFonts w:hint="eastAsia" w:ascii="微软雅黑" w:hAnsi="微软雅黑" w:eastAsia="微软雅黑" w:cs="微软雅黑"/>
          <w:b/>
          <w:bCs/>
          <w:color w:val="auto"/>
          <w:sz w:val="24"/>
          <w:szCs w:val="24"/>
          <w:highlight w:val="none"/>
          <w:lang w:val="en-US" w:eastAsia="zh-CN"/>
        </w:rPr>
        <w:t>；</w:t>
      </w:r>
      <w:bookmarkEnd w:id="1146"/>
      <w:bookmarkEnd w:id="1147"/>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outlineLvl w:val="1"/>
        <w:rPr>
          <w:rFonts w:hint="eastAsia" w:ascii="微软雅黑" w:hAnsi="微软雅黑" w:eastAsia="微软雅黑" w:cs="微软雅黑"/>
          <w:b/>
          <w:color w:val="auto"/>
          <w:kern w:val="0"/>
          <w:sz w:val="24"/>
          <w:szCs w:val="24"/>
          <w:highlight w:val="none"/>
        </w:rPr>
      </w:pPr>
      <w:bookmarkStart w:id="1148" w:name="_Toc21968"/>
      <w:bookmarkStart w:id="1149" w:name="_Toc14673"/>
      <w:r>
        <w:rPr>
          <w:rFonts w:hint="eastAsia" w:ascii="微软雅黑" w:hAnsi="微软雅黑" w:eastAsia="微软雅黑" w:cs="微软雅黑"/>
          <w:b/>
          <w:color w:val="auto"/>
          <w:kern w:val="0"/>
          <w:sz w:val="24"/>
          <w:szCs w:val="24"/>
          <w:highlight w:val="none"/>
          <w:lang w:val="en-US" w:eastAsia="zh-CN"/>
        </w:rPr>
        <w:t>10</w:t>
      </w: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val="en-US" w:eastAsia="zh-CN"/>
        </w:rPr>
        <w:t>提供针对本次项目《反商业贿赂承诺书》</w:t>
      </w:r>
      <w:r>
        <w:rPr>
          <w:rFonts w:hint="eastAsia" w:ascii="微软雅黑" w:hAnsi="微软雅黑" w:eastAsia="微软雅黑" w:cs="微软雅黑"/>
          <w:b/>
          <w:color w:val="auto"/>
          <w:kern w:val="0"/>
          <w:sz w:val="24"/>
          <w:szCs w:val="24"/>
          <w:highlight w:val="none"/>
        </w:rPr>
        <w:t>；</w:t>
      </w:r>
      <w:bookmarkEnd w:id="1148"/>
      <w:bookmarkEnd w:id="1149"/>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numPr>
          <w:ilvl w:val="0"/>
          <w:numId w:val="0"/>
        </w:numPr>
        <w:outlineLvl w:val="1"/>
        <w:rPr>
          <w:rFonts w:hint="eastAsia" w:ascii="微软雅黑" w:hAnsi="微软雅黑" w:eastAsia="微软雅黑" w:cs="微软雅黑"/>
          <w:color w:val="auto"/>
          <w:sz w:val="24"/>
          <w:szCs w:val="24"/>
          <w:highlight w:val="none"/>
        </w:rPr>
      </w:pPr>
      <w:bookmarkStart w:id="1150" w:name="_Toc30110"/>
      <w:bookmarkStart w:id="1151" w:name="_Toc15302"/>
      <w:r>
        <w:rPr>
          <w:rFonts w:hint="eastAsia" w:ascii="微软雅黑" w:hAnsi="微软雅黑" w:eastAsia="微软雅黑" w:cs="微软雅黑"/>
          <w:b/>
          <w:color w:val="auto"/>
          <w:kern w:val="0"/>
          <w:sz w:val="24"/>
          <w:szCs w:val="24"/>
          <w:highlight w:val="none"/>
          <w:lang w:val="en-US" w:eastAsia="zh-CN"/>
        </w:rPr>
        <w:t>11</w:t>
      </w:r>
      <w:r>
        <w:rPr>
          <w:rFonts w:hint="eastAsia" w:ascii="微软雅黑" w:hAnsi="微软雅黑" w:eastAsia="微软雅黑" w:cs="微软雅黑"/>
          <w:b/>
          <w:color w:val="auto"/>
          <w:kern w:val="0"/>
          <w:sz w:val="24"/>
          <w:szCs w:val="24"/>
          <w:highlight w:val="none"/>
        </w:rPr>
        <w:t>、</w:t>
      </w:r>
      <w:bookmarkEnd w:id="1150"/>
      <w:r>
        <w:rPr>
          <w:rFonts w:hint="eastAsia" w:ascii="微软雅黑" w:hAnsi="微软雅黑" w:eastAsia="微软雅黑" w:cs="微软雅黑"/>
          <w:b/>
          <w:bCs/>
          <w:color w:val="auto"/>
          <w:sz w:val="24"/>
          <w:szCs w:val="24"/>
          <w:highlight w:val="none"/>
          <w:lang w:val="en-US" w:eastAsia="zh-CN"/>
        </w:rPr>
        <w:t>缴纳投标保证金有效凭证；</w:t>
      </w:r>
      <w:bookmarkEnd w:id="1151"/>
    </w:p>
    <w:tbl>
      <w:tblPr>
        <w:tblStyle w:val="25"/>
        <w:tblpPr w:leftFromText="180" w:rightFromText="180" w:vertAnchor="text" w:horzAnchor="page" w:tblpXSpec="center" w:tblpY="393"/>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7879" w:type="dxa"/>
          </w:tcPr>
          <w:p>
            <w:pPr>
              <w:keepNext w:val="0"/>
              <w:keepLines w:val="0"/>
              <w:suppressLineNumbers w:val="0"/>
              <w:shd w:val="clear" w:color="auto" w:fill="auto"/>
              <w:snapToGrid w:val="0"/>
              <w:spacing w:before="0" w:beforeAutospacing="0" w:after="0" w:afterAutospacing="0" w:line="360" w:lineRule="exact"/>
              <w:ind w:left="0" w:right="0"/>
              <w:jc w:val="both"/>
              <w:textAlignment w:val="baseline"/>
              <w:rPr>
                <w:rFonts w:hint="eastAsia" w:ascii="微软雅黑" w:hAnsi="微软雅黑" w:eastAsia="微软雅黑" w:cs="微软雅黑"/>
                <w:b w:val="0"/>
                <w:i w:val="0"/>
                <w:caps w:val="0"/>
                <w:color w:val="auto"/>
                <w:spacing w:val="0"/>
                <w:w w:val="100"/>
                <w:sz w:val="24"/>
                <w:szCs w:val="24"/>
                <w:highlight w:val="none"/>
              </w:rPr>
            </w:pPr>
          </w:p>
          <w:p>
            <w:pPr>
              <w:keepNext w:val="0"/>
              <w:keepLines w:val="0"/>
              <w:suppressLineNumbers w:val="0"/>
              <w:shd w:val="clear" w:color="auto" w:fill="auto"/>
              <w:snapToGrid w:val="0"/>
              <w:spacing w:before="0" w:beforeAutospacing="0" w:after="0" w:afterAutospacing="0" w:line="360" w:lineRule="exact"/>
              <w:ind w:left="0" w:right="0"/>
              <w:jc w:val="both"/>
              <w:textAlignment w:val="baseline"/>
              <w:rPr>
                <w:rFonts w:hint="eastAsia" w:ascii="微软雅黑" w:hAnsi="微软雅黑" w:eastAsia="微软雅黑" w:cs="微软雅黑"/>
                <w:b w:val="0"/>
                <w:i w:val="0"/>
                <w:caps w:val="0"/>
                <w:color w:val="auto"/>
                <w:spacing w:val="0"/>
                <w:w w:val="100"/>
                <w:sz w:val="24"/>
                <w:szCs w:val="24"/>
                <w:highlight w:val="none"/>
              </w:rPr>
            </w:pPr>
          </w:p>
          <w:p>
            <w:pPr>
              <w:keepNext w:val="0"/>
              <w:keepLines w:val="0"/>
              <w:suppressLineNumbers w:val="0"/>
              <w:shd w:val="clear" w:color="auto" w:fill="auto"/>
              <w:snapToGrid w:val="0"/>
              <w:spacing w:before="0" w:beforeAutospacing="0" w:after="0" w:afterAutospacing="0" w:line="360" w:lineRule="exact"/>
              <w:ind w:left="0" w:right="0"/>
              <w:jc w:val="center"/>
              <w:textAlignment w:val="baseline"/>
              <w:rPr>
                <w:rFonts w:hint="eastAsia" w:ascii="微软雅黑" w:hAnsi="微软雅黑" w:eastAsia="微软雅黑" w:cs="微软雅黑"/>
                <w:b w:val="0"/>
                <w:i w:val="0"/>
                <w:caps w:val="0"/>
                <w:color w:val="auto"/>
                <w:spacing w:val="0"/>
                <w:w w:val="100"/>
                <w:sz w:val="24"/>
                <w:szCs w:val="24"/>
                <w:highlight w:val="none"/>
                <w:lang w:eastAsia="zh-CN"/>
              </w:rPr>
            </w:pPr>
            <w:r>
              <w:rPr>
                <w:rFonts w:hint="eastAsia" w:ascii="微软雅黑" w:hAnsi="微软雅黑" w:eastAsia="微软雅黑" w:cs="微软雅黑"/>
                <w:b w:val="0"/>
                <w:i w:val="0"/>
                <w:caps w:val="0"/>
                <w:color w:val="auto"/>
                <w:spacing w:val="0"/>
                <w:w w:val="100"/>
                <w:sz w:val="24"/>
                <w:szCs w:val="24"/>
                <w:highlight w:val="none"/>
                <w:lang w:eastAsia="zh-CN"/>
              </w:rPr>
              <w:t>缴纳投标保证金的有效凭证</w:t>
            </w:r>
            <w:r>
              <w:rPr>
                <w:rFonts w:hint="eastAsia" w:ascii="微软雅黑" w:hAnsi="微软雅黑" w:eastAsia="微软雅黑" w:cs="微软雅黑"/>
                <w:b w:val="0"/>
                <w:i w:val="0"/>
                <w:caps w:val="0"/>
                <w:color w:val="auto"/>
                <w:spacing w:val="0"/>
                <w:w w:val="100"/>
                <w:sz w:val="24"/>
                <w:szCs w:val="24"/>
                <w:highlight w:val="none"/>
              </w:rPr>
              <w:t>复印件</w:t>
            </w:r>
            <w:r>
              <w:rPr>
                <w:rFonts w:hint="eastAsia" w:ascii="微软雅黑" w:hAnsi="微软雅黑" w:eastAsia="微软雅黑" w:cs="微软雅黑"/>
                <w:b w:val="0"/>
                <w:i w:val="0"/>
                <w:caps w:val="0"/>
                <w:color w:val="auto"/>
                <w:spacing w:val="0"/>
                <w:w w:val="100"/>
                <w:sz w:val="24"/>
                <w:szCs w:val="24"/>
                <w:highlight w:val="none"/>
                <w:lang w:eastAsia="zh-CN"/>
              </w:rPr>
              <w:t>（银行回执单或保函</w:t>
            </w:r>
            <w:r>
              <w:rPr>
                <w:rFonts w:hint="eastAsia" w:ascii="微软雅黑" w:hAnsi="微软雅黑" w:eastAsia="微软雅黑" w:cs="微软雅黑"/>
                <w:b w:val="0"/>
                <w:i w:val="0"/>
                <w:caps w:val="0"/>
                <w:color w:val="auto"/>
                <w:spacing w:val="0"/>
                <w:w w:val="100"/>
                <w:sz w:val="24"/>
                <w:szCs w:val="24"/>
                <w:highlight w:val="none"/>
                <w:lang w:val="en-US" w:eastAsia="zh-CN"/>
              </w:rPr>
              <w:t>及收据</w:t>
            </w:r>
            <w:r>
              <w:rPr>
                <w:rFonts w:hint="eastAsia" w:ascii="微软雅黑" w:hAnsi="微软雅黑" w:eastAsia="微软雅黑" w:cs="微软雅黑"/>
                <w:b w:val="0"/>
                <w:i w:val="0"/>
                <w:caps w:val="0"/>
                <w:color w:val="auto"/>
                <w:spacing w:val="0"/>
                <w:w w:val="100"/>
                <w:sz w:val="24"/>
                <w:szCs w:val="24"/>
                <w:highlight w:val="none"/>
                <w:lang w:eastAsia="zh-CN"/>
              </w:rPr>
              <w:t>）</w:t>
            </w:r>
          </w:p>
        </w:tc>
      </w:tr>
    </w:tbl>
    <w:p>
      <w:pPr>
        <w:pStyle w:val="19"/>
        <w:rPr>
          <w:rFonts w:hint="eastAsia" w:ascii="微软雅黑" w:hAnsi="微软雅黑" w:eastAsia="微软雅黑" w:cs="微软雅黑"/>
          <w:color w:val="auto"/>
          <w:sz w:val="24"/>
          <w:szCs w:val="24"/>
          <w:highlight w:val="none"/>
        </w:rPr>
      </w:pPr>
    </w:p>
    <w:p>
      <w:pPr>
        <w:shd w:val="clear" w:color="auto" w:fill="auto"/>
        <w:snapToGrid w:val="0"/>
        <w:spacing w:before="0" w:beforeAutospacing="0" w:after="0" w:afterAutospacing="0" w:line="360" w:lineRule="exact"/>
        <w:jc w:val="both"/>
        <w:textAlignment w:val="baseline"/>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rPr>
        <w:t>注：本项目以</w:t>
      </w:r>
      <w:r>
        <w:rPr>
          <w:rFonts w:hint="eastAsia" w:ascii="微软雅黑" w:hAnsi="微软雅黑" w:eastAsia="微软雅黑" w:cs="微软雅黑"/>
          <w:b/>
          <w:bCs/>
          <w:i w:val="0"/>
          <w:caps w:val="0"/>
          <w:color w:val="auto"/>
          <w:spacing w:val="0"/>
          <w:w w:val="100"/>
          <w:sz w:val="24"/>
          <w:szCs w:val="24"/>
          <w:highlight w:val="none"/>
          <w:lang w:eastAsia="zh-CN"/>
        </w:rPr>
        <w:t>缴纳投标保证金的有效凭证</w:t>
      </w:r>
      <w:r>
        <w:rPr>
          <w:rFonts w:hint="eastAsia" w:ascii="微软雅黑" w:hAnsi="微软雅黑" w:eastAsia="微软雅黑" w:cs="微软雅黑"/>
          <w:b/>
          <w:bCs/>
          <w:i w:val="0"/>
          <w:caps w:val="0"/>
          <w:color w:val="auto"/>
          <w:spacing w:val="0"/>
          <w:w w:val="100"/>
          <w:sz w:val="24"/>
          <w:szCs w:val="24"/>
          <w:highlight w:val="none"/>
        </w:rPr>
        <w:t>复印件盖公章为准；</w:t>
      </w:r>
    </w:p>
    <w:p>
      <w:pPr>
        <w:pStyle w:val="13"/>
        <w:tabs>
          <w:tab w:val="left" w:pos="5580"/>
        </w:tabs>
        <w:spacing w:line="400" w:lineRule="exact"/>
        <w:ind w:left="540" w:leftChars="257"/>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rPr>
          <w:rFonts w:hint="eastAsia" w:ascii="微软雅黑" w:hAnsi="微软雅黑" w:eastAsia="微软雅黑" w:cs="微软雅黑"/>
          <w:b/>
          <w:color w:val="auto"/>
          <w:kern w:val="0"/>
          <w:sz w:val="24"/>
          <w:szCs w:val="24"/>
          <w:highlight w:val="none"/>
        </w:rPr>
      </w:pPr>
    </w:p>
    <w:p>
      <w:pPr>
        <w:pStyle w:val="13"/>
        <w:tabs>
          <w:tab w:val="left" w:pos="5580"/>
        </w:tabs>
        <w:spacing w:line="400" w:lineRule="exact"/>
        <w:outlineLvl w:val="1"/>
        <w:rPr>
          <w:rFonts w:hint="eastAsia" w:ascii="微软雅黑" w:hAnsi="微软雅黑" w:eastAsia="微软雅黑" w:cs="微软雅黑"/>
          <w:b/>
          <w:color w:val="auto"/>
          <w:kern w:val="0"/>
          <w:sz w:val="24"/>
          <w:szCs w:val="24"/>
          <w:highlight w:val="none"/>
          <w:lang w:eastAsia="zh-CN"/>
        </w:rPr>
      </w:pPr>
      <w:bookmarkStart w:id="1152" w:name="_Toc29687"/>
      <w:bookmarkStart w:id="1153" w:name="_Toc13801"/>
      <w:r>
        <w:rPr>
          <w:rFonts w:hint="eastAsia" w:ascii="微软雅黑" w:hAnsi="微软雅黑" w:eastAsia="微软雅黑" w:cs="微软雅黑"/>
          <w:b/>
          <w:bCs/>
          <w:color w:val="auto"/>
          <w:sz w:val="24"/>
          <w:szCs w:val="24"/>
          <w:highlight w:val="none"/>
          <w:lang w:val="en-US" w:eastAsia="zh-CN"/>
        </w:rPr>
        <w:t>12、</w:t>
      </w:r>
      <w:r>
        <w:rPr>
          <w:rFonts w:hint="eastAsia" w:ascii="微软雅黑" w:hAnsi="微软雅黑" w:eastAsia="微软雅黑" w:cs="微软雅黑"/>
          <w:b/>
          <w:color w:val="auto"/>
          <w:kern w:val="0"/>
          <w:sz w:val="24"/>
          <w:szCs w:val="24"/>
          <w:highlight w:val="none"/>
        </w:rPr>
        <w:t>银行开户许可证复印件或银行基本账户信息(包含：银行账号及开户行名称）</w:t>
      </w:r>
      <w:r>
        <w:rPr>
          <w:rFonts w:hint="eastAsia" w:ascii="微软雅黑" w:hAnsi="微软雅黑" w:eastAsia="微软雅黑" w:cs="微软雅黑"/>
          <w:b/>
          <w:color w:val="auto"/>
          <w:kern w:val="0"/>
          <w:sz w:val="24"/>
          <w:szCs w:val="24"/>
          <w:highlight w:val="none"/>
          <w:lang w:eastAsia="zh-CN"/>
        </w:rPr>
        <w:t>；</w:t>
      </w:r>
      <w:bookmarkEnd w:id="1152"/>
    </w:p>
    <w:bookmarkEnd w:id="1153"/>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numPr>
          <w:ilvl w:val="0"/>
          <w:numId w:val="0"/>
        </w:numPr>
        <w:outlineLvl w:val="1"/>
        <w:rPr>
          <w:rFonts w:hint="eastAsia" w:ascii="微软雅黑" w:hAnsi="微软雅黑" w:eastAsia="微软雅黑" w:cs="微软雅黑"/>
          <w:b/>
          <w:color w:val="auto"/>
          <w:kern w:val="0"/>
          <w:sz w:val="24"/>
          <w:szCs w:val="24"/>
          <w:highlight w:val="none"/>
          <w:lang w:val="en-US" w:eastAsia="zh-CN" w:bidi="ar-SA"/>
        </w:rPr>
      </w:pPr>
      <w:bookmarkStart w:id="1154" w:name="_Toc19935"/>
      <w:bookmarkStart w:id="1155" w:name="_Toc32268"/>
      <w:r>
        <w:rPr>
          <w:rFonts w:hint="eastAsia" w:ascii="微软雅黑" w:hAnsi="微软雅黑" w:eastAsia="微软雅黑" w:cs="微软雅黑"/>
          <w:b/>
          <w:bCs/>
          <w:color w:val="auto"/>
          <w:sz w:val="24"/>
          <w:szCs w:val="24"/>
          <w:highlight w:val="none"/>
          <w:lang w:val="en-US" w:eastAsia="zh-CN"/>
        </w:rPr>
        <w:t>13</w:t>
      </w:r>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b/>
          <w:color w:val="auto"/>
          <w:kern w:val="0"/>
          <w:sz w:val="24"/>
          <w:szCs w:val="24"/>
          <w:highlight w:val="none"/>
          <w:lang w:val="en-US" w:eastAsia="zh-CN" w:bidi="ar-SA"/>
        </w:rPr>
        <w:t>供应商可提供有利于投标的其他资格证明材料。</w:t>
      </w:r>
      <w:bookmarkEnd w:id="1154"/>
      <w:bookmarkEnd w:id="1155"/>
    </w:p>
    <w:p>
      <w:pPr>
        <w:rPr>
          <w:rFonts w:hint="eastAsia" w:ascii="微软雅黑" w:hAnsi="微软雅黑" w:eastAsia="微软雅黑" w:cs="微软雅黑"/>
          <w:b/>
          <w:color w:val="auto"/>
          <w:kern w:val="0"/>
          <w:sz w:val="24"/>
          <w:szCs w:val="24"/>
          <w:highlight w:val="none"/>
        </w:rPr>
      </w:pPr>
    </w:p>
    <w:p>
      <w:pPr>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br w:type="page"/>
      </w:r>
    </w:p>
    <w:p>
      <w:pPr>
        <w:pStyle w:val="7"/>
        <w:spacing w:before="0" w:line="400" w:lineRule="exact"/>
        <w:ind w:left="540" w:leftChars="257"/>
        <w:jc w:val="center"/>
        <w:rPr>
          <w:rFonts w:hint="eastAsia" w:ascii="微软雅黑" w:hAnsi="微软雅黑" w:eastAsia="微软雅黑" w:cs="微软雅黑"/>
          <w:color w:val="auto"/>
          <w:sz w:val="28"/>
          <w:szCs w:val="28"/>
          <w:highlight w:val="none"/>
        </w:rPr>
      </w:pPr>
      <w:bookmarkStart w:id="1156" w:name="_Toc4650"/>
      <w:bookmarkStart w:id="1157" w:name="_Toc30238"/>
      <w:r>
        <w:rPr>
          <w:rFonts w:hint="eastAsia" w:ascii="微软雅黑" w:hAnsi="微软雅黑" w:eastAsia="微软雅黑" w:cs="微软雅黑"/>
          <w:color w:val="auto"/>
          <w:sz w:val="28"/>
          <w:szCs w:val="28"/>
          <w:highlight w:val="none"/>
        </w:rPr>
        <w:t>第二部分  商务及技术文件</w:t>
      </w:r>
      <w:bookmarkEnd w:id="1156"/>
      <w:bookmarkEnd w:id="1157"/>
    </w:p>
    <w:p>
      <w:pPr>
        <w:pStyle w:val="13"/>
        <w:spacing w:line="400" w:lineRule="exact"/>
        <w:ind w:left="1079" w:leftChars="257" w:hanging="53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1、投标书</w:t>
      </w:r>
    </w:p>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2、投标分项报价表</w:t>
      </w:r>
    </w:p>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lang w:val="en-US" w:eastAsia="zh-CN"/>
        </w:rPr>
        <w:t>货物说明一览表</w:t>
      </w:r>
    </w:p>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w:t>
      </w:r>
      <w:r>
        <w:rPr>
          <w:rFonts w:hint="eastAsia" w:ascii="微软雅黑" w:hAnsi="微软雅黑" w:eastAsia="微软雅黑" w:cs="微软雅黑"/>
          <w:color w:val="auto"/>
          <w:sz w:val="24"/>
          <w:szCs w:val="24"/>
          <w:highlight w:val="none"/>
          <w:lang w:val="en-US" w:eastAsia="zh-CN"/>
        </w:rPr>
        <w:t>技术</w:t>
      </w:r>
      <w:r>
        <w:rPr>
          <w:rFonts w:hint="eastAsia" w:ascii="微软雅黑" w:hAnsi="微软雅黑" w:eastAsia="微软雅黑" w:cs="微软雅黑"/>
          <w:color w:val="auto"/>
          <w:sz w:val="24"/>
          <w:szCs w:val="24"/>
          <w:highlight w:val="none"/>
        </w:rPr>
        <w:t>规格偏离表</w:t>
      </w:r>
    </w:p>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5、商务条款偏离表</w:t>
      </w:r>
    </w:p>
    <w:p>
      <w:pPr>
        <w:pStyle w:val="13"/>
        <w:spacing w:line="400" w:lineRule="exact"/>
        <w:ind w:left="311" w:leftChars="148" w:firstLine="228"/>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6-1中小企业声明函</w:t>
      </w:r>
    </w:p>
    <w:p>
      <w:pPr>
        <w:pStyle w:val="13"/>
        <w:spacing w:line="400" w:lineRule="exact"/>
        <w:ind w:left="311" w:leftChars="148" w:firstLine="228"/>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6-2《残疾人福利性单位声明函》</w:t>
      </w:r>
    </w:p>
    <w:p>
      <w:pPr>
        <w:pStyle w:val="13"/>
        <w:spacing w:line="400" w:lineRule="exact"/>
        <w:ind w:left="311" w:leftChars="148" w:firstLine="228"/>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7、供应商关联单位的说明</w:t>
      </w:r>
    </w:p>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w:t>
      </w:r>
      <w:bookmarkStart w:id="1158" w:name="_Toc2041"/>
      <w:bookmarkStart w:id="1159" w:name="_Toc515647817"/>
      <w:bookmarkStart w:id="1160" w:name="_Toc14915"/>
      <w:r>
        <w:rPr>
          <w:rFonts w:hint="eastAsia" w:ascii="微软雅黑" w:hAnsi="微软雅黑" w:eastAsia="微软雅黑" w:cs="微软雅黑"/>
          <w:color w:val="auto"/>
          <w:sz w:val="24"/>
          <w:szCs w:val="24"/>
          <w:highlight w:val="none"/>
        </w:rPr>
        <w:t>供应商可提供有利于投标的其他资格证明材料</w:t>
      </w:r>
    </w:p>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9</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投标文件格式范本</w:t>
      </w:r>
    </w:p>
    <w:p>
      <w:pPr>
        <w:spacing w:line="360" w:lineRule="auto"/>
        <w:rPr>
          <w:rFonts w:hint="eastAsia" w:ascii="微软雅黑" w:hAnsi="微软雅黑" w:eastAsia="微软雅黑" w:cs="微软雅黑"/>
          <w:b/>
          <w:bCs/>
          <w:color w:val="auto"/>
          <w:sz w:val="24"/>
          <w:szCs w:val="24"/>
          <w:highlight w:val="none"/>
        </w:rPr>
      </w:pPr>
    </w:p>
    <w:p>
      <w:pPr>
        <w:pStyle w:val="4"/>
        <w:rPr>
          <w:rFonts w:hint="eastAsia" w:ascii="微软雅黑" w:hAnsi="微软雅黑" w:eastAsia="微软雅黑" w:cs="微软雅黑"/>
          <w:b/>
          <w:bCs/>
          <w:color w:val="auto"/>
          <w:sz w:val="24"/>
          <w:szCs w:val="24"/>
          <w:highlight w:val="none"/>
        </w:rPr>
      </w:pPr>
    </w:p>
    <w:p>
      <w:pPr>
        <w:pStyle w:val="4"/>
        <w:rPr>
          <w:rFonts w:hint="eastAsia" w:ascii="微软雅黑" w:hAnsi="微软雅黑" w:eastAsia="微软雅黑" w:cs="微软雅黑"/>
          <w:b/>
          <w:bCs/>
          <w:color w:val="auto"/>
          <w:sz w:val="24"/>
          <w:szCs w:val="24"/>
          <w:highlight w:val="none"/>
        </w:rPr>
      </w:pPr>
    </w:p>
    <w:p>
      <w:pPr>
        <w:pStyle w:val="4"/>
        <w:rPr>
          <w:rFonts w:hint="eastAsia" w:ascii="微软雅黑" w:hAnsi="微软雅黑" w:eastAsia="微软雅黑" w:cs="微软雅黑"/>
          <w:b/>
          <w:bCs/>
          <w:color w:val="auto"/>
          <w:sz w:val="24"/>
          <w:szCs w:val="24"/>
          <w:highlight w:val="none"/>
        </w:rPr>
      </w:pPr>
    </w:p>
    <w:p>
      <w:pPr>
        <w:pStyle w:val="4"/>
        <w:rPr>
          <w:rFonts w:hint="eastAsia" w:ascii="微软雅黑" w:hAnsi="微软雅黑" w:eastAsia="微软雅黑" w:cs="微软雅黑"/>
          <w:b/>
          <w:bCs/>
          <w:color w:val="auto"/>
          <w:sz w:val="24"/>
          <w:szCs w:val="24"/>
          <w:highlight w:val="none"/>
        </w:rPr>
      </w:pPr>
    </w:p>
    <w:p>
      <w:pPr>
        <w:pStyle w:val="4"/>
        <w:rPr>
          <w:rFonts w:hint="eastAsia" w:ascii="微软雅黑" w:hAnsi="微软雅黑" w:eastAsia="微软雅黑" w:cs="微软雅黑"/>
          <w:b/>
          <w:bCs/>
          <w:color w:val="auto"/>
          <w:sz w:val="24"/>
          <w:szCs w:val="24"/>
          <w:highlight w:val="none"/>
        </w:rPr>
      </w:pPr>
    </w:p>
    <w:p>
      <w:pPr>
        <w:pStyle w:val="4"/>
        <w:rPr>
          <w:rFonts w:hint="eastAsia" w:ascii="微软雅黑" w:hAnsi="微软雅黑" w:eastAsia="微软雅黑" w:cs="微软雅黑"/>
          <w:b/>
          <w:bCs/>
          <w:color w:val="auto"/>
          <w:sz w:val="24"/>
          <w:szCs w:val="24"/>
          <w:highlight w:val="none"/>
        </w:rPr>
      </w:pPr>
    </w:p>
    <w:p>
      <w:pPr>
        <w:spacing w:line="360" w:lineRule="auto"/>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pStyle w:val="13"/>
        <w:tabs>
          <w:tab w:val="left" w:pos="5580"/>
        </w:tabs>
        <w:spacing w:line="240" w:lineRule="atLeast"/>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b/>
          <w:bCs/>
          <w:color w:val="auto"/>
          <w:sz w:val="24"/>
          <w:szCs w:val="24"/>
          <w:highlight w:val="none"/>
        </w:rPr>
      </w:pPr>
      <w:bookmarkStart w:id="1161" w:name="_Toc30408"/>
      <w:bookmarkStart w:id="1162" w:name="_Toc25918"/>
      <w:bookmarkStart w:id="1163" w:name="_Toc29625"/>
      <w:bookmarkStart w:id="1164" w:name="_Toc21772"/>
      <w:r>
        <w:rPr>
          <w:rFonts w:hint="eastAsia" w:ascii="微软雅黑" w:hAnsi="微软雅黑" w:eastAsia="微软雅黑" w:cs="微软雅黑"/>
          <w:b/>
          <w:bCs/>
          <w:color w:val="auto"/>
          <w:sz w:val="24"/>
          <w:szCs w:val="24"/>
          <w:highlight w:val="none"/>
        </w:rPr>
        <w:br w:type="page"/>
      </w:r>
    </w:p>
    <w:p>
      <w:pPr>
        <w:pStyle w:val="13"/>
        <w:tabs>
          <w:tab w:val="left" w:pos="5580"/>
        </w:tabs>
        <w:spacing w:line="400" w:lineRule="exact"/>
        <w:jc w:val="center"/>
        <w:outlineLvl w:val="1"/>
        <w:rPr>
          <w:rFonts w:hint="eastAsia" w:ascii="微软雅黑" w:hAnsi="微软雅黑" w:eastAsia="微软雅黑" w:cs="微软雅黑"/>
          <w:color w:val="auto"/>
          <w:sz w:val="24"/>
          <w:szCs w:val="24"/>
          <w:highlight w:val="none"/>
        </w:rPr>
      </w:pPr>
      <w:bookmarkStart w:id="1165" w:name="_Toc26083"/>
      <w:bookmarkStart w:id="1166" w:name="_Toc7342"/>
      <w:r>
        <w:rPr>
          <w:rFonts w:hint="eastAsia" w:ascii="微软雅黑" w:hAnsi="微软雅黑" w:eastAsia="微软雅黑" w:cs="微软雅黑"/>
          <w:b/>
          <w:bCs/>
          <w:color w:val="auto"/>
          <w:sz w:val="24"/>
          <w:szCs w:val="24"/>
          <w:highlight w:val="none"/>
        </w:rPr>
        <w:t>1</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投标书</w:t>
      </w:r>
      <w:bookmarkEnd w:id="1158"/>
      <w:bookmarkEnd w:id="1159"/>
      <w:bookmarkEnd w:id="1160"/>
      <w:bookmarkEnd w:id="1161"/>
      <w:bookmarkEnd w:id="1162"/>
      <w:bookmarkEnd w:id="1163"/>
      <w:bookmarkEnd w:id="1164"/>
      <w:bookmarkEnd w:id="1165"/>
      <w:bookmarkEnd w:id="1166"/>
    </w:p>
    <w:p>
      <w:pPr>
        <w:tabs>
          <w:tab w:val="left" w:pos="5580"/>
        </w:tabs>
        <w:spacing w:line="400" w:lineRule="exact"/>
        <w:ind w:left="1080" w:hanging="108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致：</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p>
    <w:p>
      <w:pPr>
        <w:pStyle w:val="13"/>
        <w:tabs>
          <w:tab w:val="left" w:pos="5580"/>
        </w:tabs>
        <w:spacing w:line="400" w:lineRule="exact"/>
        <w:ind w:left="2" w:leftChars="1"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根据贵方(</w:t>
      </w:r>
      <w:r>
        <w:rPr>
          <w:rFonts w:hint="eastAsia" w:ascii="微软雅黑" w:hAnsi="微软雅黑" w:eastAsia="微软雅黑" w:cs="微软雅黑"/>
          <w:i/>
          <w:color w:val="auto"/>
          <w:sz w:val="24"/>
          <w:szCs w:val="24"/>
          <w:highlight w:val="none"/>
          <w:u w:val="single"/>
        </w:rPr>
        <w:t>项目名称</w:t>
      </w:r>
      <w:r>
        <w:rPr>
          <w:rFonts w:hint="eastAsia" w:ascii="微软雅黑" w:hAnsi="微软雅黑" w:eastAsia="微软雅黑" w:cs="微软雅黑"/>
          <w:color w:val="auto"/>
          <w:sz w:val="24"/>
          <w:szCs w:val="24"/>
          <w:highlight w:val="none"/>
        </w:rPr>
        <w:t>)项目的投标邀请(</w:t>
      </w:r>
      <w:r>
        <w:rPr>
          <w:rFonts w:hint="eastAsia" w:ascii="微软雅黑" w:hAnsi="微软雅黑" w:eastAsia="微软雅黑" w:cs="微软雅黑"/>
          <w:i/>
          <w:color w:val="auto"/>
          <w:sz w:val="24"/>
          <w:szCs w:val="24"/>
          <w:highlight w:val="none"/>
          <w:u w:val="single"/>
        </w:rPr>
        <w:t>项目编号</w:t>
      </w:r>
      <w:r>
        <w:rPr>
          <w:rFonts w:hint="eastAsia" w:ascii="微软雅黑" w:hAnsi="微软雅黑" w:eastAsia="微软雅黑" w:cs="微软雅黑"/>
          <w:color w:val="auto"/>
          <w:sz w:val="24"/>
          <w:szCs w:val="24"/>
          <w:highlight w:val="none"/>
        </w:rPr>
        <w:t>),签字代表(</w:t>
      </w:r>
      <w:r>
        <w:rPr>
          <w:rFonts w:hint="eastAsia" w:ascii="微软雅黑" w:hAnsi="微软雅黑" w:eastAsia="微软雅黑" w:cs="微软雅黑"/>
          <w:i/>
          <w:color w:val="auto"/>
          <w:sz w:val="24"/>
          <w:szCs w:val="24"/>
          <w:highlight w:val="none"/>
          <w:u w:val="single"/>
        </w:rPr>
        <w:t>姓名、职务</w:t>
      </w:r>
      <w:r>
        <w:rPr>
          <w:rFonts w:hint="eastAsia" w:ascii="微软雅黑" w:hAnsi="微软雅黑" w:eastAsia="微软雅黑" w:cs="微软雅黑"/>
          <w:color w:val="auto"/>
          <w:sz w:val="24"/>
          <w:szCs w:val="24"/>
          <w:highlight w:val="none"/>
        </w:rPr>
        <w:t>)经正式授权并代表供应商（</w:t>
      </w:r>
      <w:r>
        <w:rPr>
          <w:rFonts w:hint="eastAsia" w:ascii="微软雅黑" w:hAnsi="微软雅黑" w:eastAsia="微软雅黑" w:cs="微软雅黑"/>
          <w:i/>
          <w:color w:val="auto"/>
          <w:sz w:val="24"/>
          <w:szCs w:val="24"/>
          <w:highlight w:val="none"/>
          <w:u w:val="single"/>
        </w:rPr>
        <w:t>名称、地址</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上传投标</w:t>
      </w:r>
      <w:r>
        <w:rPr>
          <w:rFonts w:hint="eastAsia" w:ascii="微软雅黑" w:hAnsi="微软雅黑" w:eastAsia="微软雅黑" w:cs="微软雅黑"/>
          <w:color w:val="auto"/>
          <w:sz w:val="24"/>
          <w:szCs w:val="24"/>
          <w:highlight w:val="none"/>
        </w:rPr>
        <w:t>文件，并以</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形式出具的金额为人民币</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元的投标保证金。</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据此，签字代表宣布同意如下：</w:t>
      </w:r>
    </w:p>
    <w:p>
      <w:pPr>
        <w:pStyle w:val="13"/>
        <w:tabs>
          <w:tab w:val="left" w:pos="720"/>
          <w:tab w:val="left" w:pos="900"/>
        </w:tabs>
        <w:spacing w:line="400" w:lineRule="exact"/>
        <w:ind w:left="769" w:leftChars="257" w:hanging="229"/>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（1）附投标价格表中规定的应提供</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的投标总价详见开标一览表，</w:t>
      </w:r>
      <w:r>
        <w:rPr>
          <w:rFonts w:hint="eastAsia" w:ascii="微软雅黑" w:hAnsi="微软雅黑" w:eastAsia="微软雅黑" w:cs="微软雅黑"/>
          <w:color w:val="auto"/>
          <w:sz w:val="24"/>
          <w:szCs w:val="24"/>
          <w:highlight w:val="none"/>
          <w:u w:val="single"/>
        </w:rPr>
        <w:t>其中由小型和</w:t>
      </w:r>
      <w:r>
        <w:rPr>
          <w:rFonts w:hint="eastAsia" w:ascii="微软雅黑" w:hAnsi="微软雅黑" w:eastAsia="微软雅黑" w:cs="微软雅黑"/>
          <w:color w:val="auto"/>
          <w:sz w:val="24"/>
          <w:szCs w:val="24"/>
          <w:highlight w:val="none"/>
        </w:rPr>
        <w:t>微型企业制造产品的价格为</w:t>
      </w:r>
      <w:r>
        <w:rPr>
          <w:rFonts w:hint="eastAsia" w:ascii="微软雅黑" w:hAnsi="微软雅黑" w:eastAsia="微软雅黑" w:cs="微软雅黑"/>
          <w:color w:val="auto"/>
          <w:sz w:val="24"/>
          <w:szCs w:val="24"/>
          <w:highlight w:val="none"/>
          <w:u w:val="single"/>
        </w:rPr>
        <w:t>　　  （用文字和数字表示），占投标总价   %</w:t>
      </w:r>
      <w:r>
        <w:rPr>
          <w:rFonts w:hint="eastAsia" w:ascii="微软雅黑" w:hAnsi="微软雅黑" w:eastAsia="微软雅黑" w:cs="微软雅黑"/>
          <w:color w:val="auto"/>
          <w:sz w:val="24"/>
          <w:szCs w:val="24"/>
          <w:highlight w:val="none"/>
        </w:rPr>
        <w:t>。</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（2）本投标有效期为自投标截止之日起</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个日历日。</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（3）联合体中的大中型企业和其他自然人、法人或者非法人组织，与联合体中的小型、微型企业之间</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存在、不存在）投资关系（如果是联合体的话）。</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（4）已详细审查全部招标文件，包括所有补充通知（如果有的话），完全理解并同意放弃对这方面有不明、误解和质疑的权力。</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（5）在规定的开标时间后，遵守招标文件中有关保证金的规定。</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（6）我方不是为本项目提供整体设计、规范编制或者项目管理、监理、检测等</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的供应商，我方不是采购代理机构的附属机构。</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（7）在领取中标通知书的同时按招标文件规定的形式，向贵方一次性支付中标服务费。</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（8）按照贵方可能要求，提供与其投标有关的一切数据或资料，完全理解贵方不一定接受最低价的投标或收到的任何投标。</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（9）按照招标文件的规定履行合同责任和义务。</w:t>
      </w:r>
    </w:p>
    <w:p>
      <w:pPr>
        <w:pStyle w:val="13"/>
        <w:tabs>
          <w:tab w:val="left" w:pos="5580"/>
        </w:tabs>
        <w:spacing w:line="400" w:lineRule="exact"/>
        <w:ind w:left="359" w:leftChars="68" w:hanging="216" w:hangingChars="9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与本投标有关的一切正式往来信函请寄：</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地址</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传真</w:t>
      </w:r>
      <w:r>
        <w:rPr>
          <w:rFonts w:hint="eastAsia" w:ascii="微软雅黑" w:hAnsi="微软雅黑" w:eastAsia="微软雅黑" w:cs="微软雅黑"/>
          <w:color w:val="auto"/>
          <w:sz w:val="24"/>
          <w:szCs w:val="24"/>
          <w:highlight w:val="none"/>
          <w:u w:val="single"/>
        </w:rPr>
        <w:t xml:space="preserve">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电话</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电子函件</w:t>
      </w:r>
      <w:r>
        <w:rPr>
          <w:rFonts w:hint="eastAsia" w:ascii="微软雅黑" w:hAnsi="微软雅黑" w:eastAsia="微软雅黑" w:cs="微软雅黑"/>
          <w:color w:val="auto"/>
          <w:sz w:val="24"/>
          <w:szCs w:val="24"/>
          <w:highlight w:val="none"/>
          <w:u w:val="single"/>
        </w:rPr>
        <w:t xml:space="preserve">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 xml:space="preserve">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供应商开户银行（全称）</w:t>
      </w:r>
      <w:r>
        <w:rPr>
          <w:rFonts w:hint="eastAsia" w:ascii="微软雅黑" w:hAnsi="微软雅黑" w:eastAsia="微软雅黑" w:cs="微软雅黑"/>
          <w:color w:val="auto"/>
          <w:sz w:val="24"/>
          <w:szCs w:val="24"/>
          <w:highlight w:val="none"/>
          <w:u w:val="single"/>
        </w:rPr>
        <w:t xml:space="preserve">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供应商银行帐号</w:t>
      </w:r>
      <w:r>
        <w:rPr>
          <w:rFonts w:hint="eastAsia" w:ascii="微软雅黑" w:hAnsi="微软雅黑" w:eastAsia="微软雅黑" w:cs="微软雅黑"/>
          <w:color w:val="auto"/>
          <w:sz w:val="24"/>
          <w:szCs w:val="24"/>
          <w:highlight w:val="none"/>
          <w:u w:val="single"/>
        </w:rPr>
        <w:t>　　　　　　　　 　　</w:t>
      </w:r>
    </w:p>
    <w:p>
      <w:pPr>
        <w:pStyle w:val="13"/>
        <w:tabs>
          <w:tab w:val="left" w:pos="5580"/>
        </w:tabs>
        <w:spacing w:line="400" w:lineRule="exact"/>
        <w:ind w:left="1080" w:leftChars="257" w:hanging="54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期</w:t>
      </w:r>
      <w:r>
        <w:rPr>
          <w:rFonts w:hint="eastAsia" w:ascii="微软雅黑" w:hAnsi="微软雅黑" w:eastAsia="微软雅黑" w:cs="微软雅黑"/>
          <w:color w:val="auto"/>
          <w:sz w:val="24"/>
          <w:szCs w:val="24"/>
          <w:highlight w:val="none"/>
          <w:u w:val="single"/>
        </w:rPr>
        <w:t xml:space="preserve">                </w:t>
      </w:r>
      <w:bookmarkStart w:id="1167" w:name="_Toc19819"/>
      <w:bookmarkStart w:id="1168" w:name="_Toc23473"/>
      <w:bookmarkStart w:id="1169" w:name="_Toc1266"/>
      <w:bookmarkStart w:id="1170" w:name="_Toc6738"/>
      <w:bookmarkStart w:id="1171" w:name="_Toc14219"/>
      <w:bookmarkStart w:id="1172" w:name="_Toc30947"/>
    </w:p>
    <w:p>
      <w:pPr>
        <w:pStyle w:val="13"/>
        <w:spacing w:line="240" w:lineRule="atLeast"/>
        <w:ind w:left="1080" w:leftChars="257" w:hanging="540"/>
        <w:jc w:val="center"/>
        <w:outlineLvl w:val="9"/>
        <w:rPr>
          <w:rFonts w:hint="eastAsia" w:ascii="微软雅黑" w:hAnsi="微软雅黑" w:eastAsia="微软雅黑" w:cs="微软雅黑"/>
          <w:b/>
          <w:bCs/>
          <w:color w:val="auto"/>
          <w:sz w:val="24"/>
          <w:szCs w:val="24"/>
          <w:highlight w:val="none"/>
        </w:rPr>
      </w:pPr>
      <w:bookmarkStart w:id="1173" w:name="_Toc17187"/>
    </w:p>
    <w:p>
      <w:pPr>
        <w:pStyle w:val="13"/>
        <w:spacing w:line="240" w:lineRule="atLeast"/>
        <w:ind w:left="1080" w:leftChars="257" w:hanging="540"/>
        <w:jc w:val="center"/>
        <w:outlineLvl w:val="9"/>
        <w:rPr>
          <w:rFonts w:hint="eastAsia" w:ascii="微软雅黑" w:hAnsi="微软雅黑" w:eastAsia="微软雅黑" w:cs="微软雅黑"/>
          <w:b/>
          <w:bCs/>
          <w:color w:val="auto"/>
          <w:sz w:val="24"/>
          <w:szCs w:val="24"/>
          <w:highlight w:val="none"/>
        </w:rPr>
      </w:pPr>
    </w:p>
    <w:p>
      <w:pPr>
        <w:pStyle w:val="13"/>
        <w:spacing w:line="240" w:lineRule="atLeast"/>
        <w:ind w:left="1080" w:leftChars="257" w:hanging="540"/>
        <w:jc w:val="center"/>
        <w:outlineLvl w:val="1"/>
        <w:rPr>
          <w:rFonts w:hint="eastAsia" w:ascii="微软雅黑" w:hAnsi="微软雅黑" w:eastAsia="微软雅黑" w:cs="微软雅黑"/>
          <w:color w:val="auto"/>
          <w:sz w:val="24"/>
          <w:szCs w:val="24"/>
          <w:highlight w:val="none"/>
          <w:lang w:eastAsia="zh-CN"/>
        </w:rPr>
      </w:pPr>
      <w:bookmarkStart w:id="1174" w:name="_Toc10161"/>
      <w:r>
        <w:rPr>
          <w:rFonts w:hint="eastAsia" w:ascii="微软雅黑" w:hAnsi="微软雅黑" w:eastAsia="微软雅黑" w:cs="微软雅黑"/>
          <w:b/>
          <w:bCs/>
          <w:color w:val="auto"/>
          <w:sz w:val="24"/>
          <w:szCs w:val="24"/>
          <w:highlight w:val="none"/>
        </w:rPr>
        <w:t>2</w:t>
      </w:r>
      <w:bookmarkEnd w:id="1167"/>
      <w:bookmarkEnd w:id="1168"/>
      <w:bookmarkEnd w:id="1169"/>
      <w:bookmarkEnd w:id="1170"/>
      <w:bookmarkEnd w:id="1171"/>
      <w:bookmarkEnd w:id="1172"/>
      <w:bookmarkStart w:id="1175" w:name="_Toc216582817"/>
      <w:bookmarkStart w:id="1176" w:name="_Toc22563"/>
      <w:bookmarkStart w:id="1177" w:name="_Toc515647820"/>
      <w:bookmarkStart w:id="1178" w:name="_Toc28959"/>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投标分项报价表</w:t>
      </w:r>
      <w:bookmarkEnd w:id="1173"/>
      <w:bookmarkEnd w:id="1174"/>
    </w:p>
    <w:p>
      <w:pPr>
        <w:pStyle w:val="13"/>
        <w:keepNext w:val="0"/>
        <w:keepLines w:val="0"/>
        <w:pageBreakBefore w:val="0"/>
        <w:widowControl w:val="0"/>
        <w:kinsoku/>
        <w:wordWrap/>
        <w:overflowPunct/>
        <w:topLinePunct w:val="0"/>
        <w:autoSpaceDE/>
        <w:autoSpaceDN/>
        <w:bidi w:val="0"/>
        <w:adjustRightInd/>
        <w:snapToGrid/>
        <w:spacing w:line="400" w:lineRule="exact"/>
        <w:ind w:left="6300" w:leftChars="257" w:hanging="5760" w:hangingChars="2400"/>
        <w:jc w:val="left"/>
        <w:textAlignment w:val="auto"/>
        <w:rPr>
          <w:rFonts w:hint="eastAsia" w:ascii="微软雅黑" w:hAnsi="微软雅黑" w:eastAsia="微软雅黑" w:cs="微软雅黑"/>
          <w:color w:val="auto"/>
          <w:sz w:val="24"/>
          <w:szCs w:val="24"/>
          <w:highlight w:val="none"/>
        </w:rPr>
      </w:pPr>
    </w:p>
    <w:p>
      <w:pPr>
        <w:pStyle w:val="13"/>
        <w:keepNext w:val="0"/>
        <w:keepLines w:val="0"/>
        <w:pageBreakBefore w:val="0"/>
        <w:widowControl w:val="0"/>
        <w:kinsoku/>
        <w:wordWrap/>
        <w:overflowPunct/>
        <w:topLinePunct w:val="0"/>
        <w:autoSpaceDE/>
        <w:autoSpaceDN/>
        <w:bidi w:val="0"/>
        <w:adjustRightInd/>
        <w:snapToGrid/>
        <w:spacing w:line="400" w:lineRule="exact"/>
        <w:ind w:left="6300" w:leftChars="257" w:hanging="5760" w:hangingChars="2400"/>
        <w:jc w:val="left"/>
        <w:textAlignment w:val="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color w:val="auto"/>
          <w:sz w:val="24"/>
          <w:szCs w:val="24"/>
          <w:highlight w:val="none"/>
        </w:rPr>
        <w:t xml:space="preserve">项目名称:                      项目编号:        </w:t>
      </w:r>
      <w:r>
        <w:rPr>
          <w:rFonts w:hint="eastAsia" w:ascii="微软雅黑" w:hAnsi="微软雅黑" w:eastAsia="微软雅黑" w:cs="微软雅黑"/>
          <w:color w:val="auto"/>
          <w:kern w:val="2"/>
          <w:sz w:val="24"/>
          <w:szCs w:val="24"/>
          <w:highlight w:val="none"/>
          <w:lang w:val="en-US" w:eastAsia="zh-CN" w:bidi="ar-SA"/>
        </w:rPr>
        <w:t xml:space="preserve">单位：人民币 元     </w:t>
      </w:r>
      <w:r>
        <w:rPr>
          <w:rFonts w:hint="eastAsia" w:ascii="微软雅黑" w:hAnsi="微软雅黑" w:eastAsia="微软雅黑" w:cs="微软雅黑"/>
          <w:b/>
          <w:bCs/>
          <w:color w:val="auto"/>
          <w:sz w:val="24"/>
          <w:szCs w:val="24"/>
          <w:highlight w:val="none"/>
          <w:lang w:val="en-US" w:eastAsia="zh-CN"/>
        </w:rPr>
        <w:t xml:space="preserve">      </w:t>
      </w:r>
    </w:p>
    <w:tbl>
      <w:tblPr>
        <w:tblStyle w:val="25"/>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421"/>
        <w:gridCol w:w="646"/>
        <w:gridCol w:w="846"/>
        <w:gridCol w:w="1348"/>
        <w:gridCol w:w="646"/>
        <w:gridCol w:w="646"/>
        <w:gridCol w:w="646"/>
        <w:gridCol w:w="646"/>
        <w:gridCol w:w="707"/>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编号</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名称</w:t>
            </w: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品牌</w:t>
            </w: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规格</w:t>
            </w:r>
          </w:p>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型号</w:t>
            </w: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生产厂家名称</w:t>
            </w: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产地</w:t>
            </w: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数量</w:t>
            </w: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单位</w:t>
            </w: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单价</w:t>
            </w: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合价</w:t>
            </w: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7</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89"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8</w:t>
            </w:r>
          </w:p>
        </w:tc>
        <w:tc>
          <w:tcPr>
            <w:tcW w:w="782"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46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741"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5"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86"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c>
          <w:tcPr>
            <w:tcW w:w="358" w:type="pct"/>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41" w:type="pct"/>
            <w:gridSpan w:val="10"/>
            <w:vAlign w:val="center"/>
          </w:tcPr>
          <w:p>
            <w:pPr>
              <w:keepNext w:val="0"/>
              <w:keepLines w:val="0"/>
              <w:suppressLineNumbers w:val="0"/>
              <w:spacing w:before="0" w:beforeAutospacing="0" w:after="0" w:afterAutospacing="0" w:line="360" w:lineRule="auto"/>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总价（元）</w:t>
            </w:r>
          </w:p>
        </w:tc>
        <w:tc>
          <w:tcPr>
            <w:tcW w:w="358" w:type="pct"/>
            <w:vAlign w:val="center"/>
          </w:tcPr>
          <w:p>
            <w:pPr>
              <w:keepNext w:val="0"/>
              <w:keepLines w:val="0"/>
              <w:suppressLineNumbers w:val="0"/>
              <w:spacing w:before="0" w:beforeAutospacing="0" w:after="0" w:afterAutospacing="0" w:line="360" w:lineRule="auto"/>
              <w:ind w:left="0" w:right="0"/>
              <w:rPr>
                <w:rFonts w:hint="eastAsia" w:ascii="微软雅黑" w:hAnsi="微软雅黑" w:eastAsia="微软雅黑" w:cs="微软雅黑"/>
                <w:color w:val="auto"/>
                <w:sz w:val="24"/>
                <w:highlight w:val="none"/>
              </w:rPr>
            </w:pPr>
          </w:p>
        </w:tc>
      </w:tr>
    </w:tbl>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ab/>
      </w:r>
    </w:p>
    <w:p>
      <w:pPr>
        <w:pStyle w:val="13"/>
        <w:spacing w:line="400" w:lineRule="exact"/>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1.如果供应商认为需要，每种</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填写一份该表。</w:t>
      </w:r>
    </w:p>
    <w:p>
      <w:pPr>
        <w:pStyle w:val="13"/>
        <w:spacing w:line="400" w:lineRule="exact"/>
        <w:ind w:firstLine="48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2.如果按单价计算的结果与总价不一致,以单价为准修正总价。</w:t>
      </w:r>
    </w:p>
    <w:p>
      <w:pPr>
        <w:pStyle w:val="13"/>
        <w:spacing w:line="400" w:lineRule="exact"/>
        <w:ind w:firstLine="48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3.如果不提供详细分项报价将视为没有实质性响应招标文件。</w:t>
      </w:r>
    </w:p>
    <w:p>
      <w:pPr>
        <w:pStyle w:val="13"/>
        <w:spacing w:line="400" w:lineRule="exact"/>
        <w:ind w:firstLine="48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4.上述各项的详细分项报价，应另页描述。</w:t>
      </w:r>
    </w:p>
    <w:p>
      <w:pPr>
        <w:pStyle w:val="13"/>
        <w:spacing w:line="400" w:lineRule="exact"/>
        <w:ind w:left="479" w:leftChars="228" w:firstLine="0" w:firstLineChars="0"/>
        <w:jc w:val="left"/>
        <w:rPr>
          <w:rFonts w:hint="eastAsia" w:ascii="微软雅黑" w:hAnsi="微软雅黑" w:eastAsia="微软雅黑" w:cs="微软雅黑"/>
          <w:b/>
          <w:color w:val="auto"/>
          <w:kern w:val="0"/>
          <w:szCs w:val="21"/>
          <w:highlight w:val="none"/>
        </w:rPr>
      </w:pPr>
      <w:r>
        <w:rPr>
          <w:rFonts w:hint="eastAsia" w:ascii="微软雅黑" w:hAnsi="微软雅黑" w:eastAsia="微软雅黑" w:cs="微软雅黑"/>
          <w:color w:val="auto"/>
          <w:sz w:val="24"/>
          <w:szCs w:val="24"/>
          <w:highlight w:val="none"/>
        </w:rPr>
        <w:t>5.如果开标一览表（报价表）内容与投标文件中明细表内容不一致的，以开标一览表（报价表）内容为准。</w:t>
      </w: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bookmarkEnd w:id="1175"/>
    <w:bookmarkEnd w:id="1176"/>
    <w:bookmarkEnd w:id="1177"/>
    <w:bookmarkEnd w:id="1178"/>
    <w:p>
      <w:pPr>
        <w:pStyle w:val="13"/>
        <w:spacing w:line="240" w:lineRule="atLeast"/>
        <w:ind w:left="1080" w:leftChars="257" w:hanging="540"/>
        <w:jc w:val="center"/>
        <w:outlineLvl w:val="1"/>
        <w:rPr>
          <w:rFonts w:hint="eastAsia" w:ascii="微软雅黑" w:hAnsi="微软雅黑" w:eastAsia="微软雅黑" w:cs="微软雅黑"/>
          <w:b/>
          <w:bCs/>
          <w:color w:val="auto"/>
          <w:sz w:val="24"/>
          <w:szCs w:val="24"/>
          <w:highlight w:val="none"/>
          <w:lang w:val="en-US" w:eastAsia="zh-CN"/>
        </w:rPr>
      </w:pPr>
      <w:bookmarkStart w:id="1179" w:name="_Toc16924"/>
      <w:bookmarkStart w:id="1180" w:name="_Toc17348"/>
      <w:bookmarkStart w:id="1181" w:name="_Toc22109"/>
      <w:bookmarkStart w:id="1182" w:name="_Toc14887"/>
      <w:bookmarkStart w:id="1183" w:name="_Toc12914"/>
      <w:bookmarkStart w:id="1184" w:name="_Toc23"/>
      <w:bookmarkStart w:id="1185" w:name="_Toc31439"/>
      <w:bookmarkStart w:id="1186" w:name="_Toc1980"/>
      <w:bookmarkStart w:id="1187" w:name="_Toc515647821"/>
      <w:bookmarkStart w:id="1188" w:name="_Toc216582818"/>
      <w:r>
        <w:rPr>
          <w:rFonts w:hint="eastAsia" w:ascii="微软雅黑" w:hAnsi="微软雅黑" w:eastAsia="微软雅黑" w:cs="微软雅黑"/>
          <w:b/>
          <w:bCs/>
          <w:color w:val="auto"/>
          <w:sz w:val="24"/>
          <w:szCs w:val="24"/>
          <w:highlight w:val="none"/>
          <w:lang w:val="en-US" w:eastAsia="zh-CN"/>
        </w:rPr>
        <w:t>3、货物说明一览表</w:t>
      </w:r>
      <w:bookmarkEnd w:id="1179"/>
      <w:bookmarkEnd w:id="1180"/>
    </w:p>
    <w:p>
      <w:pPr>
        <w:pStyle w:val="13"/>
        <w:spacing w:line="360" w:lineRule="exact"/>
        <w:ind w:left="1080" w:leftChars="257" w:hanging="540"/>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项目名称:                    </w:t>
      </w:r>
      <w:r>
        <w:rPr>
          <w:rFonts w:hint="eastAsia" w:ascii="微软雅黑" w:hAnsi="微软雅黑" w:eastAsia="微软雅黑" w:cs="微软雅黑"/>
          <w:color w:val="auto"/>
          <w:sz w:val="24"/>
          <w:highlight w:val="none"/>
          <w:lang w:eastAsia="zh-CN"/>
        </w:rPr>
        <w:t>项目编号</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val="en-US" w:eastAsia="zh-CN"/>
        </w:rPr>
        <w:t xml:space="preserve">            包号：</w:t>
      </w:r>
      <w:r>
        <w:rPr>
          <w:rFonts w:hint="eastAsia" w:ascii="微软雅黑" w:hAnsi="微软雅黑" w:eastAsia="微软雅黑" w:cs="微软雅黑"/>
          <w:color w:val="auto"/>
          <w:sz w:val="24"/>
          <w:highlight w:val="none"/>
        </w:rPr>
        <w:t xml:space="preserve">                                  </w:t>
      </w:r>
    </w:p>
    <w:tbl>
      <w:tblPr>
        <w:tblStyle w:val="2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531"/>
        <w:gridCol w:w="1531"/>
        <w:gridCol w:w="904"/>
        <w:gridCol w:w="1218"/>
        <w:gridCol w:w="1531"/>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30" w:type="pct"/>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序号</w:t>
            </w:r>
          </w:p>
        </w:tc>
        <w:tc>
          <w:tcPr>
            <w:tcW w:w="898" w:type="pct"/>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名称</w:t>
            </w:r>
          </w:p>
        </w:tc>
        <w:tc>
          <w:tcPr>
            <w:tcW w:w="898" w:type="pct"/>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主要规格</w:t>
            </w:r>
          </w:p>
        </w:tc>
        <w:tc>
          <w:tcPr>
            <w:tcW w:w="530" w:type="pct"/>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数量</w:t>
            </w:r>
          </w:p>
        </w:tc>
        <w:tc>
          <w:tcPr>
            <w:tcW w:w="714" w:type="pct"/>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交货期</w:t>
            </w:r>
          </w:p>
        </w:tc>
        <w:tc>
          <w:tcPr>
            <w:tcW w:w="898" w:type="pct"/>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交货地点</w:t>
            </w:r>
          </w:p>
        </w:tc>
        <w:tc>
          <w:tcPr>
            <w:tcW w:w="530" w:type="pct"/>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3</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4</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5</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6</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7</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30" w:type="pct"/>
            <w:vAlign w:val="center"/>
          </w:tcPr>
          <w:p>
            <w:pPr>
              <w:pStyle w:val="13"/>
              <w:keepNext w:val="0"/>
              <w:keepLines w:val="0"/>
              <w:suppressLineNumbers w:val="0"/>
              <w:spacing w:before="0" w:beforeAutospacing="0" w:after="0" w:afterAutospacing="0" w:line="360" w:lineRule="exact"/>
              <w:ind w:left="0" w:right="0"/>
              <w:jc w:val="center"/>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8</w:t>
            </w: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714"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898"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c>
          <w:tcPr>
            <w:tcW w:w="530" w:type="pct"/>
          </w:tcPr>
          <w:p>
            <w:pPr>
              <w:pStyle w:val="13"/>
              <w:keepNext w:val="0"/>
              <w:keepLines w:val="0"/>
              <w:suppressLineNumbers w:val="0"/>
              <w:spacing w:before="0" w:beforeAutospacing="0" w:after="0" w:afterAutospacing="0" w:line="360" w:lineRule="exact"/>
              <w:ind w:left="1080" w:leftChars="257" w:right="0" w:hanging="540"/>
              <w:rPr>
                <w:rFonts w:hint="eastAsia" w:ascii="微软雅黑" w:hAnsi="微软雅黑" w:eastAsia="微软雅黑" w:cs="微软雅黑"/>
                <w:color w:val="auto"/>
                <w:sz w:val="24"/>
                <w:highlight w:val="none"/>
              </w:rPr>
            </w:pPr>
          </w:p>
        </w:tc>
      </w:tr>
    </w:tbl>
    <w:p>
      <w:pPr>
        <w:pStyle w:val="13"/>
        <w:spacing w:line="360" w:lineRule="exact"/>
        <w:ind w:left="1080" w:leftChars="257" w:hanging="540"/>
        <w:rPr>
          <w:rFonts w:hint="eastAsia" w:ascii="微软雅黑" w:hAnsi="微软雅黑" w:eastAsia="微软雅黑" w:cs="微软雅黑"/>
          <w:color w:val="auto"/>
          <w:sz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4"/>
        <w:spacing w:line="360" w:lineRule="exact"/>
        <w:ind w:firstLine="0"/>
        <w:rPr>
          <w:rFonts w:hint="eastAsia" w:ascii="微软雅黑" w:hAnsi="微软雅黑" w:eastAsia="微软雅黑" w:cs="微软雅黑"/>
          <w:color w:val="auto"/>
          <w:kern w:val="2"/>
          <w:sz w:val="24"/>
          <w:szCs w:val="24"/>
          <w:highlight w:val="none"/>
          <w:u w:val="single"/>
        </w:rPr>
      </w:pPr>
      <w:r>
        <w:rPr>
          <w:rFonts w:hint="eastAsia" w:ascii="微软雅黑" w:hAnsi="微软雅黑" w:eastAsia="微软雅黑" w:cs="微软雅黑"/>
          <w:color w:val="auto"/>
          <w:kern w:val="2"/>
          <w:sz w:val="24"/>
          <w:szCs w:val="24"/>
          <w:highlight w:val="none"/>
          <w:lang w:eastAsia="zh-CN"/>
        </w:rPr>
        <w:t>供应商</w:t>
      </w:r>
      <w:r>
        <w:rPr>
          <w:rFonts w:hint="eastAsia" w:ascii="微软雅黑" w:hAnsi="微软雅黑" w:eastAsia="微软雅黑" w:cs="微软雅黑"/>
          <w:color w:val="auto"/>
          <w:kern w:val="2"/>
          <w:sz w:val="24"/>
          <w:szCs w:val="24"/>
          <w:highlight w:val="none"/>
        </w:rPr>
        <w:t>名称（</w:t>
      </w:r>
      <w:r>
        <w:rPr>
          <w:rFonts w:hint="eastAsia" w:ascii="微软雅黑" w:hAnsi="微软雅黑" w:eastAsia="微软雅黑" w:cs="微软雅黑"/>
          <w:color w:val="auto"/>
          <w:kern w:val="2"/>
          <w:sz w:val="24"/>
          <w:szCs w:val="24"/>
          <w:highlight w:val="none"/>
          <w:lang w:eastAsia="zh-CN"/>
        </w:rPr>
        <w:t>公章</w:t>
      </w:r>
      <w:r>
        <w:rPr>
          <w:rFonts w:hint="eastAsia" w:ascii="微软雅黑" w:hAnsi="微软雅黑" w:eastAsia="微软雅黑" w:cs="微软雅黑"/>
          <w:color w:val="auto"/>
          <w:kern w:val="2"/>
          <w:sz w:val="24"/>
          <w:szCs w:val="24"/>
          <w:highlight w:val="none"/>
        </w:rPr>
        <w:t>）：</w:t>
      </w:r>
      <w:r>
        <w:rPr>
          <w:rFonts w:hint="eastAsia" w:ascii="微软雅黑" w:hAnsi="微软雅黑" w:eastAsia="微软雅黑" w:cs="微软雅黑"/>
          <w:color w:val="auto"/>
          <w:kern w:val="2"/>
          <w:sz w:val="24"/>
          <w:szCs w:val="24"/>
          <w:highlight w:val="none"/>
          <w:u w:val="single"/>
        </w:rPr>
        <w:t xml:space="preserve">                       </w:t>
      </w:r>
    </w:p>
    <w:p>
      <w:pPr>
        <w:pStyle w:val="4"/>
        <w:spacing w:line="360" w:lineRule="exact"/>
        <w:ind w:firstLine="0"/>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法定代表人或委托代理</w:t>
      </w:r>
      <w:r>
        <w:rPr>
          <w:rFonts w:hint="eastAsia" w:ascii="微软雅黑" w:hAnsi="微软雅黑" w:eastAsia="微软雅黑" w:cs="微软雅黑"/>
          <w:color w:val="auto"/>
          <w:kern w:val="2"/>
          <w:sz w:val="24"/>
          <w:szCs w:val="24"/>
          <w:highlight w:val="none"/>
          <w:lang w:val="en-US" w:eastAsia="zh-CN"/>
        </w:rPr>
        <w:t>人</w:t>
      </w:r>
      <w:r>
        <w:rPr>
          <w:rFonts w:hint="eastAsia" w:ascii="微软雅黑" w:hAnsi="微软雅黑" w:eastAsia="微软雅黑" w:cs="微软雅黑"/>
          <w:color w:val="auto"/>
          <w:kern w:val="2"/>
          <w:sz w:val="24"/>
          <w:szCs w:val="24"/>
          <w:highlight w:val="none"/>
        </w:rPr>
        <w:t>(签/章):</w:t>
      </w:r>
      <w:r>
        <w:rPr>
          <w:rFonts w:hint="eastAsia" w:ascii="微软雅黑" w:hAnsi="微软雅黑" w:eastAsia="微软雅黑" w:cs="微软雅黑"/>
          <w:color w:val="auto"/>
          <w:kern w:val="2"/>
          <w:sz w:val="24"/>
          <w:szCs w:val="24"/>
          <w:highlight w:val="none"/>
          <w:u w:val="single"/>
        </w:rPr>
        <w:tab/>
      </w:r>
      <w:r>
        <w:rPr>
          <w:rFonts w:hint="eastAsia" w:ascii="微软雅黑" w:hAnsi="微软雅黑" w:eastAsia="微软雅黑" w:cs="微软雅黑"/>
          <w:color w:val="auto"/>
          <w:kern w:val="2"/>
          <w:sz w:val="24"/>
          <w:szCs w:val="24"/>
          <w:highlight w:val="none"/>
          <w:u w:val="single"/>
          <w:lang w:val="en-US" w:eastAsia="zh-CN"/>
        </w:rPr>
        <w:t xml:space="preserve">                       </w:t>
      </w:r>
      <w:r>
        <w:rPr>
          <w:rFonts w:hint="eastAsia" w:ascii="微软雅黑" w:hAnsi="微软雅黑" w:eastAsia="微软雅黑" w:cs="微软雅黑"/>
          <w:color w:val="auto"/>
          <w:kern w:val="2"/>
          <w:sz w:val="24"/>
          <w:szCs w:val="24"/>
          <w:highlight w:val="none"/>
          <w:u w:val="single"/>
        </w:rPr>
        <w:t xml:space="preserve">   </w:t>
      </w:r>
      <w:r>
        <w:rPr>
          <w:rFonts w:hint="eastAsia" w:ascii="微软雅黑" w:hAnsi="微软雅黑" w:eastAsia="微软雅黑" w:cs="微软雅黑"/>
          <w:color w:val="auto"/>
          <w:kern w:val="2"/>
          <w:sz w:val="24"/>
          <w:szCs w:val="24"/>
          <w:highlight w:val="none"/>
        </w:rPr>
        <w:t xml:space="preserve">                 </w:t>
      </w:r>
    </w:p>
    <w:p>
      <w:pPr>
        <w:pStyle w:val="4"/>
        <w:spacing w:line="360" w:lineRule="exact"/>
        <w:ind w:firstLine="0"/>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日期 ：</w:t>
      </w:r>
      <w:r>
        <w:rPr>
          <w:rFonts w:hint="eastAsia" w:ascii="微软雅黑" w:hAnsi="微软雅黑" w:eastAsia="微软雅黑" w:cs="微软雅黑"/>
          <w:color w:val="auto"/>
          <w:kern w:val="2"/>
          <w:sz w:val="24"/>
          <w:szCs w:val="24"/>
          <w:highlight w:val="none"/>
          <w:u w:val="single"/>
          <w:lang w:val="en-US" w:eastAsia="zh-CN"/>
        </w:rPr>
        <w:t xml:space="preserve">                                </w:t>
      </w:r>
      <w:r>
        <w:rPr>
          <w:rFonts w:hint="eastAsia" w:ascii="微软雅黑" w:hAnsi="微软雅黑" w:eastAsia="微软雅黑" w:cs="微软雅黑"/>
          <w:color w:val="auto"/>
          <w:kern w:val="2"/>
          <w:sz w:val="24"/>
          <w:szCs w:val="24"/>
          <w:highlight w:val="none"/>
          <w:lang w:val="en-US" w:eastAsia="zh-CN"/>
        </w:rPr>
        <w:t xml:space="preserve">                                      </w:t>
      </w:r>
      <w:r>
        <w:rPr>
          <w:rFonts w:hint="eastAsia" w:ascii="微软雅黑" w:hAnsi="微软雅黑" w:eastAsia="微软雅黑" w:cs="微软雅黑"/>
          <w:color w:val="auto"/>
          <w:kern w:val="2"/>
          <w:sz w:val="24"/>
          <w:szCs w:val="24"/>
          <w:highlight w:val="none"/>
        </w:rPr>
        <w:t xml:space="preserve">   </w:t>
      </w:r>
    </w:p>
    <w:p>
      <w:pPr>
        <w:pStyle w:val="13"/>
        <w:spacing w:line="400" w:lineRule="exact"/>
        <w:ind w:left="1080" w:leftChars="257" w:hanging="540"/>
        <w:rPr>
          <w:rFonts w:hint="eastAsia" w:ascii="微软雅黑" w:hAnsi="微软雅黑" w:eastAsia="微软雅黑" w:cs="微软雅黑"/>
          <w:b/>
          <w:bCs/>
          <w:color w:val="auto"/>
          <w:sz w:val="22"/>
          <w:szCs w:val="22"/>
          <w:highlight w:val="none"/>
          <w:lang w:eastAsia="zh-CN"/>
        </w:rPr>
      </w:pPr>
      <w:r>
        <w:rPr>
          <w:rFonts w:hint="eastAsia" w:ascii="微软雅黑" w:hAnsi="微软雅黑" w:eastAsia="微软雅黑" w:cs="微软雅黑"/>
          <w:color w:val="auto"/>
          <w:sz w:val="24"/>
          <w:szCs w:val="24"/>
          <w:highlight w:val="none"/>
        </w:rPr>
        <w:t>注: 各项</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详细技术性能应另页描述</w:t>
      </w:r>
      <w:r>
        <w:rPr>
          <w:rFonts w:hint="eastAsia" w:ascii="微软雅黑" w:hAnsi="微软雅黑" w:eastAsia="微软雅黑" w:cs="微软雅黑"/>
          <w:color w:val="auto"/>
          <w:sz w:val="24"/>
          <w:szCs w:val="24"/>
          <w:highlight w:val="none"/>
          <w:lang w:eastAsia="zh-CN"/>
        </w:rPr>
        <w:t>。</w:t>
      </w: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pStyle w:val="13"/>
        <w:spacing w:line="240" w:lineRule="atLeast"/>
        <w:rPr>
          <w:rFonts w:hint="eastAsia" w:ascii="微软雅黑" w:hAnsi="微软雅黑" w:eastAsia="微软雅黑" w:cs="微软雅黑"/>
          <w:b/>
          <w:bCs/>
          <w:color w:val="auto"/>
          <w:sz w:val="22"/>
          <w:szCs w:val="22"/>
          <w:highlight w:val="none"/>
        </w:rPr>
      </w:pPr>
    </w:p>
    <w:p>
      <w:pPr>
        <w:rPr>
          <w:rFonts w:hint="eastAsia" w:ascii="微软雅黑" w:hAnsi="微软雅黑" w:eastAsia="微软雅黑" w:cs="微软雅黑"/>
          <w:b/>
          <w:bCs/>
          <w:color w:val="auto"/>
          <w:sz w:val="28"/>
          <w:szCs w:val="28"/>
          <w:highlight w:val="none"/>
        </w:rPr>
      </w:pPr>
      <w:r>
        <w:rPr>
          <w:rFonts w:hint="eastAsia" w:ascii="微软雅黑" w:hAnsi="微软雅黑" w:eastAsia="微软雅黑" w:cs="微软雅黑"/>
          <w:b/>
          <w:bCs/>
          <w:color w:val="auto"/>
          <w:sz w:val="28"/>
          <w:szCs w:val="28"/>
          <w:highlight w:val="none"/>
        </w:rPr>
        <w:br w:type="page"/>
      </w:r>
    </w:p>
    <w:p>
      <w:pPr>
        <w:pStyle w:val="7"/>
        <w:keepNext/>
        <w:keepLines/>
        <w:pageBreakBefore w:val="0"/>
        <w:widowControl w:val="0"/>
        <w:numPr>
          <w:ilvl w:val="0"/>
          <w:numId w:val="0"/>
        </w:numPr>
        <w:kinsoku/>
        <w:wordWrap/>
        <w:overflowPunct/>
        <w:topLinePunct w:val="0"/>
        <w:autoSpaceDE w:val="0"/>
        <w:autoSpaceDN w:val="0"/>
        <w:bidi w:val="0"/>
        <w:adjustRightInd w:val="0"/>
        <w:snapToGrid/>
        <w:spacing w:before="0" w:line="440" w:lineRule="exact"/>
        <w:ind w:leftChars="0" w:firstLine="3362" w:firstLineChars="1200"/>
        <w:jc w:val="both"/>
        <w:textAlignment w:val="auto"/>
        <w:rPr>
          <w:rFonts w:hint="eastAsia" w:ascii="微软雅黑" w:hAnsi="微软雅黑" w:eastAsia="微软雅黑" w:cs="微软雅黑"/>
          <w:highlight w:val="none"/>
          <w:lang w:val="en-US" w:eastAsia="zh-CN"/>
        </w:rPr>
      </w:pPr>
      <w:bookmarkStart w:id="1189" w:name="_Toc21982"/>
      <w:bookmarkStart w:id="1190" w:name="_Toc9109"/>
      <w:r>
        <w:rPr>
          <w:rFonts w:hint="eastAsia" w:ascii="微软雅黑" w:hAnsi="微软雅黑" w:eastAsia="微软雅黑" w:cs="微软雅黑"/>
          <w:color w:val="auto"/>
          <w:sz w:val="28"/>
          <w:szCs w:val="28"/>
          <w:highlight w:val="none"/>
          <w:lang w:val="en-US" w:eastAsia="zh-CN"/>
        </w:rPr>
        <w:t>4、技术规格偏离表</w:t>
      </w:r>
      <w:bookmarkEnd w:id="1189"/>
      <w:bookmarkEnd w:id="1190"/>
    </w:p>
    <w:p>
      <w:pPr>
        <w:rPr>
          <w:rFonts w:hint="eastAsia" w:ascii="微软雅黑" w:hAnsi="微软雅黑" w:eastAsia="微软雅黑" w:cs="微软雅黑"/>
          <w:highlight w:val="none"/>
          <w:lang w:val="en-US" w:eastAsia="zh-CN"/>
        </w:rPr>
      </w:pPr>
    </w:p>
    <w:p>
      <w:pPr>
        <w:pStyle w:val="13"/>
        <w:spacing w:line="40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项目名称:                       项目编号:        </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        </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287"/>
        <w:gridCol w:w="2372"/>
        <w:gridCol w:w="1287"/>
        <w:gridCol w:w="1287"/>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47" w:type="pct"/>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755" w:type="pct"/>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szCs w:val="24"/>
                <w:highlight w:val="none"/>
              </w:rPr>
              <w:t>名称</w:t>
            </w:r>
          </w:p>
        </w:tc>
        <w:tc>
          <w:tcPr>
            <w:tcW w:w="1391" w:type="pct"/>
            <w:vAlign w:val="center"/>
          </w:tcPr>
          <w:p>
            <w:pPr>
              <w:pStyle w:val="13"/>
              <w:keepNext w:val="0"/>
              <w:keepLines w:val="0"/>
              <w:suppressLineNumbers w:val="0"/>
              <w:spacing w:before="0" w:beforeAutospacing="0" w:after="0" w:afterAutospacing="0" w:line="400" w:lineRule="exact"/>
              <w:ind w:left="269" w:leftChars="128"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招标文件条款号</w:t>
            </w:r>
          </w:p>
        </w:tc>
        <w:tc>
          <w:tcPr>
            <w:tcW w:w="755" w:type="pct"/>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招标规格</w:t>
            </w:r>
          </w:p>
        </w:tc>
        <w:tc>
          <w:tcPr>
            <w:tcW w:w="755" w:type="pct"/>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投标规格</w:t>
            </w:r>
          </w:p>
        </w:tc>
        <w:tc>
          <w:tcPr>
            <w:tcW w:w="447" w:type="pct"/>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偏离</w:t>
            </w:r>
          </w:p>
        </w:tc>
        <w:tc>
          <w:tcPr>
            <w:tcW w:w="447" w:type="pct"/>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62" w:type="dxa"/>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w:t>
            </w: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391"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62" w:type="dxa"/>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2</w:t>
            </w: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391"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62" w:type="dxa"/>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w:t>
            </w: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391"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62" w:type="dxa"/>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4</w:t>
            </w: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391"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62" w:type="dxa"/>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5</w:t>
            </w: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391"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62" w:type="dxa"/>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6</w:t>
            </w: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391"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2" w:type="dxa"/>
            <w:vAlign w:val="center"/>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7</w:t>
            </w: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391"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755"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447" w:type="pct"/>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bl>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4"/>
        <w:spacing w:line="360" w:lineRule="exact"/>
        <w:ind w:firstLine="0"/>
        <w:rPr>
          <w:rFonts w:hint="eastAsia" w:ascii="微软雅黑" w:hAnsi="微软雅黑" w:eastAsia="微软雅黑" w:cs="微软雅黑"/>
          <w:color w:val="auto"/>
          <w:kern w:val="2"/>
          <w:sz w:val="24"/>
          <w:szCs w:val="24"/>
          <w:highlight w:val="none"/>
          <w:u w:val="single"/>
        </w:rPr>
      </w:pPr>
      <w:r>
        <w:rPr>
          <w:rFonts w:hint="eastAsia" w:ascii="微软雅黑" w:hAnsi="微软雅黑" w:eastAsia="微软雅黑" w:cs="微软雅黑"/>
          <w:color w:val="auto"/>
          <w:kern w:val="2"/>
          <w:sz w:val="24"/>
          <w:szCs w:val="24"/>
          <w:highlight w:val="none"/>
          <w:lang w:eastAsia="zh-CN"/>
        </w:rPr>
        <w:t>供应商</w:t>
      </w:r>
      <w:r>
        <w:rPr>
          <w:rFonts w:hint="eastAsia" w:ascii="微软雅黑" w:hAnsi="微软雅黑" w:eastAsia="微软雅黑" w:cs="微软雅黑"/>
          <w:color w:val="auto"/>
          <w:kern w:val="2"/>
          <w:sz w:val="24"/>
          <w:szCs w:val="24"/>
          <w:highlight w:val="none"/>
        </w:rPr>
        <w:t>名称（</w:t>
      </w:r>
      <w:r>
        <w:rPr>
          <w:rFonts w:hint="eastAsia" w:ascii="微软雅黑" w:hAnsi="微软雅黑" w:eastAsia="微软雅黑" w:cs="微软雅黑"/>
          <w:color w:val="auto"/>
          <w:kern w:val="2"/>
          <w:sz w:val="24"/>
          <w:szCs w:val="24"/>
          <w:highlight w:val="none"/>
          <w:lang w:eastAsia="zh-CN"/>
        </w:rPr>
        <w:t>公章</w:t>
      </w:r>
      <w:r>
        <w:rPr>
          <w:rFonts w:hint="eastAsia" w:ascii="微软雅黑" w:hAnsi="微软雅黑" w:eastAsia="微软雅黑" w:cs="微软雅黑"/>
          <w:color w:val="auto"/>
          <w:kern w:val="2"/>
          <w:sz w:val="24"/>
          <w:szCs w:val="24"/>
          <w:highlight w:val="none"/>
        </w:rPr>
        <w:t>）：</w:t>
      </w:r>
      <w:r>
        <w:rPr>
          <w:rFonts w:hint="eastAsia" w:ascii="微软雅黑" w:hAnsi="微软雅黑" w:eastAsia="微软雅黑" w:cs="微软雅黑"/>
          <w:color w:val="auto"/>
          <w:kern w:val="2"/>
          <w:sz w:val="24"/>
          <w:szCs w:val="24"/>
          <w:highlight w:val="none"/>
          <w:u w:val="single"/>
        </w:rPr>
        <w:t xml:space="preserve">                       </w:t>
      </w:r>
    </w:p>
    <w:p>
      <w:pPr>
        <w:pStyle w:val="4"/>
        <w:spacing w:line="360" w:lineRule="exact"/>
        <w:ind w:firstLine="0"/>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法定代表人或委托代理</w:t>
      </w:r>
      <w:r>
        <w:rPr>
          <w:rFonts w:hint="eastAsia" w:ascii="微软雅黑" w:hAnsi="微软雅黑" w:eastAsia="微软雅黑" w:cs="微软雅黑"/>
          <w:color w:val="auto"/>
          <w:kern w:val="2"/>
          <w:sz w:val="24"/>
          <w:szCs w:val="24"/>
          <w:highlight w:val="none"/>
          <w:lang w:val="en-US" w:eastAsia="zh-CN"/>
        </w:rPr>
        <w:t>人</w:t>
      </w:r>
      <w:r>
        <w:rPr>
          <w:rFonts w:hint="eastAsia" w:ascii="微软雅黑" w:hAnsi="微软雅黑" w:eastAsia="微软雅黑" w:cs="微软雅黑"/>
          <w:color w:val="auto"/>
          <w:kern w:val="2"/>
          <w:sz w:val="24"/>
          <w:szCs w:val="24"/>
          <w:highlight w:val="none"/>
        </w:rPr>
        <w:t>(签/章):</w:t>
      </w:r>
      <w:r>
        <w:rPr>
          <w:rFonts w:hint="eastAsia" w:ascii="微软雅黑" w:hAnsi="微软雅黑" w:eastAsia="微软雅黑" w:cs="微软雅黑"/>
          <w:color w:val="auto"/>
          <w:kern w:val="2"/>
          <w:sz w:val="24"/>
          <w:szCs w:val="24"/>
          <w:highlight w:val="none"/>
          <w:u w:val="single"/>
        </w:rPr>
        <w:tab/>
      </w:r>
      <w:r>
        <w:rPr>
          <w:rFonts w:hint="eastAsia" w:ascii="微软雅黑" w:hAnsi="微软雅黑" w:eastAsia="微软雅黑" w:cs="微软雅黑"/>
          <w:color w:val="auto"/>
          <w:kern w:val="2"/>
          <w:sz w:val="24"/>
          <w:szCs w:val="24"/>
          <w:highlight w:val="none"/>
          <w:u w:val="single"/>
          <w:lang w:val="en-US" w:eastAsia="zh-CN"/>
        </w:rPr>
        <w:t xml:space="preserve">                       </w:t>
      </w:r>
      <w:r>
        <w:rPr>
          <w:rFonts w:hint="eastAsia" w:ascii="微软雅黑" w:hAnsi="微软雅黑" w:eastAsia="微软雅黑" w:cs="微软雅黑"/>
          <w:color w:val="auto"/>
          <w:kern w:val="2"/>
          <w:sz w:val="24"/>
          <w:szCs w:val="24"/>
          <w:highlight w:val="none"/>
          <w:u w:val="single"/>
        </w:rPr>
        <w:t xml:space="preserve">   </w:t>
      </w:r>
      <w:r>
        <w:rPr>
          <w:rFonts w:hint="eastAsia" w:ascii="微软雅黑" w:hAnsi="微软雅黑" w:eastAsia="微软雅黑" w:cs="微软雅黑"/>
          <w:color w:val="auto"/>
          <w:kern w:val="2"/>
          <w:sz w:val="24"/>
          <w:szCs w:val="24"/>
          <w:highlight w:val="none"/>
        </w:rPr>
        <w:t xml:space="preserve">                 </w:t>
      </w:r>
    </w:p>
    <w:p>
      <w:pPr>
        <w:pStyle w:val="4"/>
        <w:spacing w:line="360" w:lineRule="exact"/>
        <w:ind w:firstLine="0"/>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日期 ：</w:t>
      </w:r>
      <w:r>
        <w:rPr>
          <w:rFonts w:hint="eastAsia" w:ascii="微软雅黑" w:hAnsi="微软雅黑" w:eastAsia="微软雅黑" w:cs="微软雅黑"/>
          <w:color w:val="auto"/>
          <w:kern w:val="2"/>
          <w:sz w:val="24"/>
          <w:szCs w:val="24"/>
          <w:highlight w:val="none"/>
          <w:u w:val="single"/>
          <w:lang w:val="en-US" w:eastAsia="zh-CN"/>
        </w:rPr>
        <w:t xml:space="preserve">                                </w:t>
      </w:r>
      <w:r>
        <w:rPr>
          <w:rFonts w:hint="eastAsia" w:ascii="微软雅黑" w:hAnsi="微软雅黑" w:eastAsia="微软雅黑" w:cs="微软雅黑"/>
          <w:color w:val="auto"/>
          <w:kern w:val="2"/>
          <w:sz w:val="24"/>
          <w:szCs w:val="24"/>
          <w:highlight w:val="none"/>
          <w:lang w:val="en-US" w:eastAsia="zh-CN"/>
        </w:rPr>
        <w:t xml:space="preserve">                                      </w:t>
      </w:r>
      <w:r>
        <w:rPr>
          <w:rFonts w:hint="eastAsia" w:ascii="微软雅黑" w:hAnsi="微软雅黑" w:eastAsia="微软雅黑" w:cs="微软雅黑"/>
          <w:color w:val="auto"/>
          <w:kern w:val="2"/>
          <w:sz w:val="24"/>
          <w:szCs w:val="24"/>
          <w:highlight w:val="none"/>
        </w:rPr>
        <w:t xml:space="preserve">   </w:t>
      </w: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br w:type="page"/>
      </w:r>
    </w:p>
    <w:p>
      <w:pPr>
        <w:pStyle w:val="7"/>
        <w:spacing w:before="0" w:line="240" w:lineRule="atLeast"/>
        <w:ind w:firstLine="2641" w:firstLineChars="1100"/>
        <w:jc w:val="both"/>
        <w:rPr>
          <w:rFonts w:hint="eastAsia" w:ascii="微软雅黑" w:hAnsi="微软雅黑" w:eastAsia="微软雅黑" w:cs="微软雅黑"/>
          <w:color w:val="auto"/>
          <w:sz w:val="24"/>
          <w:szCs w:val="24"/>
          <w:highlight w:val="none"/>
        </w:rPr>
      </w:pPr>
      <w:bookmarkStart w:id="1191" w:name="_Toc15726"/>
      <w:bookmarkStart w:id="1192" w:name="_Toc15792"/>
      <w:r>
        <w:rPr>
          <w:rFonts w:hint="eastAsia" w:ascii="微软雅黑" w:hAnsi="微软雅黑" w:eastAsia="微软雅黑" w:cs="微软雅黑"/>
          <w:color w:val="auto"/>
          <w:sz w:val="24"/>
          <w:szCs w:val="24"/>
          <w:highlight w:val="none"/>
        </w:rPr>
        <w:t>5</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商务条款偏离表</w:t>
      </w:r>
      <w:bookmarkEnd w:id="1181"/>
      <w:bookmarkEnd w:id="1182"/>
      <w:bookmarkEnd w:id="1183"/>
      <w:bookmarkEnd w:id="1184"/>
      <w:bookmarkEnd w:id="1185"/>
      <w:bookmarkEnd w:id="1186"/>
      <w:bookmarkEnd w:id="1187"/>
      <w:bookmarkEnd w:id="1188"/>
      <w:bookmarkEnd w:id="1191"/>
      <w:bookmarkEnd w:id="1192"/>
    </w:p>
    <w:p>
      <w:pPr>
        <w:pStyle w:val="13"/>
        <w:spacing w:line="400" w:lineRule="exact"/>
        <w:ind w:left="1080" w:leftChars="257" w:hanging="54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 xml:space="preserve">项目名称:                      项目编号:             </w:t>
      </w:r>
    </w:p>
    <w:tbl>
      <w:tblPr>
        <w:tblStyle w:val="25"/>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2040" w:type="dxa"/>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招标文件条款号</w:t>
            </w:r>
          </w:p>
        </w:tc>
        <w:tc>
          <w:tcPr>
            <w:tcW w:w="2520" w:type="dxa"/>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招标文件的商务条款</w:t>
            </w:r>
          </w:p>
        </w:tc>
        <w:tc>
          <w:tcPr>
            <w:tcW w:w="2520" w:type="dxa"/>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投标文件的商务条款</w:t>
            </w:r>
          </w:p>
        </w:tc>
        <w:tc>
          <w:tcPr>
            <w:tcW w:w="1014" w:type="dxa"/>
          </w:tcPr>
          <w:p>
            <w:pPr>
              <w:pStyle w:val="13"/>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jc w:val="center"/>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jc w:val="center"/>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04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2520"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c>
          <w:tcPr>
            <w:tcW w:w="1014" w:type="dxa"/>
          </w:tcPr>
          <w:p>
            <w:pPr>
              <w:pStyle w:val="13"/>
              <w:keepNext w:val="0"/>
              <w:keepLines w:val="0"/>
              <w:suppressLineNumbers w:val="0"/>
              <w:spacing w:before="0" w:beforeAutospacing="0" w:after="0" w:afterAutospacing="0" w:line="400" w:lineRule="exact"/>
              <w:ind w:left="1080" w:leftChars="257" w:right="0" w:hanging="540"/>
              <w:rPr>
                <w:rFonts w:hint="eastAsia" w:ascii="微软雅黑" w:hAnsi="微软雅黑" w:eastAsia="微软雅黑" w:cs="微软雅黑"/>
                <w:color w:val="auto"/>
                <w:sz w:val="24"/>
                <w:szCs w:val="24"/>
                <w:highlight w:val="none"/>
              </w:rPr>
            </w:pPr>
          </w:p>
        </w:tc>
      </w:tr>
    </w:tbl>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p>
    <w:p>
      <w:pPr>
        <w:pStyle w:val="13"/>
        <w:spacing w:line="40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ab/>
      </w: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pStyle w:val="13"/>
        <w:tabs>
          <w:tab w:val="left" w:pos="5370"/>
        </w:tabs>
        <w:spacing w:line="400" w:lineRule="exact"/>
        <w:ind w:left="1080" w:leftChars="257" w:hanging="540"/>
        <w:rPr>
          <w:rFonts w:hint="eastAsia" w:ascii="微软雅黑" w:hAnsi="微软雅黑" w:eastAsia="微软雅黑" w:cs="微软雅黑"/>
          <w:color w:val="auto"/>
          <w:sz w:val="24"/>
          <w:szCs w:val="24"/>
          <w:highlight w:val="none"/>
          <w:u w:val="single"/>
        </w:rPr>
      </w:pPr>
    </w:p>
    <w:p>
      <w:pPr>
        <w:rPr>
          <w:rFonts w:hint="eastAsia" w:ascii="微软雅黑" w:hAnsi="微软雅黑" w:eastAsia="微软雅黑" w:cs="微软雅黑"/>
          <w:color w:val="auto"/>
          <w:sz w:val="24"/>
          <w:szCs w:val="24"/>
          <w:highlight w:val="none"/>
        </w:rPr>
      </w:pPr>
      <w:bookmarkStart w:id="1193" w:name="_Toc17820"/>
      <w:bookmarkStart w:id="1194" w:name="_Toc31694"/>
      <w:bookmarkStart w:id="1195" w:name="_Toc10725"/>
      <w:bookmarkStart w:id="1196" w:name="_Toc515647823"/>
      <w:bookmarkStart w:id="1197" w:name="_Toc25797"/>
      <w:bookmarkStart w:id="1198" w:name="_Toc27043"/>
      <w:bookmarkStart w:id="1199" w:name="_Toc21312"/>
      <w:r>
        <w:rPr>
          <w:rFonts w:hint="eastAsia" w:ascii="微软雅黑" w:hAnsi="微软雅黑" w:eastAsia="微软雅黑" w:cs="微软雅黑"/>
          <w:color w:val="auto"/>
          <w:sz w:val="24"/>
          <w:szCs w:val="24"/>
          <w:highlight w:val="none"/>
        </w:rPr>
        <w:br w:type="page"/>
      </w:r>
    </w:p>
    <w:p>
      <w:pPr>
        <w:pStyle w:val="7"/>
        <w:spacing w:before="0" w:line="400" w:lineRule="exact"/>
        <w:jc w:val="center"/>
        <w:rPr>
          <w:rFonts w:hint="eastAsia" w:ascii="微软雅黑" w:hAnsi="微软雅黑" w:eastAsia="微软雅黑" w:cs="微软雅黑"/>
          <w:b/>
          <w:i w:val="0"/>
          <w:caps w:val="0"/>
          <w:color w:val="auto"/>
          <w:spacing w:val="0"/>
          <w:w w:val="100"/>
          <w:kern w:val="0"/>
          <w:sz w:val="24"/>
          <w:szCs w:val="24"/>
          <w:highlight w:val="none"/>
        </w:rPr>
      </w:pPr>
      <w:bookmarkStart w:id="1200" w:name="_Toc4229"/>
      <w:bookmarkStart w:id="1201" w:name="_Toc968"/>
      <w:r>
        <w:rPr>
          <w:rFonts w:hint="eastAsia" w:ascii="微软雅黑" w:hAnsi="微软雅黑" w:eastAsia="微软雅黑" w:cs="微软雅黑"/>
          <w:color w:val="auto"/>
          <w:sz w:val="24"/>
          <w:szCs w:val="24"/>
          <w:highlight w:val="none"/>
        </w:rPr>
        <w:t xml:space="preserve">6-1  </w:t>
      </w:r>
      <w:bookmarkEnd w:id="1193"/>
      <w:bookmarkEnd w:id="1194"/>
      <w:bookmarkEnd w:id="1195"/>
      <w:bookmarkEnd w:id="1196"/>
      <w:bookmarkEnd w:id="1197"/>
      <w:bookmarkEnd w:id="1198"/>
      <w:bookmarkEnd w:id="1199"/>
      <w:r>
        <w:rPr>
          <w:rFonts w:hint="eastAsia" w:ascii="微软雅黑" w:hAnsi="微软雅黑" w:eastAsia="微软雅黑" w:cs="微软雅黑"/>
          <w:color w:val="auto"/>
          <w:sz w:val="24"/>
          <w:szCs w:val="24"/>
          <w:highlight w:val="none"/>
        </w:rPr>
        <w:t>中小企业声明函</w:t>
      </w:r>
      <w:bookmarkEnd w:id="1200"/>
      <w:bookmarkEnd w:id="1201"/>
      <w:bookmarkStart w:id="1202" w:name="_Toc9687"/>
      <w:bookmarkStart w:id="1203" w:name="_Toc11343"/>
      <w:bookmarkStart w:id="1204" w:name="_Toc11803"/>
      <w:bookmarkStart w:id="1205" w:name="_Toc2709"/>
      <w:bookmarkStart w:id="1206" w:name="_Toc515647824"/>
      <w:bookmarkStart w:id="1207" w:name="_Toc21610"/>
      <w:bookmarkStart w:id="1208" w:name="_Toc10977"/>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本公司（联合体）郑重声明，根据《政府采购促进中小企业发展管理办法》（财库﹝2020﹞46 号）的规定，本公司（联合体）参加</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（单位名称）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的</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（项目名称）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1.</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（标的名称）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行业；制造商为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（企业名称）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，从业人员</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人，营业收入为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万元，资产总额为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w:t>
      </w:r>
      <w:r>
        <w:rPr>
          <w:rFonts w:hint="eastAsia" w:ascii="微软雅黑" w:hAnsi="微软雅黑" w:eastAsia="微软雅黑" w:cs="微软雅黑"/>
          <w:i w:val="0"/>
          <w:iCs w:val="0"/>
          <w:caps w:val="0"/>
          <w:color w:val="auto"/>
          <w:spacing w:val="0"/>
          <w:kern w:val="0"/>
          <w:sz w:val="24"/>
          <w:szCs w:val="24"/>
          <w:highlight w:val="none"/>
          <w:shd w:val="clear" w:color="auto" w:fill="FFFFFF"/>
          <w:vertAlign w:val="superscript"/>
          <w:lang w:val="en-US" w:eastAsia="zh-CN"/>
        </w:rPr>
        <w:t>1</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2.</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（标的名称）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行业；制造商为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（企业名称）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，从业人员</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人，营业收入为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万元，资产总额为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w:t>
      </w:r>
      <w:r>
        <w:rPr>
          <w:rFonts w:hint="eastAsia" w:ascii="微软雅黑" w:hAnsi="微软雅黑" w:eastAsia="微软雅黑" w:cs="微软雅黑"/>
          <w:i w:val="0"/>
          <w:iCs w:val="0"/>
          <w:caps w:val="0"/>
          <w:color w:val="auto"/>
          <w:spacing w:val="0"/>
          <w:kern w:val="0"/>
          <w:sz w:val="24"/>
          <w:szCs w:val="24"/>
          <w:highlight w:val="none"/>
          <w:shd w:val="clear" w:color="auto" w:fill="FFFFFF"/>
          <w:vertAlign w:val="superscript"/>
          <w:lang w:val="en-US" w:eastAsia="zh-CN"/>
        </w:rPr>
        <w:t>1</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以上企业，不属于大企业的分支机构，不存在控股股东为大企业的情形，也不存在与大企业的负责人为同一人的情形。</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本企业对上述声明内容的真实性负责。如有虚假，将依法承担相应责任。</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企业名称（盖章）：</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日 期：</w:t>
      </w:r>
    </w:p>
    <w:p>
      <w:pPr>
        <w:pStyle w:val="19"/>
        <w:keepNext w:val="0"/>
        <w:keepLines w:val="0"/>
        <w:pageBreakBefore w:val="0"/>
        <w:shd w:val="clear" w:color="auto" w:fill="auto"/>
        <w:kinsoku/>
        <w:wordWrap/>
        <w:overflowPunct/>
        <w:topLinePunct w:val="0"/>
        <w:autoSpaceDE/>
        <w:autoSpaceDN/>
        <w:bidi w:val="0"/>
        <w:adjustRightInd/>
        <w:spacing w:line="500" w:lineRule="exact"/>
        <w:textAlignment w:val="auto"/>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b/>
          <w:bCs/>
          <w:color w:val="auto"/>
          <w:sz w:val="24"/>
          <w:highlight w:val="none"/>
          <w:lang w:eastAsia="zh-CN"/>
        </w:rPr>
      </w:pPr>
      <w:r>
        <w:rPr>
          <w:rFonts w:hint="eastAsia" w:ascii="微软雅黑" w:hAnsi="微软雅黑" w:eastAsia="微软雅黑" w:cs="微软雅黑"/>
          <w:b/>
          <w:bCs/>
          <w:color w:val="auto"/>
          <w:sz w:val="24"/>
          <w:szCs w:val="24"/>
          <w:highlight w:val="none"/>
          <w:lang w:val="en-US" w:eastAsia="zh-CN"/>
        </w:rPr>
        <w:t>注：</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1</w:t>
      </w:r>
      <w:r>
        <w:rPr>
          <w:rFonts w:hint="eastAsia" w:ascii="微软雅黑" w:hAnsi="微软雅黑" w:eastAsia="微软雅黑" w:cs="微软雅黑"/>
          <w:b/>
          <w:bCs/>
          <w:color w:val="auto"/>
          <w:sz w:val="24"/>
          <w:highlight w:val="none"/>
          <w:lang w:eastAsia="zh-CN"/>
        </w:rPr>
        <w:t>）从业人员、营业收入、资产总额填报上一年度数据，无上一年度数据的新成立企业可不填报。</w:t>
      </w:r>
    </w:p>
    <w:p>
      <w:pPr>
        <w:rPr>
          <w:rFonts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2</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rPr>
        <w:t>潜在投标企业属于中小微企业的，请在投标文件中提供“中小企业声明函”，如果未提供或提供虚假的“中小企业声明函”，投标企业将承担由此造成的一切不利后果。</w:t>
      </w:r>
    </w:p>
    <w:p>
      <w:pPr>
        <w:jc w:val="left"/>
        <w:rPr>
          <w:rFonts w:hint="eastAsia" w:ascii="微软雅黑" w:hAnsi="微软雅黑" w:eastAsia="微软雅黑" w:cs="微软雅黑"/>
          <w:b/>
          <w:bCs/>
          <w:color w:val="000000"/>
          <w:kern w:val="0"/>
          <w:sz w:val="28"/>
          <w:szCs w:val="28"/>
          <w:highlight w:val="none"/>
        </w:rPr>
      </w:pPr>
      <w:r>
        <w:rPr>
          <w:rFonts w:hint="eastAsia" w:ascii="微软雅黑" w:hAnsi="微软雅黑" w:eastAsia="微软雅黑" w:cs="微软雅黑"/>
          <w:b/>
          <w:bCs/>
          <w:color w:val="000000"/>
          <w:kern w:val="0"/>
          <w:sz w:val="28"/>
          <w:szCs w:val="28"/>
          <w:highlight w:val="none"/>
        </w:rPr>
        <w:t>附：</w:t>
      </w:r>
    </w:p>
    <w:p>
      <w:pPr>
        <w:jc w:val="center"/>
        <w:rPr>
          <w:rFonts w:hint="eastAsia" w:ascii="微软雅黑" w:hAnsi="微软雅黑" w:eastAsia="微软雅黑" w:cs="微软雅黑"/>
          <w:b/>
          <w:bCs/>
          <w:color w:val="000000"/>
          <w:kern w:val="0"/>
          <w:sz w:val="28"/>
          <w:szCs w:val="28"/>
          <w:highlight w:val="none"/>
        </w:rPr>
      </w:pPr>
      <w:r>
        <w:rPr>
          <w:rFonts w:hint="eastAsia" w:ascii="微软雅黑" w:hAnsi="微软雅黑" w:eastAsia="微软雅黑" w:cs="微软雅黑"/>
          <w:b/>
          <w:bCs/>
          <w:color w:val="000000"/>
          <w:kern w:val="0"/>
          <w:sz w:val="28"/>
          <w:szCs w:val="28"/>
          <w:highlight w:val="none"/>
        </w:rPr>
        <w:t>中小微企业划型标准</w:t>
      </w:r>
    </w:p>
    <w:tbl>
      <w:tblPr>
        <w:tblStyle w:val="25"/>
        <w:tblW w:w="9378" w:type="dxa"/>
        <w:jc w:val="center"/>
        <w:tblLayout w:type="fixed"/>
        <w:tblCellMar>
          <w:top w:w="0" w:type="dxa"/>
          <w:left w:w="108" w:type="dxa"/>
          <w:bottom w:w="0" w:type="dxa"/>
          <w:right w:w="108" w:type="dxa"/>
        </w:tblCellMar>
      </w:tblPr>
      <w:tblGrid>
        <w:gridCol w:w="1570"/>
        <w:gridCol w:w="1660"/>
        <w:gridCol w:w="1466"/>
        <w:gridCol w:w="1903"/>
        <w:gridCol w:w="1692"/>
        <w:gridCol w:w="1087"/>
      </w:tblGrid>
      <w:tr>
        <w:tblPrEx>
          <w:tblCellMar>
            <w:top w:w="0" w:type="dxa"/>
            <w:left w:w="108" w:type="dxa"/>
            <w:bottom w:w="0" w:type="dxa"/>
            <w:right w:w="108" w:type="dxa"/>
          </w:tblCellMar>
        </w:tblPrEx>
        <w:trPr>
          <w:trHeight w:val="252"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kern w:val="0"/>
                <w:sz w:val="24"/>
                <w:highlight w:val="none"/>
              </w:rPr>
            </w:pPr>
            <w:r>
              <w:rPr>
                <w:rFonts w:hint="eastAsia" w:ascii="微软雅黑" w:hAnsi="微软雅黑" w:eastAsia="微软雅黑" w:cs="微软雅黑"/>
                <w:b/>
                <w:kern w:val="0"/>
                <w:sz w:val="24"/>
                <w:highlight w:val="none"/>
              </w:rPr>
              <w:t>行业名称</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kern w:val="0"/>
                <w:sz w:val="24"/>
                <w:highlight w:val="none"/>
              </w:rPr>
            </w:pPr>
            <w:r>
              <w:rPr>
                <w:rFonts w:hint="eastAsia" w:ascii="微软雅黑" w:hAnsi="微软雅黑" w:eastAsia="微软雅黑" w:cs="微软雅黑"/>
                <w:b/>
                <w:kern w:val="0"/>
                <w:sz w:val="24"/>
                <w:highlight w:val="none"/>
              </w:rPr>
              <w:t>指标名称</w:t>
            </w:r>
          </w:p>
        </w:tc>
        <w:tc>
          <w:tcPr>
            <w:tcW w:w="14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kern w:val="0"/>
                <w:sz w:val="24"/>
                <w:highlight w:val="none"/>
              </w:rPr>
            </w:pPr>
            <w:r>
              <w:rPr>
                <w:rFonts w:hint="eastAsia" w:ascii="微软雅黑" w:hAnsi="微软雅黑" w:eastAsia="微软雅黑" w:cs="微软雅黑"/>
                <w:b/>
                <w:kern w:val="0"/>
                <w:sz w:val="24"/>
                <w:highlight w:val="none"/>
              </w:rPr>
              <w:t>计量单位</w:t>
            </w:r>
          </w:p>
        </w:tc>
        <w:tc>
          <w:tcPr>
            <w:tcW w:w="19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kern w:val="0"/>
                <w:sz w:val="24"/>
                <w:highlight w:val="none"/>
              </w:rPr>
            </w:pPr>
            <w:r>
              <w:rPr>
                <w:rFonts w:hint="eastAsia" w:ascii="微软雅黑" w:hAnsi="微软雅黑" w:eastAsia="微软雅黑" w:cs="微软雅黑"/>
                <w:b/>
                <w:kern w:val="0"/>
                <w:sz w:val="24"/>
                <w:highlight w:val="none"/>
              </w:rPr>
              <w:t>中型</w:t>
            </w:r>
          </w:p>
        </w:tc>
        <w:tc>
          <w:tcPr>
            <w:tcW w:w="16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kern w:val="0"/>
                <w:sz w:val="24"/>
                <w:highlight w:val="none"/>
              </w:rPr>
            </w:pPr>
            <w:r>
              <w:rPr>
                <w:rFonts w:hint="eastAsia" w:ascii="微软雅黑" w:hAnsi="微软雅黑" w:eastAsia="微软雅黑" w:cs="微软雅黑"/>
                <w:b/>
                <w:kern w:val="0"/>
                <w:sz w:val="24"/>
                <w:highlight w:val="none"/>
              </w:rPr>
              <w:t>小型</w:t>
            </w:r>
          </w:p>
        </w:tc>
        <w:tc>
          <w:tcPr>
            <w:tcW w:w="10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kern w:val="0"/>
                <w:sz w:val="24"/>
                <w:highlight w:val="none"/>
              </w:rPr>
            </w:pPr>
            <w:r>
              <w:rPr>
                <w:rFonts w:hint="eastAsia" w:ascii="微软雅黑" w:hAnsi="微软雅黑" w:eastAsia="微软雅黑" w:cs="微软雅黑"/>
                <w:b/>
                <w:kern w:val="0"/>
                <w:sz w:val="24"/>
                <w:highlight w:val="none"/>
              </w:rPr>
              <w:t>微型</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农、林、牧、渔</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500≤Y＜20000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50≤Y＜500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工业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20≤X＜300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2000≤Y＜40000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300≤Y＜2000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建筑业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6000≤Y＜80000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300≤Y＜6000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资产总额（Z）</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5000≤Z＜80000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300≤Z＜5000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Z＜300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批发业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20≤X＜200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5≤X＜20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X＜5</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5000≤Y＜40000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1000≤Y＜5000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零售业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50≤X＜300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10≤X＜50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500≤Y＜20000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100≤Y＜500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交通运输业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20≤X＜300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3000≤Y＜30000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200≤Y＜3000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Y＜200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仓储业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100≤X＜200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20≤X＜100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1000≤Y＜30000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100≤Y＜1000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邮政业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20≤X＜300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2000≤Y＜30000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100≤Y＜2000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住宿业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2000≤Y＜10000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100≤Y＜2000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餐饮业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2000≤Y＜10000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100≤Y＜2000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信息传输业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100≤X＜2000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1000≤Y＜100000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100≤Y＜1000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软件和信息技术服务业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1000≤Y＜10000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50≤Y＜1000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房地产开发经营</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1000≤Y＜200000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100≤X＜1000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资产总额（Z）</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5000≤Z＜10000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2000≤Y＜5000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Y＜2000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物业管理</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100≤X＜300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1000≤Y＜5000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500≤Y＜1000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Y＜500</w:t>
            </w:r>
          </w:p>
        </w:tc>
      </w:tr>
      <w:tr>
        <w:tblPrEx>
          <w:tblCellMar>
            <w:top w:w="0" w:type="dxa"/>
            <w:left w:w="108" w:type="dxa"/>
            <w:bottom w:w="0" w:type="dxa"/>
            <w:right w:w="108" w:type="dxa"/>
          </w:tblCellMar>
        </w:tblPrEx>
        <w:trPr>
          <w:trHeight w:val="242"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租赁和商务服务业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资产总额（Z）</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8000≤Z＜120000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100≤Z＜8000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其他未列明行业</w:t>
            </w:r>
          </w:p>
        </w:tc>
        <w:tc>
          <w:tcPr>
            <w:tcW w:w="166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contextualSpacing/>
              <w:jc w:val="center"/>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X＜10</w:t>
            </w: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b/>
          <w:bCs/>
          <w:i w:val="0"/>
          <w:iCs w:val="0"/>
          <w:caps w:val="0"/>
          <w:color w:val="auto"/>
          <w:spacing w:val="0"/>
          <w:kern w:val="0"/>
          <w:sz w:val="24"/>
          <w:szCs w:val="24"/>
          <w:highlight w:val="none"/>
          <w:shd w:val="clear" w:color="auto" w:fill="FFFFFF"/>
          <w:lang w:val="en-US" w:eastAsia="zh-CN"/>
        </w:rPr>
        <w:t>说明：</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上述标准参照《关于印发中小企业划型标准规定的通知》（工信部联企业[2011]300号），大型、中型和小型企业须同时满足所列指标的下限，否则下划一档；微型企业只须满足所列指标中的一项即可。</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本招标文件所称中小企业，是指在中华人民共和国境内依法设立，依据国务院批准的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（1）在货物采购项目中，货物由中小企业制造，即货物由中小企业生产且使用该中小企业商号或者注册商标，不对其中涉及的工程承建商和服务的承接商作出要求；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（2）在工程采购项目中，工程由中小企业承建，即工程施工单位为中小企业，不对其中涉及的货物的制造商和服务的承接商作出要求；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（3）在服务采购项目中，服务由中小企业承接，即提供服务的人员为中小企业依照《中华人民共和国劳动合同法》订立劳动合同的从业人员，不对其中涉及的货物的制造商和工程承建商作出要求。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依据本招标文件规定享受扶持政策获得政府采购合同的，小微企业不得将合同分包给大中型企业，中型企业不得将合同分包给大型企业。</w:t>
      </w:r>
    </w:p>
    <w:p>
      <w:pPr>
        <w:pStyle w:val="19"/>
        <w:rPr>
          <w:rFonts w:hint="eastAsia" w:ascii="微软雅黑" w:hAnsi="微软雅黑" w:eastAsia="微软雅黑" w:cs="微软雅黑"/>
          <w:b/>
          <w:bCs/>
          <w:color w:val="auto"/>
          <w:kern w:val="0"/>
          <w:sz w:val="24"/>
          <w:szCs w:val="24"/>
          <w:highlight w:val="none"/>
          <w:lang w:val="en-US" w:eastAsia="zh-CN"/>
        </w:rPr>
      </w:pPr>
    </w:p>
    <w:p>
      <w:pPr>
        <w:pStyle w:val="19"/>
        <w:rPr>
          <w:rFonts w:hint="eastAsia" w:ascii="微软雅黑" w:hAnsi="微软雅黑" w:eastAsia="微软雅黑" w:cs="微软雅黑"/>
          <w:b/>
          <w:bCs/>
          <w:color w:val="auto"/>
          <w:kern w:val="0"/>
          <w:sz w:val="24"/>
          <w:szCs w:val="24"/>
          <w:highlight w:val="none"/>
          <w:lang w:val="en-US" w:eastAsia="zh-CN"/>
        </w:rPr>
      </w:pPr>
    </w:p>
    <w:p>
      <w:pPr>
        <w:rPr>
          <w:rFonts w:hint="eastAsia" w:ascii="微软雅黑" w:hAnsi="微软雅黑" w:eastAsia="微软雅黑" w:cs="微软雅黑"/>
          <w:color w:val="auto"/>
          <w:sz w:val="24"/>
          <w:szCs w:val="24"/>
          <w:highlight w:val="none"/>
        </w:rPr>
      </w:pPr>
      <w:bookmarkStart w:id="1209" w:name="_Toc19993"/>
      <w:r>
        <w:rPr>
          <w:rFonts w:hint="eastAsia" w:ascii="微软雅黑" w:hAnsi="微软雅黑" w:eastAsia="微软雅黑" w:cs="微软雅黑"/>
          <w:color w:val="auto"/>
          <w:sz w:val="24"/>
          <w:szCs w:val="24"/>
          <w:highlight w:val="none"/>
        </w:rPr>
        <w:br w:type="page"/>
      </w:r>
    </w:p>
    <w:p>
      <w:pPr>
        <w:pStyle w:val="7"/>
        <w:spacing w:before="0" w:line="400" w:lineRule="exact"/>
        <w:jc w:val="center"/>
        <w:rPr>
          <w:rFonts w:hint="eastAsia" w:ascii="微软雅黑" w:hAnsi="微软雅黑" w:eastAsia="微软雅黑" w:cs="微软雅黑"/>
          <w:color w:val="auto"/>
          <w:sz w:val="24"/>
          <w:szCs w:val="24"/>
          <w:highlight w:val="none"/>
        </w:rPr>
      </w:pPr>
      <w:bookmarkStart w:id="1210" w:name="_Toc18686"/>
      <w:r>
        <w:rPr>
          <w:rFonts w:hint="eastAsia" w:ascii="微软雅黑" w:hAnsi="微软雅黑" w:eastAsia="微软雅黑" w:cs="微软雅黑"/>
          <w:color w:val="auto"/>
          <w:sz w:val="24"/>
          <w:szCs w:val="24"/>
          <w:highlight w:val="none"/>
        </w:rPr>
        <w:t xml:space="preserve">6-2  </w:t>
      </w:r>
      <w:bookmarkEnd w:id="1202"/>
      <w:bookmarkEnd w:id="1203"/>
      <w:bookmarkEnd w:id="1204"/>
      <w:bookmarkEnd w:id="1205"/>
      <w:bookmarkEnd w:id="1206"/>
      <w:bookmarkEnd w:id="1207"/>
      <w:bookmarkEnd w:id="1208"/>
      <w:bookmarkStart w:id="1211" w:name="_Toc515647825"/>
      <w:bookmarkStart w:id="1212" w:name="_Toc19312"/>
      <w:bookmarkStart w:id="1213" w:name="OLE_LINK13"/>
      <w:bookmarkStart w:id="1214" w:name="_Toc19284"/>
      <w:bookmarkStart w:id="1215" w:name="_Toc31700"/>
      <w:bookmarkStart w:id="1216" w:name="OLE_LINK14"/>
      <w:bookmarkStart w:id="1217" w:name="_Toc15294"/>
      <w:bookmarkStart w:id="1218" w:name="_Toc11516"/>
      <w:bookmarkStart w:id="1219" w:name="_Toc23068"/>
      <w:r>
        <w:rPr>
          <w:rFonts w:hint="eastAsia" w:ascii="微软雅黑" w:hAnsi="微软雅黑" w:eastAsia="微软雅黑" w:cs="微软雅黑"/>
          <w:color w:val="auto"/>
          <w:sz w:val="24"/>
          <w:szCs w:val="24"/>
          <w:highlight w:val="none"/>
        </w:rPr>
        <w:t>残疾人福利性单位声明函</w:t>
      </w:r>
      <w:bookmarkEnd w:id="1209"/>
      <w:bookmarkEnd w:id="1210"/>
      <w:bookmarkEnd w:id="1211"/>
      <w:bookmarkEnd w:id="1212"/>
      <w:bookmarkEnd w:id="1213"/>
      <w:bookmarkEnd w:id="1214"/>
      <w:bookmarkEnd w:id="1215"/>
      <w:bookmarkEnd w:id="1216"/>
      <w:bookmarkEnd w:id="1217"/>
      <w:bookmarkEnd w:id="1218"/>
      <w:bookmarkEnd w:id="1219"/>
    </w:p>
    <w:p>
      <w:pPr>
        <w:spacing w:line="400" w:lineRule="exact"/>
        <w:ind w:left="1080" w:leftChars="257" w:hanging="540"/>
        <w:jc w:val="center"/>
        <w:rPr>
          <w:rFonts w:hint="eastAsia" w:ascii="微软雅黑" w:hAnsi="微软雅黑" w:eastAsia="微软雅黑" w:cs="微软雅黑"/>
          <w:color w:val="auto"/>
          <w:kern w:val="0"/>
          <w:sz w:val="24"/>
          <w:szCs w:val="24"/>
          <w:highlight w:val="none"/>
        </w:rPr>
      </w:pPr>
    </w:p>
    <w:p>
      <w:pPr>
        <w:spacing w:line="400" w:lineRule="exact"/>
        <w:ind w:firstLine="567"/>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w:t>
      </w:r>
      <w:r>
        <w:rPr>
          <w:rFonts w:hint="eastAsia" w:ascii="微软雅黑" w:hAnsi="微软雅黑" w:eastAsia="微软雅黑" w:cs="微软雅黑"/>
          <w:color w:val="auto"/>
          <w:kern w:val="0"/>
          <w:sz w:val="24"/>
          <w:szCs w:val="24"/>
          <w:highlight w:val="none"/>
          <w:lang w:val="en-US" w:eastAsia="zh-CN"/>
        </w:rPr>
        <w:t>货物</w:t>
      </w:r>
      <w:r>
        <w:rPr>
          <w:rFonts w:hint="eastAsia" w:ascii="微软雅黑" w:hAnsi="微软雅黑" w:eastAsia="微软雅黑" w:cs="微软雅黑"/>
          <w:color w:val="auto"/>
          <w:kern w:val="0"/>
          <w:sz w:val="24"/>
          <w:szCs w:val="24"/>
          <w:highlight w:val="none"/>
        </w:rPr>
        <w:t>，或者提供其他残疾人福利性单位制造的</w:t>
      </w:r>
      <w:r>
        <w:rPr>
          <w:rFonts w:hint="eastAsia" w:ascii="微软雅黑" w:hAnsi="微软雅黑" w:eastAsia="微软雅黑" w:cs="微软雅黑"/>
          <w:color w:val="auto"/>
          <w:kern w:val="0"/>
          <w:sz w:val="24"/>
          <w:szCs w:val="24"/>
          <w:highlight w:val="none"/>
          <w:lang w:val="en-US" w:eastAsia="zh-CN"/>
        </w:rPr>
        <w:t>货物</w:t>
      </w:r>
      <w:r>
        <w:rPr>
          <w:rFonts w:hint="eastAsia" w:ascii="微软雅黑" w:hAnsi="微软雅黑" w:eastAsia="微软雅黑" w:cs="微软雅黑"/>
          <w:color w:val="auto"/>
          <w:kern w:val="0"/>
          <w:sz w:val="24"/>
          <w:szCs w:val="24"/>
          <w:highlight w:val="none"/>
        </w:rPr>
        <w:t>（不包括使用非残疾人福利性单位注册商标的</w:t>
      </w:r>
      <w:r>
        <w:rPr>
          <w:rFonts w:hint="eastAsia" w:ascii="微软雅黑" w:hAnsi="微软雅黑" w:eastAsia="微软雅黑" w:cs="微软雅黑"/>
          <w:color w:val="auto"/>
          <w:kern w:val="0"/>
          <w:sz w:val="24"/>
          <w:szCs w:val="24"/>
          <w:highlight w:val="none"/>
          <w:lang w:val="en-US" w:eastAsia="zh-CN"/>
        </w:rPr>
        <w:t>货物</w:t>
      </w:r>
      <w:r>
        <w:rPr>
          <w:rFonts w:hint="eastAsia" w:ascii="微软雅黑" w:hAnsi="微软雅黑" w:eastAsia="微软雅黑" w:cs="微软雅黑"/>
          <w:color w:val="auto"/>
          <w:kern w:val="0"/>
          <w:sz w:val="24"/>
          <w:szCs w:val="24"/>
          <w:highlight w:val="none"/>
        </w:rPr>
        <w:t>）。</w:t>
      </w:r>
    </w:p>
    <w:p>
      <w:pPr>
        <w:spacing w:line="400" w:lineRule="exact"/>
        <w:ind w:left="1080" w:leftChars="257" w:hanging="540"/>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本单位对上述声明的真实性负责。如有虚假，将依法承担相应责任。</w:t>
      </w:r>
    </w:p>
    <w:p>
      <w:pPr>
        <w:spacing w:line="400" w:lineRule="exact"/>
        <w:ind w:left="1080" w:leftChars="257" w:hanging="540"/>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              残疾人福利性单位名称（公章）：______________</w:t>
      </w:r>
    </w:p>
    <w:p>
      <w:pPr>
        <w:spacing w:line="400" w:lineRule="exact"/>
        <w:ind w:left="1080" w:leftChars="257" w:hanging="540"/>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u w:val="single" w:color="FFFFFF"/>
        </w:rPr>
        <w:t xml:space="preserve">       </w:t>
      </w:r>
      <w:r>
        <w:rPr>
          <w:rFonts w:hint="eastAsia" w:ascii="微软雅黑" w:hAnsi="微软雅黑" w:eastAsia="微软雅黑" w:cs="微软雅黑"/>
          <w:color w:val="auto"/>
          <w:kern w:val="0"/>
          <w:sz w:val="24"/>
          <w:szCs w:val="24"/>
          <w:highlight w:val="none"/>
        </w:rPr>
        <w:t>日  期：_____________________________________________</w:t>
      </w:r>
    </w:p>
    <w:p>
      <w:pPr>
        <w:pStyle w:val="2"/>
        <w:spacing w:line="400" w:lineRule="exact"/>
        <w:ind w:firstLine="480"/>
        <w:rPr>
          <w:rFonts w:hint="eastAsia" w:ascii="微软雅黑" w:hAnsi="微软雅黑" w:eastAsia="微软雅黑" w:cs="微软雅黑"/>
          <w:color w:val="auto"/>
          <w:sz w:val="24"/>
          <w:szCs w:val="24"/>
          <w:highlight w:val="none"/>
        </w:rPr>
      </w:pPr>
    </w:p>
    <w:p>
      <w:pPr>
        <w:pStyle w:val="2"/>
        <w:spacing w:line="400" w:lineRule="exact"/>
        <w:ind w:firstLine="480"/>
        <w:rPr>
          <w:rFonts w:hint="eastAsia" w:ascii="微软雅黑" w:hAnsi="微软雅黑" w:eastAsia="微软雅黑" w:cs="微软雅黑"/>
          <w:color w:val="auto"/>
          <w:sz w:val="24"/>
          <w:szCs w:val="24"/>
          <w:highlight w:val="none"/>
        </w:rPr>
      </w:pPr>
    </w:p>
    <w:p>
      <w:pPr>
        <w:pStyle w:val="7"/>
        <w:spacing w:before="0" w:line="400" w:lineRule="exact"/>
        <w:jc w:val="both"/>
        <w:rPr>
          <w:rFonts w:hint="eastAsia" w:ascii="微软雅黑" w:hAnsi="微软雅黑" w:eastAsia="微软雅黑" w:cs="微软雅黑"/>
          <w:color w:val="auto"/>
          <w:sz w:val="24"/>
          <w:szCs w:val="24"/>
          <w:highlight w:val="none"/>
        </w:rPr>
      </w:pPr>
      <w:bookmarkStart w:id="1220" w:name="_Toc26573"/>
      <w:bookmarkStart w:id="1221" w:name="_Toc17401"/>
      <w:bookmarkStart w:id="1222" w:name="_Toc22102"/>
      <w:bookmarkStart w:id="1223" w:name="_Toc29890"/>
      <w:bookmarkStart w:id="1224" w:name="_Toc28099"/>
      <w:bookmarkStart w:id="1225" w:name="_Toc515647827"/>
      <w:bookmarkStart w:id="1226" w:name="_Toc6004"/>
      <w:bookmarkStart w:id="1227" w:name="_Toc30795"/>
      <w:bookmarkStart w:id="1228" w:name="_Toc23926"/>
      <w:r>
        <w:rPr>
          <w:rFonts w:hint="eastAsia" w:ascii="微软雅黑" w:hAnsi="微软雅黑" w:eastAsia="微软雅黑" w:cs="微软雅黑"/>
          <w:color w:val="auto"/>
          <w:sz w:val="24"/>
          <w:szCs w:val="24"/>
          <w:highlight w:val="none"/>
        </w:rPr>
        <w:t>7</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供应商关联单位的说明</w:t>
      </w:r>
      <w:bookmarkEnd w:id="1220"/>
      <w:bookmarkEnd w:id="1221"/>
      <w:bookmarkEnd w:id="1222"/>
      <w:bookmarkEnd w:id="1223"/>
      <w:bookmarkEnd w:id="1224"/>
      <w:bookmarkEnd w:id="1225"/>
      <w:bookmarkEnd w:id="1226"/>
      <w:bookmarkEnd w:id="1227"/>
      <w:bookmarkEnd w:id="1228"/>
    </w:p>
    <w:p>
      <w:pPr>
        <w:pStyle w:val="4"/>
        <w:spacing w:line="400" w:lineRule="exact"/>
        <w:jc w:val="center"/>
        <w:rPr>
          <w:rFonts w:hint="eastAsia" w:ascii="微软雅黑" w:hAnsi="微软雅黑" w:eastAsia="微软雅黑" w:cs="微软雅黑"/>
          <w:color w:val="auto"/>
          <w:sz w:val="24"/>
          <w:szCs w:val="24"/>
          <w:highlight w:val="none"/>
        </w:rPr>
      </w:pPr>
    </w:p>
    <w:p>
      <w:pPr>
        <w:pStyle w:val="4"/>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说明：供应商应当如实披露与本单位存在下列关联关系的单位名称：</w:t>
      </w:r>
    </w:p>
    <w:p>
      <w:pPr>
        <w:pStyle w:val="4"/>
        <w:spacing w:line="400" w:lineRule="exact"/>
        <w:ind w:firstLine="960" w:firstLineChars="4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（1）与供应商单位负责人为同一人的其他单位；</w:t>
      </w:r>
    </w:p>
    <w:p>
      <w:pPr>
        <w:pStyle w:val="4"/>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（2）与供应商存在直接控股、管理关系的其他单位。</w:t>
      </w:r>
    </w:p>
    <w:p>
      <w:pPr>
        <w:pStyle w:val="5"/>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b/>
          <w:color w:val="auto"/>
          <w:kern w:val="0"/>
          <w:sz w:val="24"/>
          <w:szCs w:val="24"/>
          <w:highlight w:val="none"/>
        </w:rPr>
      </w:pPr>
    </w:p>
    <w:p>
      <w:pPr>
        <w:pStyle w:val="4"/>
        <w:ind w:left="0" w:leftChars="0" w:firstLine="0" w:firstLineChars="0"/>
        <w:outlineLvl w:val="1"/>
        <w:rPr>
          <w:rFonts w:hint="eastAsia" w:ascii="微软雅黑" w:hAnsi="微软雅黑" w:eastAsia="微软雅黑" w:cs="微软雅黑"/>
          <w:color w:val="auto"/>
          <w:sz w:val="24"/>
          <w:szCs w:val="24"/>
          <w:highlight w:val="none"/>
        </w:rPr>
      </w:pPr>
      <w:bookmarkStart w:id="1229" w:name="_Toc3088"/>
      <w:bookmarkStart w:id="1230" w:name="_Toc29270"/>
      <w:bookmarkStart w:id="1231" w:name="_Toc10917"/>
      <w:bookmarkStart w:id="1232" w:name="_Toc7414"/>
      <w:bookmarkStart w:id="1233" w:name="_Toc17333"/>
      <w:bookmarkStart w:id="1234" w:name="_Toc10352"/>
      <w:bookmarkStart w:id="1235" w:name="_Toc515647828"/>
      <w:bookmarkStart w:id="1236" w:name="_Toc29363"/>
      <w:bookmarkStart w:id="1237" w:name="_Toc1363"/>
      <w:r>
        <w:rPr>
          <w:rFonts w:hint="eastAsia" w:ascii="微软雅黑" w:hAnsi="微软雅黑" w:eastAsia="微软雅黑" w:cs="微软雅黑"/>
          <w:b/>
          <w:bCs/>
          <w:color w:val="auto"/>
          <w:sz w:val="24"/>
          <w:szCs w:val="24"/>
          <w:highlight w:val="none"/>
        </w:rPr>
        <w:t>8</w:t>
      </w:r>
      <w:bookmarkEnd w:id="1229"/>
      <w:bookmarkEnd w:id="1230"/>
      <w:bookmarkEnd w:id="1231"/>
      <w:bookmarkEnd w:id="1232"/>
      <w:bookmarkEnd w:id="1233"/>
      <w:bookmarkEnd w:id="1234"/>
      <w:bookmarkEnd w:id="1235"/>
      <w:r>
        <w:rPr>
          <w:rFonts w:hint="eastAsia" w:ascii="微软雅黑" w:hAnsi="微软雅黑" w:eastAsia="微软雅黑" w:cs="微软雅黑"/>
          <w:b/>
          <w:bCs/>
          <w:color w:val="auto"/>
          <w:sz w:val="24"/>
          <w:szCs w:val="24"/>
          <w:highlight w:val="none"/>
          <w:lang w:val="en-US" w:eastAsia="zh-CN"/>
        </w:rPr>
        <w:t>、</w:t>
      </w:r>
      <w:r>
        <w:rPr>
          <w:rFonts w:hint="eastAsia" w:ascii="微软雅黑" w:hAnsi="微软雅黑" w:eastAsia="微软雅黑" w:cs="微软雅黑"/>
          <w:b/>
          <w:bCs/>
          <w:color w:val="auto"/>
          <w:sz w:val="24"/>
          <w:szCs w:val="24"/>
          <w:highlight w:val="none"/>
        </w:rPr>
        <w:t>供应商可提供有利于投标的其他资格证明材料</w:t>
      </w:r>
      <w:bookmarkEnd w:id="1236"/>
      <w:bookmarkEnd w:id="1237"/>
    </w:p>
    <w:p>
      <w:pPr>
        <w:pStyle w:val="4"/>
        <w:ind w:left="0" w:leftChars="0" w:firstLine="0" w:firstLineChars="0"/>
        <w:rPr>
          <w:rFonts w:hint="eastAsia" w:ascii="微软雅黑" w:hAnsi="微软雅黑" w:eastAsia="微软雅黑" w:cs="微软雅黑"/>
          <w:color w:val="auto"/>
          <w:sz w:val="24"/>
          <w:szCs w:val="24"/>
          <w:highlight w:val="none"/>
        </w:rPr>
      </w:pPr>
    </w:p>
    <w:p>
      <w:pPr>
        <w:pStyle w:val="5"/>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pStyle w:val="19"/>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br w:type="page"/>
      </w:r>
    </w:p>
    <w:p>
      <w:pPr>
        <w:spacing w:line="240" w:lineRule="atLeast"/>
        <w:ind w:left="1080" w:leftChars="257" w:hanging="540"/>
        <w:outlineLvl w:val="1"/>
        <w:rPr>
          <w:rFonts w:hint="eastAsia" w:ascii="微软雅黑" w:hAnsi="微软雅黑" w:eastAsia="微软雅黑" w:cs="微软雅黑"/>
          <w:b/>
          <w:color w:val="auto"/>
          <w:kern w:val="0"/>
          <w:sz w:val="24"/>
          <w:szCs w:val="24"/>
          <w:highlight w:val="none"/>
        </w:rPr>
      </w:pPr>
      <w:bookmarkStart w:id="1238" w:name="_Toc23253"/>
      <w:bookmarkStart w:id="1239" w:name="_Toc1808"/>
      <w:r>
        <w:rPr>
          <w:rFonts w:hint="eastAsia" w:ascii="微软雅黑" w:hAnsi="微软雅黑" w:eastAsia="微软雅黑" w:cs="微软雅黑"/>
          <w:b/>
          <w:color w:val="auto"/>
          <w:kern w:val="0"/>
          <w:sz w:val="24"/>
          <w:szCs w:val="24"/>
          <w:highlight w:val="none"/>
        </w:rPr>
        <w:t>9</w:t>
      </w:r>
      <w:r>
        <w:rPr>
          <w:rFonts w:hint="eastAsia" w:ascii="微软雅黑" w:hAnsi="微软雅黑" w:eastAsia="微软雅黑" w:cs="微软雅黑"/>
          <w:b/>
          <w:color w:val="auto"/>
          <w:kern w:val="0"/>
          <w:sz w:val="24"/>
          <w:szCs w:val="24"/>
          <w:highlight w:val="none"/>
          <w:lang w:eastAsia="zh-CN"/>
        </w:rPr>
        <w:t>、</w:t>
      </w:r>
      <w:r>
        <w:rPr>
          <w:rFonts w:hint="eastAsia" w:ascii="微软雅黑" w:hAnsi="微软雅黑" w:eastAsia="微软雅黑" w:cs="微软雅黑"/>
          <w:b/>
          <w:color w:val="auto"/>
          <w:kern w:val="0"/>
          <w:sz w:val="24"/>
          <w:szCs w:val="24"/>
          <w:highlight w:val="none"/>
        </w:rPr>
        <w:t>投标文件格式范本</w:t>
      </w:r>
      <w:bookmarkEnd w:id="1238"/>
      <w:bookmarkEnd w:id="1239"/>
    </w:p>
    <w:tbl>
      <w:tblPr>
        <w:tblStyle w:val="25"/>
        <w:tblpPr w:leftFromText="180" w:rightFromText="180" w:vertAnchor="text" w:horzAnchor="page" w:tblpX="1380" w:tblpY="440"/>
        <w:tblOverlap w:val="never"/>
        <w:tblW w:w="91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1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1132" w:hRule="atLeast"/>
        </w:trPr>
        <w:tc>
          <w:tcPr>
            <w:tcW w:w="9120" w:type="dxa"/>
            <w:shd w:val="clear" w:color="auto" w:fill="FCFEEA"/>
          </w:tcPr>
          <w:p>
            <w:pPr>
              <w:pStyle w:val="11"/>
              <w:keepNext w:val="0"/>
              <w:keepLines w:val="0"/>
              <w:suppressLineNumbers w:val="0"/>
              <w:spacing w:beforeAutospacing="0" w:after="0" w:afterAutospacing="0"/>
              <w:ind w:left="0" w:right="0"/>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 xml:space="preserve">                                                （正本</w:t>
            </w:r>
            <w:r>
              <w:rPr>
                <w:rFonts w:hint="eastAsia" w:ascii="微软雅黑" w:hAnsi="微软雅黑" w:eastAsia="微软雅黑" w:cs="微软雅黑"/>
                <w:b/>
                <w:bCs/>
                <w:color w:val="auto"/>
                <w:sz w:val="24"/>
                <w:szCs w:val="24"/>
                <w:highlight w:val="none"/>
                <w:lang w:val="en-US" w:eastAsia="zh-CN"/>
              </w:rPr>
              <w:t>和</w:t>
            </w:r>
            <w:r>
              <w:rPr>
                <w:rFonts w:hint="eastAsia" w:ascii="微软雅黑" w:hAnsi="微软雅黑" w:eastAsia="微软雅黑" w:cs="微软雅黑"/>
                <w:b/>
                <w:bCs/>
                <w:color w:val="auto"/>
                <w:sz w:val="24"/>
                <w:szCs w:val="24"/>
                <w:highlight w:val="none"/>
              </w:rPr>
              <w:t>副本）</w:t>
            </w:r>
          </w:p>
          <w:p>
            <w:pPr>
              <w:pStyle w:val="11"/>
              <w:keepNext w:val="0"/>
              <w:keepLines w:val="0"/>
              <w:suppressLineNumbers w:val="0"/>
              <w:spacing w:beforeAutospacing="0" w:after="0" w:afterAutospacing="0"/>
              <w:ind w:left="0" w:right="0" w:firstLine="3602" w:firstLineChars="1500"/>
              <w:rPr>
                <w:rFonts w:hint="eastAsia" w:ascii="微软雅黑" w:hAnsi="微软雅黑" w:eastAsia="微软雅黑" w:cs="微软雅黑"/>
                <w:b/>
                <w:bCs/>
                <w:color w:val="auto"/>
                <w:sz w:val="24"/>
                <w:szCs w:val="24"/>
                <w:highlight w:val="none"/>
              </w:rPr>
            </w:pPr>
          </w:p>
          <w:p>
            <w:pPr>
              <w:pStyle w:val="11"/>
              <w:keepNext w:val="0"/>
              <w:keepLines w:val="0"/>
              <w:suppressLineNumbers w:val="0"/>
              <w:spacing w:beforeAutospacing="0" w:after="0" w:afterAutospacing="0"/>
              <w:ind w:left="0" w:right="0" w:firstLine="3602" w:firstLineChars="1500"/>
              <w:rPr>
                <w:rFonts w:hint="eastAsia" w:ascii="微软雅黑" w:hAnsi="微软雅黑" w:eastAsia="微软雅黑" w:cs="微软雅黑"/>
                <w:b/>
                <w:bCs/>
                <w:color w:val="auto"/>
                <w:sz w:val="24"/>
                <w:szCs w:val="24"/>
                <w:highlight w:val="none"/>
              </w:rPr>
            </w:pPr>
          </w:p>
          <w:p>
            <w:pPr>
              <w:pStyle w:val="11"/>
              <w:keepNext w:val="0"/>
              <w:keepLines w:val="0"/>
              <w:suppressLineNumbers w:val="0"/>
              <w:spacing w:beforeAutospacing="0" w:after="0" w:afterAutospacing="0"/>
              <w:ind w:left="0" w:right="0"/>
              <w:rPr>
                <w:rFonts w:hint="eastAsia" w:ascii="微软雅黑" w:hAnsi="微软雅黑" w:eastAsia="微软雅黑" w:cs="微软雅黑"/>
                <w:b/>
                <w:bCs/>
                <w:color w:val="auto"/>
                <w:sz w:val="24"/>
                <w:szCs w:val="24"/>
                <w:highlight w:val="none"/>
              </w:rPr>
            </w:pPr>
          </w:p>
          <w:p>
            <w:pPr>
              <w:pStyle w:val="11"/>
              <w:keepNext w:val="0"/>
              <w:keepLines w:val="0"/>
              <w:suppressLineNumbers w:val="0"/>
              <w:spacing w:beforeAutospacing="0" w:after="0" w:afterAutospacing="0"/>
              <w:ind w:left="0" w:right="0" w:firstLine="2161" w:firstLineChars="900"/>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w:t>
            </w:r>
          </w:p>
          <w:p>
            <w:pPr>
              <w:pStyle w:val="11"/>
              <w:keepNext w:val="0"/>
              <w:keepLines w:val="0"/>
              <w:suppressLineNumbers w:val="0"/>
              <w:spacing w:beforeAutospacing="0" w:after="0" w:afterAutospacing="0"/>
              <w:ind w:left="0" w:right="0"/>
              <w:jc w:val="center"/>
              <w:rPr>
                <w:rFonts w:hint="eastAsia" w:ascii="微软雅黑" w:hAnsi="微软雅黑" w:eastAsia="微软雅黑" w:cs="微软雅黑"/>
                <w:b/>
                <w:bCs/>
                <w:color w:val="auto"/>
                <w:sz w:val="24"/>
                <w:szCs w:val="24"/>
                <w:highlight w:val="none"/>
              </w:rPr>
            </w:pPr>
          </w:p>
          <w:p>
            <w:pPr>
              <w:pStyle w:val="11"/>
              <w:keepNext w:val="0"/>
              <w:keepLines w:val="0"/>
              <w:suppressLineNumbers w:val="0"/>
              <w:spacing w:beforeAutospacing="0" w:after="0" w:afterAutospacing="0"/>
              <w:ind w:left="0" w:right="0" w:firstLine="3602" w:firstLineChars="1500"/>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rPr>
              <w:t>编号 ＊＊＊      包号：＊＊＊</w:t>
            </w:r>
          </w:p>
          <w:p>
            <w:pPr>
              <w:pStyle w:val="11"/>
              <w:keepNext w:val="0"/>
              <w:keepLines w:val="0"/>
              <w:suppressLineNumbers w:val="0"/>
              <w:spacing w:beforeAutospacing="0" w:after="0" w:afterAutospacing="0"/>
              <w:ind w:left="0" w:right="0"/>
              <w:jc w:val="center"/>
              <w:rPr>
                <w:rFonts w:hint="eastAsia" w:ascii="微软雅黑" w:hAnsi="微软雅黑" w:eastAsia="微软雅黑" w:cs="微软雅黑"/>
                <w:b/>
                <w:bCs/>
                <w:color w:val="auto"/>
                <w:sz w:val="24"/>
                <w:szCs w:val="24"/>
                <w:highlight w:val="none"/>
              </w:rPr>
            </w:pPr>
          </w:p>
          <w:p>
            <w:pPr>
              <w:pStyle w:val="11"/>
              <w:keepNext w:val="0"/>
              <w:keepLines w:val="0"/>
              <w:suppressLineNumbers w:val="0"/>
              <w:spacing w:beforeAutospacing="0" w:after="0" w:afterAutospacing="0"/>
              <w:ind w:left="0" w:right="0"/>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投 标 文 件</w:t>
            </w:r>
          </w:p>
          <w:p>
            <w:pPr>
              <w:pStyle w:val="4"/>
              <w:keepNext w:val="0"/>
              <w:keepLines w:val="0"/>
              <w:suppressLineNumbers w:val="0"/>
              <w:spacing w:before="0" w:beforeAutospacing="0" w:after="0" w:afterAutospacing="0"/>
              <w:ind w:left="0" w:right="0" w:firstLine="0"/>
              <w:rPr>
                <w:rFonts w:hint="eastAsia" w:ascii="微软雅黑" w:hAnsi="微软雅黑" w:eastAsia="微软雅黑" w:cs="微软雅黑"/>
                <w:b/>
                <w:color w:val="auto"/>
                <w:sz w:val="24"/>
                <w:szCs w:val="24"/>
                <w:highlight w:val="none"/>
              </w:rPr>
            </w:pPr>
          </w:p>
          <w:p>
            <w:pPr>
              <w:pStyle w:val="4"/>
              <w:keepNext w:val="0"/>
              <w:keepLines w:val="0"/>
              <w:suppressLineNumbers w:val="0"/>
              <w:spacing w:before="0" w:beforeAutospacing="0" w:after="0" w:afterAutospacing="0"/>
              <w:ind w:left="0" w:right="0"/>
              <w:rPr>
                <w:rFonts w:hint="eastAsia" w:ascii="微软雅黑" w:hAnsi="微软雅黑" w:eastAsia="微软雅黑" w:cs="微软雅黑"/>
                <w:b/>
                <w:color w:val="auto"/>
                <w:sz w:val="24"/>
                <w:szCs w:val="24"/>
                <w:highlight w:val="none"/>
              </w:rPr>
            </w:pPr>
          </w:p>
          <w:p>
            <w:pPr>
              <w:keepNext w:val="0"/>
              <w:keepLines w:val="0"/>
              <w:suppressLineNumbers w:val="0"/>
              <w:spacing w:before="0" w:beforeAutospacing="0" w:after="0" w:afterAutospacing="0" w:line="360" w:lineRule="auto"/>
              <w:ind w:left="176" w:leftChars="84" w:right="0" w:firstLine="960" w:firstLineChars="4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（公章）</w:t>
            </w:r>
          </w:p>
          <w:p>
            <w:pPr>
              <w:keepNext w:val="0"/>
              <w:keepLines w:val="0"/>
              <w:suppressLineNumbers w:val="0"/>
              <w:spacing w:before="0" w:beforeAutospacing="0" w:after="0" w:afterAutospacing="0" w:line="360" w:lineRule="auto"/>
              <w:ind w:left="176" w:leftChars="84" w:right="0" w:firstLine="960" w:firstLineChars="4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项目名称：</w:t>
            </w:r>
            <w:r>
              <w:rPr>
                <w:rFonts w:hint="eastAsia" w:ascii="微软雅黑" w:hAnsi="微软雅黑" w:eastAsia="微软雅黑" w:cs="微软雅黑"/>
                <w:color w:val="auto"/>
                <w:sz w:val="24"/>
                <w:szCs w:val="24"/>
                <w:highlight w:val="none"/>
                <w:u w:val="single"/>
              </w:rPr>
              <w:t xml:space="preserve">                                          </w:t>
            </w:r>
          </w:p>
          <w:p>
            <w:pPr>
              <w:keepNext w:val="0"/>
              <w:keepLines w:val="0"/>
              <w:suppressLineNumbers w:val="0"/>
              <w:spacing w:before="0" w:beforeAutospacing="0" w:after="0" w:afterAutospacing="0" w:line="360" w:lineRule="auto"/>
              <w:ind w:left="176" w:leftChars="84" w:right="0" w:firstLine="960" w:firstLineChars="4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项目编号：</w:t>
            </w:r>
            <w:r>
              <w:rPr>
                <w:rFonts w:hint="eastAsia" w:ascii="微软雅黑" w:hAnsi="微软雅黑" w:eastAsia="微软雅黑" w:cs="微软雅黑"/>
                <w:color w:val="auto"/>
                <w:sz w:val="24"/>
                <w:szCs w:val="24"/>
                <w:highlight w:val="none"/>
                <w:u w:val="single"/>
              </w:rPr>
              <w:t xml:space="preserve">                                        </w:t>
            </w:r>
          </w:p>
          <w:p>
            <w:pPr>
              <w:keepNext w:val="0"/>
              <w:keepLines w:val="0"/>
              <w:suppressLineNumbers w:val="0"/>
              <w:spacing w:before="0" w:beforeAutospacing="0" w:after="0" w:afterAutospacing="0" w:line="360" w:lineRule="auto"/>
              <w:ind w:left="176" w:leftChars="84" w:right="0" w:firstLine="960" w:firstLineChars="4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联 系 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w:t>
            </w:r>
          </w:p>
          <w:p>
            <w:pPr>
              <w:keepNext w:val="0"/>
              <w:keepLines w:val="0"/>
              <w:suppressLineNumbers w:val="0"/>
              <w:spacing w:before="0" w:beforeAutospacing="0" w:after="0" w:afterAutospacing="0" w:line="360" w:lineRule="auto"/>
              <w:ind w:left="176" w:leftChars="84" w:right="0" w:firstLine="960" w:firstLineChars="4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    话：</w:t>
            </w:r>
            <w:r>
              <w:rPr>
                <w:rFonts w:hint="eastAsia" w:ascii="微软雅黑" w:hAnsi="微软雅黑" w:eastAsia="微软雅黑" w:cs="微软雅黑"/>
                <w:color w:val="auto"/>
                <w:sz w:val="24"/>
                <w:szCs w:val="24"/>
                <w:highlight w:val="none"/>
                <w:u w:val="single"/>
              </w:rPr>
              <w:t xml:space="preserve">                                        </w:t>
            </w:r>
          </w:p>
          <w:p>
            <w:pPr>
              <w:keepNext w:val="0"/>
              <w:keepLines w:val="0"/>
              <w:suppressLineNumbers w:val="0"/>
              <w:spacing w:before="0" w:beforeAutospacing="0" w:after="0" w:afterAutospacing="0" w:line="360" w:lineRule="auto"/>
              <w:ind w:left="176" w:leftChars="84" w:right="0" w:firstLine="960" w:firstLineChars="400"/>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rPr>
              <w:t xml:space="preserve">地    址  ：  </w:t>
            </w:r>
            <w:r>
              <w:rPr>
                <w:rFonts w:hint="eastAsia" w:ascii="微软雅黑" w:hAnsi="微软雅黑" w:eastAsia="微软雅黑" w:cs="微软雅黑"/>
                <w:color w:val="auto"/>
                <w:sz w:val="24"/>
                <w:szCs w:val="24"/>
                <w:highlight w:val="none"/>
                <w:u w:val="single"/>
              </w:rPr>
              <w:t xml:space="preserve">                                    </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color w:val="auto"/>
                <w:sz w:val="24"/>
                <w:szCs w:val="24"/>
                <w:highlight w:val="none"/>
              </w:rPr>
            </w:pPr>
          </w:p>
          <w:p>
            <w:pPr>
              <w:pStyle w:val="4"/>
              <w:keepNext w:val="0"/>
              <w:keepLines w:val="0"/>
              <w:suppressLineNumbers w:val="0"/>
              <w:spacing w:before="0" w:beforeAutospacing="0" w:after="0" w:afterAutospacing="0"/>
              <w:ind w:left="0" w:right="0"/>
              <w:rPr>
                <w:rFonts w:hint="eastAsia" w:ascii="微软雅黑" w:hAnsi="微软雅黑" w:eastAsia="微软雅黑" w:cs="微软雅黑"/>
                <w:color w:val="auto"/>
                <w:sz w:val="24"/>
                <w:szCs w:val="24"/>
                <w:highlight w:val="none"/>
              </w:rPr>
            </w:pP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color w:val="auto"/>
                <w:sz w:val="24"/>
                <w:szCs w:val="24"/>
                <w:highlight w:val="none"/>
              </w:rPr>
            </w:pP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注：   在202</w:t>
            </w:r>
            <w:r>
              <w:rPr>
                <w:rFonts w:hint="eastAsia" w:ascii="微软雅黑" w:hAnsi="微软雅黑" w:eastAsia="微软雅黑" w:cs="微软雅黑"/>
                <w:b/>
                <w:bCs/>
                <w:color w:val="auto"/>
                <w:sz w:val="24"/>
                <w:szCs w:val="24"/>
                <w:highlight w:val="none"/>
                <w:lang w:val="en-US" w:eastAsia="zh-CN"/>
              </w:rPr>
              <w:t>*</w:t>
            </w:r>
            <w:r>
              <w:rPr>
                <w:rFonts w:hint="eastAsia" w:ascii="微软雅黑" w:hAnsi="微软雅黑" w:eastAsia="微软雅黑" w:cs="微软雅黑"/>
                <w:b/>
                <w:bCs/>
                <w:color w:val="auto"/>
                <w:sz w:val="24"/>
                <w:szCs w:val="24"/>
                <w:highlight w:val="none"/>
              </w:rPr>
              <w:t>年＊月＊日＊午</w:t>
            </w:r>
            <w:r>
              <w:rPr>
                <w:rFonts w:hint="eastAsia" w:ascii="微软雅黑" w:hAnsi="微软雅黑" w:eastAsia="微软雅黑" w:cs="微软雅黑"/>
                <w:color w:val="auto"/>
                <w:kern w:val="0"/>
                <w:sz w:val="24"/>
                <w:szCs w:val="24"/>
                <w:highlight w:val="none"/>
              </w:rPr>
              <w:t>XX</w:t>
            </w:r>
            <w:r>
              <w:rPr>
                <w:rFonts w:hint="eastAsia" w:ascii="微软雅黑" w:hAnsi="微软雅黑" w:eastAsia="微软雅黑" w:cs="微软雅黑"/>
                <w:b/>
                <w:bCs/>
                <w:color w:val="auto"/>
                <w:sz w:val="24"/>
                <w:szCs w:val="24"/>
                <w:highlight w:val="none"/>
              </w:rPr>
              <w:t>之前不得启封</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color w:val="auto"/>
                <w:sz w:val="24"/>
                <w:szCs w:val="24"/>
                <w:highlight w:val="none"/>
              </w:rPr>
            </w:pPr>
          </w:p>
        </w:tc>
      </w:tr>
    </w:tbl>
    <w:p>
      <w:pPr>
        <w:spacing w:line="240" w:lineRule="atLeast"/>
        <w:jc w:val="center"/>
        <w:rPr>
          <w:rFonts w:hint="eastAsia" w:ascii="微软雅黑" w:hAnsi="微软雅黑" w:eastAsia="微软雅黑" w:cs="微软雅黑"/>
          <w:b/>
          <w:color w:val="auto"/>
          <w:sz w:val="24"/>
          <w:szCs w:val="24"/>
          <w:highlight w:val="none"/>
        </w:rPr>
      </w:pPr>
    </w:p>
    <w:p>
      <w:pPr>
        <w:spacing w:line="240" w:lineRule="atLeast"/>
        <w:jc w:val="center"/>
        <w:rPr>
          <w:rFonts w:hint="eastAsia" w:ascii="微软雅黑" w:hAnsi="微软雅黑" w:eastAsia="微软雅黑" w:cs="微软雅黑"/>
          <w:b/>
          <w:color w:val="auto"/>
          <w:sz w:val="24"/>
          <w:szCs w:val="24"/>
          <w:highlight w:val="none"/>
        </w:rPr>
      </w:pPr>
    </w:p>
    <w:p>
      <w:pPr>
        <w:spacing w:line="240" w:lineRule="atLeast"/>
        <w:jc w:val="center"/>
        <w:rPr>
          <w:rFonts w:hint="eastAsia" w:ascii="微软雅黑" w:hAnsi="微软雅黑" w:eastAsia="微软雅黑" w:cs="微软雅黑"/>
          <w:b/>
          <w:color w:val="auto"/>
          <w:sz w:val="24"/>
          <w:szCs w:val="24"/>
          <w:highlight w:val="none"/>
        </w:rPr>
      </w:pPr>
    </w:p>
    <w:p>
      <w:pPr>
        <w:spacing w:line="240" w:lineRule="atLeast"/>
        <w:jc w:val="center"/>
        <w:rPr>
          <w:rFonts w:hint="eastAsia" w:ascii="微软雅黑" w:hAnsi="微软雅黑" w:eastAsia="微软雅黑" w:cs="微软雅黑"/>
          <w:b/>
          <w:color w:val="auto"/>
          <w:sz w:val="24"/>
          <w:szCs w:val="24"/>
          <w:highlight w:val="none"/>
        </w:rPr>
      </w:pPr>
    </w:p>
    <w:p>
      <w:pPr>
        <w:spacing w:line="240" w:lineRule="atLeast"/>
        <w:rPr>
          <w:rFonts w:hint="eastAsia" w:ascii="微软雅黑" w:hAnsi="微软雅黑" w:eastAsia="微软雅黑" w:cs="微软雅黑"/>
          <w:b/>
          <w:color w:val="auto"/>
          <w:sz w:val="24"/>
          <w:szCs w:val="24"/>
          <w:highlight w:val="none"/>
        </w:rPr>
      </w:pPr>
    </w:p>
    <w:p>
      <w:pPr>
        <w:spacing w:line="240" w:lineRule="atLeast"/>
        <w:jc w:val="center"/>
        <w:rPr>
          <w:rFonts w:hint="eastAsia" w:ascii="微软雅黑" w:hAnsi="微软雅黑" w:eastAsia="微软雅黑" w:cs="微软雅黑"/>
          <w:b/>
          <w:color w:val="auto"/>
          <w:sz w:val="24"/>
          <w:szCs w:val="24"/>
          <w:highlight w:val="none"/>
        </w:rPr>
      </w:pPr>
    </w:p>
    <w:p>
      <w:pPr>
        <w:outlineLvl w:val="9"/>
        <w:rPr>
          <w:rFonts w:hint="eastAsia" w:ascii="微软雅黑" w:hAnsi="微软雅黑" w:eastAsia="微软雅黑" w:cs="微软雅黑"/>
          <w:b/>
          <w:color w:val="auto"/>
          <w:sz w:val="24"/>
          <w:szCs w:val="24"/>
          <w:highlight w:val="none"/>
        </w:rPr>
      </w:pPr>
    </w:p>
    <w:p>
      <w:pPr>
        <w:pStyle w:val="4"/>
        <w:outlineLvl w:val="9"/>
        <w:rPr>
          <w:rFonts w:hint="eastAsia" w:ascii="微软雅黑" w:hAnsi="微软雅黑" w:eastAsia="微软雅黑" w:cs="微软雅黑"/>
          <w:b/>
          <w:color w:val="auto"/>
          <w:sz w:val="24"/>
          <w:szCs w:val="24"/>
          <w:highlight w:val="none"/>
        </w:rPr>
      </w:pPr>
    </w:p>
    <w:p>
      <w:pPr>
        <w:pStyle w:val="5"/>
        <w:outlineLvl w:val="9"/>
        <w:rPr>
          <w:rFonts w:hint="eastAsia" w:ascii="微软雅黑" w:hAnsi="微软雅黑" w:eastAsia="微软雅黑" w:cs="微软雅黑"/>
          <w:b/>
          <w:color w:val="auto"/>
          <w:sz w:val="24"/>
          <w:szCs w:val="24"/>
          <w:highlight w:val="none"/>
        </w:rPr>
      </w:pPr>
    </w:p>
    <w:p>
      <w:pPr>
        <w:outlineLvl w:val="9"/>
        <w:rPr>
          <w:rFonts w:hint="eastAsia" w:ascii="微软雅黑" w:hAnsi="微软雅黑" w:eastAsia="微软雅黑" w:cs="微软雅黑"/>
          <w:b/>
          <w:color w:val="auto"/>
          <w:sz w:val="24"/>
          <w:szCs w:val="24"/>
          <w:highlight w:val="none"/>
        </w:rPr>
      </w:pPr>
    </w:p>
    <w:p>
      <w:pPr>
        <w:outlineLvl w:val="9"/>
        <w:rPr>
          <w:rFonts w:hint="eastAsia" w:ascii="微软雅黑" w:hAnsi="微软雅黑" w:eastAsia="微软雅黑" w:cs="微软雅黑"/>
          <w:highlight w:val="none"/>
        </w:rPr>
      </w:pPr>
    </w:p>
    <w:p>
      <w:pPr>
        <w:pStyle w:val="19"/>
        <w:rPr>
          <w:rFonts w:hint="eastAsia" w:ascii="微软雅黑" w:hAnsi="微软雅黑" w:eastAsia="微软雅黑" w:cs="微软雅黑"/>
          <w:color w:val="auto"/>
          <w:sz w:val="40"/>
          <w:szCs w:val="40"/>
          <w:highlight w:val="none"/>
        </w:rPr>
      </w:pPr>
    </w:p>
    <w:p>
      <w:pPr>
        <w:spacing w:line="240" w:lineRule="atLeast"/>
        <w:jc w:val="center"/>
        <w:rPr>
          <w:rFonts w:hint="eastAsia" w:ascii="微软雅黑" w:hAnsi="微软雅黑" w:eastAsia="微软雅黑" w:cs="微软雅黑"/>
          <w:b/>
          <w:color w:val="auto"/>
          <w:sz w:val="40"/>
          <w:szCs w:val="40"/>
          <w:highlight w:val="none"/>
        </w:rPr>
      </w:pPr>
      <w:r>
        <w:rPr>
          <w:rFonts w:hint="eastAsia" w:ascii="微软雅黑" w:hAnsi="微软雅黑" w:eastAsia="微软雅黑" w:cs="微软雅黑"/>
          <w:b/>
          <w:color w:val="auto"/>
          <w:sz w:val="40"/>
          <w:szCs w:val="40"/>
          <w:highlight w:val="none"/>
        </w:rPr>
        <w:t>招 标 文 件</w:t>
      </w:r>
    </w:p>
    <w:p>
      <w:pPr>
        <w:spacing w:line="360" w:lineRule="auto"/>
        <w:rPr>
          <w:rFonts w:hint="eastAsia" w:ascii="微软雅黑" w:hAnsi="微软雅黑" w:eastAsia="微软雅黑" w:cs="微软雅黑"/>
          <w:b/>
          <w:color w:val="auto"/>
          <w:sz w:val="40"/>
          <w:szCs w:val="40"/>
          <w:highlight w:val="none"/>
        </w:rPr>
      </w:pPr>
      <w:bookmarkStart w:id="1240" w:name="_Toc24900_WPSOffice_Level2"/>
    </w:p>
    <w:bookmarkEnd w:id="1240"/>
    <w:p>
      <w:pPr>
        <w:spacing w:line="360" w:lineRule="auto"/>
        <w:jc w:val="center"/>
        <w:rPr>
          <w:rFonts w:hint="eastAsia" w:ascii="微软雅黑" w:hAnsi="微软雅黑" w:eastAsia="微软雅黑" w:cs="微软雅黑"/>
          <w:b/>
          <w:color w:val="auto"/>
          <w:sz w:val="40"/>
          <w:szCs w:val="40"/>
          <w:highlight w:val="none"/>
          <w:lang w:val="en-US" w:eastAsia="zh-CN"/>
        </w:rPr>
      </w:pPr>
      <w:r>
        <w:rPr>
          <w:rFonts w:hint="eastAsia" w:ascii="微软雅黑" w:hAnsi="微软雅黑" w:eastAsia="微软雅黑" w:cs="微软雅黑"/>
          <w:b/>
          <w:color w:val="auto"/>
          <w:sz w:val="40"/>
          <w:szCs w:val="40"/>
          <w:highlight w:val="none"/>
          <w:lang w:eastAsia="zh-CN"/>
        </w:rPr>
        <w:t>项目编号：23GJ-(GK)014</w:t>
      </w:r>
    </w:p>
    <w:p>
      <w:pPr>
        <w:spacing w:line="240" w:lineRule="atLeast"/>
        <w:jc w:val="center"/>
        <w:rPr>
          <w:rFonts w:hint="eastAsia" w:ascii="微软雅黑" w:hAnsi="微软雅黑" w:eastAsia="微软雅黑" w:cs="微软雅黑"/>
          <w:b/>
          <w:color w:val="auto"/>
          <w:sz w:val="40"/>
          <w:szCs w:val="40"/>
          <w:highlight w:val="none"/>
        </w:rPr>
      </w:pPr>
    </w:p>
    <w:p>
      <w:pPr>
        <w:spacing w:line="240" w:lineRule="atLeast"/>
        <w:jc w:val="center"/>
        <w:rPr>
          <w:rFonts w:hint="eastAsia" w:ascii="微软雅黑" w:hAnsi="微软雅黑" w:eastAsia="微软雅黑" w:cs="微软雅黑"/>
          <w:b/>
          <w:color w:val="auto"/>
          <w:sz w:val="40"/>
          <w:szCs w:val="40"/>
          <w:highlight w:val="none"/>
        </w:rPr>
      </w:pPr>
    </w:p>
    <w:p>
      <w:pPr>
        <w:spacing w:line="240" w:lineRule="atLeast"/>
        <w:jc w:val="center"/>
        <w:rPr>
          <w:rFonts w:hint="eastAsia" w:ascii="微软雅黑" w:hAnsi="微软雅黑" w:eastAsia="微软雅黑" w:cs="微软雅黑"/>
          <w:b/>
          <w:color w:val="auto"/>
          <w:sz w:val="40"/>
          <w:szCs w:val="40"/>
          <w:highlight w:val="none"/>
        </w:rPr>
      </w:pPr>
      <w:r>
        <w:rPr>
          <w:rFonts w:hint="eastAsia" w:ascii="微软雅黑" w:hAnsi="微软雅黑" w:eastAsia="微软雅黑" w:cs="微软雅黑"/>
          <w:b/>
          <w:color w:val="auto"/>
          <w:sz w:val="40"/>
          <w:szCs w:val="40"/>
          <w:highlight w:val="none"/>
        </w:rPr>
        <w:t>第 二 册</w:t>
      </w:r>
    </w:p>
    <w:p>
      <w:pPr>
        <w:rPr>
          <w:rFonts w:hint="eastAsia" w:ascii="微软雅黑" w:hAnsi="微软雅黑" w:eastAsia="微软雅黑" w:cs="微软雅黑"/>
          <w:color w:val="auto"/>
          <w:sz w:val="24"/>
          <w:szCs w:val="24"/>
          <w:highlight w:val="none"/>
        </w:rPr>
      </w:pPr>
    </w:p>
    <w:p>
      <w:pPr>
        <w:rPr>
          <w:rFonts w:hint="eastAsia" w:ascii="微软雅黑" w:hAnsi="微软雅黑" w:eastAsia="微软雅黑" w:cs="微软雅黑"/>
          <w:color w:val="auto"/>
          <w:sz w:val="44"/>
          <w:szCs w:val="36"/>
          <w:highlight w:val="none"/>
        </w:rPr>
      </w:pPr>
    </w:p>
    <w:p>
      <w:pPr>
        <w:pStyle w:val="4"/>
        <w:rPr>
          <w:rFonts w:hint="eastAsia" w:ascii="微软雅黑" w:hAnsi="微软雅黑" w:eastAsia="微软雅黑" w:cs="微软雅黑"/>
          <w:b/>
          <w:color w:val="auto"/>
          <w:sz w:val="44"/>
          <w:szCs w:val="36"/>
          <w:highlight w:val="none"/>
        </w:rPr>
      </w:pPr>
    </w:p>
    <w:p>
      <w:pPr>
        <w:pStyle w:val="5"/>
        <w:rPr>
          <w:rFonts w:hint="eastAsia" w:ascii="微软雅黑" w:hAnsi="微软雅黑" w:eastAsia="微软雅黑" w:cs="微软雅黑"/>
          <w:b/>
          <w:color w:val="auto"/>
          <w:sz w:val="44"/>
          <w:szCs w:val="36"/>
          <w:highlight w:val="none"/>
        </w:rPr>
      </w:pPr>
    </w:p>
    <w:p>
      <w:pPr>
        <w:rPr>
          <w:rFonts w:hint="eastAsia" w:ascii="微软雅黑" w:hAnsi="微软雅黑" w:eastAsia="微软雅黑" w:cs="微软雅黑"/>
          <w:color w:val="auto"/>
          <w:highlight w:val="none"/>
        </w:rPr>
      </w:pPr>
    </w:p>
    <w:p>
      <w:pPr>
        <w:rPr>
          <w:rFonts w:hint="eastAsia" w:ascii="微软雅黑" w:hAnsi="微软雅黑" w:eastAsia="微软雅黑" w:cs="微软雅黑"/>
          <w:color w:val="auto"/>
          <w:highlight w:val="none"/>
        </w:rPr>
      </w:pPr>
    </w:p>
    <w:p>
      <w:pPr>
        <w:spacing w:line="240" w:lineRule="atLeast"/>
        <w:jc w:val="center"/>
        <w:rPr>
          <w:rFonts w:hint="eastAsia" w:ascii="微软雅黑" w:hAnsi="微软雅黑" w:eastAsia="微软雅黑" w:cs="微软雅黑"/>
          <w:b/>
          <w:color w:val="auto"/>
          <w:sz w:val="32"/>
          <w:highlight w:val="none"/>
        </w:rPr>
      </w:pPr>
    </w:p>
    <w:bookmarkEnd w:id="1105"/>
    <w:bookmarkEnd w:id="1106"/>
    <w:bookmarkEnd w:id="1107"/>
    <w:bookmarkEnd w:id="1108"/>
    <w:bookmarkEnd w:id="1109"/>
    <w:bookmarkEnd w:id="1110"/>
    <w:bookmarkEnd w:id="1111"/>
    <w:bookmarkEnd w:id="1112"/>
    <w:bookmarkEnd w:id="1113"/>
    <w:bookmarkEnd w:id="1114"/>
    <w:p>
      <w:pPr>
        <w:rPr>
          <w:rStyle w:val="38"/>
          <w:rFonts w:hint="eastAsia" w:ascii="微软雅黑" w:hAnsi="微软雅黑" w:eastAsia="微软雅黑" w:cs="微软雅黑"/>
          <w:color w:val="auto"/>
          <w:highlight w:val="none"/>
        </w:rPr>
      </w:pPr>
      <w:bookmarkStart w:id="1241" w:name="_Toc216582822"/>
      <w:bookmarkStart w:id="1242" w:name="_Toc507399902"/>
      <w:bookmarkStart w:id="1243" w:name="_Toc219175634"/>
      <w:bookmarkStart w:id="1244" w:name="_Toc28765"/>
      <w:bookmarkStart w:id="1245" w:name="_Toc29715"/>
      <w:bookmarkStart w:id="1246" w:name="_Toc218935350"/>
      <w:bookmarkStart w:id="1247" w:name="_Toc16370"/>
      <w:bookmarkStart w:id="1248" w:name="_Toc515647829"/>
      <w:bookmarkStart w:id="1249" w:name="_Toc22081"/>
      <w:r>
        <w:rPr>
          <w:rStyle w:val="38"/>
          <w:rFonts w:hint="eastAsia" w:ascii="微软雅黑" w:hAnsi="微软雅黑" w:eastAsia="微软雅黑" w:cs="微软雅黑"/>
          <w:color w:val="auto"/>
          <w:highlight w:val="none"/>
        </w:rPr>
        <w:br w:type="page"/>
      </w:r>
    </w:p>
    <w:p>
      <w:pPr>
        <w:widowControl/>
        <w:spacing w:line="440" w:lineRule="exact"/>
        <w:jc w:val="center"/>
        <w:outlineLvl w:val="0"/>
        <w:rPr>
          <w:rStyle w:val="38"/>
          <w:rFonts w:hint="eastAsia" w:ascii="微软雅黑" w:hAnsi="微软雅黑" w:eastAsia="微软雅黑" w:cs="微软雅黑"/>
          <w:color w:val="auto"/>
          <w:highlight w:val="none"/>
        </w:rPr>
      </w:pPr>
      <w:bookmarkStart w:id="1250" w:name="_Toc2939"/>
      <w:r>
        <w:rPr>
          <w:rStyle w:val="38"/>
          <w:rFonts w:hint="eastAsia" w:ascii="微软雅黑" w:hAnsi="微软雅黑" w:eastAsia="微软雅黑" w:cs="微软雅黑"/>
          <w:color w:val="auto"/>
          <w:highlight w:val="none"/>
        </w:rPr>
        <w:t>第3章  投标邀请</w:t>
      </w:r>
      <w:bookmarkEnd w:id="1241"/>
      <w:bookmarkEnd w:id="1242"/>
      <w:bookmarkEnd w:id="1243"/>
      <w:bookmarkEnd w:id="1244"/>
      <w:bookmarkEnd w:id="1245"/>
      <w:bookmarkEnd w:id="1246"/>
      <w:bookmarkEnd w:id="1247"/>
      <w:bookmarkEnd w:id="1248"/>
      <w:bookmarkEnd w:id="1249"/>
      <w:bookmarkEnd w:id="1250"/>
      <w:bookmarkStart w:id="1251" w:name="_Toc216582823"/>
      <w:bookmarkStart w:id="1252" w:name="_Toc10488"/>
      <w:bookmarkStart w:id="1253" w:name="_Toc512937850"/>
      <w:bookmarkStart w:id="1254" w:name="_Toc507399903"/>
      <w:bookmarkStart w:id="1255" w:name="_Toc515647830"/>
      <w:bookmarkStart w:id="1256" w:name="_Toc5272"/>
      <w:bookmarkStart w:id="1257" w:name="_Toc31583"/>
    </w:p>
    <w:p>
      <w:pPr>
        <w:tabs>
          <w:tab w:val="left" w:pos="0"/>
          <w:tab w:val="left" w:pos="3165"/>
          <w:tab w:val="center" w:pos="4153"/>
        </w:tabs>
        <w:spacing w:before="0" w:after="0" w:line="480" w:lineRule="exact"/>
        <w:jc w:val="center"/>
        <w:outlineLvl w:val="9"/>
        <w:rPr>
          <w:rFonts w:hint="eastAsia" w:ascii="微软雅黑" w:hAnsi="微软雅黑" w:eastAsia="微软雅黑" w:cs="微软雅黑"/>
          <w:b/>
          <w:bCs/>
          <w:color w:val="auto"/>
          <w:sz w:val="36"/>
          <w:szCs w:val="36"/>
          <w:highlight w:val="none"/>
          <w:lang w:val="en-US" w:eastAsia="zh-CN"/>
        </w:rPr>
      </w:pPr>
      <w:bookmarkStart w:id="1258" w:name="_Toc29132"/>
      <w:r>
        <w:rPr>
          <w:rFonts w:hint="eastAsia" w:ascii="微软雅黑" w:hAnsi="微软雅黑" w:eastAsia="微软雅黑" w:cs="微软雅黑"/>
          <w:b/>
          <w:bCs/>
          <w:color w:val="auto"/>
          <w:sz w:val="36"/>
          <w:szCs w:val="36"/>
          <w:highlight w:val="none"/>
          <w:lang w:val="en-US" w:eastAsia="zh-CN"/>
        </w:rPr>
        <w:t>麦盖提县酸枣种子采购项目</w:t>
      </w:r>
    </w:p>
    <w:p>
      <w:pPr>
        <w:tabs>
          <w:tab w:val="left" w:pos="0"/>
          <w:tab w:val="left" w:pos="3165"/>
          <w:tab w:val="center" w:pos="4153"/>
        </w:tabs>
        <w:spacing w:before="0" w:after="0" w:line="480" w:lineRule="exact"/>
        <w:jc w:val="center"/>
        <w:outlineLvl w:val="9"/>
        <w:rPr>
          <w:rFonts w:hint="eastAsia" w:ascii="微软雅黑" w:hAnsi="微软雅黑" w:eastAsia="微软雅黑" w:cs="微软雅黑"/>
          <w:b/>
          <w:bCs/>
          <w:color w:val="auto"/>
          <w:sz w:val="36"/>
          <w:szCs w:val="36"/>
          <w:highlight w:val="none"/>
          <w:lang w:eastAsia="zh-CN"/>
        </w:rPr>
      </w:pPr>
      <w:r>
        <w:rPr>
          <w:rFonts w:hint="eastAsia" w:ascii="微软雅黑" w:hAnsi="微软雅黑" w:eastAsia="微软雅黑" w:cs="微软雅黑"/>
          <w:b/>
          <w:bCs/>
          <w:color w:val="auto"/>
          <w:sz w:val="36"/>
          <w:szCs w:val="36"/>
          <w:highlight w:val="none"/>
          <w:lang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720" w:firstLineChars="3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u w:val="single"/>
          <w:lang w:val="en-US" w:eastAsia="zh-CN"/>
        </w:rPr>
        <w:t>麦盖提县酸枣种子采购项目</w:t>
      </w:r>
      <w:r>
        <w:rPr>
          <w:rFonts w:hint="eastAsia" w:ascii="微软雅黑" w:hAnsi="微软雅黑" w:eastAsia="微软雅黑" w:cs="微软雅黑"/>
          <w:color w:val="auto"/>
          <w:sz w:val="24"/>
          <w:szCs w:val="24"/>
          <w:highlight w:val="none"/>
        </w:rPr>
        <w:t>的潜在供应商应在</w:t>
      </w:r>
      <w:r>
        <w:rPr>
          <w:rFonts w:hint="eastAsia" w:ascii="微软雅黑" w:hAnsi="微软雅黑" w:eastAsia="微软雅黑" w:cs="微软雅黑"/>
          <w:color w:val="auto"/>
          <w:sz w:val="24"/>
          <w:szCs w:val="24"/>
          <w:highlight w:val="none"/>
          <w:u w:val="single"/>
          <w:lang w:val="en-US" w:eastAsia="zh-CN"/>
        </w:rPr>
        <w:t>政采云平台（https://login.zcygov.cn/user-login/#/login）</w:t>
      </w:r>
      <w:r>
        <w:rPr>
          <w:rFonts w:hint="eastAsia" w:ascii="微软雅黑" w:hAnsi="微软雅黑" w:eastAsia="微软雅黑" w:cs="微软雅黑"/>
          <w:color w:val="auto"/>
          <w:sz w:val="24"/>
          <w:szCs w:val="24"/>
          <w:highlight w:val="none"/>
        </w:rPr>
        <w:t>获取招标文件，并于</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u w:val="single"/>
        </w:rPr>
        <w:t>2023年</w:t>
      </w:r>
      <w:r>
        <w:rPr>
          <w:rFonts w:hint="eastAsia" w:ascii="微软雅黑" w:hAnsi="微软雅黑" w:eastAsia="微软雅黑" w:cs="微软雅黑"/>
          <w:color w:val="auto"/>
          <w:sz w:val="24"/>
          <w:szCs w:val="24"/>
          <w:highlight w:val="none"/>
          <w:u w:val="single"/>
          <w:lang w:val="en-US" w:eastAsia="zh-CN"/>
        </w:rPr>
        <w:t>4</w:t>
      </w:r>
      <w:r>
        <w:rPr>
          <w:rFonts w:hint="eastAsia" w:ascii="微软雅黑" w:hAnsi="微软雅黑" w:eastAsia="微软雅黑" w:cs="微软雅黑"/>
          <w:color w:val="auto"/>
          <w:sz w:val="24"/>
          <w:szCs w:val="24"/>
          <w:highlight w:val="none"/>
          <w:u w:val="single"/>
        </w:rPr>
        <w:t>月</w:t>
      </w:r>
      <w:r>
        <w:rPr>
          <w:rFonts w:hint="eastAsia" w:ascii="微软雅黑" w:hAnsi="微软雅黑" w:eastAsia="微软雅黑" w:cs="微软雅黑"/>
          <w:color w:val="auto"/>
          <w:sz w:val="24"/>
          <w:szCs w:val="24"/>
          <w:highlight w:val="none"/>
          <w:u w:val="single"/>
          <w:lang w:val="en-US" w:eastAsia="zh-CN"/>
        </w:rPr>
        <w:t>12</w:t>
      </w:r>
      <w:r>
        <w:rPr>
          <w:rFonts w:hint="eastAsia" w:ascii="微软雅黑" w:hAnsi="微软雅黑" w:eastAsia="微软雅黑" w:cs="微软雅黑"/>
          <w:color w:val="auto"/>
          <w:sz w:val="24"/>
          <w:szCs w:val="24"/>
          <w:highlight w:val="none"/>
          <w:u w:val="single"/>
        </w:rPr>
        <w:t>日10点30分（北京时间）</w:t>
      </w:r>
      <w:r>
        <w:rPr>
          <w:rFonts w:hint="eastAsia" w:ascii="微软雅黑" w:hAnsi="微软雅黑" w:eastAsia="微软雅黑" w:cs="微软雅黑"/>
          <w:bCs/>
          <w:color w:val="auto"/>
          <w:sz w:val="24"/>
          <w:szCs w:val="24"/>
          <w:highlight w:val="none"/>
        </w:rPr>
        <w:t>前</w:t>
      </w:r>
      <w:r>
        <w:rPr>
          <w:rFonts w:hint="eastAsia" w:ascii="微软雅黑" w:hAnsi="微软雅黑" w:eastAsia="微软雅黑" w:cs="微软雅黑"/>
          <w:bCs/>
          <w:color w:val="auto"/>
          <w:sz w:val="24"/>
          <w:szCs w:val="24"/>
          <w:highlight w:val="none"/>
          <w:lang w:eastAsia="zh-CN"/>
        </w:rPr>
        <w:t>上传</w:t>
      </w:r>
      <w:r>
        <w:rPr>
          <w:rFonts w:hint="eastAsia" w:ascii="微软雅黑" w:hAnsi="微软雅黑" w:eastAsia="微软雅黑" w:cs="微软雅黑"/>
          <w:bCs/>
          <w:color w:val="auto"/>
          <w:sz w:val="24"/>
          <w:szCs w:val="24"/>
          <w:highlight w:val="none"/>
        </w:rPr>
        <w:t>投标文件</w:t>
      </w:r>
      <w:r>
        <w:rPr>
          <w:rFonts w:hint="eastAsia" w:ascii="微软雅黑" w:hAnsi="微软雅黑" w:eastAsia="微软雅黑" w:cs="微软雅黑"/>
          <w:color w:val="auto"/>
          <w:sz w:val="24"/>
          <w:szCs w:val="24"/>
          <w:highlight w:val="none"/>
        </w:rPr>
        <w:t>。</w:t>
      </w:r>
      <w:bookmarkStart w:id="1259" w:name="_Toc28359002"/>
      <w:bookmarkStart w:id="1260" w:name="_Toc35393790"/>
      <w:bookmarkStart w:id="1261" w:name="_Toc28359079"/>
      <w:bookmarkStart w:id="1262" w:name="_Toc35393621"/>
      <w:bookmarkStart w:id="1263" w:name="_Toc28217"/>
      <w:bookmarkStart w:id="1264" w:name="_Hlk24379207"/>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微软雅黑" w:hAnsi="微软雅黑" w:eastAsia="微软雅黑" w:cs="微软雅黑"/>
          <w:b/>
          <w:bCs w:val="0"/>
          <w:color w:val="auto"/>
          <w:sz w:val="24"/>
          <w:szCs w:val="24"/>
          <w:highlight w:val="none"/>
        </w:rPr>
      </w:pPr>
      <w:bookmarkStart w:id="1265" w:name="_Toc20970"/>
      <w:bookmarkStart w:id="1266" w:name="_Toc28253"/>
      <w:r>
        <w:rPr>
          <w:rFonts w:hint="eastAsia" w:ascii="微软雅黑" w:hAnsi="微软雅黑" w:eastAsia="微软雅黑" w:cs="微软雅黑"/>
          <w:b/>
          <w:bCs w:val="0"/>
          <w:color w:val="auto"/>
          <w:sz w:val="24"/>
          <w:szCs w:val="24"/>
          <w:highlight w:val="none"/>
        </w:rPr>
        <w:t>一、</w:t>
      </w:r>
      <w:bookmarkEnd w:id="1259"/>
      <w:bookmarkEnd w:id="1260"/>
      <w:bookmarkEnd w:id="1261"/>
      <w:bookmarkEnd w:id="1262"/>
      <w:bookmarkEnd w:id="1263"/>
      <w:r>
        <w:rPr>
          <w:rFonts w:hint="eastAsia" w:ascii="微软雅黑" w:hAnsi="微软雅黑" w:eastAsia="微软雅黑" w:cs="微软雅黑"/>
          <w:b/>
          <w:bCs w:val="0"/>
          <w:color w:val="auto"/>
          <w:sz w:val="24"/>
          <w:szCs w:val="24"/>
          <w:highlight w:val="none"/>
        </w:rPr>
        <w:t>项目基本情况</w:t>
      </w:r>
      <w:bookmarkEnd w:id="1265"/>
      <w:bookmarkEnd w:id="1266"/>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项目编号：2</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GJ-(</w:t>
      </w:r>
      <w:r>
        <w:rPr>
          <w:rFonts w:hint="eastAsia" w:ascii="微软雅黑" w:hAnsi="微软雅黑" w:eastAsia="微软雅黑" w:cs="微软雅黑"/>
          <w:color w:val="auto"/>
          <w:sz w:val="24"/>
          <w:szCs w:val="24"/>
          <w:highlight w:val="none"/>
          <w:lang w:eastAsia="zh-CN"/>
        </w:rPr>
        <w:t>GK)0</w:t>
      </w:r>
      <w:r>
        <w:rPr>
          <w:rFonts w:hint="eastAsia" w:ascii="微软雅黑" w:hAnsi="微软雅黑" w:eastAsia="微软雅黑" w:cs="微软雅黑"/>
          <w:color w:val="auto"/>
          <w:sz w:val="24"/>
          <w:szCs w:val="24"/>
          <w:highlight w:val="none"/>
          <w:lang w:val="en-US" w:eastAsia="zh-CN"/>
        </w:rPr>
        <w:t>14</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项目名称：</w:t>
      </w:r>
      <w:bookmarkEnd w:id="1264"/>
      <w:r>
        <w:rPr>
          <w:rFonts w:hint="eastAsia" w:ascii="微软雅黑" w:hAnsi="微软雅黑" w:eastAsia="微软雅黑" w:cs="微软雅黑"/>
          <w:color w:val="auto"/>
          <w:sz w:val="24"/>
          <w:szCs w:val="24"/>
          <w:highlight w:val="none"/>
          <w:lang w:val="en-US" w:eastAsia="zh-CN"/>
        </w:rPr>
        <w:t>麦盖提县酸枣种子采购项目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4、预算金额（元）：6620000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5、最高限价（元）：6620000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color w:val="auto"/>
          <w:sz w:val="24"/>
          <w:szCs w:val="24"/>
          <w:highlight w:val="none"/>
          <w:lang w:val="en-US" w:eastAsia="zh-CN"/>
        </w:rPr>
        <w:t>6、采购需求：酸枣种子7900公斤。（具体参数见招标文件）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7、</w:t>
      </w:r>
      <w:r>
        <w:rPr>
          <w:rFonts w:hint="eastAsia" w:ascii="微软雅黑" w:hAnsi="微软雅黑" w:eastAsia="微软雅黑" w:cs="微软雅黑"/>
          <w:color w:val="auto"/>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微软雅黑" w:hAnsi="微软雅黑" w:eastAsia="微软雅黑" w:cs="微软雅黑"/>
          <w:b/>
          <w:color w:val="auto"/>
          <w:sz w:val="24"/>
          <w:szCs w:val="24"/>
          <w:highlight w:val="none"/>
        </w:rPr>
      </w:pPr>
      <w:bookmarkStart w:id="1267" w:name="_Toc28359080"/>
      <w:bookmarkStart w:id="1268" w:name="_Toc19260"/>
      <w:bookmarkStart w:id="1269" w:name="_Toc13688"/>
      <w:bookmarkStart w:id="1270" w:name="_Toc28359003"/>
      <w:bookmarkStart w:id="1271" w:name="_Toc35393622"/>
      <w:bookmarkStart w:id="1272" w:name="_Toc35393791"/>
      <w:bookmarkStart w:id="1273" w:name="_Toc29506"/>
      <w:bookmarkStart w:id="1274" w:name="_Toc1145"/>
      <w:r>
        <w:rPr>
          <w:rFonts w:hint="eastAsia" w:ascii="微软雅黑" w:hAnsi="微软雅黑" w:eastAsia="微软雅黑" w:cs="微软雅黑"/>
          <w:b/>
          <w:color w:val="auto"/>
          <w:sz w:val="24"/>
          <w:szCs w:val="24"/>
          <w:highlight w:val="none"/>
        </w:rPr>
        <w:t>二、</w:t>
      </w:r>
      <w:r>
        <w:rPr>
          <w:rFonts w:hint="eastAsia" w:ascii="微软雅黑" w:hAnsi="微软雅黑" w:eastAsia="微软雅黑" w:cs="微软雅黑"/>
          <w:b/>
          <w:color w:val="auto"/>
          <w:sz w:val="24"/>
          <w:szCs w:val="24"/>
          <w:highlight w:val="none"/>
          <w:lang w:eastAsia="zh-CN"/>
        </w:rPr>
        <w:t>投标供应商</w:t>
      </w:r>
      <w:r>
        <w:rPr>
          <w:rFonts w:hint="eastAsia" w:ascii="微软雅黑" w:hAnsi="微软雅黑" w:eastAsia="微软雅黑" w:cs="微软雅黑"/>
          <w:b/>
          <w:color w:val="auto"/>
          <w:sz w:val="24"/>
          <w:szCs w:val="24"/>
          <w:highlight w:val="none"/>
        </w:rPr>
        <w:t>资格要求：</w:t>
      </w:r>
      <w:bookmarkEnd w:id="1267"/>
      <w:bookmarkEnd w:id="1268"/>
      <w:bookmarkEnd w:id="1269"/>
      <w:bookmarkEnd w:id="1270"/>
      <w:bookmarkEnd w:id="1271"/>
      <w:bookmarkEnd w:id="1272"/>
      <w:bookmarkEnd w:id="1273"/>
      <w:bookmarkEnd w:id="1274"/>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b w:val="0"/>
          <w:bCs w:val="0"/>
          <w:color w:val="000000"/>
          <w:sz w:val="24"/>
          <w:szCs w:val="24"/>
          <w:highlight w:val="none"/>
          <w:lang w:val="en-US" w:eastAsia="zh-CN"/>
        </w:rPr>
      </w:pPr>
      <w:r>
        <w:rPr>
          <w:rFonts w:hint="eastAsia" w:ascii="微软雅黑" w:hAnsi="微软雅黑" w:eastAsia="微软雅黑" w:cs="微软雅黑"/>
          <w:b w:val="0"/>
          <w:bCs w:val="0"/>
          <w:color w:val="000000"/>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（1）具有有效的营业执照；</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（2）提供法定代表人资格证明及授权书、被授权人身份证；(法定代表人投标需提供法定代表人身份证)；</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（3）提近两年任意一年的财务审计报告，新成立的公司提供近三个月内任意一个月的银行资信证明；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（4）提供依法缴纳2022年至2023年内连续6个月的社保证明及明细；</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（5）提供税务部门出具2022年至2023年内连续6个月的的完税证明；</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截图，“国家企业信用信息公示系统（http://www.gsxt.gov.cn）”列入严重违法失信企业名单（黑名单）信息截图；将拒绝其参加本次招标活动；</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（7）提供参与政府采购活动前3年内未被列入失信、重大税收违法案件、财政部门禁止参加政府采购活动的承诺书；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b w:val="0"/>
          <w:bCs w:val="0"/>
          <w:color w:val="000000"/>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（8）提供针对本次项目《反商业贿赂承诺书》。</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kern w:val="2"/>
          <w:sz w:val="24"/>
          <w:szCs w:val="24"/>
          <w:highlight w:val="none"/>
          <w:lang w:val="en-US" w:eastAsia="zh-CN" w:bidi="ar-SA"/>
        </w:rPr>
      </w:pPr>
      <w:bookmarkStart w:id="1275" w:name="_Toc28359081"/>
      <w:bookmarkStart w:id="1276" w:name="_Toc32226"/>
      <w:bookmarkStart w:id="1277" w:name="_Toc28359004"/>
      <w:bookmarkStart w:id="1278" w:name="_Toc27678"/>
      <w:bookmarkStart w:id="1279" w:name="_Toc35393792"/>
      <w:bookmarkStart w:id="1280" w:name="_Toc35393623"/>
      <w:r>
        <w:rPr>
          <w:rFonts w:hint="eastAsia" w:ascii="微软雅黑" w:hAnsi="微软雅黑" w:eastAsia="微软雅黑" w:cs="微软雅黑"/>
          <w:b w:val="0"/>
          <w:bCs w:val="0"/>
          <w:color w:val="000000"/>
          <w:sz w:val="24"/>
          <w:szCs w:val="24"/>
          <w:highlight w:val="none"/>
          <w:lang w:val="en-US" w:eastAsia="zh-CN"/>
        </w:rPr>
        <w:t>2.</w:t>
      </w:r>
      <w:r>
        <w:rPr>
          <w:rFonts w:hint="eastAsia" w:ascii="微软雅黑" w:hAnsi="微软雅黑" w:eastAsia="微软雅黑" w:cs="微软雅黑"/>
          <w:kern w:val="2"/>
          <w:sz w:val="24"/>
          <w:szCs w:val="24"/>
          <w:highlight w:val="none"/>
          <w:lang w:val="en-US" w:eastAsia="zh-CN" w:bidi="ar-SA"/>
        </w:rPr>
        <w:t>落实政府采购政策需满足的资格要求：无。</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kern w:val="2"/>
          <w:sz w:val="24"/>
          <w:szCs w:val="24"/>
          <w:highlight w:val="none"/>
          <w:lang w:val="en-US" w:eastAsia="zh-CN" w:bidi="ar-SA"/>
        </w:rPr>
        <w:t>3.</w:t>
      </w:r>
      <w:r>
        <w:rPr>
          <w:rFonts w:hint="eastAsia" w:ascii="微软雅黑" w:hAnsi="微软雅黑" w:eastAsia="微软雅黑" w:cs="微软雅黑"/>
          <w:b w:val="0"/>
          <w:bCs w:val="0"/>
          <w:color w:val="000000"/>
          <w:sz w:val="24"/>
          <w:szCs w:val="24"/>
          <w:highlight w:val="none"/>
          <w:lang w:val="en-US" w:eastAsia="zh-CN"/>
        </w:rPr>
        <w:t>本项目的特定资格要求：投标供应商需具备有效期内的《林木种子生产许可证》或《林木种子经营许可证》和有效期内、经年审合格的《新疆维吾尔自治区林业植物检疫登记证》。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三、获取招标文件</w:t>
      </w:r>
      <w:bookmarkEnd w:id="1275"/>
      <w:bookmarkEnd w:id="1276"/>
      <w:bookmarkEnd w:id="1277"/>
      <w:bookmarkEnd w:id="1278"/>
      <w:bookmarkEnd w:id="1279"/>
      <w:bookmarkEnd w:id="1280"/>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获取时间：2023年</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23</w:t>
      </w:r>
      <w:r>
        <w:rPr>
          <w:rFonts w:hint="eastAsia" w:ascii="微软雅黑" w:hAnsi="微软雅黑" w:eastAsia="微软雅黑" w:cs="微软雅黑"/>
          <w:color w:val="auto"/>
          <w:sz w:val="24"/>
          <w:szCs w:val="24"/>
          <w:highlight w:val="none"/>
        </w:rPr>
        <w:t>日至2023年</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30</w:t>
      </w:r>
      <w:r>
        <w:rPr>
          <w:rFonts w:hint="eastAsia" w:ascii="微软雅黑" w:hAnsi="微软雅黑" w:eastAsia="微软雅黑" w:cs="微软雅黑"/>
          <w:color w:val="auto"/>
          <w:sz w:val="24"/>
          <w:szCs w:val="24"/>
          <w:highlight w:val="none"/>
        </w:rPr>
        <w:t>日，每天上午10:00至14:00，下午</w:t>
      </w:r>
      <w:r>
        <w:rPr>
          <w:rFonts w:hint="eastAsia" w:ascii="微软雅黑" w:hAnsi="微软雅黑" w:eastAsia="微软雅黑" w:cs="微软雅黑"/>
          <w:color w:val="auto"/>
          <w:sz w:val="24"/>
          <w:szCs w:val="24"/>
          <w:highlight w:val="none"/>
          <w:lang w:val="en-US" w:eastAsia="zh-CN"/>
        </w:rPr>
        <w:t>15</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30</w:t>
      </w:r>
      <w:r>
        <w:rPr>
          <w:rFonts w:hint="eastAsia" w:ascii="微软雅黑" w:hAnsi="微软雅黑" w:eastAsia="微软雅黑" w:cs="微软雅黑"/>
          <w:color w:val="auto"/>
          <w:sz w:val="24"/>
          <w:szCs w:val="24"/>
          <w:highlight w:val="none"/>
        </w:rPr>
        <w:t>至</w:t>
      </w:r>
      <w:r>
        <w:rPr>
          <w:rFonts w:hint="eastAsia" w:ascii="微软雅黑" w:hAnsi="微软雅黑" w:eastAsia="微软雅黑" w:cs="微软雅黑"/>
          <w:color w:val="auto"/>
          <w:sz w:val="24"/>
          <w:szCs w:val="24"/>
          <w:highlight w:val="none"/>
          <w:lang w:val="en-US" w:eastAsia="zh-CN"/>
        </w:rPr>
        <w:t>19</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30</w:t>
      </w:r>
      <w:r>
        <w:rPr>
          <w:rFonts w:hint="eastAsia" w:ascii="微软雅黑" w:hAnsi="微软雅黑" w:eastAsia="微软雅黑" w:cs="微软雅黑"/>
          <w:color w:val="auto"/>
          <w:sz w:val="24"/>
          <w:szCs w:val="24"/>
          <w:highlight w:val="none"/>
        </w:rPr>
        <w:t>（北京时间，法定节假日除外</w:t>
      </w:r>
      <w:bookmarkStart w:id="2500" w:name="_GoBack"/>
      <w:bookmarkEnd w:id="2500"/>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获取方式：供应商登录政采云平台https://www.zcygov.cn/在线申请获取采购文件（进入“项目采购”应用，在获取采购文件菜单中选择项目，申请获取采购文件）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sz w:val="24"/>
          <w:szCs w:val="24"/>
          <w:highlight w:val="none"/>
        </w:rPr>
        <w:t>获取地点：政采云平台（https://login.zcygov.cn/user-login/#/login）</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eastAsia="zh-CN"/>
        </w:rPr>
        <w:t>售价（元）：</w:t>
      </w:r>
      <w:r>
        <w:rPr>
          <w:rFonts w:hint="eastAsia" w:ascii="微软雅黑" w:hAnsi="微软雅黑" w:eastAsia="微软雅黑" w:cs="微软雅黑"/>
          <w:color w:val="auto"/>
          <w:sz w:val="24"/>
          <w:szCs w:val="24"/>
          <w:highlight w:val="none"/>
          <w:lang w:val="en-US" w:eastAsia="zh-CN"/>
        </w:rPr>
        <w:t>0元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微软雅黑" w:hAnsi="微软雅黑" w:eastAsia="微软雅黑" w:cs="微软雅黑"/>
          <w:b/>
          <w:bCs w:val="0"/>
          <w:color w:val="auto"/>
          <w:sz w:val="24"/>
          <w:szCs w:val="24"/>
          <w:highlight w:val="none"/>
        </w:rPr>
      </w:pPr>
      <w:bookmarkStart w:id="1281" w:name="_Toc28359082"/>
      <w:bookmarkStart w:id="1282" w:name="_Toc28359005"/>
      <w:bookmarkStart w:id="1283" w:name="_Toc952"/>
      <w:bookmarkStart w:id="1284" w:name="_Toc9047"/>
      <w:bookmarkStart w:id="1285" w:name="_Toc2422"/>
      <w:bookmarkStart w:id="1286" w:name="_Toc35393624"/>
      <w:bookmarkStart w:id="1287" w:name="_Toc2532"/>
      <w:bookmarkStart w:id="1288" w:name="_Toc35393793"/>
      <w:r>
        <w:rPr>
          <w:rFonts w:hint="eastAsia" w:ascii="微软雅黑" w:hAnsi="微软雅黑" w:eastAsia="微软雅黑" w:cs="微软雅黑"/>
          <w:b/>
          <w:bCs w:val="0"/>
          <w:color w:val="auto"/>
          <w:sz w:val="24"/>
          <w:szCs w:val="24"/>
          <w:highlight w:val="none"/>
        </w:rPr>
        <w:t>四、提交投标文件</w:t>
      </w:r>
      <w:bookmarkEnd w:id="1281"/>
      <w:bookmarkEnd w:id="1282"/>
      <w:r>
        <w:rPr>
          <w:rFonts w:hint="eastAsia" w:ascii="微软雅黑" w:hAnsi="微软雅黑" w:eastAsia="微软雅黑" w:cs="微软雅黑"/>
          <w:b/>
          <w:bCs w:val="0"/>
          <w:color w:val="auto"/>
          <w:sz w:val="24"/>
          <w:szCs w:val="24"/>
          <w:highlight w:val="none"/>
        </w:rPr>
        <w:t>截止时间、开标时间和地点</w:t>
      </w:r>
      <w:bookmarkEnd w:id="1283"/>
      <w:bookmarkEnd w:id="1284"/>
      <w:bookmarkEnd w:id="1285"/>
      <w:bookmarkEnd w:id="1286"/>
      <w:bookmarkEnd w:id="1287"/>
      <w:bookmarkEnd w:id="1288"/>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color w:val="auto"/>
          <w:sz w:val="24"/>
          <w:szCs w:val="24"/>
          <w:highlight w:val="none"/>
          <w:lang w:eastAsia="zh-CN"/>
        </w:rPr>
        <w:t>提交投标文件截止</w:t>
      </w:r>
      <w:r>
        <w:rPr>
          <w:rFonts w:hint="eastAsia" w:ascii="微软雅黑" w:hAnsi="微软雅黑" w:eastAsia="微软雅黑" w:cs="微软雅黑"/>
          <w:color w:val="auto"/>
          <w:sz w:val="24"/>
          <w:szCs w:val="24"/>
          <w:highlight w:val="none"/>
        </w:rPr>
        <w:t>时间：</w:t>
      </w:r>
      <w:bookmarkStart w:id="1289" w:name="_Toc28359084"/>
      <w:bookmarkStart w:id="1290" w:name="_Toc35393625"/>
      <w:bookmarkStart w:id="1291" w:name="_Toc28359007"/>
      <w:bookmarkStart w:id="1292" w:name="_Toc35393794"/>
      <w:r>
        <w:rPr>
          <w:rFonts w:hint="eastAsia" w:ascii="微软雅黑" w:hAnsi="微软雅黑" w:eastAsia="微软雅黑" w:cs="微软雅黑"/>
          <w:color w:val="auto"/>
          <w:sz w:val="24"/>
          <w:szCs w:val="24"/>
          <w:highlight w:val="none"/>
        </w:rPr>
        <w:t>2023年4月12日10点30分</w:t>
      </w:r>
      <w:r>
        <w:rPr>
          <w:rFonts w:hint="eastAsia" w:ascii="微软雅黑" w:hAnsi="微软雅黑" w:eastAsia="微软雅黑" w:cs="微软雅黑"/>
          <w:bCs/>
          <w:color w:val="auto"/>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eastAsia="zh-CN"/>
        </w:rPr>
        <w:t>投标</w:t>
      </w:r>
      <w:r>
        <w:rPr>
          <w:rFonts w:hint="eastAsia" w:ascii="微软雅黑" w:hAnsi="微软雅黑" w:eastAsia="微软雅黑" w:cs="微软雅黑"/>
          <w:color w:val="auto"/>
          <w:sz w:val="24"/>
          <w:szCs w:val="24"/>
          <w:highlight w:val="none"/>
        </w:rPr>
        <w:t>地点：</w:t>
      </w:r>
      <w:r>
        <w:rPr>
          <w:rFonts w:hint="eastAsia" w:ascii="微软雅黑" w:hAnsi="微软雅黑" w:eastAsia="微软雅黑" w:cs="微软雅黑"/>
          <w:color w:val="auto"/>
          <w:kern w:val="0"/>
          <w:sz w:val="24"/>
          <w:szCs w:val="24"/>
          <w:highlight w:val="none"/>
          <w:lang w:eastAsia="zh-CN"/>
        </w:rPr>
        <w:t>政采云平台（https://login.zcygov.cn/user-login/#/login）</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开标时间：</w:t>
      </w:r>
      <w:r>
        <w:rPr>
          <w:rFonts w:hint="eastAsia" w:ascii="微软雅黑" w:hAnsi="微软雅黑" w:eastAsia="微软雅黑" w:cs="微软雅黑"/>
          <w:color w:val="auto"/>
          <w:sz w:val="24"/>
          <w:szCs w:val="24"/>
          <w:highlight w:val="none"/>
        </w:rPr>
        <w:t>2023年4月12日10点30分</w:t>
      </w:r>
      <w:r>
        <w:rPr>
          <w:rFonts w:hint="eastAsia" w:ascii="微软雅黑" w:hAnsi="微软雅黑" w:eastAsia="微软雅黑" w:cs="微软雅黑"/>
          <w:color w:val="auto"/>
          <w:sz w:val="24"/>
          <w:szCs w:val="24"/>
          <w:highlight w:val="none"/>
          <w:lang w:eastAsia="zh-CN"/>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开标地点：</w:t>
      </w:r>
      <w:bookmarkStart w:id="1293" w:name="_Toc23672"/>
      <w:bookmarkStart w:id="1294" w:name="_Toc32108"/>
      <w:bookmarkStart w:id="1295" w:name="_Toc30400"/>
      <w:bookmarkStart w:id="1296" w:name="_Toc20863"/>
      <w:r>
        <w:rPr>
          <w:rFonts w:hint="eastAsia" w:ascii="微软雅黑" w:hAnsi="微软雅黑" w:eastAsia="微软雅黑" w:cs="微软雅黑"/>
          <w:color w:val="auto"/>
          <w:kern w:val="0"/>
          <w:sz w:val="24"/>
          <w:szCs w:val="24"/>
          <w:highlight w:val="none"/>
          <w:lang w:eastAsia="zh-CN"/>
        </w:rPr>
        <w:t>政采云平台（https://login.zcygov.cn/user-login/#/login）</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微软雅黑" w:hAnsi="微软雅黑" w:eastAsia="微软雅黑" w:cs="微软雅黑"/>
          <w:b/>
          <w:bCs w:val="0"/>
          <w:color w:val="auto"/>
          <w:sz w:val="24"/>
          <w:szCs w:val="24"/>
          <w:highlight w:val="none"/>
        </w:rPr>
      </w:pPr>
      <w:r>
        <w:rPr>
          <w:rFonts w:hint="eastAsia" w:ascii="微软雅黑" w:hAnsi="微软雅黑" w:eastAsia="微软雅黑" w:cs="微软雅黑"/>
          <w:b/>
          <w:bCs w:val="0"/>
          <w:color w:val="auto"/>
          <w:sz w:val="24"/>
          <w:szCs w:val="24"/>
          <w:highlight w:val="none"/>
        </w:rPr>
        <w:t>五、公告期限</w:t>
      </w:r>
      <w:bookmarkEnd w:id="1289"/>
      <w:bookmarkEnd w:id="1290"/>
      <w:bookmarkEnd w:id="1291"/>
      <w:bookmarkEnd w:id="1292"/>
      <w:bookmarkEnd w:id="1293"/>
      <w:bookmarkEnd w:id="1294"/>
      <w:bookmarkEnd w:id="1295"/>
      <w:bookmarkEnd w:id="1296"/>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微软雅黑" w:hAnsi="微软雅黑" w:eastAsia="微软雅黑" w:cs="微软雅黑"/>
          <w:b/>
          <w:bCs w:val="0"/>
          <w:color w:val="auto"/>
          <w:sz w:val="24"/>
          <w:szCs w:val="24"/>
          <w:highlight w:val="none"/>
          <w:lang w:eastAsia="zh-CN"/>
        </w:rPr>
      </w:pPr>
      <w:r>
        <w:rPr>
          <w:rFonts w:hint="eastAsia" w:ascii="微软雅黑" w:hAnsi="微软雅黑" w:eastAsia="微软雅黑" w:cs="微软雅黑"/>
          <w:b/>
          <w:bCs w:val="0"/>
          <w:color w:val="auto"/>
          <w:sz w:val="24"/>
          <w:szCs w:val="24"/>
          <w:highlight w:val="none"/>
          <w:lang w:eastAsia="zh-CN"/>
        </w:rPr>
        <w:t>六、其它补充事宜</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540"/>
        <w:textAlignment w:val="auto"/>
        <w:rPr>
          <w:rFonts w:hint="eastAsia" w:ascii="微软雅黑" w:hAnsi="微软雅黑" w:eastAsia="微软雅黑" w:cs="微软雅黑"/>
          <w:color w:val="auto"/>
          <w:sz w:val="24"/>
          <w:highlight w:val="none"/>
          <w:lang w:val="en-US" w:eastAsia="zh-CN"/>
        </w:rPr>
      </w:pPr>
      <w:bookmarkStart w:id="1297" w:name="_Toc35393795"/>
      <w:bookmarkStart w:id="1298" w:name="_Toc35393626"/>
      <w:bookmarkStart w:id="1299" w:name="_Toc13675"/>
      <w:bookmarkStart w:id="1300" w:name="_Toc999"/>
      <w:bookmarkStart w:id="1301" w:name="_Toc647"/>
      <w:bookmarkStart w:id="1302" w:name="_Toc18258"/>
      <w:r>
        <w:rPr>
          <w:rFonts w:hint="eastAsia" w:ascii="微软雅黑" w:hAnsi="微软雅黑" w:eastAsia="微软雅黑" w:cs="微软雅黑"/>
          <w:color w:val="auto"/>
          <w:sz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540"/>
        <w:textAlignment w:val="auto"/>
        <w:rPr>
          <w:rFonts w:hint="eastAsia" w:ascii="微软雅黑" w:hAnsi="微软雅黑" w:eastAsia="微软雅黑" w:cs="微软雅黑"/>
          <w:color w:val="auto"/>
          <w:highlight w:val="none"/>
          <w:lang w:eastAsia="zh-CN"/>
        </w:rPr>
      </w:pPr>
      <w:r>
        <w:rPr>
          <w:rFonts w:hint="eastAsia" w:ascii="微软雅黑" w:hAnsi="微软雅黑" w:eastAsia="微软雅黑" w:cs="微软雅黑"/>
          <w:color w:val="auto"/>
          <w:sz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微软雅黑" w:hAnsi="微软雅黑" w:eastAsia="微软雅黑" w:cs="微软雅黑"/>
          <w:b/>
          <w:bCs w:val="0"/>
          <w:color w:val="auto"/>
          <w:sz w:val="24"/>
          <w:szCs w:val="24"/>
          <w:highlight w:val="none"/>
        </w:rPr>
      </w:pPr>
      <w:r>
        <w:rPr>
          <w:rFonts w:hint="eastAsia" w:ascii="微软雅黑" w:hAnsi="微软雅黑" w:eastAsia="微软雅黑" w:cs="微软雅黑"/>
          <w:b/>
          <w:bCs w:val="0"/>
          <w:color w:val="auto"/>
          <w:sz w:val="24"/>
          <w:szCs w:val="24"/>
          <w:highlight w:val="none"/>
          <w:lang w:val="en-US" w:eastAsia="zh-CN"/>
        </w:rPr>
        <w:t>七</w:t>
      </w:r>
      <w:r>
        <w:rPr>
          <w:rFonts w:hint="eastAsia" w:ascii="微软雅黑" w:hAnsi="微软雅黑" w:eastAsia="微软雅黑" w:cs="微软雅黑"/>
          <w:b/>
          <w:bCs w:val="0"/>
          <w:color w:val="auto"/>
          <w:sz w:val="24"/>
          <w:szCs w:val="24"/>
          <w:highlight w:val="none"/>
        </w:rPr>
        <w:t>、</w:t>
      </w:r>
      <w:bookmarkEnd w:id="1297"/>
      <w:bookmarkEnd w:id="1298"/>
      <w:bookmarkStart w:id="1303" w:name="_Toc35393627"/>
      <w:bookmarkStart w:id="1304" w:name="_Toc28359085"/>
      <w:bookmarkStart w:id="1305" w:name="_Toc35393796"/>
      <w:bookmarkStart w:id="1306" w:name="_Toc28359008"/>
      <w:r>
        <w:rPr>
          <w:rFonts w:hint="eastAsia" w:ascii="微软雅黑" w:hAnsi="微软雅黑" w:eastAsia="微软雅黑" w:cs="微软雅黑"/>
          <w:b/>
          <w:bCs w:val="0"/>
          <w:color w:val="auto"/>
          <w:sz w:val="24"/>
          <w:szCs w:val="24"/>
          <w:highlight w:val="none"/>
        </w:rPr>
        <w:t>对本次招标提出询问，请按以下方式联系。</w:t>
      </w:r>
      <w:bookmarkEnd w:id="1299"/>
      <w:bookmarkEnd w:id="1300"/>
      <w:bookmarkEnd w:id="1301"/>
      <w:bookmarkEnd w:id="1302"/>
      <w:bookmarkEnd w:id="1303"/>
      <w:bookmarkEnd w:id="1304"/>
      <w:bookmarkEnd w:id="1305"/>
      <w:bookmarkEnd w:id="1306"/>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bookmarkStart w:id="1307" w:name="_Toc28359010"/>
      <w:bookmarkStart w:id="1308" w:name="_Toc28359087"/>
      <w:r>
        <w:rPr>
          <w:rFonts w:hint="eastAsia" w:ascii="微软雅黑" w:hAnsi="微软雅黑" w:eastAsia="微软雅黑" w:cs="微软雅黑"/>
          <w:color w:val="auto"/>
          <w:kern w:val="0"/>
          <w:sz w:val="24"/>
          <w:szCs w:val="24"/>
          <w:highlight w:val="none"/>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名    称：麦盖提县自然资源局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址：麦盖提县人民路3号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人：艾江春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联系方式：13199980776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名    称：新疆共建恒业信息咨询有限责任公司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址：喀什经济开发区深喀大道陕西大厦12楼1208室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w:t>
      </w:r>
      <w:r>
        <w:rPr>
          <w:rFonts w:hint="eastAsia" w:ascii="微软雅黑" w:hAnsi="微软雅黑" w:eastAsia="微软雅黑" w:cs="微软雅黑"/>
          <w:color w:val="auto"/>
          <w:kern w:val="0"/>
          <w:sz w:val="24"/>
          <w:szCs w:val="24"/>
          <w:highlight w:val="none"/>
          <w:lang w:eastAsia="zh-CN"/>
        </w:rPr>
        <w:t>朱萍</w:t>
      </w:r>
      <w:r>
        <w:rPr>
          <w:rFonts w:hint="eastAsia" w:ascii="微软雅黑" w:hAnsi="微软雅黑" w:eastAsia="微软雅黑" w:cs="微软雅黑"/>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联系方式：18209987338  </w:t>
      </w:r>
      <w:bookmarkEnd w:id="1307"/>
      <w:bookmarkEnd w:id="1308"/>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840" w:firstLineChars="16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新疆共建恒业信息咨询有限责任公司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highlight w:val="none"/>
        </w:rPr>
      </w:pP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22</w:t>
      </w:r>
      <w:r>
        <w:rPr>
          <w:rFonts w:hint="eastAsia" w:ascii="微软雅黑" w:hAnsi="微软雅黑" w:eastAsia="微软雅黑" w:cs="微软雅黑"/>
          <w:color w:val="auto"/>
          <w:sz w:val="24"/>
          <w:szCs w:val="24"/>
          <w:highlight w:val="none"/>
        </w:rPr>
        <w:t>日</w:t>
      </w:r>
    </w:p>
    <w:p>
      <w:pPr>
        <w:rPr>
          <w:highlight w:val="none"/>
        </w:rPr>
      </w:pPr>
    </w:p>
    <w:p>
      <w:pPr>
        <w:pStyle w:val="2"/>
        <w:rPr>
          <w:highlight w:val="none"/>
        </w:rPr>
      </w:pPr>
    </w:p>
    <w:p/>
    <w:p>
      <w:pPr>
        <w:rPr>
          <w:highlight w:val="none"/>
        </w:rPr>
      </w:pPr>
    </w:p>
    <w:p>
      <w:pPr>
        <w:pStyle w:val="2"/>
        <w:rPr>
          <w:highlight w:val="none"/>
        </w:rPr>
      </w:pPr>
    </w:p>
    <w:p>
      <w:pPr>
        <w:pStyle w:val="6"/>
        <w:tabs>
          <w:tab w:val="left" w:pos="0"/>
        </w:tabs>
        <w:spacing w:before="0" w:after="0" w:line="240" w:lineRule="atLeast"/>
        <w:rPr>
          <w:rFonts w:hint="eastAsia" w:ascii="微软雅黑" w:hAnsi="微软雅黑" w:eastAsia="微软雅黑" w:cs="微软雅黑"/>
          <w:b/>
          <w:bCs/>
          <w:color w:val="auto"/>
          <w:szCs w:val="32"/>
          <w:highlight w:val="none"/>
        </w:rPr>
      </w:pPr>
      <w:bookmarkStart w:id="1309" w:name="_Toc20889"/>
      <w:r>
        <w:rPr>
          <w:rFonts w:hint="eastAsia" w:ascii="微软雅黑" w:hAnsi="微软雅黑" w:eastAsia="微软雅黑" w:cs="微软雅黑"/>
          <w:b/>
          <w:bCs/>
          <w:color w:val="auto"/>
          <w:highlight w:val="none"/>
          <w:lang w:val="en-US" w:eastAsia="zh-CN"/>
        </w:rPr>
        <w:t>第4章</w:t>
      </w:r>
      <w:r>
        <w:rPr>
          <w:rFonts w:hint="eastAsia" w:ascii="微软雅黑" w:hAnsi="微软雅黑" w:eastAsia="微软雅黑" w:cs="微软雅黑"/>
          <w:b/>
          <w:bCs/>
          <w:color w:val="auto"/>
          <w:highlight w:val="none"/>
        </w:rPr>
        <w:t xml:space="preserve">  供应商须知资料表</w:t>
      </w:r>
      <w:bookmarkEnd w:id="1251"/>
      <w:bookmarkEnd w:id="1252"/>
      <w:bookmarkEnd w:id="1253"/>
      <w:bookmarkEnd w:id="1254"/>
      <w:bookmarkEnd w:id="1255"/>
      <w:bookmarkEnd w:id="1256"/>
      <w:bookmarkEnd w:id="1257"/>
      <w:bookmarkEnd w:id="1258"/>
      <w:bookmarkEnd w:id="1309"/>
    </w:p>
    <w:p>
      <w:pPr>
        <w:spacing w:line="400" w:lineRule="exact"/>
        <w:ind w:firstLine="360" w:firstLineChars="15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本表是本招标项目的具体资料，是对供应商须知的具体补充和修改，如有矛盾，应以本资料表为准。</w:t>
      </w:r>
    </w:p>
    <w:tbl>
      <w:tblPr>
        <w:tblStyle w:val="25"/>
        <w:tblW w:w="9260" w:type="dxa"/>
        <w:tblInd w:w="-31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78"/>
        <w:gridCol w:w="78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条款号</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8"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采购人：</w:t>
            </w:r>
            <w:r>
              <w:rPr>
                <w:rFonts w:hint="eastAsia" w:ascii="微软雅黑" w:hAnsi="微软雅黑" w:eastAsia="微软雅黑" w:cs="微软雅黑"/>
                <w:color w:val="auto"/>
                <w:sz w:val="24"/>
                <w:highlight w:val="none"/>
                <w:u w:val="single"/>
                <w:lang w:eastAsia="zh-CN"/>
              </w:rPr>
              <w:t>麦盖提县自然资源局　　</w:t>
            </w:r>
            <w:r>
              <w:rPr>
                <w:rFonts w:hint="eastAsia" w:ascii="微软雅黑" w:hAnsi="微软雅黑" w:eastAsia="微软雅黑" w:cs="微软雅黑"/>
                <w:color w:val="auto"/>
                <w:sz w:val="24"/>
                <w:highlight w:val="none"/>
                <w:u w:val="single"/>
              </w:rPr>
              <w:t>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联系人：</w:t>
            </w:r>
            <w:r>
              <w:rPr>
                <w:rFonts w:hint="eastAsia" w:ascii="微软雅黑" w:hAnsi="微软雅黑" w:eastAsia="微软雅黑" w:cs="微软雅黑"/>
                <w:color w:val="auto"/>
                <w:sz w:val="24"/>
                <w:highlight w:val="none"/>
                <w:u w:val="single"/>
              </w:rPr>
              <w:t>艾江春</w:t>
            </w:r>
            <w:r>
              <w:rPr>
                <w:rFonts w:hint="eastAsia" w:ascii="微软雅黑" w:hAnsi="微软雅黑" w:eastAsia="微软雅黑" w:cs="微软雅黑"/>
                <w:color w:val="auto"/>
                <w:sz w:val="24"/>
                <w:highlight w:val="none"/>
                <w:u w:val="single"/>
                <w:lang w:val="en-US" w:eastAsia="zh-CN"/>
              </w:rPr>
              <w:t xml:space="preserve"> </w:t>
            </w: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rPr>
              <w:t xml:space="preserve">    联系电话：</w:t>
            </w:r>
            <w:r>
              <w:rPr>
                <w:rFonts w:hint="eastAsia" w:ascii="微软雅黑" w:hAnsi="微软雅黑" w:eastAsia="微软雅黑" w:cs="微软雅黑"/>
                <w:color w:val="auto"/>
                <w:sz w:val="24"/>
                <w:highlight w:val="none"/>
                <w:u w:val="single"/>
              </w:rPr>
              <w:t>13199980776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8"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采购代理机构：</w:t>
            </w:r>
            <w:r>
              <w:rPr>
                <w:rFonts w:hint="eastAsia" w:ascii="微软雅黑" w:hAnsi="微软雅黑" w:eastAsia="微软雅黑" w:cs="微软雅黑"/>
                <w:color w:val="auto"/>
                <w:sz w:val="24"/>
                <w:highlight w:val="none"/>
                <w:u w:val="single"/>
              </w:rPr>
              <w:t xml:space="preserve">新疆共建恒业信息咨询有限责任公司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color w:val="auto"/>
                <w:sz w:val="24"/>
                <w:highlight w:val="none"/>
                <w:u w:val="single"/>
              </w:rPr>
              <w:t>喀什经济开发区深喀大道陕西大厦12楼1208室</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业务联系人：</w:t>
            </w:r>
            <w:r>
              <w:rPr>
                <w:rFonts w:hint="eastAsia" w:ascii="微软雅黑" w:hAnsi="微软雅黑" w:eastAsia="微软雅黑" w:cs="微软雅黑"/>
                <w:color w:val="auto"/>
                <w:sz w:val="24"/>
                <w:highlight w:val="none"/>
                <w:u w:val="single"/>
                <w:lang w:eastAsia="zh-CN"/>
              </w:rPr>
              <w:t>朱萍</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 xml:space="preserve">　   联系电话： </w:t>
            </w:r>
            <w:r>
              <w:rPr>
                <w:rFonts w:hint="eastAsia" w:ascii="微软雅黑" w:hAnsi="微软雅黑" w:eastAsia="微软雅黑" w:cs="微软雅黑"/>
                <w:color w:val="auto"/>
                <w:sz w:val="24"/>
                <w:highlight w:val="none"/>
                <w:u w:val="single"/>
              </w:rPr>
              <w:t>18209987338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1.3.4</w:t>
            </w:r>
          </w:p>
        </w:tc>
        <w:tc>
          <w:tcPr>
            <w:tcW w:w="7882" w:type="dxa"/>
            <w:vAlign w:val="center"/>
          </w:tcPr>
          <w:p>
            <w:pPr>
              <w:keepNext w:val="0"/>
              <w:keepLines w:val="0"/>
              <w:widowControl/>
              <w:suppressLineNumbers w:val="0"/>
              <w:shd w:val="clear"/>
              <w:snapToGrid w:val="0"/>
              <w:spacing w:before="0" w:beforeAutospacing="0" w:after="0" w:afterAutospacing="0" w:line="470" w:lineRule="exact"/>
              <w:ind w:left="0" w:right="0"/>
              <w:jc w:val="left"/>
              <w:textAlignment w:val="baseline"/>
              <w:rPr>
                <w:rFonts w:hint="eastAsia" w:ascii="微软雅黑" w:hAnsi="微软雅黑" w:eastAsia="微软雅黑" w:cs="微软雅黑"/>
                <w:b/>
                <w:bCs/>
                <w:color w:val="auto"/>
                <w:sz w:val="24"/>
                <w:highlight w:val="none"/>
                <w:lang w:eastAsia="zh-CN"/>
              </w:rPr>
            </w:pPr>
            <w:r>
              <w:rPr>
                <w:rFonts w:hint="eastAsia" w:ascii="微软雅黑" w:hAnsi="微软雅黑" w:eastAsia="微软雅黑" w:cs="微软雅黑"/>
                <w:color w:val="auto"/>
                <w:sz w:val="24"/>
                <w:highlight w:val="none"/>
              </w:rPr>
              <w:t>合格供应商的其他资格要求：</w:t>
            </w:r>
            <w:r>
              <w:rPr>
                <w:rFonts w:hint="eastAsia" w:ascii="微软雅黑" w:hAnsi="微软雅黑" w:eastAsia="微软雅黑" w:cs="微软雅黑"/>
                <w:b/>
                <w:bCs/>
                <w:color w:val="auto"/>
                <w:sz w:val="24"/>
                <w:highlight w:val="none"/>
                <w:lang w:val="en-US" w:eastAsia="zh-CN"/>
              </w:rPr>
              <w:t>（须将以下资格证明材料附在投标文件中）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1、具有有效的营业执照；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2、投标供应商需具备有效期内的《林木种子生产许可证》或《林木种子经营许可证》和有效期内、经年审合格的《新疆维吾尔自治区林业植物检疫登记证》；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3、提供法定代表人资格证明及授权书、被授权人身份证；(法定代表人投标需提供法定代表人身份证)；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4、提近两年任意一年的财务审计报告，新成立的公司提供近三个月内任意一个月的银行资信证明；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5、提供依法缴纳2022年至2023年内连续6个月的社保证明及明细；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6、提供税务部门出具2022年至2023年内连续6个月的的完税证明；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截图，“国家企业信用信息公示系统（http://www.gsxt.gov.cn）”列入严重违法失信企业名单（黑名单）信息截图；将拒绝其参加本次招标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8、提供参与政府采购活动前3年内未被列入失信、重大税收违法案件、财政部门禁止参加政府采购活动的承诺书；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9、提供针对本次项目《反商业贿赂承诺书》。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i w:val="0"/>
                <w:caps w:val="0"/>
                <w:color w:val="auto"/>
                <w:spacing w:val="0"/>
                <w:w w:val="100"/>
                <w:sz w:val="24"/>
                <w:highlight w:val="none"/>
              </w:rPr>
            </w:pPr>
            <w:r>
              <w:rPr>
                <w:rFonts w:hint="eastAsia" w:ascii="微软雅黑" w:hAnsi="微软雅黑" w:eastAsia="微软雅黑" w:cs="微软雅黑"/>
                <w:b/>
                <w:bCs/>
                <w:i w:val="0"/>
                <w:caps w:val="0"/>
                <w:color w:val="auto"/>
                <w:spacing w:val="0"/>
                <w:w w:val="100"/>
                <w:sz w:val="24"/>
                <w:highlight w:val="none"/>
              </w:rPr>
              <w:t>10、提供缴纳投标保证金有效凭证。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b/>
                <w:bCs/>
                <w:i w:val="0"/>
                <w:caps w:val="0"/>
                <w:color w:val="auto"/>
                <w:spacing w:val="0"/>
                <w:w w:val="100"/>
                <w:sz w:val="24"/>
                <w:highlight w:val="none"/>
              </w:rPr>
              <w:t>注：“</w:t>
            </w:r>
            <w:r>
              <w:rPr>
                <w:rFonts w:hint="eastAsia" w:ascii="微软雅黑" w:hAnsi="微软雅黑" w:eastAsia="微软雅黑" w:cs="微软雅黑"/>
                <w:b/>
                <w:bCs/>
                <w:i w:val="0"/>
                <w:caps w:val="0"/>
                <w:color w:val="auto"/>
                <w:spacing w:val="0"/>
                <w:w w:val="100"/>
                <w:sz w:val="24"/>
                <w:highlight w:val="none"/>
                <w:lang w:eastAsia="zh-CN"/>
              </w:rPr>
              <w:t>提供税务部门出具2022年至2023年内连续6个月的的完税证明</w:t>
            </w:r>
            <w:r>
              <w:rPr>
                <w:rFonts w:hint="eastAsia" w:ascii="微软雅黑" w:hAnsi="微软雅黑" w:eastAsia="微软雅黑" w:cs="微软雅黑"/>
                <w:b/>
                <w:bCs/>
                <w:i w:val="0"/>
                <w:caps w:val="0"/>
                <w:color w:val="auto"/>
                <w:spacing w:val="0"/>
                <w:w w:val="100"/>
                <w:sz w:val="24"/>
                <w:highlight w:val="none"/>
              </w:rPr>
              <w:t>”：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firstLineChars="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b w:val="0"/>
                <w:bCs w:val="0"/>
                <w:color w:val="auto"/>
                <w:sz w:val="24"/>
                <w:highlight w:val="none"/>
              </w:rPr>
              <w:t xml:space="preserve">1.3.5   </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sz w:val="24"/>
                <w:highlight w:val="none"/>
              </w:rPr>
              <w:t>是否允许采购进口产品</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u w:val="single"/>
                <w:lang w:val="en-US" w:eastAsia="zh-CN"/>
              </w:rPr>
              <w:t>否</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1.3.6</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是否为专门面向中小企业采购：</w:t>
            </w:r>
            <w:r>
              <w:rPr>
                <w:rFonts w:hint="eastAsia" w:ascii="微软雅黑" w:hAnsi="微软雅黑" w:eastAsia="微软雅黑" w:cs="微软雅黑"/>
                <w:color w:val="auto"/>
                <w:sz w:val="24"/>
                <w:highlight w:val="none"/>
                <w:u w:val="single"/>
                <w:lang w:val="en-US" w:eastAsia="zh-CN"/>
              </w:rPr>
              <w:t xml:space="preserve">  是  </w:t>
            </w:r>
            <w:r>
              <w:rPr>
                <w:rFonts w:hint="eastAsia" w:ascii="微软雅黑" w:hAnsi="微软雅黑" w:eastAsia="微软雅黑" w:cs="微软雅黑"/>
                <w:color w:val="auto"/>
                <w:sz w:val="24"/>
                <w:highlight w:val="none"/>
                <w:lang w:eastAsia="zh-CN"/>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是否允许联合体投标：</w:t>
            </w:r>
            <w:r>
              <w:rPr>
                <w:rFonts w:hint="eastAsia" w:ascii="微软雅黑" w:hAnsi="微软雅黑" w:eastAsia="微软雅黑" w:cs="微软雅黑"/>
                <w:color w:val="auto"/>
                <w:sz w:val="24"/>
                <w:highlight w:val="none"/>
                <w:u w:val="single"/>
              </w:rPr>
              <w:t xml:space="preserve">  否  </w:t>
            </w:r>
            <w:r>
              <w:rPr>
                <w:rFonts w:hint="eastAsia" w:ascii="微软雅黑" w:hAnsi="微软雅黑" w:eastAsia="微软雅黑" w:cs="微软雅黑"/>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1.4.8</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7"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w:t>
            </w:r>
          </w:p>
        </w:tc>
        <w:tc>
          <w:tcPr>
            <w:tcW w:w="78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微软雅黑" w:hAnsi="微软雅黑" w:eastAsia="微软雅黑" w:cs="微软雅黑"/>
                <w:color w:val="auto"/>
                <w:highlight w:val="none"/>
                <w:lang w:val="en-US" w:eastAsia="zh-CN"/>
              </w:rPr>
            </w:pPr>
            <w:r>
              <w:rPr>
                <w:rFonts w:hint="eastAsia" w:ascii="微软雅黑" w:hAnsi="微软雅黑" w:eastAsia="微软雅黑" w:cs="微软雅黑"/>
                <w:b/>
                <w:bCs/>
                <w:color w:val="auto"/>
                <w:kern w:val="2"/>
                <w:sz w:val="24"/>
                <w:szCs w:val="24"/>
                <w:highlight w:val="none"/>
                <w:lang w:val="en-US" w:eastAsia="zh-CN" w:bidi="ar-SA"/>
              </w:rPr>
              <w:t>项目总预算金额：6620000</w:t>
            </w:r>
            <w:r>
              <w:rPr>
                <w:rFonts w:hint="eastAsia" w:ascii="微软雅黑" w:hAnsi="微软雅黑" w:eastAsia="微软雅黑" w:cs="微软雅黑"/>
                <w:color w:val="auto"/>
                <w:sz w:val="24"/>
                <w:szCs w:val="24"/>
                <w:highlight w:val="none"/>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rPr>
              <w:t>12.1</w:t>
            </w:r>
          </w:p>
        </w:tc>
        <w:tc>
          <w:tcPr>
            <w:tcW w:w="78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b w:val="0"/>
                <w:bCs w:val="0"/>
                <w:color w:val="auto"/>
                <w:sz w:val="24"/>
                <w:highlight w:val="none"/>
              </w:rPr>
            </w:pPr>
            <w:r>
              <w:rPr>
                <w:rFonts w:hint="eastAsia" w:ascii="微软雅黑" w:hAnsi="微软雅黑" w:eastAsia="微软雅黑" w:cs="微软雅黑"/>
                <w:color w:val="auto"/>
                <w:sz w:val="24"/>
                <w:highlight w:val="none"/>
              </w:rPr>
              <w:t>投标保证金</w:t>
            </w:r>
            <w:r>
              <w:rPr>
                <w:rFonts w:hint="eastAsia" w:ascii="微软雅黑" w:hAnsi="微软雅黑" w:eastAsia="微软雅黑" w:cs="微软雅黑"/>
                <w:b w:val="0"/>
                <w:bCs w:val="0"/>
                <w:color w:val="auto"/>
                <w:sz w:val="24"/>
                <w:highlight w:val="none"/>
                <w:lang w:val="en-US" w:eastAsia="zh-CN"/>
              </w:rPr>
              <w:t>形式</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eastAsia="zh-CN"/>
              </w:rPr>
              <w:sym w:font="Wingdings 2" w:char="0052"/>
            </w:r>
            <w:r>
              <w:rPr>
                <w:rFonts w:hint="eastAsia" w:ascii="微软雅黑" w:hAnsi="微软雅黑" w:eastAsia="微软雅黑" w:cs="微软雅黑"/>
                <w:color w:val="auto"/>
                <w:sz w:val="24"/>
                <w:highlight w:val="none"/>
                <w:lang w:eastAsia="zh-CN"/>
              </w:rPr>
              <w:t>保函</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eastAsia="zh-CN"/>
              </w:rPr>
              <w:sym w:font="Wingdings 2" w:char="0052"/>
            </w:r>
            <w:r>
              <w:rPr>
                <w:rFonts w:hint="eastAsia" w:ascii="微软雅黑" w:hAnsi="微软雅黑" w:eastAsia="微软雅黑" w:cs="微软雅黑"/>
                <w:color w:val="auto"/>
                <w:sz w:val="24"/>
                <w:highlight w:val="none"/>
              </w:rPr>
              <w:t xml:space="preserve">电汇  □支票  </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rPr>
              <w:t xml:space="preserve">对公转账  </w:t>
            </w:r>
            <w:r>
              <w:rPr>
                <w:rFonts w:hint="eastAsia" w:ascii="微软雅黑" w:hAnsi="微软雅黑" w:eastAsia="微软雅黑" w:cs="微软雅黑"/>
                <w:b w:val="0"/>
                <w:bCs w:val="0"/>
                <w:color w:val="auto"/>
                <w:sz w:val="24"/>
                <w:highlight w:val="none"/>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ascii="微软雅黑" w:hAnsi="微软雅黑" w:eastAsia="微软雅黑" w:cs="微软雅黑"/>
                <w:b/>
                <w:bCs/>
                <w:color w:val="auto"/>
                <w:sz w:val="24"/>
                <w:szCs w:val="24"/>
                <w:highlight w:val="none"/>
                <w:u w:val="single"/>
                <w:lang w:eastAsia="zh-CN"/>
              </w:rPr>
            </w:pPr>
            <w:r>
              <w:rPr>
                <w:rFonts w:hint="eastAsia" w:ascii="微软雅黑" w:hAnsi="微软雅黑" w:eastAsia="微软雅黑" w:cs="微软雅黑"/>
                <w:color w:val="auto"/>
                <w:sz w:val="24"/>
                <w:highlight w:val="none"/>
              </w:rPr>
              <w:t>投标保证金数额：</w:t>
            </w:r>
            <w:r>
              <w:rPr>
                <w:rFonts w:hint="eastAsia" w:ascii="微软雅黑" w:hAnsi="微软雅黑" w:eastAsia="微软雅黑" w:cs="微软雅黑"/>
                <w:b/>
                <w:bCs/>
                <w:color w:val="auto"/>
                <w:sz w:val="24"/>
                <w:szCs w:val="24"/>
                <w:highlight w:val="none"/>
                <w:u w:val="single"/>
                <w:lang w:val="en-US" w:eastAsia="zh-CN"/>
              </w:rPr>
              <w:t>¥132400元</w:t>
            </w:r>
            <w:r>
              <w:rPr>
                <w:rFonts w:hint="eastAsia" w:ascii="微软雅黑" w:hAnsi="微软雅黑" w:eastAsia="微软雅黑" w:cs="微软雅黑"/>
                <w:b/>
                <w:bCs/>
                <w:color w:val="auto"/>
                <w:sz w:val="24"/>
                <w:szCs w:val="24"/>
                <w:highlight w:val="none"/>
                <w:u w:val="single"/>
              </w:rPr>
              <w:t>（人民币</w:t>
            </w:r>
            <w:r>
              <w:rPr>
                <w:rFonts w:hint="eastAsia" w:ascii="微软雅黑" w:hAnsi="微软雅黑" w:eastAsia="微软雅黑" w:cs="微软雅黑"/>
                <w:b/>
                <w:bCs/>
                <w:color w:val="auto"/>
                <w:sz w:val="24"/>
                <w:szCs w:val="24"/>
                <w:highlight w:val="none"/>
                <w:u w:val="single"/>
                <w:lang w:val="en-US" w:eastAsia="zh-CN"/>
              </w:rPr>
              <w:t>壹拾叁万贰仟肆佰元整</w:t>
            </w:r>
            <w:r>
              <w:rPr>
                <w:rFonts w:hint="eastAsia" w:ascii="微软雅黑" w:hAnsi="微软雅黑" w:eastAsia="微软雅黑" w:cs="微软雅黑"/>
                <w:b/>
                <w:bCs/>
                <w:color w:val="auto"/>
                <w:sz w:val="24"/>
                <w:szCs w:val="24"/>
                <w:highlight w:val="none"/>
                <w:u w:val="singl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color w:val="auto"/>
                <w:sz w:val="24"/>
                <w:highlight w:val="none"/>
              </w:rPr>
              <w:t>（按照</w:t>
            </w:r>
            <w:r>
              <w:rPr>
                <w:rFonts w:hint="eastAsia" w:ascii="微软雅黑" w:hAnsi="微软雅黑" w:eastAsia="微软雅黑" w:cs="微软雅黑"/>
                <w:color w:val="auto"/>
                <w:sz w:val="24"/>
                <w:highlight w:val="none"/>
                <w:lang w:val="en-US" w:eastAsia="zh-CN"/>
              </w:rPr>
              <w:t>预算</w:t>
            </w:r>
            <w:r>
              <w:rPr>
                <w:rFonts w:hint="eastAsia" w:ascii="微软雅黑" w:hAnsi="微软雅黑" w:eastAsia="微软雅黑" w:cs="微软雅黑"/>
                <w:color w:val="auto"/>
                <w:sz w:val="24"/>
                <w:highlight w:val="none"/>
              </w:rPr>
              <w:t>金额2%以内的整数计算）</w:t>
            </w:r>
            <w:r>
              <w:rPr>
                <w:rFonts w:hint="eastAsia" w:ascii="微软雅黑" w:hAnsi="微软雅黑" w:eastAsia="微软雅黑" w:cs="微软雅黑"/>
                <w:b/>
                <w:bCs/>
                <w:color w:val="auto"/>
                <w:sz w:val="24"/>
                <w:highlight w:val="none"/>
              </w:rPr>
              <w:t>（以“保函”形式提交投标保证金的，投标文件须同时放保函</w:t>
            </w:r>
            <w:r>
              <w:rPr>
                <w:rFonts w:hint="eastAsia" w:ascii="微软雅黑" w:hAnsi="微软雅黑" w:eastAsia="微软雅黑" w:cs="微软雅黑"/>
                <w:b/>
                <w:bCs/>
                <w:color w:val="auto"/>
                <w:sz w:val="24"/>
                <w:highlight w:val="none"/>
                <w:lang w:val="en-US" w:eastAsia="zh-CN"/>
              </w:rPr>
              <w:t>及收据，收据须到代理公司进行换取</w:t>
            </w:r>
            <w:r>
              <w:rPr>
                <w:rFonts w:hint="eastAsia" w:ascii="微软雅黑" w:hAnsi="微软雅黑" w:eastAsia="微软雅黑" w:cs="微软雅黑"/>
                <w:b/>
                <w:bCs/>
                <w:color w:val="auto"/>
                <w:sz w:val="24"/>
                <w:highlight w:val="none"/>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投标保证金收款单位名称：新疆共建恒业信息咨询有限责任公司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 户 行：乌鲁木齐银行喀什分行（营业部）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账    号：0000020080110025191371（电汇时请在汇款备注栏注明项目名称及包号（如有），并注明是投标保证金</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否则视为无效投标保证金。</w:t>
            </w:r>
            <w:r>
              <w:rPr>
                <w:rFonts w:hint="eastAsia" w:ascii="微软雅黑" w:hAnsi="微软雅黑" w:eastAsia="微软雅黑" w:cs="微软雅黑"/>
                <w:color w:val="auto"/>
                <w:sz w:val="24"/>
                <w:highlight w:val="none"/>
              </w:rPr>
              <w:t>）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行    号：313894000405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财务室联系方式：18209987338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投标保证金必须在</w:t>
            </w:r>
            <w:r>
              <w:rPr>
                <w:rFonts w:hint="eastAsia" w:ascii="微软雅黑" w:hAnsi="微软雅黑" w:eastAsia="微软雅黑" w:cs="微软雅黑"/>
                <w:b/>
                <w:bCs/>
                <w:color w:val="auto"/>
                <w:sz w:val="24"/>
                <w:highlight w:val="none"/>
                <w:u w:val="single"/>
              </w:rPr>
              <w:t>开标前</w:t>
            </w:r>
            <w:r>
              <w:rPr>
                <w:rFonts w:hint="eastAsia" w:ascii="微软雅黑" w:hAnsi="微软雅黑" w:eastAsia="微软雅黑" w:cs="微软雅黑"/>
                <w:b/>
                <w:bCs/>
                <w:color w:val="auto"/>
                <w:sz w:val="24"/>
                <w:highlight w:val="none"/>
              </w:rPr>
              <w:t>交到新疆共建恒业信息咨询有限责任公司账户中。不接受现金、支票及任何个人、分公司汇款。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rPr>
              <w:t>退投标保证金：</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1</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根据《中华人民共和国财政部令第87号--政府采购货物和货物招标投标管理办法》第三十八条投标人在投标截止时间前撤回已提交的投标文件的，采购人或者采购代理机构应当自收到投标人书面撤回通知之日起５个工作日内，退还已收取的投标保证金，但因投标人自身原因导致无法及时退还的除外。采购人或者采购代理机构应当自中标通知书发出之日起5个工作日内退还未中标人的投标保证金，自采购合同签订之日起5个工作日内退还中标人的投标保证金或者转为中标人的履约保证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2</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eastAsia="zh-CN"/>
              </w:rPr>
              <w:fldChar w:fldCharType="begin"/>
            </w:r>
            <w:r>
              <w:rPr>
                <w:rFonts w:hint="eastAsia" w:ascii="微软雅黑" w:hAnsi="微软雅黑" w:eastAsia="微软雅黑" w:cs="微软雅黑"/>
                <w:b/>
                <w:bCs/>
                <w:color w:val="auto"/>
                <w:sz w:val="24"/>
                <w:highlight w:val="none"/>
                <w:lang w:eastAsia="zh-CN"/>
              </w:rPr>
              <w:instrText xml:space="preserve"> HYPERLINK "mailto:中标供应商的投标保证金在与采购单位签订合同后，把合同扫描件发送至邮箱3465165565@qq.com后，当日或次日即原账户退回。" </w:instrText>
            </w:r>
            <w:r>
              <w:rPr>
                <w:rFonts w:hint="eastAsia" w:ascii="微软雅黑" w:hAnsi="微软雅黑" w:eastAsia="微软雅黑" w:cs="微软雅黑"/>
                <w:b/>
                <w:bCs/>
                <w:color w:val="auto"/>
                <w:sz w:val="24"/>
                <w:highlight w:val="none"/>
                <w:lang w:eastAsia="zh-CN"/>
              </w:rPr>
              <w:fldChar w:fldCharType="separate"/>
            </w:r>
            <w:r>
              <w:rPr>
                <w:rStyle w:val="30"/>
                <w:rFonts w:hint="eastAsia" w:ascii="微软雅黑" w:hAnsi="微软雅黑" w:eastAsia="微软雅黑" w:cs="微软雅黑"/>
                <w:b/>
                <w:bCs/>
                <w:color w:val="auto"/>
                <w:sz w:val="24"/>
                <w:highlight w:val="none"/>
                <w:lang w:eastAsia="zh-CN"/>
              </w:rPr>
              <w:t>中标</w:t>
            </w:r>
            <w:r>
              <w:rPr>
                <w:rStyle w:val="30"/>
                <w:rFonts w:hint="eastAsia" w:ascii="微软雅黑" w:hAnsi="微软雅黑" w:eastAsia="微软雅黑" w:cs="微软雅黑"/>
                <w:b/>
                <w:bCs/>
                <w:color w:val="auto"/>
                <w:sz w:val="24"/>
                <w:highlight w:val="none"/>
                <w:lang w:val="en-US" w:eastAsia="zh-CN"/>
              </w:rPr>
              <w:t>供应商的</w:t>
            </w:r>
            <w:r>
              <w:rPr>
                <w:rStyle w:val="30"/>
                <w:rFonts w:hint="eastAsia" w:ascii="微软雅黑" w:hAnsi="微软雅黑" w:eastAsia="微软雅黑" w:cs="微软雅黑"/>
                <w:b/>
                <w:bCs/>
                <w:color w:val="auto"/>
                <w:sz w:val="24"/>
                <w:highlight w:val="none"/>
                <w:lang w:eastAsia="zh-CN"/>
              </w:rPr>
              <w:t>投标保证金在与采购单位签订合同后，把合同扫描件发</w:t>
            </w:r>
            <w:r>
              <w:rPr>
                <w:rStyle w:val="30"/>
                <w:rFonts w:hint="eastAsia" w:ascii="微软雅黑" w:hAnsi="微软雅黑" w:eastAsia="微软雅黑" w:cs="微软雅黑"/>
                <w:b/>
                <w:bCs/>
                <w:color w:val="auto"/>
                <w:sz w:val="24"/>
                <w:highlight w:val="none"/>
                <w:lang w:val="en-US" w:eastAsia="zh-CN"/>
              </w:rPr>
              <w:t>送至邮箱3465165565@qq.com</w:t>
            </w:r>
            <w:r>
              <w:rPr>
                <w:rStyle w:val="30"/>
                <w:rFonts w:hint="eastAsia" w:ascii="微软雅黑" w:hAnsi="微软雅黑" w:eastAsia="微软雅黑" w:cs="微软雅黑"/>
                <w:b/>
                <w:bCs/>
                <w:color w:val="auto"/>
                <w:sz w:val="24"/>
                <w:highlight w:val="none"/>
                <w:lang w:eastAsia="zh-CN"/>
              </w:rPr>
              <w:t>后，当日或次日即原账户退回。</w:t>
            </w:r>
            <w:r>
              <w:rPr>
                <w:rFonts w:hint="eastAsia" w:ascii="微软雅黑" w:hAnsi="微软雅黑" w:eastAsia="微软雅黑" w:cs="微软雅黑"/>
                <w:b/>
                <w:bCs/>
                <w:color w:val="auto"/>
                <w:sz w:val="24"/>
                <w:highlight w:val="none"/>
                <w:lang w:eastAsia="zh-CN"/>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13.1</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投标有效期：</w:t>
            </w:r>
            <w:r>
              <w:rPr>
                <w:rFonts w:hint="eastAsia" w:ascii="微软雅黑" w:hAnsi="微软雅黑" w:eastAsia="微软雅黑" w:cs="微软雅黑"/>
                <w:color w:val="auto"/>
                <w:sz w:val="24"/>
                <w:highlight w:val="none"/>
                <w:u w:val="single"/>
              </w:rPr>
              <w:t>　</w:t>
            </w:r>
            <w:r>
              <w:rPr>
                <w:rFonts w:hint="eastAsia" w:ascii="微软雅黑" w:hAnsi="微软雅黑" w:eastAsia="微软雅黑" w:cs="微软雅黑"/>
                <w:color w:val="auto"/>
                <w:sz w:val="24"/>
                <w:highlight w:val="none"/>
                <w:u w:val="single"/>
                <w:lang w:val="en-US" w:eastAsia="zh-CN"/>
              </w:rPr>
              <w:t>90</w:t>
            </w:r>
            <w:r>
              <w:rPr>
                <w:rFonts w:hint="eastAsia" w:ascii="微软雅黑" w:hAnsi="微软雅黑" w:eastAsia="微软雅黑" w:cs="微软雅黑"/>
                <w:color w:val="auto"/>
                <w:sz w:val="24"/>
                <w:highlight w:val="none"/>
                <w:u w:val="single"/>
              </w:rPr>
              <w:t>　</w:t>
            </w:r>
            <w:r>
              <w:rPr>
                <w:rFonts w:hint="eastAsia" w:ascii="微软雅黑" w:hAnsi="微软雅黑" w:eastAsia="微软雅黑" w:cs="微软雅黑"/>
                <w:color w:val="auto"/>
                <w:sz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1"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14.1</w:t>
            </w:r>
          </w:p>
        </w:tc>
        <w:tc>
          <w:tcPr>
            <w:tcW w:w="7882" w:type="dxa"/>
            <w:vAlign w:val="center"/>
          </w:tcPr>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b/>
                <w:bCs/>
                <w:color w:val="auto"/>
                <w:sz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rPr>
            </w:pPr>
            <w:r>
              <w:rPr>
                <w:rFonts w:hint="eastAsia" w:ascii="微软雅黑" w:hAnsi="微软雅黑" w:eastAsia="微软雅黑" w:cs="微软雅黑"/>
                <w:color w:val="auto"/>
                <w:sz w:val="24"/>
                <w:highlight w:val="none"/>
                <w:lang w:val="en-US" w:eastAsia="zh-CN"/>
              </w:rPr>
              <w:t>（8）</w:t>
            </w:r>
            <w:r>
              <w:rPr>
                <w:rFonts w:hint="eastAsia" w:ascii="微软雅黑" w:hAnsi="微软雅黑" w:eastAsia="微软雅黑" w:cs="微软雅黑"/>
                <w:b/>
                <w:bCs/>
                <w:color w:val="auto"/>
                <w:sz w:val="24"/>
                <w:highlight w:val="none"/>
                <w:lang w:val="en-US" w:eastAsia="zh-CN"/>
              </w:rPr>
              <w:t>各供应商</w:t>
            </w:r>
            <w:r>
              <w:rPr>
                <w:rFonts w:hint="eastAsia" w:ascii="微软雅黑" w:hAnsi="微软雅黑" w:eastAsia="微软雅黑" w:cs="微软雅黑"/>
                <w:b/>
                <w:bCs/>
                <w:color w:val="auto"/>
                <w:sz w:val="24"/>
                <w:highlight w:val="none"/>
              </w:rPr>
              <w:t>须在投标截止时间前完成在系统上递交电子</w:t>
            </w:r>
            <w:r>
              <w:rPr>
                <w:rFonts w:hint="eastAsia" w:ascii="微软雅黑" w:hAnsi="微软雅黑" w:eastAsia="微软雅黑" w:cs="微软雅黑"/>
                <w:b/>
                <w:bCs/>
                <w:color w:val="auto"/>
                <w:sz w:val="24"/>
                <w:highlight w:val="none"/>
                <w:lang w:val="en-US" w:eastAsia="zh-CN"/>
              </w:rPr>
              <w:t>投标文件</w:t>
            </w:r>
            <w:r>
              <w:rPr>
                <w:rFonts w:hint="eastAsia" w:ascii="微软雅黑" w:hAnsi="微软雅黑" w:eastAsia="微软雅黑" w:cs="微软雅黑"/>
                <w:b/>
                <w:bCs/>
                <w:color w:val="auto"/>
                <w:sz w:val="24"/>
                <w:highlight w:val="none"/>
              </w:rPr>
              <w:t>。</w:t>
            </w:r>
            <w:r>
              <w:rPr>
                <w:rFonts w:hint="eastAsia" w:ascii="微软雅黑" w:hAnsi="微软雅黑" w:eastAsia="微软雅黑" w:cs="微软雅黑"/>
                <w:b/>
                <w:bCs/>
                <w:color w:val="auto"/>
                <w:sz w:val="24"/>
                <w:highlight w:val="none"/>
                <w:lang w:eastAsia="zh-CN"/>
              </w:rPr>
              <w:t>投标供应商</w:t>
            </w:r>
            <w:r>
              <w:rPr>
                <w:rFonts w:hint="eastAsia" w:ascii="微软雅黑" w:hAnsi="微软雅黑" w:eastAsia="微软雅黑" w:cs="微软雅黑"/>
                <w:b/>
                <w:bCs/>
                <w:color w:val="auto"/>
                <w:sz w:val="24"/>
                <w:highlight w:val="none"/>
              </w:rPr>
              <w:t>的电子</w:t>
            </w:r>
            <w:r>
              <w:rPr>
                <w:rFonts w:hint="eastAsia" w:ascii="微软雅黑" w:hAnsi="微软雅黑" w:eastAsia="微软雅黑" w:cs="微软雅黑"/>
                <w:b/>
                <w:bCs/>
                <w:color w:val="auto"/>
                <w:sz w:val="24"/>
                <w:highlight w:val="none"/>
                <w:lang w:eastAsia="zh-CN"/>
              </w:rPr>
              <w:t>投标文件</w:t>
            </w:r>
            <w:r>
              <w:rPr>
                <w:rFonts w:hint="eastAsia" w:ascii="微软雅黑" w:hAnsi="微软雅黑" w:eastAsia="微软雅黑" w:cs="微软雅黑"/>
                <w:b/>
                <w:bCs/>
                <w:color w:val="auto"/>
                <w:sz w:val="24"/>
                <w:highlight w:val="none"/>
              </w:rPr>
              <w:t>是经过CA证书加密后上传提交的，任何单位或个人均无法在投标截止时间(即开标时间)之前查看或篡改，不存在泄密风险。（严格按照政采云电子投标流程制作并上传</w:t>
            </w:r>
            <w:r>
              <w:rPr>
                <w:rFonts w:hint="eastAsia" w:ascii="微软雅黑" w:hAnsi="微软雅黑" w:eastAsia="微软雅黑" w:cs="微软雅黑"/>
                <w:b/>
                <w:bCs/>
                <w:color w:val="auto"/>
                <w:sz w:val="24"/>
                <w:highlight w:val="none"/>
                <w:lang w:val="en-US" w:eastAsia="zh-CN"/>
              </w:rPr>
              <w:t>完整版的</w:t>
            </w:r>
            <w:r>
              <w:rPr>
                <w:rFonts w:hint="eastAsia" w:ascii="微软雅黑" w:hAnsi="微软雅黑" w:eastAsia="微软雅黑" w:cs="微软雅黑"/>
                <w:b/>
                <w:bCs/>
                <w:color w:val="auto"/>
                <w:sz w:val="24"/>
                <w:highlight w:val="none"/>
              </w:rPr>
              <w:t>电子</w:t>
            </w:r>
            <w:r>
              <w:rPr>
                <w:rFonts w:hint="eastAsia" w:ascii="微软雅黑" w:hAnsi="微软雅黑" w:eastAsia="微软雅黑" w:cs="微软雅黑"/>
                <w:b/>
                <w:bCs/>
                <w:color w:val="auto"/>
                <w:sz w:val="24"/>
                <w:highlight w:val="none"/>
                <w:lang w:eastAsia="zh-CN"/>
              </w:rPr>
              <w:t>投标文件，</w:t>
            </w:r>
            <w:r>
              <w:rPr>
                <w:rFonts w:hint="eastAsia" w:ascii="微软雅黑" w:hAnsi="微软雅黑" w:eastAsia="微软雅黑" w:cs="微软雅黑"/>
                <w:b/>
                <w:bCs/>
                <w:color w:val="auto"/>
                <w:sz w:val="24"/>
                <w:highlight w:val="none"/>
                <w:lang w:val="en-US" w:eastAsia="zh-CN"/>
              </w:rPr>
              <w:t>包含第一部分开标一览表及资格证明文件、第二部分商务及技术文件</w:t>
            </w:r>
            <w:r>
              <w:rPr>
                <w:rFonts w:hint="eastAsia" w:ascii="微软雅黑" w:hAnsi="微软雅黑" w:eastAsia="微软雅黑" w:cs="微软雅黑"/>
                <w:b/>
                <w:bCs/>
                <w:color w:val="auto"/>
                <w:sz w:val="24"/>
                <w:highlight w:val="none"/>
              </w:rPr>
              <w:t>）</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9</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各供应商在投标截止时间前将“投标文件”上传至政采云平台。投标文件包括“开标一览表表及资格证明文件”与“商务及技术文件”两部分合并成一册。投标文件应按照招标文件规定的格式填写、签署和盖章，并以相应的格式上传至政采云开评标平台。</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lang w:val="en-US" w:eastAsia="zh-CN"/>
              </w:rPr>
              <w:t>（10）所有投标供应商应在中标公告公示期结束后5个工作日内将纸质版投标文件邮寄至代理机构备案，纸质版投标文件</w:t>
            </w:r>
            <w:r>
              <w:rPr>
                <w:rFonts w:hint="eastAsia" w:ascii="微软雅黑" w:hAnsi="微软雅黑" w:eastAsia="微软雅黑" w:cs="微软雅黑"/>
                <w:b/>
                <w:bCs/>
                <w:color w:val="auto"/>
                <w:sz w:val="24"/>
                <w:highlight w:val="none"/>
              </w:rPr>
              <w:t>包括“</w:t>
            </w:r>
            <w:r>
              <w:rPr>
                <w:rFonts w:hint="eastAsia" w:ascii="微软雅黑" w:hAnsi="微软雅黑" w:eastAsia="微软雅黑" w:cs="微软雅黑"/>
                <w:b/>
                <w:bCs/>
                <w:color w:val="auto"/>
                <w:sz w:val="24"/>
                <w:highlight w:val="none"/>
                <w:lang w:val="en-US" w:eastAsia="zh-CN"/>
              </w:rPr>
              <w:t>开标一览表</w:t>
            </w:r>
            <w:r>
              <w:rPr>
                <w:rFonts w:hint="eastAsia" w:ascii="微软雅黑" w:hAnsi="微软雅黑" w:eastAsia="微软雅黑" w:cs="微软雅黑"/>
                <w:b/>
                <w:bCs/>
                <w:color w:val="auto"/>
                <w:sz w:val="24"/>
                <w:highlight w:val="none"/>
                <w:lang w:eastAsia="zh-CN"/>
              </w:rPr>
              <w:t>表</w:t>
            </w:r>
            <w:r>
              <w:rPr>
                <w:rFonts w:hint="eastAsia" w:ascii="微软雅黑" w:hAnsi="微软雅黑" w:eastAsia="微软雅黑" w:cs="微软雅黑"/>
                <w:b/>
                <w:bCs/>
                <w:color w:val="auto"/>
                <w:sz w:val="24"/>
                <w:highlight w:val="none"/>
              </w:rPr>
              <w:t>及资格证明文件”和“商务及技术文件”两部分，两部分合订成一册递交。</w:t>
            </w:r>
          </w:p>
          <w:p>
            <w:pPr>
              <w:keepNext w:val="0"/>
              <w:keepLines w:val="0"/>
              <w:suppressLineNumbers w:val="0"/>
              <w:shd w:val="clear"/>
              <w:spacing w:before="0" w:beforeAutospacing="0" w:after="0" w:afterAutospacing="0" w:line="400" w:lineRule="exact"/>
              <w:ind w:left="0" w:right="0"/>
              <w:jc w:val="lef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（11）须供应商提供备份的投标文件。</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ascii="微软雅黑" w:hAnsi="微软雅黑" w:eastAsia="微软雅黑" w:cs="微软雅黑"/>
                <w:color w:val="auto"/>
                <w:highlight w:val="none"/>
              </w:rPr>
            </w:pPr>
            <w:r>
              <w:rPr>
                <w:rFonts w:hint="eastAsia" w:ascii="微软雅黑" w:hAnsi="微软雅黑" w:eastAsia="微软雅黑" w:cs="微软雅黑"/>
                <w:b/>
                <w:bCs/>
                <w:color w:val="auto"/>
                <w:sz w:val="24"/>
                <w:highlight w:val="none"/>
                <w:lang w:val="en-US" w:eastAsia="zh-CN"/>
              </w:rPr>
              <w:t>（12）解密时长为30分钟。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16.1</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投标截止时间：</w:t>
            </w:r>
            <w:r>
              <w:rPr>
                <w:rFonts w:hint="eastAsia" w:ascii="微软雅黑" w:hAnsi="微软雅黑" w:eastAsia="微软雅黑" w:cs="微软雅黑"/>
                <w:b/>
                <w:bCs/>
                <w:color w:val="auto"/>
                <w:sz w:val="24"/>
                <w:highlight w:val="none"/>
                <w:u w:val="single"/>
              </w:rPr>
              <w:t>2023年</w:t>
            </w:r>
            <w:r>
              <w:rPr>
                <w:rFonts w:hint="eastAsia" w:ascii="微软雅黑" w:hAnsi="微软雅黑" w:eastAsia="微软雅黑" w:cs="微软雅黑"/>
                <w:b/>
                <w:bCs/>
                <w:color w:val="auto"/>
                <w:sz w:val="24"/>
                <w:highlight w:val="none"/>
                <w:u w:val="single"/>
                <w:lang w:val="en-US" w:eastAsia="zh-CN"/>
              </w:rPr>
              <w:t>4</w:t>
            </w:r>
            <w:r>
              <w:rPr>
                <w:rFonts w:hint="eastAsia" w:ascii="微软雅黑" w:hAnsi="微软雅黑" w:eastAsia="微软雅黑" w:cs="微软雅黑"/>
                <w:b/>
                <w:bCs/>
                <w:color w:val="auto"/>
                <w:sz w:val="24"/>
                <w:highlight w:val="none"/>
                <w:u w:val="single"/>
              </w:rPr>
              <w:t>月</w:t>
            </w:r>
            <w:r>
              <w:rPr>
                <w:rFonts w:hint="eastAsia" w:ascii="微软雅黑" w:hAnsi="微软雅黑" w:eastAsia="微软雅黑" w:cs="微软雅黑"/>
                <w:b/>
                <w:bCs/>
                <w:color w:val="auto"/>
                <w:sz w:val="24"/>
                <w:highlight w:val="none"/>
                <w:u w:val="single"/>
                <w:lang w:val="en-US" w:eastAsia="zh-CN"/>
              </w:rPr>
              <w:t>12</w:t>
            </w:r>
            <w:r>
              <w:rPr>
                <w:rFonts w:hint="eastAsia" w:ascii="微软雅黑" w:hAnsi="微软雅黑" w:eastAsia="微软雅黑" w:cs="微软雅黑"/>
                <w:b/>
                <w:bCs/>
                <w:color w:val="auto"/>
                <w:sz w:val="24"/>
                <w:highlight w:val="none"/>
                <w:u w:val="single"/>
              </w:rPr>
              <w:t>日10点30分（北京时间）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18.1</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bCs/>
                <w:color w:val="auto"/>
                <w:sz w:val="24"/>
                <w:highlight w:val="none"/>
                <w:u w:val="single"/>
              </w:rPr>
            </w:pPr>
            <w:r>
              <w:rPr>
                <w:rFonts w:hint="eastAsia" w:ascii="微软雅黑" w:hAnsi="微软雅黑" w:eastAsia="微软雅黑" w:cs="微软雅黑"/>
                <w:color w:val="auto"/>
                <w:sz w:val="24"/>
                <w:highlight w:val="none"/>
              </w:rPr>
              <w:t>开标时间：</w:t>
            </w:r>
            <w:r>
              <w:rPr>
                <w:rFonts w:hint="eastAsia" w:ascii="微软雅黑" w:hAnsi="微软雅黑" w:eastAsia="微软雅黑" w:cs="微软雅黑"/>
                <w:b/>
                <w:bCs/>
                <w:color w:val="auto"/>
                <w:sz w:val="24"/>
                <w:highlight w:val="none"/>
                <w:u w:val="single"/>
              </w:rPr>
              <w:t>2023年</w:t>
            </w:r>
            <w:r>
              <w:rPr>
                <w:rFonts w:hint="eastAsia" w:ascii="微软雅黑" w:hAnsi="微软雅黑" w:eastAsia="微软雅黑" w:cs="微软雅黑"/>
                <w:b/>
                <w:bCs/>
                <w:color w:val="auto"/>
                <w:sz w:val="24"/>
                <w:highlight w:val="none"/>
                <w:u w:val="single"/>
                <w:lang w:val="en-US" w:eastAsia="zh-CN"/>
              </w:rPr>
              <w:t>4</w:t>
            </w:r>
            <w:r>
              <w:rPr>
                <w:rFonts w:hint="eastAsia" w:ascii="微软雅黑" w:hAnsi="微软雅黑" w:eastAsia="微软雅黑" w:cs="微软雅黑"/>
                <w:b/>
                <w:bCs/>
                <w:color w:val="auto"/>
                <w:sz w:val="24"/>
                <w:highlight w:val="none"/>
                <w:u w:val="single"/>
              </w:rPr>
              <w:t>月</w:t>
            </w:r>
            <w:r>
              <w:rPr>
                <w:rFonts w:hint="eastAsia" w:ascii="微软雅黑" w:hAnsi="微软雅黑" w:eastAsia="微软雅黑" w:cs="微软雅黑"/>
                <w:b/>
                <w:bCs/>
                <w:color w:val="auto"/>
                <w:sz w:val="24"/>
                <w:highlight w:val="none"/>
                <w:u w:val="single"/>
                <w:lang w:val="en-US" w:eastAsia="zh-CN"/>
              </w:rPr>
              <w:t>12</w:t>
            </w:r>
            <w:r>
              <w:rPr>
                <w:rFonts w:hint="eastAsia" w:ascii="微软雅黑" w:hAnsi="微软雅黑" w:eastAsia="微软雅黑" w:cs="微软雅黑"/>
                <w:b/>
                <w:bCs/>
                <w:color w:val="auto"/>
                <w:sz w:val="24"/>
                <w:highlight w:val="none"/>
                <w:u w:val="single"/>
              </w:rPr>
              <w:t>日10点30分（北京时间）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rPr>
              <w:t>开标地点：</w:t>
            </w:r>
            <w:r>
              <w:rPr>
                <w:rFonts w:hint="eastAsia" w:ascii="微软雅黑" w:hAnsi="微软雅黑" w:eastAsia="微软雅黑" w:cs="微软雅黑"/>
                <w:b/>
                <w:bCs/>
                <w:color w:val="auto"/>
                <w:sz w:val="24"/>
                <w:highlight w:val="none"/>
                <w:u w:val="single"/>
                <w:lang w:eastAsia="zh-CN"/>
              </w:rPr>
              <w:t>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23.2</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i/>
                <w:color w:val="auto"/>
                <w:sz w:val="24"/>
                <w:highlight w:val="none"/>
              </w:rPr>
            </w:pPr>
            <w:r>
              <w:rPr>
                <w:rFonts w:hint="eastAsia" w:ascii="微软雅黑" w:hAnsi="微软雅黑" w:eastAsia="微软雅黑" w:cs="微软雅黑"/>
                <w:color w:val="auto"/>
                <w:sz w:val="24"/>
                <w:highlight w:val="none"/>
              </w:rPr>
              <w:t>评标方法：适用</w:t>
            </w:r>
            <w:r>
              <w:rPr>
                <w:rFonts w:hint="eastAsia" w:ascii="微软雅黑" w:hAnsi="微软雅黑" w:eastAsia="微软雅黑" w:cs="微软雅黑"/>
                <w:color w:val="auto"/>
                <w:sz w:val="24"/>
                <w:highlight w:val="none"/>
                <w:u w:val="single"/>
              </w:rPr>
              <w:t>　综合评分法　</w:t>
            </w:r>
            <w:r>
              <w:rPr>
                <w:rFonts w:hint="eastAsia" w:ascii="微软雅黑" w:hAnsi="微软雅黑" w:eastAsia="微软雅黑" w:cs="微软雅黑"/>
                <w:color w:val="auto"/>
                <w:sz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推荐中标候选供应商的数量：</w:t>
            </w:r>
            <w:r>
              <w:rPr>
                <w:rFonts w:hint="eastAsia" w:ascii="微软雅黑" w:hAnsi="微软雅黑" w:eastAsia="微软雅黑" w:cs="微软雅黑"/>
                <w:color w:val="auto"/>
                <w:sz w:val="24"/>
                <w:highlight w:val="none"/>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eastAsia="zh-CN"/>
              </w:rPr>
              <w:t>采购人</w:t>
            </w:r>
            <w:r>
              <w:rPr>
                <w:rFonts w:hint="eastAsia" w:ascii="微软雅黑" w:hAnsi="微软雅黑" w:eastAsia="微软雅黑" w:cs="微软雅黑"/>
                <w:color w:val="auto"/>
                <w:sz w:val="24"/>
                <w:highlight w:val="none"/>
              </w:rPr>
              <w:t>是否委托评标委员会直接确定中标人：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u w:val="single"/>
                <w:lang w:eastAsia="zh-CN"/>
              </w:rPr>
              <w:t>否</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31.1</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履约保证金金额：合同总价的</w:t>
            </w:r>
            <w:r>
              <w:rPr>
                <w:rFonts w:hint="eastAsia" w:ascii="微软雅黑" w:hAnsi="微软雅黑" w:eastAsia="微软雅黑" w:cs="微软雅黑"/>
                <w:color w:val="auto"/>
                <w:sz w:val="24"/>
                <w:highlight w:val="none"/>
                <w:u w:val="single"/>
                <w:lang w:val="en-US" w:eastAsia="zh-CN"/>
              </w:rPr>
              <w:t>10</w:t>
            </w:r>
            <w:r>
              <w:rPr>
                <w:rFonts w:hint="eastAsia" w:ascii="微软雅黑" w:hAnsi="微软雅黑" w:eastAsia="微软雅黑" w:cs="微软雅黑"/>
                <w:color w:val="auto"/>
                <w:sz w:val="24"/>
                <w:highlight w:val="none"/>
                <w:u w:val="single"/>
              </w:rPr>
              <w:t>%　</w:t>
            </w:r>
            <w:r>
              <w:rPr>
                <w:rFonts w:hint="eastAsia" w:ascii="微软雅黑" w:hAnsi="微软雅黑" w:eastAsia="微软雅黑" w:cs="微软雅黑"/>
                <w:color w:val="auto"/>
                <w:sz w:val="24"/>
                <w:highlight w:val="none"/>
              </w:rPr>
              <w:t>（不得超过政府采购合同金额的10%）</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履约保证金形式：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u w:val="single"/>
                <w:lang w:eastAsia="zh-CN"/>
              </w:rPr>
              <w:t>☑保函</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u w:val="single"/>
                <w:lang w:eastAsia="zh-CN"/>
              </w:rPr>
              <w:t>☑</w:t>
            </w:r>
            <w:r>
              <w:rPr>
                <w:rFonts w:hint="eastAsia" w:ascii="微软雅黑" w:hAnsi="微软雅黑" w:eastAsia="微软雅黑" w:cs="微软雅黑"/>
                <w:color w:val="auto"/>
                <w:sz w:val="24"/>
                <w:highlight w:val="none"/>
                <w:u w:val="single"/>
              </w:rPr>
              <w:t xml:space="preserve">电汇  □支票   </w:t>
            </w:r>
            <w:r>
              <w:rPr>
                <w:rFonts w:hint="eastAsia" w:ascii="微软雅黑" w:hAnsi="微软雅黑" w:eastAsia="微软雅黑" w:cs="微软雅黑"/>
                <w:color w:val="auto"/>
                <w:sz w:val="24"/>
                <w:highlight w:val="none"/>
                <w:u w:val="single"/>
                <w:lang w:eastAsia="zh-CN"/>
              </w:rPr>
              <w:t>☑</w:t>
            </w:r>
            <w:r>
              <w:rPr>
                <w:rFonts w:hint="eastAsia" w:ascii="微软雅黑" w:hAnsi="微软雅黑" w:eastAsia="微软雅黑" w:cs="微软雅黑"/>
                <w:color w:val="auto"/>
                <w:sz w:val="24"/>
                <w:highlight w:val="none"/>
                <w:u w:val="single"/>
              </w:rPr>
              <w:t xml:space="preserve">对公转账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rPr>
              <w:t>提交履约保证金的时间：签订合同前打入甲方指定账户</w:t>
            </w: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lang w:eastAsia="zh-CN"/>
              </w:rPr>
              <w:t>注：</w:t>
            </w:r>
            <w:r>
              <w:rPr>
                <w:rFonts w:hint="eastAsia" w:ascii="微软雅黑" w:hAnsi="微软雅黑" w:eastAsia="微软雅黑" w:cs="微软雅黑"/>
                <w:color w:val="auto"/>
                <w:sz w:val="24"/>
                <w:highlight w:val="none"/>
                <w:lang w:val="zh-CN"/>
              </w:rPr>
              <w:t>双方可以通过协商另行约定其他退还时间和方式及用途。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32</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代理</w:t>
            </w:r>
            <w:r>
              <w:rPr>
                <w:rFonts w:hint="eastAsia" w:ascii="微软雅黑" w:hAnsi="微软雅黑" w:eastAsia="微软雅黑" w:cs="微软雅黑"/>
                <w:color w:val="auto"/>
                <w:sz w:val="24"/>
                <w:highlight w:val="none"/>
              </w:rPr>
              <w:t>服务费：根据发改价格[2015]299文件：确定代理服务费按照中标价的1.</w:t>
            </w:r>
            <w:r>
              <w:rPr>
                <w:rFonts w:hint="eastAsia" w:ascii="微软雅黑" w:hAnsi="微软雅黑" w:eastAsia="微软雅黑" w:cs="微软雅黑"/>
                <w:color w:val="auto"/>
                <w:sz w:val="24"/>
                <w:highlight w:val="none"/>
                <w:lang w:val="en-US" w:eastAsia="zh-CN"/>
              </w:rPr>
              <w:t>5</w:t>
            </w:r>
            <w:r>
              <w:rPr>
                <w:rFonts w:hint="eastAsia" w:ascii="微软雅黑" w:hAnsi="微软雅黑" w:eastAsia="微软雅黑" w:cs="微软雅黑"/>
                <w:color w:val="auto"/>
                <w:sz w:val="24"/>
                <w:highlight w:val="none"/>
              </w:rPr>
              <w:t>%收取</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rPr>
              <w:t>（由中标供应商支付）</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支付时间：领取中标通知书时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1080" w:leftChars="257" w:right="0" w:hanging="54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33.1</w:t>
            </w:r>
          </w:p>
        </w:tc>
        <w:tc>
          <w:tcPr>
            <w:tcW w:w="788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本项目是否属于信用担保试点范围：</w:t>
            </w:r>
            <w:r>
              <w:rPr>
                <w:rFonts w:hint="eastAsia" w:ascii="微软雅黑" w:hAnsi="微软雅黑" w:eastAsia="微软雅黑" w:cs="微软雅黑"/>
                <w:color w:val="auto"/>
                <w:sz w:val="24"/>
                <w:highlight w:val="none"/>
                <w:u w:val="single"/>
              </w:rPr>
              <w:t xml:space="preserve">  否  </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i/>
                <w:color w:val="auto"/>
                <w:sz w:val="24"/>
                <w:highlight w:val="none"/>
              </w:rPr>
              <w:t>（是、否）</w:t>
            </w:r>
          </w:p>
        </w:tc>
      </w:tr>
    </w:tbl>
    <w:p>
      <w:pPr>
        <w:spacing w:line="240" w:lineRule="atLeast"/>
        <w:ind w:left="1080" w:leftChars="257" w:hanging="540"/>
        <w:rPr>
          <w:rFonts w:hint="eastAsia" w:ascii="微软雅黑" w:hAnsi="微软雅黑" w:eastAsia="微软雅黑" w:cs="微软雅黑"/>
          <w:color w:val="auto"/>
          <w:sz w:val="24"/>
          <w:highlight w:val="none"/>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numPr>
          <w:ilvl w:val="0"/>
          <w:numId w:val="7"/>
        </w:numPr>
        <w:spacing w:line="440" w:lineRule="exact"/>
        <w:jc w:val="center"/>
        <w:outlineLvl w:val="0"/>
        <w:rPr>
          <w:rFonts w:hint="eastAsia" w:ascii="微软雅黑" w:hAnsi="微软雅黑" w:eastAsia="微软雅黑" w:cs="微软雅黑"/>
          <w:b/>
          <w:color w:val="auto"/>
          <w:sz w:val="32"/>
          <w:szCs w:val="32"/>
          <w:highlight w:val="none"/>
        </w:rPr>
      </w:pPr>
      <w:bookmarkStart w:id="1310" w:name="_Toc15092"/>
      <w:bookmarkStart w:id="1311" w:name="_Toc27053"/>
      <w:bookmarkStart w:id="1312" w:name="_Toc512937852"/>
      <w:r>
        <w:rPr>
          <w:rFonts w:hint="eastAsia" w:ascii="微软雅黑" w:hAnsi="微软雅黑" w:eastAsia="微软雅黑" w:cs="微软雅黑"/>
          <w:b/>
          <w:color w:val="auto"/>
          <w:sz w:val="32"/>
          <w:szCs w:val="32"/>
          <w:highlight w:val="none"/>
        </w:rPr>
        <w:t xml:space="preserve"> </w:t>
      </w:r>
      <w:bookmarkStart w:id="1313" w:name="_Toc32130"/>
      <w:r>
        <w:rPr>
          <w:rFonts w:hint="eastAsia" w:ascii="微软雅黑" w:hAnsi="微软雅黑" w:eastAsia="微软雅黑" w:cs="微软雅黑"/>
          <w:b/>
          <w:color w:val="auto"/>
          <w:sz w:val="32"/>
          <w:szCs w:val="32"/>
          <w:highlight w:val="none"/>
          <w:lang w:val="en-US" w:eastAsia="zh-CN"/>
        </w:rPr>
        <w:t>货物</w:t>
      </w:r>
      <w:r>
        <w:rPr>
          <w:rFonts w:hint="eastAsia" w:ascii="微软雅黑" w:hAnsi="微软雅黑" w:eastAsia="微软雅黑" w:cs="微软雅黑"/>
          <w:b/>
          <w:color w:val="auto"/>
          <w:sz w:val="32"/>
          <w:szCs w:val="32"/>
          <w:highlight w:val="none"/>
        </w:rPr>
        <w:t>内容及项目要求</w:t>
      </w:r>
      <w:bookmarkEnd w:id="1310"/>
      <w:bookmarkEnd w:id="1311"/>
      <w:bookmarkEnd w:id="1313"/>
    </w:p>
    <w:bookmarkEnd w:id="1312"/>
    <w:p>
      <w:pPr>
        <w:pStyle w:val="4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00" w:lineRule="exact"/>
        <w:jc w:val="left"/>
        <w:textAlignment w:val="baseline"/>
        <w:outlineLvl w:val="9"/>
        <w:rPr>
          <w:rFonts w:hint="eastAsia" w:ascii="微软雅黑" w:hAnsi="微软雅黑" w:eastAsia="微软雅黑" w:cs="微软雅黑"/>
          <w:b/>
          <w:bCs/>
          <w:color w:val="auto"/>
          <w:sz w:val="24"/>
          <w:highlight w:val="none"/>
          <w:lang w:val="en-US" w:eastAsia="zh-CN"/>
        </w:rPr>
      </w:pPr>
      <w:bookmarkStart w:id="1314" w:name="_Toc9091"/>
      <w:r>
        <w:rPr>
          <w:rFonts w:hint="eastAsia" w:ascii="微软雅黑" w:hAnsi="微软雅黑" w:eastAsia="微软雅黑" w:cs="微软雅黑"/>
          <w:b/>
          <w:bCs/>
          <w:color w:val="auto"/>
          <w:sz w:val="24"/>
          <w:highlight w:val="none"/>
          <w:lang w:val="en-US" w:eastAsia="zh-CN"/>
        </w:rPr>
        <w:t>一、货物需求：</w:t>
      </w:r>
    </w:p>
    <w:tbl>
      <w:tblPr>
        <w:tblStyle w:val="26"/>
        <w:tblW w:w="9435"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80"/>
        <w:gridCol w:w="2921"/>
        <w:gridCol w:w="2284"/>
        <w:gridCol w:w="945"/>
        <w:gridCol w:w="90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right="0"/>
              <w:jc w:val="center"/>
              <w:textAlignment w:val="baseline"/>
              <w:outlineLvl w:val="9"/>
              <w:rPr>
                <w:rFonts w:hint="eastAsia" w:ascii="微软雅黑" w:hAnsi="微软雅黑" w:eastAsia="微软雅黑" w:cs="微软雅黑"/>
                <w:b/>
                <w:bCs/>
                <w:color w:val="auto"/>
                <w:sz w:val="24"/>
                <w:szCs w:val="24"/>
                <w:highlight w:val="none"/>
                <w:vertAlign w:val="baseline"/>
                <w:lang w:val="en-US" w:eastAsia="zh-CN"/>
              </w:rPr>
            </w:pPr>
            <w:r>
              <w:rPr>
                <w:rFonts w:hint="eastAsia" w:ascii="微软雅黑" w:hAnsi="微软雅黑" w:eastAsia="微软雅黑" w:cs="微软雅黑"/>
                <w:b/>
                <w:bCs/>
                <w:color w:val="auto"/>
                <w:sz w:val="24"/>
                <w:szCs w:val="24"/>
                <w:highlight w:val="none"/>
                <w:vertAlign w:val="baseline"/>
                <w:lang w:val="en-US" w:eastAsia="zh-CN"/>
              </w:rPr>
              <w:t>序号</w:t>
            </w:r>
          </w:p>
        </w:tc>
        <w:tc>
          <w:tcPr>
            <w:tcW w:w="1080"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采购</w:t>
            </w:r>
          </w:p>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b/>
                <w:bCs/>
                <w:color w:val="auto"/>
                <w:kern w:val="2"/>
                <w:sz w:val="24"/>
                <w:szCs w:val="24"/>
                <w:highlight w:val="none"/>
                <w:vertAlign w:val="baseline"/>
                <w:lang w:val="en-US" w:eastAsia="zh-CN" w:bidi="ar-SA"/>
              </w:rPr>
            </w:pPr>
            <w:r>
              <w:rPr>
                <w:rFonts w:hint="eastAsia" w:ascii="微软雅黑" w:hAnsi="微软雅黑" w:eastAsia="微软雅黑" w:cs="微软雅黑"/>
                <w:b/>
                <w:bCs/>
                <w:sz w:val="24"/>
                <w:szCs w:val="24"/>
                <w:highlight w:val="none"/>
                <w:lang w:val="en-US" w:eastAsia="zh-CN"/>
              </w:rPr>
              <w:t>数量</w:t>
            </w:r>
          </w:p>
        </w:tc>
        <w:tc>
          <w:tcPr>
            <w:tcW w:w="2921"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b/>
                <w:bCs/>
                <w:color w:val="auto"/>
                <w:kern w:val="2"/>
                <w:sz w:val="24"/>
                <w:szCs w:val="24"/>
                <w:highlight w:val="none"/>
                <w:vertAlign w:val="baseline"/>
                <w:lang w:val="en-US" w:eastAsia="zh-CN" w:bidi="ar-SA"/>
              </w:rPr>
            </w:pPr>
            <w:r>
              <w:rPr>
                <w:rFonts w:hint="eastAsia" w:ascii="微软雅黑" w:hAnsi="微软雅黑" w:eastAsia="微软雅黑" w:cs="微软雅黑"/>
                <w:b/>
                <w:bCs/>
                <w:sz w:val="24"/>
                <w:szCs w:val="24"/>
                <w:highlight w:val="none"/>
                <w:lang w:val="en-US" w:eastAsia="zh-CN"/>
              </w:rPr>
              <w:t>质量要求</w:t>
            </w:r>
          </w:p>
        </w:tc>
        <w:tc>
          <w:tcPr>
            <w:tcW w:w="2284"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b/>
                <w:bCs/>
                <w:color w:val="auto"/>
                <w:kern w:val="2"/>
                <w:sz w:val="24"/>
                <w:szCs w:val="24"/>
                <w:highlight w:val="none"/>
                <w:vertAlign w:val="baseline"/>
                <w:lang w:val="en-US" w:eastAsia="zh-CN" w:bidi="ar-SA"/>
              </w:rPr>
            </w:pPr>
            <w:r>
              <w:rPr>
                <w:rFonts w:hint="eastAsia" w:ascii="微软雅黑" w:hAnsi="微软雅黑" w:eastAsia="微软雅黑" w:cs="微软雅黑"/>
                <w:b/>
                <w:bCs/>
                <w:sz w:val="24"/>
                <w:szCs w:val="24"/>
                <w:highlight w:val="none"/>
                <w:lang w:val="en-US" w:eastAsia="zh-CN"/>
              </w:rPr>
              <w:t>包装及标签</w:t>
            </w:r>
          </w:p>
        </w:tc>
        <w:tc>
          <w:tcPr>
            <w:tcW w:w="945"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b/>
                <w:bCs/>
                <w:color w:val="auto"/>
                <w:kern w:val="2"/>
                <w:sz w:val="24"/>
                <w:szCs w:val="24"/>
                <w:highlight w:val="none"/>
                <w:vertAlign w:val="baseline"/>
                <w:lang w:val="en-US" w:eastAsia="zh-CN" w:bidi="ar-SA"/>
              </w:rPr>
            </w:pPr>
            <w:r>
              <w:rPr>
                <w:rFonts w:hint="eastAsia" w:ascii="微软雅黑" w:hAnsi="微软雅黑" w:eastAsia="微软雅黑" w:cs="微软雅黑"/>
                <w:b/>
                <w:bCs/>
                <w:sz w:val="24"/>
                <w:szCs w:val="24"/>
                <w:highlight w:val="none"/>
                <w:lang w:val="en-US" w:eastAsia="zh-CN"/>
              </w:rPr>
              <w:t>供货时间</w:t>
            </w:r>
          </w:p>
        </w:tc>
        <w:tc>
          <w:tcPr>
            <w:tcW w:w="900"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b/>
                <w:bCs/>
                <w:color w:val="auto"/>
                <w:kern w:val="2"/>
                <w:sz w:val="24"/>
                <w:szCs w:val="24"/>
                <w:highlight w:val="none"/>
                <w:vertAlign w:val="baseline"/>
                <w:lang w:val="en-US" w:eastAsia="zh-CN" w:bidi="ar-SA"/>
              </w:rPr>
            </w:pPr>
            <w:r>
              <w:rPr>
                <w:rFonts w:hint="eastAsia" w:ascii="微软雅黑" w:hAnsi="微软雅黑" w:eastAsia="微软雅黑" w:cs="微软雅黑"/>
                <w:b/>
                <w:bCs/>
                <w:color w:val="auto"/>
                <w:kern w:val="2"/>
                <w:sz w:val="24"/>
                <w:szCs w:val="24"/>
                <w:highlight w:val="none"/>
                <w:vertAlign w:val="baseline"/>
                <w:lang w:val="en-US" w:eastAsia="zh-CN" w:bidi="ar-SA"/>
              </w:rPr>
              <w:t>项目用途</w:t>
            </w:r>
          </w:p>
        </w:tc>
        <w:tc>
          <w:tcPr>
            <w:tcW w:w="630"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right="0"/>
              <w:jc w:val="center"/>
              <w:textAlignment w:val="baseline"/>
              <w:outlineLvl w:val="9"/>
              <w:rPr>
                <w:rFonts w:hint="eastAsia" w:ascii="微软雅黑" w:hAnsi="微软雅黑" w:eastAsia="微软雅黑" w:cs="微软雅黑"/>
                <w:b/>
                <w:bCs/>
                <w:color w:val="auto"/>
                <w:sz w:val="24"/>
                <w:szCs w:val="24"/>
                <w:highlight w:val="none"/>
                <w:vertAlign w:val="baseline"/>
                <w:lang w:val="en-US" w:eastAsia="zh-CN"/>
              </w:rPr>
            </w:pPr>
            <w:r>
              <w:rPr>
                <w:rFonts w:hint="eastAsia" w:ascii="微软雅黑" w:hAnsi="微软雅黑" w:eastAsia="微软雅黑" w:cs="微软雅黑"/>
                <w:b/>
                <w:bCs/>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right="0"/>
              <w:jc w:val="center"/>
              <w:textAlignment w:val="baseline"/>
              <w:outlineLvl w:val="9"/>
              <w:rPr>
                <w:rFonts w:hint="eastAsia" w:ascii="微软雅黑" w:hAnsi="微软雅黑" w:eastAsia="微软雅黑" w:cs="微软雅黑"/>
                <w:b/>
                <w:bCs/>
                <w:color w:val="auto"/>
                <w:sz w:val="24"/>
                <w:szCs w:val="24"/>
                <w:highlight w:val="none"/>
                <w:vertAlign w:val="baseline"/>
                <w:lang w:val="en-US" w:eastAsia="zh-CN"/>
              </w:rPr>
            </w:pPr>
            <w:r>
              <w:rPr>
                <w:rFonts w:hint="eastAsia" w:ascii="微软雅黑" w:hAnsi="微软雅黑" w:eastAsia="微软雅黑" w:cs="微软雅黑"/>
                <w:b/>
                <w:bCs/>
                <w:color w:val="auto"/>
                <w:sz w:val="24"/>
                <w:szCs w:val="24"/>
                <w:highlight w:val="none"/>
                <w:vertAlign w:val="baseline"/>
                <w:lang w:val="en-US" w:eastAsia="zh-CN"/>
              </w:rPr>
              <w:t>1</w:t>
            </w:r>
          </w:p>
        </w:tc>
        <w:tc>
          <w:tcPr>
            <w:tcW w:w="1080"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酸枣种子7900公斤</w:t>
            </w:r>
          </w:p>
        </w:tc>
        <w:tc>
          <w:tcPr>
            <w:tcW w:w="2921"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酸枣种子必须为上年度秋季采自北方产区充分成熟的新鲜酸枣种仁，种子外观饱满，表面赤褐色或黄褐色，种仁完整，色泽平滑有光泽，水分≤14.5%，千粒重≥40克，纯度≥95%，破损率低于3%，杂质低于3%，发芽率80%以上，使用麻袋盛放，贮藏在通风、无鼠害的库房内。</w:t>
            </w:r>
          </w:p>
        </w:tc>
        <w:tc>
          <w:tcPr>
            <w:tcW w:w="2284"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提供的种子必须包装且有标签，并标注种子类别、树种（品种）名称、品种审定（认定）编号、产地、生产经营者及注册地、质量指标、重量（数量）、检疫证明编号、种子生产经营许可证编号、信息代码等。填写普通种或者良种等信息。</w:t>
            </w:r>
          </w:p>
        </w:tc>
        <w:tc>
          <w:tcPr>
            <w:tcW w:w="945"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合同签订后5日内供完货物。</w:t>
            </w:r>
          </w:p>
        </w:tc>
        <w:tc>
          <w:tcPr>
            <w:tcW w:w="900" w:type="dxa"/>
            <w:vAlign w:val="center"/>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leftChars="0" w:right="0" w:firstLine="0" w:firstLineChars="0"/>
              <w:jc w:val="center"/>
              <w:textAlignment w:val="baseline"/>
              <w:outlineLvl w:val="9"/>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林业生产。</w:t>
            </w:r>
          </w:p>
        </w:tc>
        <w:tc>
          <w:tcPr>
            <w:tcW w:w="630" w:type="dxa"/>
          </w:tcPr>
          <w:p>
            <w:pPr>
              <w:pStyle w:val="4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00" w:lineRule="exact"/>
              <w:ind w:left="0" w:right="0"/>
              <w:jc w:val="left"/>
              <w:textAlignment w:val="baseline"/>
              <w:outlineLvl w:val="9"/>
              <w:rPr>
                <w:rFonts w:hint="eastAsia" w:ascii="微软雅黑" w:hAnsi="微软雅黑" w:eastAsia="微软雅黑" w:cs="微软雅黑"/>
                <w:b/>
                <w:bCs/>
                <w:color w:val="auto"/>
                <w:sz w:val="24"/>
                <w:szCs w:val="24"/>
                <w:highlight w:val="none"/>
                <w:vertAlign w:val="baseline"/>
                <w:lang w:val="en-US" w:eastAsia="zh-CN"/>
              </w:rPr>
            </w:pPr>
          </w:p>
        </w:tc>
      </w:tr>
    </w:tbl>
    <w:p>
      <w:pPr>
        <w:pStyle w:val="4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440" w:lineRule="exact"/>
        <w:jc w:val="left"/>
        <w:textAlignment w:val="baseline"/>
        <w:outlineLvl w:val="9"/>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二、项目要求</w:t>
      </w:r>
    </w:p>
    <w:p>
      <w:pPr>
        <w:pStyle w:val="4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440" w:lineRule="exact"/>
        <w:jc w:val="left"/>
        <w:textAlignment w:val="baseline"/>
        <w:outlineLvl w:val="9"/>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（一）投标人所报价格应为含税全包价，包括产品的设计、制作、包装、保险、运输、装卸、检测、税费、验收、保修等所有一切费用。</w:t>
      </w:r>
    </w:p>
    <w:p>
      <w:pPr>
        <w:pStyle w:val="4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440" w:lineRule="exact"/>
        <w:jc w:val="left"/>
        <w:textAlignment w:val="baseline"/>
        <w:outlineLvl w:val="9"/>
        <w:rPr>
          <w:rFonts w:hint="eastAsia" w:ascii="微软雅黑" w:hAnsi="微软雅黑" w:eastAsia="微软雅黑" w:cs="微软雅黑"/>
          <w:b/>
          <w:bCs/>
          <w:color w:val="auto"/>
          <w:sz w:val="24"/>
          <w:highlight w:val="none"/>
        </w:rPr>
      </w:pPr>
      <w:r>
        <w:rPr>
          <w:rFonts w:hint="eastAsia" w:ascii="微软雅黑" w:hAnsi="微软雅黑" w:eastAsia="微软雅黑" w:cs="微软雅黑"/>
          <w:b w:val="0"/>
          <w:bCs w:val="0"/>
          <w:color w:val="auto"/>
          <w:sz w:val="24"/>
          <w:highlight w:val="none"/>
          <w:lang w:val="en-US" w:eastAsia="zh-CN"/>
        </w:rPr>
        <w:t>（二）项目实施时间及地点</w:t>
      </w:r>
    </w:p>
    <w:p>
      <w:pPr>
        <w:keepNext w:val="0"/>
        <w:keepLines w:val="0"/>
        <w:pageBreakBefore w:val="0"/>
        <w:kinsoku/>
        <w:wordWrap/>
        <w:overflowPunct/>
        <w:topLinePunct w:val="0"/>
        <w:autoSpaceDE/>
        <w:autoSpaceDN/>
        <w:bidi w:val="0"/>
        <w:adjustRightInd/>
        <w:spacing w:line="440" w:lineRule="exact"/>
        <w:rPr>
          <w:rFonts w:hint="eastAsia" w:ascii="微软雅黑" w:hAnsi="微软雅黑" w:eastAsia="微软雅黑" w:cs="微软雅黑"/>
          <w:b w:val="0"/>
          <w:bCs w:val="0"/>
          <w:color w:val="auto"/>
          <w:kern w:val="2"/>
          <w:sz w:val="24"/>
          <w:szCs w:val="24"/>
          <w:highlight w:val="none"/>
          <w:lang w:val="en-US" w:eastAsia="zh-CN" w:bidi="ar-SA"/>
        </w:rPr>
      </w:pPr>
      <w:r>
        <w:rPr>
          <w:rFonts w:hint="eastAsia" w:ascii="微软雅黑" w:hAnsi="微软雅黑" w:eastAsia="微软雅黑" w:cs="微软雅黑"/>
          <w:b w:val="0"/>
          <w:bCs w:val="0"/>
          <w:color w:val="auto"/>
          <w:kern w:val="2"/>
          <w:sz w:val="24"/>
          <w:szCs w:val="24"/>
          <w:highlight w:val="none"/>
          <w:lang w:val="en-US" w:eastAsia="zh-CN" w:bidi="ar-SA"/>
        </w:rPr>
        <w:t xml:space="preserve">  1、交货时间：</w:t>
      </w:r>
      <w:r>
        <w:rPr>
          <w:rFonts w:hint="eastAsia" w:ascii="微软雅黑" w:hAnsi="微软雅黑" w:eastAsia="微软雅黑" w:cs="微软雅黑"/>
          <w:b/>
          <w:bCs/>
          <w:color w:val="auto"/>
          <w:kern w:val="2"/>
          <w:sz w:val="24"/>
          <w:szCs w:val="24"/>
          <w:highlight w:val="none"/>
          <w:lang w:val="en-US" w:eastAsia="zh-CN" w:bidi="ar-SA"/>
        </w:rPr>
        <w:t>由于气温上升较快，春季播种时间紧张，</w:t>
      </w:r>
      <w:r>
        <w:rPr>
          <w:rFonts w:hint="eastAsia" w:ascii="微软雅黑" w:hAnsi="微软雅黑" w:eastAsia="微软雅黑" w:cs="微软雅黑"/>
          <w:b/>
          <w:bCs/>
          <w:sz w:val="24"/>
          <w:szCs w:val="24"/>
          <w:highlight w:val="none"/>
          <w:lang w:val="en-US" w:eastAsia="zh-CN"/>
        </w:rPr>
        <w:t>合同签订后7日内供货完成；超过7日，每延迟一天处以50000元罚款；</w:t>
      </w:r>
      <w:r>
        <w:rPr>
          <w:rFonts w:hint="eastAsia" w:ascii="微软雅黑" w:hAnsi="微软雅黑" w:eastAsia="微软雅黑" w:cs="微软雅黑"/>
          <w:b/>
          <w:bCs/>
          <w:color w:val="auto"/>
          <w:kern w:val="2"/>
          <w:sz w:val="24"/>
          <w:szCs w:val="24"/>
          <w:highlight w:val="none"/>
          <w:lang w:val="en-US" w:eastAsia="zh-CN" w:bidi="ar-SA"/>
        </w:rPr>
        <w:t>超过9个自然日，采购单位有权解除合同，并顺延至第二中标候选人</w:t>
      </w:r>
      <w:r>
        <w:rPr>
          <w:rFonts w:hint="eastAsia" w:ascii="微软雅黑" w:hAnsi="微软雅黑" w:eastAsia="微软雅黑" w:cs="微软雅黑"/>
          <w:b/>
          <w:bCs/>
          <w:sz w:val="24"/>
          <w:szCs w:val="24"/>
          <w:highlight w:val="none"/>
          <w:lang w:val="en-US" w:eastAsia="zh-CN"/>
        </w:rPr>
        <w:t>。</w:t>
      </w:r>
      <w:r>
        <w:rPr>
          <w:rFonts w:hint="eastAsia" w:ascii="微软雅黑" w:hAnsi="微软雅黑" w:eastAsia="微软雅黑" w:cs="微软雅黑"/>
          <w:b/>
          <w:bCs/>
          <w:color w:val="auto"/>
          <w:kern w:val="2"/>
          <w:sz w:val="24"/>
          <w:szCs w:val="24"/>
          <w:highlight w:val="none"/>
          <w:lang w:val="en-US" w:eastAsia="zh-CN" w:bidi="ar-SA"/>
        </w:rPr>
        <w:t>请各位投标供应商充分考虑到交货期问题。</w:t>
      </w:r>
    </w:p>
    <w:p>
      <w:pPr>
        <w:keepNext w:val="0"/>
        <w:keepLines w:val="0"/>
        <w:pageBreakBefore w:val="0"/>
        <w:kinsoku/>
        <w:wordWrap/>
        <w:overflowPunct/>
        <w:topLinePunct w:val="0"/>
        <w:autoSpaceDE/>
        <w:autoSpaceDN/>
        <w:bidi w:val="0"/>
        <w:adjustRightInd/>
        <w:spacing w:line="440" w:lineRule="exact"/>
        <w:rPr>
          <w:rFonts w:hint="eastAsia" w:ascii="微软雅黑" w:hAnsi="微软雅黑" w:eastAsia="微软雅黑" w:cs="微软雅黑"/>
          <w:b w:val="0"/>
          <w:bCs w:val="0"/>
          <w:color w:val="auto"/>
          <w:kern w:val="2"/>
          <w:sz w:val="24"/>
          <w:szCs w:val="24"/>
          <w:highlight w:val="none"/>
          <w:lang w:val="en-US" w:eastAsia="zh-CN" w:bidi="ar-SA"/>
        </w:rPr>
      </w:pPr>
      <w:r>
        <w:rPr>
          <w:rFonts w:hint="eastAsia" w:ascii="微软雅黑" w:hAnsi="微软雅黑" w:eastAsia="微软雅黑" w:cs="微软雅黑"/>
          <w:b w:val="0"/>
          <w:bCs w:val="0"/>
          <w:color w:val="auto"/>
          <w:kern w:val="2"/>
          <w:sz w:val="24"/>
          <w:szCs w:val="24"/>
          <w:highlight w:val="none"/>
          <w:lang w:val="en-US" w:eastAsia="zh-CN" w:bidi="ar-SA"/>
        </w:rPr>
        <w:t xml:space="preserve">  2、交货地点：采购单位指定地点</w:t>
      </w:r>
    </w:p>
    <w:p>
      <w:pPr>
        <w:keepNext w:val="0"/>
        <w:keepLines w:val="0"/>
        <w:pageBreakBefore w:val="0"/>
        <w:kinsoku/>
        <w:wordWrap/>
        <w:overflowPunct/>
        <w:topLinePunct w:val="0"/>
        <w:autoSpaceDE/>
        <w:autoSpaceDN/>
        <w:bidi w:val="0"/>
        <w:adjustRightInd/>
        <w:spacing w:line="440" w:lineRule="exact"/>
        <w:ind w:firstLine="240" w:firstLineChars="100"/>
        <w:rPr>
          <w:rFonts w:hint="eastAsia" w:ascii="微软雅黑" w:hAnsi="微软雅黑" w:eastAsia="微软雅黑" w:cs="微软雅黑"/>
          <w:b w:val="0"/>
          <w:bCs w:val="0"/>
          <w:color w:val="auto"/>
          <w:kern w:val="2"/>
          <w:sz w:val="24"/>
          <w:szCs w:val="24"/>
          <w:highlight w:val="none"/>
          <w:lang w:val="en-US" w:eastAsia="zh-CN" w:bidi="ar-SA"/>
        </w:rPr>
      </w:pPr>
      <w:r>
        <w:rPr>
          <w:rFonts w:hint="eastAsia" w:ascii="微软雅黑" w:hAnsi="微软雅黑" w:eastAsia="微软雅黑" w:cs="微软雅黑"/>
          <w:b w:val="0"/>
          <w:bCs w:val="0"/>
          <w:color w:val="auto"/>
          <w:kern w:val="2"/>
          <w:sz w:val="24"/>
          <w:szCs w:val="24"/>
          <w:highlight w:val="none"/>
          <w:lang w:val="en-US" w:eastAsia="zh-CN" w:bidi="ar-SA"/>
        </w:rPr>
        <w:t>3、采购单位：麦盖提县自然资源局。</w:t>
      </w:r>
    </w:p>
    <w:p>
      <w:pPr>
        <w:keepNext w:val="0"/>
        <w:keepLines w:val="0"/>
        <w:pageBreakBefore w:val="0"/>
        <w:kinsoku/>
        <w:wordWrap/>
        <w:overflowPunct/>
        <w:topLinePunct w:val="0"/>
        <w:autoSpaceDE/>
        <w:autoSpaceDN/>
        <w:bidi w:val="0"/>
        <w:adjustRightInd/>
        <w:spacing w:line="440" w:lineRule="exact"/>
        <w:rPr>
          <w:rFonts w:hint="eastAsia" w:ascii="微软雅黑" w:hAnsi="微软雅黑" w:eastAsia="微软雅黑" w:cs="微软雅黑"/>
          <w:b w:val="0"/>
          <w:bCs w:val="0"/>
          <w:color w:val="auto"/>
          <w:kern w:val="2"/>
          <w:sz w:val="24"/>
          <w:szCs w:val="24"/>
          <w:highlight w:val="none"/>
          <w:lang w:val="en-US" w:eastAsia="zh-CN" w:bidi="ar-SA"/>
        </w:rPr>
      </w:pPr>
      <w:r>
        <w:rPr>
          <w:rFonts w:hint="eastAsia" w:ascii="微软雅黑" w:hAnsi="微软雅黑" w:eastAsia="微软雅黑" w:cs="微软雅黑"/>
          <w:b w:val="0"/>
          <w:bCs w:val="0"/>
          <w:color w:val="auto"/>
          <w:kern w:val="2"/>
          <w:sz w:val="24"/>
          <w:szCs w:val="24"/>
          <w:highlight w:val="none"/>
          <w:lang w:val="en-US" w:eastAsia="zh-CN" w:bidi="ar-SA"/>
        </w:rPr>
        <w:t>（三）采购预算及项目用途</w:t>
      </w:r>
    </w:p>
    <w:p>
      <w:pPr>
        <w:keepNext w:val="0"/>
        <w:keepLines w:val="0"/>
        <w:pageBreakBefore w:val="0"/>
        <w:kinsoku/>
        <w:wordWrap/>
        <w:overflowPunct/>
        <w:topLinePunct w:val="0"/>
        <w:autoSpaceDE/>
        <w:autoSpaceDN/>
        <w:bidi w:val="0"/>
        <w:adjustRightInd/>
        <w:spacing w:line="440" w:lineRule="exact"/>
        <w:ind w:firstLine="240" w:firstLineChars="100"/>
        <w:rPr>
          <w:rFonts w:hint="eastAsia" w:ascii="微软雅黑" w:hAnsi="微软雅黑" w:eastAsia="微软雅黑" w:cs="微软雅黑"/>
          <w:b w:val="0"/>
          <w:bCs w:val="0"/>
          <w:color w:val="auto"/>
          <w:kern w:val="2"/>
          <w:sz w:val="24"/>
          <w:szCs w:val="24"/>
          <w:highlight w:val="none"/>
          <w:lang w:val="en-US" w:eastAsia="zh-CN" w:bidi="ar-SA"/>
        </w:rPr>
      </w:pPr>
      <w:r>
        <w:rPr>
          <w:rFonts w:hint="eastAsia" w:ascii="微软雅黑" w:hAnsi="微软雅黑" w:eastAsia="微软雅黑" w:cs="微软雅黑"/>
          <w:b w:val="0"/>
          <w:bCs w:val="0"/>
          <w:color w:val="auto"/>
          <w:kern w:val="2"/>
          <w:sz w:val="24"/>
          <w:szCs w:val="24"/>
          <w:highlight w:val="none"/>
          <w:lang w:val="en-US" w:eastAsia="zh-CN" w:bidi="ar-SA"/>
        </w:rPr>
        <w:t>1、采购预算：6620000元。</w:t>
      </w:r>
    </w:p>
    <w:p>
      <w:pPr>
        <w:keepNext w:val="0"/>
        <w:keepLines w:val="0"/>
        <w:pageBreakBefore w:val="0"/>
        <w:kinsoku/>
        <w:wordWrap/>
        <w:overflowPunct/>
        <w:topLinePunct w:val="0"/>
        <w:autoSpaceDE/>
        <w:autoSpaceDN/>
        <w:bidi w:val="0"/>
        <w:adjustRightInd/>
        <w:spacing w:line="440" w:lineRule="exact"/>
        <w:ind w:firstLine="240" w:firstLineChars="100"/>
        <w:rPr>
          <w:rFonts w:hint="eastAsia" w:ascii="微软雅黑" w:hAnsi="微软雅黑" w:eastAsia="微软雅黑" w:cs="微软雅黑"/>
          <w:b w:val="0"/>
          <w:bCs w:val="0"/>
          <w:color w:val="auto"/>
          <w:kern w:val="2"/>
          <w:sz w:val="24"/>
          <w:szCs w:val="24"/>
          <w:highlight w:val="none"/>
          <w:lang w:val="en-US" w:eastAsia="zh-CN" w:bidi="ar-SA"/>
        </w:rPr>
      </w:pPr>
      <w:r>
        <w:rPr>
          <w:rFonts w:hint="eastAsia" w:ascii="微软雅黑" w:hAnsi="微软雅黑" w:eastAsia="微软雅黑" w:cs="微软雅黑"/>
          <w:b w:val="0"/>
          <w:bCs w:val="0"/>
          <w:color w:val="auto"/>
          <w:kern w:val="2"/>
          <w:sz w:val="24"/>
          <w:szCs w:val="24"/>
          <w:highlight w:val="none"/>
          <w:lang w:val="en-US" w:eastAsia="zh-CN" w:bidi="ar-SA"/>
        </w:rPr>
        <w:t>2、项目用途：林业生产。</w:t>
      </w:r>
    </w:p>
    <w:p>
      <w:pPr>
        <w:keepNext w:val="0"/>
        <w:keepLines w:val="0"/>
        <w:pageBreakBefore w:val="0"/>
        <w:kinsoku/>
        <w:wordWrap/>
        <w:overflowPunct/>
        <w:topLinePunct w:val="0"/>
        <w:autoSpaceDE/>
        <w:autoSpaceDN/>
        <w:bidi w:val="0"/>
        <w:adjustRightInd/>
        <w:spacing w:line="440" w:lineRule="exact"/>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kern w:val="2"/>
          <w:sz w:val="24"/>
          <w:szCs w:val="24"/>
          <w:highlight w:val="none"/>
          <w:lang w:val="en-US" w:eastAsia="zh-CN" w:bidi="ar-SA"/>
        </w:rPr>
        <w:t>（四）付款方式：</w:t>
      </w:r>
      <w:r>
        <w:rPr>
          <w:rFonts w:hint="eastAsia" w:ascii="微软雅黑" w:hAnsi="微软雅黑" w:eastAsia="微软雅黑" w:cs="微软雅黑"/>
          <w:b w:val="0"/>
          <w:bCs w:val="0"/>
          <w:color w:val="auto"/>
          <w:sz w:val="24"/>
          <w:highlight w:val="none"/>
          <w:lang w:val="en-US" w:eastAsia="zh-CN"/>
        </w:rPr>
        <w:t>签订合同后，货到之后做发芽率测试，发芽率达到80%付合同总款的30%资金，供货方提供合格检测报告后支付合同总额70%资金，3%资金作为质保金，验收后质保期满后（3个月）全部付清。</w:t>
      </w:r>
    </w:p>
    <w:p>
      <w:pPr>
        <w:pStyle w:val="4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440" w:lineRule="exact"/>
        <w:jc w:val="left"/>
        <w:textAlignment w:val="baseline"/>
        <w:outlineLvl w:val="9"/>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（五）验收方式</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货物到达采购单位指定位置后，采购单位将进行抽样送检，如发芽率、净度等不合格或达不到采购要求，</w:t>
      </w:r>
      <w:r>
        <w:rPr>
          <w:rFonts w:hint="eastAsia" w:ascii="微软雅黑" w:hAnsi="微软雅黑" w:eastAsia="微软雅黑" w:cs="微软雅黑"/>
          <w:b/>
          <w:bCs/>
          <w:color w:val="auto"/>
          <w:sz w:val="24"/>
          <w:highlight w:val="none"/>
          <w:lang w:val="en-US" w:eastAsia="zh-CN"/>
        </w:rPr>
        <w:t>中标供应商承担由此造成的经济损失和法律责任，采购单位有权顺延至第二中标候选人。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314"/>
      <w:bookmarkStart w:id="1315" w:name="_Toc11259"/>
      <w:bookmarkStart w:id="1316" w:name="_Toc31651"/>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val="0"/>
          <w:bCs w:val="0"/>
          <w:color w:val="auto"/>
          <w:sz w:val="24"/>
          <w:highlight w:val="none"/>
          <w:lang w:val="en-US" w:eastAsia="zh-CN"/>
        </w:rPr>
        <w:t>（六）</w:t>
      </w:r>
      <w:r>
        <w:rPr>
          <w:rFonts w:hint="eastAsia" w:ascii="微软雅黑" w:hAnsi="微软雅黑" w:eastAsia="微软雅黑" w:cs="微软雅黑"/>
          <w:color w:val="auto"/>
          <w:sz w:val="24"/>
          <w:szCs w:val="24"/>
          <w:highlight w:val="none"/>
          <w:lang w:val="en-US" w:eastAsia="zh-CN"/>
        </w:rPr>
        <w:t>其他要求（具体要求详见综合评分表）</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1、投标供应商需提供近三年（投标截止日至今）完成的类似项目业绩。</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2、提供官方授权的第三方检测机构或国家权威机构出具的所投产品的质量合格检测报告。</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3、投标人针对本项目提供现场产品使用技术指导做出详细方案。</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4、投标人针对本项目提供技术人员（提供人员相关专业技术证件及劳务合同）。</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5、根据项目技术参数要求，在供货期内，若出现产品质量问题，投标人针对产品质量问题作出详细的应急方案。</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6、根据项目实际情况具有履约和服务能力，需有独立的仓储、物流能力、有良好的售后服务网点保障、固定的经营场所做出详细方案。</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7、项目实施方案主要包括以下内容：①详细实施计划、②人员组织保障、③车辆配送方案、④配送方式、⑤项目人员安排、退货、换货流程及质量管控措施、⑥进度保障措施等作出详细方案。</w:t>
      </w:r>
    </w:p>
    <w:p>
      <w:pPr>
        <w:pStyle w:val="5"/>
        <w:ind w:left="0" w:leftChars="0" w:firstLine="0" w:firstLineChars="0"/>
        <w:rPr>
          <w:rFonts w:hint="eastAsia"/>
          <w:highlight w:val="none"/>
          <w:lang w:val="en-US" w:eastAsia="zh-CN"/>
        </w:rPr>
      </w:pPr>
    </w:p>
    <w:p>
      <w:pPr>
        <w:rPr>
          <w:rFonts w:hint="eastAsia"/>
          <w:highlight w:val="none"/>
          <w:lang w:val="en-US" w:eastAsia="zh-CN"/>
        </w:rPr>
      </w:pPr>
    </w:p>
    <w:p>
      <w:pPr>
        <w:pStyle w:val="4"/>
        <w:rPr>
          <w:rFonts w:hint="eastAsia"/>
          <w:highlight w:val="none"/>
          <w:lang w:val="en-US" w:eastAsia="zh-CN"/>
        </w:rPr>
      </w:pPr>
    </w:p>
    <w:p>
      <w:pPr>
        <w:pStyle w:val="5"/>
        <w:rPr>
          <w:rFonts w:hint="eastAsia"/>
          <w:highlight w:val="none"/>
          <w:lang w:val="en-US" w:eastAsia="zh-CN"/>
        </w:rPr>
      </w:pPr>
    </w:p>
    <w:p>
      <w:pPr>
        <w:rPr>
          <w:rFonts w:hint="eastAsia"/>
          <w:highlight w:val="none"/>
          <w:lang w:val="en-US" w:eastAsia="zh-CN"/>
        </w:rPr>
      </w:pPr>
    </w:p>
    <w:p>
      <w:pPr>
        <w:pStyle w:val="4"/>
        <w:rPr>
          <w:rFonts w:hint="eastAsia"/>
          <w:highlight w:val="none"/>
          <w:lang w:val="en-US" w:eastAsia="zh-CN"/>
        </w:rPr>
      </w:pPr>
    </w:p>
    <w:p>
      <w:pPr>
        <w:pStyle w:val="5"/>
        <w:rPr>
          <w:rFonts w:hint="eastAsia"/>
          <w:highlight w:val="none"/>
          <w:lang w:val="en-US" w:eastAsia="zh-CN"/>
        </w:rPr>
      </w:pPr>
    </w:p>
    <w:p>
      <w:pPr>
        <w:rPr>
          <w:rFonts w:hint="eastAsia"/>
          <w:highlight w:val="none"/>
          <w:lang w:val="en-US" w:eastAsia="zh-CN"/>
        </w:rPr>
      </w:pPr>
    </w:p>
    <w:p>
      <w:pPr>
        <w:pStyle w:val="4"/>
        <w:rPr>
          <w:rFonts w:hint="eastAsia"/>
          <w:highlight w:val="none"/>
          <w:lang w:val="en-US" w:eastAsia="zh-CN"/>
        </w:rPr>
      </w:pPr>
    </w:p>
    <w:p>
      <w:pPr>
        <w:pStyle w:val="5"/>
        <w:rPr>
          <w:rFonts w:hint="eastAsia"/>
          <w:highlight w:val="none"/>
          <w:lang w:val="en-US" w:eastAsia="zh-CN"/>
        </w:rPr>
      </w:pPr>
    </w:p>
    <w:p>
      <w:pPr>
        <w:rPr>
          <w:rFonts w:hint="eastAsia"/>
          <w:highlight w:val="none"/>
          <w:lang w:val="en-US" w:eastAsia="zh-CN"/>
        </w:rPr>
      </w:pPr>
    </w:p>
    <w:p>
      <w:pPr>
        <w:pStyle w:val="4"/>
        <w:rPr>
          <w:rFonts w:hint="eastAsia"/>
          <w:highlight w:val="none"/>
          <w:lang w:val="en-US" w:eastAsia="zh-CN"/>
        </w:rPr>
      </w:pPr>
    </w:p>
    <w:p>
      <w:pPr>
        <w:pStyle w:val="5"/>
        <w:rPr>
          <w:rFonts w:hint="eastAsia"/>
          <w:highlight w:val="none"/>
          <w:lang w:val="en-US" w:eastAsia="zh-CN"/>
        </w:rPr>
      </w:pPr>
    </w:p>
    <w:p>
      <w:pPr>
        <w:jc w:val="center"/>
        <w:outlineLvl w:val="0"/>
        <w:rPr>
          <w:rFonts w:hint="eastAsia" w:ascii="微软雅黑" w:hAnsi="微软雅黑" w:eastAsia="微软雅黑" w:cs="微软雅黑"/>
          <w:color w:val="auto"/>
          <w:sz w:val="32"/>
          <w:szCs w:val="32"/>
          <w:highlight w:val="none"/>
        </w:rPr>
      </w:pPr>
      <w:bookmarkStart w:id="1317" w:name="_Toc17774"/>
      <w:r>
        <w:rPr>
          <w:rStyle w:val="38"/>
          <w:rFonts w:hint="eastAsia" w:ascii="微软雅黑" w:hAnsi="微软雅黑" w:eastAsia="微软雅黑" w:cs="微软雅黑"/>
          <w:color w:val="auto"/>
          <w:sz w:val="32"/>
          <w:szCs w:val="32"/>
          <w:highlight w:val="none"/>
        </w:rPr>
        <w:t>第6章 评标方法和标准</w:t>
      </w:r>
      <w:bookmarkEnd w:id="14"/>
      <w:bookmarkEnd w:id="15"/>
      <w:bookmarkEnd w:id="16"/>
      <w:bookmarkEnd w:id="17"/>
      <w:bookmarkEnd w:id="18"/>
      <w:bookmarkEnd w:id="19"/>
      <w:bookmarkEnd w:id="20"/>
      <w:bookmarkEnd w:id="1315"/>
      <w:bookmarkEnd w:id="1316"/>
      <w:bookmarkEnd w:id="1317"/>
    </w:p>
    <w:p>
      <w:pPr>
        <w:pStyle w:val="11"/>
        <w:keepNext w:val="0"/>
        <w:keepLines w:val="0"/>
        <w:pageBreakBefore w:val="0"/>
        <w:tabs>
          <w:tab w:val="clear" w:pos="567"/>
        </w:tabs>
        <w:kinsoku/>
        <w:wordWrap/>
        <w:overflowPunct/>
        <w:topLinePunct w:val="0"/>
        <w:autoSpaceDE/>
        <w:autoSpaceDN/>
        <w:bidi w:val="0"/>
        <w:adjustRightInd/>
        <w:spacing w:before="0" w:line="380" w:lineRule="exact"/>
        <w:ind w:firstLine="540" w:firstLineChars="225"/>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本项目将按照招标文件第一章供应商须知中“五 开标及评标”、“六 确定中标”及本章的规定评标。</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1.投标无效的情形：</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（1）单位负责人为同一人或者存在直接控股、管理关系的不同供应商，其相关投标将被认定为投标无效。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（2）供应商报价超过招标文件规定的预算金额或者分项、分包最高限价的，其投标将被认定为投标无效。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3</w:t>
      </w:r>
      <w:r>
        <w:rPr>
          <w:rFonts w:hint="eastAsia" w:ascii="微软雅黑" w:hAnsi="微软雅黑" w:eastAsia="微软雅黑" w:cs="微软雅黑"/>
          <w:color w:val="auto"/>
          <w:sz w:val="24"/>
          <w:highlight w:val="none"/>
        </w:rPr>
        <w:t>）供应商应认真阅读招标文件所有的事项、格式、条款和技术规范等。如供应商没有按照招标文件要求提交全部资料，或者投标文件没有对投标文件在各方面都做出实质性响应，可能导致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val="en-US" w:eastAsia="zh-CN"/>
        </w:rPr>
        <w:t>4</w:t>
      </w:r>
      <w:r>
        <w:rPr>
          <w:rFonts w:hint="eastAsia" w:ascii="微软雅黑" w:hAnsi="微软雅黑" w:eastAsia="微软雅黑" w:cs="微软雅黑"/>
          <w:color w:val="auto"/>
          <w:sz w:val="24"/>
          <w:highlight w:val="none"/>
        </w:rPr>
        <w:t>）供应商应当对所投分包投标文件中“</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内容”所列的所有内容进行投标，如仅响应某一包中的部分内容，其该包投标将被认定为投标无效。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5</w:t>
      </w:r>
      <w:r>
        <w:rPr>
          <w:rFonts w:hint="eastAsia" w:ascii="微软雅黑" w:hAnsi="微软雅黑" w:eastAsia="微软雅黑" w:cs="微软雅黑"/>
          <w:color w:val="auto"/>
          <w:sz w:val="24"/>
          <w:highlight w:val="none"/>
        </w:rPr>
        <w:t>）供应商未按本须知第12.1和12.3条规定提交投标保证金的，其投标资格将被认定为投标无效。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6</w:t>
      </w:r>
      <w:r>
        <w:rPr>
          <w:rFonts w:hint="eastAsia" w:ascii="微软雅黑" w:hAnsi="微软雅黑" w:eastAsia="微软雅黑" w:cs="微软雅黑"/>
          <w:color w:val="auto"/>
          <w:sz w:val="24"/>
          <w:highlight w:val="none"/>
        </w:rPr>
        <w:t>）所有投标均以人民币报价。供应商的投标报价应遵守《中华人民共和国价格法》。同时，根据《中华人民共和国政府采购法》第二条的规定，为保证公平竞争，如有</w:t>
      </w:r>
      <w:r>
        <w:rPr>
          <w:rFonts w:hint="eastAsia" w:ascii="微软雅黑" w:hAnsi="微软雅黑" w:eastAsia="微软雅黑" w:cs="微软雅黑"/>
          <w:color w:val="auto"/>
          <w:sz w:val="24"/>
          <w:highlight w:val="none"/>
          <w:lang w:val="en-US" w:eastAsia="zh-CN"/>
        </w:rPr>
        <w:t>货物</w:t>
      </w:r>
      <w:r>
        <w:rPr>
          <w:rFonts w:hint="eastAsia" w:ascii="微软雅黑" w:hAnsi="微软雅黑" w:eastAsia="微软雅黑" w:cs="微软雅黑"/>
          <w:color w:val="auto"/>
          <w:sz w:val="24"/>
          <w:highlight w:val="none"/>
        </w:rPr>
        <w:t>主体部分的赠与行为，其投标将被认定为投标无效。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7</w:t>
      </w:r>
      <w:r>
        <w:rPr>
          <w:rFonts w:hint="eastAsia" w:ascii="微软雅黑" w:hAnsi="微软雅黑" w:eastAsia="微软雅黑" w:cs="微软雅黑"/>
          <w:color w:val="auto"/>
          <w:sz w:val="24"/>
          <w:highlight w:val="none"/>
        </w:rPr>
        <w:t>）供应商所报的各分项投标单价在合同履行过程中是固定不变的，不得以任何理由予以变更。任何包含价格调整要求的投标，其投标将被认定为投标无效。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8</w:t>
      </w:r>
      <w:r>
        <w:rPr>
          <w:rFonts w:hint="eastAsia" w:ascii="微软雅黑" w:hAnsi="微软雅黑" w:eastAsia="微软雅黑" w:cs="微软雅黑"/>
          <w:color w:val="auto"/>
          <w:sz w:val="24"/>
          <w:highlight w:val="none"/>
        </w:rPr>
        <w:t>）投标应在供应商须知资料表中规定时间内保持有效。投标有效期不满足要求的投标，其投标将被认定为投标无效。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9</w:t>
      </w:r>
      <w:r>
        <w:rPr>
          <w:rFonts w:hint="eastAsia" w:ascii="微软雅黑" w:hAnsi="微软雅黑" w:eastAsia="微软雅黑" w:cs="微软雅黑"/>
          <w:color w:val="auto"/>
          <w:sz w:val="24"/>
          <w:highlight w:val="none"/>
        </w:rPr>
        <w:t>）采购人或采购代理机构将在开标前1个工作日至投标截止后1小时的期间内查询供应商的信用记录。供应商存在不良信用记录的，其投标将被认定为投标无效。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10</w:t>
      </w:r>
      <w:r>
        <w:rPr>
          <w:rFonts w:hint="eastAsia" w:ascii="微软雅黑" w:hAnsi="微软雅黑" w:eastAsia="微软雅黑" w:cs="微软雅黑"/>
          <w:color w:val="auto"/>
          <w:sz w:val="24"/>
          <w:highlight w:val="none"/>
        </w:rPr>
        <w:t>）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11</w:t>
      </w:r>
      <w:r>
        <w:rPr>
          <w:rFonts w:hint="eastAsia" w:ascii="微软雅黑" w:hAnsi="微软雅黑" w:eastAsia="微软雅黑" w:cs="微软雅黑"/>
          <w:color w:val="auto"/>
          <w:sz w:val="24"/>
          <w:highlight w:val="none"/>
        </w:rPr>
        <w:t>）在比较与评价之前，根据本须知的规定，评标委员会要审查每份投标文件是否实质上响应了投标文件的要求。实质上响应的投标应该是与投标文件要求的全部条款、条件和规格相符，没有重大偏离的投标。对关键条款的偏离，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12</w:t>
      </w:r>
      <w:r>
        <w:rPr>
          <w:rFonts w:hint="eastAsia" w:ascii="微软雅黑" w:hAnsi="微软雅黑" w:eastAsia="微软雅黑" w:cs="微软雅黑"/>
          <w:color w:val="auto"/>
          <w:sz w:val="24"/>
          <w:highlight w:val="none"/>
        </w:rPr>
        <w:t>）如发现下列情况之一的，其投标将被认定为投标无效：未按招标文件规定的形式和金额提交投标保证金的；未按照招标文件规定要求签署、盖章的；未满足招标文件中技术条款的实质性要求；与其他供应商串通投标，或者与</w:t>
      </w:r>
      <w:r>
        <w:rPr>
          <w:rFonts w:hint="eastAsia" w:ascii="微软雅黑" w:hAnsi="微软雅黑" w:eastAsia="微软雅黑" w:cs="微软雅黑"/>
          <w:color w:val="auto"/>
          <w:sz w:val="24"/>
          <w:highlight w:val="none"/>
          <w:lang w:eastAsia="zh-CN"/>
        </w:rPr>
        <w:t>采购人</w:t>
      </w:r>
      <w:r>
        <w:rPr>
          <w:rFonts w:hint="eastAsia" w:ascii="微软雅黑" w:hAnsi="微软雅黑" w:eastAsia="微软雅黑" w:cs="微软雅黑"/>
          <w:color w:val="auto"/>
          <w:sz w:val="24"/>
          <w:highlight w:val="none"/>
        </w:rPr>
        <w:t>串通投标；属于招标文件规定的其他投标无效情形；评标委员会认为供应商的报价明显低于其他通过符合性检查供应商的报价，有可能影响履约的，且供应商未按照规定证明其报价合理性的；招标文件含有采购人不能接受的附加条件的；不符合法规和招标文件中规定的其他实质性要求的。</w:t>
      </w:r>
    </w:p>
    <w:p>
      <w:pPr>
        <w:keepNext w:val="0"/>
        <w:keepLines w:val="0"/>
        <w:pageBreakBefore w:val="0"/>
        <w:widowControl/>
        <w:kinsoku/>
        <w:wordWrap/>
        <w:overflowPunct/>
        <w:topLinePunct w:val="0"/>
        <w:autoSpaceDE/>
        <w:autoSpaceDN/>
        <w:bidi w:val="0"/>
        <w:adjustRightInd/>
        <w:spacing w:line="380" w:lineRule="exact"/>
        <w:jc w:val="left"/>
        <w:rPr>
          <w:rFonts w:hint="eastAsia" w:ascii="微软雅黑" w:hAnsi="微软雅黑" w:eastAsia="微软雅黑" w:cs="微软雅黑"/>
          <w:b/>
          <w:bCs/>
          <w:color w:val="auto"/>
          <w:kern w:val="2"/>
          <w:sz w:val="24"/>
          <w:szCs w:val="24"/>
          <w:highlight w:val="none"/>
          <w:lang w:val="en-US" w:eastAsia="zh-CN" w:bidi="ar-SA"/>
        </w:rPr>
      </w:pPr>
      <w:r>
        <w:rPr>
          <w:rFonts w:hint="eastAsia" w:ascii="微软雅黑" w:hAnsi="微软雅黑" w:eastAsia="微软雅黑" w:cs="微软雅黑"/>
          <w:b/>
          <w:bCs/>
          <w:color w:val="auto"/>
          <w:sz w:val="24"/>
          <w:highlight w:val="none"/>
        </w:rPr>
        <w:t>2</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kern w:val="2"/>
          <w:sz w:val="24"/>
          <w:szCs w:val="24"/>
          <w:highlight w:val="none"/>
          <w:lang w:val="en-US" w:eastAsia="zh-CN" w:bidi="ar-SA"/>
        </w:rPr>
        <w:t>本项目专门面向中小企业采购。根据财政部关于进一步加大政府采购支持中小企业力度的通知》财库〔2022〕19号、《政府采购促进中小企业发展管理办法》（财库[2020]46号）、《财政部司法部关于政府采购支持监狱企业发展有关问 题 的通知》（财库〔2014〕68号）、《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扣除</w:t>
      </w:r>
      <w:r>
        <w:rPr>
          <w:rFonts w:hint="eastAsia" w:ascii="微软雅黑" w:hAnsi="微软雅黑" w:eastAsia="微软雅黑" w:cs="微软雅黑"/>
          <w:b/>
          <w:bCs/>
          <w:color w:val="auto"/>
          <w:kern w:val="2"/>
          <w:sz w:val="24"/>
          <w:szCs w:val="24"/>
          <w:highlight w:val="none"/>
          <w:u w:val="single"/>
          <w:lang w:val="en-US" w:eastAsia="zh-CN" w:bidi="ar-SA"/>
        </w:rPr>
        <w:t xml:space="preserve">  10  %</w:t>
      </w:r>
      <w:r>
        <w:rPr>
          <w:rFonts w:hint="eastAsia" w:ascii="微软雅黑" w:hAnsi="微软雅黑" w:eastAsia="微软雅黑" w:cs="微软雅黑"/>
          <w:b/>
          <w:bCs/>
          <w:color w:val="auto"/>
          <w:kern w:val="2"/>
          <w:sz w:val="24"/>
          <w:szCs w:val="24"/>
          <w:highlight w:val="none"/>
          <w:lang w:val="en-US" w:eastAsia="zh-CN" w:bidi="ar-SA"/>
        </w:rPr>
        <w:t>后参与评审。对于同时属于小型、微型及小微企业、监狱企业或残疾人福利性单位的，不重复进行报价扣除。</w:t>
      </w:r>
    </w:p>
    <w:p>
      <w:pPr>
        <w:keepNext w:val="0"/>
        <w:keepLines w:val="0"/>
        <w:pageBreakBefore w:val="0"/>
        <w:widowControl/>
        <w:kinsoku/>
        <w:wordWrap/>
        <w:overflowPunct/>
        <w:topLinePunct w:val="0"/>
        <w:autoSpaceDE/>
        <w:autoSpaceDN/>
        <w:bidi w:val="0"/>
        <w:adjustRightInd/>
        <w:spacing w:line="380" w:lineRule="exact"/>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3.联合协议中约定</w:t>
      </w:r>
      <w:r>
        <w:rPr>
          <w:rFonts w:hint="eastAsia" w:ascii="微软雅黑" w:hAnsi="微软雅黑" w:eastAsia="微软雅黑" w:cs="微软雅黑"/>
          <w:color w:val="auto"/>
          <w:sz w:val="24"/>
          <w:highlight w:val="none"/>
        </w:rPr>
        <w:t>，小型、微型企业和监狱企业的协议合同金额占到联合体协议合同总金额30%以上的，可给予联合体</w:t>
      </w:r>
      <w:r>
        <w:rPr>
          <w:rFonts w:hint="eastAsia" w:ascii="微软雅黑" w:hAnsi="微软雅黑" w:eastAsia="微软雅黑" w:cs="微软雅黑"/>
          <w:color w:val="auto"/>
          <w:sz w:val="24"/>
          <w:highlight w:val="none"/>
          <w:u w:val="single"/>
        </w:rPr>
        <w:t xml:space="preserve"> 2%-3%</w:t>
      </w:r>
      <w:r>
        <w:rPr>
          <w:rFonts w:hint="eastAsia" w:ascii="微软雅黑" w:hAnsi="微软雅黑" w:eastAsia="微软雅黑" w:cs="微软雅黑"/>
          <w:color w:val="auto"/>
          <w:sz w:val="24"/>
          <w:highlight w:val="none"/>
        </w:rPr>
        <w:t>的价格扣除。</w:t>
      </w:r>
      <w:r>
        <w:rPr>
          <w:rFonts w:hint="eastAsia" w:ascii="微软雅黑" w:hAnsi="微软雅黑" w:eastAsia="微软雅黑" w:cs="微软雅黑"/>
          <w:b/>
          <w:bCs/>
          <w:color w:val="auto"/>
          <w:sz w:val="24"/>
          <w:highlight w:val="none"/>
        </w:rPr>
        <w:t>（本项目不适用）</w:t>
      </w:r>
    </w:p>
    <w:p>
      <w:pPr>
        <w:keepNext w:val="0"/>
        <w:keepLines w:val="0"/>
        <w:pageBreakBefore w:val="0"/>
        <w:widowControl/>
        <w:kinsoku/>
        <w:wordWrap/>
        <w:overflowPunct/>
        <w:topLinePunct w:val="0"/>
        <w:autoSpaceDE/>
        <w:autoSpaceDN/>
        <w:bidi w:val="0"/>
        <w:adjustRightInd/>
        <w:spacing w:line="380" w:lineRule="exact"/>
        <w:ind w:firstLine="480" w:firstLineChars="200"/>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联合体各方均为小型、微型企业和监狱企业的，联合体视同为小型、微型企业和监狱企业。</w:t>
      </w:r>
    </w:p>
    <w:p>
      <w:pPr>
        <w:pStyle w:val="11"/>
        <w:keepNext w:val="0"/>
        <w:keepLines w:val="0"/>
        <w:pageBreakBefore w:val="0"/>
        <w:tabs>
          <w:tab w:val="clear" w:pos="567"/>
        </w:tabs>
        <w:kinsoku/>
        <w:wordWrap/>
        <w:overflowPunct/>
        <w:topLinePunct w:val="0"/>
        <w:autoSpaceDE/>
        <w:autoSpaceDN/>
        <w:bidi w:val="0"/>
        <w:adjustRightInd/>
        <w:spacing w:before="0" w:line="380" w:lineRule="exact"/>
        <w:rPr>
          <w:rFonts w:hint="eastAsia" w:ascii="微软雅黑" w:hAnsi="微软雅黑" w:eastAsia="微软雅黑" w:cs="微软雅黑"/>
          <w:color w:val="auto"/>
          <w:highlight w:val="none"/>
        </w:rPr>
      </w:pPr>
      <w:r>
        <w:rPr>
          <w:rFonts w:hint="eastAsia" w:ascii="微软雅黑" w:hAnsi="微软雅黑" w:eastAsia="微软雅黑" w:cs="微软雅黑"/>
          <w:b/>
          <w:bCs/>
          <w:color w:val="auto"/>
          <w:highlight w:val="none"/>
        </w:rPr>
        <w:t>4.供应商</w:t>
      </w:r>
      <w:r>
        <w:rPr>
          <w:rFonts w:hint="eastAsia" w:ascii="微软雅黑" w:hAnsi="微软雅黑" w:eastAsia="微软雅黑" w:cs="微软雅黑"/>
          <w:color w:val="auto"/>
          <w:highlight w:val="none"/>
        </w:rPr>
        <w:t>为提供</w:t>
      </w:r>
      <w:r>
        <w:rPr>
          <w:rFonts w:hint="eastAsia" w:ascii="微软雅黑" w:hAnsi="微软雅黑" w:eastAsia="微软雅黑" w:cs="微软雅黑"/>
          <w:color w:val="auto"/>
          <w:highlight w:val="none"/>
          <w:lang w:val="en-US" w:eastAsia="zh-CN"/>
        </w:rPr>
        <w:t>货物</w:t>
      </w:r>
      <w:r>
        <w:rPr>
          <w:rFonts w:hint="eastAsia" w:ascii="微软雅黑" w:hAnsi="微软雅黑" w:eastAsia="微软雅黑" w:cs="微软雅黑"/>
          <w:color w:val="auto"/>
          <w:highlight w:val="none"/>
        </w:rPr>
        <w:t>需求在投标中伴随投标的产品如被列入财政部与国家主管部门颁发的节能产品目录或环境标志产品目录或无线局域网产品目录，应提供相关证明，在评标时予以优先采购，具体优惠措施为：</w:t>
      </w:r>
      <w:r>
        <w:rPr>
          <w:rFonts w:hint="eastAsia" w:ascii="微软雅黑" w:hAnsi="微软雅黑" w:eastAsia="微软雅黑" w:cs="微软雅黑"/>
          <w:color w:val="auto"/>
          <w:highlight w:val="none"/>
          <w:u w:val="single"/>
        </w:rPr>
        <w:t>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r>
        <w:rPr>
          <w:rFonts w:hint="eastAsia" w:ascii="微软雅黑" w:hAnsi="微软雅黑" w:eastAsia="微软雅黑" w:cs="微软雅黑"/>
          <w:color w:val="auto"/>
          <w:highlight w:val="none"/>
        </w:rPr>
        <w:t>。</w:t>
      </w:r>
    </w:p>
    <w:p>
      <w:pPr>
        <w:pStyle w:val="11"/>
        <w:keepNext w:val="0"/>
        <w:keepLines w:val="0"/>
        <w:pageBreakBefore w:val="0"/>
        <w:tabs>
          <w:tab w:val="clear" w:pos="567"/>
        </w:tabs>
        <w:kinsoku/>
        <w:wordWrap/>
        <w:overflowPunct/>
        <w:topLinePunct w:val="0"/>
        <w:autoSpaceDE/>
        <w:autoSpaceDN/>
        <w:bidi w:val="0"/>
        <w:adjustRightInd/>
        <w:spacing w:before="0" w:line="380" w:lineRule="exact"/>
        <w:rPr>
          <w:rFonts w:hint="eastAsia" w:ascii="微软雅黑" w:hAnsi="微软雅黑" w:eastAsia="微软雅黑" w:cs="微软雅黑"/>
          <w:color w:val="auto"/>
          <w:highlight w:val="none"/>
          <w:u w:val="single"/>
        </w:rPr>
      </w:pPr>
      <w:r>
        <w:rPr>
          <w:rFonts w:hint="eastAsia" w:ascii="微软雅黑" w:hAnsi="微软雅黑" w:eastAsia="微软雅黑" w:cs="微软雅黑"/>
          <w:b/>
          <w:bCs/>
          <w:color w:val="auto"/>
          <w:highlight w:val="none"/>
        </w:rPr>
        <w:t>5.对创新产</w:t>
      </w:r>
      <w:r>
        <w:rPr>
          <w:rFonts w:hint="eastAsia" w:ascii="微软雅黑" w:hAnsi="微软雅黑" w:eastAsia="微软雅黑" w:cs="微软雅黑"/>
          <w:color w:val="auto"/>
          <w:highlight w:val="none"/>
        </w:rPr>
        <w:t>品或创新性企业的优惠措施为：</w:t>
      </w:r>
      <w:r>
        <w:rPr>
          <w:rFonts w:hint="eastAsia" w:ascii="微软雅黑" w:hAnsi="微软雅黑" w:eastAsia="微软雅黑" w:cs="微软雅黑"/>
          <w:color w:val="auto"/>
          <w:highlight w:val="none"/>
          <w:u w:val="single"/>
        </w:rPr>
        <w:t xml:space="preserve">     /      </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微软雅黑" w:hAnsi="微软雅黑" w:eastAsia="微软雅黑" w:cs="微软雅黑"/>
          <w:b/>
          <w:bCs/>
          <w:color w:val="auto"/>
          <w:kern w:val="2"/>
          <w:sz w:val="24"/>
          <w:szCs w:val="24"/>
          <w:highlight w:val="none"/>
          <w:lang w:val="en-US" w:eastAsia="zh-CN" w:bidi="ar-SA"/>
        </w:rPr>
      </w:pPr>
      <w:r>
        <w:rPr>
          <w:rFonts w:hint="eastAsia" w:ascii="微软雅黑" w:hAnsi="微软雅黑" w:eastAsia="微软雅黑" w:cs="微软雅黑"/>
          <w:b/>
          <w:bCs/>
          <w:color w:val="auto"/>
          <w:kern w:val="2"/>
          <w:sz w:val="24"/>
          <w:szCs w:val="24"/>
          <w:highlight w:val="none"/>
          <w:lang w:val="en-US" w:eastAsia="zh-CN" w:bidi="ar-SA"/>
        </w:rPr>
        <w:t>6.开标：</w:t>
      </w:r>
    </w:p>
    <w:p>
      <w:pPr>
        <w:keepNext w:val="0"/>
        <w:keepLines w:val="0"/>
        <w:pageBreakBefore w:val="0"/>
        <w:widowControl/>
        <w:kinsoku/>
        <w:wordWrap/>
        <w:overflowPunct/>
        <w:topLinePunct w:val="0"/>
        <w:autoSpaceDE/>
        <w:autoSpaceDN/>
        <w:bidi w:val="0"/>
        <w:adjustRightInd/>
        <w:snapToGrid w:val="0"/>
        <w:spacing w:line="436" w:lineRule="exact"/>
        <w:textAlignment w:val="baseline"/>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（1）供应商按照须知资料表中规定的开标时间和地点，在规定时间内上传投标文件。</w:t>
      </w:r>
    </w:p>
    <w:p>
      <w:pPr>
        <w:keepNext w:val="0"/>
        <w:keepLines w:val="0"/>
        <w:pageBreakBefore w:val="0"/>
        <w:widowControl/>
        <w:kinsoku/>
        <w:wordWrap/>
        <w:overflowPunct/>
        <w:topLinePunct w:val="0"/>
        <w:autoSpaceDE/>
        <w:autoSpaceDN/>
        <w:bidi w:val="0"/>
        <w:adjustRightInd/>
        <w:snapToGrid w:val="0"/>
        <w:spacing w:line="436" w:lineRule="exact"/>
        <w:textAlignment w:val="baseline"/>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（2）在开标前，工作人员收取所有参会人员的手机，主持人宣读开标纪律。</w:t>
      </w:r>
    </w:p>
    <w:p>
      <w:pPr>
        <w:keepNext w:val="0"/>
        <w:keepLines w:val="0"/>
        <w:pageBreakBefore w:val="0"/>
        <w:widowControl/>
        <w:kinsoku/>
        <w:wordWrap/>
        <w:overflowPunct/>
        <w:topLinePunct w:val="0"/>
        <w:autoSpaceDE/>
        <w:autoSpaceDN/>
        <w:bidi w:val="0"/>
        <w:adjustRightInd/>
        <w:snapToGrid w:val="0"/>
        <w:spacing w:line="436" w:lineRule="exact"/>
        <w:textAlignment w:val="baseline"/>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（3）开标时，由代理机构对供应商的投标文件进行解密，解密时间为30分钟。</w:t>
      </w:r>
    </w:p>
    <w:p>
      <w:pPr>
        <w:keepNext w:val="0"/>
        <w:keepLines w:val="0"/>
        <w:pageBreakBefore w:val="0"/>
        <w:widowControl/>
        <w:kinsoku/>
        <w:wordWrap/>
        <w:overflowPunct/>
        <w:topLinePunct w:val="0"/>
        <w:autoSpaceDE/>
        <w:autoSpaceDN/>
        <w:bidi w:val="0"/>
        <w:adjustRightInd/>
        <w:snapToGrid w:val="0"/>
        <w:spacing w:line="436" w:lineRule="exact"/>
        <w:textAlignment w:val="baseline"/>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（4）由代理机构开启报价，所有投标供应商签字确认。</w:t>
      </w:r>
    </w:p>
    <w:p>
      <w:pPr>
        <w:keepNext w:val="0"/>
        <w:keepLines w:val="0"/>
        <w:pageBreakBefore w:val="0"/>
        <w:widowControl/>
        <w:kinsoku/>
        <w:wordWrap/>
        <w:overflowPunct/>
        <w:topLinePunct w:val="0"/>
        <w:autoSpaceDE/>
        <w:autoSpaceDN/>
        <w:bidi w:val="0"/>
        <w:adjustRightInd/>
        <w:snapToGrid w:val="0"/>
        <w:spacing w:line="436" w:lineRule="exact"/>
        <w:textAlignment w:val="baseline"/>
        <w:rPr>
          <w:rFonts w:hint="eastAsia" w:ascii="微软雅黑" w:hAnsi="微软雅黑" w:eastAsia="微软雅黑" w:cs="微软雅黑"/>
          <w:b w:val="0"/>
          <w:i w:val="0"/>
          <w:caps w:val="0"/>
          <w:color w:val="auto"/>
          <w:spacing w:val="0"/>
          <w:w w:val="100"/>
          <w:sz w:val="24"/>
          <w:highlight w:val="none"/>
          <w:lang w:val="en-US" w:eastAsia="zh-CN"/>
        </w:rPr>
      </w:pPr>
      <w:r>
        <w:rPr>
          <w:rFonts w:hint="eastAsia" w:ascii="微软雅黑" w:hAnsi="微软雅黑" w:eastAsia="微软雅黑" w:cs="微软雅黑"/>
          <w:color w:val="auto"/>
          <w:sz w:val="24"/>
          <w:highlight w:val="none"/>
        </w:rPr>
        <w:t>（5）采购人或采购代理机构登录政采云平台对投标供应商的资格证明材料进行审查。</w:t>
      </w:r>
    </w:p>
    <w:p>
      <w:pPr>
        <w:pStyle w:val="19"/>
        <w:keepNext w:val="0"/>
        <w:keepLines w:val="0"/>
        <w:pageBreakBefore w:val="0"/>
        <w:kinsoku/>
        <w:wordWrap/>
        <w:overflowPunct/>
        <w:topLinePunct w:val="0"/>
        <w:autoSpaceDE/>
        <w:autoSpaceDN/>
        <w:bidi w:val="0"/>
        <w:adjustRightInd/>
        <w:spacing w:line="436" w:lineRule="exact"/>
        <w:rPr>
          <w:rFonts w:hint="eastAsia" w:ascii="微软雅黑" w:hAnsi="微软雅黑" w:eastAsia="微软雅黑" w:cs="微软雅黑"/>
          <w:b/>
          <w:bCs/>
          <w:i w:val="0"/>
          <w:caps w:val="0"/>
          <w:color w:val="auto"/>
          <w:spacing w:val="0"/>
          <w:w w:val="100"/>
          <w:sz w:val="24"/>
          <w:highlight w:val="none"/>
          <w:lang w:val="en-US" w:eastAsia="zh-CN"/>
        </w:rPr>
      </w:pPr>
      <w:r>
        <w:rPr>
          <w:rFonts w:hint="eastAsia" w:ascii="微软雅黑" w:hAnsi="微软雅黑" w:eastAsia="微软雅黑" w:cs="微软雅黑"/>
          <w:b/>
          <w:bCs/>
          <w:i w:val="0"/>
          <w:caps w:val="0"/>
          <w:color w:val="auto"/>
          <w:spacing w:val="0"/>
          <w:w w:val="100"/>
          <w:sz w:val="24"/>
          <w:highlight w:val="none"/>
          <w:lang w:val="en-US" w:eastAsia="zh-CN"/>
        </w:rPr>
        <w:t>7.评标：</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eastAsia="zh-CN"/>
        </w:rPr>
        <w:t>（1）在政采云平台上随机抽取</w:t>
      </w:r>
      <w:r>
        <w:rPr>
          <w:rFonts w:hint="eastAsia" w:ascii="微软雅黑" w:hAnsi="微软雅黑" w:eastAsia="微软雅黑" w:cs="微软雅黑"/>
          <w:color w:val="auto"/>
          <w:sz w:val="24"/>
          <w:highlight w:val="none"/>
          <w:lang w:val="en-US" w:eastAsia="zh-CN"/>
        </w:rPr>
        <w:t>5</w:t>
      </w:r>
      <w:r>
        <w:rPr>
          <w:rFonts w:hint="eastAsia" w:ascii="微软雅黑" w:hAnsi="微软雅黑" w:eastAsia="微软雅黑" w:cs="微软雅黑"/>
          <w:color w:val="auto"/>
          <w:sz w:val="24"/>
          <w:highlight w:val="none"/>
          <w:lang w:eastAsia="zh-CN"/>
        </w:rPr>
        <w:t>名专家，负责评标工作。</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（2）评标前，工作人员收取所有参会人员的手机，主持人宣读评标纪律。</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对采购单位的纪律要求：</w:t>
      </w:r>
      <w:r>
        <w:rPr>
          <w:rFonts w:hint="eastAsia" w:ascii="微软雅黑" w:hAnsi="微软雅黑" w:eastAsia="微软雅黑" w:cs="微软雅黑"/>
          <w:color w:val="auto"/>
          <w:sz w:val="24"/>
          <w:highlight w:val="none"/>
          <w:lang w:eastAsia="zh-CN"/>
        </w:rPr>
        <w:t>采购单位不得泄露招投标活动中应当保密的情况和资料，不得与供应商串通损害国家利益、社会公共利益或者他人合法权益</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对与开标大会活动有关的工作人员的纪律要求：与开标大会活动有关的工作人员不得收受他人的财物或者其他好处，不得向他人透露对中标候选人的推荐情况以及评标有关的其他情况。</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对评标专家的评标纪律及注意事项：</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①与本次评标工作无关的人员不得进入评标现场；</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②在评标过程中评标委员会以外人员不得干预或影响正常评标工作，不得明示或暗示其倾向性、引导性言论；</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③评标委员会成员要严格遵守政府采购法、政府采购法实施条例、政府采购货物和服务招标投标管理办法及评标专家管理办法，要求公正、公平的参与评标工作；</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④评标委员会成员要依法独立评标，并对评标意见承担个人责任。评标委员会成员对需要共同认定的事项存在争议的，按照少数服从多数的原则做出结论。持不同意见的评标委员会成员应当在评标报告上签署不同意见并说明理由，否则视为同意。</w:t>
      </w:r>
    </w:p>
    <w:p>
      <w:pPr>
        <w:pStyle w:val="19"/>
        <w:keepNext w:val="0"/>
        <w:keepLines w:val="0"/>
        <w:pageBreakBefore w:val="0"/>
        <w:numPr>
          <w:ilvl w:val="0"/>
          <w:numId w:val="0"/>
        </w:numPr>
        <w:kinsoku/>
        <w:wordWrap/>
        <w:overflowPunct/>
        <w:topLinePunct w:val="0"/>
        <w:autoSpaceDE/>
        <w:autoSpaceDN/>
        <w:bidi w:val="0"/>
        <w:adjustRightInd/>
        <w:spacing w:line="436"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⑤评标委员会成员要认真阅读招标文件和所有供应商的投标文件，对所有投标文件逐一进行资格性、符合性检查，按招标文件规定的评标方法和标准，进行比较和评价；对需要借助专业知识评判的主观评分项，应当严格按照评分细则公正评分。</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⑥评标委员会成员不得明示或者暗示其倾向性、引导性意见，不得修改或细化投标文件确定的评标程序、评标方法、评标因素和评标标准，不得接受供应商主动提出的澄清和解释，不得征询采购单位代表的倾向性意见，不得协商评分，不得记录、复制或带走任何评标资料。</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⑦评标专家与供应商有下列利害关系之一的人员，应当回避：</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参加采购活动前3年内与供应商存在劳动关系；</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参加采购活动前3年内担任供应商的董事、监事；</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参加采购活动前3年内是供应商的控股股东或者实际控制人；</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firstLine="480" w:firstLineChars="20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与供应商的法定代表人或者负责人有夫妻、直系血亲、三代以内旁系血亲或者近姻亲关系。</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eastAsia="zh-CN"/>
        </w:rPr>
        <w:t>（3）评标委员会应当按照招标文件中规定的评标方法和标准，对所有通过资格审查要求的投标供应商的投标文件，进行符合性审查，以确定是否满足招标文件的实质性要求。</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4）若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代表签字。供应商的澄清、说明或者补正不得超出投标文件的范围或者改变投标文件的实质性内容。</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5）评标委员会应当按照招标文件中规定的评标方法和标准，对符合性审查合格的投标文件进行商务和技术评估，综合比较与评价。综合评分法，是指投标文件满足招标文件全部实质性要求，且按照评审因素的量化指标评审得分最高的供应商为中标候选人的评标方法。</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（6）评标委员会成员对需要共同认定的事项存在争议的，应当按照少数服从多数的原则作出结论。持不同意见的评标委员会成员应当在评标报告上签署不同意见及理由，否则视为同意评标报告。</w:t>
      </w:r>
    </w:p>
    <w:p>
      <w:pPr>
        <w:pStyle w:val="19"/>
        <w:keepNext w:val="0"/>
        <w:keepLines w:val="0"/>
        <w:pageBreakBefore w:val="0"/>
        <w:numPr>
          <w:ilvl w:val="0"/>
          <w:numId w:val="0"/>
        </w:numPr>
        <w:kinsoku/>
        <w:wordWrap/>
        <w:overflowPunct/>
        <w:topLinePunct w:val="0"/>
        <w:autoSpaceDE/>
        <w:autoSpaceDN/>
        <w:bidi w:val="0"/>
        <w:adjustRightInd/>
        <w:snapToGrid w:val="0"/>
        <w:spacing w:line="500" w:lineRule="exact"/>
        <w:ind w:leftChars="0"/>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注：现场所有参会人员均要对开标内容进行保密。</w:t>
      </w:r>
    </w:p>
    <w:p>
      <w:pPr>
        <w:pStyle w:val="19"/>
        <w:keepNext w:val="0"/>
        <w:keepLines w:val="0"/>
        <w:pageBreakBefore w:val="0"/>
        <w:shd w:val="clear" w:color="auto" w:fill="auto"/>
        <w:kinsoku/>
        <w:wordWrap/>
        <w:overflowPunct/>
        <w:topLinePunct w:val="0"/>
        <w:autoSpaceDE/>
        <w:autoSpaceDN/>
        <w:bidi w:val="0"/>
        <w:adjustRightInd/>
        <w:snapToGrid w:val="0"/>
        <w:spacing w:line="500" w:lineRule="exac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8.答疑澄清：</w:t>
      </w:r>
    </w:p>
    <w:p>
      <w:pPr>
        <w:pStyle w:val="19"/>
        <w:keepNext w:val="0"/>
        <w:keepLines w:val="0"/>
        <w:pageBreakBefore w:val="0"/>
        <w:numPr>
          <w:ilvl w:val="0"/>
          <w:numId w:val="0"/>
        </w:numPr>
        <w:kinsoku/>
        <w:wordWrap/>
        <w:overflowPunct/>
        <w:topLinePunct w:val="0"/>
        <w:autoSpaceDE/>
        <w:autoSpaceDN/>
        <w:bidi w:val="0"/>
        <w:adjustRightInd/>
        <w:spacing w:line="436" w:lineRule="exac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（1）评标委员会对于投标文件中含义不明确、同类问题表述不一致或者有明显文字和计算错误的内容，要求投标人以书面形式现场作出必要的澄清、说明或者补正。</w:t>
      </w:r>
    </w:p>
    <w:p>
      <w:pPr>
        <w:pStyle w:val="19"/>
        <w:keepNext w:val="0"/>
        <w:keepLines w:val="0"/>
        <w:pageBreakBefore w:val="0"/>
        <w:numPr>
          <w:ilvl w:val="0"/>
          <w:numId w:val="0"/>
        </w:numPr>
        <w:kinsoku/>
        <w:wordWrap/>
        <w:overflowPunct/>
        <w:topLinePunct w:val="0"/>
        <w:autoSpaceDE/>
        <w:autoSpaceDN/>
        <w:bidi w:val="0"/>
        <w:adjustRightInd/>
        <w:spacing w:line="436" w:lineRule="exac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（2）投标人的澄清、说明或者补正应当采用书面形式，并加盖公章，或者由法定代表人或其授权的代表签字。投标人的澄清、说明或者补正不得超出投标文件的范围或者改变投标文件的实质性内容。</w:t>
      </w:r>
    </w:p>
    <w:p>
      <w:pPr>
        <w:pStyle w:val="19"/>
        <w:keepNext w:val="0"/>
        <w:keepLines w:val="0"/>
        <w:pageBreakBefore w:val="0"/>
        <w:numPr>
          <w:ilvl w:val="0"/>
          <w:numId w:val="0"/>
        </w:numPr>
        <w:kinsoku/>
        <w:wordWrap/>
        <w:overflowPunct/>
        <w:topLinePunct w:val="0"/>
        <w:autoSpaceDE/>
        <w:autoSpaceDN/>
        <w:bidi w:val="0"/>
        <w:adjustRightInd/>
        <w:snapToGrid w:val="0"/>
        <w:spacing w:line="498" w:lineRule="exact"/>
        <w:rPr>
          <w:rFonts w:hint="eastAsia" w:ascii="微软雅黑" w:hAnsi="微软雅黑" w:eastAsia="微软雅黑" w:cs="微软雅黑"/>
          <w:b/>
          <w:bCs/>
          <w:color w:val="auto"/>
          <w:sz w:val="24"/>
          <w:highlight w:val="none"/>
          <w:lang w:val="en-US" w:eastAsia="zh-CN"/>
        </w:rPr>
      </w:pPr>
      <w:r>
        <w:rPr>
          <w:rFonts w:hint="eastAsia" w:ascii="微软雅黑" w:hAnsi="微软雅黑" w:eastAsia="微软雅黑" w:cs="微软雅黑"/>
          <w:b/>
          <w:bCs/>
          <w:color w:val="auto"/>
          <w:sz w:val="24"/>
          <w:highlight w:val="none"/>
          <w:lang w:val="en-US" w:eastAsia="zh-CN"/>
        </w:rPr>
        <w:t>9.定标：</w:t>
      </w:r>
    </w:p>
    <w:p>
      <w:pPr>
        <w:pStyle w:val="19"/>
        <w:keepNext w:val="0"/>
        <w:keepLines w:val="0"/>
        <w:pageBreakBefore w:val="0"/>
        <w:numPr>
          <w:ilvl w:val="0"/>
          <w:numId w:val="0"/>
        </w:numPr>
        <w:kinsoku/>
        <w:wordWrap/>
        <w:overflowPunct/>
        <w:topLinePunct w:val="0"/>
        <w:autoSpaceDE/>
        <w:autoSpaceDN/>
        <w:bidi w:val="0"/>
        <w:adjustRightInd/>
        <w:snapToGrid w:val="0"/>
        <w:spacing w:line="498" w:lineRule="exact"/>
        <w:ind w:leftChars="0"/>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（1）采购代理机构应当在评标结束后2个工作日内将评标报告送采购人。</w:t>
      </w:r>
    </w:p>
    <w:p>
      <w:pPr>
        <w:pStyle w:val="19"/>
        <w:keepNext w:val="0"/>
        <w:keepLines w:val="0"/>
        <w:pageBreakBefore w:val="0"/>
        <w:numPr>
          <w:ilvl w:val="0"/>
          <w:numId w:val="0"/>
        </w:numPr>
        <w:kinsoku/>
        <w:wordWrap/>
        <w:overflowPunct/>
        <w:topLinePunct w:val="0"/>
        <w:autoSpaceDE/>
        <w:autoSpaceDN/>
        <w:bidi w:val="0"/>
        <w:adjustRightInd/>
        <w:snapToGrid w:val="0"/>
        <w:spacing w:line="498" w:lineRule="exact"/>
        <w:ind w:leftChars="0"/>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（2）采购人应当自收到评标报告之日起5个工作日内，在评标报告确定的中标候选人名单中按顺序确定中标人。中标候选人并列的，由采购人按照招标文件规定的方式确定中标人。</w:t>
      </w:r>
    </w:p>
    <w:p>
      <w:pPr>
        <w:pStyle w:val="19"/>
        <w:keepNext w:val="0"/>
        <w:keepLines w:val="0"/>
        <w:pageBreakBefore w:val="0"/>
        <w:numPr>
          <w:ilvl w:val="0"/>
          <w:numId w:val="0"/>
        </w:numPr>
        <w:kinsoku/>
        <w:wordWrap/>
        <w:overflowPunct/>
        <w:topLinePunct w:val="0"/>
        <w:autoSpaceDE/>
        <w:autoSpaceDN/>
        <w:bidi w:val="0"/>
        <w:adjustRightInd/>
        <w:snapToGrid w:val="0"/>
        <w:spacing w:line="498" w:lineRule="exact"/>
        <w:ind w:leftChars="0"/>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（3）采购人在收到评标报告5个工作日内未按评标报告推荐的中标候选人顺序确定中标人，又不能说明合法理由的，视同按评标报告推荐的顺序确定排名第一的中标候选人为中标人。</w:t>
      </w:r>
    </w:p>
    <w:p>
      <w:pPr>
        <w:pStyle w:val="19"/>
        <w:keepNext w:val="0"/>
        <w:keepLines w:val="0"/>
        <w:pageBreakBefore w:val="0"/>
        <w:numPr>
          <w:ilvl w:val="0"/>
          <w:numId w:val="0"/>
        </w:numPr>
        <w:kinsoku/>
        <w:wordWrap/>
        <w:overflowPunct/>
        <w:topLinePunct w:val="0"/>
        <w:autoSpaceDE/>
        <w:autoSpaceDN/>
        <w:bidi w:val="0"/>
        <w:adjustRightInd/>
        <w:snapToGrid w:val="0"/>
        <w:spacing w:line="498" w:lineRule="exact"/>
        <w:ind w:leftChars="0"/>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4）同品牌处理办法：采用综合评标法，则：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19"/>
        <w:keepNext w:val="0"/>
        <w:keepLines w:val="0"/>
        <w:pageBreakBefore w:val="0"/>
        <w:numPr>
          <w:ilvl w:val="0"/>
          <w:numId w:val="0"/>
        </w:numPr>
        <w:kinsoku/>
        <w:wordWrap/>
        <w:overflowPunct/>
        <w:topLinePunct w:val="0"/>
        <w:autoSpaceDE/>
        <w:autoSpaceDN/>
        <w:bidi w:val="0"/>
        <w:adjustRightInd/>
        <w:snapToGrid w:val="0"/>
        <w:spacing w:line="498" w:lineRule="exact"/>
        <w:ind w:leftChars="0"/>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5）中标候选人并列式时的处理方式：采用综合评标法，则：评标结果按评审后得分由高到低顺序排列。得分相同的，按投标报价由低到高顺序排列。得分且投标报价相同的并列。投标文件满足投标文件全部实质性要求，且按照评审因素的量化指标评审得分最高的供应商为排名第一的中标候选人。</w:t>
      </w: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1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7"/>
        <w:jc w:val="center"/>
        <w:rPr>
          <w:rFonts w:hint="eastAsia" w:ascii="微软雅黑" w:hAnsi="微软雅黑" w:eastAsia="微软雅黑" w:cs="微软雅黑"/>
          <w:color w:val="auto"/>
          <w:highlight w:val="none"/>
        </w:rPr>
      </w:pPr>
      <w:bookmarkStart w:id="1318" w:name="_Toc5776"/>
      <w:bookmarkStart w:id="1319" w:name="_Toc9116"/>
      <w:bookmarkStart w:id="1320" w:name="_Toc6128"/>
      <w:bookmarkStart w:id="1321" w:name="_Toc21578"/>
      <w:bookmarkStart w:id="1322" w:name="_Toc1327"/>
      <w:bookmarkStart w:id="1323" w:name="_Toc19412"/>
      <w:bookmarkStart w:id="1324" w:name="_Toc28782"/>
      <w:bookmarkStart w:id="1325" w:name="_Toc5986"/>
      <w:bookmarkStart w:id="1326" w:name="_Toc397"/>
      <w:bookmarkStart w:id="1327" w:name="_Toc9835"/>
      <w:bookmarkStart w:id="1328" w:name="_Toc5578"/>
      <w:bookmarkStart w:id="1329" w:name="_Toc7579"/>
      <w:bookmarkStart w:id="1330" w:name="_Toc21866"/>
      <w:bookmarkStart w:id="1331" w:name="_Toc10419"/>
      <w:bookmarkStart w:id="1332" w:name="_Toc7467"/>
      <w:bookmarkStart w:id="1333" w:name="_Toc29085"/>
      <w:bookmarkStart w:id="1334" w:name="_Toc25901"/>
      <w:bookmarkStart w:id="1335" w:name="_Toc23103"/>
      <w:bookmarkStart w:id="1336" w:name="_Toc5478"/>
      <w:r>
        <w:rPr>
          <w:rFonts w:hint="eastAsia" w:ascii="微软雅黑" w:hAnsi="微软雅黑" w:eastAsia="微软雅黑" w:cs="微软雅黑"/>
          <w:color w:val="auto"/>
          <w:highlight w:val="none"/>
        </w:rPr>
        <w:t>初步评审—资格性审查表</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tbl>
      <w:tblPr>
        <w:tblStyle w:val="25"/>
        <w:tblpPr w:leftFromText="180" w:rightFromText="180" w:vertAnchor="text" w:horzAnchor="page" w:tblpXSpec="center" w:tblpY="234"/>
        <w:tblOverlap w:val="never"/>
        <w:tblW w:w="10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7449"/>
        <w:gridCol w:w="851"/>
        <w:gridCol w:w="706"/>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80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序号</w:t>
            </w:r>
          </w:p>
        </w:tc>
        <w:tc>
          <w:tcPr>
            <w:tcW w:w="744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评审内容</w:t>
            </w:r>
          </w:p>
        </w:tc>
        <w:tc>
          <w:tcPr>
            <w:tcW w:w="2279"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0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p>
        </w:tc>
        <w:tc>
          <w:tcPr>
            <w:tcW w:w="744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p>
        </w:tc>
        <w:tc>
          <w:tcPr>
            <w:tcW w:w="8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是否合格</w:t>
            </w:r>
          </w:p>
        </w:tc>
        <w:tc>
          <w:tcPr>
            <w:tcW w:w="7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是否合格</w:t>
            </w:r>
          </w:p>
        </w:tc>
        <w:tc>
          <w:tcPr>
            <w:tcW w:w="7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sz w:val="21"/>
                <w:szCs w:val="21"/>
                <w:highlight w:val="none"/>
              </w:rPr>
            </w:pPr>
            <w:r>
              <w:rPr>
                <w:rFonts w:hint="eastAsia" w:ascii="微软雅黑" w:hAnsi="微软雅黑" w:eastAsia="微软雅黑" w:cs="微软雅黑"/>
                <w:color w:val="auto"/>
                <w:spacing w:val="-2"/>
                <w:sz w:val="21"/>
                <w:szCs w:val="21"/>
                <w:highlight w:val="none"/>
              </w:rPr>
              <w:t>1</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 w:val="21"/>
                <w:szCs w:val="21"/>
                <w:highlight w:val="none"/>
                <w:lang w:val="en-US" w:eastAsia="zh-CN"/>
              </w:rPr>
            </w:pPr>
            <w:r>
              <w:rPr>
                <w:rFonts w:hint="eastAsia" w:ascii="微软雅黑" w:hAnsi="微软雅黑" w:eastAsia="微软雅黑" w:cs="微软雅黑"/>
                <w:color w:val="auto"/>
                <w:spacing w:val="-2"/>
                <w:sz w:val="21"/>
                <w:szCs w:val="21"/>
                <w:highlight w:val="none"/>
                <w:lang w:val="en-US" w:eastAsia="zh-CN"/>
              </w:rPr>
              <w:t>具有有效的营业执照；</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rPr>
              <w:t>2</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 w:val="21"/>
                <w:szCs w:val="21"/>
                <w:highlight w:val="none"/>
                <w:lang w:val="en-US" w:eastAsia="zh-CN"/>
              </w:rPr>
            </w:pPr>
            <w:r>
              <w:rPr>
                <w:rFonts w:hint="eastAsia" w:ascii="微软雅黑" w:hAnsi="微软雅黑" w:eastAsia="微软雅黑" w:cs="微软雅黑"/>
                <w:color w:val="auto"/>
                <w:spacing w:val="-2"/>
                <w:sz w:val="21"/>
                <w:szCs w:val="21"/>
                <w:highlight w:val="none"/>
                <w:lang w:val="en-US" w:eastAsia="zh-CN"/>
              </w:rPr>
              <w:t>投标供应商需具备有效期内的《林木种子生产许可证》或《林木种子经营许可证》和有效期内、经年审合格的《新疆维吾尔自治区林业植物检疫登记证》；</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3</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 w:val="21"/>
                <w:szCs w:val="21"/>
                <w:highlight w:val="none"/>
                <w:lang w:val="en-US" w:eastAsia="zh-CN"/>
              </w:rPr>
            </w:pPr>
            <w:r>
              <w:rPr>
                <w:rFonts w:hint="eastAsia" w:ascii="微软雅黑" w:hAnsi="微软雅黑" w:eastAsia="微软雅黑" w:cs="微软雅黑"/>
                <w:color w:val="auto"/>
                <w:spacing w:val="-2"/>
                <w:sz w:val="21"/>
                <w:szCs w:val="21"/>
                <w:highlight w:val="none"/>
                <w:lang w:val="en-US" w:eastAsia="zh-CN"/>
              </w:rPr>
              <w:t>提供法定代表人资格证明及授权书、被授权人身份证；(法定代表人投标需提供法定代表人身份证)；</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4</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提近两年任意一年的财务审计报告，新成立的公司提供近三个月内任意一个月的银行资信证明；</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5</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提供依法缴纳2022年至2023年内连续6个月的社保证明及明细；</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6</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提供税务部门出具2022年至2023年内连续6个月的的完税证明；</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7</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截图，“国家企业信用信息公示系统（http://www.gsxt.gov.cn）”列入严重违法失信企业名单（黑名单）信息截图；将拒绝其参加本次招标活动；</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8</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提供参与政府采购活动前3年内未被列入失信、重大税收违法案件、财政部门禁止参加政府采购活动的承诺书；</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9</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提供针对本次项目《反商业贿赂承诺书》；</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微软雅黑" w:hAnsi="微软雅黑" w:eastAsia="微软雅黑" w:cs="微软雅黑"/>
                <w:color w:val="auto"/>
                <w:spacing w:val="-2"/>
                <w:sz w:val="21"/>
                <w:szCs w:val="21"/>
                <w:highlight w:val="none"/>
                <w:lang w:val="en-US" w:eastAsia="zh-CN"/>
              </w:rPr>
            </w:pPr>
            <w:r>
              <w:rPr>
                <w:rFonts w:hint="eastAsia" w:ascii="微软雅黑" w:hAnsi="微软雅黑" w:eastAsia="微软雅黑" w:cs="微软雅黑"/>
                <w:color w:val="auto"/>
                <w:spacing w:val="-2"/>
                <w:sz w:val="21"/>
                <w:szCs w:val="21"/>
                <w:highlight w:val="none"/>
                <w:lang w:val="en-US" w:eastAsia="zh-CN"/>
              </w:rPr>
              <w:t>10</w:t>
            </w: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kern w:val="2"/>
                <w:sz w:val="21"/>
                <w:szCs w:val="21"/>
                <w:highlight w:val="none"/>
                <w:lang w:val="en-US" w:eastAsia="zh-CN" w:bidi="ar-SA"/>
              </w:rPr>
            </w:pPr>
            <w:r>
              <w:rPr>
                <w:rFonts w:hint="eastAsia" w:ascii="微软雅黑" w:hAnsi="微软雅黑" w:eastAsia="微软雅黑" w:cs="微软雅黑"/>
                <w:color w:val="auto"/>
                <w:spacing w:val="-2"/>
                <w:sz w:val="21"/>
                <w:szCs w:val="21"/>
                <w:highlight w:val="none"/>
                <w:lang w:val="en-US" w:eastAsia="zh-CN"/>
              </w:rPr>
              <w:t>提供缴纳投标保证金有效凭证。</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 w:val="21"/>
                <w:szCs w:val="21"/>
                <w:highlight w:val="none"/>
                <w:lang w:val="en-US" w:eastAsia="zh-CN"/>
              </w:rPr>
            </w:pPr>
          </w:p>
        </w:tc>
        <w:tc>
          <w:tcPr>
            <w:tcW w:w="74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 w:val="21"/>
                <w:szCs w:val="21"/>
                <w:highlight w:val="none"/>
                <w:lang w:val="en-US" w:eastAsia="zh-CN"/>
              </w:rPr>
            </w:pPr>
            <w:r>
              <w:rPr>
                <w:rFonts w:hint="eastAsia" w:ascii="微软雅黑" w:hAnsi="微软雅黑" w:eastAsia="微软雅黑" w:cs="微软雅黑"/>
                <w:color w:val="auto"/>
                <w:spacing w:val="-2"/>
                <w:sz w:val="21"/>
                <w:szCs w:val="21"/>
                <w:highlight w:val="none"/>
                <w:lang w:val="en-US" w:eastAsia="zh-CN"/>
              </w:rPr>
              <w:t>结论</w:t>
            </w:r>
          </w:p>
        </w:tc>
        <w:tc>
          <w:tcPr>
            <w:tcW w:w="85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0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c>
          <w:tcPr>
            <w:tcW w:w="72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highlight w:val="none"/>
              </w:rPr>
            </w:pPr>
          </w:p>
        </w:tc>
      </w:tr>
    </w:tbl>
    <w:p>
      <w:pPr>
        <w:spacing w:line="36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说明：（1）上述各项中用“√”表示通过，“×”表示不通过；</w:t>
      </w:r>
    </w:p>
    <w:p>
      <w:pPr>
        <w:spacing w:line="36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（2）上述各项中如有一项为“×”，则结论为“×”，表示该投标文件中存在重大偏差，不能通过初步评审；评委对某一分项评审认为不合格时，必须要写明原因。</w:t>
      </w:r>
    </w:p>
    <w:p>
      <w:pPr>
        <w:spacing w:line="360" w:lineRule="exact"/>
        <w:ind w:left="6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（3）投标文件最终合格与否，以所有评委的评审意见中少数服从多数为原则定论。</w:t>
      </w:r>
    </w:p>
    <w:p>
      <w:pPr>
        <w:spacing w:line="360" w:lineRule="exact"/>
        <w:rPr>
          <w:rFonts w:hint="eastAsia"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未通过资格审查的供应商不进入评标；通过资格审查的供应商少于不足三家的，不得评标。</w:t>
      </w:r>
    </w:p>
    <w:p>
      <w:pPr>
        <w:pStyle w:val="5"/>
        <w:rPr>
          <w:rFonts w:hint="eastAsia" w:ascii="微软雅黑" w:hAnsi="微软雅黑" w:eastAsia="微软雅黑" w:cs="微软雅黑"/>
          <w:b/>
          <w:bCs/>
          <w:color w:val="auto"/>
          <w:szCs w:val="21"/>
          <w:highlight w:val="none"/>
        </w:rPr>
      </w:pPr>
    </w:p>
    <w:p>
      <w:pPr>
        <w:rPr>
          <w:rFonts w:hint="eastAsia" w:ascii="微软雅黑" w:hAnsi="微软雅黑" w:eastAsia="微软雅黑" w:cs="微软雅黑"/>
          <w:b/>
          <w:bCs/>
          <w:color w:val="auto"/>
          <w:szCs w:val="21"/>
          <w:highlight w:val="none"/>
        </w:rPr>
      </w:pPr>
    </w:p>
    <w:p>
      <w:pPr>
        <w:pStyle w:val="5"/>
        <w:rPr>
          <w:rFonts w:hint="eastAsia"/>
          <w:highlight w:val="none"/>
        </w:rPr>
      </w:pPr>
    </w:p>
    <w:p>
      <w:pPr>
        <w:rPr>
          <w:rFonts w:hint="eastAsia" w:ascii="微软雅黑" w:hAnsi="微软雅黑" w:eastAsia="微软雅黑" w:cs="微软雅黑"/>
          <w:color w:val="auto"/>
          <w:highlight w:val="none"/>
        </w:rPr>
      </w:pPr>
      <w:bookmarkStart w:id="1337" w:name="_Toc30395"/>
      <w:bookmarkStart w:id="1338" w:name="_Toc1474"/>
      <w:bookmarkStart w:id="1339" w:name="_Toc3062"/>
      <w:bookmarkStart w:id="1340" w:name="_Toc26642"/>
      <w:bookmarkStart w:id="1341" w:name="_Toc8382"/>
      <w:bookmarkStart w:id="1342" w:name="_Toc28858"/>
      <w:bookmarkStart w:id="1343" w:name="_Toc31983"/>
      <w:bookmarkStart w:id="1344" w:name="_Toc27246"/>
      <w:bookmarkStart w:id="1345" w:name="_Toc14007"/>
      <w:bookmarkStart w:id="1346" w:name="_Toc273"/>
      <w:bookmarkStart w:id="1347" w:name="_Toc10492"/>
      <w:bookmarkStart w:id="1348" w:name="_Toc12108"/>
      <w:bookmarkStart w:id="1349" w:name="_Toc3927"/>
      <w:bookmarkStart w:id="1350" w:name="_Toc13854"/>
      <w:bookmarkStart w:id="1351" w:name="_Toc21850"/>
      <w:bookmarkStart w:id="1352" w:name="_Toc16022"/>
      <w:bookmarkStart w:id="1353" w:name="_Toc8255"/>
      <w:bookmarkStart w:id="1354" w:name="_Toc18094"/>
      <w:r>
        <w:rPr>
          <w:rFonts w:hint="eastAsia" w:ascii="微软雅黑" w:hAnsi="微软雅黑" w:eastAsia="微软雅黑" w:cs="微软雅黑"/>
          <w:color w:val="auto"/>
          <w:highlight w:val="none"/>
        </w:rPr>
        <w:br w:type="page"/>
      </w:r>
    </w:p>
    <w:p>
      <w:pPr>
        <w:pStyle w:val="7"/>
        <w:rPr>
          <w:rFonts w:hint="eastAsia" w:ascii="微软雅黑" w:hAnsi="微软雅黑" w:eastAsia="微软雅黑" w:cs="微软雅黑"/>
          <w:color w:val="auto"/>
          <w:highlight w:val="none"/>
        </w:rPr>
      </w:pPr>
      <w:bookmarkStart w:id="1355" w:name="_Toc11817"/>
      <w:r>
        <w:rPr>
          <w:rFonts w:hint="eastAsia" w:ascii="微软雅黑" w:hAnsi="微软雅黑" w:eastAsia="微软雅黑" w:cs="微软雅黑"/>
          <w:color w:val="auto"/>
          <w:highlight w:val="none"/>
        </w:rPr>
        <w:t>初步评审—符合性审查表</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tbl>
      <w:tblPr>
        <w:tblStyle w:val="25"/>
        <w:tblpPr w:leftFromText="180" w:rightFromText="180" w:vertAnchor="text" w:horzAnchor="page" w:tblpXSpec="center" w:tblpY="262"/>
        <w:tblOverlap w:val="never"/>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7793"/>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51" w:type="dxa"/>
            <w:gridSpan w:val="2"/>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评审内容</w:t>
            </w:r>
          </w:p>
        </w:tc>
        <w:tc>
          <w:tcPr>
            <w:tcW w:w="116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b/>
                <w:color w:val="auto"/>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7793"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c>
          <w:tcPr>
            <w:tcW w:w="116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1</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各供应商投标报价未高于预算金额；</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2</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评标委员会认为供应商的报价无明显低于其他通过符合性审查供应商的报价的，供应商的报价不存在异常一致并成规律性的，其报价合理；</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3</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投标文件按照招标文件的规定编制、标记及签署盖章的，法定代表人或其授权代表</w:t>
            </w:r>
            <w:r>
              <w:rPr>
                <w:rFonts w:hint="eastAsia" w:ascii="微软雅黑" w:hAnsi="微软雅黑" w:eastAsia="微软雅黑" w:cs="微软雅黑"/>
                <w:color w:val="auto"/>
                <w:spacing w:val="-2"/>
                <w:szCs w:val="21"/>
                <w:highlight w:val="none"/>
                <w:lang w:val="en-US" w:eastAsia="zh-CN"/>
              </w:rPr>
              <w:t>签</w:t>
            </w:r>
            <w:r>
              <w:rPr>
                <w:rFonts w:hint="eastAsia" w:ascii="微软雅黑" w:hAnsi="微软雅黑" w:eastAsia="微软雅黑" w:cs="微软雅黑"/>
                <w:color w:val="auto"/>
                <w:spacing w:val="-2"/>
                <w:szCs w:val="21"/>
                <w:highlight w:val="none"/>
              </w:rPr>
              <w:t>章</w:t>
            </w:r>
            <w:r>
              <w:rPr>
                <w:rFonts w:hint="eastAsia" w:ascii="微软雅黑" w:hAnsi="微软雅黑" w:eastAsia="微软雅黑" w:cs="微软雅黑"/>
                <w:color w:val="auto"/>
                <w:spacing w:val="-2"/>
                <w:szCs w:val="21"/>
                <w:highlight w:val="none"/>
                <w:lang w:eastAsia="zh-CN"/>
              </w:rPr>
              <w:t>；</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4</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所投</w:t>
            </w:r>
            <w:r>
              <w:rPr>
                <w:rFonts w:hint="eastAsia" w:ascii="微软雅黑" w:hAnsi="微软雅黑" w:eastAsia="微软雅黑" w:cs="微软雅黑"/>
                <w:color w:val="auto"/>
                <w:spacing w:val="-2"/>
                <w:szCs w:val="21"/>
                <w:highlight w:val="none"/>
                <w:lang w:val="en-US" w:eastAsia="zh-CN"/>
              </w:rPr>
              <w:t>货物数量</w:t>
            </w:r>
            <w:r>
              <w:rPr>
                <w:rFonts w:hint="eastAsia" w:ascii="微软雅黑" w:hAnsi="微软雅黑" w:eastAsia="微软雅黑" w:cs="微软雅黑"/>
                <w:color w:val="auto"/>
                <w:spacing w:val="-2"/>
                <w:szCs w:val="21"/>
                <w:highlight w:val="none"/>
              </w:rPr>
              <w:t>满足招标文件要求的；</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5</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按招标文件规定的格式填写，内容</w:t>
            </w:r>
            <w:r>
              <w:rPr>
                <w:rFonts w:hint="eastAsia" w:ascii="微软雅黑" w:hAnsi="微软雅黑" w:eastAsia="微软雅黑" w:cs="微软雅黑"/>
                <w:color w:val="auto"/>
                <w:spacing w:val="-2"/>
                <w:szCs w:val="21"/>
                <w:highlight w:val="none"/>
                <w:lang w:val="en-US" w:eastAsia="zh-CN"/>
              </w:rPr>
              <w:t>全面</w:t>
            </w:r>
            <w:r>
              <w:rPr>
                <w:rFonts w:hint="eastAsia" w:ascii="微软雅黑" w:hAnsi="微软雅黑" w:eastAsia="微软雅黑" w:cs="微软雅黑"/>
                <w:color w:val="auto"/>
                <w:spacing w:val="-2"/>
                <w:szCs w:val="21"/>
                <w:highlight w:val="none"/>
              </w:rPr>
              <w:t>；</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6</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lang w:val="en-US" w:eastAsia="zh-CN"/>
              </w:rPr>
              <w:t>符合招标文件中规定的要求；</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7</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没有采购人不能接受的附加条件的；</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8</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不同供应商的投标文件没有错漏一致的情况；</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8" w:type="dxa"/>
            <w:vAlign w:val="center"/>
          </w:tcPr>
          <w:p>
            <w:pPr>
              <w:keepNext w:val="0"/>
              <w:keepLines w:val="0"/>
              <w:suppressLineNumbers w:val="0"/>
              <w:spacing w:before="0" w:beforeAutospacing="0" w:after="0" w:afterAutospacing="0" w:line="400" w:lineRule="exact"/>
              <w:ind w:left="0" w:right="0"/>
              <w:jc w:val="center"/>
              <w:rPr>
                <w:rFonts w:hint="eastAsia" w:ascii="微软雅黑" w:hAnsi="微软雅黑" w:eastAsia="微软雅黑" w:cs="微软雅黑"/>
                <w:color w:val="auto"/>
                <w:spacing w:val="-2"/>
                <w:szCs w:val="21"/>
                <w:highlight w:val="none"/>
              </w:rPr>
            </w:pPr>
            <w:r>
              <w:rPr>
                <w:rFonts w:hint="eastAsia" w:ascii="微软雅黑" w:hAnsi="微软雅黑" w:eastAsia="微软雅黑" w:cs="微软雅黑"/>
                <w:color w:val="auto"/>
                <w:spacing w:val="-2"/>
                <w:szCs w:val="21"/>
                <w:highlight w:val="none"/>
              </w:rPr>
              <w:t>9</w:t>
            </w:r>
          </w:p>
        </w:tc>
        <w:tc>
          <w:tcPr>
            <w:tcW w:w="7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微软雅黑" w:hAnsi="微软雅黑" w:eastAsia="微软雅黑" w:cs="微软雅黑"/>
                <w:color w:val="auto"/>
                <w:spacing w:val="-2"/>
                <w:szCs w:val="21"/>
                <w:highlight w:val="none"/>
                <w:lang w:eastAsia="zh-CN"/>
              </w:rPr>
            </w:pPr>
            <w:r>
              <w:rPr>
                <w:rFonts w:hint="eastAsia" w:ascii="微软雅黑" w:hAnsi="微软雅黑" w:eastAsia="微软雅黑" w:cs="微软雅黑"/>
                <w:color w:val="auto"/>
                <w:spacing w:val="-2"/>
                <w:szCs w:val="21"/>
                <w:highlight w:val="none"/>
              </w:rPr>
              <w:t>供应商附有详细地址、联系人、电话标明的</w:t>
            </w:r>
            <w:r>
              <w:rPr>
                <w:rFonts w:hint="eastAsia" w:ascii="微软雅黑" w:hAnsi="微软雅黑" w:eastAsia="微软雅黑" w:cs="微软雅黑"/>
                <w:color w:val="auto"/>
                <w:spacing w:val="-2"/>
                <w:szCs w:val="21"/>
                <w:highlight w:val="none"/>
                <w:lang w:eastAsia="zh-CN"/>
              </w:rPr>
              <w:t>。</w:t>
            </w:r>
          </w:p>
        </w:tc>
        <w:tc>
          <w:tcPr>
            <w:tcW w:w="1168" w:type="dxa"/>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color w:val="auto"/>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51" w:type="dxa"/>
            <w:gridSpan w:val="2"/>
            <w:vAlign w:val="center"/>
          </w:tcPr>
          <w:p>
            <w:pPr>
              <w:keepNext w:val="0"/>
              <w:keepLines w:val="0"/>
              <w:suppressLineNumbers w:val="0"/>
              <w:spacing w:before="0" w:beforeAutospacing="0" w:after="0" w:afterAutospacing="0" w:line="400" w:lineRule="exact"/>
              <w:ind w:left="0" w:right="0" w:firstLine="370" w:firstLineChars="180"/>
              <w:rPr>
                <w:rFonts w:hint="eastAsia"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Cs w:val="21"/>
                <w:highlight w:val="none"/>
              </w:rPr>
              <w:t>结论：通过评审打“√”，未通过评审打“×”</w:t>
            </w:r>
          </w:p>
        </w:tc>
        <w:tc>
          <w:tcPr>
            <w:tcW w:w="1168" w:type="dxa"/>
            <w:vAlign w:val="center"/>
          </w:tcPr>
          <w:p>
            <w:pPr>
              <w:keepNext w:val="0"/>
              <w:keepLines w:val="0"/>
              <w:suppressLineNumbers w:val="0"/>
              <w:spacing w:before="0" w:beforeAutospacing="0" w:after="0" w:afterAutospacing="0" w:line="400" w:lineRule="exact"/>
              <w:ind w:left="0" w:right="0" w:firstLine="370" w:firstLineChars="180"/>
              <w:rPr>
                <w:rFonts w:hint="eastAsia" w:ascii="微软雅黑" w:hAnsi="微软雅黑" w:eastAsia="微软雅黑" w:cs="微软雅黑"/>
                <w:color w:val="auto"/>
                <w:spacing w:val="-2"/>
                <w:szCs w:val="21"/>
                <w:highlight w:val="none"/>
              </w:rPr>
            </w:pPr>
          </w:p>
        </w:tc>
      </w:tr>
    </w:tbl>
    <w:p>
      <w:pPr>
        <w:keepNext w:val="0"/>
        <w:keepLines w:val="0"/>
        <w:pageBreakBefore w:val="0"/>
        <w:widowControl w:val="0"/>
        <w:kinsoku/>
        <w:wordWrap/>
        <w:overflowPunct/>
        <w:topLinePunct w:val="0"/>
        <w:bidi w:val="0"/>
        <w:snapToGrid/>
        <w:spacing w:line="400" w:lineRule="exact"/>
        <w:ind w:left="60"/>
        <w:textAlignment w:val="auto"/>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说明：</w:t>
      </w:r>
    </w:p>
    <w:p>
      <w:pPr>
        <w:keepNext w:val="0"/>
        <w:keepLines w:val="0"/>
        <w:pageBreakBefore w:val="0"/>
        <w:widowControl w:val="0"/>
        <w:kinsoku/>
        <w:wordWrap/>
        <w:overflowPunct/>
        <w:topLinePunct w:val="0"/>
        <w:bidi w:val="0"/>
        <w:snapToGrid/>
        <w:spacing w:line="400" w:lineRule="exact"/>
        <w:ind w:left="60"/>
        <w:textAlignment w:val="auto"/>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（1）上述各项中用“√”表示合格，“×”表示不合格；</w:t>
      </w:r>
    </w:p>
    <w:p>
      <w:pPr>
        <w:keepNext w:val="0"/>
        <w:keepLines w:val="0"/>
        <w:pageBreakBefore w:val="0"/>
        <w:widowControl w:val="0"/>
        <w:kinsoku/>
        <w:wordWrap/>
        <w:overflowPunct/>
        <w:topLinePunct w:val="0"/>
        <w:bidi w:val="0"/>
        <w:snapToGrid/>
        <w:spacing w:line="400" w:lineRule="exact"/>
        <w:ind w:left="689" w:leftChars="28" w:hanging="630" w:hangingChars="300"/>
        <w:textAlignment w:val="auto"/>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（2）上述各项中如有一项为“×”，则结论为“×”，表示该投标文件中存在重大偏差，不能通过初步评审；评委对某一分项评审认为不合格时，必须要写明原因。</w:t>
      </w:r>
    </w:p>
    <w:p>
      <w:pPr>
        <w:pStyle w:val="4"/>
        <w:keepNext w:val="0"/>
        <w:keepLines w:val="0"/>
        <w:pageBreakBefore w:val="0"/>
        <w:widowControl w:val="0"/>
        <w:kinsoku/>
        <w:wordWrap/>
        <w:overflowPunct/>
        <w:topLinePunct w:val="0"/>
        <w:bidi w:val="0"/>
        <w:snapToGrid/>
        <w:spacing w:line="400" w:lineRule="exact"/>
        <w:ind w:firstLine="0"/>
        <w:jc w:val="both"/>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（3）投标文件最终合格与否，以所有评委的评审意见中少数服从多数为原则定论。</w:t>
      </w:r>
    </w:p>
    <w:p>
      <w:pPr>
        <w:keepNext w:val="0"/>
        <w:keepLines w:val="0"/>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color w:val="auto"/>
          <w:szCs w:val="21"/>
          <w:highlight w:val="none"/>
        </w:rPr>
      </w:pPr>
      <w:r>
        <w:rPr>
          <w:rFonts w:hint="eastAsia" w:ascii="微软雅黑" w:hAnsi="微软雅黑" w:eastAsia="微软雅黑" w:cs="微软雅黑"/>
          <w:b/>
          <w:bCs/>
          <w:color w:val="auto"/>
          <w:szCs w:val="21"/>
          <w:highlight w:val="none"/>
        </w:rPr>
        <w:t>未通过资格审查的供应商不进入评标；通过资格审查的供应商少于不足三家的，不得评标。</w:t>
      </w:r>
    </w:p>
    <w:p>
      <w:pPr>
        <w:pStyle w:val="5"/>
        <w:ind w:left="0" w:leftChars="0" w:firstLine="0" w:firstLineChars="0"/>
        <w:outlineLvl w:val="9"/>
        <w:rPr>
          <w:rFonts w:hint="eastAsia" w:ascii="微软雅黑" w:hAnsi="微软雅黑" w:eastAsia="微软雅黑" w:cs="微软雅黑"/>
          <w:color w:val="auto"/>
          <w:highlight w:val="none"/>
        </w:rPr>
      </w:pPr>
    </w:p>
    <w:p>
      <w:pPr>
        <w:outlineLvl w:val="9"/>
        <w:rPr>
          <w:rFonts w:hint="eastAsia" w:ascii="微软雅黑" w:hAnsi="微软雅黑" w:eastAsia="微软雅黑" w:cs="微软雅黑"/>
          <w:color w:val="auto"/>
          <w:highlight w:val="none"/>
        </w:rPr>
      </w:pPr>
    </w:p>
    <w:p>
      <w:pPr>
        <w:pStyle w:val="2"/>
        <w:outlineLvl w:val="9"/>
        <w:rPr>
          <w:rFonts w:hint="eastAsia" w:ascii="微软雅黑" w:hAnsi="微软雅黑" w:eastAsia="微软雅黑" w:cs="微软雅黑"/>
          <w:color w:val="auto"/>
          <w:highlight w:val="none"/>
        </w:rPr>
      </w:pPr>
    </w:p>
    <w:p>
      <w:pPr>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br w:type="page"/>
      </w:r>
    </w:p>
    <w:p>
      <w:pPr>
        <w:spacing w:line="300" w:lineRule="auto"/>
        <w:jc w:val="center"/>
        <w:outlineLvl w:val="1"/>
        <w:rPr>
          <w:rFonts w:ascii="微软雅黑" w:hAnsi="微软雅黑" w:eastAsia="微软雅黑" w:cs="微软雅黑"/>
          <w:b/>
          <w:sz w:val="40"/>
          <w:szCs w:val="32"/>
          <w:highlight w:val="none"/>
        </w:rPr>
      </w:pPr>
      <w:bookmarkStart w:id="1356" w:name="_Toc11449"/>
      <w:bookmarkStart w:id="1357" w:name="_Toc21743"/>
      <w:bookmarkStart w:id="1358" w:name="_Toc3812"/>
      <w:bookmarkStart w:id="1359" w:name="_Toc26618"/>
      <w:bookmarkStart w:id="1360" w:name="_Toc26924"/>
      <w:bookmarkStart w:id="1361" w:name="_Toc4034"/>
      <w:bookmarkStart w:id="1362" w:name="_Toc7381"/>
      <w:bookmarkStart w:id="1363" w:name="_Toc13520"/>
      <w:bookmarkStart w:id="1364" w:name="_Toc17586"/>
      <w:bookmarkStart w:id="1365" w:name="_Toc31042"/>
      <w:bookmarkStart w:id="1366" w:name="_Toc21350"/>
      <w:bookmarkStart w:id="1367" w:name="_Toc12524"/>
      <w:bookmarkStart w:id="1368" w:name="_Toc29006"/>
      <w:bookmarkStart w:id="1369" w:name="_Toc359"/>
      <w:bookmarkStart w:id="1370" w:name="_Toc19967"/>
      <w:bookmarkStart w:id="1371" w:name="_Toc6940"/>
      <w:bookmarkStart w:id="1372" w:name="_Toc20505"/>
      <w:bookmarkStart w:id="1373" w:name="_Toc31737"/>
      <w:bookmarkStart w:id="1374" w:name="_Toc21392"/>
      <w:bookmarkStart w:id="1375" w:name="_Toc4748"/>
      <w:bookmarkStart w:id="1376" w:name="_Toc5375"/>
      <w:bookmarkStart w:id="1377" w:name="_Toc507399904"/>
      <w:r>
        <w:rPr>
          <w:rFonts w:hint="eastAsia" w:ascii="微软雅黑" w:hAnsi="微软雅黑" w:eastAsia="微软雅黑" w:cs="微软雅黑"/>
          <w:b/>
          <w:bCs/>
          <w:sz w:val="24"/>
          <w:szCs w:val="24"/>
          <w:highlight w:val="none"/>
        </w:rPr>
        <w:t>综合评分表</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tbl>
      <w:tblPr>
        <w:tblStyle w:val="25"/>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855"/>
        <w:gridCol w:w="615"/>
        <w:gridCol w:w="705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509"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序号</w:t>
            </w:r>
          </w:p>
        </w:tc>
        <w:tc>
          <w:tcPr>
            <w:tcW w:w="8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评分因素</w:t>
            </w: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分值</w:t>
            </w:r>
          </w:p>
        </w:tc>
        <w:tc>
          <w:tcPr>
            <w:tcW w:w="7055" w:type="dxa"/>
            <w:vAlign w:val="center"/>
          </w:tcPr>
          <w:p>
            <w:pPr>
              <w:keepNext w:val="0"/>
              <w:keepLines w:val="0"/>
              <w:suppressLineNumbers w:val="0"/>
              <w:bidi w:val="0"/>
              <w:spacing w:before="0" w:beforeAutospacing="0" w:after="0" w:afterAutospacing="0"/>
              <w:ind w:left="0" w:right="0"/>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评分因素及权重、评分标准</w:t>
            </w:r>
          </w:p>
          <w:p>
            <w:pPr>
              <w:keepNext w:val="0"/>
              <w:keepLines w:val="0"/>
              <w:suppressLineNumbers w:val="0"/>
              <w:bidi w:val="0"/>
              <w:spacing w:before="0" w:beforeAutospacing="0" w:after="0" w:afterAutospacing="0"/>
              <w:ind w:left="0" w:right="0"/>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价   格：</w:t>
            </w:r>
            <w:r>
              <w:rPr>
                <w:rFonts w:hint="eastAsia" w:ascii="微软雅黑" w:hAnsi="微软雅黑" w:eastAsia="微软雅黑" w:cs="微软雅黑"/>
                <w:highlight w:val="none"/>
                <w:lang w:val="en-US" w:eastAsia="zh-CN"/>
              </w:rPr>
              <w:t>30</w:t>
            </w:r>
            <w:r>
              <w:rPr>
                <w:rFonts w:hint="eastAsia" w:ascii="微软雅黑" w:hAnsi="微软雅黑" w:eastAsia="微软雅黑" w:cs="微软雅黑"/>
                <w:highlight w:val="none"/>
              </w:rPr>
              <w:t>分  商   务：</w:t>
            </w:r>
            <w:r>
              <w:rPr>
                <w:rFonts w:hint="eastAsia" w:ascii="微软雅黑" w:hAnsi="微软雅黑" w:eastAsia="微软雅黑" w:cs="微软雅黑"/>
                <w:highlight w:val="none"/>
                <w:lang w:val="en-US" w:eastAsia="zh-CN"/>
              </w:rPr>
              <w:t>8</w:t>
            </w:r>
            <w:r>
              <w:rPr>
                <w:rFonts w:hint="eastAsia" w:ascii="微软雅黑" w:hAnsi="微软雅黑" w:eastAsia="微软雅黑" w:cs="微软雅黑"/>
                <w:highlight w:val="none"/>
              </w:rPr>
              <w:t>分   技   术：</w:t>
            </w:r>
            <w:r>
              <w:rPr>
                <w:rFonts w:hint="eastAsia" w:ascii="微软雅黑" w:hAnsi="微软雅黑" w:eastAsia="微软雅黑" w:cs="微软雅黑"/>
                <w:highlight w:val="none"/>
                <w:lang w:val="en-US" w:eastAsia="zh-CN"/>
              </w:rPr>
              <w:t>62</w:t>
            </w:r>
            <w:r>
              <w:rPr>
                <w:rFonts w:hint="eastAsia" w:ascii="微软雅黑" w:hAnsi="微软雅黑" w:eastAsia="微软雅黑" w:cs="微软雅黑"/>
                <w:highlight w:val="none"/>
              </w:rPr>
              <w:t>分</w:t>
            </w:r>
          </w:p>
        </w:tc>
        <w:tc>
          <w:tcPr>
            <w:tcW w:w="1309"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1</w:t>
            </w:r>
          </w:p>
        </w:tc>
        <w:tc>
          <w:tcPr>
            <w:tcW w:w="8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价格评分标准</w:t>
            </w: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30</w:t>
            </w:r>
          </w:p>
        </w:tc>
        <w:tc>
          <w:tcPr>
            <w:tcW w:w="70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完全满足招标文件参数的投标报价中的最低价为评标基准价，按照下列公式计算每个投标人的价格得分。投标报价得分＝（基准价/投标报价）×价格权重×100。</w:t>
            </w:r>
          </w:p>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lang w:val="en-US" w:eastAsia="zh-CN"/>
              </w:rPr>
              <w:t>注：</w:t>
            </w:r>
            <w:r>
              <w:rPr>
                <w:rFonts w:hint="eastAsia" w:ascii="微软雅黑" w:hAnsi="微软雅黑" w:eastAsia="微软雅黑" w:cs="微软雅黑"/>
                <w:highlight w:val="none"/>
              </w:rPr>
              <w:t>评标期间，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提供证明材料需与本产品相符合，否则不予认可）</w:t>
            </w:r>
          </w:p>
        </w:tc>
        <w:tc>
          <w:tcPr>
            <w:tcW w:w="1309"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509" w:type="dxa"/>
            <w:vMerge w:val="restart"/>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2</w:t>
            </w:r>
          </w:p>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p>
        </w:tc>
        <w:tc>
          <w:tcPr>
            <w:tcW w:w="855" w:type="dxa"/>
            <w:vMerge w:val="restart"/>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商务评分标准</w:t>
            </w: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6</w:t>
            </w:r>
          </w:p>
        </w:tc>
        <w:tc>
          <w:tcPr>
            <w:tcW w:w="70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eastAsia="zh-CN"/>
              </w:rPr>
            </w:pPr>
            <w:r>
              <w:rPr>
                <w:rFonts w:hint="eastAsia" w:ascii="微软雅黑" w:hAnsi="微软雅黑" w:eastAsia="微软雅黑" w:cs="微软雅黑"/>
                <w:highlight w:val="none"/>
              </w:rPr>
              <w:t>业绩：</w:t>
            </w:r>
            <w:r>
              <w:rPr>
                <w:rFonts w:hint="eastAsia" w:ascii="微软雅黑" w:hAnsi="微软雅黑" w:eastAsia="微软雅黑" w:cs="微软雅黑"/>
                <w:highlight w:val="none"/>
                <w:lang w:eastAsia="zh-CN"/>
              </w:rPr>
              <w:t>投标</w:t>
            </w:r>
            <w:r>
              <w:rPr>
                <w:rFonts w:hint="eastAsia" w:ascii="微软雅黑" w:hAnsi="微软雅黑" w:eastAsia="微软雅黑" w:cs="微软雅黑"/>
                <w:highlight w:val="none"/>
                <w:lang w:val="en-US" w:eastAsia="zh-CN"/>
              </w:rPr>
              <w:t>供应商</w:t>
            </w:r>
            <w:r>
              <w:rPr>
                <w:rFonts w:hint="eastAsia" w:ascii="微软雅黑" w:hAnsi="微软雅黑" w:eastAsia="微软雅黑" w:cs="微软雅黑"/>
                <w:highlight w:val="none"/>
                <w:lang w:eastAsia="zh-CN"/>
              </w:rPr>
              <w:t>需提供近三年（投标截止日至今）完成的类似项目业绩，每提供一份得</w:t>
            </w:r>
            <w:r>
              <w:rPr>
                <w:rFonts w:hint="eastAsia" w:ascii="微软雅黑" w:hAnsi="微软雅黑" w:eastAsia="微软雅黑" w:cs="微软雅黑"/>
                <w:highlight w:val="none"/>
                <w:lang w:val="en-US" w:eastAsia="zh-CN"/>
              </w:rPr>
              <w:t>2</w:t>
            </w:r>
            <w:r>
              <w:rPr>
                <w:rFonts w:hint="eastAsia" w:ascii="微软雅黑" w:hAnsi="微软雅黑" w:eastAsia="微软雅黑" w:cs="微软雅黑"/>
                <w:highlight w:val="none"/>
                <w:lang w:eastAsia="zh-CN"/>
              </w:rPr>
              <w:t>分，最高</w:t>
            </w:r>
            <w:r>
              <w:rPr>
                <w:rFonts w:hint="eastAsia" w:ascii="微软雅黑" w:hAnsi="微软雅黑" w:eastAsia="微软雅黑" w:cs="微软雅黑"/>
                <w:highlight w:val="none"/>
                <w:lang w:val="en-US" w:eastAsia="zh-CN"/>
              </w:rPr>
              <w:t>6</w:t>
            </w:r>
            <w:r>
              <w:rPr>
                <w:rFonts w:hint="eastAsia" w:ascii="微软雅黑" w:hAnsi="微软雅黑" w:eastAsia="微软雅黑" w:cs="微软雅黑"/>
                <w:highlight w:val="none"/>
                <w:lang w:eastAsia="zh-CN"/>
              </w:rPr>
              <w:t>分。以业绩合同原件扫描件及中标通知书原件扫描件（二者缺一不可）为准，否则不得分。</w:t>
            </w:r>
          </w:p>
        </w:tc>
        <w:tc>
          <w:tcPr>
            <w:tcW w:w="1309" w:type="dxa"/>
            <w:vMerge w:val="restart"/>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509"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p>
        </w:tc>
        <w:tc>
          <w:tcPr>
            <w:tcW w:w="855"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2</w:t>
            </w:r>
          </w:p>
        </w:tc>
        <w:tc>
          <w:tcPr>
            <w:tcW w:w="70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rPr>
              <w:t>标书制作：投标文件目录清晰、关联点对应准确，评审内容便于查找，没有与评审内容无关的资料及文件得2分，否则不得分。</w:t>
            </w:r>
          </w:p>
        </w:tc>
        <w:tc>
          <w:tcPr>
            <w:tcW w:w="1309"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09" w:type="dxa"/>
            <w:vMerge w:val="restart"/>
            <w:vAlign w:val="center"/>
          </w:tcPr>
          <w:p>
            <w:pPr>
              <w:keepNext w:val="0"/>
              <w:keepLines w:val="0"/>
              <w:suppressLineNumbers w:val="0"/>
              <w:bidi w:val="0"/>
              <w:spacing w:before="0" w:beforeAutospacing="0" w:after="0" w:afterAutospacing="0"/>
              <w:ind w:left="0" w:right="0"/>
              <w:rPr>
                <w:rFonts w:hint="default"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3</w:t>
            </w:r>
          </w:p>
        </w:tc>
        <w:tc>
          <w:tcPr>
            <w:tcW w:w="855" w:type="dxa"/>
            <w:vMerge w:val="restart"/>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技术评分标准</w:t>
            </w: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20</w:t>
            </w:r>
          </w:p>
        </w:tc>
        <w:tc>
          <w:tcPr>
            <w:tcW w:w="70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配置与性能指标</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根据投标文件的技术参数配置与性能指标的响应程度打分，全部响应招标文件的得20分。每有一项指标未满足招标参数的扣5分，扣完为止。</w:t>
            </w:r>
          </w:p>
        </w:tc>
        <w:tc>
          <w:tcPr>
            <w:tcW w:w="1309" w:type="dxa"/>
            <w:vMerge w:val="restart"/>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r>
              <w:rPr>
                <w:rFonts w:hint="eastAsia" w:ascii="微软雅黑" w:hAnsi="微软雅黑" w:eastAsia="微软雅黑" w:cs="微软雅黑"/>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509"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p>
        </w:tc>
        <w:tc>
          <w:tcPr>
            <w:tcW w:w="855"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5</w:t>
            </w:r>
          </w:p>
        </w:tc>
        <w:tc>
          <w:tcPr>
            <w:tcW w:w="70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eastAsia="zh-CN"/>
              </w:rPr>
            </w:pPr>
            <w:r>
              <w:rPr>
                <w:rFonts w:hint="eastAsia" w:ascii="微软雅黑" w:hAnsi="微软雅黑" w:eastAsia="微软雅黑" w:cs="微软雅黑"/>
                <w:highlight w:val="none"/>
                <w:lang w:val="en-US" w:eastAsia="zh-CN"/>
              </w:rPr>
              <w:t>检测报告：</w:t>
            </w:r>
            <w:r>
              <w:rPr>
                <w:rFonts w:hint="eastAsia" w:ascii="微软雅黑" w:hAnsi="微软雅黑" w:eastAsia="微软雅黑" w:cs="微软雅黑"/>
                <w:highlight w:val="none"/>
              </w:rPr>
              <w:t>提供</w:t>
            </w:r>
            <w:r>
              <w:rPr>
                <w:rFonts w:hint="eastAsia" w:ascii="微软雅黑" w:hAnsi="微软雅黑" w:eastAsia="微软雅黑" w:cs="微软雅黑"/>
                <w:highlight w:val="none"/>
                <w:lang w:val="en-US" w:eastAsia="zh-CN"/>
              </w:rPr>
              <w:t>近一年</w:t>
            </w:r>
            <w:r>
              <w:rPr>
                <w:rFonts w:hint="eastAsia" w:ascii="微软雅黑" w:hAnsi="微软雅黑" w:eastAsia="微软雅黑" w:cs="微软雅黑"/>
                <w:highlight w:val="none"/>
              </w:rPr>
              <w:t>官方授权的第三方检测机构</w:t>
            </w:r>
            <w:r>
              <w:rPr>
                <w:rFonts w:hint="eastAsia" w:ascii="微软雅黑" w:hAnsi="微软雅黑" w:eastAsia="微软雅黑" w:cs="微软雅黑"/>
                <w:highlight w:val="none"/>
                <w:lang w:val="en-US" w:eastAsia="zh-CN"/>
              </w:rPr>
              <w:t>或国家权威机构</w:t>
            </w:r>
            <w:r>
              <w:rPr>
                <w:rFonts w:hint="eastAsia" w:ascii="微软雅黑" w:hAnsi="微软雅黑" w:eastAsia="微软雅黑" w:cs="微软雅黑"/>
                <w:highlight w:val="none"/>
              </w:rPr>
              <w:t>出具的所投产品的质量合格检测报告，得5分</w:t>
            </w:r>
            <w:r>
              <w:rPr>
                <w:rFonts w:hint="eastAsia" w:ascii="微软雅黑" w:hAnsi="微软雅黑" w:eastAsia="微软雅黑" w:cs="微软雅黑"/>
                <w:highlight w:val="none"/>
                <w:lang w:eastAsia="zh-CN"/>
              </w:rPr>
              <w:t>。</w:t>
            </w:r>
          </w:p>
        </w:tc>
        <w:tc>
          <w:tcPr>
            <w:tcW w:w="1309"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509"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p>
        </w:tc>
        <w:tc>
          <w:tcPr>
            <w:tcW w:w="855"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27</w:t>
            </w:r>
          </w:p>
        </w:tc>
        <w:tc>
          <w:tcPr>
            <w:tcW w:w="70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eastAsia="zh-CN"/>
              </w:rPr>
            </w:pPr>
            <w:r>
              <w:rPr>
                <w:rFonts w:hint="eastAsia" w:ascii="微软雅黑" w:hAnsi="微软雅黑" w:eastAsia="微软雅黑" w:cs="微软雅黑"/>
                <w:b/>
                <w:bCs/>
                <w:highlight w:val="none"/>
              </w:rPr>
              <w:t>履约能力及售后服务</w:t>
            </w:r>
            <w:r>
              <w:rPr>
                <w:rFonts w:hint="eastAsia" w:ascii="微软雅黑" w:hAnsi="微软雅黑" w:eastAsia="微软雅黑" w:cs="微软雅黑"/>
                <w:highlight w:val="none"/>
                <w:lang w:eastAsia="zh-CN"/>
              </w:rPr>
              <w:t>：①投标人针对本项目提供现场产品使用技术指导做出详细方案，方案完整，逻辑清晰，贴合采购需求，可行性高的得</w:t>
            </w:r>
            <w:r>
              <w:rPr>
                <w:rFonts w:hint="eastAsia" w:ascii="微软雅黑" w:hAnsi="微软雅黑" w:eastAsia="微软雅黑" w:cs="微软雅黑"/>
                <w:highlight w:val="none"/>
                <w:lang w:val="en-US" w:eastAsia="zh-CN"/>
              </w:rPr>
              <w:t>9</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7</w:t>
            </w:r>
            <w:r>
              <w:rPr>
                <w:rFonts w:hint="eastAsia" w:ascii="微软雅黑" w:hAnsi="微软雅黑" w:eastAsia="微软雅黑" w:cs="微软雅黑"/>
                <w:highlight w:val="none"/>
                <w:lang w:eastAsia="zh-CN"/>
              </w:rPr>
              <w:t>分；方案较为合理且可行性高的得</w:t>
            </w:r>
            <w:r>
              <w:rPr>
                <w:rFonts w:hint="eastAsia" w:ascii="微软雅黑" w:hAnsi="微软雅黑" w:eastAsia="微软雅黑" w:cs="微软雅黑"/>
                <w:highlight w:val="none"/>
                <w:lang w:val="en-US" w:eastAsia="zh-CN"/>
              </w:rPr>
              <w:t>6</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4</w:t>
            </w:r>
            <w:r>
              <w:rPr>
                <w:rFonts w:hint="eastAsia" w:ascii="微软雅黑" w:hAnsi="微软雅黑" w:eastAsia="微软雅黑" w:cs="微软雅黑"/>
                <w:highlight w:val="none"/>
                <w:lang w:eastAsia="zh-CN"/>
              </w:rPr>
              <w:t>分；方案不太合理，可行性不高的得</w:t>
            </w:r>
            <w:r>
              <w:rPr>
                <w:rFonts w:hint="eastAsia" w:ascii="微软雅黑" w:hAnsi="微软雅黑" w:eastAsia="微软雅黑" w:cs="微软雅黑"/>
                <w:highlight w:val="none"/>
                <w:lang w:val="en-US" w:eastAsia="zh-CN"/>
              </w:rPr>
              <w:t>3</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2</w:t>
            </w:r>
            <w:r>
              <w:rPr>
                <w:rFonts w:hint="eastAsia" w:ascii="微软雅黑" w:hAnsi="微软雅黑" w:eastAsia="微软雅黑" w:cs="微软雅黑"/>
                <w:highlight w:val="none"/>
                <w:lang w:eastAsia="zh-CN"/>
              </w:rPr>
              <w:t>分；方案结构混乱，不贴合本项目的采购需求得1分；未提供不得分。</w:t>
            </w:r>
          </w:p>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eastAsia="zh-CN"/>
              </w:rPr>
            </w:pPr>
            <w:r>
              <w:rPr>
                <w:rFonts w:hint="eastAsia" w:ascii="微软雅黑" w:hAnsi="微软雅黑" w:eastAsia="微软雅黑" w:cs="微软雅黑"/>
                <w:highlight w:val="none"/>
                <w:lang w:eastAsia="zh-CN"/>
              </w:rPr>
              <w:t>②投标人针对本项目提供技术人员，每提供一名得1分，共计4分（提供人员相关专业技术证件及劳务合同）</w:t>
            </w:r>
          </w:p>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eastAsia="zh-CN"/>
              </w:rPr>
            </w:pPr>
            <w:r>
              <w:rPr>
                <w:rFonts w:hint="eastAsia" w:ascii="微软雅黑" w:hAnsi="微软雅黑" w:eastAsia="微软雅黑" w:cs="微软雅黑"/>
                <w:highlight w:val="none"/>
                <w:lang w:eastAsia="zh-CN"/>
              </w:rPr>
              <w:t>③根据项目技术参数要求，在供货期内，若出现产品质量问题，投标人针对产品质量问题作出详细的应急方案，方案完整，逻辑清晰，贴合采购需求，可行性高的得</w:t>
            </w:r>
            <w:r>
              <w:rPr>
                <w:rFonts w:hint="eastAsia" w:ascii="微软雅黑" w:hAnsi="微软雅黑" w:eastAsia="微软雅黑" w:cs="微软雅黑"/>
                <w:highlight w:val="none"/>
                <w:lang w:val="en-US" w:eastAsia="zh-CN"/>
              </w:rPr>
              <w:t>7</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6</w:t>
            </w:r>
            <w:r>
              <w:rPr>
                <w:rFonts w:hint="eastAsia" w:ascii="微软雅黑" w:hAnsi="微软雅黑" w:eastAsia="微软雅黑" w:cs="微软雅黑"/>
                <w:highlight w:val="none"/>
                <w:lang w:eastAsia="zh-CN"/>
              </w:rPr>
              <w:t>分；方案较为合理且可行性高的得</w:t>
            </w:r>
            <w:r>
              <w:rPr>
                <w:rFonts w:hint="eastAsia" w:ascii="微软雅黑" w:hAnsi="微软雅黑" w:eastAsia="微软雅黑" w:cs="微软雅黑"/>
                <w:highlight w:val="none"/>
                <w:lang w:val="en-US" w:eastAsia="zh-CN"/>
              </w:rPr>
              <w:t>5</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4</w:t>
            </w:r>
            <w:r>
              <w:rPr>
                <w:rFonts w:hint="eastAsia" w:ascii="微软雅黑" w:hAnsi="微软雅黑" w:eastAsia="微软雅黑" w:cs="微软雅黑"/>
                <w:highlight w:val="none"/>
                <w:lang w:eastAsia="zh-CN"/>
              </w:rPr>
              <w:t>分；方案不太合理，可行性不高的得</w:t>
            </w:r>
            <w:r>
              <w:rPr>
                <w:rFonts w:hint="eastAsia" w:ascii="微软雅黑" w:hAnsi="微软雅黑" w:eastAsia="微软雅黑" w:cs="微软雅黑"/>
                <w:highlight w:val="none"/>
                <w:lang w:val="en-US" w:eastAsia="zh-CN"/>
              </w:rPr>
              <w:t>3</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2</w:t>
            </w:r>
            <w:r>
              <w:rPr>
                <w:rFonts w:hint="eastAsia" w:ascii="微软雅黑" w:hAnsi="微软雅黑" w:eastAsia="微软雅黑" w:cs="微软雅黑"/>
                <w:highlight w:val="none"/>
                <w:lang w:eastAsia="zh-CN"/>
              </w:rPr>
              <w:t>分；方案结构混乱，不贴合本项目的采购需求得1分；未提供不得分。</w:t>
            </w:r>
          </w:p>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eastAsia="zh-CN"/>
              </w:rPr>
            </w:pPr>
            <w:r>
              <w:rPr>
                <w:rFonts w:hint="eastAsia" w:ascii="微软雅黑" w:hAnsi="微软雅黑" w:eastAsia="微软雅黑" w:cs="微软雅黑"/>
                <w:highlight w:val="none"/>
                <w:lang w:val="en-US" w:eastAsia="zh-CN"/>
              </w:rPr>
              <w:t>④</w:t>
            </w:r>
            <w:r>
              <w:rPr>
                <w:rFonts w:hint="eastAsia" w:ascii="微软雅黑" w:hAnsi="微软雅黑" w:eastAsia="微软雅黑" w:cs="微软雅黑"/>
                <w:highlight w:val="none"/>
                <w:lang w:eastAsia="zh-CN"/>
              </w:rPr>
              <w:t>根据项目实际情况具有履约和服务能力，需有独立的仓储、物流能力、有良好的售后服务网点保障、固定的经营场所做出详细方案，方案完整，逻辑清晰，贴合采购需求，可行性高的得</w:t>
            </w:r>
            <w:r>
              <w:rPr>
                <w:rFonts w:hint="eastAsia" w:ascii="微软雅黑" w:hAnsi="微软雅黑" w:eastAsia="微软雅黑" w:cs="微软雅黑"/>
                <w:highlight w:val="none"/>
                <w:lang w:val="en-US" w:eastAsia="zh-CN"/>
              </w:rPr>
              <w:t>7</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6</w:t>
            </w:r>
            <w:r>
              <w:rPr>
                <w:rFonts w:hint="eastAsia" w:ascii="微软雅黑" w:hAnsi="微软雅黑" w:eastAsia="微软雅黑" w:cs="微软雅黑"/>
                <w:highlight w:val="none"/>
                <w:lang w:eastAsia="zh-CN"/>
              </w:rPr>
              <w:t>分；方案较为合理且可行性高的得</w:t>
            </w:r>
            <w:r>
              <w:rPr>
                <w:rFonts w:hint="eastAsia" w:ascii="微软雅黑" w:hAnsi="微软雅黑" w:eastAsia="微软雅黑" w:cs="微软雅黑"/>
                <w:highlight w:val="none"/>
                <w:lang w:val="en-US" w:eastAsia="zh-CN"/>
              </w:rPr>
              <w:t>5</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4</w:t>
            </w:r>
            <w:r>
              <w:rPr>
                <w:rFonts w:hint="eastAsia" w:ascii="微软雅黑" w:hAnsi="微软雅黑" w:eastAsia="微软雅黑" w:cs="微软雅黑"/>
                <w:highlight w:val="none"/>
                <w:lang w:eastAsia="zh-CN"/>
              </w:rPr>
              <w:t>分；方案不太合理，可行性不高的得</w:t>
            </w:r>
            <w:r>
              <w:rPr>
                <w:rFonts w:hint="eastAsia" w:ascii="微软雅黑" w:hAnsi="微软雅黑" w:eastAsia="微软雅黑" w:cs="微软雅黑"/>
                <w:highlight w:val="none"/>
                <w:lang w:val="en-US" w:eastAsia="zh-CN"/>
              </w:rPr>
              <w:t>3</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2</w:t>
            </w:r>
            <w:r>
              <w:rPr>
                <w:rFonts w:hint="eastAsia" w:ascii="微软雅黑" w:hAnsi="微软雅黑" w:eastAsia="微软雅黑" w:cs="微软雅黑"/>
                <w:highlight w:val="none"/>
                <w:lang w:eastAsia="zh-CN"/>
              </w:rPr>
              <w:t>分；方案结构混乱，不贴合本项目的采购需求得1分；未提供不得分。（</w:t>
            </w:r>
            <w:r>
              <w:rPr>
                <w:rFonts w:hint="eastAsia" w:ascii="微软雅黑" w:hAnsi="微软雅黑" w:eastAsia="微软雅黑" w:cs="微软雅黑"/>
                <w:highlight w:val="none"/>
                <w:lang w:val="en-US" w:eastAsia="zh-CN"/>
              </w:rPr>
              <w:t>注：</w:t>
            </w:r>
            <w:r>
              <w:rPr>
                <w:rFonts w:hint="eastAsia" w:ascii="微软雅黑" w:hAnsi="微软雅黑" w:eastAsia="微软雅黑" w:cs="微软雅黑"/>
                <w:highlight w:val="none"/>
                <w:lang w:eastAsia="zh-CN"/>
              </w:rPr>
              <w:t>需提供场地产权证明或租赁合同）</w:t>
            </w:r>
          </w:p>
        </w:tc>
        <w:tc>
          <w:tcPr>
            <w:tcW w:w="1309"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509"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p>
        </w:tc>
        <w:tc>
          <w:tcPr>
            <w:tcW w:w="855"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c>
          <w:tcPr>
            <w:tcW w:w="61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10</w:t>
            </w:r>
          </w:p>
        </w:tc>
        <w:tc>
          <w:tcPr>
            <w:tcW w:w="7055" w:type="dxa"/>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lang w:val="en-US" w:eastAsia="zh-CN"/>
              </w:rPr>
            </w:pPr>
            <w:r>
              <w:rPr>
                <w:rFonts w:hint="eastAsia" w:ascii="微软雅黑" w:hAnsi="微软雅黑" w:eastAsia="微软雅黑" w:cs="微软雅黑"/>
                <w:b/>
                <w:bCs/>
                <w:highlight w:val="none"/>
                <w:lang w:val="en-US" w:eastAsia="zh-CN"/>
              </w:rPr>
              <w:t>项目实施方案主要包括以下内容</w:t>
            </w:r>
            <w:r>
              <w:rPr>
                <w:rFonts w:hint="eastAsia" w:ascii="微软雅黑" w:hAnsi="微软雅黑" w:eastAsia="微软雅黑" w:cs="微软雅黑"/>
                <w:highlight w:val="none"/>
                <w:lang w:val="en-US" w:eastAsia="zh-CN"/>
              </w:rPr>
              <w:t>：①详细实施计划、②人员组织保障、③车辆配送方案、④配送方式、⑤项目人员安排、退货、换货流程及质量管控措施、⑥进度保障措施等作出详细方案，有利于项目实施，符合项目实际情况，进行最优评比，</w:t>
            </w:r>
            <w:r>
              <w:rPr>
                <w:rFonts w:hint="eastAsia" w:ascii="微软雅黑" w:hAnsi="微软雅黑" w:eastAsia="微软雅黑" w:cs="微软雅黑"/>
                <w:highlight w:val="none"/>
                <w:lang w:eastAsia="zh-CN"/>
              </w:rPr>
              <w:t>方案完整，逻辑清晰，贴合采购需求，可行性高的得</w:t>
            </w:r>
            <w:r>
              <w:rPr>
                <w:rFonts w:hint="eastAsia" w:ascii="微软雅黑" w:hAnsi="微软雅黑" w:eastAsia="微软雅黑" w:cs="微软雅黑"/>
                <w:highlight w:val="none"/>
                <w:lang w:val="en-US" w:eastAsia="zh-CN"/>
              </w:rPr>
              <w:t>10</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8</w:t>
            </w:r>
            <w:r>
              <w:rPr>
                <w:rFonts w:hint="eastAsia" w:ascii="微软雅黑" w:hAnsi="微软雅黑" w:eastAsia="微软雅黑" w:cs="微软雅黑"/>
                <w:highlight w:val="none"/>
                <w:lang w:eastAsia="zh-CN"/>
              </w:rPr>
              <w:t>分；方案较为合理且可行性高的得</w:t>
            </w:r>
            <w:r>
              <w:rPr>
                <w:rFonts w:hint="eastAsia" w:ascii="微软雅黑" w:hAnsi="微软雅黑" w:eastAsia="微软雅黑" w:cs="微软雅黑"/>
                <w:highlight w:val="none"/>
                <w:lang w:val="en-US" w:eastAsia="zh-CN"/>
              </w:rPr>
              <w:t>7</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5</w:t>
            </w:r>
            <w:r>
              <w:rPr>
                <w:rFonts w:hint="eastAsia" w:ascii="微软雅黑" w:hAnsi="微软雅黑" w:eastAsia="微软雅黑" w:cs="微软雅黑"/>
                <w:highlight w:val="none"/>
                <w:lang w:eastAsia="zh-CN"/>
              </w:rPr>
              <w:t>分；方案不太合理，可行性不高的得</w:t>
            </w:r>
            <w:r>
              <w:rPr>
                <w:rFonts w:hint="eastAsia" w:ascii="微软雅黑" w:hAnsi="微软雅黑" w:eastAsia="微软雅黑" w:cs="微软雅黑"/>
                <w:highlight w:val="none"/>
                <w:lang w:val="en-US" w:eastAsia="zh-CN"/>
              </w:rPr>
              <w:t>4</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2</w:t>
            </w:r>
            <w:r>
              <w:rPr>
                <w:rFonts w:hint="eastAsia" w:ascii="微软雅黑" w:hAnsi="微软雅黑" w:eastAsia="微软雅黑" w:cs="微软雅黑"/>
                <w:highlight w:val="none"/>
                <w:lang w:eastAsia="zh-CN"/>
              </w:rPr>
              <w:t>分；方案结构混乱，不贴合本项目的采购需求得1分；未提供不得分。</w:t>
            </w:r>
          </w:p>
        </w:tc>
        <w:tc>
          <w:tcPr>
            <w:tcW w:w="1309" w:type="dxa"/>
            <w:vMerge w:val="continue"/>
            <w:vAlign w:val="center"/>
          </w:tcPr>
          <w:p>
            <w:pPr>
              <w:keepNext w:val="0"/>
              <w:keepLines w:val="0"/>
              <w:suppressLineNumbers w:val="0"/>
              <w:bidi w:val="0"/>
              <w:spacing w:before="0" w:beforeAutospacing="0" w:after="0" w:afterAutospacing="0"/>
              <w:ind w:left="0" w:right="0"/>
              <w:rPr>
                <w:rFonts w:hint="eastAsia" w:ascii="微软雅黑" w:hAnsi="微软雅黑" w:eastAsia="微软雅黑" w:cs="微软雅黑"/>
                <w:highlight w:val="none"/>
              </w:rPr>
            </w:pPr>
          </w:p>
        </w:tc>
      </w:tr>
    </w:tbl>
    <w:p>
      <w:pPr>
        <w:pStyle w:val="19"/>
        <w:rPr>
          <w:rFonts w:ascii="微软雅黑" w:hAnsi="微软雅黑" w:eastAsia="微软雅黑" w:cs="微软雅黑"/>
          <w:sz w:val="24"/>
          <w:highlight w:val="none"/>
        </w:rPr>
      </w:pPr>
    </w:p>
    <w:p>
      <w:pPr>
        <w:pStyle w:val="19"/>
        <w:rPr>
          <w:rFonts w:ascii="微软雅黑" w:hAnsi="微软雅黑" w:eastAsia="微软雅黑" w:cs="微软雅黑"/>
          <w:sz w:val="24"/>
          <w:highlight w:val="none"/>
        </w:rPr>
      </w:pPr>
    </w:p>
    <w:p>
      <w:pPr>
        <w:spacing w:line="300" w:lineRule="auto"/>
        <w:jc w:val="center"/>
        <w:outlineLvl w:val="9"/>
        <w:rPr>
          <w:rFonts w:hint="eastAsia" w:ascii="微软雅黑" w:hAnsi="微软雅黑" w:eastAsia="微软雅黑" w:cs="微软雅黑"/>
          <w:b/>
          <w:color w:val="auto"/>
          <w:sz w:val="32"/>
          <w:highlight w:val="none"/>
        </w:rPr>
      </w:pPr>
    </w:p>
    <w:p>
      <w:pPr>
        <w:pStyle w:val="5"/>
        <w:ind w:left="0" w:leftChars="0" w:firstLine="0" w:firstLineChars="0"/>
        <w:rPr>
          <w:rFonts w:hint="eastAsia" w:ascii="微软雅黑" w:hAnsi="微软雅黑" w:eastAsia="微软雅黑" w:cs="微软雅黑"/>
          <w:highlight w:val="none"/>
        </w:rPr>
      </w:pPr>
    </w:p>
    <w:p>
      <w:pPr>
        <w:pStyle w:val="5"/>
        <w:ind w:left="0" w:leftChars="0" w:firstLine="0" w:firstLineChars="0"/>
        <w:rPr>
          <w:rFonts w:hint="eastAsia" w:ascii="微软雅黑" w:hAnsi="微软雅黑" w:eastAsia="微软雅黑" w:cs="微软雅黑"/>
          <w:highlight w:val="none"/>
        </w:rPr>
      </w:pPr>
    </w:p>
    <w:p>
      <w:pPr>
        <w:rPr>
          <w:rFonts w:hint="eastAsia" w:ascii="微软雅黑" w:hAnsi="微软雅黑" w:eastAsia="微软雅黑" w:cs="微软雅黑"/>
          <w:highlight w:val="none"/>
        </w:rPr>
      </w:pPr>
    </w:p>
    <w:p>
      <w:pPr>
        <w:pStyle w:val="4"/>
        <w:rPr>
          <w:rFonts w:hint="eastAsia"/>
          <w:highlight w:val="none"/>
        </w:rPr>
      </w:pPr>
    </w:p>
    <w:p>
      <w:pPr>
        <w:pStyle w:val="4"/>
        <w:rPr>
          <w:rFonts w:hint="eastAsia" w:ascii="微软雅黑" w:hAnsi="微软雅黑" w:eastAsia="微软雅黑" w:cs="微软雅黑"/>
          <w:highlight w:val="none"/>
        </w:rPr>
      </w:pPr>
    </w:p>
    <w:p>
      <w:pPr>
        <w:pStyle w:val="5"/>
        <w:rPr>
          <w:rFonts w:hint="eastAsia"/>
          <w:highlight w:val="none"/>
        </w:rPr>
      </w:pPr>
    </w:p>
    <w:p>
      <w:pPr>
        <w:pStyle w:val="4"/>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4"/>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rPr>
          <w:rFonts w:hint="eastAsia" w:ascii="微软雅黑" w:hAnsi="微软雅黑" w:eastAsia="微软雅黑" w:cs="微软雅黑"/>
          <w:highlight w:val="none"/>
        </w:rPr>
      </w:pPr>
    </w:p>
    <w:p>
      <w:pPr>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4"/>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rPr>
          <w:rFonts w:hint="eastAsia" w:ascii="微软雅黑" w:hAnsi="微软雅黑" w:eastAsia="微软雅黑" w:cs="微软雅黑"/>
          <w:highlight w:val="none"/>
        </w:rPr>
      </w:pPr>
    </w:p>
    <w:p>
      <w:pPr>
        <w:pStyle w:val="4"/>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rPr>
          <w:rFonts w:hint="eastAsia" w:ascii="微软雅黑" w:hAnsi="微软雅黑" w:eastAsia="微软雅黑" w:cs="微软雅黑"/>
          <w:highlight w:val="none"/>
        </w:rPr>
      </w:pPr>
    </w:p>
    <w:p>
      <w:pPr>
        <w:pStyle w:val="4"/>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rPr>
          <w:rFonts w:hint="eastAsia" w:ascii="微软雅黑" w:hAnsi="微软雅黑" w:eastAsia="微软雅黑" w:cs="微软雅黑"/>
          <w:highlight w:val="none"/>
        </w:rPr>
      </w:pPr>
    </w:p>
    <w:p>
      <w:pPr>
        <w:pStyle w:val="4"/>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rPr>
          <w:rFonts w:hint="eastAsia"/>
          <w:highlight w:val="none"/>
        </w:rPr>
      </w:pPr>
    </w:p>
    <w:p>
      <w:pPr>
        <w:pStyle w:val="5"/>
        <w:rPr>
          <w:rFonts w:hint="eastAsia"/>
          <w:highlight w:val="none"/>
        </w:rPr>
      </w:pPr>
    </w:p>
    <w:p>
      <w:pPr>
        <w:rPr>
          <w:rFonts w:hint="eastAsia" w:ascii="微软雅黑" w:hAnsi="微软雅黑" w:eastAsia="微软雅黑" w:cs="微软雅黑"/>
          <w:highlight w:val="none"/>
        </w:rPr>
      </w:pPr>
    </w:p>
    <w:p>
      <w:pPr>
        <w:pStyle w:val="2"/>
        <w:rPr>
          <w:rFonts w:hint="eastAsia"/>
          <w:highlight w:val="none"/>
        </w:rPr>
      </w:pPr>
    </w:p>
    <w:p>
      <w:pPr>
        <w:spacing w:line="240" w:lineRule="atLeast"/>
        <w:jc w:val="center"/>
        <w:rPr>
          <w:rFonts w:hint="eastAsia" w:ascii="微软雅黑" w:hAnsi="微软雅黑" w:eastAsia="微软雅黑" w:cs="微软雅黑"/>
          <w:b/>
          <w:color w:val="auto"/>
          <w:sz w:val="44"/>
          <w:szCs w:val="44"/>
          <w:highlight w:val="none"/>
        </w:rPr>
      </w:pPr>
      <w:r>
        <w:rPr>
          <w:rFonts w:hint="eastAsia" w:ascii="微软雅黑" w:hAnsi="微软雅黑" w:eastAsia="微软雅黑" w:cs="微软雅黑"/>
          <w:b/>
          <w:color w:val="auto"/>
          <w:sz w:val="44"/>
          <w:szCs w:val="44"/>
          <w:highlight w:val="none"/>
        </w:rPr>
        <w:t>招 标 文 件</w:t>
      </w:r>
    </w:p>
    <w:p>
      <w:pPr>
        <w:spacing w:line="240" w:lineRule="atLeast"/>
        <w:jc w:val="center"/>
        <w:rPr>
          <w:rFonts w:hint="eastAsia" w:ascii="微软雅黑" w:hAnsi="微软雅黑" w:eastAsia="微软雅黑" w:cs="微软雅黑"/>
          <w:b/>
          <w:color w:val="auto"/>
          <w:sz w:val="40"/>
          <w:szCs w:val="40"/>
          <w:highlight w:val="none"/>
        </w:rPr>
      </w:pPr>
    </w:p>
    <w:p>
      <w:pPr>
        <w:spacing w:line="240" w:lineRule="atLeast"/>
        <w:jc w:val="center"/>
        <w:rPr>
          <w:rFonts w:hint="eastAsia" w:ascii="微软雅黑" w:hAnsi="微软雅黑" w:eastAsia="微软雅黑" w:cs="微软雅黑"/>
          <w:b/>
          <w:color w:val="auto"/>
          <w:sz w:val="40"/>
          <w:szCs w:val="40"/>
          <w:highlight w:val="none"/>
          <w:lang w:val="en-US" w:eastAsia="zh-CN"/>
        </w:rPr>
      </w:pPr>
      <w:r>
        <w:rPr>
          <w:rFonts w:hint="eastAsia" w:ascii="微软雅黑" w:hAnsi="微软雅黑" w:eastAsia="微软雅黑" w:cs="微软雅黑"/>
          <w:b/>
          <w:color w:val="auto"/>
          <w:sz w:val="40"/>
          <w:szCs w:val="40"/>
          <w:highlight w:val="none"/>
          <w:lang w:eastAsia="zh-CN"/>
        </w:rPr>
        <w:t>项目编号：23GJ-(GK)014</w:t>
      </w:r>
    </w:p>
    <w:p>
      <w:pPr>
        <w:pStyle w:val="2"/>
        <w:ind w:firstLine="480"/>
        <w:rPr>
          <w:rFonts w:hint="eastAsia" w:ascii="微软雅黑" w:hAnsi="微软雅黑" w:eastAsia="微软雅黑" w:cs="微软雅黑"/>
          <w:color w:val="auto"/>
          <w:highlight w:val="none"/>
        </w:rPr>
      </w:pPr>
    </w:p>
    <w:p>
      <w:pPr>
        <w:spacing w:line="240" w:lineRule="atLeast"/>
        <w:jc w:val="center"/>
        <w:rPr>
          <w:rFonts w:hint="eastAsia" w:ascii="微软雅黑" w:hAnsi="微软雅黑" w:eastAsia="微软雅黑" w:cs="微软雅黑"/>
          <w:b/>
          <w:color w:val="auto"/>
          <w:sz w:val="40"/>
          <w:szCs w:val="40"/>
          <w:highlight w:val="none"/>
        </w:rPr>
      </w:pPr>
      <w:r>
        <w:rPr>
          <w:rFonts w:hint="eastAsia" w:ascii="微软雅黑" w:hAnsi="微软雅黑" w:eastAsia="微软雅黑" w:cs="微软雅黑"/>
          <w:b/>
          <w:color w:val="auto"/>
          <w:sz w:val="40"/>
          <w:szCs w:val="40"/>
          <w:highlight w:val="none"/>
        </w:rPr>
        <w:t>第 三 册</w:t>
      </w:r>
    </w:p>
    <w:p>
      <w:pPr>
        <w:spacing w:line="240" w:lineRule="atLeast"/>
        <w:jc w:val="center"/>
        <w:rPr>
          <w:rFonts w:hint="eastAsia" w:ascii="微软雅黑" w:hAnsi="微软雅黑" w:eastAsia="微软雅黑" w:cs="微软雅黑"/>
          <w:b/>
          <w:color w:val="auto"/>
          <w:sz w:val="32"/>
          <w:highlight w:val="none"/>
        </w:rPr>
      </w:pPr>
    </w:p>
    <w:p>
      <w:pPr>
        <w:pStyle w:val="4"/>
        <w:rPr>
          <w:rFonts w:hint="eastAsia" w:ascii="微软雅黑" w:hAnsi="微软雅黑" w:eastAsia="微软雅黑" w:cs="微软雅黑"/>
          <w:b/>
          <w:color w:val="auto"/>
          <w:sz w:val="32"/>
          <w:highlight w:val="none"/>
        </w:rPr>
      </w:pPr>
    </w:p>
    <w:p>
      <w:pPr>
        <w:pStyle w:val="5"/>
        <w:rPr>
          <w:rFonts w:hint="eastAsia" w:ascii="微软雅黑" w:hAnsi="微软雅黑" w:eastAsia="微软雅黑" w:cs="微软雅黑"/>
          <w:b/>
          <w:color w:val="auto"/>
          <w:sz w:val="32"/>
          <w:highlight w:val="none"/>
        </w:rPr>
      </w:pPr>
    </w:p>
    <w:p>
      <w:pPr>
        <w:rPr>
          <w:rFonts w:hint="eastAsia" w:ascii="微软雅黑" w:hAnsi="微软雅黑" w:eastAsia="微软雅黑" w:cs="微软雅黑"/>
          <w:b/>
          <w:color w:val="auto"/>
          <w:sz w:val="32"/>
          <w:highlight w:val="none"/>
        </w:rPr>
      </w:pPr>
    </w:p>
    <w:p>
      <w:pPr>
        <w:pStyle w:val="4"/>
        <w:rPr>
          <w:rFonts w:hint="eastAsia" w:ascii="微软雅黑" w:hAnsi="微软雅黑" w:eastAsia="微软雅黑" w:cs="微软雅黑"/>
          <w:b/>
          <w:color w:val="auto"/>
          <w:sz w:val="32"/>
          <w:highlight w:val="none"/>
        </w:rPr>
      </w:pPr>
    </w:p>
    <w:p>
      <w:pPr>
        <w:pStyle w:val="5"/>
        <w:rPr>
          <w:rFonts w:hint="eastAsia" w:ascii="微软雅黑" w:hAnsi="微软雅黑" w:eastAsia="微软雅黑" w:cs="微软雅黑"/>
          <w:b/>
          <w:color w:val="auto"/>
          <w:sz w:val="32"/>
          <w:highlight w:val="none"/>
        </w:rPr>
      </w:pPr>
    </w:p>
    <w:p>
      <w:pPr>
        <w:rPr>
          <w:rFonts w:hint="eastAsia"/>
          <w:highlight w:val="none"/>
        </w:rPr>
      </w:pPr>
    </w:p>
    <w:p>
      <w:pPr>
        <w:pStyle w:val="4"/>
        <w:rPr>
          <w:rFonts w:hint="eastAsia"/>
          <w:highlight w:val="none"/>
        </w:rPr>
      </w:pPr>
    </w:p>
    <w:p>
      <w:pPr>
        <w:pStyle w:val="5"/>
        <w:rPr>
          <w:rFonts w:hint="eastAsia"/>
          <w:highlight w:val="none"/>
        </w:rPr>
      </w:pPr>
    </w:p>
    <w:p>
      <w:pPr>
        <w:rPr>
          <w:rFonts w:hint="eastAsia"/>
          <w:highlight w:val="none"/>
        </w:rPr>
      </w:pPr>
    </w:p>
    <w:p>
      <w:pPr>
        <w:pStyle w:val="4"/>
        <w:rPr>
          <w:rFonts w:hint="eastAsia"/>
          <w:highlight w:val="none"/>
        </w:rPr>
      </w:pPr>
    </w:p>
    <w:p>
      <w:pPr>
        <w:pStyle w:val="5"/>
        <w:rPr>
          <w:rFonts w:hint="eastAsia"/>
          <w:highlight w:val="none"/>
        </w:rPr>
      </w:pPr>
    </w:p>
    <w:p>
      <w:pPr>
        <w:rPr>
          <w:rFonts w:hint="eastAsia"/>
          <w:highlight w:val="none"/>
        </w:rPr>
      </w:pPr>
    </w:p>
    <w:p>
      <w:pPr>
        <w:spacing w:line="240" w:lineRule="atLeast"/>
        <w:ind w:left="1080" w:leftChars="257" w:hanging="540"/>
        <w:jc w:val="center"/>
        <w:rPr>
          <w:rFonts w:hint="eastAsia" w:ascii="微软雅黑" w:hAnsi="微软雅黑" w:eastAsia="微软雅黑" w:cs="微软雅黑"/>
          <w:b/>
          <w:color w:val="auto"/>
          <w:sz w:val="52"/>
          <w:highlight w:val="none"/>
        </w:rPr>
      </w:pPr>
    </w:p>
    <w:bookmarkEnd w:id="1377"/>
    <w:p>
      <w:pPr>
        <w:pStyle w:val="6"/>
        <w:shd w:val="clear"/>
        <w:tabs>
          <w:tab w:val="left" w:pos="0"/>
        </w:tabs>
        <w:spacing w:before="0" w:after="0" w:line="240" w:lineRule="atLeast"/>
        <w:ind w:left="-15"/>
        <w:outlineLvl w:val="0"/>
        <w:rPr>
          <w:rFonts w:hint="eastAsia" w:ascii="微软雅黑" w:hAnsi="微软雅黑" w:eastAsia="微软雅黑" w:cs="微软雅黑"/>
          <w:color w:val="auto"/>
          <w:sz w:val="32"/>
          <w:szCs w:val="32"/>
          <w:highlight w:val="none"/>
        </w:rPr>
      </w:pPr>
      <w:bookmarkStart w:id="1378" w:name="_Toc30353"/>
      <w:bookmarkStart w:id="1379" w:name="_Toc11323"/>
      <w:bookmarkStart w:id="1380" w:name="_Toc21195"/>
      <w:r>
        <w:rPr>
          <w:rFonts w:hint="eastAsia" w:ascii="微软雅黑" w:hAnsi="微软雅黑" w:eastAsia="微软雅黑" w:cs="微软雅黑"/>
          <w:b/>
          <w:bCs/>
          <w:color w:val="auto"/>
          <w:sz w:val="32"/>
          <w:szCs w:val="32"/>
          <w:highlight w:val="none"/>
        </w:rPr>
        <w:t>第7章 政府采购合同</w:t>
      </w:r>
      <w:bookmarkEnd w:id="1378"/>
      <w:bookmarkEnd w:id="1379"/>
      <w:bookmarkEnd w:id="1380"/>
      <w:bookmarkStart w:id="1381" w:name="_Hlt487972895"/>
      <w:bookmarkEnd w:id="1381"/>
      <w:bookmarkStart w:id="1382" w:name="_Toc487900382"/>
      <w:bookmarkEnd w:id="1382"/>
      <w:bookmarkStart w:id="1383" w:name="_Toc216513788"/>
      <w:bookmarkEnd w:id="1383"/>
    </w:p>
    <w:p>
      <w:pPr>
        <w:shd w:val="clea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合同编号：           </w:t>
      </w:r>
    </w:p>
    <w:p>
      <w:pPr>
        <w:shd w:val="clear"/>
        <w:rPr>
          <w:rFonts w:hint="eastAsia" w:ascii="微软雅黑" w:hAnsi="微软雅黑" w:eastAsia="微软雅黑" w:cs="微软雅黑"/>
          <w:color w:val="auto"/>
          <w:szCs w:val="21"/>
          <w:highlight w:val="none"/>
        </w:rPr>
      </w:pPr>
    </w:p>
    <w:p>
      <w:pPr>
        <w:shd w:val="clear"/>
        <w:spacing w:line="500" w:lineRule="exact"/>
        <w:jc w:val="center"/>
        <w:rPr>
          <w:rFonts w:hint="eastAsia"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政府采购合同参考范本</w:t>
      </w:r>
    </w:p>
    <w:p>
      <w:pPr>
        <w:shd w:val="clear"/>
        <w:spacing w:line="500" w:lineRule="exact"/>
        <w:jc w:val="center"/>
        <w:rPr>
          <w:rFonts w:hint="eastAsia"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（货物类）</w:t>
      </w:r>
    </w:p>
    <w:p>
      <w:pPr>
        <w:shd w:val="clear"/>
        <w:rPr>
          <w:rFonts w:hint="eastAsia" w:ascii="微软雅黑" w:hAnsi="微软雅黑" w:eastAsia="微软雅黑" w:cs="微软雅黑"/>
          <w:color w:val="auto"/>
          <w:szCs w:val="21"/>
          <w:highlight w:val="none"/>
        </w:rPr>
      </w:pPr>
    </w:p>
    <w:p>
      <w:pPr>
        <w:shd w:val="clear"/>
        <w:rPr>
          <w:rFonts w:hint="eastAsia" w:ascii="微软雅黑" w:hAnsi="微软雅黑" w:eastAsia="微软雅黑" w:cs="微软雅黑"/>
          <w:color w:val="auto"/>
          <w:szCs w:val="21"/>
          <w:highlight w:val="none"/>
        </w:rPr>
      </w:pPr>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第一部分 合同书</w:t>
      </w:r>
    </w:p>
    <w:p>
      <w:pPr>
        <w:shd w:val="clear"/>
        <w:rPr>
          <w:rFonts w:hint="eastAsia" w:ascii="微软雅黑" w:hAnsi="微软雅黑" w:eastAsia="微软雅黑" w:cs="微软雅黑"/>
          <w:color w:val="auto"/>
          <w:szCs w:val="21"/>
          <w:highlight w:val="none"/>
        </w:rPr>
      </w:pPr>
    </w:p>
    <w:p>
      <w:pPr>
        <w:shd w:val="clear"/>
        <w:spacing w:before="120" w:line="360" w:lineRule="exact"/>
        <w:ind w:left="96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项目名称：</w:t>
      </w:r>
      <w:r>
        <w:rPr>
          <w:rFonts w:hint="eastAsia" w:ascii="微软雅黑" w:hAnsi="微软雅黑" w:eastAsia="微软雅黑" w:cs="微软雅黑"/>
          <w:color w:val="auto"/>
          <w:szCs w:val="21"/>
          <w:highlight w:val="none"/>
          <w:u w:val="single"/>
        </w:rPr>
        <w:t xml:space="preserve">                                   </w:t>
      </w:r>
    </w:p>
    <w:p>
      <w:pPr>
        <w:pStyle w:val="58"/>
        <w:shd w:val="clear"/>
        <w:spacing w:before="120" w:line="360" w:lineRule="exact"/>
        <w:rPr>
          <w:rFonts w:hint="eastAsia" w:ascii="微软雅黑" w:hAnsi="微软雅黑" w:eastAsia="微软雅黑" w:cs="微软雅黑"/>
          <w:color w:val="auto"/>
          <w:sz w:val="21"/>
          <w:szCs w:val="21"/>
          <w:highlight w:val="none"/>
        </w:rPr>
      </w:pPr>
    </w:p>
    <w:p>
      <w:pPr>
        <w:pStyle w:val="58"/>
        <w:shd w:val="clear"/>
        <w:spacing w:before="120" w:line="360" w:lineRule="exact"/>
        <w:rPr>
          <w:rFonts w:hint="eastAsia" w:ascii="微软雅黑" w:hAnsi="微软雅黑" w:eastAsia="微软雅黑" w:cs="微软雅黑"/>
          <w:color w:val="auto"/>
          <w:sz w:val="21"/>
          <w:szCs w:val="21"/>
          <w:highlight w:val="none"/>
        </w:rPr>
      </w:pPr>
    </w:p>
    <w:p>
      <w:pPr>
        <w:shd w:val="clear"/>
        <w:spacing w:line="360" w:lineRule="exact"/>
        <w:rPr>
          <w:rFonts w:hint="eastAsia" w:ascii="微软雅黑" w:hAnsi="微软雅黑" w:eastAsia="微软雅黑" w:cs="微软雅黑"/>
          <w:color w:val="auto"/>
          <w:szCs w:val="21"/>
          <w:highlight w:val="none"/>
        </w:rPr>
      </w:pPr>
    </w:p>
    <w:p>
      <w:pPr>
        <w:shd w:val="clear"/>
        <w:spacing w:before="120" w:line="360" w:lineRule="exact"/>
        <w:ind w:left="96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甲方：</w:t>
      </w:r>
      <w:r>
        <w:rPr>
          <w:rFonts w:hint="eastAsia" w:ascii="微软雅黑" w:hAnsi="微软雅黑" w:eastAsia="微软雅黑" w:cs="微软雅黑"/>
          <w:color w:val="auto"/>
          <w:szCs w:val="21"/>
          <w:highlight w:val="none"/>
          <w:u w:val="single"/>
        </w:rPr>
        <w:t xml:space="preserve">                                       </w:t>
      </w:r>
    </w:p>
    <w:p>
      <w:pPr>
        <w:shd w:val="clear"/>
        <w:spacing w:before="120" w:line="360" w:lineRule="exact"/>
        <w:rPr>
          <w:rFonts w:hint="eastAsia" w:ascii="微软雅黑" w:hAnsi="微软雅黑" w:eastAsia="微软雅黑" w:cs="微软雅黑"/>
          <w:color w:val="auto"/>
          <w:szCs w:val="21"/>
          <w:highlight w:val="none"/>
        </w:rPr>
      </w:pPr>
    </w:p>
    <w:p>
      <w:pPr>
        <w:shd w:val="clear"/>
        <w:spacing w:before="120" w:line="360" w:lineRule="exact"/>
        <w:ind w:left="96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乙方：</w:t>
      </w:r>
      <w:r>
        <w:rPr>
          <w:rFonts w:hint="eastAsia" w:ascii="微软雅黑" w:hAnsi="微软雅黑" w:eastAsia="微软雅黑" w:cs="微软雅黑"/>
          <w:color w:val="auto"/>
          <w:szCs w:val="21"/>
          <w:highlight w:val="none"/>
          <w:u w:val="single"/>
        </w:rPr>
        <w:t xml:space="preserve">                                       </w:t>
      </w:r>
    </w:p>
    <w:p>
      <w:pPr>
        <w:shd w:val="clear"/>
        <w:spacing w:before="120" w:line="360" w:lineRule="exact"/>
        <w:rPr>
          <w:rFonts w:hint="eastAsia" w:ascii="微软雅黑" w:hAnsi="微软雅黑" w:eastAsia="微软雅黑" w:cs="微软雅黑"/>
          <w:color w:val="auto"/>
          <w:szCs w:val="21"/>
          <w:highlight w:val="none"/>
        </w:rPr>
      </w:pPr>
    </w:p>
    <w:p>
      <w:pPr>
        <w:shd w:val="clear"/>
        <w:spacing w:before="120" w:line="360" w:lineRule="exact"/>
        <w:ind w:firstLine="840" w:firstLineChars="40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签订地：</w:t>
      </w:r>
      <w:r>
        <w:rPr>
          <w:rFonts w:hint="eastAsia" w:ascii="微软雅黑" w:hAnsi="微软雅黑" w:eastAsia="微软雅黑" w:cs="微软雅黑"/>
          <w:color w:val="auto"/>
          <w:szCs w:val="21"/>
          <w:highlight w:val="none"/>
          <w:u w:val="single"/>
        </w:rPr>
        <w:t xml:space="preserve">                                     </w:t>
      </w:r>
    </w:p>
    <w:p>
      <w:pPr>
        <w:shd w:val="clear"/>
        <w:spacing w:before="120" w:line="360" w:lineRule="exact"/>
        <w:rPr>
          <w:rFonts w:hint="eastAsia" w:ascii="微软雅黑" w:hAnsi="微软雅黑" w:eastAsia="微软雅黑" w:cs="微软雅黑"/>
          <w:color w:val="auto"/>
          <w:szCs w:val="21"/>
          <w:highlight w:val="none"/>
        </w:rPr>
      </w:pPr>
    </w:p>
    <w:p>
      <w:pPr>
        <w:shd w:val="clear"/>
        <w:spacing w:before="120" w:line="360" w:lineRule="exact"/>
        <w:ind w:firstLine="840" w:firstLineChars="40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签订日期：</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年</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月</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日</w:t>
      </w:r>
    </w:p>
    <w:p>
      <w:pPr>
        <w:shd w:val="clear"/>
        <w:autoSpaceDE w:val="0"/>
        <w:autoSpaceDN w:val="0"/>
        <w:adjustRightInd w:val="0"/>
        <w:spacing w:line="360" w:lineRule="exact"/>
        <w:ind w:firstLine="640"/>
        <w:jc w:val="center"/>
        <w:rPr>
          <w:rFonts w:hint="eastAsia" w:ascii="微软雅黑" w:hAnsi="微软雅黑" w:eastAsia="微软雅黑" w:cs="微软雅黑"/>
          <w:color w:val="auto"/>
          <w:szCs w:val="21"/>
          <w:highlight w:val="none"/>
        </w:rPr>
        <w:sectPr>
          <w:headerReference r:id="rId6" w:type="default"/>
          <w:pgSz w:w="11907" w:h="16840"/>
          <w:pgMar w:top="1474" w:right="1814" w:bottom="1474" w:left="1814" w:header="851" w:footer="851" w:gutter="0"/>
          <w:pgNumType w:fmt="decimal"/>
          <w:cols w:space="720" w:num="1"/>
          <w:docGrid w:linePitch="462" w:charSpace="0"/>
        </w:sectPr>
      </w:pPr>
    </w:p>
    <w:p>
      <w:pPr>
        <w:shd w:val="clear"/>
        <w:spacing w:line="360" w:lineRule="exact"/>
        <w:ind w:firstLine="420" w:firstLineChars="200"/>
        <w:rPr>
          <w:rFonts w:hint="eastAsia" w:ascii="微软雅黑" w:hAnsi="微软雅黑" w:eastAsia="微软雅黑" w:cs="微软雅黑"/>
          <w:color w:val="auto"/>
          <w:szCs w:val="21"/>
          <w:highlight w:val="none"/>
        </w:rPr>
      </w:pPr>
      <w:bookmarkStart w:id="1384" w:name="_Toc26721"/>
      <w:bookmarkStart w:id="1385" w:name="_Toc3029"/>
      <w:bookmarkStart w:id="1386" w:name="_Toc2659"/>
      <w:bookmarkStart w:id="1387" w:name="_Toc1846"/>
      <w:bookmarkStart w:id="1388" w:name="_Toc24059"/>
      <w:bookmarkStart w:id="1389" w:name="_Toc2232"/>
      <w:r>
        <w:rPr>
          <w:rFonts w:hint="eastAsia" w:ascii="微软雅黑" w:hAnsi="微软雅黑" w:eastAsia="微软雅黑" w:cs="微软雅黑"/>
          <w:color w:val="auto"/>
          <w:szCs w:val="21"/>
          <w:highlight w:val="none"/>
          <w:u w:val="single"/>
          <w:lang w:val="zh-CN"/>
        </w:rPr>
        <w:t xml:space="preserve">        </w:t>
      </w:r>
      <w:r>
        <w:rPr>
          <w:rFonts w:hint="eastAsia" w:ascii="微软雅黑" w:hAnsi="微软雅黑" w:eastAsia="微软雅黑" w:cs="微软雅黑"/>
          <w:color w:val="auto"/>
          <w:szCs w:val="21"/>
          <w:highlight w:val="none"/>
          <w:lang w:val="zh-CN"/>
        </w:rPr>
        <w:t>年</w:t>
      </w:r>
      <w:r>
        <w:rPr>
          <w:rFonts w:hint="eastAsia" w:ascii="微软雅黑" w:hAnsi="微软雅黑" w:eastAsia="微软雅黑" w:cs="微软雅黑"/>
          <w:color w:val="auto"/>
          <w:szCs w:val="21"/>
          <w:highlight w:val="none"/>
          <w:u w:val="single"/>
          <w:lang w:val="zh-CN"/>
        </w:rPr>
        <w:t xml:space="preserve">    </w:t>
      </w:r>
      <w:r>
        <w:rPr>
          <w:rFonts w:hint="eastAsia" w:ascii="微软雅黑" w:hAnsi="微软雅黑" w:eastAsia="微软雅黑" w:cs="微软雅黑"/>
          <w:color w:val="auto"/>
          <w:szCs w:val="21"/>
          <w:highlight w:val="none"/>
          <w:lang w:val="zh-CN"/>
        </w:rPr>
        <w:t>月</w:t>
      </w:r>
      <w:r>
        <w:rPr>
          <w:rFonts w:hint="eastAsia" w:ascii="微软雅黑" w:hAnsi="微软雅黑" w:eastAsia="微软雅黑" w:cs="微软雅黑"/>
          <w:color w:val="auto"/>
          <w:szCs w:val="21"/>
          <w:highlight w:val="none"/>
          <w:u w:val="single"/>
          <w:lang w:val="zh-CN"/>
        </w:rPr>
        <w:t xml:space="preserve">    </w:t>
      </w:r>
      <w:r>
        <w:rPr>
          <w:rFonts w:hint="eastAsia" w:ascii="微软雅黑" w:hAnsi="微软雅黑" w:eastAsia="微软雅黑" w:cs="微软雅黑"/>
          <w:color w:val="auto"/>
          <w:szCs w:val="21"/>
          <w:highlight w:val="none"/>
          <w:lang w:val="zh-CN"/>
        </w:rPr>
        <w:t>日</w:t>
      </w:r>
      <w:r>
        <w:rPr>
          <w:rFonts w:hint="eastAsia" w:ascii="微软雅黑" w:hAnsi="微软雅黑" w:eastAsia="微软雅黑" w:cs="微软雅黑"/>
          <w:color w:val="auto"/>
          <w:szCs w:val="21"/>
          <w:highlight w:val="none"/>
        </w:rPr>
        <w:t>，</w:t>
      </w:r>
      <w:r>
        <w:rPr>
          <w:rFonts w:hint="eastAsia" w:ascii="微软雅黑" w:hAnsi="微软雅黑" w:eastAsia="微软雅黑" w:cs="微软雅黑"/>
          <w:color w:val="auto"/>
          <w:szCs w:val="21"/>
          <w:highlight w:val="none"/>
          <w:u w:val="single"/>
        </w:rPr>
        <w:t xml:space="preserve">   （采购人名称）   </w:t>
      </w:r>
      <w:r>
        <w:rPr>
          <w:rFonts w:hint="eastAsia" w:ascii="微软雅黑" w:hAnsi="微软雅黑" w:eastAsia="微软雅黑" w:cs="微软雅黑"/>
          <w:color w:val="auto"/>
          <w:szCs w:val="21"/>
          <w:highlight w:val="none"/>
        </w:rPr>
        <w:t>以</w:t>
      </w:r>
      <w:r>
        <w:rPr>
          <w:rFonts w:hint="eastAsia" w:ascii="微软雅黑" w:hAnsi="微软雅黑" w:eastAsia="微软雅黑" w:cs="微软雅黑"/>
          <w:color w:val="auto"/>
          <w:szCs w:val="21"/>
          <w:highlight w:val="none"/>
          <w:u w:val="single"/>
        </w:rPr>
        <w:t xml:space="preserve">   （政府采购方式）  </w:t>
      </w:r>
      <w:r>
        <w:rPr>
          <w:rFonts w:hint="eastAsia" w:ascii="微软雅黑" w:hAnsi="微软雅黑" w:eastAsia="微软雅黑" w:cs="微软雅黑"/>
          <w:color w:val="auto"/>
          <w:szCs w:val="21"/>
          <w:highlight w:val="none"/>
        </w:rPr>
        <w:t>对</w:t>
      </w:r>
      <w:r>
        <w:rPr>
          <w:rFonts w:hint="eastAsia" w:ascii="微软雅黑" w:hAnsi="微软雅黑" w:eastAsia="微软雅黑" w:cs="微软雅黑"/>
          <w:color w:val="auto"/>
          <w:szCs w:val="21"/>
          <w:highlight w:val="none"/>
          <w:u w:val="single"/>
        </w:rPr>
        <w:t xml:space="preserve">   （同前页项目名称）   </w:t>
      </w:r>
      <w:r>
        <w:rPr>
          <w:rFonts w:hint="eastAsia" w:ascii="微软雅黑" w:hAnsi="微软雅黑" w:eastAsia="微软雅黑" w:cs="微软雅黑"/>
          <w:color w:val="auto"/>
          <w:szCs w:val="21"/>
          <w:highlight w:val="none"/>
        </w:rPr>
        <w:t>项目进行了采购。经</w:t>
      </w:r>
      <w:r>
        <w:rPr>
          <w:rFonts w:hint="eastAsia" w:ascii="微软雅黑" w:hAnsi="微软雅黑" w:eastAsia="微软雅黑" w:cs="微软雅黑"/>
          <w:color w:val="auto"/>
          <w:szCs w:val="21"/>
          <w:highlight w:val="none"/>
          <w:u w:val="single"/>
        </w:rPr>
        <w:t xml:space="preserve">   （相关评定主体名称）   </w:t>
      </w:r>
      <w:r>
        <w:rPr>
          <w:rFonts w:hint="eastAsia" w:ascii="微软雅黑" w:hAnsi="微软雅黑" w:eastAsia="微软雅黑" w:cs="微软雅黑"/>
          <w:color w:val="auto"/>
          <w:szCs w:val="21"/>
          <w:highlight w:val="none"/>
        </w:rPr>
        <w:t>评定，</w:t>
      </w:r>
      <w:r>
        <w:rPr>
          <w:rFonts w:hint="eastAsia" w:ascii="微软雅黑" w:hAnsi="微软雅黑" w:eastAsia="微软雅黑" w:cs="微软雅黑"/>
          <w:color w:val="auto"/>
          <w:szCs w:val="21"/>
          <w:highlight w:val="none"/>
          <w:u w:val="single"/>
        </w:rPr>
        <w:t xml:space="preserve">   （中标供应商名称）</w:t>
      </w:r>
      <w:r>
        <w:rPr>
          <w:rFonts w:hint="eastAsia" w:ascii="微软雅黑" w:hAnsi="微软雅黑" w:eastAsia="微软雅黑" w:cs="微软雅黑"/>
          <w:color w:val="auto"/>
          <w:szCs w:val="21"/>
          <w:highlight w:val="none"/>
        </w:rPr>
        <w:t>为该项目中标供应商。现于中标通知书发出之日起三十日内，按照采购文件确定的事项签订本合同。</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lang w:val="zh-CN"/>
        </w:rPr>
        <w:t>根据《中华人民共和国</w:t>
      </w:r>
      <w:r>
        <w:rPr>
          <w:rFonts w:hint="eastAsia" w:ascii="微软雅黑" w:hAnsi="微软雅黑" w:eastAsia="微软雅黑" w:cs="微软雅黑"/>
          <w:color w:val="auto"/>
          <w:szCs w:val="21"/>
          <w:highlight w:val="none"/>
        </w:rPr>
        <w:t>民法典</w:t>
      </w:r>
      <w:r>
        <w:rPr>
          <w:rFonts w:hint="eastAsia" w:ascii="微软雅黑" w:hAnsi="微软雅黑" w:eastAsia="微软雅黑" w:cs="微软雅黑"/>
          <w:color w:val="auto"/>
          <w:szCs w:val="21"/>
          <w:highlight w:val="none"/>
          <w:lang w:val="zh-CN"/>
        </w:rPr>
        <w:t>》、《中华人民共和国政府采购法》等相关法律法规之规定，按照平等、自愿、公平和诚实信用的原则，经</w:t>
      </w:r>
      <w:r>
        <w:rPr>
          <w:rFonts w:hint="eastAsia" w:ascii="微软雅黑" w:hAnsi="微软雅黑" w:eastAsia="微软雅黑" w:cs="微软雅黑"/>
          <w:color w:val="auto"/>
          <w:szCs w:val="21"/>
          <w:highlight w:val="none"/>
          <w:u w:val="single"/>
        </w:rPr>
        <w:t xml:space="preserve">   （采购人名称）   </w:t>
      </w:r>
      <w:r>
        <w:rPr>
          <w:rFonts w:hint="eastAsia" w:ascii="微软雅黑" w:hAnsi="微软雅黑" w:eastAsia="微软雅黑" w:cs="微软雅黑"/>
          <w:color w:val="auto"/>
          <w:szCs w:val="21"/>
          <w:highlight w:val="none"/>
          <w:lang w:val="zh-CN"/>
        </w:rPr>
        <w:t>(以下简称：甲方)和</w:t>
      </w:r>
      <w:r>
        <w:rPr>
          <w:rFonts w:hint="eastAsia" w:ascii="微软雅黑" w:hAnsi="微软雅黑" w:eastAsia="微软雅黑" w:cs="微软雅黑"/>
          <w:color w:val="auto"/>
          <w:szCs w:val="21"/>
          <w:highlight w:val="none"/>
          <w:u w:val="single"/>
        </w:rPr>
        <w:t xml:space="preserve">   （中标供应商名称）   </w:t>
      </w:r>
      <w:r>
        <w:rPr>
          <w:rFonts w:hint="eastAsia" w:ascii="微软雅黑" w:hAnsi="微软雅黑" w:eastAsia="微软雅黑" w:cs="微软雅黑"/>
          <w:color w:val="auto"/>
          <w:szCs w:val="21"/>
          <w:highlight w:val="none"/>
          <w:lang w:val="zh-CN"/>
        </w:rPr>
        <w:t>(以下简称：乙方)协商一致，约定以下合同</w:t>
      </w:r>
      <w:r>
        <w:rPr>
          <w:rFonts w:hint="eastAsia" w:ascii="微软雅黑" w:hAnsi="微软雅黑" w:eastAsia="微软雅黑" w:cs="微软雅黑"/>
          <w:color w:val="auto"/>
          <w:szCs w:val="21"/>
          <w:highlight w:val="none"/>
        </w:rPr>
        <w:t>条款，以兹共同遵守、全面履行。</w:t>
      </w:r>
    </w:p>
    <w:bookmarkEnd w:id="1384"/>
    <w:bookmarkEnd w:id="1385"/>
    <w:bookmarkEnd w:id="1386"/>
    <w:bookmarkEnd w:id="1387"/>
    <w:bookmarkEnd w:id="1388"/>
    <w:bookmarkEnd w:id="1389"/>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390" w:name="_Toc120"/>
      <w:bookmarkStart w:id="1391" w:name="_Toc18344"/>
      <w:bookmarkStart w:id="1392" w:name="_Toc12771"/>
      <w:bookmarkStart w:id="1393" w:name="_Toc30575"/>
      <w:bookmarkStart w:id="1394" w:name="_Toc24186"/>
      <w:bookmarkStart w:id="1395" w:name="_Toc30797"/>
      <w:bookmarkStart w:id="1396" w:name="_Toc18247"/>
      <w:bookmarkStart w:id="1397" w:name="_Toc28090"/>
      <w:bookmarkStart w:id="1398" w:name="_Toc14426"/>
      <w:bookmarkStart w:id="1399" w:name="_Toc21386"/>
      <w:bookmarkStart w:id="1400" w:name="_Toc19140"/>
      <w:bookmarkStart w:id="1401" w:name="_Toc15183"/>
      <w:bookmarkStart w:id="1402" w:name="_Toc21329"/>
      <w:bookmarkStart w:id="1403" w:name="_Toc29671"/>
      <w:bookmarkStart w:id="1404" w:name="_Toc29751"/>
      <w:bookmarkStart w:id="1405" w:name="_Toc4653"/>
      <w:bookmarkStart w:id="1406" w:name="_Toc4274"/>
      <w:bookmarkStart w:id="1407" w:name="_Toc6038"/>
      <w:bookmarkStart w:id="1408" w:name="_Toc2302"/>
      <w:bookmarkStart w:id="1409" w:name="_Toc937"/>
      <w:bookmarkStart w:id="1410" w:name="_Toc14766"/>
      <w:bookmarkStart w:id="1411" w:name="_Toc13018"/>
      <w:bookmarkStart w:id="1412" w:name="_Toc25352"/>
      <w:bookmarkStart w:id="1413" w:name="_Toc20877"/>
      <w:bookmarkStart w:id="1414" w:name="_Toc1197"/>
      <w:bookmarkStart w:id="1415" w:name="_Toc4751"/>
      <w:bookmarkStart w:id="1416" w:name="_Toc4279"/>
      <w:bookmarkStart w:id="1417" w:name="_Toc299"/>
      <w:bookmarkStart w:id="1418" w:name="_Toc4498"/>
      <w:r>
        <w:rPr>
          <w:rFonts w:hint="eastAsia" w:ascii="微软雅黑" w:hAnsi="微软雅黑" w:eastAsia="微软雅黑" w:cs="微软雅黑"/>
          <w:b/>
          <w:color w:val="auto"/>
          <w:szCs w:val="21"/>
          <w:highlight w:val="none"/>
        </w:rPr>
        <w:t>1.1 合同组成部分</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1.1.1 本合同及其补充合同、变更协议；</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1.1.2 中标通知书；</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1.1.3 投标文件（含澄清或者说明文件）；</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1.1.4 招标文件（含澄清或者修改文件）；</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1.1.5 其他相关采购文件。</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419" w:name="_Toc15345"/>
      <w:bookmarkStart w:id="1420" w:name="_Toc20511"/>
      <w:bookmarkStart w:id="1421" w:name="_Toc12726"/>
      <w:bookmarkStart w:id="1422" w:name="_Toc9006"/>
      <w:bookmarkStart w:id="1423" w:name="_Toc25735"/>
      <w:bookmarkStart w:id="1424" w:name="_Toc21295"/>
      <w:bookmarkStart w:id="1425" w:name="_Toc9161"/>
      <w:bookmarkStart w:id="1426" w:name="_Toc28577"/>
      <w:bookmarkStart w:id="1427" w:name="_Toc23778"/>
      <w:bookmarkStart w:id="1428" w:name="_Toc8631"/>
      <w:bookmarkStart w:id="1429" w:name="_Toc31638"/>
      <w:bookmarkStart w:id="1430" w:name="_Toc24300"/>
      <w:bookmarkStart w:id="1431" w:name="_Toc20245"/>
      <w:bookmarkStart w:id="1432" w:name="_Toc28635"/>
      <w:bookmarkStart w:id="1433" w:name="_Toc19432"/>
      <w:bookmarkStart w:id="1434" w:name="_Toc16086"/>
      <w:bookmarkStart w:id="1435" w:name="_Toc26166"/>
      <w:bookmarkStart w:id="1436" w:name="_Toc12446"/>
      <w:bookmarkStart w:id="1437" w:name="_Toc27318"/>
      <w:bookmarkStart w:id="1438" w:name="_Toc27126"/>
      <w:bookmarkStart w:id="1439" w:name="_Toc13138"/>
      <w:bookmarkStart w:id="1440" w:name="_Toc4957"/>
      <w:bookmarkStart w:id="1441" w:name="_Toc19377"/>
      <w:bookmarkStart w:id="1442" w:name="_Toc25402"/>
      <w:bookmarkStart w:id="1443" w:name="_Toc30626"/>
      <w:bookmarkStart w:id="1444" w:name="_Toc19336"/>
      <w:bookmarkStart w:id="1445" w:name="_Toc14235"/>
      <w:bookmarkStart w:id="1446" w:name="_Toc8057"/>
      <w:bookmarkStart w:id="1447" w:name="_Toc7977"/>
      <w:bookmarkStart w:id="1448" w:name="_Toc27326"/>
      <w:bookmarkStart w:id="1449" w:name="_Toc1557"/>
      <w:bookmarkStart w:id="1450" w:name="_Toc4735"/>
      <w:bookmarkStart w:id="1451" w:name="_Toc5906"/>
      <w:bookmarkStart w:id="1452" w:name="_Toc23754"/>
      <w:bookmarkStart w:id="1453" w:name="_Toc1446"/>
      <w:bookmarkStart w:id="1454" w:name="_Toc21217"/>
      <w:r>
        <w:rPr>
          <w:rFonts w:hint="eastAsia" w:ascii="微软雅黑" w:hAnsi="微软雅黑" w:eastAsia="微软雅黑" w:cs="微软雅黑"/>
          <w:b/>
          <w:color w:val="auto"/>
          <w:szCs w:val="21"/>
          <w:highlight w:val="none"/>
        </w:rPr>
        <w:t>1.2 货物</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shd w:val="clear"/>
        <w:spacing w:line="360" w:lineRule="exact"/>
        <w:ind w:firstLine="420" w:firstLineChars="20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1.2.1 货物名称：</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1.2.2 货物数量：</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1.2.3 货物质量：</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455" w:name="_Toc21921"/>
      <w:bookmarkStart w:id="1456" w:name="_Toc28204"/>
      <w:bookmarkStart w:id="1457" w:name="_Toc25196"/>
      <w:bookmarkStart w:id="1458" w:name="_Toc23292"/>
      <w:bookmarkStart w:id="1459" w:name="_Toc30755"/>
      <w:bookmarkStart w:id="1460" w:name="_Toc27433"/>
      <w:bookmarkStart w:id="1461" w:name="_Toc23693"/>
      <w:bookmarkStart w:id="1462" w:name="_Toc21551"/>
      <w:bookmarkStart w:id="1463" w:name="_Toc13898"/>
      <w:bookmarkStart w:id="1464" w:name="_Toc10942"/>
      <w:bookmarkStart w:id="1465" w:name="_Toc11045"/>
      <w:bookmarkStart w:id="1466" w:name="_Toc1528"/>
      <w:bookmarkStart w:id="1467" w:name="_Toc1506"/>
      <w:bookmarkStart w:id="1468" w:name="_Toc633"/>
      <w:bookmarkStart w:id="1469" w:name="_Toc27282"/>
      <w:bookmarkStart w:id="1470" w:name="_Toc25368"/>
      <w:bookmarkStart w:id="1471" w:name="_Toc9364"/>
      <w:bookmarkStart w:id="1472" w:name="_Toc30667"/>
      <w:bookmarkStart w:id="1473" w:name="_Toc8386"/>
      <w:bookmarkStart w:id="1474" w:name="_Toc5531"/>
      <w:bookmarkStart w:id="1475" w:name="_Toc20800"/>
      <w:bookmarkStart w:id="1476" w:name="_Toc14520"/>
      <w:bookmarkStart w:id="1477" w:name="_Toc21040"/>
      <w:bookmarkStart w:id="1478" w:name="_Toc14240"/>
      <w:bookmarkStart w:id="1479" w:name="_Toc29895"/>
      <w:bookmarkStart w:id="1480" w:name="_Toc18854"/>
      <w:bookmarkStart w:id="1481" w:name="_Toc27856"/>
      <w:bookmarkStart w:id="1482" w:name="_Toc4513"/>
      <w:bookmarkStart w:id="1483" w:name="_Toc31434"/>
      <w:bookmarkStart w:id="1484" w:name="_Toc20842"/>
      <w:bookmarkStart w:id="1485" w:name="_Toc23316"/>
      <w:bookmarkStart w:id="1486" w:name="_Toc19682"/>
      <w:bookmarkStart w:id="1487" w:name="_Toc12266"/>
      <w:bookmarkStart w:id="1488" w:name="_Toc21631"/>
      <w:bookmarkStart w:id="1489" w:name="_Toc1267"/>
      <w:r>
        <w:rPr>
          <w:rFonts w:hint="eastAsia" w:ascii="微软雅黑" w:hAnsi="微软雅黑" w:eastAsia="微软雅黑" w:cs="微软雅黑"/>
          <w:b/>
          <w:color w:val="auto"/>
          <w:szCs w:val="21"/>
          <w:highlight w:val="none"/>
        </w:rPr>
        <w:t>1.3 价款</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本合同总价为：￥</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元（大写：</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元人民币）。</w:t>
      </w:r>
    </w:p>
    <w:p>
      <w:pPr>
        <w:shd w:val="clear"/>
        <w:spacing w:line="360" w:lineRule="exact"/>
        <w:ind w:firstLine="420" w:firstLineChars="20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分项价格：</w:t>
      </w:r>
    </w:p>
    <w:tbl>
      <w:tblPr>
        <w:tblStyle w:val="25"/>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9"/>
              <w:keepNext w:val="0"/>
              <w:keepLines w:val="0"/>
              <w:suppressLineNumbers w:val="0"/>
              <w:shd w:val="clear"/>
              <w:spacing w:before="0" w:beforeAutospacing="0" w:after="0" w:afterAutospacing="0" w:line="360" w:lineRule="exact"/>
              <w:ind w:left="0" w:right="0"/>
              <w:jc w:val="center"/>
              <w:rPr>
                <w:rFonts w:hint="eastAsia"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序号</w:t>
            </w:r>
          </w:p>
        </w:tc>
        <w:tc>
          <w:tcPr>
            <w:tcW w:w="3738"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分项名称</w:t>
            </w:r>
          </w:p>
        </w:tc>
        <w:tc>
          <w:tcPr>
            <w:tcW w:w="2803" w:type="dxa"/>
            <w:vAlign w:val="center"/>
          </w:tcPr>
          <w:p>
            <w:pPr>
              <w:pStyle w:val="59"/>
              <w:keepNext w:val="0"/>
              <w:keepLines w:val="0"/>
              <w:suppressLineNumbers w:val="0"/>
              <w:shd w:val="clear"/>
              <w:spacing w:before="0" w:beforeAutospacing="0" w:after="0" w:afterAutospacing="0" w:line="360" w:lineRule="exact"/>
              <w:ind w:left="0" w:right="0"/>
              <w:jc w:val="center"/>
              <w:rPr>
                <w:rFonts w:hint="eastAsia"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p>
        </w:tc>
        <w:tc>
          <w:tcPr>
            <w:tcW w:w="3738"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p>
        </w:tc>
        <w:tc>
          <w:tcPr>
            <w:tcW w:w="2803"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p>
        </w:tc>
        <w:tc>
          <w:tcPr>
            <w:tcW w:w="3738"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p>
        </w:tc>
        <w:tc>
          <w:tcPr>
            <w:tcW w:w="2803"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总价</w:t>
            </w:r>
          </w:p>
        </w:tc>
        <w:tc>
          <w:tcPr>
            <w:tcW w:w="2803" w:type="dxa"/>
            <w:vAlign w:val="center"/>
          </w:tcPr>
          <w:p>
            <w:pPr>
              <w:pStyle w:val="59"/>
              <w:keepNext w:val="0"/>
              <w:keepLines w:val="0"/>
              <w:suppressLineNumbers w:val="0"/>
              <w:shd w:val="clear"/>
              <w:spacing w:before="0" w:beforeAutospacing="0" w:after="0" w:afterAutospacing="0" w:line="360" w:lineRule="exact"/>
              <w:ind w:left="0" w:right="0" w:firstLine="200"/>
              <w:jc w:val="center"/>
              <w:rPr>
                <w:rFonts w:hint="eastAsia" w:ascii="微软雅黑" w:hAnsi="微软雅黑" w:eastAsia="微软雅黑" w:cs="微软雅黑"/>
                <w:color w:val="auto"/>
                <w:kern w:val="2"/>
                <w:sz w:val="21"/>
                <w:szCs w:val="21"/>
                <w:highlight w:val="none"/>
              </w:rPr>
            </w:pPr>
          </w:p>
        </w:tc>
      </w:tr>
    </w:tbl>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490" w:name="_Toc12094"/>
      <w:bookmarkStart w:id="1491" w:name="_Toc7895"/>
      <w:bookmarkStart w:id="1492" w:name="_Toc1814"/>
      <w:bookmarkStart w:id="1493" w:name="_Toc31049"/>
      <w:bookmarkStart w:id="1494" w:name="_Toc9218"/>
      <w:bookmarkStart w:id="1495" w:name="_Toc14988"/>
      <w:bookmarkStart w:id="1496" w:name="_Toc30643"/>
      <w:bookmarkStart w:id="1497" w:name="_Toc28773"/>
      <w:bookmarkStart w:id="1498" w:name="_Toc24781"/>
      <w:bookmarkStart w:id="1499" w:name="_Toc27817"/>
      <w:bookmarkStart w:id="1500" w:name="_Toc20763"/>
      <w:bookmarkStart w:id="1501" w:name="_Toc27654"/>
      <w:bookmarkStart w:id="1502" w:name="_Toc10086"/>
      <w:bookmarkStart w:id="1503" w:name="_Toc22618"/>
      <w:bookmarkStart w:id="1504" w:name="_Toc26470"/>
      <w:bookmarkStart w:id="1505" w:name="_Toc25818"/>
      <w:bookmarkStart w:id="1506" w:name="_Toc30297"/>
      <w:bookmarkStart w:id="1507" w:name="_Toc5830"/>
      <w:bookmarkStart w:id="1508" w:name="_Toc10340"/>
      <w:bookmarkStart w:id="1509" w:name="_Toc8278"/>
      <w:bookmarkStart w:id="1510" w:name="_Toc31015"/>
      <w:bookmarkStart w:id="1511" w:name="_Toc9108"/>
      <w:bookmarkStart w:id="1512" w:name="_Toc26112"/>
      <w:bookmarkStart w:id="1513" w:name="_Toc9279"/>
      <w:bookmarkStart w:id="1514" w:name="_Toc4084"/>
      <w:bookmarkStart w:id="1515" w:name="_Toc15573"/>
      <w:bookmarkStart w:id="1516" w:name="_Toc4330"/>
      <w:bookmarkStart w:id="1517" w:name="_Toc5736"/>
      <w:bookmarkStart w:id="1518" w:name="_Toc3506"/>
      <w:bookmarkStart w:id="1519" w:name="_Toc7801"/>
      <w:bookmarkStart w:id="1520" w:name="_Toc7458"/>
      <w:bookmarkStart w:id="1521" w:name="_Toc25678"/>
      <w:bookmarkStart w:id="1522" w:name="_Toc21349"/>
      <w:r>
        <w:rPr>
          <w:rFonts w:hint="eastAsia" w:ascii="微软雅黑" w:hAnsi="微软雅黑" w:eastAsia="微软雅黑" w:cs="微软雅黑"/>
          <w:b/>
          <w:color w:val="auto"/>
          <w:szCs w:val="21"/>
          <w:highlight w:val="none"/>
        </w:rPr>
        <w:t>1.4 付款方式和发票开具方式</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1.4.1 付款方式：</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1.4.2 发票开具方式：</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523" w:name="_Toc26187"/>
      <w:bookmarkStart w:id="1524" w:name="_Toc30563"/>
      <w:bookmarkStart w:id="1525" w:name="_Toc30364"/>
      <w:bookmarkStart w:id="1526" w:name="_Toc17719"/>
      <w:bookmarkStart w:id="1527" w:name="_Toc11883"/>
      <w:bookmarkStart w:id="1528" w:name="_Toc27020"/>
      <w:bookmarkStart w:id="1529" w:name="_Toc25427"/>
      <w:bookmarkStart w:id="1530" w:name="_Toc30447"/>
      <w:bookmarkStart w:id="1531" w:name="_Toc10276"/>
      <w:bookmarkStart w:id="1532" w:name="_Toc28943"/>
      <w:bookmarkStart w:id="1533" w:name="_Toc4501"/>
      <w:bookmarkStart w:id="1534" w:name="_Toc9478"/>
      <w:bookmarkStart w:id="1535" w:name="_Toc16823"/>
      <w:bookmarkStart w:id="1536" w:name="_Toc25278"/>
      <w:bookmarkStart w:id="1537" w:name="_Toc27777"/>
      <w:bookmarkStart w:id="1538" w:name="_Toc22861"/>
      <w:bookmarkStart w:id="1539" w:name="_Toc17448"/>
      <w:bookmarkStart w:id="1540" w:name="_Toc9475"/>
      <w:bookmarkStart w:id="1541" w:name="_Toc26095"/>
      <w:bookmarkStart w:id="1542" w:name="_Toc2083"/>
      <w:bookmarkStart w:id="1543" w:name="_Toc10153"/>
      <w:bookmarkStart w:id="1544" w:name="_Toc4353"/>
      <w:bookmarkStart w:id="1545" w:name="_Toc32098"/>
      <w:bookmarkStart w:id="1546" w:name="_Toc2846"/>
      <w:bookmarkStart w:id="1547" w:name="_Toc7017"/>
      <w:bookmarkStart w:id="1548" w:name="_Toc23735"/>
      <w:bookmarkStart w:id="1549" w:name="_Toc17179"/>
      <w:bookmarkStart w:id="1550" w:name="_Toc19304"/>
      <w:bookmarkStart w:id="1551" w:name="_Toc6393"/>
      <w:bookmarkStart w:id="1552" w:name="_Toc14194"/>
      <w:bookmarkStart w:id="1553" w:name="_Toc2852"/>
      <w:bookmarkStart w:id="1554" w:name="_Toc24174"/>
      <w:bookmarkStart w:id="1555" w:name="_Toc32071"/>
      <w:bookmarkStart w:id="1556" w:name="_Toc9522"/>
      <w:bookmarkStart w:id="1557" w:name="_Toc2048"/>
      <w:r>
        <w:rPr>
          <w:rFonts w:hint="eastAsia" w:ascii="微软雅黑" w:hAnsi="微软雅黑" w:eastAsia="微软雅黑" w:cs="微软雅黑"/>
          <w:b/>
          <w:color w:val="auto"/>
          <w:szCs w:val="21"/>
          <w:highlight w:val="none"/>
        </w:rPr>
        <w:t>1.5 货物交付期限、地点和方式</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shd w:val="clear"/>
        <w:spacing w:line="360" w:lineRule="exact"/>
        <w:ind w:firstLine="420" w:firstLineChars="200"/>
        <w:rPr>
          <w:rFonts w:hint="eastAsia"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1.5.1 交付期限：</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1.5.2 交付地点：</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1.5.3 交付方式：</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558" w:name="_Toc6187"/>
      <w:bookmarkStart w:id="1559" w:name="_Toc8029"/>
      <w:bookmarkStart w:id="1560" w:name="_Toc21406"/>
      <w:bookmarkStart w:id="1561" w:name="_Toc12753"/>
      <w:bookmarkStart w:id="1562" w:name="_Toc22088"/>
      <w:bookmarkStart w:id="1563" w:name="_Toc15898"/>
      <w:bookmarkStart w:id="1564" w:name="_Toc26856"/>
      <w:bookmarkStart w:id="1565" w:name="_Toc12988"/>
      <w:bookmarkStart w:id="1566" w:name="_Toc6841"/>
      <w:bookmarkStart w:id="1567" w:name="_Toc28112"/>
      <w:bookmarkStart w:id="1568" w:name="_Toc11237"/>
      <w:bookmarkStart w:id="1569" w:name="_Toc21423"/>
      <w:bookmarkStart w:id="1570" w:name="_Toc27250"/>
      <w:bookmarkStart w:id="1571" w:name="_Toc12495"/>
      <w:bookmarkStart w:id="1572" w:name="_Toc13569"/>
      <w:bookmarkStart w:id="1573" w:name="_Toc4190"/>
      <w:bookmarkStart w:id="1574" w:name="_Toc32088"/>
      <w:bookmarkStart w:id="1575" w:name="_Toc16816"/>
      <w:bookmarkStart w:id="1576" w:name="_Toc19554"/>
      <w:bookmarkStart w:id="1577" w:name="_Toc8541"/>
      <w:bookmarkStart w:id="1578" w:name="_Toc1835"/>
      <w:bookmarkStart w:id="1579" w:name="_Toc29769"/>
      <w:bookmarkStart w:id="1580" w:name="_Toc5183"/>
      <w:bookmarkStart w:id="1581" w:name="_Toc27247"/>
      <w:bookmarkStart w:id="1582" w:name="_Toc32353"/>
      <w:bookmarkStart w:id="1583" w:name="_Toc26850"/>
      <w:bookmarkStart w:id="1584" w:name="_Toc1143"/>
      <w:bookmarkStart w:id="1585" w:name="_Toc1881"/>
      <w:bookmarkStart w:id="1586" w:name="_Toc28130"/>
      <w:bookmarkStart w:id="1587" w:name="_Toc2620"/>
      <w:bookmarkStart w:id="1588" w:name="_Toc8754"/>
      <w:bookmarkStart w:id="1589" w:name="_Toc13970"/>
      <w:bookmarkStart w:id="1590" w:name="_Toc15865"/>
      <w:bookmarkStart w:id="1591" w:name="_Toc12629"/>
      <w:r>
        <w:rPr>
          <w:rFonts w:hint="eastAsia" w:ascii="微软雅黑" w:hAnsi="微软雅黑" w:eastAsia="微软雅黑" w:cs="微软雅黑"/>
          <w:b/>
          <w:color w:val="auto"/>
          <w:szCs w:val="21"/>
          <w:highlight w:val="none"/>
        </w:rPr>
        <w:t>1.6 违约责任</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%计算，最高限额为本合同总价的</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%；迟延交付货物的违约金计算数额达到前述最高限额之日起，甲方有权在要求乙方支付违约金的同时，书面通知乙方解除本合同；</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1.6.2 除不可抗力外，如果甲方没有按照本合同约定的付款方式付款，那么乙方可要求甲方支付违约金，违约金按每迟延付款一日的应付而未付款的</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%计算，最高限额为本合同总价的</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%；迟延付款的违约金计算数额达到前述最高限额之日起，乙方有权在要求甲方支付违约金的同时，书面通知甲方解除本合同；</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592" w:name="_Toc20212"/>
      <w:bookmarkStart w:id="1593" w:name="_Toc13447"/>
      <w:bookmarkStart w:id="1594" w:name="_Toc565"/>
      <w:bookmarkStart w:id="1595" w:name="_Toc8914"/>
      <w:bookmarkStart w:id="1596" w:name="_Toc29338"/>
      <w:bookmarkStart w:id="1597" w:name="_Toc23654"/>
      <w:bookmarkStart w:id="1598" w:name="_Toc11167"/>
      <w:bookmarkStart w:id="1599" w:name="_Toc29802"/>
      <w:bookmarkStart w:id="1600" w:name="_Toc5482"/>
      <w:bookmarkStart w:id="1601" w:name="_Toc7647"/>
      <w:bookmarkStart w:id="1602" w:name="_Toc25915"/>
      <w:bookmarkStart w:id="1603" w:name="_Toc20610"/>
      <w:bookmarkStart w:id="1604" w:name="_Toc7216"/>
      <w:bookmarkStart w:id="1605" w:name="_Toc27927"/>
      <w:bookmarkStart w:id="1606" w:name="_Toc19011"/>
      <w:bookmarkStart w:id="1607" w:name="_Toc3403"/>
      <w:bookmarkStart w:id="1608" w:name="_Toc6448"/>
      <w:bookmarkStart w:id="1609" w:name="_Toc27629"/>
      <w:bookmarkStart w:id="1610" w:name="_Toc28375"/>
      <w:bookmarkStart w:id="1611" w:name="_Toc8054"/>
      <w:bookmarkStart w:id="1612" w:name="_Toc6660"/>
      <w:bookmarkStart w:id="1613" w:name="_Toc24393"/>
      <w:bookmarkStart w:id="1614" w:name="_Toc23133"/>
      <w:bookmarkStart w:id="1615" w:name="_Toc29921"/>
      <w:bookmarkStart w:id="1616" w:name="_Toc9202"/>
      <w:bookmarkStart w:id="1617" w:name="_Toc9253"/>
      <w:bookmarkStart w:id="1618" w:name="_Toc27762"/>
      <w:bookmarkStart w:id="1619" w:name="_Toc25793"/>
      <w:bookmarkStart w:id="1620" w:name="_Toc2338"/>
      <w:bookmarkStart w:id="1621" w:name="_Toc6344"/>
      <w:bookmarkStart w:id="1622" w:name="_Toc12763"/>
      <w:bookmarkStart w:id="1623" w:name="_Toc17013"/>
      <w:bookmarkStart w:id="1624" w:name="_Toc15583"/>
      <w:bookmarkStart w:id="1625" w:name="_Toc16021"/>
      <w:bookmarkStart w:id="1626" w:name="_Toc2627"/>
      <w:r>
        <w:rPr>
          <w:rFonts w:hint="eastAsia" w:ascii="微软雅黑" w:hAnsi="微软雅黑" w:eastAsia="微软雅黑" w:cs="微软雅黑"/>
          <w:b/>
          <w:color w:val="auto"/>
          <w:szCs w:val="21"/>
          <w:highlight w:val="none"/>
        </w:rPr>
        <w:t>1.7 合同争议的解决</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本合同履行过程中发生的任何争议，双方当事人均可通过和解或者调解解决；不愿和解、调解或者和解、调解不成的，可以选择下列第</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种方式解决：</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1.7.1 将争议提交</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仲裁委员会依申请仲裁时其现行有效的仲裁规则裁决；</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1.7.2 向</w:t>
      </w:r>
      <w:r>
        <w:rPr>
          <w:rFonts w:hint="eastAsia" w:ascii="微软雅黑" w:hAnsi="微软雅黑" w:eastAsia="微软雅黑" w:cs="微软雅黑"/>
          <w:color w:val="auto"/>
          <w:szCs w:val="21"/>
          <w:highlight w:val="none"/>
          <w:u w:val="single"/>
        </w:rPr>
        <w:t xml:space="preserve">   （被告住所地、合同履行地、合同签订地、原告住所地、标的物所在地等与争议有实际联系的地点中选出的人民法院名称）    </w:t>
      </w:r>
      <w:r>
        <w:rPr>
          <w:rFonts w:hint="eastAsia" w:ascii="微软雅黑" w:hAnsi="微软雅黑" w:eastAsia="微软雅黑" w:cs="微软雅黑"/>
          <w:color w:val="auto"/>
          <w:szCs w:val="21"/>
          <w:highlight w:val="none"/>
        </w:rPr>
        <w:t>人民法院起诉。</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627" w:name="_Toc518"/>
      <w:bookmarkStart w:id="1628" w:name="_Toc16410"/>
      <w:bookmarkStart w:id="1629" w:name="_Toc13718"/>
      <w:bookmarkStart w:id="1630" w:name="_Toc26897"/>
      <w:bookmarkStart w:id="1631" w:name="_Toc2901"/>
      <w:bookmarkStart w:id="1632" w:name="_Toc7245"/>
      <w:bookmarkStart w:id="1633" w:name="_Toc21152"/>
      <w:bookmarkStart w:id="1634" w:name="_Toc27626"/>
      <w:bookmarkStart w:id="1635" w:name="_Toc19180"/>
      <w:bookmarkStart w:id="1636" w:name="_Toc10043"/>
      <w:bookmarkStart w:id="1637" w:name="_Toc9582"/>
      <w:bookmarkStart w:id="1638" w:name="_Toc24759"/>
      <w:bookmarkStart w:id="1639" w:name="_Toc20305"/>
      <w:bookmarkStart w:id="1640" w:name="_Toc21791"/>
      <w:bookmarkStart w:id="1641" w:name="_Toc30260"/>
      <w:bookmarkStart w:id="1642" w:name="_Toc6001"/>
      <w:bookmarkStart w:id="1643" w:name="_Toc23534"/>
      <w:bookmarkStart w:id="1644" w:name="_Toc22071"/>
      <w:bookmarkStart w:id="1645" w:name="_Toc1647"/>
      <w:bookmarkStart w:id="1646" w:name="_Toc22385"/>
      <w:bookmarkStart w:id="1647" w:name="_Toc13065"/>
      <w:bookmarkStart w:id="1648" w:name="_Toc20905"/>
      <w:bookmarkStart w:id="1649" w:name="_Toc24449"/>
      <w:bookmarkStart w:id="1650" w:name="_Toc9329"/>
      <w:bookmarkStart w:id="1651" w:name="_Toc10429"/>
      <w:bookmarkStart w:id="1652" w:name="_Toc11173"/>
      <w:bookmarkStart w:id="1653" w:name="_Toc10255"/>
      <w:bookmarkStart w:id="1654" w:name="_Toc6411"/>
      <w:bookmarkStart w:id="1655" w:name="_Toc24003"/>
      <w:bookmarkStart w:id="1656" w:name="_Toc12859"/>
      <w:bookmarkStart w:id="1657" w:name="_Toc17113"/>
      <w:bookmarkStart w:id="1658" w:name="_Toc17268"/>
      <w:bookmarkStart w:id="1659" w:name="_Toc15322"/>
      <w:bookmarkStart w:id="1660" w:name="_Toc2894"/>
      <w:r>
        <w:rPr>
          <w:rFonts w:hint="eastAsia" w:ascii="微软雅黑" w:hAnsi="微软雅黑" w:eastAsia="微软雅黑" w:cs="微软雅黑"/>
          <w:b/>
          <w:color w:val="auto"/>
          <w:szCs w:val="21"/>
          <w:highlight w:val="none"/>
        </w:rPr>
        <w:t>1.8 合同生效</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shd w:val="clear"/>
        <w:spacing w:line="360" w:lineRule="exact"/>
        <w:ind w:firstLine="420" w:firstLineChars="200"/>
        <w:rPr>
          <w:rFonts w:hint="eastAsia" w:ascii="微软雅黑" w:hAnsi="微软雅黑" w:eastAsia="微软雅黑" w:cs="微软雅黑"/>
          <w:b/>
          <w:color w:val="auto"/>
          <w:szCs w:val="21"/>
          <w:highlight w:val="none"/>
        </w:rPr>
      </w:pPr>
      <w:r>
        <w:rPr>
          <w:rFonts w:hint="eastAsia" w:ascii="微软雅黑" w:hAnsi="微软雅黑" w:eastAsia="微软雅黑" w:cs="微软雅黑"/>
          <w:color w:val="auto"/>
          <w:szCs w:val="21"/>
          <w:highlight w:val="none"/>
        </w:rPr>
        <w:t>本合同自双方当事人盖章或者签字时生效。</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b/>
          <w:color w:val="auto"/>
          <w:szCs w:val="21"/>
          <w:highlight w:val="none"/>
          <w:lang w:val="zh-CN"/>
        </w:rPr>
        <w:t>甲方</w:t>
      </w:r>
      <w:r>
        <w:rPr>
          <w:rFonts w:hint="eastAsia" w:ascii="微软雅黑" w:hAnsi="微软雅黑" w:eastAsia="微软雅黑" w:cs="微软雅黑"/>
          <w:color w:val="auto"/>
          <w:szCs w:val="21"/>
          <w:highlight w:val="none"/>
          <w:lang w:val="zh-CN"/>
        </w:rPr>
        <w:t xml:space="preserve">：                             </w:t>
      </w:r>
      <w:r>
        <w:rPr>
          <w:rFonts w:hint="eastAsia" w:ascii="微软雅黑" w:hAnsi="微软雅黑" w:eastAsia="微软雅黑" w:cs="微软雅黑"/>
          <w:b/>
          <w:color w:val="auto"/>
          <w:szCs w:val="21"/>
          <w:highlight w:val="none"/>
          <w:lang w:val="zh-CN"/>
        </w:rPr>
        <w:t xml:space="preserve">      乙方</w:t>
      </w:r>
      <w:r>
        <w:rPr>
          <w:rFonts w:hint="eastAsia" w:ascii="微软雅黑" w:hAnsi="微软雅黑" w:eastAsia="微软雅黑" w:cs="微软雅黑"/>
          <w:color w:val="auto"/>
          <w:szCs w:val="21"/>
          <w:highlight w:val="none"/>
          <w:lang w:val="zh-CN"/>
        </w:rPr>
        <w:t>：</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统一社会信用代码：                        统一社会信用代码或身份证号码：</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住所：                                   住所：</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法定代表人或                             法定代表人</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 xml:space="preserve">授权代表（签字）：                        或授权代表（签字）: </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联系人：                                 联系人：</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约定送达地址：                           约定送达地址：</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邮政编码：                               邮政编码：</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 xml:space="preserve">电话:                                    电话: </w:t>
      </w:r>
    </w:p>
    <w:p>
      <w:pPr>
        <w:shd w:val="clear"/>
        <w:autoSpaceDE w:val="0"/>
        <w:autoSpaceDN w:val="0"/>
        <w:adjustRightInd w:val="0"/>
        <w:spacing w:line="360" w:lineRule="exact"/>
        <w:rPr>
          <w:rFonts w:hint="eastAsia" w:ascii="微软雅黑" w:hAnsi="微软雅黑" w:eastAsia="微软雅黑" w:cs="微软雅黑"/>
          <w:color w:val="auto"/>
          <w:szCs w:val="21"/>
          <w:highlight w:val="none"/>
          <w:lang w:val="zh-CN"/>
        </w:rPr>
      </w:pPr>
      <w:r>
        <w:rPr>
          <w:rFonts w:hint="eastAsia" w:ascii="微软雅黑" w:hAnsi="微软雅黑" w:eastAsia="微软雅黑" w:cs="微软雅黑"/>
          <w:color w:val="auto"/>
          <w:szCs w:val="21"/>
          <w:highlight w:val="none"/>
          <w:lang w:val="zh-CN"/>
        </w:rPr>
        <w:t>传真:                                    传真:</w:t>
      </w:r>
    </w:p>
    <w:p>
      <w:pPr>
        <w:shd w:val="clear"/>
        <w:autoSpaceDE w:val="0"/>
        <w:autoSpaceDN w:val="0"/>
        <w:adjustRightInd w:val="0"/>
        <w:spacing w:line="36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lang w:val="zh-CN"/>
        </w:rPr>
        <w:t>电子邮箱：                               电子邮箱：</w:t>
      </w:r>
    </w:p>
    <w:p>
      <w:pPr>
        <w:shd w:val="clear"/>
        <w:autoSpaceDE w:val="0"/>
        <w:autoSpaceDN w:val="0"/>
        <w:adjustRightInd w:val="0"/>
        <w:spacing w:line="36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开户银行：                               开户银行： </w:t>
      </w:r>
    </w:p>
    <w:p>
      <w:pPr>
        <w:shd w:val="clear"/>
        <w:autoSpaceDE w:val="0"/>
        <w:autoSpaceDN w:val="0"/>
        <w:adjustRightInd w:val="0"/>
        <w:spacing w:line="36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开户名称：                               开户名称： </w:t>
      </w:r>
    </w:p>
    <w:p>
      <w:pPr>
        <w:shd w:val="clear"/>
        <w:autoSpaceDE w:val="0"/>
        <w:autoSpaceDN w:val="0"/>
        <w:adjustRightInd w:val="0"/>
        <w:spacing w:line="36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开户账号：</w:t>
      </w:r>
      <w:r>
        <w:rPr>
          <w:rFonts w:hint="eastAsia" w:ascii="微软雅黑" w:hAnsi="微软雅黑" w:eastAsia="微软雅黑" w:cs="微软雅黑"/>
          <w:color w:val="auto"/>
          <w:szCs w:val="21"/>
          <w:highlight w:val="none"/>
          <w:lang w:val="zh-CN"/>
        </w:rPr>
        <w:t xml:space="preserve">                               </w:t>
      </w:r>
      <w:r>
        <w:rPr>
          <w:rFonts w:hint="eastAsia" w:ascii="微软雅黑" w:hAnsi="微软雅黑" w:eastAsia="微软雅黑" w:cs="微软雅黑"/>
          <w:color w:val="auto"/>
          <w:szCs w:val="21"/>
          <w:highlight w:val="none"/>
        </w:rPr>
        <w:t>开户账号：</w:t>
      </w:r>
    </w:p>
    <w:p>
      <w:pPr>
        <w:widowControl/>
        <w:shd w:val="clear"/>
        <w:spacing w:line="360" w:lineRule="exact"/>
        <w:jc w:val="left"/>
        <w:rPr>
          <w:rFonts w:hint="eastAsia" w:ascii="微软雅黑" w:hAnsi="微软雅黑" w:eastAsia="微软雅黑" w:cs="微软雅黑"/>
          <w:b/>
          <w:color w:val="auto"/>
          <w:szCs w:val="21"/>
          <w:highlight w:val="none"/>
        </w:rPr>
      </w:pPr>
      <w:bookmarkStart w:id="1661" w:name="_Toc331685783"/>
    </w:p>
    <w:p>
      <w:pPr>
        <w:widowControl/>
        <w:shd w:val="clear"/>
        <w:spacing w:line="360" w:lineRule="exact"/>
        <w:jc w:val="left"/>
        <w:rPr>
          <w:rFonts w:hint="eastAsia" w:ascii="微软雅黑" w:hAnsi="微软雅黑" w:eastAsia="微软雅黑" w:cs="微软雅黑"/>
          <w:b/>
          <w:color w:val="auto"/>
          <w:szCs w:val="21"/>
          <w:highlight w:val="none"/>
        </w:rPr>
      </w:pPr>
    </w:p>
    <w:p>
      <w:pPr>
        <w:pStyle w:val="57"/>
        <w:shd w:val="clear"/>
        <w:spacing w:line="360" w:lineRule="exact"/>
        <w:ind w:firstLine="200"/>
        <w:jc w:val="cente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第二部分 合同一般条款</w:t>
      </w:r>
      <w:bookmarkEnd w:id="1661"/>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662" w:name="_Toc510"/>
      <w:bookmarkStart w:id="1663" w:name="_Toc16687"/>
      <w:bookmarkStart w:id="1664" w:name="_Toc28763"/>
      <w:bookmarkStart w:id="1665" w:name="_Toc26936"/>
      <w:bookmarkStart w:id="1666" w:name="_Ref467379094"/>
      <w:bookmarkStart w:id="1667" w:name="_Toc115"/>
      <w:bookmarkStart w:id="1668" w:name="_Toc259093669"/>
      <w:bookmarkStart w:id="1669" w:name="_Toc2485"/>
      <w:bookmarkStart w:id="1670" w:name="_Toc16917"/>
      <w:bookmarkStart w:id="1671" w:name="_Toc18165"/>
      <w:bookmarkStart w:id="1672" w:name="_Toc30877"/>
      <w:bookmarkStart w:id="1673" w:name="_Toc14827"/>
      <w:bookmarkStart w:id="1674" w:name="_Toc29659"/>
      <w:bookmarkStart w:id="1675" w:name="_Ref467379101"/>
      <w:bookmarkStart w:id="1676" w:name="_Toc28547"/>
      <w:bookmarkStart w:id="1677" w:name="_Toc20709"/>
      <w:bookmarkStart w:id="1678" w:name="_Ref467379205"/>
      <w:bookmarkStart w:id="1679" w:name="_Toc14065"/>
      <w:bookmarkStart w:id="1680" w:name="_Ref467378499"/>
      <w:bookmarkStart w:id="1681" w:name="_Toc17718"/>
      <w:bookmarkStart w:id="1682" w:name="_Toc487900349"/>
      <w:bookmarkStart w:id="1683" w:name="_Toc8206"/>
      <w:bookmarkStart w:id="1684" w:name="_Toc32624"/>
      <w:bookmarkStart w:id="1685" w:name="_Toc16593"/>
      <w:bookmarkStart w:id="1686" w:name="_Toc6280"/>
      <w:bookmarkStart w:id="1687" w:name="_Toc25554"/>
      <w:bookmarkStart w:id="1688" w:name="_Toc26415"/>
      <w:bookmarkStart w:id="1689" w:name="_Toc5579"/>
      <w:bookmarkStart w:id="1690" w:name="_Toc1241"/>
      <w:bookmarkStart w:id="1691" w:name="_Toc29158"/>
      <w:bookmarkStart w:id="1692" w:name="_Toc3091"/>
      <w:bookmarkStart w:id="1693" w:name="_Toc19614"/>
      <w:bookmarkStart w:id="1694" w:name="_Toc15647"/>
      <w:bookmarkStart w:id="1695" w:name="_Ref467378404"/>
      <w:bookmarkStart w:id="1696" w:name="_Toc26822"/>
      <w:bookmarkStart w:id="1697" w:name="_Toc2034"/>
      <w:bookmarkStart w:id="1698" w:name="_Toc578"/>
      <w:bookmarkStart w:id="1699" w:name="_Toc31417"/>
      <w:bookmarkStart w:id="1700" w:name="_Ref467378463"/>
      <w:bookmarkStart w:id="1701" w:name="_Toc13888"/>
      <w:bookmarkStart w:id="1702" w:name="_Toc1596"/>
      <w:bookmarkStart w:id="1703" w:name="_Toc15296"/>
      <w:bookmarkStart w:id="1704" w:name="_Ref467379225"/>
      <w:bookmarkStart w:id="1705" w:name="_Ref467379109"/>
      <w:bookmarkStart w:id="1706" w:name="_Toc12488"/>
      <w:bookmarkStart w:id="1707" w:name="_Toc279701240"/>
      <w:bookmarkStart w:id="1708" w:name="_Toc28992"/>
      <w:bookmarkStart w:id="1709" w:name="_Ref467379214"/>
      <w:bookmarkStart w:id="1710" w:name="_Ref467379195"/>
      <w:r>
        <w:rPr>
          <w:rFonts w:hint="eastAsia" w:ascii="微软雅黑" w:hAnsi="微软雅黑" w:eastAsia="微软雅黑" w:cs="微软雅黑"/>
          <w:b/>
          <w:color w:val="auto"/>
          <w:szCs w:val="21"/>
          <w:highlight w:val="none"/>
        </w:rPr>
        <w:t>2.1 定义</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本合同中的下列词语应按以下内容进行解释：</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2.1.1 “合同”系指采购人和中标供应商签订的载明双方当事人所达成的协议，并包括所有的附件、附录和构成合同的其他文件。</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2.1.2 “合同价”系指根据合同约定，中标供应商在完全履行合同义务后，采购人应支付给中标供应商的价格。</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2.1.3 “货物”系指中标供应商根据合同约定应向采购人交付的一切各种形态和种类的物品，包括原材料、燃料、设备、机械、仪表、备件、计算机软件、产品等，并包括工具、手册等其他相关资料。</w:t>
      </w:r>
    </w:p>
    <w:p>
      <w:pPr>
        <w:shd w:val="clear"/>
        <w:spacing w:line="360" w:lineRule="exact"/>
        <w:ind w:firstLine="420" w:firstLineChars="200"/>
        <w:rPr>
          <w:rFonts w:hint="eastAsia" w:ascii="微软雅黑" w:hAnsi="微软雅黑" w:eastAsia="微软雅黑" w:cs="微软雅黑"/>
          <w:color w:val="auto"/>
          <w:szCs w:val="21"/>
          <w:highlight w:val="none"/>
        </w:rPr>
      </w:pPr>
      <w:bookmarkStart w:id="1711" w:name="_Ref467378840"/>
      <w:r>
        <w:rPr>
          <w:rFonts w:hint="eastAsia" w:ascii="微软雅黑" w:hAnsi="微软雅黑" w:eastAsia="微软雅黑" w:cs="微软雅黑"/>
          <w:color w:val="auto"/>
          <w:szCs w:val="21"/>
          <w:highlight w:val="none"/>
        </w:rPr>
        <w:t>2.1.4 “甲方”系指与中标供应商签署合同的采购人</w:t>
      </w:r>
      <w:bookmarkEnd w:id="1711"/>
      <w:r>
        <w:rPr>
          <w:rFonts w:hint="eastAsia" w:ascii="微软雅黑" w:hAnsi="微软雅黑" w:eastAsia="微软雅黑" w:cs="微软雅黑"/>
          <w:color w:val="auto"/>
          <w:szCs w:val="21"/>
          <w:highlight w:val="none"/>
        </w:rPr>
        <w:t>；采购人委托采购代理机构代表其与乙方签订合同的，采购人的授权委托书作为合同附件。</w:t>
      </w:r>
    </w:p>
    <w:p>
      <w:pPr>
        <w:shd w:val="clear"/>
        <w:spacing w:line="360" w:lineRule="exact"/>
        <w:ind w:firstLine="420" w:firstLineChars="200"/>
        <w:rPr>
          <w:rFonts w:hint="eastAsia" w:ascii="微软雅黑" w:hAnsi="微软雅黑" w:eastAsia="微软雅黑" w:cs="微软雅黑"/>
          <w:color w:val="auto"/>
          <w:szCs w:val="21"/>
          <w:highlight w:val="none"/>
        </w:rPr>
      </w:pPr>
      <w:bookmarkStart w:id="1712" w:name="_Ref467379400"/>
      <w:r>
        <w:rPr>
          <w:rFonts w:hint="eastAsia" w:ascii="微软雅黑" w:hAnsi="微软雅黑" w:eastAsia="微软雅黑" w:cs="微软雅黑"/>
          <w:color w:val="auto"/>
          <w:szCs w:val="21"/>
          <w:highlight w:val="none"/>
        </w:rPr>
        <w:t>2.1.5 “乙方”系指根据合同约定交付货物的中标供应商</w:t>
      </w:r>
      <w:bookmarkEnd w:id="1712"/>
      <w:r>
        <w:rPr>
          <w:rFonts w:hint="eastAsia" w:ascii="微软雅黑" w:hAnsi="微软雅黑" w:eastAsia="微软雅黑" w:cs="微软雅黑"/>
          <w:color w:val="auto"/>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360" w:lineRule="exact"/>
        <w:ind w:firstLine="420" w:firstLineChars="200"/>
        <w:rPr>
          <w:rFonts w:hint="eastAsia" w:ascii="微软雅黑" w:hAnsi="微软雅黑" w:eastAsia="微软雅黑" w:cs="微软雅黑"/>
          <w:color w:val="auto"/>
          <w:szCs w:val="21"/>
          <w:highlight w:val="none"/>
        </w:rPr>
      </w:pPr>
      <w:bookmarkStart w:id="1713" w:name="_Ref467379436"/>
      <w:r>
        <w:rPr>
          <w:rFonts w:hint="eastAsia" w:ascii="微软雅黑" w:hAnsi="微软雅黑" w:eastAsia="微软雅黑" w:cs="微软雅黑"/>
          <w:color w:val="auto"/>
          <w:szCs w:val="21"/>
          <w:highlight w:val="none"/>
        </w:rPr>
        <w:t>2.1.6 “现场”系指合同约定货物将要运至或者安装的地点。</w:t>
      </w:r>
      <w:bookmarkEnd w:id="1713"/>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714" w:name="_Toc32504"/>
      <w:bookmarkStart w:id="1715" w:name="_Toc24792"/>
      <w:bookmarkStart w:id="1716" w:name="_Toc27635"/>
      <w:bookmarkStart w:id="1717" w:name="_Toc5592"/>
      <w:bookmarkStart w:id="1718" w:name="_Toc487900350"/>
      <w:bookmarkStart w:id="1719" w:name="_Toc20046"/>
      <w:bookmarkStart w:id="1720" w:name="_Toc25521"/>
      <w:bookmarkStart w:id="1721" w:name="_Toc8440"/>
      <w:bookmarkStart w:id="1722" w:name="_Toc7130"/>
      <w:bookmarkStart w:id="1723" w:name="_Toc1352"/>
      <w:bookmarkStart w:id="1724" w:name="_Toc1221"/>
      <w:bookmarkStart w:id="1725" w:name="_Toc20726"/>
      <w:bookmarkStart w:id="1726" w:name="_Toc16564"/>
      <w:bookmarkStart w:id="1727" w:name="_Toc18801"/>
      <w:bookmarkStart w:id="1728" w:name="_Toc279701241"/>
      <w:bookmarkStart w:id="1729" w:name="_Toc10183"/>
      <w:bookmarkStart w:id="1730" w:name="_Toc24523"/>
      <w:bookmarkStart w:id="1731" w:name="_Toc15848"/>
      <w:bookmarkStart w:id="1732" w:name="_Toc259093670"/>
      <w:bookmarkStart w:id="1733" w:name="_Toc22122"/>
      <w:bookmarkStart w:id="1734" w:name="_Toc7416"/>
      <w:bookmarkStart w:id="1735" w:name="_Toc13336"/>
      <w:bookmarkStart w:id="1736" w:name="_Toc3949"/>
      <w:bookmarkStart w:id="1737" w:name="_Toc21145"/>
      <w:bookmarkStart w:id="1738" w:name="_Toc6897"/>
      <w:bookmarkStart w:id="1739" w:name="_Toc4183"/>
      <w:bookmarkStart w:id="1740" w:name="_Toc1183"/>
      <w:bookmarkStart w:id="1741" w:name="_Toc24448"/>
      <w:bookmarkStart w:id="1742" w:name="_Toc11142"/>
      <w:bookmarkStart w:id="1743" w:name="_Toc22104"/>
      <w:bookmarkStart w:id="1744" w:name="_Toc16045"/>
      <w:bookmarkStart w:id="1745" w:name="_Toc17151"/>
      <w:bookmarkStart w:id="1746" w:name="_Toc10855"/>
      <w:bookmarkStart w:id="1747" w:name="_Toc29311"/>
      <w:bookmarkStart w:id="1748" w:name="_Toc1447"/>
      <w:bookmarkStart w:id="1749" w:name="_Toc19504"/>
      <w:bookmarkStart w:id="1750" w:name="_Toc18672"/>
      <w:bookmarkStart w:id="1751" w:name="_Toc25266"/>
      <w:bookmarkStart w:id="1752" w:name="_Toc23689"/>
      <w:r>
        <w:rPr>
          <w:rFonts w:hint="eastAsia" w:ascii="微软雅黑" w:hAnsi="微软雅黑" w:eastAsia="微软雅黑" w:cs="微软雅黑"/>
          <w:b/>
          <w:color w:val="auto"/>
          <w:szCs w:val="21"/>
          <w:highlight w:val="none"/>
        </w:rPr>
        <w:t>2.2 技术规范</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753" w:name="_Toc975"/>
      <w:bookmarkStart w:id="1754" w:name="_Toc487900351"/>
      <w:bookmarkStart w:id="1755" w:name="_Toc31634"/>
      <w:bookmarkStart w:id="1756" w:name="_Toc23791"/>
      <w:bookmarkStart w:id="1757" w:name="_Toc23649"/>
      <w:bookmarkStart w:id="1758" w:name="_Toc994"/>
      <w:bookmarkStart w:id="1759" w:name="_Toc20130"/>
      <w:bookmarkStart w:id="1760" w:name="_Toc2450"/>
      <w:bookmarkStart w:id="1761" w:name="_Toc22627"/>
      <w:bookmarkStart w:id="1762" w:name="_Toc15227"/>
      <w:bookmarkStart w:id="1763" w:name="_Toc16609"/>
      <w:bookmarkStart w:id="1764" w:name="_Toc3854"/>
      <w:bookmarkStart w:id="1765" w:name="_Toc30527"/>
      <w:bookmarkStart w:id="1766" w:name="_Toc27983"/>
      <w:bookmarkStart w:id="1767" w:name="_Toc27853"/>
      <w:bookmarkStart w:id="1768" w:name="_Toc25750"/>
      <w:bookmarkStart w:id="1769" w:name="_Toc24537"/>
      <w:bookmarkStart w:id="1770" w:name="_Toc19084"/>
      <w:bookmarkStart w:id="1771" w:name="_Toc32048"/>
      <w:bookmarkStart w:id="1772" w:name="_Toc22979"/>
      <w:bookmarkStart w:id="1773" w:name="_Toc10732"/>
      <w:bookmarkStart w:id="1774" w:name="_Toc259093671"/>
      <w:bookmarkStart w:id="1775" w:name="_Toc279701242"/>
      <w:bookmarkStart w:id="1776" w:name="_Toc6581"/>
      <w:bookmarkStart w:id="1777" w:name="_Toc14437"/>
      <w:bookmarkStart w:id="1778" w:name="_Toc30700"/>
      <w:bookmarkStart w:id="1779" w:name="_Toc15733"/>
      <w:bookmarkStart w:id="1780" w:name="_Toc14632"/>
      <w:bookmarkStart w:id="1781" w:name="_Toc14978"/>
      <w:bookmarkStart w:id="1782" w:name="_Toc24940"/>
      <w:bookmarkStart w:id="1783" w:name="_Toc6121"/>
      <w:bookmarkStart w:id="1784" w:name="_Toc22663"/>
      <w:bookmarkStart w:id="1785" w:name="_Toc7722"/>
      <w:bookmarkStart w:id="1786" w:name="_Toc30287"/>
      <w:bookmarkStart w:id="1787" w:name="_Toc30552"/>
      <w:bookmarkStart w:id="1788" w:name="_Toc4029"/>
      <w:bookmarkStart w:id="1789" w:name="_Toc5708"/>
      <w:bookmarkStart w:id="1790" w:name="_Toc9829"/>
      <w:bookmarkStart w:id="1791" w:name="_Toc4916"/>
      <w:r>
        <w:rPr>
          <w:rFonts w:hint="eastAsia" w:ascii="微软雅黑" w:hAnsi="微软雅黑" w:eastAsia="微软雅黑" w:cs="微软雅黑"/>
          <w:b/>
          <w:color w:val="auto"/>
          <w:szCs w:val="21"/>
          <w:highlight w:val="none"/>
        </w:rPr>
        <w:t>2.3 知识产权</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2.3.2具有知识产权的计算机软件等货物的知识产权归属，详见</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792" w:name="_Toc7492"/>
      <w:bookmarkStart w:id="1793" w:name="_Toc26731"/>
      <w:bookmarkStart w:id="1794" w:name="_Toc18967"/>
      <w:bookmarkStart w:id="1795" w:name="_Toc11932"/>
      <w:bookmarkStart w:id="1796" w:name="_Toc22398"/>
      <w:bookmarkStart w:id="1797" w:name="_Toc11241"/>
      <w:bookmarkStart w:id="1798" w:name="_Toc25767"/>
      <w:bookmarkStart w:id="1799" w:name="_Toc6781"/>
      <w:bookmarkStart w:id="1800" w:name="_Toc17080"/>
      <w:bookmarkStart w:id="1801" w:name="_Toc12105"/>
      <w:bookmarkStart w:id="1802" w:name="_Toc10546"/>
      <w:bookmarkStart w:id="1803" w:name="_Toc8260"/>
      <w:bookmarkStart w:id="1804" w:name="_Toc5819"/>
      <w:bookmarkStart w:id="1805" w:name="_Toc64"/>
      <w:bookmarkStart w:id="1806" w:name="_Toc19638"/>
      <w:bookmarkStart w:id="1807" w:name="_Toc5395"/>
      <w:bookmarkStart w:id="1808" w:name="_Toc22084"/>
      <w:bookmarkStart w:id="1809" w:name="_Toc20378"/>
      <w:bookmarkStart w:id="1810" w:name="_Toc16949"/>
      <w:bookmarkStart w:id="1811" w:name="_Toc29149"/>
      <w:bookmarkStart w:id="1812" w:name="_Toc20620"/>
      <w:bookmarkStart w:id="1813" w:name="_Toc3486"/>
      <w:bookmarkStart w:id="1814" w:name="_Toc7771"/>
      <w:bookmarkStart w:id="1815" w:name="_Toc7613"/>
      <w:bookmarkStart w:id="1816" w:name="_Toc18554"/>
      <w:bookmarkStart w:id="1817" w:name="_Toc28714"/>
      <w:bookmarkStart w:id="1818" w:name="_Toc12219"/>
      <w:bookmarkStart w:id="1819" w:name="_Toc523"/>
      <w:bookmarkStart w:id="1820" w:name="_Toc10970"/>
      <w:bookmarkStart w:id="1821" w:name="_Toc16928"/>
      <w:bookmarkStart w:id="1822" w:name="_Toc16163"/>
      <w:bookmarkStart w:id="1823" w:name="_Toc9470"/>
      <w:bookmarkStart w:id="1824" w:name="_Toc4194"/>
      <w:bookmarkStart w:id="1825" w:name="_Toc23105"/>
      <w:bookmarkStart w:id="1826" w:name="_Toc28684"/>
      <w:bookmarkStart w:id="1827" w:name="_Toc17680"/>
      <w:r>
        <w:rPr>
          <w:rFonts w:hint="eastAsia" w:ascii="微软雅黑" w:hAnsi="微软雅黑" w:eastAsia="微软雅黑" w:cs="微软雅黑"/>
          <w:b/>
          <w:color w:val="auto"/>
          <w:szCs w:val="21"/>
          <w:highlight w:val="none"/>
        </w:rPr>
        <w:t>2.4 包装和装运</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2.4.1除</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2.4.2 装运货物的要求和通知，详见</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828" w:name="_Ref467378591"/>
      <w:bookmarkStart w:id="1829" w:name="_Ref467379536"/>
      <w:bookmarkStart w:id="1830" w:name="_Toc259093674"/>
      <w:bookmarkStart w:id="1831" w:name="_Ref467379542"/>
      <w:bookmarkStart w:id="1832" w:name="_Toc279701245"/>
      <w:bookmarkStart w:id="1833" w:name="_Toc487900354"/>
      <w:bookmarkStart w:id="1834" w:name="_Ref467378541"/>
      <w:bookmarkStart w:id="1835" w:name="_Ref467379527"/>
      <w:bookmarkStart w:id="1836" w:name="_Toc12428"/>
      <w:bookmarkStart w:id="1837" w:name="_Toc3427"/>
      <w:bookmarkStart w:id="1838" w:name="_Toc13458"/>
      <w:bookmarkStart w:id="1839" w:name="_Toc27540"/>
      <w:bookmarkStart w:id="1840" w:name="_Toc32763"/>
      <w:bookmarkStart w:id="1841" w:name="_Toc30272"/>
      <w:bookmarkStart w:id="1842" w:name="_Toc5927"/>
      <w:bookmarkStart w:id="1843" w:name="_Toc23073"/>
      <w:bookmarkStart w:id="1844" w:name="_Toc3579"/>
      <w:bookmarkStart w:id="1845" w:name="_Toc18307"/>
      <w:bookmarkStart w:id="1846" w:name="_Toc19074"/>
      <w:bookmarkStart w:id="1847" w:name="_Toc18834"/>
      <w:bookmarkStart w:id="1848" w:name="_Toc4831"/>
      <w:bookmarkStart w:id="1849" w:name="_Toc1336"/>
      <w:bookmarkStart w:id="1850" w:name="_Toc28324"/>
      <w:bookmarkStart w:id="1851" w:name="_Toc26182"/>
      <w:bookmarkStart w:id="1852" w:name="_Toc13671"/>
      <w:bookmarkStart w:id="1853" w:name="_Toc14904"/>
      <w:bookmarkStart w:id="1854" w:name="_Toc11904"/>
      <w:bookmarkStart w:id="1855" w:name="_Toc30516"/>
      <w:bookmarkStart w:id="1856" w:name="_Toc2815"/>
      <w:bookmarkStart w:id="1857" w:name="_Toc17075"/>
      <w:bookmarkStart w:id="1858" w:name="_Toc7292"/>
      <w:bookmarkStart w:id="1859" w:name="_Toc24299"/>
      <w:bookmarkStart w:id="1860" w:name="_Toc21198"/>
      <w:bookmarkStart w:id="1861" w:name="_Toc21410"/>
      <w:bookmarkStart w:id="1862" w:name="_Toc24935"/>
      <w:bookmarkStart w:id="1863" w:name="_Toc7299"/>
      <w:bookmarkStart w:id="1864" w:name="_Toc15512"/>
      <w:bookmarkStart w:id="1865" w:name="_Toc2628"/>
      <w:bookmarkStart w:id="1866" w:name="_Toc18515"/>
      <w:bookmarkStart w:id="1867" w:name="_Toc25149"/>
      <w:bookmarkStart w:id="1868" w:name="_Toc18162"/>
      <w:bookmarkStart w:id="1869" w:name="_Toc22648"/>
      <w:bookmarkStart w:id="1870" w:name="_Toc28937"/>
      <w:r>
        <w:rPr>
          <w:rFonts w:hint="eastAsia" w:ascii="微软雅黑" w:hAnsi="微软雅黑" w:eastAsia="微软雅黑" w:cs="微软雅黑"/>
          <w:b/>
          <w:color w:val="auto"/>
          <w:szCs w:val="21"/>
          <w:highlight w:val="none"/>
        </w:rPr>
        <w:t>2.</w:t>
      </w:r>
      <w:bookmarkEnd w:id="1828"/>
      <w:bookmarkEnd w:id="1829"/>
      <w:bookmarkEnd w:id="1830"/>
      <w:bookmarkEnd w:id="1831"/>
      <w:bookmarkEnd w:id="1832"/>
      <w:bookmarkEnd w:id="1833"/>
      <w:bookmarkEnd w:id="1834"/>
      <w:bookmarkEnd w:id="1835"/>
      <w:r>
        <w:rPr>
          <w:rFonts w:hint="eastAsia" w:ascii="微软雅黑" w:hAnsi="微软雅黑" w:eastAsia="微软雅黑" w:cs="微软雅黑"/>
          <w:b/>
          <w:color w:val="auto"/>
          <w:szCs w:val="21"/>
          <w:highlight w:val="none"/>
        </w:rPr>
        <w:t>5 履约检查和问题反馈</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shd w:val="clear"/>
        <w:spacing w:line="360" w:lineRule="exact"/>
        <w:ind w:firstLine="420" w:firstLineChars="200"/>
        <w:rPr>
          <w:rFonts w:hint="eastAsia" w:ascii="微软雅黑" w:hAnsi="微软雅黑" w:eastAsia="微软雅黑" w:cs="微软雅黑"/>
          <w:color w:val="auto"/>
          <w:szCs w:val="21"/>
          <w:highlight w:val="none"/>
        </w:rPr>
      </w:pPr>
      <w:bookmarkStart w:id="1871" w:name="_Ref467379657"/>
      <w:r>
        <w:rPr>
          <w:rFonts w:hint="eastAsia" w:ascii="微软雅黑" w:hAnsi="微软雅黑" w:eastAsia="微软雅黑" w:cs="微软雅黑"/>
          <w:color w:val="auto"/>
          <w:szCs w:val="21"/>
          <w:highlight w:val="none"/>
        </w:rPr>
        <w:t>2.5.1</w:t>
      </w:r>
      <w:bookmarkEnd w:id="1871"/>
      <w:bookmarkStart w:id="1872" w:name="_Toc186431854"/>
      <w:bookmarkStart w:id="1873" w:name="_Toc259093676"/>
      <w:bookmarkStart w:id="1874" w:name="_Ref467379807"/>
      <w:bookmarkStart w:id="1875" w:name="_Toc279701247"/>
      <w:bookmarkStart w:id="1876" w:name="_Toc487900357"/>
      <w:bookmarkStart w:id="1877" w:name="_Ref467379793"/>
      <w:r>
        <w:rPr>
          <w:rFonts w:hint="eastAsia" w:ascii="微软雅黑" w:hAnsi="微软雅黑" w:eastAsia="微软雅黑" w:cs="微软雅黑"/>
          <w:color w:val="auto"/>
          <w:szCs w:val="21"/>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2.5.2 合同履行期间，甲方有权将履行过程中出现的问题反馈给乙方，双方当事人应以书面形式约定需要完善和改进的内容</w:t>
      </w:r>
      <w:bookmarkEnd w:id="1872"/>
      <w:bookmarkStart w:id="1878" w:name="_Toc186431855"/>
      <w:r>
        <w:rPr>
          <w:rFonts w:hint="eastAsia" w:ascii="微软雅黑" w:hAnsi="微软雅黑" w:eastAsia="微软雅黑" w:cs="微软雅黑"/>
          <w:color w:val="auto"/>
          <w:szCs w:val="21"/>
          <w:highlight w:val="none"/>
        </w:rPr>
        <w:t>。</w:t>
      </w:r>
    </w:p>
    <w:bookmarkEnd w:id="1878"/>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879" w:name="_Toc9092"/>
      <w:bookmarkStart w:id="1880" w:name="_Toc234"/>
      <w:bookmarkStart w:id="1881" w:name="_Toc17283"/>
      <w:bookmarkStart w:id="1882" w:name="_Toc12360"/>
      <w:bookmarkStart w:id="1883" w:name="_Toc2067"/>
      <w:bookmarkStart w:id="1884" w:name="_Toc23408"/>
      <w:bookmarkStart w:id="1885" w:name="_Toc6603"/>
      <w:bookmarkStart w:id="1886" w:name="_Toc567"/>
      <w:bookmarkStart w:id="1887" w:name="_Toc5029"/>
      <w:bookmarkStart w:id="1888" w:name="_Toc5304"/>
      <w:bookmarkStart w:id="1889" w:name="_Toc26298"/>
      <w:bookmarkStart w:id="1890" w:name="_Toc31520"/>
      <w:bookmarkStart w:id="1891" w:name="_Toc13559"/>
      <w:bookmarkStart w:id="1892" w:name="_Toc8304"/>
      <w:bookmarkStart w:id="1893" w:name="_Toc31002"/>
      <w:bookmarkStart w:id="1894" w:name="_Toc25739"/>
      <w:bookmarkStart w:id="1895" w:name="_Toc582"/>
      <w:bookmarkStart w:id="1896" w:name="_Toc31014"/>
      <w:bookmarkStart w:id="1897" w:name="_Toc23261"/>
      <w:bookmarkStart w:id="1898" w:name="_Toc3963"/>
      <w:bookmarkStart w:id="1899" w:name="_Toc32592"/>
      <w:bookmarkStart w:id="1900" w:name="_Toc25745"/>
      <w:bookmarkStart w:id="1901" w:name="_Toc31711"/>
      <w:bookmarkStart w:id="1902" w:name="_Toc4239"/>
      <w:bookmarkStart w:id="1903" w:name="_Toc32334"/>
      <w:bookmarkStart w:id="1904" w:name="_Toc26660"/>
      <w:bookmarkStart w:id="1905" w:name="_Toc23553"/>
      <w:bookmarkStart w:id="1906" w:name="_Toc11270"/>
      <w:bookmarkStart w:id="1907" w:name="_Toc7836"/>
      <w:bookmarkStart w:id="1908" w:name="_Toc12377"/>
      <w:bookmarkStart w:id="1909" w:name="_Toc10980"/>
      <w:bookmarkStart w:id="1910" w:name="_Toc19219"/>
      <w:bookmarkStart w:id="1911" w:name="_Toc11522"/>
      <w:bookmarkStart w:id="1912" w:name="_Toc26232"/>
      <w:r>
        <w:rPr>
          <w:rFonts w:hint="eastAsia" w:ascii="微软雅黑" w:hAnsi="微软雅黑" w:eastAsia="微软雅黑" w:cs="微软雅黑"/>
          <w:b/>
          <w:color w:val="auto"/>
          <w:szCs w:val="21"/>
          <w:highlight w:val="none"/>
        </w:rPr>
        <w:t>2.6 结算方式和付款条件</w:t>
      </w:r>
      <w:bookmarkEnd w:id="1873"/>
      <w:bookmarkEnd w:id="1874"/>
      <w:bookmarkEnd w:id="1875"/>
      <w:bookmarkEnd w:id="1876"/>
      <w:bookmarkEnd w:id="1877"/>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详见</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913" w:name="_Ref467379923"/>
      <w:bookmarkStart w:id="1914" w:name="_Toc487900358"/>
      <w:bookmarkStart w:id="1915" w:name="_Ref467379863"/>
      <w:bookmarkStart w:id="1916" w:name="_Toc279701248"/>
      <w:bookmarkStart w:id="1917" w:name="_Toc259093677"/>
      <w:bookmarkStart w:id="1918" w:name="_Ref467379852"/>
      <w:bookmarkStart w:id="1919" w:name="_Toc17136"/>
      <w:bookmarkStart w:id="1920" w:name="_Toc11236"/>
      <w:bookmarkStart w:id="1921" w:name="_Toc9845"/>
      <w:bookmarkStart w:id="1922" w:name="_Toc1200"/>
      <w:bookmarkStart w:id="1923" w:name="_Toc10595"/>
      <w:bookmarkStart w:id="1924" w:name="_Toc27454"/>
      <w:bookmarkStart w:id="1925" w:name="_Toc22305"/>
      <w:bookmarkStart w:id="1926" w:name="_Toc30098"/>
      <w:bookmarkStart w:id="1927" w:name="_Toc13711"/>
      <w:bookmarkStart w:id="1928" w:name="_Toc28781"/>
      <w:bookmarkStart w:id="1929" w:name="_Toc16110"/>
      <w:bookmarkStart w:id="1930" w:name="_Toc17051"/>
      <w:bookmarkStart w:id="1931" w:name="_Toc17607"/>
      <w:bookmarkStart w:id="1932" w:name="_Toc9619"/>
      <w:bookmarkStart w:id="1933" w:name="_Toc8995"/>
      <w:bookmarkStart w:id="1934" w:name="_Toc5979"/>
      <w:bookmarkStart w:id="1935" w:name="_Toc31305"/>
      <w:bookmarkStart w:id="1936" w:name="_Toc12169"/>
      <w:bookmarkStart w:id="1937" w:name="_Toc13023"/>
      <w:bookmarkStart w:id="1938" w:name="_Toc17630"/>
      <w:bookmarkStart w:id="1939" w:name="_Toc16459"/>
      <w:bookmarkStart w:id="1940" w:name="_Toc11615"/>
      <w:bookmarkStart w:id="1941" w:name="_Toc27835"/>
      <w:bookmarkStart w:id="1942" w:name="_Toc774"/>
      <w:bookmarkStart w:id="1943" w:name="_Toc29489"/>
      <w:bookmarkStart w:id="1944" w:name="_Toc18747"/>
      <w:bookmarkStart w:id="1945" w:name="_Toc29616"/>
      <w:bookmarkStart w:id="1946" w:name="_Toc10114"/>
      <w:bookmarkStart w:id="1947" w:name="_Toc29885"/>
      <w:bookmarkStart w:id="1948" w:name="_Toc26143"/>
      <w:bookmarkStart w:id="1949" w:name="_Toc3225"/>
      <w:bookmarkStart w:id="1950" w:name="_Toc29030"/>
      <w:bookmarkStart w:id="1951" w:name="_Toc14491"/>
      <w:bookmarkStart w:id="1952" w:name="_Toc21436"/>
      <w:bookmarkStart w:id="1953" w:name="_Toc21848"/>
      <w:bookmarkStart w:id="1954" w:name="_Toc31971"/>
      <w:r>
        <w:rPr>
          <w:rFonts w:hint="eastAsia" w:ascii="微软雅黑" w:hAnsi="微软雅黑" w:eastAsia="微软雅黑" w:cs="微软雅黑"/>
          <w:b/>
          <w:color w:val="auto"/>
          <w:szCs w:val="21"/>
          <w:highlight w:val="none"/>
        </w:rPr>
        <w:t>2.7 技术资料</w:t>
      </w:r>
      <w:bookmarkEnd w:id="1913"/>
      <w:bookmarkEnd w:id="1914"/>
      <w:bookmarkEnd w:id="1915"/>
      <w:bookmarkEnd w:id="1916"/>
      <w:bookmarkEnd w:id="1917"/>
      <w:bookmarkEnd w:id="1918"/>
      <w:r>
        <w:rPr>
          <w:rFonts w:hint="eastAsia" w:ascii="微软雅黑" w:hAnsi="微软雅黑" w:eastAsia="微软雅黑" w:cs="微软雅黑"/>
          <w:b/>
          <w:color w:val="auto"/>
          <w:szCs w:val="21"/>
          <w:highlight w:val="none"/>
        </w:rPr>
        <w:t>和保密义务</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2.7.1 乙方有权依据合同约定和项目需要，向甲方了解有关情况，调阅有关资料等，甲方应予积极配合；</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2.7.2 乙方有义务妥善保管和保护由甲方提供的前款信息和资料等；</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955" w:name="_Toc8288"/>
      <w:bookmarkStart w:id="1956" w:name="_Toc4587"/>
      <w:bookmarkStart w:id="1957" w:name="_Toc2432"/>
      <w:bookmarkStart w:id="1958" w:name="_Toc19122"/>
      <w:bookmarkStart w:id="1959" w:name="_Toc26262"/>
      <w:bookmarkStart w:id="1960" w:name="_Toc7860"/>
      <w:bookmarkStart w:id="1961" w:name="_Toc7374"/>
      <w:bookmarkStart w:id="1962" w:name="_Toc3156"/>
      <w:bookmarkStart w:id="1963" w:name="_Toc15967"/>
      <w:bookmarkStart w:id="1964" w:name="_Toc16435"/>
      <w:bookmarkStart w:id="1965" w:name="_Toc5321"/>
      <w:bookmarkStart w:id="1966" w:name="_Toc16190"/>
      <w:bookmarkStart w:id="1967" w:name="_Toc14935"/>
      <w:bookmarkStart w:id="1968" w:name="_Toc23081"/>
      <w:bookmarkStart w:id="1969" w:name="_Toc11328"/>
      <w:bookmarkStart w:id="1970" w:name="_Toc24921"/>
      <w:bookmarkStart w:id="1971" w:name="_Toc18231"/>
      <w:bookmarkStart w:id="1972" w:name="_Toc4354"/>
      <w:bookmarkStart w:id="1973" w:name="_Toc25567"/>
      <w:bookmarkStart w:id="1974" w:name="_Toc18551"/>
      <w:bookmarkStart w:id="1975" w:name="_Toc24049"/>
      <w:bookmarkStart w:id="1976" w:name="_Toc30477"/>
      <w:bookmarkStart w:id="1977" w:name="_Toc53"/>
      <w:bookmarkStart w:id="1978" w:name="_Toc5200"/>
      <w:bookmarkStart w:id="1979" w:name="_Toc5673"/>
      <w:bookmarkStart w:id="1980" w:name="_Toc27453"/>
      <w:bookmarkStart w:id="1981" w:name="_Toc10326"/>
      <w:bookmarkStart w:id="1982" w:name="_Toc27962"/>
      <w:bookmarkStart w:id="1983" w:name="_Toc7328"/>
      <w:bookmarkStart w:id="1984" w:name="_Toc30503"/>
      <w:bookmarkStart w:id="1985" w:name="_Toc30167"/>
      <w:bookmarkStart w:id="1986" w:name="_Toc21267"/>
      <w:bookmarkStart w:id="1987" w:name="_Toc11530"/>
      <w:r>
        <w:rPr>
          <w:rFonts w:hint="eastAsia" w:ascii="微软雅黑" w:hAnsi="微软雅黑" w:eastAsia="微软雅黑" w:cs="微软雅黑"/>
          <w:b/>
          <w:color w:val="auto"/>
          <w:szCs w:val="21"/>
          <w:highlight w:val="none"/>
        </w:rPr>
        <w:t>2.8 质量保证</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2.8.1 乙方应建立和完善履行合同的内部质量保证体系，并提供相关内部规章制度给甲方，以便甲方进行监督检查；</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2.8.2 乙方应保证履行合同的人员数量和素质、软件和硬件设备的配置、场地、环境和设施等满足全面履行合同的要求，并应接受甲方的监督检查。</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1988" w:name="_Toc26555"/>
      <w:bookmarkStart w:id="1989" w:name="_Toc15004"/>
      <w:bookmarkStart w:id="1990" w:name="_Toc17497"/>
      <w:bookmarkStart w:id="1991" w:name="_Toc12010"/>
      <w:bookmarkStart w:id="1992" w:name="_Toc15934"/>
      <w:bookmarkStart w:id="1993" w:name="_Toc27234"/>
      <w:bookmarkStart w:id="1994" w:name="_Toc15492"/>
      <w:bookmarkStart w:id="1995" w:name="_Toc27238"/>
      <w:bookmarkStart w:id="1996" w:name="_Toc17244"/>
      <w:bookmarkStart w:id="1997" w:name="_Toc28497"/>
      <w:bookmarkStart w:id="1998" w:name="_Toc2473"/>
      <w:bookmarkStart w:id="1999" w:name="_Toc13812"/>
      <w:bookmarkStart w:id="2000" w:name="_Toc31920"/>
      <w:bookmarkStart w:id="2001" w:name="_Toc812"/>
      <w:bookmarkStart w:id="2002" w:name="_Toc22464"/>
      <w:bookmarkStart w:id="2003" w:name="_Toc23172"/>
      <w:bookmarkStart w:id="2004" w:name="_Toc17030"/>
      <w:bookmarkStart w:id="2005" w:name="_Toc14596"/>
      <w:bookmarkStart w:id="2006" w:name="_Toc12966"/>
      <w:bookmarkStart w:id="2007" w:name="_Toc25549"/>
      <w:bookmarkStart w:id="2008" w:name="_Toc24251"/>
      <w:bookmarkStart w:id="2009" w:name="_Toc16901"/>
      <w:bookmarkStart w:id="2010" w:name="_Toc17032"/>
      <w:bookmarkStart w:id="2011" w:name="_Toc30757"/>
      <w:bookmarkStart w:id="2012" w:name="_Toc9169"/>
      <w:bookmarkStart w:id="2013" w:name="_Toc23417"/>
      <w:bookmarkStart w:id="2014" w:name="_Toc7046"/>
      <w:bookmarkStart w:id="2015" w:name="_Toc22330"/>
      <w:bookmarkStart w:id="2016" w:name="_Toc18817"/>
      <w:bookmarkStart w:id="2017" w:name="_Toc7598"/>
      <w:bookmarkStart w:id="2018" w:name="_Toc14663"/>
      <w:bookmarkStart w:id="2019" w:name="_Toc25529"/>
      <w:bookmarkStart w:id="2020" w:name="_Toc22016"/>
      <w:bookmarkStart w:id="2021" w:name="_Toc487900362"/>
      <w:bookmarkStart w:id="2022" w:name="_Toc259093681"/>
      <w:bookmarkStart w:id="2023" w:name="_Toc279701252"/>
      <w:r>
        <w:rPr>
          <w:rFonts w:hint="eastAsia" w:ascii="微软雅黑" w:hAnsi="微软雅黑" w:eastAsia="微软雅黑" w:cs="微软雅黑"/>
          <w:b/>
          <w:color w:val="auto"/>
          <w:szCs w:val="21"/>
          <w:highlight w:val="none"/>
        </w:rPr>
        <w:t>2.9 货物的风险负担</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shd w:val="clear"/>
        <w:spacing w:line="360" w:lineRule="exact"/>
        <w:ind w:firstLine="420" w:firstLineChars="200"/>
        <w:rPr>
          <w:rFonts w:hint="eastAsia" w:ascii="微软雅黑" w:hAnsi="微软雅黑" w:eastAsia="微软雅黑" w:cs="微软雅黑"/>
          <w:b/>
          <w:color w:val="auto"/>
          <w:szCs w:val="21"/>
          <w:highlight w:val="none"/>
        </w:rPr>
      </w:pPr>
      <w:r>
        <w:rPr>
          <w:rFonts w:hint="eastAsia" w:ascii="微软雅黑" w:hAnsi="微软雅黑" w:eastAsia="微软雅黑" w:cs="微软雅黑"/>
          <w:color w:val="auto"/>
          <w:szCs w:val="21"/>
          <w:highlight w:val="none"/>
        </w:rPr>
        <w:t>货物或者在途货物或者交付给第一承运人后的货物毁损、灭失的风险负担详见</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w:t>
      </w:r>
    </w:p>
    <w:p>
      <w:pPr>
        <w:shd w:val="clear"/>
        <w:spacing w:line="360" w:lineRule="exact"/>
        <w:ind w:firstLine="420" w:firstLineChars="200"/>
        <w:outlineLvl w:val="0"/>
        <w:rPr>
          <w:rFonts w:hint="eastAsia" w:ascii="微软雅黑" w:hAnsi="微软雅黑" w:eastAsia="微软雅黑" w:cs="微软雅黑"/>
          <w:b/>
          <w:color w:val="auto"/>
          <w:szCs w:val="21"/>
          <w:highlight w:val="none"/>
          <w:lang w:eastAsia="zh-CN"/>
        </w:rPr>
      </w:pPr>
      <w:bookmarkStart w:id="2024" w:name="_Toc29192"/>
      <w:bookmarkStart w:id="2025" w:name="_Toc14055"/>
      <w:bookmarkStart w:id="2026" w:name="_Toc2791"/>
      <w:bookmarkStart w:id="2027" w:name="_Toc15972"/>
      <w:bookmarkStart w:id="2028" w:name="_Toc22377"/>
      <w:bookmarkStart w:id="2029" w:name="_Toc2"/>
      <w:bookmarkStart w:id="2030" w:name="_Toc5196"/>
      <w:bookmarkStart w:id="2031" w:name="_Toc19684"/>
      <w:bookmarkStart w:id="2032" w:name="_Toc14698"/>
      <w:bookmarkStart w:id="2033" w:name="_Toc29837"/>
      <w:bookmarkStart w:id="2034" w:name="_Toc9067"/>
      <w:bookmarkStart w:id="2035" w:name="_Toc26567"/>
      <w:bookmarkStart w:id="2036" w:name="_Toc25663"/>
      <w:bookmarkStart w:id="2037" w:name="_Toc15465"/>
      <w:bookmarkStart w:id="2038" w:name="_Toc8328"/>
      <w:bookmarkStart w:id="2039" w:name="_Toc11963"/>
      <w:bookmarkStart w:id="2040" w:name="_Toc6602"/>
      <w:bookmarkStart w:id="2041" w:name="_Toc30533"/>
      <w:bookmarkStart w:id="2042" w:name="_Toc22674"/>
      <w:bookmarkStart w:id="2043" w:name="_Toc7986"/>
      <w:bookmarkStart w:id="2044" w:name="_Toc10328"/>
      <w:bookmarkStart w:id="2045" w:name="_Toc25703"/>
      <w:bookmarkStart w:id="2046" w:name="_Toc552"/>
      <w:bookmarkStart w:id="2047" w:name="_Toc31819"/>
      <w:bookmarkStart w:id="2048" w:name="_Toc5538"/>
      <w:bookmarkStart w:id="2049" w:name="_Toc19319"/>
      <w:bookmarkStart w:id="2050" w:name="_Toc13218"/>
      <w:bookmarkStart w:id="2051" w:name="_Toc2417"/>
      <w:bookmarkStart w:id="2052" w:name="_Toc6894"/>
      <w:bookmarkStart w:id="2053" w:name="_Toc7128"/>
      <w:bookmarkStart w:id="2054" w:name="_Toc4572"/>
      <w:bookmarkStart w:id="2055" w:name="_Toc1742"/>
      <w:bookmarkStart w:id="2056" w:name="_Toc604"/>
      <w:r>
        <w:rPr>
          <w:rFonts w:hint="eastAsia" w:ascii="微软雅黑" w:hAnsi="微软雅黑" w:eastAsia="微软雅黑" w:cs="微软雅黑"/>
          <w:b/>
          <w:color w:val="auto"/>
          <w:szCs w:val="21"/>
          <w:highlight w:val="none"/>
        </w:rPr>
        <w:t>2.10 延迟</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Pr>
          <w:rFonts w:hint="eastAsia" w:ascii="微软雅黑" w:hAnsi="微软雅黑" w:eastAsia="微软雅黑" w:cs="微软雅黑"/>
          <w:b/>
          <w:color w:val="auto"/>
          <w:szCs w:val="21"/>
          <w:highlight w:val="none"/>
          <w:lang w:eastAsia="zh-CN"/>
        </w:rPr>
        <w:t>供货</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w:t>
      </w:r>
      <w:r>
        <w:rPr>
          <w:rFonts w:hint="eastAsia" w:ascii="微软雅黑" w:hAnsi="微软雅黑" w:eastAsia="微软雅黑" w:cs="微软雅黑"/>
          <w:color w:val="auto"/>
          <w:szCs w:val="21"/>
          <w:highlight w:val="none"/>
          <w:lang w:eastAsia="zh-CN"/>
        </w:rPr>
        <w:t>供货</w:t>
      </w:r>
      <w:r>
        <w:rPr>
          <w:rFonts w:hint="eastAsia" w:ascii="微软雅黑" w:hAnsi="微软雅黑" w:eastAsia="微软雅黑" w:cs="微软雅黑"/>
          <w:color w:val="auto"/>
          <w:szCs w:val="21"/>
          <w:highlight w:val="none"/>
        </w:rPr>
        <w:t>的具体时间。</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057" w:name="_Toc17237"/>
      <w:bookmarkStart w:id="2058" w:name="_Toc29608"/>
      <w:bookmarkStart w:id="2059" w:name="_Toc25717"/>
      <w:bookmarkStart w:id="2060" w:name="_Toc14851"/>
      <w:bookmarkStart w:id="2061" w:name="_Toc3064"/>
      <w:bookmarkStart w:id="2062" w:name="_Toc7540"/>
      <w:bookmarkStart w:id="2063" w:name="_Toc18730"/>
      <w:bookmarkStart w:id="2064" w:name="_Toc31403"/>
      <w:bookmarkStart w:id="2065" w:name="_Toc25000"/>
      <w:bookmarkStart w:id="2066" w:name="_Toc6293"/>
      <w:bookmarkStart w:id="2067" w:name="_Toc9558"/>
      <w:bookmarkStart w:id="2068" w:name="_Toc4897"/>
      <w:bookmarkStart w:id="2069" w:name="_Toc27518"/>
      <w:bookmarkStart w:id="2070" w:name="_Toc1280"/>
      <w:bookmarkStart w:id="2071" w:name="_Toc8441"/>
      <w:bookmarkStart w:id="2072" w:name="_Toc12175"/>
      <w:bookmarkStart w:id="2073" w:name="_Toc28031"/>
      <w:bookmarkStart w:id="2074" w:name="_Toc31857"/>
      <w:bookmarkStart w:id="2075" w:name="_Toc2858"/>
      <w:bookmarkStart w:id="2076" w:name="_Toc15931"/>
      <w:bookmarkStart w:id="2077" w:name="_Toc1184"/>
      <w:bookmarkStart w:id="2078" w:name="_Toc16528"/>
      <w:bookmarkStart w:id="2079" w:name="_Toc507"/>
      <w:bookmarkStart w:id="2080" w:name="_Toc16810"/>
      <w:bookmarkStart w:id="2081" w:name="_Toc4586"/>
      <w:bookmarkStart w:id="2082" w:name="_Toc7444"/>
      <w:bookmarkStart w:id="2083" w:name="_Toc10016"/>
      <w:bookmarkStart w:id="2084" w:name="_Toc18704"/>
      <w:bookmarkStart w:id="2085" w:name="_Toc10995"/>
      <w:bookmarkStart w:id="2086" w:name="_Toc15143"/>
      <w:bookmarkStart w:id="2087" w:name="_Toc15877"/>
      <w:bookmarkStart w:id="2088" w:name="_Toc7502"/>
      <w:bookmarkStart w:id="2089" w:name="_Toc10956"/>
      <w:bookmarkStart w:id="2090" w:name="_Toc487900364"/>
      <w:bookmarkStart w:id="2091" w:name="_Ref467378121"/>
      <w:bookmarkStart w:id="2092" w:name="_Toc259093683"/>
      <w:bookmarkStart w:id="2093" w:name="_Toc279701254"/>
      <w:r>
        <w:rPr>
          <w:rFonts w:hint="eastAsia" w:ascii="微软雅黑" w:hAnsi="微软雅黑" w:eastAsia="微软雅黑" w:cs="微软雅黑"/>
          <w:b/>
          <w:color w:val="auto"/>
          <w:szCs w:val="21"/>
          <w:highlight w:val="none"/>
        </w:rPr>
        <w:t>2.11 合同变更</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2.11.2 合同继续履行将损害国家利益和社会公共利益的，双方当事人应当以书面形式变更合同。有过错的一方应当承担赔偿责任，双方当事人都有过错的，各自承担相应的责任。</w:t>
      </w:r>
      <w:bookmarkStart w:id="2094" w:name="_Toc279701259"/>
      <w:bookmarkStart w:id="2095" w:name="_Toc259093688"/>
      <w:bookmarkStart w:id="2096" w:name="_Toc487900369"/>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097" w:name="_Toc19406"/>
      <w:bookmarkStart w:id="2098" w:name="_Toc24511"/>
      <w:bookmarkStart w:id="2099" w:name="_Toc26224"/>
      <w:bookmarkStart w:id="2100" w:name="_Toc9984"/>
      <w:bookmarkStart w:id="2101" w:name="_Toc21146"/>
      <w:bookmarkStart w:id="2102" w:name="_Toc6988"/>
      <w:bookmarkStart w:id="2103" w:name="_Toc28626"/>
      <w:bookmarkStart w:id="2104" w:name="_Toc15457"/>
      <w:bookmarkStart w:id="2105" w:name="_Toc21525"/>
      <w:bookmarkStart w:id="2106" w:name="_Toc3931"/>
      <w:bookmarkStart w:id="2107" w:name="_Toc10537"/>
      <w:bookmarkStart w:id="2108" w:name="_Toc15237"/>
      <w:bookmarkStart w:id="2109" w:name="_Toc8431"/>
      <w:bookmarkStart w:id="2110" w:name="_Toc23079"/>
      <w:bookmarkStart w:id="2111" w:name="_Toc21357"/>
      <w:bookmarkStart w:id="2112" w:name="_Toc28849"/>
      <w:bookmarkStart w:id="2113" w:name="_Toc22955"/>
      <w:bookmarkStart w:id="2114" w:name="_Toc4212"/>
      <w:bookmarkStart w:id="2115" w:name="_Toc11626"/>
      <w:bookmarkStart w:id="2116" w:name="_Toc19380"/>
      <w:bookmarkStart w:id="2117" w:name="_Toc2157"/>
      <w:bookmarkStart w:id="2118" w:name="_Toc29865"/>
      <w:bookmarkStart w:id="2119" w:name="_Toc3825"/>
      <w:bookmarkStart w:id="2120" w:name="_Toc26864"/>
      <w:bookmarkStart w:id="2121" w:name="_Toc3928"/>
      <w:bookmarkStart w:id="2122" w:name="_Toc31619"/>
      <w:bookmarkStart w:id="2123" w:name="_Toc29703"/>
      <w:bookmarkStart w:id="2124" w:name="_Toc13446"/>
      <w:bookmarkStart w:id="2125" w:name="_Toc10366"/>
      <w:bookmarkStart w:id="2126" w:name="_Toc9031"/>
      <w:bookmarkStart w:id="2127" w:name="_Toc11573"/>
      <w:bookmarkStart w:id="2128" w:name="_Toc4389"/>
      <w:bookmarkStart w:id="2129" w:name="_Toc14895"/>
      <w:r>
        <w:rPr>
          <w:rFonts w:hint="eastAsia" w:ascii="微软雅黑" w:hAnsi="微软雅黑" w:eastAsia="微软雅黑" w:cs="微软雅黑"/>
          <w:b/>
          <w:color w:val="auto"/>
          <w:szCs w:val="21"/>
          <w:highlight w:val="none"/>
        </w:rPr>
        <w:t>2.12 合同转让</w:t>
      </w:r>
      <w:bookmarkEnd w:id="2094"/>
      <w:bookmarkEnd w:id="2095"/>
      <w:bookmarkEnd w:id="2096"/>
      <w:r>
        <w:rPr>
          <w:rFonts w:hint="eastAsia" w:ascii="微软雅黑" w:hAnsi="微软雅黑" w:eastAsia="微软雅黑" w:cs="微软雅黑"/>
          <w:b/>
          <w:color w:val="auto"/>
          <w:szCs w:val="21"/>
          <w:highlight w:val="none"/>
        </w:rPr>
        <w:t>和分包</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130" w:name="_Toc6918"/>
      <w:bookmarkStart w:id="2131" w:name="_Toc2908"/>
      <w:bookmarkStart w:id="2132" w:name="_Toc14066"/>
      <w:bookmarkStart w:id="2133" w:name="_Toc23990"/>
      <w:bookmarkStart w:id="2134" w:name="_Toc584"/>
      <w:bookmarkStart w:id="2135" w:name="_Toc16893"/>
      <w:bookmarkStart w:id="2136" w:name="_Toc13557"/>
      <w:bookmarkStart w:id="2137" w:name="_Toc8114"/>
      <w:bookmarkStart w:id="2138" w:name="_Toc9151"/>
      <w:bookmarkStart w:id="2139" w:name="_Toc27813"/>
      <w:bookmarkStart w:id="2140" w:name="_Toc11104"/>
      <w:bookmarkStart w:id="2141" w:name="_Toc32109"/>
      <w:bookmarkStart w:id="2142" w:name="_Toc12809"/>
      <w:bookmarkStart w:id="2143" w:name="_Toc5484"/>
      <w:bookmarkStart w:id="2144" w:name="_Toc19610"/>
      <w:bookmarkStart w:id="2145" w:name="_Toc6648"/>
      <w:bookmarkStart w:id="2146" w:name="_Toc29925"/>
      <w:bookmarkStart w:id="2147" w:name="_Toc16508"/>
      <w:bookmarkStart w:id="2148" w:name="_Toc31101"/>
      <w:bookmarkStart w:id="2149" w:name="_Toc14752"/>
      <w:bookmarkStart w:id="2150" w:name="_Toc32515"/>
      <w:bookmarkStart w:id="2151" w:name="_Toc18376"/>
      <w:bookmarkStart w:id="2152" w:name="_Toc13570"/>
      <w:bookmarkStart w:id="2153" w:name="_Toc3533"/>
      <w:bookmarkStart w:id="2154" w:name="_Toc15741"/>
      <w:bookmarkStart w:id="2155" w:name="_Toc17498"/>
      <w:bookmarkStart w:id="2156" w:name="_Toc4540"/>
      <w:bookmarkStart w:id="2157" w:name="_Toc2586"/>
      <w:bookmarkStart w:id="2158" w:name="_Toc8480"/>
      <w:bookmarkStart w:id="2159" w:name="_Toc6681"/>
      <w:bookmarkStart w:id="2160" w:name="_Toc17819"/>
      <w:bookmarkStart w:id="2161" w:name="_Toc24741"/>
      <w:bookmarkStart w:id="2162" w:name="_Toc11767"/>
      <w:bookmarkStart w:id="2163" w:name="_Toc2540"/>
      <w:r>
        <w:rPr>
          <w:rFonts w:hint="eastAsia" w:ascii="微软雅黑" w:hAnsi="微软雅黑" w:eastAsia="微软雅黑" w:cs="微软雅黑"/>
          <w:b/>
          <w:color w:val="auto"/>
          <w:szCs w:val="21"/>
          <w:highlight w:val="none"/>
        </w:rPr>
        <w:t>2.13 不可抗力</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2.13.1如果任何一方遭遇法律规定的不可抗力，致使合同履行受阻时，履行合同的期限应予延长，延长的期限应相当于不可抗力所影响的时间；</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2.13.2 因不可抗力致使不能实现合同目的的，当事人可以解除合同；</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2.13.3 因不可抗力致使合同有变更必要的，双方当事人应在</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约定时间内以书面形式变更合同；</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2.13.4受不可抗力影响的一方在不可抗力发生后，应在</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约定时间内以书面形式通知对方当事人，并在</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约定时间内，将有关部门出具的证明文件送达对方当事人。</w:t>
      </w:r>
    </w:p>
    <w:p>
      <w:pPr>
        <w:pStyle w:val="4"/>
        <w:shd w:val="clear"/>
        <w:rPr>
          <w:rFonts w:hint="eastAsia" w:ascii="微软雅黑" w:hAnsi="微软雅黑" w:eastAsia="微软雅黑" w:cs="微软雅黑"/>
          <w:color w:val="auto"/>
          <w:highlight w:val="none"/>
        </w:rPr>
      </w:pPr>
      <w:r>
        <w:rPr>
          <w:rFonts w:hint="eastAsia" w:ascii="微软雅黑" w:hAnsi="微软雅黑" w:eastAsia="微软雅黑" w:cs="微软雅黑"/>
          <w:color w:val="auto"/>
          <w:sz w:val="21"/>
          <w:szCs w:val="21"/>
          <w:highlight w:val="none"/>
        </w:rPr>
        <w:t>2.13.5如遇到像新冠疫情等情势变更的情形，请参照2.13</w:t>
      </w:r>
      <w:r>
        <w:rPr>
          <w:rFonts w:hint="eastAsia" w:ascii="微软雅黑" w:hAnsi="微软雅黑" w:eastAsia="微软雅黑" w:cs="微软雅黑"/>
          <w:b/>
          <w:color w:val="auto"/>
          <w:sz w:val="21"/>
          <w:szCs w:val="21"/>
          <w:highlight w:val="none"/>
        </w:rPr>
        <w:t>不可抗力的条款。</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164" w:name="_Toc10324"/>
      <w:bookmarkStart w:id="2165" w:name="_Toc6224"/>
      <w:bookmarkStart w:id="2166" w:name="_Toc19677"/>
      <w:bookmarkStart w:id="2167" w:name="_Toc16229"/>
      <w:bookmarkStart w:id="2168" w:name="_Toc30676"/>
      <w:bookmarkStart w:id="2169" w:name="_Toc15258"/>
      <w:bookmarkStart w:id="2170" w:name="_Toc17152"/>
      <w:bookmarkStart w:id="2171" w:name="_Toc10528"/>
      <w:bookmarkStart w:id="2172" w:name="_Toc29825"/>
      <w:bookmarkStart w:id="2173" w:name="_Toc11876"/>
      <w:bookmarkStart w:id="2174" w:name="_Toc487900365"/>
      <w:bookmarkStart w:id="2175" w:name="_Toc22930"/>
      <w:bookmarkStart w:id="2176" w:name="_Toc6288"/>
      <w:bookmarkStart w:id="2177" w:name="_Toc11263"/>
      <w:bookmarkStart w:id="2178" w:name="_Toc6047"/>
      <w:bookmarkStart w:id="2179" w:name="_Toc6969"/>
      <w:bookmarkStart w:id="2180" w:name="_Toc31597"/>
      <w:bookmarkStart w:id="2181" w:name="_Toc1584"/>
      <w:bookmarkStart w:id="2182" w:name="_Toc26981"/>
      <w:bookmarkStart w:id="2183" w:name="_Toc23578"/>
      <w:bookmarkStart w:id="2184" w:name="_Toc259093684"/>
      <w:bookmarkStart w:id="2185" w:name="_Toc28117"/>
      <w:bookmarkStart w:id="2186" w:name="_Toc689"/>
      <w:bookmarkStart w:id="2187" w:name="_Toc30025"/>
      <w:bookmarkStart w:id="2188" w:name="_Toc3867"/>
      <w:bookmarkStart w:id="2189" w:name="_Toc4510"/>
      <w:bookmarkStart w:id="2190" w:name="_Toc7505"/>
      <w:bookmarkStart w:id="2191" w:name="_Toc6243"/>
      <w:bookmarkStart w:id="2192" w:name="_Toc27784"/>
      <w:bookmarkStart w:id="2193" w:name="_Toc279701255"/>
      <w:bookmarkStart w:id="2194" w:name="_Toc7145"/>
      <w:bookmarkStart w:id="2195" w:name="_Toc6141"/>
      <w:bookmarkStart w:id="2196" w:name="_Toc6676"/>
      <w:bookmarkStart w:id="2197" w:name="_Toc26085"/>
      <w:bookmarkStart w:id="2198" w:name="_Toc14974"/>
      <w:bookmarkStart w:id="2199" w:name="_Toc4006"/>
      <w:bookmarkStart w:id="2200" w:name="_Toc13910"/>
      <w:bookmarkStart w:id="2201" w:name="_Toc11423"/>
      <w:r>
        <w:rPr>
          <w:rFonts w:hint="eastAsia" w:ascii="微软雅黑" w:hAnsi="微软雅黑" w:eastAsia="微软雅黑" w:cs="微软雅黑"/>
          <w:b/>
          <w:color w:val="auto"/>
          <w:szCs w:val="21"/>
          <w:highlight w:val="none"/>
        </w:rPr>
        <w:t>2.14 税费</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与合同有关的一切税费，均按照中华人民共和国法律的相关规定。</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202" w:name="_Toc14403"/>
      <w:bookmarkStart w:id="2203" w:name="_Toc11308"/>
      <w:bookmarkStart w:id="2204" w:name="_Toc8934"/>
      <w:bookmarkStart w:id="2205" w:name="_Toc32054"/>
      <w:bookmarkStart w:id="2206" w:name="_Toc4260"/>
      <w:bookmarkStart w:id="2207" w:name="_Toc25260"/>
      <w:bookmarkStart w:id="2208" w:name="_Toc7117"/>
      <w:bookmarkStart w:id="2209" w:name="_Toc4812"/>
      <w:bookmarkStart w:id="2210" w:name="_Toc15815"/>
      <w:bookmarkStart w:id="2211" w:name="_Toc30768"/>
      <w:bookmarkStart w:id="2212" w:name="_Toc24949"/>
      <w:bookmarkStart w:id="2213" w:name="_Toc8298"/>
      <w:bookmarkStart w:id="2214" w:name="_Toc23266"/>
      <w:bookmarkStart w:id="2215" w:name="_Toc13012"/>
      <w:bookmarkStart w:id="2216" w:name="_Toc6688"/>
      <w:bookmarkStart w:id="2217" w:name="_Toc32686"/>
      <w:bookmarkStart w:id="2218" w:name="_Toc22239"/>
      <w:bookmarkStart w:id="2219" w:name="_Toc12594"/>
      <w:bookmarkStart w:id="2220" w:name="_Toc12141"/>
      <w:bookmarkStart w:id="2221" w:name="_Toc21290"/>
      <w:bookmarkStart w:id="2222" w:name="_Toc24315"/>
      <w:bookmarkStart w:id="2223" w:name="_Toc279701258"/>
      <w:bookmarkStart w:id="2224" w:name="_Toc4792"/>
      <w:bookmarkStart w:id="2225" w:name="_Toc8294"/>
      <w:bookmarkStart w:id="2226" w:name="_Toc15722"/>
      <w:bookmarkStart w:id="2227" w:name="_Toc20594"/>
      <w:bookmarkStart w:id="2228" w:name="_Toc29993"/>
      <w:bookmarkStart w:id="2229" w:name="_Toc29869"/>
      <w:bookmarkStart w:id="2230" w:name="_Toc515"/>
      <w:bookmarkStart w:id="2231" w:name="_Toc259093687"/>
      <w:bookmarkStart w:id="2232" w:name="_Toc17217"/>
      <w:bookmarkStart w:id="2233" w:name="_Toc7102"/>
      <w:bookmarkStart w:id="2234" w:name="_Toc487900368"/>
      <w:bookmarkStart w:id="2235" w:name="_Toc16959"/>
      <w:bookmarkStart w:id="2236" w:name="_Toc14348"/>
      <w:bookmarkStart w:id="2237" w:name="_Toc13626"/>
      <w:bookmarkStart w:id="2238" w:name="_Toc28905"/>
      <w:bookmarkStart w:id="2239" w:name="_Toc9300"/>
      <w:bookmarkStart w:id="2240" w:name="_Toc6037"/>
      <w:r>
        <w:rPr>
          <w:rFonts w:hint="eastAsia" w:ascii="微软雅黑" w:hAnsi="微软雅黑" w:eastAsia="微软雅黑" w:cs="微软雅黑"/>
          <w:b/>
          <w:color w:val="auto"/>
          <w:szCs w:val="21"/>
          <w:highlight w:val="none"/>
        </w:rPr>
        <w:t>2.15 乙方破产</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241" w:name="_Toc6641"/>
      <w:bookmarkStart w:id="2242" w:name="_Toc1303"/>
      <w:bookmarkStart w:id="2243" w:name="_Toc29764"/>
      <w:bookmarkStart w:id="2244" w:name="_Toc1542"/>
      <w:bookmarkStart w:id="2245" w:name="_Toc20974"/>
      <w:bookmarkStart w:id="2246" w:name="_Toc32508"/>
      <w:bookmarkStart w:id="2247" w:name="_Toc15387"/>
      <w:bookmarkStart w:id="2248" w:name="_Toc2211"/>
      <w:bookmarkStart w:id="2249" w:name="_Toc7369"/>
      <w:bookmarkStart w:id="2250" w:name="_Toc9318"/>
      <w:bookmarkStart w:id="2251" w:name="_Toc4227"/>
      <w:bookmarkStart w:id="2252" w:name="_Toc14797"/>
      <w:bookmarkStart w:id="2253" w:name="_Toc12606"/>
      <w:bookmarkStart w:id="2254" w:name="_Toc24976"/>
      <w:bookmarkStart w:id="2255" w:name="_Toc29333"/>
      <w:bookmarkStart w:id="2256" w:name="_Toc26255"/>
      <w:bookmarkStart w:id="2257" w:name="_Toc15605"/>
      <w:bookmarkStart w:id="2258" w:name="_Toc27554"/>
      <w:bookmarkStart w:id="2259" w:name="_Toc5182"/>
      <w:bookmarkStart w:id="2260" w:name="_Toc2374"/>
      <w:bookmarkStart w:id="2261" w:name="_Toc8188"/>
      <w:bookmarkStart w:id="2262" w:name="_Toc24066"/>
      <w:bookmarkStart w:id="2263" w:name="_Toc22229"/>
      <w:bookmarkStart w:id="2264" w:name="_Toc31639"/>
      <w:bookmarkStart w:id="2265" w:name="_Toc12868"/>
      <w:bookmarkStart w:id="2266" w:name="_Toc15445"/>
      <w:bookmarkStart w:id="2267" w:name="_Toc29169"/>
      <w:bookmarkStart w:id="2268" w:name="_Toc24758"/>
      <w:bookmarkStart w:id="2269" w:name="_Toc6134"/>
      <w:bookmarkStart w:id="2270" w:name="_Toc27106"/>
      <w:bookmarkStart w:id="2271" w:name="_Toc3752"/>
      <w:bookmarkStart w:id="2272" w:name="_Toc9957"/>
      <w:bookmarkStart w:id="2273" w:name="_Toc818"/>
      <w:bookmarkStart w:id="2274" w:name="_Toc24867"/>
      <w:bookmarkStart w:id="2275" w:name="_Toc2967"/>
      <w:r>
        <w:rPr>
          <w:rFonts w:hint="eastAsia" w:ascii="微软雅黑" w:hAnsi="微软雅黑" w:eastAsia="微软雅黑" w:cs="微软雅黑"/>
          <w:b/>
          <w:color w:val="auto"/>
          <w:szCs w:val="21"/>
          <w:highlight w:val="none"/>
        </w:rPr>
        <w:t>2.16 合同中止、终止</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2.16.1 双方当事人不得擅自中止或者终止合同；</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2.16.2合同继续履行将损害国家利益和社会公共利益的，双方当事人应当中止或者终止合同。有过错的一方应当承担赔偿责任，双方当事人都有过错的，各自承担相应的责任。</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276" w:name="_Toc30958"/>
      <w:bookmarkStart w:id="2277" w:name="_Toc8371"/>
      <w:bookmarkStart w:id="2278" w:name="_Toc24731"/>
      <w:bookmarkStart w:id="2279" w:name="_Toc27954"/>
      <w:bookmarkStart w:id="2280" w:name="_Toc16623"/>
      <w:bookmarkStart w:id="2281" w:name="_Toc1125"/>
      <w:bookmarkStart w:id="2282" w:name="_Toc13150"/>
      <w:bookmarkStart w:id="2283" w:name="_Toc22455"/>
      <w:bookmarkStart w:id="2284" w:name="_Toc19328"/>
      <w:bookmarkStart w:id="2285" w:name="_Toc30476"/>
      <w:bookmarkStart w:id="2286" w:name="_Toc22561"/>
      <w:bookmarkStart w:id="2287" w:name="_Toc11658"/>
      <w:bookmarkStart w:id="2288" w:name="_Toc25358"/>
      <w:bookmarkStart w:id="2289" w:name="_Toc14563"/>
      <w:bookmarkStart w:id="2290" w:name="_Toc7005"/>
      <w:bookmarkStart w:id="2291" w:name="_Toc20145"/>
      <w:bookmarkStart w:id="2292" w:name="_Toc19324"/>
      <w:bookmarkStart w:id="2293" w:name="_Toc6596"/>
      <w:bookmarkStart w:id="2294" w:name="_Toc14890"/>
      <w:bookmarkStart w:id="2295" w:name="_Toc11060"/>
      <w:bookmarkStart w:id="2296" w:name="_Toc30133"/>
      <w:bookmarkStart w:id="2297" w:name="_Toc19755"/>
      <w:bookmarkStart w:id="2298" w:name="_Toc22451"/>
      <w:bookmarkStart w:id="2299" w:name="_Toc4111"/>
      <w:bookmarkStart w:id="2300" w:name="_Toc31336"/>
      <w:bookmarkStart w:id="2301" w:name="_Toc18411"/>
      <w:bookmarkStart w:id="2302" w:name="_Toc207"/>
      <w:bookmarkStart w:id="2303" w:name="_Toc9310"/>
      <w:bookmarkStart w:id="2304" w:name="_Toc28047"/>
      <w:bookmarkStart w:id="2305" w:name="_Toc21636"/>
      <w:bookmarkStart w:id="2306" w:name="_Toc27227"/>
      <w:bookmarkStart w:id="2307" w:name="_Toc18151"/>
      <w:bookmarkStart w:id="2308" w:name="_Toc32224"/>
      <w:bookmarkStart w:id="2309" w:name="_Toc29829"/>
      <w:bookmarkStart w:id="2310" w:name="_Toc25710"/>
      <w:r>
        <w:rPr>
          <w:rFonts w:hint="eastAsia" w:ascii="微软雅黑" w:hAnsi="微软雅黑" w:eastAsia="微软雅黑" w:cs="微软雅黑"/>
          <w:b/>
          <w:color w:val="auto"/>
          <w:szCs w:val="21"/>
          <w:highlight w:val="none"/>
        </w:rPr>
        <w:t>2.17 检验和验收</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shd w:val="clear"/>
        <w:tabs>
          <w:tab w:val="left" w:pos="360"/>
          <w:tab w:val="left" w:pos="540"/>
          <w:tab w:val="left" w:pos="1080"/>
        </w:tabs>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2.17.1货物交付前，乙方应对货物的质量、数量等方面进行详细、全面的检验，并向甲方出具证明货物符合合同约定的文件；货物交付时，乙方在</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约定时间内组织验收，并可依法邀请相关方参加，验收应出具验收书。</w:t>
      </w:r>
    </w:p>
    <w:p>
      <w:pPr>
        <w:shd w:val="clear"/>
        <w:tabs>
          <w:tab w:val="left" w:pos="360"/>
          <w:tab w:val="left" w:pos="540"/>
          <w:tab w:val="left" w:pos="1080"/>
        </w:tabs>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tabs>
          <w:tab w:val="left" w:pos="360"/>
          <w:tab w:val="left" w:pos="540"/>
          <w:tab w:val="left" w:pos="1080"/>
        </w:tabs>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2.17.3 检验和验收标准、程序等具体内容以及前述验收书的效力详见</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i/>
          <w:color w:val="auto"/>
          <w:szCs w:val="21"/>
          <w:highlight w:val="none"/>
        </w:rPr>
        <w:t>。</w:t>
      </w:r>
    </w:p>
    <w:bookmarkEnd w:id="2090"/>
    <w:bookmarkEnd w:id="2091"/>
    <w:bookmarkEnd w:id="2092"/>
    <w:bookmarkEnd w:id="2093"/>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311" w:name="_Toc259093690"/>
      <w:bookmarkStart w:id="2312" w:name="_Toc487900371"/>
      <w:bookmarkStart w:id="2313" w:name="_Toc279701261"/>
      <w:bookmarkStart w:id="2314" w:name="_Toc17270"/>
      <w:bookmarkStart w:id="2315" w:name="_Toc11284"/>
      <w:bookmarkStart w:id="2316" w:name="_Toc11065"/>
      <w:bookmarkStart w:id="2317" w:name="_Toc25315"/>
      <w:bookmarkStart w:id="2318" w:name="_Toc26823"/>
      <w:bookmarkStart w:id="2319" w:name="_Toc21849"/>
      <w:bookmarkStart w:id="2320" w:name="_Toc25182"/>
      <w:bookmarkStart w:id="2321" w:name="_Toc29995"/>
      <w:bookmarkStart w:id="2322" w:name="_Toc19636"/>
      <w:bookmarkStart w:id="2323" w:name="_Toc15285"/>
      <w:bookmarkStart w:id="2324" w:name="_Toc19604"/>
      <w:bookmarkStart w:id="2325" w:name="_Toc6260"/>
      <w:bookmarkStart w:id="2326" w:name="_Toc19091"/>
      <w:bookmarkStart w:id="2327" w:name="_Toc26892"/>
      <w:bookmarkStart w:id="2328" w:name="_Toc16478"/>
      <w:bookmarkStart w:id="2329" w:name="_Toc4983"/>
      <w:bookmarkStart w:id="2330" w:name="_Toc1391"/>
      <w:bookmarkStart w:id="2331" w:name="_Toc9266"/>
      <w:bookmarkStart w:id="2332" w:name="_Toc14864"/>
      <w:bookmarkStart w:id="2333" w:name="_Toc725"/>
      <w:bookmarkStart w:id="2334" w:name="_Toc2040"/>
      <w:bookmarkStart w:id="2335" w:name="_Toc15037"/>
      <w:bookmarkStart w:id="2336" w:name="_Toc19379"/>
      <w:bookmarkStart w:id="2337" w:name="_Toc13220"/>
      <w:bookmarkStart w:id="2338" w:name="_Toc27621"/>
      <w:bookmarkStart w:id="2339" w:name="_Toc14242"/>
      <w:bookmarkStart w:id="2340" w:name="_Toc8096"/>
      <w:bookmarkStart w:id="2341" w:name="_Toc8941"/>
      <w:bookmarkStart w:id="2342" w:name="_Toc10130"/>
      <w:bookmarkStart w:id="2343" w:name="_Toc12493"/>
      <w:bookmarkStart w:id="2344" w:name="_Toc29075"/>
      <w:bookmarkStart w:id="2345" w:name="_Toc29229"/>
      <w:bookmarkStart w:id="2346" w:name="_Toc17313"/>
      <w:r>
        <w:rPr>
          <w:rFonts w:hint="eastAsia" w:ascii="微软雅黑" w:hAnsi="微软雅黑" w:eastAsia="微软雅黑" w:cs="微软雅黑"/>
          <w:b/>
          <w:color w:val="auto"/>
          <w:szCs w:val="21"/>
          <w:highlight w:val="none"/>
        </w:rPr>
        <w:t>2.18 通知</w:t>
      </w:r>
      <w:bookmarkEnd w:id="2311"/>
      <w:bookmarkEnd w:id="2312"/>
      <w:bookmarkEnd w:id="2313"/>
      <w:r>
        <w:rPr>
          <w:rFonts w:hint="eastAsia" w:ascii="微软雅黑" w:hAnsi="微软雅黑" w:eastAsia="微软雅黑" w:cs="微软雅黑"/>
          <w:b/>
          <w:color w:val="auto"/>
          <w:szCs w:val="21"/>
          <w:highlight w:val="none"/>
        </w:rPr>
        <w:t>和送达</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shd w:val="clear"/>
        <w:spacing w:line="360" w:lineRule="exact"/>
        <w:ind w:firstLine="420" w:firstLineChars="200"/>
        <w:rPr>
          <w:rFonts w:hint="eastAsia" w:ascii="微软雅黑" w:hAnsi="微软雅黑" w:eastAsia="微软雅黑" w:cs="微软雅黑"/>
          <w:color w:val="auto"/>
          <w:szCs w:val="21"/>
          <w:highlight w:val="none"/>
        </w:rPr>
      </w:pPr>
      <w:bookmarkStart w:id="2347" w:name="_Toc6698"/>
      <w:bookmarkStart w:id="2348" w:name="_Toc3135"/>
      <w:bookmarkStart w:id="2349" w:name="_Toc279701262"/>
      <w:bookmarkStart w:id="2350" w:name="_Toc259093691"/>
      <w:bookmarkStart w:id="2351" w:name="_Toc487900372"/>
      <w:r>
        <w:rPr>
          <w:rFonts w:hint="eastAsia" w:ascii="微软雅黑" w:hAnsi="微软雅黑" w:eastAsia="微软雅黑" w:cs="微软雅黑"/>
          <w:color w:val="auto"/>
          <w:szCs w:val="21"/>
          <w:highlight w:val="none"/>
        </w:rPr>
        <w:t>2.18.1 任何一方因履行合同而以合同第一部分尾部所列明的</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发出的所有通知、文件、材料，均视为已向对方当事人送达；任何一方变更上述送达方式或者地址的，应于</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个工作日内书面通知对方当事人，在对方当事人收到有关变更通知之前，变更前的约定送达方式或者地址仍视为有效。</w:t>
      </w:r>
      <w:bookmarkEnd w:id="2347"/>
      <w:bookmarkEnd w:id="2348"/>
    </w:p>
    <w:p>
      <w:pPr>
        <w:shd w:val="clear"/>
        <w:spacing w:line="360" w:lineRule="exact"/>
        <w:ind w:firstLine="420" w:firstLineChars="200"/>
        <w:rPr>
          <w:rFonts w:hint="eastAsia" w:ascii="微软雅黑" w:hAnsi="微软雅黑" w:eastAsia="微软雅黑" w:cs="微软雅黑"/>
          <w:color w:val="auto"/>
          <w:szCs w:val="21"/>
          <w:highlight w:val="none"/>
        </w:rPr>
      </w:pPr>
      <w:bookmarkStart w:id="2352" w:name="_Toc23128"/>
      <w:bookmarkStart w:id="2353" w:name="_Toc23294"/>
      <w:r>
        <w:rPr>
          <w:rFonts w:hint="eastAsia" w:ascii="微软雅黑" w:hAnsi="微软雅黑" w:eastAsia="微软雅黑" w:cs="微软雅黑"/>
          <w:color w:val="auto"/>
          <w:szCs w:val="21"/>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352"/>
      <w:bookmarkEnd w:id="2353"/>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354" w:name="_Toc30599"/>
      <w:bookmarkStart w:id="2355" w:name="_Toc21245"/>
      <w:bookmarkStart w:id="2356" w:name="_Toc4355"/>
      <w:bookmarkStart w:id="2357" w:name="_Toc22532"/>
      <w:bookmarkStart w:id="2358" w:name="_Toc1121"/>
      <w:bookmarkStart w:id="2359" w:name="_Toc22685"/>
      <w:bookmarkStart w:id="2360" w:name="_Toc20914"/>
      <w:bookmarkStart w:id="2361" w:name="_Toc5312"/>
      <w:bookmarkStart w:id="2362" w:name="_Toc29312"/>
      <w:bookmarkStart w:id="2363" w:name="_Toc31861"/>
      <w:bookmarkStart w:id="2364" w:name="_Toc16024"/>
      <w:bookmarkStart w:id="2365" w:name="_Toc27038"/>
      <w:bookmarkStart w:id="2366" w:name="_Toc1055"/>
      <w:bookmarkStart w:id="2367" w:name="_Toc4241"/>
      <w:bookmarkStart w:id="2368" w:name="_Toc22798"/>
      <w:bookmarkStart w:id="2369" w:name="_Toc16010"/>
      <w:bookmarkStart w:id="2370" w:name="_Toc20309"/>
      <w:bookmarkStart w:id="2371" w:name="_Toc20989"/>
      <w:bookmarkStart w:id="2372" w:name="_Toc14810"/>
      <w:bookmarkStart w:id="2373" w:name="_Toc9371"/>
      <w:bookmarkStart w:id="2374" w:name="_Toc19314"/>
      <w:bookmarkStart w:id="2375" w:name="_Toc6129"/>
      <w:bookmarkStart w:id="2376" w:name="_Toc21923"/>
      <w:bookmarkStart w:id="2377" w:name="_Toc3919"/>
      <w:bookmarkStart w:id="2378" w:name="_Toc19958"/>
      <w:bookmarkStart w:id="2379" w:name="_Toc11892"/>
      <w:bookmarkStart w:id="2380" w:name="_Toc9456"/>
      <w:bookmarkStart w:id="2381" w:name="_Toc1444"/>
      <w:bookmarkStart w:id="2382" w:name="_Toc10932"/>
      <w:bookmarkStart w:id="2383" w:name="_Toc14430"/>
      <w:bookmarkStart w:id="2384" w:name="_Toc12721"/>
      <w:bookmarkStart w:id="2385" w:name="_Toc4747"/>
      <w:bookmarkStart w:id="2386" w:name="_Toc11585"/>
      <w:bookmarkStart w:id="2387" w:name="_Toc2623"/>
      <w:bookmarkStart w:id="2388" w:name="_Toc18540"/>
      <w:bookmarkStart w:id="2389" w:name="_Toc30497"/>
      <w:r>
        <w:rPr>
          <w:rFonts w:hint="eastAsia" w:ascii="微软雅黑" w:hAnsi="微软雅黑" w:eastAsia="微软雅黑" w:cs="微软雅黑"/>
          <w:b/>
          <w:color w:val="auto"/>
          <w:szCs w:val="21"/>
          <w:highlight w:val="none"/>
        </w:rPr>
        <w:t>2.19 计量单位</w:t>
      </w:r>
      <w:bookmarkEnd w:id="2349"/>
      <w:bookmarkEnd w:id="2350"/>
      <w:bookmarkEnd w:id="2351"/>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除技术规范中另有规定外,合同的计量单位均使用国家法定计量单位。</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390" w:name="_Toc1736"/>
      <w:bookmarkStart w:id="2391" w:name="_Toc5796"/>
      <w:bookmarkStart w:id="2392" w:name="_Toc23641"/>
      <w:bookmarkStart w:id="2393" w:name="_Toc32321"/>
      <w:bookmarkStart w:id="2394" w:name="_Toc15428"/>
      <w:bookmarkStart w:id="2395" w:name="_Toc10330"/>
      <w:bookmarkStart w:id="2396" w:name="_Toc16880"/>
      <w:bookmarkStart w:id="2397" w:name="_Toc20624"/>
      <w:bookmarkStart w:id="2398" w:name="_Toc19154"/>
      <w:bookmarkStart w:id="2399" w:name="_Toc18634"/>
      <w:bookmarkStart w:id="2400" w:name="_Toc6343"/>
      <w:bookmarkStart w:id="2401" w:name="_Toc5859"/>
      <w:bookmarkStart w:id="2402" w:name="_Toc10830"/>
      <w:bookmarkStart w:id="2403" w:name="_Toc12773"/>
      <w:bookmarkStart w:id="2404" w:name="_Toc12547"/>
      <w:bookmarkStart w:id="2405" w:name="_Toc18567"/>
      <w:bookmarkStart w:id="2406" w:name="_Toc27589"/>
      <w:bookmarkStart w:id="2407" w:name="_Toc18716"/>
      <w:bookmarkStart w:id="2408" w:name="_Toc8490"/>
      <w:bookmarkStart w:id="2409" w:name="_Toc7567"/>
      <w:bookmarkStart w:id="2410" w:name="_Toc32583"/>
      <w:bookmarkStart w:id="2411" w:name="_Toc17517"/>
      <w:bookmarkStart w:id="2412" w:name="_Toc7172"/>
      <w:bookmarkStart w:id="2413" w:name="_Toc15271"/>
      <w:bookmarkStart w:id="2414" w:name="_Toc29336"/>
      <w:bookmarkStart w:id="2415" w:name="_Toc15868"/>
      <w:bookmarkStart w:id="2416" w:name="_Toc13131"/>
      <w:bookmarkStart w:id="2417" w:name="_Toc11130"/>
      <w:bookmarkStart w:id="2418" w:name="_Toc2161"/>
      <w:bookmarkStart w:id="2419" w:name="_Toc487900373"/>
      <w:bookmarkStart w:id="2420" w:name="_Toc26340"/>
      <w:bookmarkStart w:id="2421" w:name="_Toc16412"/>
      <w:bookmarkStart w:id="2422" w:name="_Toc28784"/>
      <w:bookmarkStart w:id="2423" w:name="_Toc259093692"/>
      <w:bookmarkStart w:id="2424" w:name="_Toc24231"/>
      <w:bookmarkStart w:id="2425" w:name="_Toc279701263"/>
      <w:r>
        <w:rPr>
          <w:rFonts w:hint="eastAsia" w:ascii="微软雅黑" w:hAnsi="微软雅黑" w:eastAsia="微软雅黑" w:cs="微软雅黑"/>
          <w:b/>
          <w:color w:val="auto"/>
          <w:szCs w:val="21"/>
          <w:highlight w:val="none"/>
        </w:rPr>
        <w:t>2.20 合同使用的文字和适用的法律</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2.20.1 合同使用汉语书就、变更和解释；</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2.20.2 合同适用中华人民共和国法律。</w:t>
      </w:r>
    </w:p>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426" w:name="_Toc16673"/>
      <w:bookmarkStart w:id="2427" w:name="_Toc31790"/>
      <w:bookmarkStart w:id="2428" w:name="_Toc12004"/>
      <w:bookmarkStart w:id="2429" w:name="_Toc12066"/>
      <w:bookmarkStart w:id="2430" w:name="_Toc23015"/>
      <w:bookmarkStart w:id="2431" w:name="_Toc27157"/>
      <w:bookmarkStart w:id="2432" w:name="_Toc279701264"/>
      <w:bookmarkStart w:id="2433" w:name="_Toc13924"/>
      <w:bookmarkStart w:id="2434" w:name="_Toc26689"/>
      <w:bookmarkStart w:id="2435" w:name="_Toc15434"/>
      <w:bookmarkStart w:id="2436" w:name="_Toc26020"/>
      <w:bookmarkStart w:id="2437" w:name="_Toc1670"/>
      <w:bookmarkStart w:id="2438" w:name="_Toc17759"/>
      <w:bookmarkStart w:id="2439" w:name="_Toc30511"/>
      <w:bookmarkStart w:id="2440" w:name="_Toc9880"/>
      <w:bookmarkStart w:id="2441" w:name="_Toc5000"/>
      <w:bookmarkStart w:id="2442" w:name="_Toc16658"/>
      <w:bookmarkStart w:id="2443" w:name="_Toc8602"/>
      <w:bookmarkStart w:id="2444" w:name="_Toc14964"/>
      <w:bookmarkStart w:id="2445" w:name="_Toc18845"/>
      <w:bookmarkStart w:id="2446" w:name="_Toc14308"/>
      <w:bookmarkStart w:id="2447" w:name="_Toc29073"/>
      <w:bookmarkStart w:id="2448" w:name="_Toc19409"/>
      <w:bookmarkStart w:id="2449" w:name="_Toc9696"/>
      <w:bookmarkStart w:id="2450" w:name="_Toc638"/>
      <w:bookmarkStart w:id="2451" w:name="_Toc9280"/>
      <w:bookmarkStart w:id="2452" w:name="_Toc27932"/>
      <w:bookmarkStart w:id="2453" w:name="_Toc1396"/>
      <w:bookmarkStart w:id="2454" w:name="_Toc11628"/>
      <w:bookmarkStart w:id="2455" w:name="_Toc259093693"/>
      <w:bookmarkStart w:id="2456" w:name="_Toc17743"/>
      <w:bookmarkStart w:id="2457" w:name="_Toc3148"/>
      <w:bookmarkStart w:id="2458" w:name="_Toc23464"/>
      <w:bookmarkStart w:id="2459" w:name="_Toc18281"/>
      <w:bookmarkStart w:id="2460" w:name="_Toc26372"/>
      <w:bookmarkStart w:id="2461" w:name="_Toc32497"/>
      <w:bookmarkStart w:id="2462" w:name="_Toc487900374"/>
      <w:r>
        <w:rPr>
          <w:rFonts w:hint="eastAsia" w:ascii="微软雅黑" w:hAnsi="微软雅黑" w:eastAsia="微软雅黑" w:cs="微软雅黑"/>
          <w:b/>
          <w:color w:val="auto"/>
          <w:szCs w:val="21"/>
          <w:highlight w:val="none"/>
        </w:rPr>
        <w:t>2.21 履约保证金</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2.21.1 采购文件要求乙方提交履约保证金的，乙方应按</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约定的方式，以支票、汇票、本票或者金融机构、担保机构出具的保函等非现金形式，提交不超过合同价10%的履约保证金；</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2.21.2  履约保证金在</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约定期间内或者货物质量保证期内不予退还或者应完全有效，前述约定期间届满或者货物质量保证期届满之日起</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个工作日内，甲方应将履约保证金退还乙方；</w:t>
      </w:r>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462"/>
    <w:p>
      <w:pPr>
        <w:shd w:val="clear"/>
        <w:spacing w:line="360" w:lineRule="exact"/>
        <w:ind w:firstLine="420" w:firstLineChars="200"/>
        <w:outlineLvl w:val="0"/>
        <w:rPr>
          <w:rFonts w:hint="eastAsia" w:ascii="微软雅黑" w:hAnsi="微软雅黑" w:eastAsia="微软雅黑" w:cs="微软雅黑"/>
          <w:b/>
          <w:color w:val="auto"/>
          <w:szCs w:val="21"/>
          <w:highlight w:val="none"/>
        </w:rPr>
      </w:pPr>
      <w:bookmarkStart w:id="2463" w:name="_Toc24006"/>
      <w:bookmarkStart w:id="2464" w:name="_Toc14318"/>
      <w:bookmarkStart w:id="2465" w:name="_Toc11103"/>
      <w:bookmarkStart w:id="2466" w:name="_Toc27563"/>
      <w:bookmarkStart w:id="2467" w:name="_Toc31089"/>
      <w:bookmarkStart w:id="2468" w:name="_Toc29899"/>
      <w:bookmarkStart w:id="2469" w:name="_Toc22496"/>
      <w:bookmarkStart w:id="2470" w:name="_Toc27561"/>
      <w:bookmarkStart w:id="2471" w:name="_Toc10801"/>
      <w:bookmarkStart w:id="2472" w:name="_Toc2720"/>
      <w:bookmarkStart w:id="2473" w:name="_Toc8867"/>
      <w:bookmarkStart w:id="2474" w:name="_Toc12034"/>
      <w:bookmarkStart w:id="2475" w:name="_Toc8495"/>
      <w:bookmarkStart w:id="2476" w:name="_Toc32408"/>
      <w:bookmarkStart w:id="2477" w:name="_Toc12607"/>
      <w:bookmarkStart w:id="2478" w:name="_Toc20802"/>
      <w:bookmarkStart w:id="2479" w:name="_Toc30847"/>
      <w:bookmarkStart w:id="2480" w:name="_Toc3020"/>
      <w:bookmarkStart w:id="2481" w:name="_Toc31795"/>
      <w:bookmarkStart w:id="2482" w:name="_Toc28671"/>
      <w:bookmarkStart w:id="2483" w:name="_Toc14001"/>
      <w:bookmarkStart w:id="2484" w:name="_Toc2442"/>
      <w:bookmarkStart w:id="2485" w:name="_Toc10477"/>
      <w:bookmarkStart w:id="2486" w:name="_Toc19890"/>
      <w:bookmarkStart w:id="2487" w:name="_Toc30496"/>
      <w:bookmarkStart w:id="2488" w:name="_Toc31950"/>
      <w:bookmarkStart w:id="2489" w:name="_Toc22821"/>
      <w:bookmarkStart w:id="2490" w:name="_Toc10736"/>
      <w:bookmarkStart w:id="2491" w:name="_Toc25691"/>
      <w:bookmarkStart w:id="2492" w:name="_Toc13582"/>
      <w:bookmarkStart w:id="2493" w:name="_Toc11644"/>
      <w:bookmarkStart w:id="2494" w:name="_Toc28874"/>
      <w:bookmarkStart w:id="2495" w:name="_Toc2916"/>
      <w:bookmarkStart w:id="2496" w:name="_Toc29909"/>
      <w:bookmarkStart w:id="2497" w:name="_Toc6885"/>
      <w:bookmarkStart w:id="2498" w:name="_Toc369"/>
      <w:r>
        <w:rPr>
          <w:rFonts w:hint="eastAsia" w:ascii="微软雅黑" w:hAnsi="微软雅黑" w:eastAsia="微软雅黑" w:cs="微软雅黑"/>
          <w:b/>
          <w:color w:val="auto"/>
          <w:szCs w:val="21"/>
          <w:highlight w:val="none"/>
        </w:rPr>
        <w:t>2.22 合同份数</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合同份数按</w:t>
      </w:r>
      <w:r>
        <w:rPr>
          <w:rFonts w:hint="eastAsia" w:ascii="微软雅黑" w:hAnsi="微软雅黑" w:eastAsia="微软雅黑" w:cs="微软雅黑"/>
          <w:b/>
          <w:i/>
          <w:color w:val="auto"/>
          <w:szCs w:val="21"/>
          <w:highlight w:val="none"/>
          <w:u w:val="single"/>
        </w:rPr>
        <w:t>合同专用条款</w:t>
      </w:r>
      <w:r>
        <w:rPr>
          <w:rFonts w:hint="eastAsia" w:ascii="微软雅黑" w:hAnsi="微软雅黑" w:eastAsia="微软雅黑" w:cs="微软雅黑"/>
          <w:color w:val="auto"/>
          <w:szCs w:val="21"/>
          <w:highlight w:val="none"/>
        </w:rPr>
        <w:t>规定，每份均具有同等法律效力。</w:t>
      </w:r>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bookmarkStart w:id="2499" w:name="_Toc331685784"/>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p>
    <w:p>
      <w:pP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br w:type="page"/>
      </w:r>
    </w:p>
    <w:p>
      <w:pPr>
        <w:pStyle w:val="57"/>
        <w:shd w:val="clear"/>
        <w:spacing w:line="360" w:lineRule="exact"/>
        <w:ind w:firstLine="0"/>
        <w:jc w:val="cente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第三部分  合同专用条款</w:t>
      </w:r>
      <w:bookmarkEnd w:id="2499"/>
    </w:p>
    <w:p>
      <w:pPr>
        <w:shd w:val="clear"/>
        <w:spacing w:line="360" w:lineRule="exact"/>
        <w:ind w:firstLine="420" w:firstLineChars="2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jc w:val="center"/>
              <w:rPr>
                <w:rFonts w:hint="eastAsia"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条款号</w:t>
            </w:r>
          </w:p>
        </w:tc>
        <w:tc>
          <w:tcPr>
            <w:tcW w:w="7633" w:type="dxa"/>
            <w:vAlign w:val="center"/>
          </w:tcPr>
          <w:p>
            <w:pPr>
              <w:keepNext w:val="0"/>
              <w:keepLines w:val="0"/>
              <w:suppressLineNumbers w:val="0"/>
              <w:shd w:val="clear"/>
              <w:spacing w:before="0" w:beforeAutospacing="0" w:after="0" w:afterAutospacing="0" w:line="360" w:lineRule="exact"/>
              <w:ind w:left="0" w:right="0"/>
              <w:jc w:val="center"/>
              <w:rPr>
                <w:rFonts w:hint="eastAsia"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c>
          <w:tcPr>
            <w:tcW w:w="7633" w:type="dxa"/>
            <w:vAlign w:val="center"/>
          </w:tcPr>
          <w:p>
            <w:pPr>
              <w:keepNext w:val="0"/>
              <w:keepLines w:val="0"/>
              <w:suppressLineNumbers w:val="0"/>
              <w:shd w:val="clear"/>
              <w:spacing w:before="0" w:beforeAutospacing="0" w:after="0" w:afterAutospacing="0" w:line="360" w:lineRule="exact"/>
              <w:ind w:left="0" w:right="0"/>
              <w:rPr>
                <w:rFonts w:hint="eastAsia" w:ascii="微软雅黑" w:hAnsi="微软雅黑" w:eastAsia="微软雅黑" w:cs="微软雅黑"/>
                <w:color w:val="auto"/>
                <w:szCs w:val="21"/>
                <w:highlight w:val="none"/>
              </w:rPr>
            </w:pPr>
          </w:p>
        </w:tc>
      </w:tr>
    </w:tbl>
    <w:p>
      <w:pPr>
        <w:pStyle w:val="39"/>
        <w:jc w:val="center"/>
        <w:rPr>
          <w:rFonts w:hint="eastAsia" w:ascii="微软雅黑" w:hAnsi="微软雅黑" w:eastAsia="微软雅黑" w:cs="微软雅黑"/>
          <w:color w:val="auto"/>
          <w:kern w:val="0"/>
          <w:sz w:val="28"/>
          <w:szCs w:val="28"/>
          <w:highlight w:val="none"/>
        </w:rPr>
      </w:pPr>
    </w:p>
    <w:p>
      <w:pPr>
        <w:rPr>
          <w:rFonts w:hint="eastAsia" w:ascii="微软雅黑" w:hAnsi="微软雅黑" w:eastAsia="微软雅黑" w:cs="微软雅黑"/>
          <w:color w:val="auto"/>
          <w:sz w:val="24"/>
          <w:szCs w:val="24"/>
          <w:highlight w:val="none"/>
        </w:rPr>
      </w:pPr>
    </w:p>
    <w:p>
      <w:pPr>
        <w:ind w:firstLine="360" w:firstLineChars="150"/>
        <w:rPr>
          <w:rFonts w:hint="eastAsia" w:ascii="微软雅黑" w:hAnsi="微软雅黑" w:eastAsia="微软雅黑" w:cs="微软雅黑"/>
          <w:b/>
          <w:bCs/>
          <w:color w:val="000000"/>
          <w:sz w:val="24"/>
          <w:szCs w:val="24"/>
          <w:highlight w:val="none"/>
        </w:rPr>
      </w:pPr>
    </w:p>
    <w:p>
      <w:pPr>
        <w:ind w:firstLine="450" w:firstLineChars="150"/>
        <w:rPr>
          <w:rFonts w:hint="eastAsia" w:ascii="仿宋" w:hAnsi="仿宋" w:eastAsia="仿宋" w:cs="宋体"/>
          <w:color w:val="000000"/>
          <w:sz w:val="30"/>
          <w:szCs w:val="30"/>
          <w:highlight w:val="none"/>
          <w:u w:val="single"/>
        </w:rPr>
      </w:pPr>
    </w:p>
    <w:p>
      <w:pPr>
        <w:ind w:firstLine="360" w:firstLineChars="150"/>
        <w:rPr>
          <w:rFonts w:hint="eastAsia" w:ascii="微软雅黑" w:hAnsi="微软雅黑" w:eastAsia="微软雅黑" w:cs="微软雅黑"/>
          <w:color w:val="auto"/>
          <w:sz w:val="24"/>
          <w:szCs w:val="24"/>
          <w:highlight w:val="none"/>
          <w:u w:val="single"/>
        </w:rPr>
      </w:pPr>
    </w:p>
    <w:p>
      <w:pPr>
        <w:ind w:firstLine="360" w:firstLineChars="150"/>
        <w:rPr>
          <w:rFonts w:hint="eastAsia" w:ascii="微软雅黑" w:hAnsi="微软雅黑" w:eastAsia="微软雅黑" w:cs="微软雅黑"/>
          <w:color w:val="auto"/>
          <w:sz w:val="24"/>
          <w:szCs w:val="24"/>
          <w:highlight w:val="none"/>
          <w:u w:val="single"/>
        </w:rPr>
      </w:pPr>
    </w:p>
    <w:p>
      <w:pPr>
        <w:rPr>
          <w:rFonts w:hint="eastAsia" w:ascii="微软雅黑" w:hAnsi="微软雅黑" w:eastAsia="微软雅黑" w:cs="微软雅黑"/>
          <w:color w:val="auto"/>
          <w:sz w:val="24"/>
          <w:szCs w:val="24"/>
          <w:highlight w:val="none"/>
        </w:rPr>
      </w:pPr>
    </w:p>
    <w:sectPr>
      <w:headerReference r:id="rId7" w:type="default"/>
      <w:footerReference r:id="rId8"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pingfang sc">
    <w:altName w:val="宋体"/>
    <w:panose1 w:val="020B0400000000000000"/>
    <w:charset w:val="86"/>
    <w:family w:val="auto"/>
    <w:pitch w:val="default"/>
    <w:sig w:usb0="00000000" w:usb1="00000000" w:usb2="00000017"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036"/>
        <w:tab w:val="center" w:pos="4355"/>
        <w:tab w:val="right" w:pos="8312"/>
        <w:tab w:val="right" w:pos="8950"/>
      </w:tabs>
      <w:ind w:right="360"/>
      <w:jc w:val="center"/>
    </w:pPr>
    <w:r>
      <w:rPr>
        <w:rFonts w:hint="eastAsia"/>
        <w:color w:val="FF0000"/>
      </w:rPr>
      <w:t>Add：喀什经济开发区深喀大道</w:t>
    </w:r>
    <w:r>
      <w:rPr>
        <w:rFonts w:hint="eastAsia"/>
        <w:color w:val="FF0000"/>
        <w:lang w:val="en-US" w:eastAsia="zh-CN"/>
      </w:rPr>
      <w:t>陕西大厦12楼1208室</w:t>
    </w:r>
    <w:r>
      <w:rPr>
        <w:rFonts w:hint="eastAsia"/>
        <w:color w:val="FF0000"/>
      </w:rPr>
      <w:t xml:space="preserve">        Tel：18209987338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036"/>
        <w:tab w:val="center" w:pos="4355"/>
        <w:tab w:val="right" w:pos="8312"/>
        <w:tab w:val="right" w:pos="8950"/>
      </w:tabs>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FF0000"/>
      </w:rPr>
      <w:t>Add：喀什经济开发区深喀大道</w:t>
    </w:r>
    <w:r>
      <w:rPr>
        <w:rFonts w:hint="eastAsia"/>
        <w:color w:val="FF0000"/>
        <w:lang w:val="en-US" w:eastAsia="zh-CN"/>
      </w:rPr>
      <w:t>陕西大厦12楼1208室</w:t>
    </w:r>
    <w:r>
      <w:rPr>
        <w:rFonts w:hint="eastAsia"/>
        <w:color w:val="FF0000"/>
      </w:rPr>
      <w:t xml:space="preserve">        Tel：18209987338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85</w:t>
                    </w:r>
                    <w:r>
                      <w:fldChar w:fldCharType="end"/>
                    </w:r>
                  </w:p>
                </w:txbxContent>
              </v:textbox>
            </v:shape>
          </w:pict>
        </mc:Fallback>
      </mc:AlternateContent>
    </w:r>
    <w:r>
      <w:rPr>
        <w:rFonts w:hint="eastAsia"/>
        <w:color w:val="FF0000"/>
      </w:rPr>
      <w:t>Add：喀什经济开发区深喀大道</w:t>
    </w:r>
    <w:r>
      <w:rPr>
        <w:rFonts w:hint="eastAsia"/>
        <w:color w:val="FF0000"/>
        <w:lang w:val="en-US" w:eastAsia="zh-CN"/>
      </w:rPr>
      <w:t>陕西大厦12楼1208室</w:t>
    </w:r>
    <w:r>
      <w:rPr>
        <w:rFonts w:hint="eastAsia"/>
        <w:color w:val="FF0000"/>
      </w:rPr>
      <w:t xml:space="preserve">        Tel：18209987338</w:t>
    </w:r>
  </w:p>
  <w:p>
    <w:pPr>
      <w:pStyle w:val="16"/>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0"/>
      </w:pBdr>
      <w:jc w:val="left"/>
    </w:pPr>
    <w:r>
      <w:rPr>
        <w:sz w:val="18"/>
      </w:rPr>
      <w:drawing>
        <wp:anchor distT="0" distB="0" distL="0" distR="0" simplePos="0" relativeHeight="251659264" behindDoc="1" locked="0" layoutInCell="1" allowOverlap="1">
          <wp:simplePos x="0" y="0"/>
          <wp:positionH relativeFrom="margin">
            <wp:align>center</wp:align>
          </wp:positionH>
          <wp:positionV relativeFrom="margin">
            <wp:align>center</wp:align>
          </wp:positionV>
          <wp:extent cx="5274310" cy="847090"/>
          <wp:effectExtent l="1740535" t="0" r="1755775" b="0"/>
          <wp:wrapNone/>
          <wp:docPr id="4099" name="WordPictureWatermark44743" descr="图片1"/>
          <wp:cNvGraphicFramePr/>
          <a:graphic xmlns:a="http://schemas.openxmlformats.org/drawingml/2006/main">
            <a:graphicData uri="http://schemas.openxmlformats.org/drawingml/2006/picture">
              <pic:pic xmlns:pic="http://schemas.openxmlformats.org/drawingml/2006/picture">
                <pic:nvPicPr>
                  <pic:cNvPr id="4099" name="WordPictureWatermark44743" descr="图片1"/>
                  <pic:cNvPicPr/>
                </pic:nvPicPr>
                <pic:blipFill>
                  <a:blip r:embed="rId1" cstate="print">
                    <a:lum bright="68000" contrast="-70000"/>
                  </a:blip>
                  <a:srcRect/>
                  <a:stretch>
                    <a:fillRect/>
                  </a:stretch>
                </pic:blipFill>
                <pic:spPr>
                  <a:xfrm rot="-2700000">
                    <a:off x="0" y="0"/>
                    <a:ext cx="5274310" cy="847090"/>
                  </a:xfrm>
                  <a:prstGeom prst="rect">
                    <a:avLst/>
                  </a:prstGeom>
                  <a:ln>
                    <a:noFill/>
                  </a:ln>
                </pic:spPr>
              </pic:pic>
            </a:graphicData>
          </a:graphic>
        </wp:anchor>
      </w:drawing>
    </w:r>
    <w:r>
      <w:rPr>
        <w:rFonts w:hint="eastAsia"/>
      </w:rPr>
      <w:drawing>
        <wp:inline distT="0" distB="0" distL="0" distR="0">
          <wp:extent cx="2992755" cy="428625"/>
          <wp:effectExtent l="0" t="0" r="9525" b="13335"/>
          <wp:docPr id="4100" name="图片 2" descr="7fb26b890cf49d76afa2453ec3c9120"/>
          <wp:cNvGraphicFramePr/>
          <a:graphic xmlns:a="http://schemas.openxmlformats.org/drawingml/2006/main">
            <a:graphicData uri="http://schemas.openxmlformats.org/drawingml/2006/picture">
              <pic:pic xmlns:pic="http://schemas.openxmlformats.org/drawingml/2006/picture">
                <pic:nvPicPr>
                  <pic:cNvPr id="4100" name="图片 2" descr="7fb26b890cf49d76afa2453ec3c9120"/>
                  <pic:cNvPicPr/>
                </pic:nvPicPr>
                <pic:blipFill>
                  <a:blip r:embed="rId1" cstate="print"/>
                  <a:srcRect/>
                  <a:stretch>
                    <a:fillRect/>
                  </a:stretch>
                </pic:blipFill>
                <pic:spPr>
                  <a:xfrm>
                    <a:off x="0" y="0"/>
                    <a:ext cx="2992755" cy="429259"/>
                  </a:xfrm>
                  <a:prstGeom prst="rect">
                    <a:avLst/>
                  </a:prstGeom>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0"/>
      </w:pBdr>
      <w:jc w:val="left"/>
    </w:pPr>
    <w: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847090"/>
          <wp:effectExtent l="1740535" t="0" r="1755775" b="0"/>
          <wp:wrapNone/>
          <wp:docPr id="6" name="WordPictureWatermark447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4743" descr="图片1"/>
                  <pic:cNvPicPr>
                    <a:picLocks noChangeAspect="1"/>
                  </pic:cNvPicPr>
                </pic:nvPicPr>
                <pic:blipFill>
                  <a:blip r:embed="rId1">
                    <a:lum bright="69998" contrast="-70001"/>
                  </a:blip>
                  <a:stretch>
                    <a:fillRect/>
                  </a:stretch>
                </pic:blipFill>
                <pic:spPr>
                  <a:xfrm rot="-2700000">
                    <a:off x="0" y="0"/>
                    <a:ext cx="5274310" cy="847090"/>
                  </a:xfrm>
                  <a:prstGeom prst="rect">
                    <a:avLst/>
                  </a:prstGeom>
                  <a:noFill/>
                  <a:ln>
                    <a:noFill/>
                  </a:ln>
                </pic:spPr>
              </pic:pic>
            </a:graphicData>
          </a:graphic>
        </wp:anchor>
      </w:drawing>
    </w:r>
    <w:r>
      <w:rPr>
        <w:rFonts w:hint="eastAsia"/>
      </w:rPr>
      <w:drawing>
        <wp:inline distT="0" distB="0" distL="114300" distR="114300">
          <wp:extent cx="2992755" cy="429260"/>
          <wp:effectExtent l="0" t="0" r="9525" b="12700"/>
          <wp:docPr id="9" name="图片 9" descr="7fb26b890cf49d76afa2453ec3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fb26b890cf49d76afa2453ec3c9120"/>
                  <pic:cNvPicPr>
                    <a:picLocks noChangeAspect="1"/>
                  </pic:cNvPicPr>
                </pic:nvPicPr>
                <pic:blipFill>
                  <a:blip r:embed="rId1"/>
                  <a:stretch>
                    <a:fillRect/>
                  </a:stretch>
                </pic:blipFill>
                <pic:spPr>
                  <a:xfrm>
                    <a:off x="0" y="0"/>
                    <a:ext cx="2992755" cy="429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0"/>
      </w:pBdr>
      <w:jc w:val="left"/>
    </w:pPr>
    <w:r>
      <w:rPr>
        <w:rFonts w:hint="eastAsia"/>
      </w:rPr>
      <w:drawing>
        <wp:inline distT="0" distB="0" distL="0" distR="0">
          <wp:extent cx="2992755" cy="428625"/>
          <wp:effectExtent l="0" t="0" r="17145" b="8890"/>
          <wp:docPr id="4105" name="图片 4" descr="7fb26b890cf49d76afa2453ec3c9120"/>
          <wp:cNvGraphicFramePr/>
          <a:graphic xmlns:a="http://schemas.openxmlformats.org/drawingml/2006/main">
            <a:graphicData uri="http://schemas.openxmlformats.org/drawingml/2006/picture">
              <pic:pic xmlns:pic="http://schemas.openxmlformats.org/drawingml/2006/picture">
                <pic:nvPicPr>
                  <pic:cNvPr id="4105" name="图片 4" descr="7fb26b890cf49d76afa2453ec3c9120"/>
                  <pic:cNvPicPr/>
                </pic:nvPicPr>
                <pic:blipFill>
                  <a:blip r:embed="rId1" cstate="print"/>
                  <a:srcRect/>
                  <a:stretch>
                    <a:fillRect/>
                  </a:stretch>
                </pic:blipFill>
                <pic:spPr>
                  <a:xfrm>
                    <a:off x="0" y="0"/>
                    <a:ext cx="2992755" cy="429259"/>
                  </a:xfrm>
                  <a:prstGeom prst="rect">
                    <a:avLst/>
                  </a:prstGeom>
                  <a:ln>
                    <a:noFill/>
                  </a:ln>
                </pic:spPr>
              </pic:pic>
            </a:graphicData>
          </a:graphic>
        </wp:inline>
      </w:drawing>
    </w:r>
  </w:p>
  <w:p>
    <w:pPr>
      <w:pStyle w:val="17"/>
      <w:pBdr>
        <w:bottom w:val="none" w:color="auto" w:sz="0" w:space="0"/>
      </w:pBdr>
      <w:jc w:val="right"/>
    </w:pPr>
    <w:r>
      <w:rPr>
        <w:sz w:val="18"/>
      </w:rPr>
      <w:drawing>
        <wp:anchor distT="0" distB="0" distL="0" distR="0" simplePos="0" relativeHeight="251659264" behindDoc="1" locked="0" layoutInCell="1" allowOverlap="1">
          <wp:simplePos x="0" y="0"/>
          <wp:positionH relativeFrom="margin">
            <wp:align>center</wp:align>
          </wp:positionH>
          <wp:positionV relativeFrom="margin">
            <wp:align>center</wp:align>
          </wp:positionV>
          <wp:extent cx="5274310" cy="847090"/>
          <wp:effectExtent l="1740535" t="0" r="1755775" b="0"/>
          <wp:wrapNone/>
          <wp:docPr id="4106" name="WordPictureWatermark44743" descr="图片1"/>
          <wp:cNvGraphicFramePr/>
          <a:graphic xmlns:a="http://schemas.openxmlformats.org/drawingml/2006/main">
            <a:graphicData uri="http://schemas.openxmlformats.org/drawingml/2006/picture">
              <pic:pic xmlns:pic="http://schemas.openxmlformats.org/drawingml/2006/picture">
                <pic:nvPicPr>
                  <pic:cNvPr id="4106" name="WordPictureWatermark44743" descr="图片1"/>
                  <pic:cNvPicPr/>
                </pic:nvPicPr>
                <pic:blipFill>
                  <a:blip r:embed="rId1" cstate="print">
                    <a:lum bright="68000" contrast="-70000"/>
                  </a:blip>
                  <a:srcRect/>
                  <a:stretch>
                    <a:fillRect/>
                  </a:stretch>
                </pic:blipFill>
                <pic:spPr>
                  <a:xfrm rot="-2700000">
                    <a:off x="0" y="0"/>
                    <a:ext cx="5274310" cy="84709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decimal"/>
      <w:suff w:val="space"/>
      <w:lvlText w:val="第%1章"/>
      <w:lvlJc w:val="left"/>
    </w:lvl>
  </w:abstractNum>
  <w:abstractNum w:abstractNumId="1">
    <w:nsid w:val="00000001"/>
    <w:multiLevelType w:val="multilevel"/>
    <w:tmpl w:val="00000001"/>
    <w:lvl w:ilvl="0" w:tentative="0">
      <w:start w:val="1"/>
      <w:numFmt w:val="decimal"/>
      <w:suff w:val="space"/>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00000006"/>
    <w:multiLevelType w:val="multilevel"/>
    <w:tmpl w:val="00000006"/>
    <w:lvl w:ilvl="0" w:tentative="0">
      <w:start w:val="1"/>
      <w:numFmt w:val="upperLetter"/>
      <w:pStyle w:val="35"/>
      <w:lvlText w:val="%1."/>
      <w:lvlJc w:val="left"/>
      <w:pPr>
        <w:widowControl/>
        <w:tabs>
          <w:tab w:val="left" w:pos="752"/>
        </w:tabs>
        <w:ind w:left="752" w:hanging="468"/>
        <w:textAlignment w:val="baseline"/>
      </w:pPr>
    </w:lvl>
    <w:lvl w:ilvl="1" w:tentative="0">
      <w:start w:val="1"/>
      <w:numFmt w:val="decimal"/>
      <w:lvlText w:val="%1."/>
      <w:lvlJc w:val="left"/>
      <w:pPr>
        <w:widowControl/>
        <w:tabs>
          <w:tab w:val="left" w:pos="1724"/>
        </w:tabs>
        <w:ind w:left="1724" w:hanging="360"/>
        <w:textAlignment w:val="baseline"/>
      </w:pPr>
    </w:lvl>
    <w:lvl w:ilvl="2" w:tentative="0">
      <w:start w:val="1"/>
      <w:numFmt w:val="decimal"/>
      <w:lvlText w:val="%1."/>
      <w:lvlJc w:val="left"/>
      <w:pPr>
        <w:widowControl/>
        <w:tabs>
          <w:tab w:val="left" w:pos="644"/>
        </w:tabs>
        <w:ind w:left="644" w:hanging="360"/>
        <w:textAlignment w:val="baseline"/>
      </w:pPr>
    </w:lvl>
    <w:lvl w:ilvl="3" w:tentative="0">
      <w:start w:val="1"/>
      <w:numFmt w:val="decimal"/>
      <w:lvlText w:val="%1."/>
      <w:lvlJc w:val="left"/>
      <w:pPr>
        <w:widowControl/>
        <w:tabs>
          <w:tab w:val="left" w:pos="3164"/>
        </w:tabs>
        <w:ind w:left="3164" w:hanging="360"/>
        <w:textAlignment w:val="baseline"/>
      </w:pPr>
    </w:lvl>
    <w:lvl w:ilvl="4" w:tentative="0">
      <w:start w:val="1"/>
      <w:numFmt w:val="decimal"/>
      <w:lvlText w:val="%1."/>
      <w:lvlJc w:val="left"/>
      <w:pPr>
        <w:widowControl/>
        <w:tabs>
          <w:tab w:val="left" w:pos="3884"/>
        </w:tabs>
        <w:ind w:left="3884" w:hanging="360"/>
        <w:textAlignment w:val="baseline"/>
      </w:pPr>
    </w:lvl>
    <w:lvl w:ilvl="5" w:tentative="0">
      <w:start w:val="1"/>
      <w:numFmt w:val="decimal"/>
      <w:lvlText w:val="%1."/>
      <w:lvlJc w:val="left"/>
      <w:pPr>
        <w:widowControl/>
        <w:tabs>
          <w:tab w:val="left" w:pos="4604"/>
        </w:tabs>
        <w:ind w:left="4604" w:hanging="360"/>
        <w:textAlignment w:val="baseline"/>
      </w:pPr>
    </w:lvl>
    <w:lvl w:ilvl="6" w:tentative="0">
      <w:start w:val="1"/>
      <w:numFmt w:val="decimal"/>
      <w:lvlText w:val="%1."/>
      <w:lvlJc w:val="left"/>
      <w:pPr>
        <w:widowControl/>
        <w:tabs>
          <w:tab w:val="left" w:pos="5324"/>
        </w:tabs>
        <w:ind w:left="5324" w:hanging="360"/>
        <w:textAlignment w:val="baseline"/>
      </w:pPr>
    </w:lvl>
    <w:lvl w:ilvl="7" w:tentative="0">
      <w:start w:val="1"/>
      <w:numFmt w:val="decimal"/>
      <w:lvlText w:val="%1."/>
      <w:lvlJc w:val="left"/>
      <w:pPr>
        <w:widowControl/>
        <w:tabs>
          <w:tab w:val="left" w:pos="6044"/>
        </w:tabs>
        <w:ind w:left="6044" w:hanging="360"/>
        <w:textAlignment w:val="baseline"/>
      </w:pPr>
    </w:lvl>
    <w:lvl w:ilvl="8" w:tentative="0">
      <w:start w:val="1"/>
      <w:numFmt w:val="decimal"/>
      <w:lvlText w:val="%1."/>
      <w:lvlJc w:val="left"/>
      <w:pPr>
        <w:widowControl/>
        <w:tabs>
          <w:tab w:val="left" w:pos="6764"/>
        </w:tabs>
        <w:ind w:left="6764" w:hanging="360"/>
        <w:textAlignment w:val="baseline"/>
      </w:pPr>
    </w:lvl>
  </w:abstractNum>
  <w:abstractNum w:abstractNumId="3">
    <w:nsid w:val="00000007"/>
    <w:multiLevelType w:val="singleLevel"/>
    <w:tmpl w:val="00000007"/>
    <w:lvl w:ilvl="0" w:tentative="0">
      <w:start w:val="2"/>
      <w:numFmt w:val="decimal"/>
      <w:suff w:val="nothing"/>
      <w:lvlText w:val="%1、"/>
      <w:lvlJc w:val="left"/>
    </w:lvl>
  </w:abstractNum>
  <w:abstractNum w:abstractNumId="4">
    <w:nsid w:val="00000008"/>
    <w:multiLevelType w:val="multilevel"/>
    <w:tmpl w:val="00000008"/>
    <w:lvl w:ilvl="0" w:tentative="0">
      <w:start w:val="1"/>
      <w:numFmt w:val="decimal"/>
      <w:lvlText w:val="%1"/>
      <w:lvlJc w:val="left"/>
      <w:pPr>
        <w:ind w:left="432" w:hanging="432"/>
      </w:pPr>
      <w:rPr>
        <w:rFonts w:hint="eastAsia"/>
      </w:rPr>
    </w:lvl>
    <w:lvl w:ilvl="1" w:tentative="0">
      <w:start w:val="1"/>
      <w:numFmt w:val="decimal"/>
      <w:pStyle w:val="76"/>
      <w:lvlText w:val="%1.%2"/>
      <w:lvlJc w:val="left"/>
      <w:pPr>
        <w:ind w:left="576" w:hanging="576"/>
      </w:pPr>
      <w:rPr>
        <w:rFonts w:hint="eastAsia"/>
        <w:b/>
        <w:i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5">
    <w:nsid w:val="55828DFF"/>
    <w:multiLevelType w:val="multilevel"/>
    <w:tmpl w:val="55828DFF"/>
    <w:lvl w:ilvl="0" w:tentative="0">
      <w:start w:val="1"/>
      <w:numFmt w:val="decimal"/>
      <w:lvlText w:val="%1."/>
      <w:lvlJc w:val="left"/>
      <w:pPr>
        <w:tabs>
          <w:tab w:val="left" w:pos="432"/>
        </w:tabs>
        <w:ind w:left="432" w:hanging="432"/>
      </w:pPr>
      <w:rPr>
        <w:rFonts w:hint="default" w:ascii="Times New Roman" w:hAnsi="Times New Roman" w:cs="Times New Roman"/>
      </w:rPr>
    </w:lvl>
    <w:lvl w:ilvl="1" w:tentative="0">
      <w:start w:val="1"/>
      <w:numFmt w:val="decimal"/>
      <w:lvlText w:val="%1.%2."/>
      <w:lvlJc w:val="left"/>
      <w:pPr>
        <w:tabs>
          <w:tab w:val="left" w:pos="575"/>
        </w:tabs>
        <w:ind w:left="575" w:hanging="575"/>
      </w:pPr>
      <w:rPr>
        <w:rFonts w:hint="default" w:ascii="Times New Roman" w:hAnsi="Times New Roman" w:cs="Times New Roman"/>
        <w:lang w:val="en-US"/>
      </w:rPr>
    </w:lvl>
    <w:lvl w:ilvl="2" w:tentative="0">
      <w:start w:val="1"/>
      <w:numFmt w:val="decimal"/>
      <w:pStyle w:val="84"/>
      <w:lvlText w:val="%1.%2.%3."/>
      <w:lvlJc w:val="left"/>
      <w:pPr>
        <w:tabs>
          <w:tab w:val="left" w:pos="720"/>
        </w:tabs>
        <w:ind w:left="720" w:hanging="720"/>
      </w:pPr>
      <w:rPr>
        <w:rFonts w:hint="default" w:ascii="Times New Roman" w:hAnsi="Times New Roman" w:eastAsia="黑体" w:cs="Times New Roman"/>
        <w:b/>
        <w:bCs/>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85"/>
      <w:lvlText w:val="%1.%2.%3.%4."/>
      <w:lvlJc w:val="left"/>
      <w:pPr>
        <w:tabs>
          <w:tab w:val="left" w:pos="864"/>
        </w:tabs>
        <w:ind w:left="864" w:hanging="864"/>
      </w:pPr>
      <w:rPr>
        <w:rFonts w:hint="default" w:ascii="Times New Roman" w:hAnsi="Times New Roman" w:eastAsia="黑体" w:cs="Times New Roman"/>
        <w:lang w:val="en-US"/>
      </w:rPr>
    </w:lvl>
    <w:lvl w:ilvl="4" w:tentative="0">
      <w:start w:val="1"/>
      <w:numFmt w:val="decimal"/>
      <w:lvlText w:val="%1.%2.%3.%4.%5."/>
      <w:lvlJc w:val="left"/>
      <w:pPr>
        <w:tabs>
          <w:tab w:val="left" w:pos="1008"/>
        </w:tabs>
        <w:ind w:left="1008" w:hanging="1008"/>
      </w:pPr>
      <w:rPr>
        <w:rFonts w:hint="default" w:ascii="Times New Roman" w:hAnsi="Times New Roman" w:cs="Times New Roman"/>
      </w:rPr>
    </w:lvl>
    <w:lvl w:ilvl="5" w:tentative="0">
      <w:start w:val="1"/>
      <w:numFmt w:val="decimal"/>
      <w:lvlText w:val="%1.%2.%3.%4.%5.%6."/>
      <w:lvlJc w:val="left"/>
      <w:pPr>
        <w:tabs>
          <w:tab w:val="left" w:pos="1151"/>
        </w:tabs>
        <w:ind w:left="1151" w:hanging="1151"/>
      </w:pPr>
      <w:rPr>
        <w:rFonts w:hint="default" w:ascii="Times New Roman" w:hAnsi="Times New Roman" w:cs="Times New Roman"/>
      </w:rPr>
    </w:lvl>
    <w:lvl w:ilvl="6" w:tentative="0">
      <w:start w:val="1"/>
      <w:numFmt w:val="decimal"/>
      <w:lvlText w:val="%1.%2.%3.%4.%5.%6.%7."/>
      <w:lvlJc w:val="left"/>
      <w:pPr>
        <w:tabs>
          <w:tab w:val="left" w:pos="1296"/>
        </w:tabs>
        <w:ind w:left="1296" w:hanging="1296"/>
      </w:pPr>
      <w:rPr>
        <w:rFonts w:hint="default" w:ascii="Times New Roman" w:hAnsi="Times New Roman" w:cs="Times New Roman"/>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6">
    <w:nsid w:val="6005F10E"/>
    <w:multiLevelType w:val="singleLevel"/>
    <w:tmpl w:val="6005F10E"/>
    <w:lvl w:ilvl="0" w:tentative="0">
      <w:start w:val="15"/>
      <w:numFmt w:val="decimal"/>
      <w:suff w:val="space"/>
      <w:lvlText w:val="%1."/>
      <w:lvlJc w:val="left"/>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M2Q5NWZjZDNhOWMzYzVlODM5NTVhMWNlYzJjM2QifQ=="/>
  </w:docVars>
  <w:rsids>
    <w:rsidRoot w:val="00000000"/>
    <w:rsid w:val="002145A0"/>
    <w:rsid w:val="00320039"/>
    <w:rsid w:val="003A4DB8"/>
    <w:rsid w:val="006360BD"/>
    <w:rsid w:val="0073763C"/>
    <w:rsid w:val="008E53B2"/>
    <w:rsid w:val="00B22F90"/>
    <w:rsid w:val="00CA58C6"/>
    <w:rsid w:val="010C0502"/>
    <w:rsid w:val="01113BE8"/>
    <w:rsid w:val="014632E9"/>
    <w:rsid w:val="014E721F"/>
    <w:rsid w:val="01566194"/>
    <w:rsid w:val="015C3AD4"/>
    <w:rsid w:val="01621A8C"/>
    <w:rsid w:val="017B1CD3"/>
    <w:rsid w:val="01AC75F0"/>
    <w:rsid w:val="01D60B10"/>
    <w:rsid w:val="01E24E4B"/>
    <w:rsid w:val="0247556A"/>
    <w:rsid w:val="02C64F85"/>
    <w:rsid w:val="02C933CD"/>
    <w:rsid w:val="02DD1F30"/>
    <w:rsid w:val="032338E1"/>
    <w:rsid w:val="032923D9"/>
    <w:rsid w:val="035277E1"/>
    <w:rsid w:val="03635BA2"/>
    <w:rsid w:val="036A59B4"/>
    <w:rsid w:val="039B2F0B"/>
    <w:rsid w:val="039B6747"/>
    <w:rsid w:val="03A17621"/>
    <w:rsid w:val="03E72B61"/>
    <w:rsid w:val="03FE7EAB"/>
    <w:rsid w:val="0418202A"/>
    <w:rsid w:val="0422003D"/>
    <w:rsid w:val="043164D2"/>
    <w:rsid w:val="046F2DD0"/>
    <w:rsid w:val="04956A61"/>
    <w:rsid w:val="04AC5385"/>
    <w:rsid w:val="04C64E6C"/>
    <w:rsid w:val="04DA0DAB"/>
    <w:rsid w:val="04EB4AD4"/>
    <w:rsid w:val="052B035A"/>
    <w:rsid w:val="05AB7D03"/>
    <w:rsid w:val="05B918D7"/>
    <w:rsid w:val="05E74AEF"/>
    <w:rsid w:val="05F0727E"/>
    <w:rsid w:val="06043E9E"/>
    <w:rsid w:val="061E7562"/>
    <w:rsid w:val="062513A7"/>
    <w:rsid w:val="065169B7"/>
    <w:rsid w:val="065232F6"/>
    <w:rsid w:val="066E1317"/>
    <w:rsid w:val="068C3E93"/>
    <w:rsid w:val="068C79F0"/>
    <w:rsid w:val="069D39AB"/>
    <w:rsid w:val="06A27213"/>
    <w:rsid w:val="06B26F80"/>
    <w:rsid w:val="06B82B89"/>
    <w:rsid w:val="06BF5690"/>
    <w:rsid w:val="06ED4932"/>
    <w:rsid w:val="070E48A8"/>
    <w:rsid w:val="07577514"/>
    <w:rsid w:val="07623E5D"/>
    <w:rsid w:val="07666493"/>
    <w:rsid w:val="07715705"/>
    <w:rsid w:val="07A44D2D"/>
    <w:rsid w:val="07C338E5"/>
    <w:rsid w:val="08152EBB"/>
    <w:rsid w:val="082B3AE2"/>
    <w:rsid w:val="084B1AA8"/>
    <w:rsid w:val="085424AB"/>
    <w:rsid w:val="08573CD6"/>
    <w:rsid w:val="08752E31"/>
    <w:rsid w:val="08AE1606"/>
    <w:rsid w:val="08BA4587"/>
    <w:rsid w:val="08D150B4"/>
    <w:rsid w:val="08D60107"/>
    <w:rsid w:val="08D833C0"/>
    <w:rsid w:val="08E55999"/>
    <w:rsid w:val="08E873D7"/>
    <w:rsid w:val="08F32F05"/>
    <w:rsid w:val="09033A4F"/>
    <w:rsid w:val="090B72F2"/>
    <w:rsid w:val="09532A47"/>
    <w:rsid w:val="09671E04"/>
    <w:rsid w:val="0989582F"/>
    <w:rsid w:val="09A03C4E"/>
    <w:rsid w:val="09A07FFE"/>
    <w:rsid w:val="09C6272F"/>
    <w:rsid w:val="09DB78E1"/>
    <w:rsid w:val="09E029B5"/>
    <w:rsid w:val="09E55D95"/>
    <w:rsid w:val="0AA00E18"/>
    <w:rsid w:val="0ADA0003"/>
    <w:rsid w:val="0AED79CA"/>
    <w:rsid w:val="0AF04068"/>
    <w:rsid w:val="0B0C55A3"/>
    <w:rsid w:val="0B432F08"/>
    <w:rsid w:val="0B6E381F"/>
    <w:rsid w:val="0B894DF9"/>
    <w:rsid w:val="0BE27694"/>
    <w:rsid w:val="0C1D5661"/>
    <w:rsid w:val="0C291FD0"/>
    <w:rsid w:val="0C2C2967"/>
    <w:rsid w:val="0C3E79DE"/>
    <w:rsid w:val="0C4360FE"/>
    <w:rsid w:val="0C522904"/>
    <w:rsid w:val="0C601702"/>
    <w:rsid w:val="0C791C96"/>
    <w:rsid w:val="0C7F4408"/>
    <w:rsid w:val="0C8A49D1"/>
    <w:rsid w:val="0C9615C8"/>
    <w:rsid w:val="0CF84031"/>
    <w:rsid w:val="0D065FC8"/>
    <w:rsid w:val="0D0E1995"/>
    <w:rsid w:val="0D103290"/>
    <w:rsid w:val="0D1D0B59"/>
    <w:rsid w:val="0D5A43A4"/>
    <w:rsid w:val="0D7D0092"/>
    <w:rsid w:val="0D887163"/>
    <w:rsid w:val="0D896A37"/>
    <w:rsid w:val="0D9D2C7A"/>
    <w:rsid w:val="0DDA54E4"/>
    <w:rsid w:val="0E0A5DCA"/>
    <w:rsid w:val="0E0F38A2"/>
    <w:rsid w:val="0E6967BD"/>
    <w:rsid w:val="0E73449F"/>
    <w:rsid w:val="0E7B6B07"/>
    <w:rsid w:val="0E7C47EE"/>
    <w:rsid w:val="0E7E2F8C"/>
    <w:rsid w:val="0E8E49E0"/>
    <w:rsid w:val="0EEF72C3"/>
    <w:rsid w:val="0EFE3455"/>
    <w:rsid w:val="0F113188"/>
    <w:rsid w:val="0F125C24"/>
    <w:rsid w:val="0F143C29"/>
    <w:rsid w:val="0F2136B6"/>
    <w:rsid w:val="0F410DAF"/>
    <w:rsid w:val="0F4935D9"/>
    <w:rsid w:val="0F645D11"/>
    <w:rsid w:val="0FB32592"/>
    <w:rsid w:val="0FC54741"/>
    <w:rsid w:val="0FD14C8B"/>
    <w:rsid w:val="0FDA5C70"/>
    <w:rsid w:val="0FF652C6"/>
    <w:rsid w:val="10280789"/>
    <w:rsid w:val="10901321"/>
    <w:rsid w:val="109149C6"/>
    <w:rsid w:val="10C7057C"/>
    <w:rsid w:val="10D73F5D"/>
    <w:rsid w:val="10EA3C90"/>
    <w:rsid w:val="10EF0934"/>
    <w:rsid w:val="112A6783"/>
    <w:rsid w:val="112C41E6"/>
    <w:rsid w:val="11375FBE"/>
    <w:rsid w:val="11503189"/>
    <w:rsid w:val="115F151F"/>
    <w:rsid w:val="116129D4"/>
    <w:rsid w:val="116C28F7"/>
    <w:rsid w:val="11806BCC"/>
    <w:rsid w:val="118C3BCA"/>
    <w:rsid w:val="119245C3"/>
    <w:rsid w:val="11A2411E"/>
    <w:rsid w:val="11AB78C4"/>
    <w:rsid w:val="11C50105"/>
    <w:rsid w:val="11CE678B"/>
    <w:rsid w:val="11DA0E82"/>
    <w:rsid w:val="11FD4B29"/>
    <w:rsid w:val="11FF376C"/>
    <w:rsid w:val="123F625E"/>
    <w:rsid w:val="12592360"/>
    <w:rsid w:val="126637EB"/>
    <w:rsid w:val="12694827"/>
    <w:rsid w:val="12A460C1"/>
    <w:rsid w:val="12AC5303"/>
    <w:rsid w:val="12DD1CFF"/>
    <w:rsid w:val="12ED5CBA"/>
    <w:rsid w:val="12EF37E0"/>
    <w:rsid w:val="12FC31D3"/>
    <w:rsid w:val="130D09BD"/>
    <w:rsid w:val="13392CAD"/>
    <w:rsid w:val="1377365B"/>
    <w:rsid w:val="13800B97"/>
    <w:rsid w:val="139A6651"/>
    <w:rsid w:val="13A16876"/>
    <w:rsid w:val="13B16CE7"/>
    <w:rsid w:val="13B642FE"/>
    <w:rsid w:val="13C44C6D"/>
    <w:rsid w:val="13DB225F"/>
    <w:rsid w:val="13F866C4"/>
    <w:rsid w:val="14027543"/>
    <w:rsid w:val="140530B1"/>
    <w:rsid w:val="140D24DD"/>
    <w:rsid w:val="141C5039"/>
    <w:rsid w:val="14241086"/>
    <w:rsid w:val="142A5FDC"/>
    <w:rsid w:val="142B2A40"/>
    <w:rsid w:val="146E4BD8"/>
    <w:rsid w:val="148651F0"/>
    <w:rsid w:val="149169E7"/>
    <w:rsid w:val="14E52121"/>
    <w:rsid w:val="150B4C5A"/>
    <w:rsid w:val="15290693"/>
    <w:rsid w:val="153D570D"/>
    <w:rsid w:val="159A283B"/>
    <w:rsid w:val="15A44D56"/>
    <w:rsid w:val="15B900D5"/>
    <w:rsid w:val="15E6670D"/>
    <w:rsid w:val="16105F47"/>
    <w:rsid w:val="161B48EC"/>
    <w:rsid w:val="16421E79"/>
    <w:rsid w:val="164D519C"/>
    <w:rsid w:val="16552373"/>
    <w:rsid w:val="166B7621"/>
    <w:rsid w:val="1679118E"/>
    <w:rsid w:val="16A00DA8"/>
    <w:rsid w:val="16A13043"/>
    <w:rsid w:val="16B02706"/>
    <w:rsid w:val="16D503AC"/>
    <w:rsid w:val="16D57BCB"/>
    <w:rsid w:val="170D15F4"/>
    <w:rsid w:val="171037CA"/>
    <w:rsid w:val="17131521"/>
    <w:rsid w:val="17384C14"/>
    <w:rsid w:val="17872E44"/>
    <w:rsid w:val="178A7F7B"/>
    <w:rsid w:val="17961E8F"/>
    <w:rsid w:val="17C647A7"/>
    <w:rsid w:val="18023FB5"/>
    <w:rsid w:val="1820443C"/>
    <w:rsid w:val="18316649"/>
    <w:rsid w:val="18576CC5"/>
    <w:rsid w:val="187A3B4C"/>
    <w:rsid w:val="187C5B16"/>
    <w:rsid w:val="18955D2D"/>
    <w:rsid w:val="1896204E"/>
    <w:rsid w:val="18A427FE"/>
    <w:rsid w:val="18C329A6"/>
    <w:rsid w:val="18CB43A7"/>
    <w:rsid w:val="18D13587"/>
    <w:rsid w:val="19172397"/>
    <w:rsid w:val="194E5DAF"/>
    <w:rsid w:val="196F6835"/>
    <w:rsid w:val="19856C4C"/>
    <w:rsid w:val="19940C3D"/>
    <w:rsid w:val="1998697F"/>
    <w:rsid w:val="19A03A86"/>
    <w:rsid w:val="19A0795C"/>
    <w:rsid w:val="19C31523"/>
    <w:rsid w:val="19D92AF4"/>
    <w:rsid w:val="1A1574F5"/>
    <w:rsid w:val="1A19736B"/>
    <w:rsid w:val="1A203775"/>
    <w:rsid w:val="1A613215"/>
    <w:rsid w:val="1A705133"/>
    <w:rsid w:val="1A823222"/>
    <w:rsid w:val="1AD03EF7"/>
    <w:rsid w:val="1AEB0D31"/>
    <w:rsid w:val="1AF54DDE"/>
    <w:rsid w:val="1AFD11C6"/>
    <w:rsid w:val="1B1413CF"/>
    <w:rsid w:val="1B1B5E81"/>
    <w:rsid w:val="1B222DFA"/>
    <w:rsid w:val="1B2435A0"/>
    <w:rsid w:val="1B497395"/>
    <w:rsid w:val="1B50328A"/>
    <w:rsid w:val="1B856D40"/>
    <w:rsid w:val="1BC17CE4"/>
    <w:rsid w:val="1BC56FBA"/>
    <w:rsid w:val="1C2C1601"/>
    <w:rsid w:val="1C38492A"/>
    <w:rsid w:val="1C485D0F"/>
    <w:rsid w:val="1C4F0B8B"/>
    <w:rsid w:val="1C5F46E4"/>
    <w:rsid w:val="1C753007"/>
    <w:rsid w:val="1C9A2A0F"/>
    <w:rsid w:val="1CAC44F0"/>
    <w:rsid w:val="1CDC2147"/>
    <w:rsid w:val="1CF07981"/>
    <w:rsid w:val="1D01040A"/>
    <w:rsid w:val="1D012A8E"/>
    <w:rsid w:val="1D5200DE"/>
    <w:rsid w:val="1D911907"/>
    <w:rsid w:val="1D9C6BA7"/>
    <w:rsid w:val="1DA52F3D"/>
    <w:rsid w:val="1DB00010"/>
    <w:rsid w:val="1DB161A0"/>
    <w:rsid w:val="1DC85359"/>
    <w:rsid w:val="1DD95F2A"/>
    <w:rsid w:val="1DDC3E11"/>
    <w:rsid w:val="1DFE521F"/>
    <w:rsid w:val="1E081BFA"/>
    <w:rsid w:val="1E137D01"/>
    <w:rsid w:val="1E1965DF"/>
    <w:rsid w:val="1E3C6860"/>
    <w:rsid w:val="1E5E3995"/>
    <w:rsid w:val="1E613D0C"/>
    <w:rsid w:val="1E6A65D5"/>
    <w:rsid w:val="1E8618AA"/>
    <w:rsid w:val="1E982F7E"/>
    <w:rsid w:val="1ED27475"/>
    <w:rsid w:val="1ED45E22"/>
    <w:rsid w:val="1EE879B6"/>
    <w:rsid w:val="1F0B3750"/>
    <w:rsid w:val="1F4153C3"/>
    <w:rsid w:val="1F7B107E"/>
    <w:rsid w:val="1F8E4D0D"/>
    <w:rsid w:val="1F8E612F"/>
    <w:rsid w:val="1F930F9F"/>
    <w:rsid w:val="1F941997"/>
    <w:rsid w:val="1F9C6A9E"/>
    <w:rsid w:val="1FC2498B"/>
    <w:rsid w:val="1FFC578E"/>
    <w:rsid w:val="1FFE1506"/>
    <w:rsid w:val="20164D59"/>
    <w:rsid w:val="201C198C"/>
    <w:rsid w:val="20A42F05"/>
    <w:rsid w:val="20C6470C"/>
    <w:rsid w:val="21134B3E"/>
    <w:rsid w:val="211A228D"/>
    <w:rsid w:val="215533A8"/>
    <w:rsid w:val="215E79BE"/>
    <w:rsid w:val="21863561"/>
    <w:rsid w:val="21A80E9D"/>
    <w:rsid w:val="21AB49A6"/>
    <w:rsid w:val="21CB2917"/>
    <w:rsid w:val="21CC5420"/>
    <w:rsid w:val="2207555D"/>
    <w:rsid w:val="227329FD"/>
    <w:rsid w:val="227D1DC2"/>
    <w:rsid w:val="22813E3B"/>
    <w:rsid w:val="22D4654E"/>
    <w:rsid w:val="22E6302E"/>
    <w:rsid w:val="22E907A2"/>
    <w:rsid w:val="22EE3A71"/>
    <w:rsid w:val="22FE460E"/>
    <w:rsid w:val="23137077"/>
    <w:rsid w:val="23330577"/>
    <w:rsid w:val="233F31F6"/>
    <w:rsid w:val="23573852"/>
    <w:rsid w:val="23764F7E"/>
    <w:rsid w:val="2378337E"/>
    <w:rsid w:val="23C27E97"/>
    <w:rsid w:val="23F67FA6"/>
    <w:rsid w:val="23FA2E25"/>
    <w:rsid w:val="240069B4"/>
    <w:rsid w:val="241035B6"/>
    <w:rsid w:val="246F2824"/>
    <w:rsid w:val="249C4BBB"/>
    <w:rsid w:val="24AE5C38"/>
    <w:rsid w:val="24EE3942"/>
    <w:rsid w:val="254D531C"/>
    <w:rsid w:val="256421C0"/>
    <w:rsid w:val="258119C1"/>
    <w:rsid w:val="25DE2665"/>
    <w:rsid w:val="25E91C5D"/>
    <w:rsid w:val="25F623DD"/>
    <w:rsid w:val="267E514F"/>
    <w:rsid w:val="268A7650"/>
    <w:rsid w:val="26AB7EF8"/>
    <w:rsid w:val="26CC5EBA"/>
    <w:rsid w:val="26ED0AC3"/>
    <w:rsid w:val="2724694F"/>
    <w:rsid w:val="27383935"/>
    <w:rsid w:val="274F4D29"/>
    <w:rsid w:val="276C144B"/>
    <w:rsid w:val="27895B59"/>
    <w:rsid w:val="27C27241"/>
    <w:rsid w:val="27D95D1F"/>
    <w:rsid w:val="2803474D"/>
    <w:rsid w:val="280B47C0"/>
    <w:rsid w:val="28103742"/>
    <w:rsid w:val="2862787A"/>
    <w:rsid w:val="28645A37"/>
    <w:rsid w:val="28893937"/>
    <w:rsid w:val="28BC26B8"/>
    <w:rsid w:val="28CA642A"/>
    <w:rsid w:val="28DB4EF1"/>
    <w:rsid w:val="29213387"/>
    <w:rsid w:val="29315676"/>
    <w:rsid w:val="29515CEB"/>
    <w:rsid w:val="29521364"/>
    <w:rsid w:val="295D5ECC"/>
    <w:rsid w:val="29787C34"/>
    <w:rsid w:val="29B64C00"/>
    <w:rsid w:val="2A1C2CB5"/>
    <w:rsid w:val="2A391AB9"/>
    <w:rsid w:val="2A522E74"/>
    <w:rsid w:val="2A601D1C"/>
    <w:rsid w:val="2A720B27"/>
    <w:rsid w:val="2A7A3E7F"/>
    <w:rsid w:val="2A9A007E"/>
    <w:rsid w:val="2AAF7153"/>
    <w:rsid w:val="2AD510B6"/>
    <w:rsid w:val="2B02634F"/>
    <w:rsid w:val="2B1240B8"/>
    <w:rsid w:val="2B1716CE"/>
    <w:rsid w:val="2B6352AF"/>
    <w:rsid w:val="2B6716AF"/>
    <w:rsid w:val="2BC5112A"/>
    <w:rsid w:val="2BE45A54"/>
    <w:rsid w:val="2BF10171"/>
    <w:rsid w:val="2BFE65D6"/>
    <w:rsid w:val="2C1A1476"/>
    <w:rsid w:val="2C1F4CDE"/>
    <w:rsid w:val="2C477D91"/>
    <w:rsid w:val="2C6426F1"/>
    <w:rsid w:val="2C8B5F92"/>
    <w:rsid w:val="2C9A25B7"/>
    <w:rsid w:val="2CAB0E29"/>
    <w:rsid w:val="2CAE39BA"/>
    <w:rsid w:val="2CF55A3F"/>
    <w:rsid w:val="2D18318D"/>
    <w:rsid w:val="2D300EFC"/>
    <w:rsid w:val="2D3F513B"/>
    <w:rsid w:val="2D4D41F8"/>
    <w:rsid w:val="2D6B3960"/>
    <w:rsid w:val="2D742E08"/>
    <w:rsid w:val="2DEB5BE1"/>
    <w:rsid w:val="2E1A519A"/>
    <w:rsid w:val="2E3879E0"/>
    <w:rsid w:val="2E4E3E06"/>
    <w:rsid w:val="2EB57CA5"/>
    <w:rsid w:val="2EDE7AFE"/>
    <w:rsid w:val="2F2A7575"/>
    <w:rsid w:val="2F581F87"/>
    <w:rsid w:val="2F6E42FA"/>
    <w:rsid w:val="2FB75472"/>
    <w:rsid w:val="2FC16BFF"/>
    <w:rsid w:val="30304791"/>
    <w:rsid w:val="30654D09"/>
    <w:rsid w:val="3086532C"/>
    <w:rsid w:val="30902353"/>
    <w:rsid w:val="30963095"/>
    <w:rsid w:val="309C45E7"/>
    <w:rsid w:val="30A12166"/>
    <w:rsid w:val="30A13BD7"/>
    <w:rsid w:val="30B71989"/>
    <w:rsid w:val="30CA0702"/>
    <w:rsid w:val="30F94BCC"/>
    <w:rsid w:val="311D0D4C"/>
    <w:rsid w:val="31A6555A"/>
    <w:rsid w:val="31BC6930"/>
    <w:rsid w:val="31C364EC"/>
    <w:rsid w:val="31D41044"/>
    <w:rsid w:val="31FB5844"/>
    <w:rsid w:val="320845A6"/>
    <w:rsid w:val="32153953"/>
    <w:rsid w:val="3243731A"/>
    <w:rsid w:val="32780945"/>
    <w:rsid w:val="329D28D8"/>
    <w:rsid w:val="32D0288E"/>
    <w:rsid w:val="330116CA"/>
    <w:rsid w:val="33133DDA"/>
    <w:rsid w:val="33490375"/>
    <w:rsid w:val="33812C9C"/>
    <w:rsid w:val="33D358E7"/>
    <w:rsid w:val="33D44600"/>
    <w:rsid w:val="33EA7980"/>
    <w:rsid w:val="33F94067"/>
    <w:rsid w:val="33FD557F"/>
    <w:rsid w:val="33FE45F4"/>
    <w:rsid w:val="34041C9B"/>
    <w:rsid w:val="34082B44"/>
    <w:rsid w:val="340F3C54"/>
    <w:rsid w:val="347C7A35"/>
    <w:rsid w:val="34D04DC8"/>
    <w:rsid w:val="34EA7C3C"/>
    <w:rsid w:val="34F226A3"/>
    <w:rsid w:val="351C2BB8"/>
    <w:rsid w:val="3538296D"/>
    <w:rsid w:val="353A713F"/>
    <w:rsid w:val="35414D4C"/>
    <w:rsid w:val="357167B8"/>
    <w:rsid w:val="358D3C5A"/>
    <w:rsid w:val="3592002F"/>
    <w:rsid w:val="35AA397D"/>
    <w:rsid w:val="35BF4E3C"/>
    <w:rsid w:val="35F43F4A"/>
    <w:rsid w:val="365C3BAD"/>
    <w:rsid w:val="365C65CD"/>
    <w:rsid w:val="366072AB"/>
    <w:rsid w:val="367F7DF8"/>
    <w:rsid w:val="368F1131"/>
    <w:rsid w:val="36AB243C"/>
    <w:rsid w:val="36C95B54"/>
    <w:rsid w:val="36E22982"/>
    <w:rsid w:val="36E508D2"/>
    <w:rsid w:val="37133692"/>
    <w:rsid w:val="3728009E"/>
    <w:rsid w:val="374A67D1"/>
    <w:rsid w:val="375F68D7"/>
    <w:rsid w:val="377E3CA4"/>
    <w:rsid w:val="378A44DE"/>
    <w:rsid w:val="378F1341"/>
    <w:rsid w:val="37914E1C"/>
    <w:rsid w:val="37B02C8E"/>
    <w:rsid w:val="37B2398D"/>
    <w:rsid w:val="380958D5"/>
    <w:rsid w:val="38380BDE"/>
    <w:rsid w:val="38575DB5"/>
    <w:rsid w:val="388243D6"/>
    <w:rsid w:val="38AE5AAE"/>
    <w:rsid w:val="38DD71EC"/>
    <w:rsid w:val="38EA0422"/>
    <w:rsid w:val="38FA3704"/>
    <w:rsid w:val="38FD626D"/>
    <w:rsid w:val="39396CB4"/>
    <w:rsid w:val="39986AC3"/>
    <w:rsid w:val="39D0617D"/>
    <w:rsid w:val="39FF1E0A"/>
    <w:rsid w:val="3A105C66"/>
    <w:rsid w:val="3A1B0039"/>
    <w:rsid w:val="3A2B6F44"/>
    <w:rsid w:val="3A347BA7"/>
    <w:rsid w:val="3A573895"/>
    <w:rsid w:val="3ABB3136"/>
    <w:rsid w:val="3AFB60DC"/>
    <w:rsid w:val="3B3F0C67"/>
    <w:rsid w:val="3B583D69"/>
    <w:rsid w:val="3B794114"/>
    <w:rsid w:val="3B7B3C9E"/>
    <w:rsid w:val="3B7F22D6"/>
    <w:rsid w:val="3BE54A14"/>
    <w:rsid w:val="3C037302"/>
    <w:rsid w:val="3C0C4D5B"/>
    <w:rsid w:val="3C293BC2"/>
    <w:rsid w:val="3C2F4ACA"/>
    <w:rsid w:val="3C3F6EED"/>
    <w:rsid w:val="3C5912BF"/>
    <w:rsid w:val="3C6F3118"/>
    <w:rsid w:val="3C74613C"/>
    <w:rsid w:val="3CA01012"/>
    <w:rsid w:val="3CA45516"/>
    <w:rsid w:val="3CB52AF5"/>
    <w:rsid w:val="3CBF6F46"/>
    <w:rsid w:val="3CD613E9"/>
    <w:rsid w:val="3CE401C5"/>
    <w:rsid w:val="3CE91981"/>
    <w:rsid w:val="3D207281"/>
    <w:rsid w:val="3D7B789B"/>
    <w:rsid w:val="3D7D74F8"/>
    <w:rsid w:val="3DB00D18"/>
    <w:rsid w:val="3DC76509"/>
    <w:rsid w:val="3DC9653B"/>
    <w:rsid w:val="3DC96858"/>
    <w:rsid w:val="3DD31EFC"/>
    <w:rsid w:val="3DD81F88"/>
    <w:rsid w:val="3E45258B"/>
    <w:rsid w:val="3EA929B7"/>
    <w:rsid w:val="3EBF016B"/>
    <w:rsid w:val="3ECF54FB"/>
    <w:rsid w:val="3EDA1E89"/>
    <w:rsid w:val="3F2006FA"/>
    <w:rsid w:val="3F2B098F"/>
    <w:rsid w:val="3F2C3542"/>
    <w:rsid w:val="3F316DAB"/>
    <w:rsid w:val="3F403E2A"/>
    <w:rsid w:val="3F4C7741"/>
    <w:rsid w:val="3F6F38B1"/>
    <w:rsid w:val="3F815597"/>
    <w:rsid w:val="3F8C0675"/>
    <w:rsid w:val="3F956035"/>
    <w:rsid w:val="3FA53259"/>
    <w:rsid w:val="3FB0060E"/>
    <w:rsid w:val="3FB65236"/>
    <w:rsid w:val="3FBE071F"/>
    <w:rsid w:val="3FFA0F65"/>
    <w:rsid w:val="401E3421"/>
    <w:rsid w:val="403C77B5"/>
    <w:rsid w:val="40552625"/>
    <w:rsid w:val="408745C2"/>
    <w:rsid w:val="40AB66E9"/>
    <w:rsid w:val="40AF442B"/>
    <w:rsid w:val="40BD01A1"/>
    <w:rsid w:val="40CD3FF4"/>
    <w:rsid w:val="40DC2F0C"/>
    <w:rsid w:val="40F77B80"/>
    <w:rsid w:val="4108613C"/>
    <w:rsid w:val="411F101A"/>
    <w:rsid w:val="41511589"/>
    <w:rsid w:val="41760AA5"/>
    <w:rsid w:val="41853106"/>
    <w:rsid w:val="41993698"/>
    <w:rsid w:val="41CA7043"/>
    <w:rsid w:val="41E35FAA"/>
    <w:rsid w:val="41E65108"/>
    <w:rsid w:val="41F3622B"/>
    <w:rsid w:val="41FF65A5"/>
    <w:rsid w:val="42067245"/>
    <w:rsid w:val="426B6130"/>
    <w:rsid w:val="42A61B98"/>
    <w:rsid w:val="42B62EBF"/>
    <w:rsid w:val="42BF13A8"/>
    <w:rsid w:val="42DC004C"/>
    <w:rsid w:val="42DC527F"/>
    <w:rsid w:val="42F92679"/>
    <w:rsid w:val="42FD6AEA"/>
    <w:rsid w:val="43066BB7"/>
    <w:rsid w:val="43170066"/>
    <w:rsid w:val="432A251A"/>
    <w:rsid w:val="4372194D"/>
    <w:rsid w:val="43BD0C0D"/>
    <w:rsid w:val="43D30AB1"/>
    <w:rsid w:val="43F87AE8"/>
    <w:rsid w:val="44242BF2"/>
    <w:rsid w:val="44295A18"/>
    <w:rsid w:val="443600D1"/>
    <w:rsid w:val="44422052"/>
    <w:rsid w:val="448C0A90"/>
    <w:rsid w:val="44D0671E"/>
    <w:rsid w:val="44F763A1"/>
    <w:rsid w:val="45097E82"/>
    <w:rsid w:val="45380515"/>
    <w:rsid w:val="453F3F6E"/>
    <w:rsid w:val="455870C9"/>
    <w:rsid w:val="455C26A8"/>
    <w:rsid w:val="45AF4585"/>
    <w:rsid w:val="45DE620E"/>
    <w:rsid w:val="45EB67D2"/>
    <w:rsid w:val="46144D30"/>
    <w:rsid w:val="46160AA8"/>
    <w:rsid w:val="46412573"/>
    <w:rsid w:val="46444389"/>
    <w:rsid w:val="464F7B16"/>
    <w:rsid w:val="46525488"/>
    <w:rsid w:val="46554453"/>
    <w:rsid w:val="46804174"/>
    <w:rsid w:val="46843C64"/>
    <w:rsid w:val="46981359"/>
    <w:rsid w:val="46B9431C"/>
    <w:rsid w:val="46DD15C6"/>
    <w:rsid w:val="46FD0452"/>
    <w:rsid w:val="46FE1EC1"/>
    <w:rsid w:val="47173339"/>
    <w:rsid w:val="471D19C3"/>
    <w:rsid w:val="473B6AF6"/>
    <w:rsid w:val="47935EA6"/>
    <w:rsid w:val="48036ED9"/>
    <w:rsid w:val="482B052A"/>
    <w:rsid w:val="48321BFE"/>
    <w:rsid w:val="4840005F"/>
    <w:rsid w:val="484F2050"/>
    <w:rsid w:val="485D3FFB"/>
    <w:rsid w:val="485E0D0F"/>
    <w:rsid w:val="487A3570"/>
    <w:rsid w:val="487F60CE"/>
    <w:rsid w:val="48AB372A"/>
    <w:rsid w:val="48C70F09"/>
    <w:rsid w:val="48DF1625"/>
    <w:rsid w:val="48E71DE0"/>
    <w:rsid w:val="48E955FE"/>
    <w:rsid w:val="492D634D"/>
    <w:rsid w:val="49650D95"/>
    <w:rsid w:val="496C4D4B"/>
    <w:rsid w:val="49775F25"/>
    <w:rsid w:val="499A0AB6"/>
    <w:rsid w:val="49B948C6"/>
    <w:rsid w:val="49BA174B"/>
    <w:rsid w:val="49F2569D"/>
    <w:rsid w:val="49F83896"/>
    <w:rsid w:val="4A05376F"/>
    <w:rsid w:val="4A3B4F46"/>
    <w:rsid w:val="4A9457E6"/>
    <w:rsid w:val="4A9F5510"/>
    <w:rsid w:val="4AC17CB4"/>
    <w:rsid w:val="4ACB602B"/>
    <w:rsid w:val="4AD60806"/>
    <w:rsid w:val="4B060995"/>
    <w:rsid w:val="4B200A28"/>
    <w:rsid w:val="4B3B0743"/>
    <w:rsid w:val="4B4E4840"/>
    <w:rsid w:val="4B7324F9"/>
    <w:rsid w:val="4B8169C4"/>
    <w:rsid w:val="4B882CCA"/>
    <w:rsid w:val="4BA803F5"/>
    <w:rsid w:val="4BC06985"/>
    <w:rsid w:val="4BC62629"/>
    <w:rsid w:val="4BEF63DD"/>
    <w:rsid w:val="4C1710D6"/>
    <w:rsid w:val="4C266B6F"/>
    <w:rsid w:val="4C361A95"/>
    <w:rsid w:val="4C3979AF"/>
    <w:rsid w:val="4C417533"/>
    <w:rsid w:val="4C493FB8"/>
    <w:rsid w:val="4C4D0FB8"/>
    <w:rsid w:val="4C545E87"/>
    <w:rsid w:val="4CAF54B5"/>
    <w:rsid w:val="4CCB5621"/>
    <w:rsid w:val="4CD6614F"/>
    <w:rsid w:val="4CDB65A8"/>
    <w:rsid w:val="4D021466"/>
    <w:rsid w:val="4D147D15"/>
    <w:rsid w:val="4D1E600B"/>
    <w:rsid w:val="4D2C6E03"/>
    <w:rsid w:val="4D357670"/>
    <w:rsid w:val="4D5B7721"/>
    <w:rsid w:val="4D5E6D65"/>
    <w:rsid w:val="4D6537ED"/>
    <w:rsid w:val="4D7A191D"/>
    <w:rsid w:val="4D7C3266"/>
    <w:rsid w:val="4D840509"/>
    <w:rsid w:val="4D9B2972"/>
    <w:rsid w:val="4D9F75D5"/>
    <w:rsid w:val="4DAB7D28"/>
    <w:rsid w:val="4DC87D7D"/>
    <w:rsid w:val="4DDD1EDB"/>
    <w:rsid w:val="4DE80F7C"/>
    <w:rsid w:val="4DFD3E60"/>
    <w:rsid w:val="4E1C52A3"/>
    <w:rsid w:val="4E230DF5"/>
    <w:rsid w:val="4E4B5BAB"/>
    <w:rsid w:val="4E807407"/>
    <w:rsid w:val="4EA330F5"/>
    <w:rsid w:val="4EB278E6"/>
    <w:rsid w:val="4EB35F20"/>
    <w:rsid w:val="4EB470B0"/>
    <w:rsid w:val="4ECE7984"/>
    <w:rsid w:val="4EDD3D64"/>
    <w:rsid w:val="4F2F0FF2"/>
    <w:rsid w:val="4F561F16"/>
    <w:rsid w:val="4F8A253C"/>
    <w:rsid w:val="4FD572DE"/>
    <w:rsid w:val="4FDC066D"/>
    <w:rsid w:val="4FFF25AD"/>
    <w:rsid w:val="500A32CB"/>
    <w:rsid w:val="502142D2"/>
    <w:rsid w:val="504A72AE"/>
    <w:rsid w:val="50870E47"/>
    <w:rsid w:val="50943D1E"/>
    <w:rsid w:val="50B11AF9"/>
    <w:rsid w:val="50E72179"/>
    <w:rsid w:val="50FE4613"/>
    <w:rsid w:val="51856C95"/>
    <w:rsid w:val="51894824"/>
    <w:rsid w:val="51B11685"/>
    <w:rsid w:val="5227392D"/>
    <w:rsid w:val="52454E0C"/>
    <w:rsid w:val="524E0305"/>
    <w:rsid w:val="52A4285E"/>
    <w:rsid w:val="52AB2578"/>
    <w:rsid w:val="52AB64C9"/>
    <w:rsid w:val="52AC3333"/>
    <w:rsid w:val="52C534B2"/>
    <w:rsid w:val="52E71802"/>
    <w:rsid w:val="52F65D6E"/>
    <w:rsid w:val="52FF4DD7"/>
    <w:rsid w:val="530C1269"/>
    <w:rsid w:val="53206AC2"/>
    <w:rsid w:val="533A0733"/>
    <w:rsid w:val="53F97C7A"/>
    <w:rsid w:val="542E2280"/>
    <w:rsid w:val="543D5452"/>
    <w:rsid w:val="544C75C8"/>
    <w:rsid w:val="544F0695"/>
    <w:rsid w:val="54770499"/>
    <w:rsid w:val="54B43966"/>
    <w:rsid w:val="54D14506"/>
    <w:rsid w:val="54FF53C6"/>
    <w:rsid w:val="55056B6F"/>
    <w:rsid w:val="55564A1D"/>
    <w:rsid w:val="55801A9A"/>
    <w:rsid w:val="55B300C2"/>
    <w:rsid w:val="55CE769F"/>
    <w:rsid w:val="55D87B28"/>
    <w:rsid w:val="55EF275F"/>
    <w:rsid w:val="561B503A"/>
    <w:rsid w:val="5627460C"/>
    <w:rsid w:val="5651299D"/>
    <w:rsid w:val="566B5F8F"/>
    <w:rsid w:val="566D200C"/>
    <w:rsid w:val="56A63783"/>
    <w:rsid w:val="56D54068"/>
    <w:rsid w:val="56F36D7A"/>
    <w:rsid w:val="5725579B"/>
    <w:rsid w:val="574134AB"/>
    <w:rsid w:val="574376B4"/>
    <w:rsid w:val="57711FE2"/>
    <w:rsid w:val="578421FC"/>
    <w:rsid w:val="57874821"/>
    <w:rsid w:val="579E08FE"/>
    <w:rsid w:val="57A72EA2"/>
    <w:rsid w:val="57B62A48"/>
    <w:rsid w:val="57B9742D"/>
    <w:rsid w:val="57E02CC4"/>
    <w:rsid w:val="5814296E"/>
    <w:rsid w:val="582901C7"/>
    <w:rsid w:val="58403211"/>
    <w:rsid w:val="58824ECF"/>
    <w:rsid w:val="588540F9"/>
    <w:rsid w:val="588854DF"/>
    <w:rsid w:val="58954C4D"/>
    <w:rsid w:val="58A12453"/>
    <w:rsid w:val="58A27F7A"/>
    <w:rsid w:val="58E51001"/>
    <w:rsid w:val="59042D81"/>
    <w:rsid w:val="59071FB3"/>
    <w:rsid w:val="591764DD"/>
    <w:rsid w:val="59480B21"/>
    <w:rsid w:val="595C45CC"/>
    <w:rsid w:val="596B480F"/>
    <w:rsid w:val="598D29D8"/>
    <w:rsid w:val="59A85A64"/>
    <w:rsid w:val="5A44777C"/>
    <w:rsid w:val="5A663955"/>
    <w:rsid w:val="5A6951F3"/>
    <w:rsid w:val="5A6A06F6"/>
    <w:rsid w:val="5A6A7C37"/>
    <w:rsid w:val="5A731BCE"/>
    <w:rsid w:val="5A7B338F"/>
    <w:rsid w:val="5A7E7F78"/>
    <w:rsid w:val="5A851901"/>
    <w:rsid w:val="5A955FE8"/>
    <w:rsid w:val="5AA1673B"/>
    <w:rsid w:val="5AAF4CA2"/>
    <w:rsid w:val="5AD51B54"/>
    <w:rsid w:val="5AE67453"/>
    <w:rsid w:val="5AEC072A"/>
    <w:rsid w:val="5B0E7AA9"/>
    <w:rsid w:val="5B3A12E0"/>
    <w:rsid w:val="5B3C43F9"/>
    <w:rsid w:val="5B4F689D"/>
    <w:rsid w:val="5B8E1F77"/>
    <w:rsid w:val="5C0E31E0"/>
    <w:rsid w:val="5C156076"/>
    <w:rsid w:val="5C2515ED"/>
    <w:rsid w:val="5C7E485A"/>
    <w:rsid w:val="5D6F0D72"/>
    <w:rsid w:val="5D8803DF"/>
    <w:rsid w:val="5DA721EE"/>
    <w:rsid w:val="5DD92690"/>
    <w:rsid w:val="5DDA44C4"/>
    <w:rsid w:val="5DDC5CDC"/>
    <w:rsid w:val="5E036058"/>
    <w:rsid w:val="5E0D4729"/>
    <w:rsid w:val="5E27164D"/>
    <w:rsid w:val="5E4541A5"/>
    <w:rsid w:val="5E622188"/>
    <w:rsid w:val="5E6A0C09"/>
    <w:rsid w:val="5E841F66"/>
    <w:rsid w:val="5EA902B4"/>
    <w:rsid w:val="5ED846F5"/>
    <w:rsid w:val="5EF157B7"/>
    <w:rsid w:val="5F014280"/>
    <w:rsid w:val="5F04373C"/>
    <w:rsid w:val="5F0C5367"/>
    <w:rsid w:val="5F3833E6"/>
    <w:rsid w:val="5F555D46"/>
    <w:rsid w:val="5F571ABE"/>
    <w:rsid w:val="5F61742A"/>
    <w:rsid w:val="5F9871DA"/>
    <w:rsid w:val="5FF67EAC"/>
    <w:rsid w:val="5FFE018B"/>
    <w:rsid w:val="600833BA"/>
    <w:rsid w:val="6036368B"/>
    <w:rsid w:val="60363DC9"/>
    <w:rsid w:val="604A2DD9"/>
    <w:rsid w:val="6058765C"/>
    <w:rsid w:val="60804663"/>
    <w:rsid w:val="6098238E"/>
    <w:rsid w:val="60E539A3"/>
    <w:rsid w:val="60E7371E"/>
    <w:rsid w:val="60FD0443"/>
    <w:rsid w:val="612F525A"/>
    <w:rsid w:val="61364C91"/>
    <w:rsid w:val="613A1697"/>
    <w:rsid w:val="61883922"/>
    <w:rsid w:val="619E75CA"/>
    <w:rsid w:val="61D355A0"/>
    <w:rsid w:val="61E403FB"/>
    <w:rsid w:val="61F47A98"/>
    <w:rsid w:val="62001846"/>
    <w:rsid w:val="620140DF"/>
    <w:rsid w:val="620F042E"/>
    <w:rsid w:val="621E68C3"/>
    <w:rsid w:val="625C50B7"/>
    <w:rsid w:val="62620EA5"/>
    <w:rsid w:val="626647B3"/>
    <w:rsid w:val="62970423"/>
    <w:rsid w:val="62A61D97"/>
    <w:rsid w:val="62BD1642"/>
    <w:rsid w:val="62BF09F2"/>
    <w:rsid w:val="631C1015"/>
    <w:rsid w:val="6329551F"/>
    <w:rsid w:val="63471D15"/>
    <w:rsid w:val="634C4DBD"/>
    <w:rsid w:val="636B26DB"/>
    <w:rsid w:val="63784A9C"/>
    <w:rsid w:val="637F15E3"/>
    <w:rsid w:val="63956756"/>
    <w:rsid w:val="63A578CC"/>
    <w:rsid w:val="63AA345E"/>
    <w:rsid w:val="63B147CB"/>
    <w:rsid w:val="64145061"/>
    <w:rsid w:val="642023BC"/>
    <w:rsid w:val="644F5459"/>
    <w:rsid w:val="6456039C"/>
    <w:rsid w:val="645C3295"/>
    <w:rsid w:val="64A137DB"/>
    <w:rsid w:val="64DB0657"/>
    <w:rsid w:val="64E558BE"/>
    <w:rsid w:val="655A60B2"/>
    <w:rsid w:val="657F4FCC"/>
    <w:rsid w:val="658514DA"/>
    <w:rsid w:val="658E3D60"/>
    <w:rsid w:val="659D2578"/>
    <w:rsid w:val="65BA4B55"/>
    <w:rsid w:val="65BA6903"/>
    <w:rsid w:val="65EA3FE0"/>
    <w:rsid w:val="65F827E6"/>
    <w:rsid w:val="66124586"/>
    <w:rsid w:val="6616725E"/>
    <w:rsid w:val="66737EE4"/>
    <w:rsid w:val="668141DE"/>
    <w:rsid w:val="66C24F70"/>
    <w:rsid w:val="66D67385"/>
    <w:rsid w:val="66FF2835"/>
    <w:rsid w:val="674A4291"/>
    <w:rsid w:val="67670D0C"/>
    <w:rsid w:val="6771220F"/>
    <w:rsid w:val="67864576"/>
    <w:rsid w:val="678D611D"/>
    <w:rsid w:val="678E6299"/>
    <w:rsid w:val="67B21482"/>
    <w:rsid w:val="67C64303"/>
    <w:rsid w:val="67CC161B"/>
    <w:rsid w:val="67E74EA8"/>
    <w:rsid w:val="67EB36EB"/>
    <w:rsid w:val="67F02AB0"/>
    <w:rsid w:val="6800317F"/>
    <w:rsid w:val="680700DC"/>
    <w:rsid w:val="68126ECA"/>
    <w:rsid w:val="682E35D8"/>
    <w:rsid w:val="683D381B"/>
    <w:rsid w:val="6841122D"/>
    <w:rsid w:val="685D03F9"/>
    <w:rsid w:val="68686AEA"/>
    <w:rsid w:val="69273E73"/>
    <w:rsid w:val="694A2693"/>
    <w:rsid w:val="699F28D9"/>
    <w:rsid w:val="69C55155"/>
    <w:rsid w:val="6A042842"/>
    <w:rsid w:val="6A130CD7"/>
    <w:rsid w:val="6A3F7D1E"/>
    <w:rsid w:val="6A51640E"/>
    <w:rsid w:val="6A5C442C"/>
    <w:rsid w:val="6A863A05"/>
    <w:rsid w:val="6AA67D9D"/>
    <w:rsid w:val="6AC344AB"/>
    <w:rsid w:val="6AE13432"/>
    <w:rsid w:val="6AEB2C75"/>
    <w:rsid w:val="6B050FEE"/>
    <w:rsid w:val="6B0D2891"/>
    <w:rsid w:val="6B252A70"/>
    <w:rsid w:val="6B482C03"/>
    <w:rsid w:val="6B531AB3"/>
    <w:rsid w:val="6B560266"/>
    <w:rsid w:val="6B5B7BB3"/>
    <w:rsid w:val="6B647ACE"/>
    <w:rsid w:val="6B9B3B45"/>
    <w:rsid w:val="6BC7621D"/>
    <w:rsid w:val="6BCE6D20"/>
    <w:rsid w:val="6BD34BC2"/>
    <w:rsid w:val="6BE55D17"/>
    <w:rsid w:val="6C0C513D"/>
    <w:rsid w:val="6C1A459F"/>
    <w:rsid w:val="6C2814C5"/>
    <w:rsid w:val="6C337C7D"/>
    <w:rsid w:val="6C347ED9"/>
    <w:rsid w:val="6C4B378C"/>
    <w:rsid w:val="6C9E6F7E"/>
    <w:rsid w:val="6CCF0D79"/>
    <w:rsid w:val="6CF3576D"/>
    <w:rsid w:val="6D126C64"/>
    <w:rsid w:val="6D166445"/>
    <w:rsid w:val="6D4E1FD9"/>
    <w:rsid w:val="6D605FE2"/>
    <w:rsid w:val="6D745F31"/>
    <w:rsid w:val="6D8018C0"/>
    <w:rsid w:val="6DCA36D7"/>
    <w:rsid w:val="6DF32FA3"/>
    <w:rsid w:val="6E1B63AC"/>
    <w:rsid w:val="6E213562"/>
    <w:rsid w:val="6E3A4A84"/>
    <w:rsid w:val="6E49547A"/>
    <w:rsid w:val="6E7F3A9C"/>
    <w:rsid w:val="6ED870F8"/>
    <w:rsid w:val="6EE20FB0"/>
    <w:rsid w:val="6EE5266B"/>
    <w:rsid w:val="6F0C75E9"/>
    <w:rsid w:val="6F127BBD"/>
    <w:rsid w:val="6F2F210F"/>
    <w:rsid w:val="6F343BCA"/>
    <w:rsid w:val="6F82139A"/>
    <w:rsid w:val="6F8A37EA"/>
    <w:rsid w:val="6FC860C0"/>
    <w:rsid w:val="6FE13847"/>
    <w:rsid w:val="7034110A"/>
    <w:rsid w:val="70347EC5"/>
    <w:rsid w:val="7037325E"/>
    <w:rsid w:val="703A2BF0"/>
    <w:rsid w:val="70497201"/>
    <w:rsid w:val="704C0A9F"/>
    <w:rsid w:val="70716758"/>
    <w:rsid w:val="70877D29"/>
    <w:rsid w:val="70BA5135"/>
    <w:rsid w:val="70C865BA"/>
    <w:rsid w:val="710359C7"/>
    <w:rsid w:val="710C4F64"/>
    <w:rsid w:val="712832BA"/>
    <w:rsid w:val="712B4B58"/>
    <w:rsid w:val="712E7CE0"/>
    <w:rsid w:val="713A540A"/>
    <w:rsid w:val="7141684A"/>
    <w:rsid w:val="714B2F5B"/>
    <w:rsid w:val="716342F2"/>
    <w:rsid w:val="717E5952"/>
    <w:rsid w:val="71BB56FA"/>
    <w:rsid w:val="72556331"/>
    <w:rsid w:val="725C0CF7"/>
    <w:rsid w:val="729C3F60"/>
    <w:rsid w:val="72A44BC2"/>
    <w:rsid w:val="72BD5C84"/>
    <w:rsid w:val="72ED34B8"/>
    <w:rsid w:val="72FA32DB"/>
    <w:rsid w:val="730A75C3"/>
    <w:rsid w:val="73221F8B"/>
    <w:rsid w:val="733028FA"/>
    <w:rsid w:val="733046A8"/>
    <w:rsid w:val="73315854"/>
    <w:rsid w:val="7349146F"/>
    <w:rsid w:val="73657957"/>
    <w:rsid w:val="73896160"/>
    <w:rsid w:val="73B47087"/>
    <w:rsid w:val="73C3551C"/>
    <w:rsid w:val="73FE6554"/>
    <w:rsid w:val="74235FBB"/>
    <w:rsid w:val="74625466"/>
    <w:rsid w:val="7491438D"/>
    <w:rsid w:val="749F246B"/>
    <w:rsid w:val="74A83B7E"/>
    <w:rsid w:val="74AF784E"/>
    <w:rsid w:val="74F0721D"/>
    <w:rsid w:val="74FD680C"/>
    <w:rsid w:val="75A46F31"/>
    <w:rsid w:val="75A8117E"/>
    <w:rsid w:val="75F24464"/>
    <w:rsid w:val="75FA70B8"/>
    <w:rsid w:val="761E6A3A"/>
    <w:rsid w:val="762A2599"/>
    <w:rsid w:val="7641097A"/>
    <w:rsid w:val="76465CA4"/>
    <w:rsid w:val="76527883"/>
    <w:rsid w:val="76677F73"/>
    <w:rsid w:val="767D5E56"/>
    <w:rsid w:val="76967AE3"/>
    <w:rsid w:val="76B068C0"/>
    <w:rsid w:val="76CE0A27"/>
    <w:rsid w:val="76DB2B7D"/>
    <w:rsid w:val="76E01F41"/>
    <w:rsid w:val="771852A8"/>
    <w:rsid w:val="771D13E7"/>
    <w:rsid w:val="77471AC4"/>
    <w:rsid w:val="77737259"/>
    <w:rsid w:val="778A315D"/>
    <w:rsid w:val="77992DCC"/>
    <w:rsid w:val="77A711E5"/>
    <w:rsid w:val="77B1084D"/>
    <w:rsid w:val="77BF1197"/>
    <w:rsid w:val="77F122C3"/>
    <w:rsid w:val="77FA431C"/>
    <w:rsid w:val="78186422"/>
    <w:rsid w:val="782347DB"/>
    <w:rsid w:val="783423D4"/>
    <w:rsid w:val="784F3822"/>
    <w:rsid w:val="785F3736"/>
    <w:rsid w:val="78700AEC"/>
    <w:rsid w:val="78817E80"/>
    <w:rsid w:val="78881314"/>
    <w:rsid w:val="78C77A2F"/>
    <w:rsid w:val="78FE4D5E"/>
    <w:rsid w:val="792E70E0"/>
    <w:rsid w:val="794970F6"/>
    <w:rsid w:val="799F634B"/>
    <w:rsid w:val="79B25E17"/>
    <w:rsid w:val="79BD47BC"/>
    <w:rsid w:val="79DB25BA"/>
    <w:rsid w:val="79E046C3"/>
    <w:rsid w:val="7A1532E7"/>
    <w:rsid w:val="7A41010A"/>
    <w:rsid w:val="7A4C5587"/>
    <w:rsid w:val="7A635363"/>
    <w:rsid w:val="7A8D0632"/>
    <w:rsid w:val="7A9C77AE"/>
    <w:rsid w:val="7AA84A78"/>
    <w:rsid w:val="7AB73F37"/>
    <w:rsid w:val="7ADE09A6"/>
    <w:rsid w:val="7AEE7323"/>
    <w:rsid w:val="7AF8058E"/>
    <w:rsid w:val="7B684125"/>
    <w:rsid w:val="7B7D31C4"/>
    <w:rsid w:val="7BD640AB"/>
    <w:rsid w:val="7BE97AEA"/>
    <w:rsid w:val="7C013085"/>
    <w:rsid w:val="7C015831"/>
    <w:rsid w:val="7C057E14"/>
    <w:rsid w:val="7C1253BC"/>
    <w:rsid w:val="7C1B1A99"/>
    <w:rsid w:val="7C423191"/>
    <w:rsid w:val="7C61562B"/>
    <w:rsid w:val="7C7C7092"/>
    <w:rsid w:val="7C8C718A"/>
    <w:rsid w:val="7C9B4EB2"/>
    <w:rsid w:val="7C9B6DD9"/>
    <w:rsid w:val="7D1142EB"/>
    <w:rsid w:val="7D444673"/>
    <w:rsid w:val="7D741635"/>
    <w:rsid w:val="7D865993"/>
    <w:rsid w:val="7D982EFE"/>
    <w:rsid w:val="7DA65A5C"/>
    <w:rsid w:val="7DC12F45"/>
    <w:rsid w:val="7DD1096F"/>
    <w:rsid w:val="7DDC7906"/>
    <w:rsid w:val="7DE10D4F"/>
    <w:rsid w:val="7DEF65D0"/>
    <w:rsid w:val="7DFE7267"/>
    <w:rsid w:val="7E176B90"/>
    <w:rsid w:val="7E3A287F"/>
    <w:rsid w:val="7E703D97"/>
    <w:rsid w:val="7EAC1F50"/>
    <w:rsid w:val="7EC108AA"/>
    <w:rsid w:val="7EF97A8A"/>
    <w:rsid w:val="7F033C60"/>
    <w:rsid w:val="7F067F7C"/>
    <w:rsid w:val="7F5A6298"/>
    <w:rsid w:val="7F767868"/>
    <w:rsid w:val="7F912972"/>
    <w:rsid w:val="7FA53B5B"/>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38"/>
    <w:qFormat/>
    <w:uiPriority w:val="0"/>
    <w:pPr>
      <w:keepNext/>
      <w:keepLines/>
      <w:autoSpaceDE w:val="0"/>
      <w:autoSpaceDN w:val="0"/>
      <w:adjustRightInd w:val="0"/>
      <w:spacing w:before="240" w:after="120" w:line="300" w:lineRule="auto"/>
      <w:jc w:val="center"/>
      <w:outlineLvl w:val="0"/>
    </w:pPr>
    <w:rPr>
      <w:rFonts w:ascii="宋体"/>
      <w:kern w:val="44"/>
      <w:sz w:val="32"/>
      <w:szCs w:val="20"/>
    </w:rPr>
  </w:style>
  <w:style w:type="paragraph" w:styleId="7">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8">
    <w:name w:val="heading 3"/>
    <w:basedOn w:val="1"/>
    <w:next w:val="1"/>
    <w:qFormat/>
    <w:uiPriority w:val="0"/>
    <w:pPr>
      <w:spacing w:before="360" w:after="120"/>
      <w:jc w:val="left"/>
      <w:outlineLvl w:val="2"/>
    </w:pPr>
    <w:rPr>
      <w:rFonts w:ascii="宋体" w:hAnsi="Times New Roman" w:eastAsia="宋体"/>
      <w:sz w:val="24"/>
      <w:u w:val="single"/>
    </w:rPr>
  </w:style>
  <w:style w:type="paragraph" w:styleId="9">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27">
    <w:name w:val="Default Paragraph Font"/>
    <w:qFormat/>
    <w:uiPriority w:val="1"/>
  </w:style>
  <w:style w:type="table" w:default="1" w:styleId="25">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2"/>
    <w:qFormat/>
    <w:uiPriority w:val="0"/>
    <w:pPr>
      <w:spacing w:line="360" w:lineRule="auto"/>
      <w:ind w:firstLine="570"/>
    </w:pPr>
    <w:rPr>
      <w:rFonts w:ascii="Times New Roman" w:hAnsi="Times New Roman"/>
      <w:sz w:val="24"/>
    </w:rPr>
  </w:style>
  <w:style w:type="paragraph" w:styleId="4">
    <w:name w:val="Normal Indent"/>
    <w:basedOn w:val="1"/>
    <w:next w:val="5"/>
    <w:qFormat/>
    <w:uiPriority w:val="0"/>
    <w:pPr>
      <w:autoSpaceDE w:val="0"/>
      <w:autoSpaceDN w:val="0"/>
      <w:adjustRightInd w:val="0"/>
      <w:ind w:firstLine="420"/>
      <w:jc w:val="left"/>
    </w:pPr>
    <w:rPr>
      <w:rFonts w:ascii="宋体" w:hAnsi="Times New Roman"/>
      <w:kern w:val="0"/>
      <w:sz w:val="24"/>
      <w:szCs w:val="20"/>
    </w:rPr>
  </w:style>
  <w:style w:type="paragraph" w:styleId="5">
    <w:name w:val="toa heading"/>
    <w:basedOn w:val="1"/>
    <w:next w:val="1"/>
    <w:qFormat/>
    <w:uiPriority w:val="0"/>
    <w:pPr>
      <w:widowControl/>
      <w:spacing w:before="120"/>
      <w:ind w:firstLine="3584"/>
    </w:pPr>
  </w:style>
  <w:style w:type="paragraph" w:styleId="10">
    <w:name w:val="annotation text"/>
    <w:basedOn w:val="1"/>
    <w:link w:val="63"/>
    <w:qFormat/>
    <w:uiPriority w:val="0"/>
    <w:pPr>
      <w:jc w:val="left"/>
    </w:pPr>
  </w:style>
  <w:style w:type="paragraph" w:styleId="11">
    <w:name w:val="Body Text"/>
    <w:basedOn w:val="1"/>
    <w:next w:val="1"/>
    <w:qFormat/>
    <w:uiPriority w:val="0"/>
    <w:pPr>
      <w:tabs>
        <w:tab w:val="left" w:pos="567"/>
      </w:tabs>
      <w:spacing w:before="120" w:line="22" w:lineRule="atLeast"/>
    </w:pPr>
    <w:rPr>
      <w:rFonts w:ascii="宋体" w:hAnsi="宋体"/>
      <w:sz w:val="24"/>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Cs w:val="20"/>
    </w:rPr>
  </w:style>
  <w:style w:type="paragraph" w:styleId="14">
    <w:name w:val="Date"/>
    <w:basedOn w:val="1"/>
    <w:next w:val="1"/>
    <w:qFormat/>
    <w:uiPriority w:val="0"/>
    <w:pPr>
      <w:ind w:left="100" w:leftChars="2500"/>
    </w:pPr>
    <w:rPr>
      <w:rFonts w:ascii="仿宋_GB2312" w:hAnsi="Courier New" w:eastAsia="仿宋_GB2312"/>
      <w:kern w:val="0"/>
      <w:sz w:val="24"/>
    </w:rPr>
  </w:style>
  <w:style w:type="paragraph" w:styleId="15">
    <w:name w:val="Balloon Text"/>
    <w:basedOn w:val="1"/>
    <w:link w:val="62"/>
    <w:qFormat/>
    <w:uiPriority w:val="0"/>
    <w:rPr>
      <w:sz w:val="18"/>
      <w:szCs w:val="18"/>
    </w:rPr>
  </w:style>
  <w:style w:type="paragraph" w:styleId="16">
    <w:name w:val="footer"/>
    <w:basedOn w:val="1"/>
    <w:qFormat/>
    <w:uiPriority w:val="0"/>
    <w:pPr>
      <w:tabs>
        <w:tab w:val="center" w:pos="4153"/>
        <w:tab w:val="right" w:pos="8306"/>
      </w:tabs>
      <w:autoSpaceDE w:val="0"/>
      <w:autoSpaceDN w:val="0"/>
      <w:adjustRightInd w:val="0"/>
      <w:snapToGrid w:val="0"/>
      <w:jc w:val="left"/>
    </w:pPr>
    <w:rPr>
      <w:rFonts w:ascii="宋体" w:hAnsi="Times New Roman"/>
      <w:kern w:val="0"/>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8">
    <w:name w:val="toc 1"/>
    <w:basedOn w:val="1"/>
    <w:next w:val="1"/>
    <w:qFormat/>
    <w:uiPriority w:val="0"/>
    <w:rPr>
      <w:rFonts w:ascii="Times New Roman" w:hAnsi="Times New Roman"/>
    </w:rPr>
  </w:style>
  <w:style w:type="paragraph" w:styleId="19">
    <w:name w:val="footnote text"/>
    <w:basedOn w:val="1"/>
    <w:qFormat/>
    <w:uiPriority w:val="0"/>
    <w:pPr>
      <w:snapToGrid w:val="0"/>
      <w:jc w:val="left"/>
    </w:pPr>
    <w:rPr>
      <w:rFonts w:ascii="Times New Roman" w:hAnsi="Times New Roman"/>
      <w:sz w:val="18"/>
    </w:rPr>
  </w:style>
  <w:style w:type="paragraph" w:styleId="20">
    <w:name w:val="toc 2"/>
    <w:basedOn w:val="1"/>
    <w:next w:val="1"/>
    <w:qFormat/>
    <w:uiPriority w:val="0"/>
    <w:pPr>
      <w:ind w:left="420" w:leftChars="200"/>
    </w:pPr>
    <w:rPr>
      <w:rFonts w:ascii="Times New Roman" w:hAnsi="Times New Roman"/>
    </w:rPr>
  </w:style>
  <w:style w:type="paragraph" w:styleId="21">
    <w:name w:val="Normal (Web)"/>
    <w:basedOn w:val="1"/>
    <w:qFormat/>
    <w:uiPriority w:val="0"/>
    <w:pPr>
      <w:spacing w:beforeAutospacing="1" w:afterAutospacing="1"/>
      <w:jc w:val="left"/>
    </w:pPr>
    <w:rPr>
      <w:kern w:val="0"/>
      <w:sz w:val="24"/>
    </w:rPr>
  </w:style>
  <w:style w:type="paragraph" w:styleId="22">
    <w:name w:val="Title"/>
    <w:basedOn w:val="1"/>
    <w:next w:val="1"/>
    <w:qFormat/>
    <w:uiPriority w:val="10"/>
    <w:pPr>
      <w:spacing w:before="240" w:after="60"/>
      <w:jc w:val="center"/>
      <w:outlineLvl w:val="0"/>
    </w:pPr>
    <w:rPr>
      <w:rFonts w:ascii="Calibri Light" w:hAnsi="Calibri Light" w:eastAsia="宋体" w:cs="宋体"/>
      <w:b/>
      <w:bCs/>
      <w:sz w:val="32"/>
      <w:szCs w:val="32"/>
    </w:rPr>
  </w:style>
  <w:style w:type="paragraph" w:styleId="23">
    <w:name w:val="annotation subject"/>
    <w:basedOn w:val="10"/>
    <w:next w:val="10"/>
    <w:link w:val="64"/>
    <w:qFormat/>
    <w:uiPriority w:val="0"/>
    <w:rPr>
      <w:b/>
      <w:bCs/>
    </w:rPr>
  </w:style>
  <w:style w:type="paragraph" w:styleId="24">
    <w:name w:val="Body Text First Indent"/>
    <w:basedOn w:val="11"/>
    <w:qFormat/>
    <w:uiPriority w:val="0"/>
    <w:pPr>
      <w:spacing w:after="120" w:line="240" w:lineRule="auto"/>
      <w:ind w:firstLine="420" w:firstLineChars="100"/>
    </w:pPr>
    <w:rPr>
      <w:rFonts w:ascii="Calibri" w:hAnsi="Calibri"/>
      <w:sz w:val="18"/>
      <w:szCs w:val="18"/>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page number"/>
    <w:basedOn w:val="27"/>
    <w:qFormat/>
    <w:uiPriority w:val="0"/>
    <w:rPr>
      <w:rFonts w:ascii="Times New Roman" w:hAnsi="Times New Roman" w:eastAsia="宋体" w:cs="Times New Roman"/>
    </w:rPr>
  </w:style>
  <w:style w:type="character" w:styleId="30">
    <w:name w:val="Hyperlink"/>
    <w:basedOn w:val="27"/>
    <w:qFormat/>
    <w:uiPriority w:val="0"/>
    <w:rPr>
      <w:color w:val="0000FF"/>
      <w:u w:val="single"/>
    </w:rPr>
  </w:style>
  <w:style w:type="character" w:styleId="31">
    <w:name w:val="annotation reference"/>
    <w:basedOn w:val="27"/>
    <w:qFormat/>
    <w:uiPriority w:val="0"/>
    <w:rPr>
      <w:sz w:val="21"/>
      <w:szCs w:val="21"/>
    </w:rPr>
  </w:style>
  <w:style w:type="character" w:styleId="32">
    <w:name w:val="HTML Sample"/>
    <w:basedOn w:val="27"/>
    <w:qFormat/>
    <w:uiPriority w:val="0"/>
    <w:rPr>
      <w:rFonts w:ascii="Courier New" w:hAnsi="Courier New"/>
    </w:rPr>
  </w:style>
  <w:style w:type="paragraph" w:customStyle="1" w:styleId="33">
    <w:name w:val="正文王森"/>
    <w:basedOn w:val="1"/>
    <w:qFormat/>
    <w:uiPriority w:val="0"/>
    <w:pPr>
      <w:spacing w:line="360" w:lineRule="auto"/>
      <w:ind w:firstLine="480" w:firstLineChars="200"/>
    </w:pPr>
    <w:rPr>
      <w:rFonts w:ascii="黑体" w:hAnsi="黑体" w:eastAsia="黑体"/>
      <w:sz w:val="24"/>
    </w:rPr>
  </w:style>
  <w:style w:type="paragraph" w:customStyle="1" w:styleId="34">
    <w:name w:val="List2"/>
    <w:basedOn w:val="1"/>
    <w:qFormat/>
    <w:uiPriority w:val="0"/>
    <w:pPr>
      <w:widowControl/>
      <w:ind w:left="100" w:leftChars="200" w:hanging="200" w:hangingChars="200"/>
      <w:contextualSpacing/>
      <w:textAlignment w:val="baseline"/>
    </w:pPr>
  </w:style>
  <w:style w:type="paragraph" w:customStyle="1" w:styleId="35">
    <w:name w:val="Heading3"/>
    <w:basedOn w:val="1"/>
    <w:next w:val="1"/>
    <w:qFormat/>
    <w:uiPriority w:val="0"/>
    <w:pPr>
      <w:keepNext/>
      <w:numPr>
        <w:ilvl w:val="0"/>
        <w:numId w:val="1"/>
      </w:numPr>
      <w:jc w:val="both"/>
      <w:textAlignment w:val="baseline"/>
    </w:pPr>
    <w:rPr>
      <w:rFonts w:cs="Times New Roman"/>
      <w:b/>
      <w:bCs/>
      <w:kern w:val="2"/>
      <w:sz w:val="28"/>
      <w:szCs w:val="24"/>
      <w:lang w:val="en-US" w:eastAsia="zh-CN" w:bidi="ar-SA"/>
    </w:rPr>
  </w:style>
  <w:style w:type="paragraph" w:customStyle="1" w:styleId="36">
    <w:name w:val="BodyText"/>
    <w:basedOn w:val="1"/>
    <w:qFormat/>
    <w:uiPriority w:val="0"/>
    <w:pPr>
      <w:spacing w:after="120"/>
    </w:pPr>
  </w:style>
  <w:style w:type="paragraph" w:customStyle="1" w:styleId="37">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character" w:customStyle="1" w:styleId="38">
    <w:name w:val="标题 1 Char"/>
    <w:link w:val="6"/>
    <w:qFormat/>
    <w:uiPriority w:val="0"/>
    <w:rPr>
      <w:rFonts w:ascii="宋体"/>
      <w:b/>
      <w:kern w:val="44"/>
      <w:sz w:val="32"/>
      <w:szCs w:val="20"/>
    </w:rPr>
  </w:style>
  <w:style w:type="paragraph" w:customStyle="1" w:styleId="39">
    <w:name w:val="No Spacing_3b93350b-94da-44fa-8143-641484b951a0"/>
    <w:link w:val="56"/>
    <w:qFormat/>
    <w:uiPriority w:val="1"/>
    <w:pPr>
      <w:widowControl w:val="0"/>
      <w:jc w:val="both"/>
    </w:pPr>
    <w:rPr>
      <w:rFonts w:ascii="Calibri" w:hAnsi="Calibri" w:eastAsia="宋体" w:cs="Times New Roman"/>
      <w:kern w:val="2"/>
      <w:sz w:val="21"/>
      <w:szCs w:val="24"/>
      <w:lang w:val="en-US" w:eastAsia="zh-CN" w:bidi="ar-SA"/>
    </w:rPr>
  </w:style>
  <w:style w:type="character" w:customStyle="1" w:styleId="40">
    <w:name w:val="NormalCharacter"/>
    <w:qFormat/>
    <w:uiPriority w:val="0"/>
    <w:rPr>
      <w:rFonts w:ascii="Calibri" w:hAnsi="Calibri" w:eastAsia="宋体" w:cs="Times New Roman"/>
      <w:kern w:val="2"/>
      <w:sz w:val="21"/>
      <w:szCs w:val="24"/>
      <w:lang w:val="en-US" w:eastAsia="zh-CN" w:bidi="ar-SA"/>
    </w:rPr>
  </w:style>
  <w:style w:type="paragraph" w:customStyle="1" w:styleId="41">
    <w:name w:val="图例"/>
    <w:basedOn w:val="1"/>
    <w:qFormat/>
    <w:uiPriority w:val="0"/>
    <w:pPr>
      <w:spacing w:before="120" w:after="120" w:line="360" w:lineRule="auto"/>
      <w:jc w:val="center"/>
    </w:pPr>
    <w:rPr>
      <w:rFonts w:eastAsia="仿宋_GB2312"/>
      <w:b/>
      <w:sz w:val="24"/>
    </w:rPr>
  </w:style>
  <w:style w:type="paragraph" w:customStyle="1" w:styleId="42">
    <w:name w:val="列出段落1"/>
    <w:basedOn w:val="1"/>
    <w:qFormat/>
    <w:uiPriority w:val="0"/>
    <w:pPr>
      <w:ind w:firstLine="420" w:firstLineChars="200"/>
    </w:pPr>
  </w:style>
  <w:style w:type="paragraph" w:customStyle="1" w:styleId="43">
    <w:name w:val="List Paragraph_7aecd6e6-fc70-4df6-be05-ef790174fbad"/>
    <w:basedOn w:val="1"/>
    <w:qFormat/>
    <w:uiPriority w:val="34"/>
    <w:pPr>
      <w:ind w:firstLine="420" w:firstLineChars="200"/>
    </w:pPr>
  </w:style>
  <w:style w:type="paragraph" w:customStyle="1" w:styleId="44">
    <w:name w:val="正文-manu"/>
    <w:basedOn w:val="1"/>
    <w:qFormat/>
    <w:uiPriority w:val="0"/>
    <w:pPr>
      <w:spacing w:line="300" w:lineRule="auto"/>
    </w:pPr>
    <w:rPr>
      <w:b/>
      <w:snapToGrid w:val="0"/>
      <w:kern w:val="0"/>
      <w:sz w:val="24"/>
      <w:szCs w:val="20"/>
    </w:rPr>
  </w:style>
  <w:style w:type="character" w:customStyle="1" w:styleId="45">
    <w:name w:val="font01"/>
    <w:basedOn w:val="27"/>
    <w:qFormat/>
    <w:uiPriority w:val="0"/>
    <w:rPr>
      <w:rFonts w:hint="default" w:ascii="Arial" w:hAnsi="Arial" w:cs="Arial"/>
      <w:color w:val="000000"/>
      <w:sz w:val="22"/>
      <w:szCs w:val="22"/>
      <w:u w:val="none"/>
    </w:rPr>
  </w:style>
  <w:style w:type="character" w:customStyle="1" w:styleId="46">
    <w:name w:val="font41"/>
    <w:basedOn w:val="27"/>
    <w:qFormat/>
    <w:uiPriority w:val="0"/>
    <w:rPr>
      <w:rFonts w:hint="eastAsia" w:ascii="宋体" w:hAnsi="宋体" w:eastAsia="宋体" w:cs="宋体"/>
      <w:color w:val="000000"/>
      <w:sz w:val="22"/>
      <w:szCs w:val="22"/>
      <w:u w:val="none"/>
    </w:rPr>
  </w:style>
  <w:style w:type="character" w:customStyle="1" w:styleId="47">
    <w:name w:val="font51"/>
    <w:basedOn w:val="27"/>
    <w:qFormat/>
    <w:uiPriority w:val="0"/>
    <w:rPr>
      <w:rFonts w:hint="eastAsia" w:ascii="宋体" w:hAnsi="宋体" w:eastAsia="宋体" w:cs="宋体"/>
      <w:color w:val="000000"/>
      <w:sz w:val="22"/>
      <w:szCs w:val="22"/>
      <w:u w:val="none"/>
    </w:rPr>
  </w:style>
  <w:style w:type="character" w:customStyle="1" w:styleId="48">
    <w:name w:val="font31"/>
    <w:basedOn w:val="27"/>
    <w:qFormat/>
    <w:uiPriority w:val="0"/>
    <w:rPr>
      <w:rFonts w:hint="default" w:ascii="Arial" w:hAnsi="Arial" w:cs="Arial"/>
      <w:b/>
      <w:color w:val="000000"/>
      <w:sz w:val="22"/>
      <w:szCs w:val="22"/>
      <w:u w:val="none"/>
    </w:rPr>
  </w:style>
  <w:style w:type="character" w:customStyle="1" w:styleId="49">
    <w:name w:val="font91"/>
    <w:basedOn w:val="27"/>
    <w:qFormat/>
    <w:uiPriority w:val="0"/>
    <w:rPr>
      <w:rFonts w:hint="default" w:ascii="Arial" w:hAnsi="Arial" w:cs="Arial"/>
      <w:color w:val="000000"/>
      <w:sz w:val="22"/>
      <w:szCs w:val="22"/>
      <w:u w:val="none"/>
    </w:rPr>
  </w:style>
  <w:style w:type="character" w:customStyle="1" w:styleId="50">
    <w:name w:val="font81"/>
    <w:basedOn w:val="27"/>
    <w:qFormat/>
    <w:uiPriority w:val="0"/>
    <w:rPr>
      <w:rFonts w:hint="eastAsia" w:ascii="宋体" w:hAnsi="宋体" w:eastAsia="宋体" w:cs="宋体"/>
      <w:color w:val="000000"/>
      <w:sz w:val="22"/>
      <w:szCs w:val="22"/>
      <w:u w:val="none"/>
    </w:rPr>
  </w:style>
  <w:style w:type="character" w:customStyle="1" w:styleId="51">
    <w:name w:val="font21"/>
    <w:basedOn w:val="27"/>
    <w:qFormat/>
    <w:uiPriority w:val="0"/>
    <w:rPr>
      <w:rFonts w:ascii="微软雅黑" w:hAnsi="微软雅黑" w:eastAsia="微软雅黑" w:cs="微软雅黑"/>
      <w:b/>
      <w:color w:val="000000"/>
      <w:sz w:val="24"/>
      <w:szCs w:val="24"/>
      <w:u w:val="none"/>
    </w:rPr>
  </w:style>
  <w:style w:type="character" w:customStyle="1" w:styleId="52">
    <w:name w:val="font61"/>
    <w:basedOn w:val="27"/>
    <w:qFormat/>
    <w:uiPriority w:val="0"/>
    <w:rPr>
      <w:rFonts w:hint="default" w:ascii="Times New Roman" w:hAnsi="Times New Roman" w:cs="Times New Roman"/>
      <w:b/>
      <w:color w:val="000000"/>
      <w:sz w:val="24"/>
      <w:szCs w:val="24"/>
      <w:u w:val="none"/>
    </w:rPr>
  </w:style>
  <w:style w:type="character" w:customStyle="1" w:styleId="53">
    <w:name w:val="font71"/>
    <w:basedOn w:val="27"/>
    <w:qFormat/>
    <w:uiPriority w:val="0"/>
    <w:rPr>
      <w:rFonts w:hint="eastAsia" w:ascii="微软雅黑" w:hAnsi="微软雅黑" w:eastAsia="微软雅黑" w:cs="微软雅黑"/>
      <w:color w:val="000000"/>
      <w:sz w:val="24"/>
      <w:szCs w:val="24"/>
      <w:u w:val="none"/>
    </w:rPr>
  </w:style>
  <w:style w:type="character" w:customStyle="1" w:styleId="54">
    <w:name w:val="font101"/>
    <w:basedOn w:val="27"/>
    <w:qFormat/>
    <w:uiPriority w:val="0"/>
    <w:rPr>
      <w:rFonts w:hint="default" w:ascii="Times New Roman" w:hAnsi="Times New Roman" w:cs="Times New Roman"/>
      <w:color w:val="000000"/>
      <w:sz w:val="24"/>
      <w:szCs w:val="24"/>
      <w:u w:val="none"/>
    </w:rPr>
  </w:style>
  <w:style w:type="paragraph" w:customStyle="1" w:styleId="55">
    <w:name w:val="_Style 1"/>
    <w:basedOn w:val="1"/>
    <w:qFormat/>
    <w:uiPriority w:val="34"/>
    <w:pPr>
      <w:ind w:firstLine="420" w:firstLineChars="200"/>
    </w:pPr>
  </w:style>
  <w:style w:type="character" w:customStyle="1" w:styleId="56">
    <w:name w:val="无间隔 Char"/>
    <w:link w:val="39"/>
    <w:qFormat/>
    <w:uiPriority w:val="1"/>
    <w:rPr>
      <w:rFonts w:ascii="Calibri" w:hAnsi="Calibri" w:eastAsia="宋体" w:cs="Times New Roman"/>
      <w:kern w:val="2"/>
      <w:sz w:val="21"/>
      <w:szCs w:val="24"/>
      <w:lang w:val="en-US" w:eastAsia="zh-CN" w:bidi="ar-SA"/>
    </w:rPr>
  </w:style>
  <w:style w:type="paragraph" w:customStyle="1" w:styleId="57">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58">
    <w:name w:val="索引 11"/>
    <w:basedOn w:val="1"/>
    <w:next w:val="1"/>
    <w:qFormat/>
    <w:uiPriority w:val="0"/>
    <w:pPr>
      <w:spacing w:line="360" w:lineRule="auto"/>
    </w:pPr>
    <w:rPr>
      <w:rFonts w:ascii="仿宋_GB2312" w:eastAsia="仿宋_GB2312"/>
      <w:sz w:val="24"/>
      <w:szCs w:val="20"/>
    </w:rPr>
  </w:style>
  <w:style w:type="paragraph" w:customStyle="1" w:styleId="59">
    <w:name w:val="纯文本1"/>
    <w:basedOn w:val="1"/>
    <w:qFormat/>
    <w:uiPriority w:val="0"/>
    <w:rPr>
      <w:rFonts w:ascii="宋体" w:hAnsi="Courier New"/>
      <w:kern w:val="0"/>
      <w:sz w:val="20"/>
      <w:szCs w:val="20"/>
    </w:rPr>
  </w:style>
  <w:style w:type="paragraph" w:customStyle="1" w:styleId="60">
    <w:name w:val="段"/>
    <w:next w:val="1"/>
    <w:qFormat/>
    <w:uiPriority w:val="0"/>
    <w:pPr>
      <w:autoSpaceDE w:val="0"/>
      <w:autoSpaceDN w:val="0"/>
      <w:ind w:firstLine="420" w:firstLineChars="200"/>
      <w:jc w:val="both"/>
    </w:pPr>
    <w:rPr>
      <w:rFonts w:ascii="宋体" w:hAnsi="Calibri" w:eastAsia="宋体" w:cs="Times New Roman"/>
      <w:kern w:val="2"/>
      <w:sz w:val="21"/>
      <w:szCs w:val="21"/>
      <w:lang w:val="en-US" w:eastAsia="zh-CN" w:bidi="ar-SA"/>
    </w:rPr>
  </w:style>
  <w:style w:type="paragraph" w:customStyle="1" w:styleId="61">
    <w:name w:val="石墨文档正文"/>
    <w:qFormat/>
    <w:uiPriority w:val="0"/>
    <w:rPr>
      <w:rFonts w:ascii="微软雅黑" w:hAnsi="微软雅黑" w:eastAsia="微软雅黑" w:cs="微软雅黑"/>
      <w:sz w:val="24"/>
      <w:szCs w:val="24"/>
      <w:lang w:val="en-US" w:eastAsia="zh-CN" w:bidi="ar-SA"/>
    </w:rPr>
  </w:style>
  <w:style w:type="character" w:customStyle="1" w:styleId="62">
    <w:name w:val="批注框文本 Char"/>
    <w:basedOn w:val="27"/>
    <w:link w:val="15"/>
    <w:qFormat/>
    <w:uiPriority w:val="0"/>
    <w:rPr>
      <w:kern w:val="2"/>
      <w:sz w:val="18"/>
      <w:szCs w:val="18"/>
    </w:rPr>
  </w:style>
  <w:style w:type="character" w:customStyle="1" w:styleId="63">
    <w:name w:val="批注文字 Char"/>
    <w:basedOn w:val="27"/>
    <w:link w:val="10"/>
    <w:qFormat/>
    <w:uiPriority w:val="0"/>
    <w:rPr>
      <w:kern w:val="2"/>
      <w:sz w:val="21"/>
      <w:szCs w:val="24"/>
    </w:rPr>
  </w:style>
  <w:style w:type="character" w:customStyle="1" w:styleId="64">
    <w:name w:val="批注主题 Char"/>
    <w:basedOn w:val="63"/>
    <w:link w:val="23"/>
    <w:qFormat/>
    <w:uiPriority w:val="0"/>
    <w:rPr>
      <w:b/>
      <w:bCs/>
      <w:kern w:val="2"/>
      <w:sz w:val="21"/>
      <w:szCs w:val="24"/>
    </w:rPr>
  </w:style>
  <w:style w:type="paragraph" w:customStyle="1" w:styleId="65">
    <w:name w:val="CL标准正文首行缩进2字"/>
    <w:qFormat/>
    <w:uiPriority w:val="0"/>
    <w:pPr>
      <w:widowControl w:val="0"/>
      <w:spacing w:line="360" w:lineRule="auto"/>
      <w:ind w:firstLine="200"/>
      <w:jc w:val="both"/>
    </w:pPr>
    <w:rPr>
      <w:rFonts w:ascii="Arial" w:hAnsi="Arial" w:eastAsia="宋体" w:cs="Arial Unicode MS"/>
      <w:color w:val="000000"/>
      <w:kern w:val="2"/>
      <w:sz w:val="21"/>
      <w:szCs w:val="21"/>
      <w:u w:color="000000"/>
      <w:lang w:val="en-US" w:eastAsia="zh-CN" w:bidi="ar-SA"/>
    </w:rPr>
  </w:style>
  <w:style w:type="table" w:customStyle="1" w:styleId="66">
    <w:name w:val="Table Normal1"/>
    <w:qFormat/>
    <w:uiPriority w:val="0"/>
    <w:rPr>
      <w:rFonts w:ascii="Times New Roman" w:hAnsi="Times New Roman" w:cs="Times New Roman"/>
    </w:rPr>
    <w:tblPr>
      <w:tblCellMar>
        <w:top w:w="0" w:type="dxa"/>
        <w:left w:w="0" w:type="dxa"/>
        <w:bottom w:w="0" w:type="dxa"/>
        <w:right w:w="0" w:type="dxa"/>
      </w:tblCellMar>
    </w:tblPr>
  </w:style>
  <w:style w:type="paragraph" w:customStyle="1" w:styleId="67">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68">
    <w:name w:val="p1"/>
    <w:basedOn w:val="1"/>
    <w:qFormat/>
    <w:uiPriority w:val="0"/>
    <w:pPr>
      <w:spacing w:before="0" w:beforeAutospacing="0" w:after="0" w:afterAutospacing="0"/>
      <w:ind w:left="0" w:right="0"/>
      <w:jc w:val="left"/>
    </w:pPr>
    <w:rPr>
      <w:rFonts w:ascii="pingfang sc" w:hAnsi="pingfang sc" w:eastAsia="pingfang sc" w:cs="pingfang sc"/>
      <w:kern w:val="0"/>
      <w:sz w:val="26"/>
      <w:szCs w:val="26"/>
      <w:lang w:val="en-US" w:eastAsia="zh-CN"/>
    </w:rPr>
  </w:style>
  <w:style w:type="character" w:customStyle="1" w:styleId="69">
    <w:name w:val="s1"/>
    <w:basedOn w:val="27"/>
    <w:qFormat/>
    <w:uiPriority w:val="0"/>
    <w:rPr>
      <w:rFonts w:ascii="pingfang sc" w:hAnsi="pingfang sc" w:eastAsia="pingfang sc" w:cs="pingfang sc"/>
      <w:sz w:val="40"/>
      <w:szCs w:val="40"/>
    </w:rPr>
  </w:style>
  <w:style w:type="character" w:customStyle="1" w:styleId="70">
    <w:name w:val="trans"/>
    <w:qFormat/>
    <w:uiPriority w:val="99"/>
  </w:style>
  <w:style w:type="paragraph" w:customStyle="1" w:styleId="71">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72">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character" w:customStyle="1" w:styleId="73">
    <w:name w:val="PageNumber"/>
    <w:qFormat/>
    <w:uiPriority w:val="99"/>
    <w:rPr>
      <w:rFonts w:cs="Times New Roman"/>
    </w:rPr>
  </w:style>
  <w:style w:type="paragraph" w:customStyle="1" w:styleId="74">
    <w:name w:val="样式1"/>
    <w:basedOn w:val="7"/>
    <w:qFormat/>
    <w:uiPriority w:val="0"/>
    <w:pPr>
      <w:spacing w:before="100" w:beforeAutospacing="1" w:after="100" w:afterAutospacing="1"/>
      <w:ind w:right="100" w:rightChars="100"/>
    </w:pPr>
    <w:rPr>
      <w:sz w:val="21"/>
    </w:rPr>
  </w:style>
  <w:style w:type="paragraph" w:customStyle="1" w:styleId="75">
    <w:name w:val="UserStyle_15"/>
    <w:basedOn w:val="76"/>
    <w:qFormat/>
    <w:uiPriority w:val="0"/>
    <w:pPr>
      <w:keepNext/>
      <w:widowControl/>
      <w:numPr>
        <w:ilvl w:val="1"/>
        <w:numId w:val="2"/>
      </w:numPr>
      <w:spacing w:before="100" w:beforeAutospacing="1" w:after="100" w:afterAutospacing="1"/>
      <w:ind w:left="1710" w:right="100" w:rightChars="100"/>
      <w:textAlignment w:val="baseline"/>
    </w:pPr>
    <w:rPr>
      <w:rFonts w:ascii="Cambria" w:hAnsi="Cambria" w:cs="Times New Roman"/>
      <w:sz w:val="21"/>
      <w:szCs w:val="28"/>
      <w:lang w:bidi="ar-SA"/>
    </w:rPr>
  </w:style>
  <w:style w:type="paragraph" w:customStyle="1" w:styleId="76">
    <w:name w:val="Heading2"/>
    <w:basedOn w:val="1"/>
    <w:next w:val="1"/>
    <w:qFormat/>
    <w:uiPriority w:val="0"/>
    <w:pPr>
      <w:keepNext/>
      <w:widowControl/>
      <w:numPr>
        <w:ilvl w:val="1"/>
        <w:numId w:val="2"/>
      </w:numPr>
      <w:spacing w:before="240" w:after="60"/>
      <w:textAlignment w:val="baseline"/>
    </w:pPr>
    <w:rPr>
      <w:rFonts w:ascii="Cambria" w:hAnsi="Cambria" w:cs="Times New Roman"/>
      <w:b/>
      <w:bCs/>
      <w:i/>
      <w:iCs/>
      <w:sz w:val="28"/>
      <w:szCs w:val="28"/>
      <w:lang w:bidi="ar-SA"/>
    </w:rPr>
  </w:style>
  <w:style w:type="character" w:customStyle="1" w:styleId="77">
    <w:name w:val="UserStyle_2"/>
    <w:link w:val="78"/>
    <w:qFormat/>
    <w:uiPriority w:val="0"/>
    <w:rPr>
      <w:kern w:val="0"/>
      <w:sz w:val="20"/>
      <w:szCs w:val="24"/>
      <w:lang w:val="en-US" w:eastAsia="zh-CN" w:bidi="ar-SA"/>
    </w:rPr>
  </w:style>
  <w:style w:type="paragraph" w:customStyle="1" w:styleId="78">
    <w:name w:val="UserStyle_3"/>
    <w:basedOn w:val="1"/>
    <w:link w:val="77"/>
    <w:qFormat/>
    <w:uiPriority w:val="0"/>
    <w:pPr>
      <w:jc w:val="both"/>
      <w:textAlignment w:val="baseline"/>
    </w:pPr>
    <w:rPr>
      <w:kern w:val="0"/>
      <w:sz w:val="20"/>
      <w:szCs w:val="24"/>
      <w:lang w:val="en-US" w:eastAsia="zh-CN" w:bidi="ar-SA"/>
    </w:rPr>
  </w:style>
  <w:style w:type="paragraph" w:customStyle="1" w:styleId="79">
    <w:name w:val="List Paragraph1"/>
    <w:basedOn w:val="1"/>
    <w:qFormat/>
    <w:uiPriority w:val="0"/>
    <w:pPr>
      <w:ind w:firstLine="420" w:firstLineChars="200"/>
    </w:pPr>
  </w:style>
  <w:style w:type="paragraph" w:customStyle="1" w:styleId="80">
    <w:name w:val="List Paragraph"/>
    <w:basedOn w:val="1"/>
    <w:qFormat/>
    <w:uiPriority w:val="34"/>
    <w:pPr>
      <w:ind w:firstLine="420" w:firstLineChars="200"/>
    </w:pPr>
  </w:style>
  <w:style w:type="paragraph" w:styleId="8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Times New Roman"/>
      <w:kern w:val="0"/>
      <w:sz w:val="24"/>
      <w:szCs w:val="24"/>
    </w:rPr>
  </w:style>
  <w:style w:type="paragraph" w:customStyle="1" w:styleId="83">
    <w:name w:val="TOC Heading"/>
    <w:basedOn w:val="6"/>
    <w:next w:val="1"/>
    <w:semiHidden/>
    <w:unhideWhenUsed/>
    <w:qFormat/>
    <w:uiPriority w:val="39"/>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84">
    <w:name w:val="标题33"/>
    <w:basedOn w:val="8"/>
    <w:next w:val="33"/>
    <w:qFormat/>
    <w:uiPriority w:val="0"/>
    <w:pPr>
      <w:numPr>
        <w:ilvl w:val="2"/>
        <w:numId w:val="3"/>
      </w:numPr>
      <w:tabs>
        <w:tab w:val="clear" w:pos="720"/>
      </w:tabs>
    </w:pPr>
    <w:rPr>
      <w:rFonts w:hAnsi="黑体" w:eastAsia="黑体"/>
      <w:sz w:val="30"/>
      <w:szCs w:val="30"/>
    </w:rPr>
  </w:style>
  <w:style w:type="paragraph" w:customStyle="1" w:styleId="85">
    <w:name w:val="标题44"/>
    <w:basedOn w:val="9"/>
    <w:next w:val="33"/>
    <w:qFormat/>
    <w:uiPriority w:val="0"/>
    <w:pPr>
      <w:numPr>
        <w:ilvl w:val="3"/>
        <w:numId w:val="3"/>
      </w:numPr>
    </w:pPr>
    <w:rPr>
      <w:sz w:val="30"/>
      <w:szCs w:val="30"/>
    </w:rPr>
  </w:style>
  <w:style w:type="paragraph" w:customStyle="1" w:styleId="86">
    <w:name w:val="表格文字"/>
    <w:basedOn w:val="1"/>
    <w:qFormat/>
    <w:uiPriority w:val="0"/>
    <w:pPr>
      <w:spacing w:before="25" w:after="25"/>
      <w:jc w:val="left"/>
    </w:pPr>
    <w:rPr>
      <w:bCs/>
      <w:spacing w:val="10"/>
      <w:kern w:val="0"/>
      <w:sz w:val="24"/>
    </w:rPr>
  </w:style>
  <w:style w:type="paragraph" w:customStyle="1" w:styleId="87">
    <w:name w:val="p0"/>
    <w:basedOn w:val="1"/>
    <w:qFormat/>
    <w:uiPriority w:val="0"/>
    <w:pPr>
      <w:widowControl/>
    </w:pPr>
    <w:rPr>
      <w:kern w:val="0"/>
      <w:szCs w:val="21"/>
    </w:rPr>
  </w:style>
  <w:style w:type="character" w:customStyle="1" w:styleId="88">
    <w:name w:val="font11"/>
    <w:basedOn w:val="27"/>
    <w:qFormat/>
    <w:uiPriority w:val="0"/>
    <w:rPr>
      <w:rFonts w:hint="eastAsia" w:ascii="宋体" w:hAnsi="宋体" w:eastAsia="宋体" w:cs="宋体"/>
      <w:color w:val="333333"/>
      <w:sz w:val="24"/>
      <w:szCs w:val="24"/>
      <w:u w:val="none"/>
    </w:rPr>
  </w:style>
  <w:style w:type="table" w:customStyle="1" w:styleId="89">
    <w:name w:val="Table Normal"/>
    <w:semiHidden/>
    <w:unhideWhenUsed/>
    <w:qFormat/>
    <w:uiPriority w:val="0"/>
    <w:tblPr>
      <w:tblCellMar>
        <w:top w:w="0" w:type="dxa"/>
        <w:left w:w="0" w:type="dxa"/>
        <w:bottom w:w="0" w:type="dxa"/>
        <w:right w:w="0" w:type="dxa"/>
      </w:tblCellMar>
    </w:tblPr>
  </w:style>
  <w:style w:type="paragraph" w:customStyle="1" w:styleId="90">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91">
    <w:name w:val="CharAttribute0"/>
    <w:qFormat/>
    <w:uiPriority w:val="0"/>
    <w:rPr>
      <w:rFonts w:asci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36577</Words>
  <Characters>39828</Characters>
  <Paragraphs>2159</Paragraphs>
  <TotalTime>0</TotalTime>
  <ScaleCrop>false</ScaleCrop>
  <LinksUpToDate>false</LinksUpToDate>
  <CharactersWithSpaces>44543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2021-06-23T11:44:00Z</dcterms:created>
  <dc:creator>WPS_1542621076</dc:creator>
  <cp:lastModifiedBy>回回去去789@</cp:lastModifiedBy>
  <cp:lastPrinted>2023-01-17T05:31:00Z</cp:lastPrinted>
  <dcterms:modified xsi:type="dcterms:W3CDTF">2023-03-22T05:06:09Z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8E9B8AAEB7C24F33A90D51B655FFA191</vt:lpwstr>
  </property>
</Properties>
</file>