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jc w:val="center"/>
        <w:textAlignment w:val="auto"/>
        <w:outlineLvl w:val="1"/>
        <w:rPr>
          <w:rFonts w:hint="eastAsia" w:ascii="微软雅黑" w:hAnsi="微软雅黑" w:eastAsia="微软雅黑" w:cs="微软雅黑"/>
          <w:b/>
          <w:color w:val="auto"/>
          <w:kern w:val="44"/>
          <w:sz w:val="36"/>
          <w:szCs w:val="21"/>
          <w:highlight w:val="none"/>
          <w:lang w:eastAsia="zh-CN"/>
        </w:rPr>
      </w:pPr>
      <w:bookmarkStart w:id="0" w:name="_Toc1667"/>
      <w:bookmarkStart w:id="1" w:name="_Toc803"/>
      <w:r>
        <w:rPr>
          <w:rFonts w:hint="eastAsia" w:ascii="微软雅黑" w:hAnsi="微软雅黑" w:eastAsia="微软雅黑" w:cs="微软雅黑"/>
          <w:b/>
          <w:color w:val="auto"/>
          <w:kern w:val="44"/>
          <w:sz w:val="36"/>
          <w:szCs w:val="21"/>
          <w:highlight w:val="none"/>
          <w:lang w:eastAsia="zh-CN"/>
        </w:rPr>
        <w:t>喀什地区第一人民医院医疗设备采购项目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kern w:val="44"/>
          <w:sz w:val="36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auto"/>
          <w:kern w:val="44"/>
          <w:sz w:val="36"/>
          <w:szCs w:val="21"/>
          <w:highlight w:val="none"/>
        </w:rPr>
        <w:t>公开招标公告</w:t>
      </w:r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  <w:lang w:eastAsia="zh-CN"/>
        </w:rPr>
        <w:t>喀什地区第一人民医院医疗设备采购项目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的潜在供应商应在政采云线上下载（供应商登陆政采云平台http://www.zcygov.cn/，在线申请获取采购文件（登录政府采购云平台 → 项目采购 → 获取采购文件 → 申请，审核通过后可下载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招标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文件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，如有操作性问题，可与政采云在线客服进行咨询，咨询电话：400-881-7190））获取招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</w:rPr>
        <w:t>标文件，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并于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</w:rPr>
        <w:t>202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</w:rPr>
        <w:t>日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</w:rPr>
        <w:t>点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  <w:lang w:val="en-US" w:eastAsia="zh-CN"/>
        </w:rPr>
        <w:t>00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u w:val="single"/>
        </w:rPr>
        <w:t>分</w:t>
      </w:r>
      <w:r>
        <w:rPr>
          <w:rFonts w:hint="eastAsia" w:ascii="微软雅黑" w:hAnsi="微软雅黑" w:eastAsia="微软雅黑" w:cs="微软雅黑"/>
          <w:bCs/>
          <w:color w:val="auto"/>
          <w:sz w:val="24"/>
          <w:highlight w:val="none"/>
          <w:u w:val="single"/>
        </w:rPr>
        <w:t>（北京时间）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前提交投标文件。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</w:pPr>
      <w:bookmarkStart w:id="2" w:name="_Toc1322"/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一、项目基本情况</w:t>
      </w:r>
      <w:bookmarkEnd w:id="2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项目编号：2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GJ-(GK)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005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项目名称：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喀什地区第一人民医院医疗设备采购项目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3.采购方式：公开招标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4.总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</w:rPr>
        <w:t>预算金额：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694.4518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</w:rPr>
        <w:t>万元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采购需求：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第一包：便携式彩超、多普勒胎心仪、可视喉镜、无创呼吸机等医疗设备一批；预算金额：83.8万元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第二包：全自动精子质量分析仪、荧光显微镜；预算金额：80万元；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第三包：胆道镜、内科胸腔镜；预算金额：92万元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第四包：尿动力、电子膀胱肾盂内窥镜系统（一机六镜）；预算金额：95万元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第五包：气压弹道式体外压力波治疗仪；预算金额：50万元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第六包：智能中医灸疗床、经颅磁治疗仪、中频干扰电治疗仪、多功能牵引床；预算金额：26.5万元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第七包：床边血气分析仪、视频脑电图机、血气分析仪；预算金额：58.5万元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第八包：鼻筛窦钳、蝶窦咬骨钳、眼内膜铲（双头虹膜恢复器）、光杆骨针等手术器械一批；预算金额：47.6518万元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第九包：人工肝支持系统；预算金额：30万元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第十包：有创呼吸机、移动式无影灯；预算金额：131万元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。（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具体详细参数详见招标文件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本项目不接受联合体投标。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</w:pPr>
      <w:bookmarkStart w:id="3" w:name="_Toc26098"/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二、申请人资格要求</w:t>
      </w:r>
      <w:bookmarkEnd w:id="3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bookmarkStart w:id="4" w:name="_Toc35393796"/>
      <w:bookmarkStart w:id="5" w:name="_Toc35393627"/>
      <w:bookmarkStart w:id="6" w:name="_Toc28359085"/>
      <w:bookmarkStart w:id="7" w:name="_Toc28359008"/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1.满足《中华人民共和国政府采购法》第二十二条规定；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2.具有有效的独立法人营业执照；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3.法人代表身份证明及授权书、被授权人身份证；(法人投标需提供法人身份证)；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4.提供有效的《医疗器械生产许可证》或《医疗器械经营许可证》（二类医疗器械须提供医疗器械备案凭证）；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5.近两年任意一年的财务审计报告，新成立的公司提供近三个月内任意一个月的银行资信证明；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6.依法缴纳近6个月任意一个月社会保险的凭据；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7.提供税务部门出具的近6个月任意一个月的完税证明；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8.根据《财政部关于在政府采购活动中查询及使用信用记录有关问题的通知》（财库﹝2016﹞125号）的要求，凡拟参加本次招标项目的供应商，如在“信用中国”网站（ www.creditchina.gov.cn） 被列入失信被执行人、重大税收违法案件当事人名单(信用服务-失信惩戒对象查询-搜索栏输入单位全称-截图)、中国政府采购网（http://www.ccgp.gov.cn/search/cr/）严重违法失信行为记录名单的（尚在处罚期内的），“国家企业信用信息公示系统（http://www.gsxt.gov.cn）”列入严重违法失信企业名单（黑名单）信息及企业信用信息公示报告；将拒绝其参加本次招标活动；（以招标代理或招标人查询为准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9.参与政府采购活动前3年内未被列入失信、重大税收违法案件、财政部门禁止参加政府采购活动的承诺书；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highlight w:val="none"/>
          <w:lang w:val="en-US" w:eastAsia="zh-CN"/>
        </w:rPr>
        <w:t>10.提供针对本次项目《反商业贿赂承诺书》。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</w:pPr>
      <w:bookmarkStart w:id="8" w:name="_Toc5523"/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三、获取采购文件</w:t>
      </w:r>
      <w:bookmarkEnd w:id="8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获取招标文件时间：202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日至202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日（上午10:00-14:00，下午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0-19: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，法定节假日休息）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</w:pPr>
      <w:bookmarkStart w:id="9" w:name="_Toc19801"/>
      <w:bookmarkStart w:id="10" w:name="_Toc22090"/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获取招标文件地点：政采云线上下载（供应商登陆政采云平台http://www.zcygov.cn/，在线申请获取采购文件（登录政府采购云平台 → 项目采购 → 获取采购文件 → 申请，审核通过后可下载招标文件，如有操作性问题，可与政采云在线客服进行咨询</w:t>
      </w:r>
      <w:bookmarkStart w:id="38" w:name="_GoBack"/>
      <w:bookmarkEnd w:id="38"/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，咨询电话：400-881-7190）） 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获取招标文件方式：线上获取（登录政府采购云平台→项目采购→获取采购文件→申请，审核通过后可下载招标文件）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highlight w:val="none"/>
        </w:rPr>
      </w:pPr>
      <w:bookmarkStart w:id="11" w:name="_Toc6191"/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highlight w:val="none"/>
        </w:rPr>
        <w:t>四、</w:t>
      </w:r>
      <w:bookmarkStart w:id="12" w:name="_Toc28359093"/>
      <w:bookmarkStart w:id="13" w:name="_Toc35393633"/>
      <w:bookmarkStart w:id="14" w:name="_Toc35393802"/>
      <w:bookmarkStart w:id="15" w:name="_Toc28359016"/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highlight w:val="none"/>
        </w:rPr>
        <w:t>提交投标文件截止时间、开标时间和地点</w:t>
      </w:r>
      <w:bookmarkEnd w:id="9"/>
      <w:bookmarkEnd w:id="10"/>
      <w:bookmarkEnd w:id="1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54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时间：202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日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点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00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分（北京时间）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bookmarkStart w:id="16" w:name="_Toc22266"/>
      <w:bookmarkStart w:id="17" w:name="_Toc3737"/>
      <w:bookmarkStart w:id="18" w:name="_Toc26431"/>
      <w:bookmarkStart w:id="19" w:name="_Toc27810"/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地点：</w:t>
      </w:r>
      <w:bookmarkEnd w:id="16"/>
      <w:bookmarkEnd w:id="17"/>
      <w:bookmarkEnd w:id="18"/>
      <w:bookmarkEnd w:id="19"/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喀什地区喀什市深喀大道陕西大厦12楼1208室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</w:pPr>
      <w:bookmarkStart w:id="20" w:name="_Toc1425"/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五、</w:t>
      </w:r>
      <w:bookmarkEnd w:id="12"/>
      <w:bookmarkEnd w:id="13"/>
      <w:bookmarkEnd w:id="14"/>
      <w:bookmarkEnd w:id="15"/>
      <w:bookmarkStart w:id="21" w:name="_Toc28359094"/>
      <w:bookmarkStart w:id="22" w:name="_Toc35393803"/>
      <w:bookmarkStart w:id="23" w:name="_Toc28359017"/>
      <w:bookmarkStart w:id="24" w:name="_Toc35393634"/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公告期限</w:t>
      </w:r>
      <w:bookmarkEnd w:id="20"/>
      <w:bookmarkEnd w:id="21"/>
      <w:bookmarkEnd w:id="22"/>
      <w:bookmarkEnd w:id="23"/>
      <w:bookmarkEnd w:id="24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自本公告发布之日起5个工作日。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textAlignment w:val="auto"/>
        <w:outlineLvl w:val="1"/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</w:pPr>
      <w:bookmarkStart w:id="25" w:name="_Toc35393635"/>
      <w:bookmarkStart w:id="26" w:name="_Toc35393804"/>
      <w:bookmarkStart w:id="27" w:name="_Toc8383"/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六、</w:t>
      </w:r>
      <w:bookmarkEnd w:id="25"/>
      <w:bookmarkEnd w:id="26"/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</w:rPr>
        <w:t>对本次招标提出询问，请按以下方式联系</w:t>
      </w:r>
      <w:bookmarkEnd w:id="4"/>
      <w:bookmarkEnd w:id="5"/>
      <w:bookmarkEnd w:id="6"/>
      <w:bookmarkEnd w:id="7"/>
      <w:bookmarkEnd w:id="27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bookmarkStart w:id="28" w:name="_Toc35393637"/>
      <w:bookmarkStart w:id="29" w:name="_Toc28359096"/>
      <w:bookmarkStart w:id="30" w:name="_Toc35393806"/>
      <w:bookmarkStart w:id="31" w:name="_Toc28359019"/>
      <w:bookmarkStart w:id="32" w:name="_Toc28359097"/>
      <w:bookmarkStart w:id="33" w:name="_Toc28359020"/>
      <w:bookmarkStart w:id="34" w:name="_Toc35393807"/>
      <w:bookmarkStart w:id="35" w:name="_Toc35393638"/>
      <w:bookmarkStart w:id="36" w:name="_Toc28359010"/>
      <w:bookmarkStart w:id="37" w:name="_Toc28359087"/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1.采购人信息</w:t>
      </w:r>
      <w:bookmarkEnd w:id="28"/>
      <w:bookmarkEnd w:id="29"/>
      <w:bookmarkEnd w:id="30"/>
      <w:bookmarkEnd w:id="3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 xml:space="preserve">名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称：喀什地区第一人民医院　　　　　　　　　　　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地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址：喀什地区喀什市迎宾大道120号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联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系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人：丁芸　　　　　　　　　　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联系方式：0998-2962911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2.采购代理机构信息</w:t>
      </w:r>
      <w:bookmarkEnd w:id="32"/>
      <w:bookmarkEnd w:id="33"/>
      <w:bookmarkEnd w:id="34"/>
      <w:bookmarkEnd w:id="35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名    称：新疆共建恒业信息咨询有限责任公司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地　　址：喀什经济开发区深喀大道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陕西大厦12楼1208室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 xml:space="preserve">联 系 人：陈雨丽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 xml:space="preserve">联系方式：18209987338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3.同级政府采购监督管理部门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名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 xml:space="preserve">称：喀什地区财政局政府采购管理办公室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地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 xml:space="preserve">址：喀什地区财政局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监督投诉电话：0998-2597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0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0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720" w:firstLineChars="3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　　　　　　　　　　　　　　　　</w:t>
      </w:r>
    </w:p>
    <w:bookmarkEnd w:id="36"/>
    <w:bookmarkEnd w:id="37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　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 w:firstLine="4080" w:firstLineChars="1700"/>
        <w:textAlignment w:val="auto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新疆共建恒业信息咨询有限责任公司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 xml:space="preserve">                             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 xml:space="preserve"> 202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22D20"/>
    <w:rsid w:val="18295846"/>
    <w:rsid w:val="1C270B40"/>
    <w:rsid w:val="5E9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7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2022-02-16T10:44:00Z</dcterms:created>
  <dc:creator>0℃</dc:creator>
  <cp:lastModifiedBy>0℃</cp:lastModifiedBy>
  <dcterms:modified xsi:type="dcterms:W3CDTF">2022-02-16T10:47:23Z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DF36CEDAC75D49EBBE952B3D645516BB</vt:lpwstr>
  </property>
</Properties>
</file>