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0"/>
          <w:tab w:val="left" w:pos="3165"/>
          <w:tab w:val="center" w:pos="4153"/>
        </w:tabs>
        <w:spacing w:before="0" w:after="0" w:line="480" w:lineRule="exact"/>
        <w:jc w:val="center"/>
        <w:outlineLvl w:val="9"/>
        <w:rPr>
          <w:rFonts w:hint="eastAsia" w:ascii="微软雅黑" w:hAnsi="微软雅黑" w:eastAsia="微软雅黑" w:cs="微软雅黑"/>
          <w:b/>
          <w:bCs/>
          <w:color w:val="auto"/>
          <w:sz w:val="32"/>
          <w:szCs w:val="32"/>
          <w:highlight w:val="none"/>
          <w:lang w:eastAsia="zh-CN"/>
        </w:rPr>
      </w:pPr>
      <w:bookmarkStart w:id="50" w:name="_GoBack"/>
      <w:r>
        <w:rPr>
          <w:rFonts w:hint="eastAsia" w:ascii="微软雅黑" w:hAnsi="微软雅黑" w:eastAsia="微软雅黑" w:cs="微软雅黑"/>
          <w:b/>
          <w:bCs/>
          <w:color w:val="auto"/>
          <w:sz w:val="32"/>
          <w:szCs w:val="32"/>
          <w:highlight w:val="none"/>
          <w:lang w:val="en-US" w:eastAsia="zh-CN"/>
        </w:rPr>
        <w:t>喀什地区第一人民医院医疗设备采购项目二次（第二包、第三包、第八包）</w:t>
      </w:r>
      <w:r>
        <w:rPr>
          <w:rFonts w:hint="eastAsia" w:ascii="微软雅黑" w:hAnsi="微软雅黑" w:eastAsia="微软雅黑" w:cs="微软雅黑"/>
          <w:b/>
          <w:bCs/>
          <w:color w:val="auto"/>
          <w:sz w:val="32"/>
          <w:szCs w:val="32"/>
          <w:highlight w:val="none"/>
          <w:lang w:eastAsia="zh-CN"/>
        </w:rPr>
        <w:t>公开招标公告</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20" w:lineRule="exac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2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color w:val="auto"/>
          <w:sz w:val="24"/>
          <w:szCs w:val="24"/>
          <w:highlight w:val="none"/>
          <w:u w:val="single"/>
          <w:lang w:val="en-US" w:eastAsia="zh-CN"/>
        </w:rPr>
        <w:t>喀什地区第一人民医院医疗设备采购项目二次（第二包、第三包、第八包）</w:t>
      </w:r>
      <w:r>
        <w:rPr>
          <w:rFonts w:hint="eastAsia" w:ascii="微软雅黑" w:hAnsi="微软雅黑" w:eastAsia="微软雅黑" w:cs="微软雅黑"/>
          <w:color w:val="auto"/>
          <w:sz w:val="24"/>
          <w:szCs w:val="24"/>
          <w:highlight w:val="none"/>
        </w:rPr>
        <w:t>的潜在供应商应在</w:t>
      </w:r>
      <w:r>
        <w:rPr>
          <w:rFonts w:hint="eastAsia" w:ascii="微软雅黑" w:hAnsi="微软雅黑" w:eastAsia="微软雅黑" w:cs="微软雅黑"/>
          <w:color w:val="auto"/>
          <w:sz w:val="24"/>
          <w:szCs w:val="24"/>
          <w:highlight w:val="none"/>
          <w:u w:val="single"/>
          <w:lang w:val="en-US" w:eastAsia="zh-CN"/>
        </w:rPr>
        <w:t>政采云平台（https://login.zcygov.cn/user-login/#/login）</w:t>
      </w:r>
      <w:r>
        <w:rPr>
          <w:rFonts w:hint="eastAsia" w:ascii="微软雅黑" w:hAnsi="微软雅黑" w:eastAsia="微软雅黑" w:cs="微软雅黑"/>
          <w:color w:val="auto"/>
          <w:sz w:val="24"/>
          <w:szCs w:val="24"/>
          <w:highlight w:val="none"/>
        </w:rPr>
        <w:t>获取招标文件，并于</w:t>
      </w:r>
      <w:r>
        <w:rPr>
          <w:rFonts w:hint="eastAsia" w:ascii="微软雅黑" w:hAnsi="微软雅黑" w:eastAsia="微软雅黑" w:cs="微软雅黑"/>
          <w:color w:val="auto"/>
          <w:sz w:val="24"/>
          <w:szCs w:val="24"/>
          <w:highlight w:val="none"/>
          <w:u w:val="single"/>
        </w:rPr>
        <w:t>2022年12月</w:t>
      </w:r>
      <w:r>
        <w:rPr>
          <w:rFonts w:hint="eastAsia" w:ascii="微软雅黑" w:hAnsi="微软雅黑" w:eastAsia="微软雅黑" w:cs="微软雅黑"/>
          <w:color w:val="auto"/>
          <w:sz w:val="24"/>
          <w:szCs w:val="24"/>
          <w:highlight w:val="none"/>
          <w:u w:val="single"/>
          <w:lang w:val="en-US" w:eastAsia="zh-CN"/>
        </w:rPr>
        <w:t>15</w:t>
      </w:r>
      <w:r>
        <w:rPr>
          <w:rFonts w:hint="eastAsia" w:ascii="微软雅黑" w:hAnsi="微软雅黑" w:eastAsia="微软雅黑" w:cs="微软雅黑"/>
          <w:color w:val="auto"/>
          <w:sz w:val="24"/>
          <w:szCs w:val="24"/>
          <w:highlight w:val="none"/>
          <w:u w:val="single"/>
        </w:rPr>
        <w:t>日10点30分（北京时间）</w:t>
      </w:r>
      <w:r>
        <w:rPr>
          <w:rFonts w:hint="eastAsia" w:ascii="微软雅黑" w:hAnsi="微软雅黑" w:eastAsia="微软雅黑" w:cs="微软雅黑"/>
          <w:bCs/>
          <w:color w:val="auto"/>
          <w:sz w:val="24"/>
          <w:szCs w:val="24"/>
          <w:highlight w:val="none"/>
        </w:rPr>
        <w:t>前</w:t>
      </w:r>
      <w:r>
        <w:rPr>
          <w:rFonts w:hint="eastAsia" w:ascii="微软雅黑" w:hAnsi="微软雅黑" w:eastAsia="微软雅黑" w:cs="微软雅黑"/>
          <w:bCs/>
          <w:color w:val="auto"/>
          <w:sz w:val="24"/>
          <w:szCs w:val="24"/>
          <w:highlight w:val="none"/>
          <w:lang w:eastAsia="zh-CN"/>
        </w:rPr>
        <w:t>上传</w:t>
      </w:r>
      <w:r>
        <w:rPr>
          <w:rFonts w:hint="eastAsia" w:ascii="微软雅黑" w:hAnsi="微软雅黑" w:eastAsia="微软雅黑" w:cs="微软雅黑"/>
          <w:bCs/>
          <w:color w:val="auto"/>
          <w:sz w:val="24"/>
          <w:szCs w:val="24"/>
          <w:highlight w:val="none"/>
        </w:rPr>
        <w:t>投标文件</w:t>
      </w:r>
      <w:r>
        <w:rPr>
          <w:rFonts w:hint="eastAsia" w:ascii="微软雅黑" w:hAnsi="微软雅黑" w:eastAsia="微软雅黑" w:cs="微软雅黑"/>
          <w:color w:val="auto"/>
          <w:sz w:val="24"/>
          <w:szCs w:val="24"/>
          <w:highlight w:val="none"/>
        </w:rPr>
        <w:t>。</w:t>
      </w:r>
      <w:bookmarkStart w:id="0" w:name="_Toc35393621"/>
      <w:bookmarkStart w:id="1" w:name="_Toc28359002"/>
      <w:bookmarkStart w:id="2" w:name="_Toc35393790"/>
      <w:bookmarkStart w:id="3" w:name="_Toc28359079"/>
      <w:bookmarkStart w:id="4" w:name="_Toc28217"/>
      <w:bookmarkStart w:id="5" w:name="_Hlk24379207"/>
    </w:p>
    <w:p>
      <w:pPr>
        <w:keepNext w:val="0"/>
        <w:keepLines w:val="0"/>
        <w:pageBreakBefore w:val="0"/>
        <w:widowControl w:val="0"/>
        <w:kinsoku/>
        <w:wordWrap/>
        <w:overflowPunct/>
        <w:topLinePunct w:val="0"/>
        <w:autoSpaceDE/>
        <w:autoSpaceDN/>
        <w:bidi w:val="0"/>
        <w:adjustRightInd/>
        <w:snapToGrid/>
        <w:spacing w:line="320" w:lineRule="exact"/>
        <w:jc w:val="both"/>
        <w:textAlignment w:val="auto"/>
        <w:outlineLvl w:val="9"/>
        <w:rPr>
          <w:rFonts w:hint="eastAsia" w:ascii="微软雅黑" w:hAnsi="微软雅黑" w:eastAsia="微软雅黑" w:cs="微软雅黑"/>
          <w:b/>
          <w:bCs w:val="0"/>
          <w:color w:val="auto"/>
          <w:sz w:val="24"/>
          <w:szCs w:val="24"/>
          <w:highlight w:val="none"/>
        </w:rPr>
      </w:pPr>
      <w:bookmarkStart w:id="6" w:name="_Toc20970"/>
      <w:bookmarkStart w:id="7" w:name="_Toc28253"/>
      <w:r>
        <w:rPr>
          <w:rFonts w:hint="eastAsia" w:ascii="微软雅黑" w:hAnsi="微软雅黑" w:eastAsia="微软雅黑" w:cs="微软雅黑"/>
          <w:b/>
          <w:bCs w:val="0"/>
          <w:color w:val="auto"/>
          <w:sz w:val="24"/>
          <w:szCs w:val="24"/>
          <w:highlight w:val="none"/>
        </w:rPr>
        <w:t>一、</w:t>
      </w:r>
      <w:bookmarkEnd w:id="0"/>
      <w:bookmarkEnd w:id="1"/>
      <w:bookmarkEnd w:id="2"/>
      <w:bookmarkEnd w:id="3"/>
      <w:bookmarkEnd w:id="4"/>
      <w:r>
        <w:rPr>
          <w:rFonts w:hint="eastAsia" w:ascii="微软雅黑" w:hAnsi="微软雅黑" w:eastAsia="微软雅黑" w:cs="微软雅黑"/>
          <w:b/>
          <w:bCs w:val="0"/>
          <w:color w:val="auto"/>
          <w:sz w:val="24"/>
          <w:szCs w:val="24"/>
          <w:highlight w:val="none"/>
        </w:rPr>
        <w:t>项目基本情况</w:t>
      </w:r>
      <w:bookmarkEnd w:id="6"/>
      <w:bookmarkEnd w:id="7"/>
    </w:p>
    <w:p>
      <w:pPr>
        <w:keepNext w:val="0"/>
        <w:keepLines w:val="0"/>
        <w:pageBreakBefore w:val="0"/>
        <w:widowControl w:val="0"/>
        <w:kinsoku/>
        <w:wordWrap/>
        <w:overflowPunct/>
        <w:topLinePunct w:val="0"/>
        <w:autoSpaceDE/>
        <w:autoSpaceDN/>
        <w:bidi w:val="0"/>
        <w:adjustRightInd/>
        <w:snapToGrid/>
        <w:spacing w:line="320" w:lineRule="exact"/>
        <w:ind w:firstLine="480" w:firstLineChars="200"/>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w:t>
      </w:r>
      <w:r>
        <w:rPr>
          <w:rFonts w:hint="eastAsia" w:ascii="微软雅黑" w:hAnsi="微软雅黑" w:eastAsia="微软雅黑" w:cs="微软雅黑"/>
          <w:color w:val="auto"/>
          <w:sz w:val="24"/>
          <w:szCs w:val="24"/>
          <w:highlight w:val="none"/>
        </w:rPr>
        <w:t>项目编号：22GJ-(GK)038</w:t>
      </w:r>
      <w:r>
        <w:rPr>
          <w:rFonts w:hint="eastAsia" w:ascii="微软雅黑" w:hAnsi="微软雅黑" w:eastAsia="微软雅黑" w:cs="微软雅黑"/>
          <w:color w:val="auto"/>
          <w:sz w:val="24"/>
          <w:szCs w:val="24"/>
          <w:highlight w:val="none"/>
          <w:lang w:val="en-US" w:eastAsia="zh-CN"/>
        </w:rPr>
        <w:t>-1</w:t>
      </w:r>
    </w:p>
    <w:p>
      <w:pPr>
        <w:keepNext w:val="0"/>
        <w:keepLines w:val="0"/>
        <w:pageBreakBefore w:val="0"/>
        <w:widowControl w:val="0"/>
        <w:kinsoku/>
        <w:wordWrap/>
        <w:overflowPunct/>
        <w:topLinePunct w:val="0"/>
        <w:autoSpaceDE/>
        <w:autoSpaceDN/>
        <w:bidi w:val="0"/>
        <w:adjustRightInd/>
        <w:snapToGrid/>
        <w:spacing w:line="32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项目名称：</w:t>
      </w:r>
      <w:bookmarkEnd w:id="5"/>
      <w:r>
        <w:rPr>
          <w:rFonts w:hint="eastAsia" w:ascii="微软雅黑" w:hAnsi="微软雅黑" w:eastAsia="微软雅黑" w:cs="微软雅黑"/>
          <w:color w:val="auto"/>
          <w:sz w:val="24"/>
          <w:szCs w:val="24"/>
          <w:highlight w:val="none"/>
          <w:lang w:val="en-US" w:eastAsia="zh-CN"/>
        </w:rPr>
        <w:t>喀什地区第一人民医院医疗设备采购项目二次（第二包、第三包、第八包）</w:t>
      </w:r>
    </w:p>
    <w:p>
      <w:pPr>
        <w:keepNext w:val="0"/>
        <w:keepLines w:val="0"/>
        <w:pageBreakBefore w:val="0"/>
        <w:widowControl w:val="0"/>
        <w:kinsoku/>
        <w:wordWrap/>
        <w:overflowPunct/>
        <w:topLinePunct w:val="0"/>
        <w:autoSpaceDE/>
        <w:autoSpaceDN/>
        <w:bidi w:val="0"/>
        <w:adjustRightInd/>
        <w:snapToGrid/>
        <w:spacing w:line="32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3、采购方式：公开招标</w:t>
      </w:r>
    </w:p>
    <w:p>
      <w:pPr>
        <w:keepNext w:val="0"/>
        <w:keepLines w:val="0"/>
        <w:pageBreakBefore w:val="0"/>
        <w:widowControl w:val="0"/>
        <w:kinsoku/>
        <w:wordWrap/>
        <w:overflowPunct/>
        <w:topLinePunct w:val="0"/>
        <w:autoSpaceDE/>
        <w:autoSpaceDN/>
        <w:bidi w:val="0"/>
        <w:adjustRightInd/>
        <w:snapToGrid/>
        <w:spacing w:line="32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4、总预算金额（元）：583万</w:t>
      </w:r>
    </w:p>
    <w:p>
      <w:pPr>
        <w:keepNext w:val="0"/>
        <w:keepLines w:val="0"/>
        <w:pageBreakBefore w:val="0"/>
        <w:widowControl w:val="0"/>
        <w:kinsoku/>
        <w:wordWrap/>
        <w:overflowPunct/>
        <w:topLinePunct w:val="0"/>
        <w:autoSpaceDE/>
        <w:autoSpaceDN/>
        <w:bidi w:val="0"/>
        <w:adjustRightInd/>
        <w:snapToGrid/>
        <w:spacing w:line="32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5、最高限价（元）：583万</w:t>
      </w:r>
    </w:p>
    <w:p>
      <w:pPr>
        <w:keepNext w:val="0"/>
        <w:keepLines w:val="0"/>
        <w:pageBreakBefore w:val="0"/>
        <w:widowControl w:val="0"/>
        <w:kinsoku/>
        <w:wordWrap/>
        <w:overflowPunct/>
        <w:topLinePunct w:val="0"/>
        <w:autoSpaceDE/>
        <w:autoSpaceDN/>
        <w:bidi w:val="0"/>
        <w:adjustRightInd/>
        <w:snapToGrid/>
        <w:spacing w:line="32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采购需求：</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第二包（标项1）：</w:t>
      </w:r>
      <w:r>
        <w:rPr>
          <w:rFonts w:hint="eastAsia" w:ascii="微软雅黑" w:hAnsi="微软雅黑" w:eastAsia="微软雅黑" w:cs="微软雅黑"/>
          <w:color w:val="auto"/>
          <w:sz w:val="24"/>
          <w:szCs w:val="24"/>
          <w:highlight w:val="none"/>
          <w:lang w:val="en-US" w:eastAsia="zh-CN"/>
        </w:rPr>
        <w:t>0-6岁小儿神经心理发育评估工具箱、韦氏儿童智力测试工具箱、儿心量表-2评估系统、可调式OT桌康复训练桌、PT实木训练床、电动康复脚踏车儿童专用、蹦蹦床儿童扶手跳跳床、感统训练器材四合之圆运动体能潜艇平衡工具、听觉统合训练系统；预算金额：34万元。</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第三包（标项2）：</w:t>
      </w:r>
      <w:r>
        <w:rPr>
          <w:rFonts w:hint="eastAsia" w:ascii="微软雅黑" w:hAnsi="微软雅黑" w:eastAsia="微软雅黑" w:cs="微软雅黑"/>
          <w:color w:val="auto"/>
          <w:sz w:val="24"/>
          <w:szCs w:val="24"/>
          <w:highlight w:val="none"/>
          <w:lang w:val="en-US" w:eastAsia="zh-CN"/>
        </w:rPr>
        <w:t>制氧机、中心负压；预算金额：315万元。</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default"/>
          <w:lang w:val="en-US" w:eastAsia="zh-CN"/>
        </w:rPr>
      </w:pPr>
      <w:r>
        <w:rPr>
          <w:rFonts w:hint="eastAsia" w:ascii="微软雅黑" w:hAnsi="微软雅黑" w:eastAsia="微软雅黑" w:cs="微软雅黑"/>
          <w:b/>
          <w:bCs/>
          <w:color w:val="auto"/>
          <w:sz w:val="24"/>
          <w:szCs w:val="24"/>
          <w:highlight w:val="none"/>
          <w:lang w:val="en-US" w:eastAsia="zh-CN"/>
        </w:rPr>
        <w:t>第八包（标项3）：</w:t>
      </w:r>
      <w:r>
        <w:rPr>
          <w:rFonts w:hint="eastAsia" w:ascii="微软雅黑" w:hAnsi="微软雅黑" w:eastAsia="微软雅黑" w:cs="微软雅黑"/>
          <w:b w:val="0"/>
          <w:bCs w:val="0"/>
          <w:color w:val="auto"/>
          <w:sz w:val="24"/>
          <w:szCs w:val="24"/>
          <w:highlight w:val="none"/>
          <w:lang w:val="en-US" w:eastAsia="zh-CN"/>
        </w:rPr>
        <w:t>盆底功能磁刺激仪、生物刺激反馈仪（评估治疗一体机）、生物刺激反馈仪（评估机）、生物刺激反馈仪（产康）、盆底肌力评测及训练系统、膀胱神经和肌肉电刺激仪、胃肠动力治疗仪；预</w:t>
      </w:r>
      <w:r>
        <w:rPr>
          <w:rFonts w:hint="eastAsia" w:ascii="微软雅黑" w:hAnsi="微软雅黑" w:eastAsia="微软雅黑" w:cs="微软雅黑"/>
          <w:color w:val="auto"/>
          <w:sz w:val="24"/>
          <w:szCs w:val="24"/>
          <w:highlight w:val="none"/>
          <w:lang w:val="en-US" w:eastAsia="zh-CN"/>
        </w:rPr>
        <w:t>算金额：234万元。（具体详细参数详见招标文件）</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t>本项目不接受联合体投标。</w:t>
      </w:r>
    </w:p>
    <w:p>
      <w:pPr>
        <w:keepNext w:val="0"/>
        <w:keepLines w:val="0"/>
        <w:pageBreakBefore w:val="0"/>
        <w:widowControl w:val="0"/>
        <w:kinsoku/>
        <w:wordWrap/>
        <w:overflowPunct/>
        <w:topLinePunct w:val="0"/>
        <w:bidi w:val="0"/>
        <w:snapToGrid/>
        <w:spacing w:line="320" w:lineRule="exact"/>
        <w:jc w:val="both"/>
        <w:textAlignment w:val="auto"/>
        <w:outlineLvl w:val="9"/>
        <w:rPr>
          <w:rFonts w:hint="eastAsia" w:ascii="微软雅黑" w:hAnsi="微软雅黑" w:eastAsia="微软雅黑" w:cs="微软雅黑"/>
          <w:b/>
          <w:color w:val="auto"/>
          <w:sz w:val="24"/>
          <w:szCs w:val="24"/>
          <w:highlight w:val="none"/>
        </w:rPr>
      </w:pPr>
      <w:bookmarkStart w:id="8" w:name="_Toc35393791"/>
      <w:bookmarkStart w:id="9" w:name="_Toc1145"/>
      <w:bookmarkStart w:id="10" w:name="_Toc28359080"/>
      <w:bookmarkStart w:id="11" w:name="_Toc13688"/>
      <w:bookmarkStart w:id="12" w:name="_Toc35393622"/>
      <w:bookmarkStart w:id="13" w:name="_Toc29506"/>
      <w:bookmarkStart w:id="14" w:name="_Toc28359003"/>
      <w:bookmarkStart w:id="15" w:name="_Toc19260"/>
      <w:r>
        <w:rPr>
          <w:rFonts w:hint="eastAsia" w:ascii="微软雅黑" w:hAnsi="微软雅黑" w:eastAsia="微软雅黑" w:cs="微软雅黑"/>
          <w:b/>
          <w:color w:val="auto"/>
          <w:sz w:val="24"/>
          <w:szCs w:val="24"/>
          <w:highlight w:val="none"/>
        </w:rPr>
        <w:t>二、</w:t>
      </w:r>
      <w:r>
        <w:rPr>
          <w:rFonts w:hint="eastAsia" w:ascii="微软雅黑" w:hAnsi="微软雅黑" w:eastAsia="微软雅黑" w:cs="微软雅黑"/>
          <w:b/>
          <w:color w:val="auto"/>
          <w:sz w:val="24"/>
          <w:szCs w:val="24"/>
          <w:highlight w:val="none"/>
          <w:lang w:eastAsia="zh-CN"/>
        </w:rPr>
        <w:t>投标供应商</w:t>
      </w:r>
      <w:r>
        <w:rPr>
          <w:rFonts w:hint="eastAsia" w:ascii="微软雅黑" w:hAnsi="微软雅黑" w:eastAsia="微软雅黑" w:cs="微软雅黑"/>
          <w:b/>
          <w:color w:val="auto"/>
          <w:sz w:val="24"/>
          <w:szCs w:val="24"/>
          <w:highlight w:val="none"/>
        </w:rPr>
        <w:t>资格要求：</w:t>
      </w:r>
      <w:bookmarkEnd w:id="8"/>
      <w:bookmarkEnd w:id="9"/>
      <w:bookmarkEnd w:id="10"/>
      <w:bookmarkEnd w:id="11"/>
      <w:bookmarkEnd w:id="12"/>
      <w:bookmarkEnd w:id="13"/>
      <w:bookmarkEnd w:id="14"/>
      <w:bookmarkEnd w:id="15"/>
    </w:p>
    <w:p>
      <w:pPr>
        <w:keepNext w:val="0"/>
        <w:keepLines w:val="0"/>
        <w:pageBreakBefore w:val="0"/>
        <w:widowControl w:val="0"/>
        <w:kinsoku/>
        <w:wordWrap/>
        <w:overflowPunct/>
        <w:topLinePunct w:val="0"/>
        <w:bidi w:val="0"/>
        <w:snapToGrid/>
        <w:spacing w:line="320" w:lineRule="exact"/>
        <w:ind w:firstLine="540"/>
        <w:textAlignment w:val="auto"/>
        <w:rPr>
          <w:rFonts w:hint="eastAsia" w:ascii="微软雅黑" w:hAnsi="微软雅黑" w:eastAsia="微软雅黑" w:cs="微软雅黑"/>
          <w:b w:val="0"/>
          <w:bCs w:val="0"/>
          <w:color w:val="000000"/>
          <w:sz w:val="24"/>
          <w:szCs w:val="24"/>
          <w:highlight w:val="none"/>
          <w:lang w:val="en-US" w:eastAsia="zh-CN"/>
        </w:rPr>
      </w:pPr>
      <w:r>
        <w:rPr>
          <w:rFonts w:hint="eastAsia" w:ascii="微软雅黑" w:hAnsi="微软雅黑" w:eastAsia="微软雅黑" w:cs="微软雅黑"/>
          <w:b w:val="0"/>
          <w:bCs w:val="0"/>
          <w:color w:val="000000"/>
          <w:sz w:val="24"/>
          <w:szCs w:val="24"/>
          <w:highlight w:val="none"/>
          <w:lang w:val="en-US" w:eastAsia="zh-CN"/>
        </w:rPr>
        <w:t>1.满足《中华人民共和国政府采购法》第二十二条规定；</w:t>
      </w:r>
    </w:p>
    <w:p>
      <w:pPr>
        <w:keepNext w:val="0"/>
        <w:keepLines w:val="0"/>
        <w:pageBreakBefore w:val="0"/>
        <w:widowControl w:val="0"/>
        <w:kinsoku/>
        <w:wordWrap/>
        <w:overflowPunct/>
        <w:topLinePunct w:val="0"/>
        <w:bidi w:val="0"/>
        <w:snapToGrid/>
        <w:spacing w:line="320" w:lineRule="exact"/>
        <w:ind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（1）具有有效的营业执照；</w:t>
      </w:r>
    </w:p>
    <w:p>
      <w:pPr>
        <w:keepNext w:val="0"/>
        <w:keepLines w:val="0"/>
        <w:pageBreakBefore w:val="0"/>
        <w:widowControl w:val="0"/>
        <w:kinsoku/>
        <w:wordWrap/>
        <w:overflowPunct/>
        <w:topLinePunct w:val="0"/>
        <w:bidi w:val="0"/>
        <w:snapToGrid/>
        <w:spacing w:line="320" w:lineRule="exact"/>
        <w:ind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（2）法定代表人（负责人）资格证明及授权书、被授权人身份证；(法定代表人投标需提供法定代表人身份证)；</w:t>
      </w:r>
    </w:p>
    <w:p>
      <w:pPr>
        <w:keepNext w:val="0"/>
        <w:keepLines w:val="0"/>
        <w:pageBreakBefore w:val="0"/>
        <w:widowControl w:val="0"/>
        <w:kinsoku/>
        <w:wordWrap/>
        <w:overflowPunct/>
        <w:topLinePunct w:val="0"/>
        <w:bidi w:val="0"/>
        <w:snapToGrid/>
        <w:spacing w:line="320" w:lineRule="exact"/>
        <w:ind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（3）提供有效的《医疗器械生产企业许可证》或《医疗器械经营企业许可证》（二类医疗器械须提供医疗器械备案凭证）；</w:t>
      </w:r>
    </w:p>
    <w:p>
      <w:pPr>
        <w:pStyle w:val="2"/>
        <w:keepNext w:val="0"/>
        <w:keepLines w:val="0"/>
        <w:pageBreakBefore w:val="0"/>
        <w:widowControl w:val="0"/>
        <w:kinsoku/>
        <w:wordWrap/>
        <w:overflowPunct/>
        <w:topLinePunct w:val="0"/>
        <w:bidi w:val="0"/>
        <w:snapToGrid/>
        <w:spacing w:line="320" w:lineRule="exact"/>
        <w:ind w:left="0" w:leftChars="0"/>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sz w:val="24"/>
          <w:szCs w:val="24"/>
          <w:highlight w:val="none"/>
          <w:lang w:val="en-US" w:eastAsia="zh-CN"/>
        </w:rPr>
        <w:t>（4）</w:t>
      </w:r>
      <w:r>
        <w:rPr>
          <w:rFonts w:hint="eastAsia" w:ascii="微软雅黑" w:hAnsi="微软雅黑" w:eastAsia="微软雅黑" w:cs="微软雅黑"/>
          <w:color w:val="auto"/>
          <w:kern w:val="2"/>
          <w:sz w:val="24"/>
          <w:szCs w:val="24"/>
          <w:highlight w:val="none"/>
          <w:lang w:val="en-US" w:eastAsia="zh-CN" w:bidi="ar-SA"/>
        </w:rPr>
        <w:t>第三包制氧机根据《中华人民共和国特种设备安全法》和《医用分子筛制氧设备通用技术规范》须提供制造商中华人民共和国特种设备安装改造维修许可证（压力容器）安装1级或以上资质；制造商中华人民共和国特种设备安装改造维修许可证（压力管道）GC2级或以上资质；制造商中华人民共和国特种设备设计许可证（压力管道）GC2级或以上资质；制造商医用分子筛制氧设备《医疗器械产品注册证》；根据《机电安装工程专业承包资质标准》须提供制造商机电设备安装工程专业承包贰级或以上资质；</w:t>
      </w:r>
    </w:p>
    <w:p>
      <w:pPr>
        <w:keepNext w:val="0"/>
        <w:keepLines w:val="0"/>
        <w:pageBreakBefore w:val="0"/>
        <w:widowControl w:val="0"/>
        <w:kinsoku/>
        <w:wordWrap/>
        <w:overflowPunct/>
        <w:topLinePunct w:val="0"/>
        <w:bidi w:val="0"/>
        <w:snapToGrid/>
        <w:spacing w:line="320" w:lineRule="exact"/>
        <w:ind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（5）近两年任意一年的财务审计报告，2021年9月份后成立的公司提供近三个月内任意一个月的银行资信证明；</w:t>
      </w:r>
    </w:p>
    <w:p>
      <w:pPr>
        <w:keepNext w:val="0"/>
        <w:keepLines w:val="0"/>
        <w:pageBreakBefore w:val="0"/>
        <w:widowControl w:val="0"/>
        <w:kinsoku/>
        <w:wordWrap/>
        <w:overflowPunct/>
        <w:topLinePunct w:val="0"/>
        <w:bidi w:val="0"/>
        <w:snapToGrid/>
        <w:spacing w:line="320" w:lineRule="exact"/>
        <w:ind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（6）依法缴纳近6个月任意一个月社会保险的凭据；</w:t>
      </w:r>
    </w:p>
    <w:p>
      <w:pPr>
        <w:keepNext w:val="0"/>
        <w:keepLines w:val="0"/>
        <w:pageBreakBefore w:val="0"/>
        <w:widowControl w:val="0"/>
        <w:kinsoku/>
        <w:wordWrap/>
        <w:overflowPunct/>
        <w:topLinePunct w:val="0"/>
        <w:bidi w:val="0"/>
        <w:snapToGrid/>
        <w:spacing w:line="320" w:lineRule="exact"/>
        <w:ind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（7）提供税务部门出具的近6个月任意一个月的完税证明；</w:t>
      </w:r>
    </w:p>
    <w:p>
      <w:pPr>
        <w:keepNext w:val="0"/>
        <w:keepLines w:val="0"/>
        <w:pageBreakBefore w:val="0"/>
        <w:widowControl w:val="0"/>
        <w:kinsoku/>
        <w:wordWrap/>
        <w:overflowPunct/>
        <w:topLinePunct w:val="0"/>
        <w:bidi w:val="0"/>
        <w:snapToGrid/>
        <w:spacing w:line="320" w:lineRule="exact"/>
        <w:ind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（8）根据《财政部关于在政府采购活动中查询及使用信用记录有关问题的通知》（财库﹝2016﹞125号）的要求，凡拟参加本次招标项目的供应商，如在“信用中国”网站（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国家企业信用信息公示系统（http://www.gsxt.gov.cn）”列入严重违法失信企业名单（黑名单）信息及企业信用信息公示报告；将拒绝其参加本次招标活动；（以招标代理或招标人查询为准）</w:t>
      </w:r>
    </w:p>
    <w:p>
      <w:pPr>
        <w:keepNext w:val="0"/>
        <w:keepLines w:val="0"/>
        <w:pageBreakBefore w:val="0"/>
        <w:widowControl w:val="0"/>
        <w:kinsoku/>
        <w:wordWrap/>
        <w:overflowPunct/>
        <w:topLinePunct w:val="0"/>
        <w:bidi w:val="0"/>
        <w:snapToGrid/>
        <w:spacing w:line="320" w:lineRule="exact"/>
        <w:ind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（9）参与政府采购活动前3年内未被列入失信、重大税收违法案件、财政部门禁止参加政府采购活动的承诺书；</w:t>
      </w:r>
    </w:p>
    <w:p>
      <w:pPr>
        <w:keepNext w:val="0"/>
        <w:keepLines w:val="0"/>
        <w:pageBreakBefore w:val="0"/>
        <w:widowControl w:val="0"/>
        <w:kinsoku/>
        <w:wordWrap/>
        <w:overflowPunct/>
        <w:topLinePunct w:val="0"/>
        <w:bidi w:val="0"/>
        <w:snapToGrid/>
        <w:spacing w:line="320" w:lineRule="exact"/>
        <w:ind w:firstLine="540"/>
        <w:textAlignment w:val="auto"/>
        <w:rPr>
          <w:rFonts w:hint="eastAsia" w:ascii="微软雅黑" w:hAnsi="微软雅黑" w:eastAsia="微软雅黑" w:cs="微软雅黑"/>
          <w:b w:val="0"/>
          <w:bCs w:val="0"/>
          <w:color w:val="000000"/>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（10）提供针对本次项目《反商业贿赂承诺书》。</w:t>
      </w:r>
    </w:p>
    <w:p>
      <w:pPr>
        <w:keepNext w:val="0"/>
        <w:keepLines w:val="0"/>
        <w:pageBreakBefore w:val="0"/>
        <w:widowControl w:val="0"/>
        <w:kinsoku/>
        <w:wordWrap/>
        <w:overflowPunct/>
        <w:topLinePunct w:val="0"/>
        <w:bidi w:val="0"/>
        <w:snapToGrid/>
        <w:spacing w:line="320" w:lineRule="exact"/>
        <w:ind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val="0"/>
          <w:bCs w:val="0"/>
          <w:color w:val="000000"/>
          <w:sz w:val="24"/>
          <w:szCs w:val="24"/>
          <w:highlight w:val="none"/>
          <w:lang w:val="en-US" w:eastAsia="zh-CN"/>
        </w:rPr>
        <w:t>2.本项目的特定资格要求：标项1，标项2，标项3：</w:t>
      </w:r>
      <w:r>
        <w:rPr>
          <w:rFonts w:hint="eastAsia" w:ascii="微软雅黑" w:hAnsi="微软雅黑" w:eastAsia="微软雅黑" w:cs="微软雅黑"/>
          <w:color w:val="auto"/>
          <w:sz w:val="24"/>
          <w:szCs w:val="24"/>
          <w:highlight w:val="none"/>
          <w:lang w:val="en-US" w:eastAsia="zh-CN"/>
        </w:rPr>
        <w:t>（1）提供有效的《医疗器械生产企业许可证》或《医疗器械经营企业许可证》；</w:t>
      </w:r>
    </w:p>
    <w:p>
      <w:pPr>
        <w:pStyle w:val="2"/>
        <w:keepNext w:val="0"/>
        <w:keepLines w:val="0"/>
        <w:pageBreakBefore w:val="0"/>
        <w:widowControl w:val="0"/>
        <w:kinsoku/>
        <w:wordWrap/>
        <w:overflowPunct/>
        <w:topLinePunct w:val="0"/>
        <w:bidi w:val="0"/>
        <w:snapToGrid/>
        <w:spacing w:line="320" w:lineRule="exact"/>
        <w:ind w:left="0" w:leftChars="0"/>
        <w:textAlignment w:val="auto"/>
        <w:rPr>
          <w:rFonts w:hint="default" w:ascii="微软雅黑" w:hAnsi="微软雅黑" w:eastAsia="微软雅黑" w:cs="微软雅黑"/>
          <w:b/>
          <w:color w:val="auto"/>
          <w:sz w:val="24"/>
          <w:szCs w:val="24"/>
          <w:highlight w:val="none"/>
          <w:lang w:val="en-US" w:eastAsia="zh-CN"/>
        </w:rPr>
      </w:pPr>
      <w:r>
        <w:rPr>
          <w:rFonts w:hint="eastAsia" w:ascii="微软雅黑" w:hAnsi="微软雅黑" w:eastAsia="微软雅黑" w:cs="微软雅黑"/>
          <w:b w:val="0"/>
          <w:bCs w:val="0"/>
          <w:color w:val="000000"/>
          <w:sz w:val="24"/>
          <w:szCs w:val="24"/>
          <w:highlight w:val="none"/>
          <w:lang w:val="en-US" w:eastAsia="zh-CN"/>
        </w:rPr>
        <w:t>标项2：</w:t>
      </w:r>
      <w:r>
        <w:rPr>
          <w:rFonts w:hint="eastAsia" w:ascii="微软雅黑" w:hAnsi="微软雅黑" w:eastAsia="微软雅黑" w:cs="微软雅黑"/>
          <w:color w:val="auto"/>
          <w:kern w:val="2"/>
          <w:sz w:val="24"/>
          <w:szCs w:val="24"/>
          <w:highlight w:val="none"/>
          <w:lang w:val="en-US" w:eastAsia="zh-CN" w:bidi="ar-SA"/>
        </w:rPr>
        <w:t>第三包制氧机根据《中华人民共和国特种设备安全法》和《医用分子筛制氧设备通用技术规范》须提供制造商中华人民共和国特种设备安装改造维修许可证（压力容器）安装1级或以上资质；制造商中华人民共和国特种设备安装改造维修许可证（压力管道）GC2级或以上资质；制造商中华人民共和国特种设备设计许可证（压力管道）GC2级或以上资质；制造商医用分子筛制氧设备《医疗器械产品注册证》；根据《机电安装工程专业承包资质标准》须提供制造商机电设备安装工程专业承包贰级或以上资质。</w:t>
      </w:r>
    </w:p>
    <w:p>
      <w:pPr>
        <w:keepNext w:val="0"/>
        <w:keepLines w:val="0"/>
        <w:pageBreakBefore w:val="0"/>
        <w:widowControl w:val="0"/>
        <w:kinsoku/>
        <w:wordWrap/>
        <w:overflowPunct/>
        <w:topLinePunct w:val="0"/>
        <w:bidi w:val="0"/>
        <w:snapToGrid/>
        <w:spacing w:line="320" w:lineRule="exact"/>
        <w:textAlignment w:val="auto"/>
        <w:rPr>
          <w:rFonts w:hint="eastAsia" w:ascii="微软雅黑" w:hAnsi="微软雅黑" w:eastAsia="微软雅黑" w:cs="微软雅黑"/>
          <w:b/>
          <w:bCs/>
          <w:color w:val="auto"/>
          <w:kern w:val="0"/>
          <w:sz w:val="24"/>
          <w:szCs w:val="24"/>
          <w:highlight w:val="none"/>
        </w:rPr>
      </w:pPr>
      <w:bookmarkStart w:id="16" w:name="_Toc35393792"/>
      <w:bookmarkStart w:id="17" w:name="_Toc32226"/>
      <w:bookmarkStart w:id="18" w:name="_Toc27678"/>
      <w:bookmarkStart w:id="19" w:name="_Toc28359004"/>
      <w:bookmarkStart w:id="20" w:name="_Toc28359081"/>
      <w:bookmarkStart w:id="21" w:name="_Toc35393623"/>
      <w:r>
        <w:rPr>
          <w:rFonts w:hint="eastAsia" w:ascii="微软雅黑" w:hAnsi="微软雅黑" w:eastAsia="微软雅黑" w:cs="微软雅黑"/>
          <w:b/>
          <w:bCs/>
          <w:color w:val="auto"/>
          <w:kern w:val="0"/>
          <w:sz w:val="24"/>
          <w:szCs w:val="24"/>
          <w:highlight w:val="none"/>
        </w:rPr>
        <w:t>三、获取招标文件</w:t>
      </w:r>
      <w:bookmarkEnd w:id="16"/>
      <w:bookmarkEnd w:id="17"/>
      <w:bookmarkEnd w:id="18"/>
      <w:bookmarkEnd w:id="19"/>
      <w:bookmarkEnd w:id="20"/>
      <w:bookmarkEnd w:id="21"/>
    </w:p>
    <w:p>
      <w:pPr>
        <w:keepNext w:val="0"/>
        <w:keepLines w:val="0"/>
        <w:pageBreakBefore w:val="0"/>
        <w:widowControl w:val="0"/>
        <w:kinsoku/>
        <w:wordWrap/>
        <w:overflowPunct/>
        <w:topLinePunct w:val="0"/>
        <w:bidi w:val="0"/>
        <w:snapToGrid/>
        <w:spacing w:line="320" w:lineRule="exact"/>
        <w:ind w:firstLine="54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获取时间：202</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lang w:val="en-US" w:eastAsia="zh-CN"/>
        </w:rPr>
        <w:t>11</w:t>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lang w:val="en-US" w:eastAsia="zh-CN"/>
        </w:rPr>
        <w:t>25</w:t>
      </w:r>
      <w:r>
        <w:rPr>
          <w:rFonts w:hint="eastAsia" w:ascii="微软雅黑" w:hAnsi="微软雅黑" w:eastAsia="微软雅黑" w:cs="微软雅黑"/>
          <w:color w:val="auto"/>
          <w:sz w:val="24"/>
          <w:szCs w:val="24"/>
          <w:highlight w:val="none"/>
        </w:rPr>
        <w:t>日至202</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lang w:val="en-US" w:eastAsia="zh-CN"/>
        </w:rPr>
        <w:t>12</w:t>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日，每天上午10:00至14:00，下午</w:t>
      </w:r>
      <w:r>
        <w:rPr>
          <w:rFonts w:hint="eastAsia" w:ascii="微软雅黑" w:hAnsi="微软雅黑" w:eastAsia="微软雅黑" w:cs="微软雅黑"/>
          <w:color w:val="auto"/>
          <w:sz w:val="24"/>
          <w:szCs w:val="24"/>
          <w:highlight w:val="none"/>
          <w:lang w:val="en-US" w:eastAsia="zh-CN"/>
        </w:rPr>
        <w:t>15</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30</w:t>
      </w:r>
      <w:r>
        <w:rPr>
          <w:rFonts w:hint="eastAsia" w:ascii="微软雅黑" w:hAnsi="微软雅黑" w:eastAsia="微软雅黑" w:cs="微软雅黑"/>
          <w:color w:val="auto"/>
          <w:sz w:val="24"/>
          <w:szCs w:val="24"/>
          <w:highlight w:val="none"/>
        </w:rPr>
        <w:t>至</w:t>
      </w:r>
      <w:r>
        <w:rPr>
          <w:rFonts w:hint="eastAsia" w:ascii="微软雅黑" w:hAnsi="微软雅黑" w:eastAsia="微软雅黑" w:cs="微软雅黑"/>
          <w:color w:val="auto"/>
          <w:sz w:val="24"/>
          <w:szCs w:val="24"/>
          <w:highlight w:val="none"/>
          <w:lang w:val="en-US" w:eastAsia="zh-CN"/>
        </w:rPr>
        <w:t>19</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30</w:t>
      </w:r>
      <w:r>
        <w:rPr>
          <w:rFonts w:hint="eastAsia" w:ascii="微软雅黑" w:hAnsi="微软雅黑" w:eastAsia="微软雅黑" w:cs="微软雅黑"/>
          <w:color w:val="auto"/>
          <w:sz w:val="24"/>
          <w:szCs w:val="24"/>
          <w:highlight w:val="none"/>
        </w:rPr>
        <w:t>（北京时间，法定节假日除外）</w:t>
      </w:r>
    </w:p>
    <w:p>
      <w:pPr>
        <w:keepNext w:val="0"/>
        <w:keepLines w:val="0"/>
        <w:pageBreakBefore w:val="0"/>
        <w:widowControl w:val="0"/>
        <w:kinsoku/>
        <w:wordWrap/>
        <w:overflowPunct/>
        <w:topLinePunct w:val="0"/>
        <w:bidi w:val="0"/>
        <w:snapToGrid/>
        <w:spacing w:line="320" w:lineRule="exact"/>
        <w:ind w:firstLine="540"/>
        <w:textAlignment w:val="auto"/>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获取方式：</w:t>
      </w:r>
      <w:r>
        <w:rPr>
          <w:rFonts w:hint="eastAsia" w:ascii="微软雅黑" w:hAnsi="微软雅黑" w:eastAsia="微软雅黑" w:cs="微软雅黑"/>
          <w:color w:val="auto"/>
          <w:sz w:val="24"/>
          <w:szCs w:val="24"/>
          <w:highlight w:val="none"/>
          <w:u w:val="none"/>
          <w:lang w:val="en-US" w:eastAsia="zh-CN"/>
        </w:rPr>
        <w:t>供应商登陆政采云平台http://www.zcygov.cn/，在线申请获取采购文件（登录政府采购云平台 → 项目采购 → 获取采购文件 → 申请，审核通过后可下载招标文件，如有操作性问题，可与政采云在线客服进行咨询，咨询电话：400-881-7190）</w:t>
      </w:r>
    </w:p>
    <w:p>
      <w:pPr>
        <w:keepNext w:val="0"/>
        <w:keepLines w:val="0"/>
        <w:pageBreakBefore w:val="0"/>
        <w:widowControl w:val="0"/>
        <w:kinsoku/>
        <w:wordWrap/>
        <w:overflowPunct/>
        <w:topLinePunct w:val="0"/>
        <w:bidi w:val="0"/>
        <w:snapToGrid/>
        <w:spacing w:line="320" w:lineRule="exact"/>
        <w:ind w:firstLine="54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sz w:val="24"/>
          <w:szCs w:val="24"/>
          <w:highlight w:val="none"/>
        </w:rPr>
        <w:t>获取地点：政采云平台（https://login.zcygov.cn/user-login/#/login）</w:t>
      </w:r>
    </w:p>
    <w:p>
      <w:pPr>
        <w:keepNext w:val="0"/>
        <w:keepLines w:val="0"/>
        <w:pageBreakBefore w:val="0"/>
        <w:widowControl w:val="0"/>
        <w:kinsoku/>
        <w:wordWrap/>
        <w:overflowPunct/>
        <w:topLinePunct w:val="0"/>
        <w:bidi w:val="0"/>
        <w:snapToGrid/>
        <w:spacing w:line="320" w:lineRule="exact"/>
        <w:ind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eastAsia="zh-CN"/>
        </w:rPr>
        <w:t>售价（元）：</w:t>
      </w:r>
      <w:r>
        <w:rPr>
          <w:rFonts w:hint="eastAsia" w:ascii="微软雅黑" w:hAnsi="微软雅黑" w:eastAsia="微软雅黑" w:cs="微软雅黑"/>
          <w:color w:val="auto"/>
          <w:sz w:val="24"/>
          <w:szCs w:val="24"/>
          <w:highlight w:val="none"/>
          <w:lang w:val="en-US" w:eastAsia="zh-CN"/>
        </w:rPr>
        <w:t>0元</w:t>
      </w:r>
    </w:p>
    <w:p>
      <w:pPr>
        <w:keepNext w:val="0"/>
        <w:keepLines w:val="0"/>
        <w:pageBreakBefore w:val="0"/>
        <w:widowControl w:val="0"/>
        <w:kinsoku/>
        <w:wordWrap/>
        <w:overflowPunct/>
        <w:topLinePunct w:val="0"/>
        <w:bidi w:val="0"/>
        <w:snapToGrid/>
        <w:spacing w:line="320" w:lineRule="exact"/>
        <w:jc w:val="both"/>
        <w:textAlignment w:val="auto"/>
        <w:outlineLvl w:val="9"/>
        <w:rPr>
          <w:rFonts w:hint="eastAsia" w:ascii="微软雅黑" w:hAnsi="微软雅黑" w:eastAsia="微软雅黑" w:cs="微软雅黑"/>
          <w:b/>
          <w:bCs w:val="0"/>
          <w:color w:val="auto"/>
          <w:sz w:val="24"/>
          <w:szCs w:val="24"/>
          <w:highlight w:val="none"/>
        </w:rPr>
      </w:pPr>
      <w:bookmarkStart w:id="22" w:name="_Toc28359082"/>
      <w:bookmarkStart w:id="23" w:name="_Toc28359005"/>
      <w:bookmarkStart w:id="24" w:name="_Toc2422"/>
      <w:bookmarkStart w:id="25" w:name="_Toc35393793"/>
      <w:bookmarkStart w:id="26" w:name="_Toc2532"/>
      <w:bookmarkStart w:id="27" w:name="_Toc9047"/>
      <w:bookmarkStart w:id="28" w:name="_Toc35393624"/>
      <w:bookmarkStart w:id="29" w:name="_Toc952"/>
      <w:r>
        <w:rPr>
          <w:rFonts w:hint="eastAsia" w:ascii="微软雅黑" w:hAnsi="微软雅黑" w:eastAsia="微软雅黑" w:cs="微软雅黑"/>
          <w:b/>
          <w:bCs w:val="0"/>
          <w:color w:val="auto"/>
          <w:sz w:val="24"/>
          <w:szCs w:val="24"/>
          <w:highlight w:val="none"/>
        </w:rPr>
        <w:t>四、提交投标文件</w:t>
      </w:r>
      <w:bookmarkEnd w:id="22"/>
      <w:bookmarkEnd w:id="23"/>
      <w:r>
        <w:rPr>
          <w:rFonts w:hint="eastAsia" w:ascii="微软雅黑" w:hAnsi="微软雅黑" w:eastAsia="微软雅黑" w:cs="微软雅黑"/>
          <w:b/>
          <w:bCs w:val="0"/>
          <w:color w:val="auto"/>
          <w:sz w:val="24"/>
          <w:szCs w:val="24"/>
          <w:highlight w:val="none"/>
        </w:rPr>
        <w:t>截止时间、开标时间和地点</w:t>
      </w:r>
      <w:bookmarkEnd w:id="24"/>
      <w:bookmarkEnd w:id="25"/>
      <w:bookmarkEnd w:id="26"/>
      <w:bookmarkEnd w:id="27"/>
      <w:bookmarkEnd w:id="28"/>
      <w:bookmarkEnd w:id="29"/>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bCs/>
          <w:color w:val="auto"/>
          <w:sz w:val="24"/>
          <w:szCs w:val="24"/>
          <w:highlight w:val="none"/>
        </w:rPr>
      </w:pPr>
      <w:r>
        <w:rPr>
          <w:rFonts w:hint="eastAsia" w:ascii="微软雅黑" w:hAnsi="微软雅黑" w:eastAsia="微软雅黑" w:cs="微软雅黑"/>
          <w:color w:val="auto"/>
          <w:sz w:val="24"/>
          <w:szCs w:val="24"/>
          <w:highlight w:val="none"/>
          <w:lang w:eastAsia="zh-CN"/>
        </w:rPr>
        <w:t>提交投标文件截止</w:t>
      </w:r>
      <w:r>
        <w:rPr>
          <w:rFonts w:hint="eastAsia" w:ascii="微软雅黑" w:hAnsi="微软雅黑" w:eastAsia="微软雅黑" w:cs="微软雅黑"/>
          <w:color w:val="auto"/>
          <w:sz w:val="24"/>
          <w:szCs w:val="24"/>
          <w:highlight w:val="none"/>
        </w:rPr>
        <w:t>时间：</w:t>
      </w:r>
      <w:bookmarkStart w:id="30" w:name="_Toc28359084"/>
      <w:bookmarkStart w:id="31" w:name="_Toc28359007"/>
      <w:bookmarkStart w:id="32" w:name="_Toc35393625"/>
      <w:bookmarkStart w:id="33" w:name="_Toc35393794"/>
      <w:r>
        <w:rPr>
          <w:rFonts w:hint="eastAsia" w:ascii="微软雅黑" w:hAnsi="微软雅黑" w:eastAsia="微软雅黑" w:cs="微软雅黑"/>
          <w:color w:val="auto"/>
          <w:sz w:val="24"/>
          <w:szCs w:val="24"/>
          <w:highlight w:val="none"/>
        </w:rPr>
        <w:t>202</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lang w:val="en-US" w:eastAsia="zh-CN"/>
        </w:rPr>
        <w:t>12</w:t>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lang w:val="en-US" w:eastAsia="zh-CN"/>
        </w:rPr>
        <w:t>15</w:t>
      </w:r>
      <w:r>
        <w:rPr>
          <w:rFonts w:hint="eastAsia" w:ascii="微软雅黑" w:hAnsi="微软雅黑" w:eastAsia="微软雅黑" w:cs="微软雅黑"/>
          <w:color w:val="auto"/>
          <w:sz w:val="24"/>
          <w:szCs w:val="24"/>
          <w:highlight w:val="none"/>
        </w:rPr>
        <w:t>日</w:t>
      </w:r>
      <w:r>
        <w:rPr>
          <w:rFonts w:hint="eastAsia" w:ascii="微软雅黑" w:hAnsi="微软雅黑" w:eastAsia="微软雅黑" w:cs="微软雅黑"/>
          <w:color w:val="auto"/>
          <w:sz w:val="24"/>
          <w:szCs w:val="24"/>
          <w:highlight w:val="none"/>
          <w:lang w:val="en-US" w:eastAsia="zh-CN"/>
        </w:rPr>
        <w:t>10</w:t>
      </w:r>
      <w:r>
        <w:rPr>
          <w:rFonts w:hint="eastAsia" w:ascii="微软雅黑" w:hAnsi="微软雅黑" w:eastAsia="微软雅黑" w:cs="微软雅黑"/>
          <w:bCs/>
          <w:color w:val="auto"/>
          <w:sz w:val="24"/>
          <w:szCs w:val="24"/>
          <w:highlight w:val="none"/>
        </w:rPr>
        <w:t>点</w:t>
      </w:r>
      <w:r>
        <w:rPr>
          <w:rFonts w:hint="eastAsia" w:ascii="微软雅黑" w:hAnsi="微软雅黑" w:eastAsia="微软雅黑" w:cs="微软雅黑"/>
          <w:bCs/>
          <w:color w:val="auto"/>
          <w:sz w:val="24"/>
          <w:szCs w:val="24"/>
          <w:highlight w:val="none"/>
          <w:lang w:val="en-US" w:eastAsia="zh-CN"/>
        </w:rPr>
        <w:t>30</w:t>
      </w:r>
      <w:r>
        <w:rPr>
          <w:rFonts w:hint="eastAsia" w:ascii="微软雅黑" w:hAnsi="微软雅黑" w:eastAsia="微软雅黑" w:cs="微软雅黑"/>
          <w:bCs/>
          <w:color w:val="auto"/>
          <w:sz w:val="24"/>
          <w:szCs w:val="24"/>
          <w:highlight w:val="none"/>
        </w:rPr>
        <w:t>分（北京时间）</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eastAsia="zh-CN"/>
        </w:rPr>
        <w:t>投标</w:t>
      </w:r>
      <w:r>
        <w:rPr>
          <w:rFonts w:hint="eastAsia" w:ascii="微软雅黑" w:hAnsi="微软雅黑" w:eastAsia="微软雅黑" w:cs="微软雅黑"/>
          <w:color w:val="auto"/>
          <w:sz w:val="24"/>
          <w:szCs w:val="24"/>
          <w:highlight w:val="none"/>
        </w:rPr>
        <w:t>地点：</w:t>
      </w:r>
      <w:r>
        <w:rPr>
          <w:rFonts w:hint="eastAsia" w:ascii="微软雅黑" w:hAnsi="微软雅黑" w:eastAsia="微软雅黑" w:cs="微软雅黑"/>
          <w:color w:val="auto"/>
          <w:kern w:val="0"/>
          <w:sz w:val="24"/>
          <w:szCs w:val="24"/>
          <w:highlight w:val="none"/>
          <w:lang w:eastAsia="zh-CN"/>
        </w:rPr>
        <w:t>政采云平台（https://login.zcygov.cn/user-login/#/login）</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eastAsia="zh-CN"/>
        </w:rPr>
        <w:t>开标时间：</w:t>
      </w:r>
      <w:r>
        <w:rPr>
          <w:rFonts w:hint="eastAsia" w:ascii="微软雅黑" w:hAnsi="微软雅黑" w:eastAsia="微软雅黑" w:cs="微软雅黑"/>
          <w:color w:val="auto"/>
          <w:sz w:val="24"/>
          <w:szCs w:val="24"/>
          <w:highlight w:val="none"/>
        </w:rPr>
        <w:t>202</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lang w:val="en-US" w:eastAsia="zh-CN"/>
        </w:rPr>
        <w:t>12</w:t>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lang w:val="en-US" w:eastAsia="zh-CN"/>
        </w:rPr>
        <w:t>15</w:t>
      </w:r>
      <w:r>
        <w:rPr>
          <w:rFonts w:hint="eastAsia" w:ascii="微软雅黑" w:hAnsi="微软雅黑" w:eastAsia="微软雅黑" w:cs="微软雅黑"/>
          <w:color w:val="auto"/>
          <w:sz w:val="24"/>
          <w:szCs w:val="24"/>
          <w:highlight w:val="none"/>
        </w:rPr>
        <w:t>日</w:t>
      </w:r>
      <w:r>
        <w:rPr>
          <w:rFonts w:hint="eastAsia" w:ascii="微软雅黑" w:hAnsi="微软雅黑" w:eastAsia="微软雅黑" w:cs="微软雅黑"/>
          <w:color w:val="auto"/>
          <w:sz w:val="24"/>
          <w:szCs w:val="24"/>
          <w:highlight w:val="none"/>
          <w:lang w:val="en-US" w:eastAsia="zh-CN"/>
        </w:rPr>
        <w:t>10</w:t>
      </w:r>
      <w:r>
        <w:rPr>
          <w:rFonts w:hint="eastAsia" w:ascii="微软雅黑" w:hAnsi="微软雅黑" w:eastAsia="微软雅黑" w:cs="微软雅黑"/>
          <w:bCs/>
          <w:color w:val="auto"/>
          <w:sz w:val="24"/>
          <w:szCs w:val="24"/>
          <w:highlight w:val="none"/>
        </w:rPr>
        <w:t>点</w:t>
      </w:r>
      <w:r>
        <w:rPr>
          <w:rFonts w:hint="eastAsia" w:ascii="微软雅黑" w:hAnsi="微软雅黑" w:eastAsia="微软雅黑" w:cs="微软雅黑"/>
          <w:bCs/>
          <w:color w:val="auto"/>
          <w:sz w:val="24"/>
          <w:szCs w:val="24"/>
          <w:highlight w:val="none"/>
          <w:lang w:val="en-US" w:eastAsia="zh-CN"/>
        </w:rPr>
        <w:t>30</w:t>
      </w:r>
      <w:r>
        <w:rPr>
          <w:rFonts w:hint="eastAsia" w:ascii="微软雅黑" w:hAnsi="微软雅黑" w:eastAsia="微软雅黑" w:cs="微软雅黑"/>
          <w:bCs/>
          <w:color w:val="auto"/>
          <w:sz w:val="24"/>
          <w:szCs w:val="24"/>
          <w:highlight w:val="none"/>
        </w:rPr>
        <w:t>分</w:t>
      </w:r>
      <w:r>
        <w:rPr>
          <w:rFonts w:hint="eastAsia" w:ascii="微软雅黑" w:hAnsi="微软雅黑" w:eastAsia="微软雅黑" w:cs="微软雅黑"/>
          <w:color w:val="auto"/>
          <w:sz w:val="24"/>
          <w:szCs w:val="24"/>
          <w:highlight w:val="none"/>
          <w:lang w:eastAsia="zh-CN"/>
        </w:rPr>
        <w:t>（北京时间）</w:t>
      </w:r>
    </w:p>
    <w:p>
      <w:pPr>
        <w:keepNext w:val="0"/>
        <w:keepLines w:val="0"/>
        <w:pageBreakBefore w:val="0"/>
        <w:widowControl w:val="0"/>
        <w:kinsoku/>
        <w:wordWrap/>
        <w:overflowPunct/>
        <w:topLinePunct w:val="0"/>
        <w:bidi w:val="0"/>
        <w:snapToGrid/>
        <w:spacing w:line="320" w:lineRule="exact"/>
        <w:ind w:firstLine="480" w:firstLineChars="200"/>
        <w:jc w:val="both"/>
        <w:textAlignment w:val="auto"/>
        <w:outlineLvl w:val="9"/>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eastAsia="zh-CN"/>
        </w:rPr>
        <w:t>开标地点：</w:t>
      </w:r>
      <w:bookmarkStart w:id="34" w:name="_Toc23672"/>
      <w:bookmarkStart w:id="35" w:name="_Toc20863"/>
      <w:bookmarkStart w:id="36" w:name="_Toc32108"/>
      <w:bookmarkStart w:id="37" w:name="_Toc30400"/>
      <w:r>
        <w:rPr>
          <w:rFonts w:hint="eastAsia" w:ascii="微软雅黑" w:hAnsi="微软雅黑" w:eastAsia="微软雅黑" w:cs="微软雅黑"/>
          <w:color w:val="auto"/>
          <w:kern w:val="0"/>
          <w:sz w:val="24"/>
          <w:szCs w:val="24"/>
          <w:highlight w:val="none"/>
          <w:lang w:eastAsia="zh-CN"/>
        </w:rPr>
        <w:t>政采云平台（https://login.zcygov.cn/user-login/#/login）</w:t>
      </w:r>
    </w:p>
    <w:p>
      <w:pPr>
        <w:keepNext w:val="0"/>
        <w:keepLines w:val="0"/>
        <w:pageBreakBefore w:val="0"/>
        <w:widowControl w:val="0"/>
        <w:kinsoku/>
        <w:wordWrap/>
        <w:overflowPunct/>
        <w:topLinePunct w:val="0"/>
        <w:bidi w:val="0"/>
        <w:snapToGrid/>
        <w:spacing w:line="320" w:lineRule="exact"/>
        <w:jc w:val="both"/>
        <w:textAlignment w:val="auto"/>
        <w:outlineLvl w:val="9"/>
        <w:rPr>
          <w:rFonts w:hint="eastAsia" w:ascii="微软雅黑" w:hAnsi="微软雅黑" w:eastAsia="微软雅黑" w:cs="微软雅黑"/>
          <w:b/>
          <w:bCs w:val="0"/>
          <w:color w:val="auto"/>
          <w:sz w:val="24"/>
          <w:szCs w:val="24"/>
          <w:highlight w:val="none"/>
        </w:rPr>
      </w:pPr>
      <w:r>
        <w:rPr>
          <w:rFonts w:hint="eastAsia" w:ascii="微软雅黑" w:hAnsi="微软雅黑" w:eastAsia="微软雅黑" w:cs="微软雅黑"/>
          <w:b/>
          <w:bCs w:val="0"/>
          <w:color w:val="auto"/>
          <w:sz w:val="24"/>
          <w:szCs w:val="24"/>
          <w:highlight w:val="none"/>
        </w:rPr>
        <w:t>五、公告期限</w:t>
      </w:r>
      <w:bookmarkEnd w:id="30"/>
      <w:bookmarkEnd w:id="31"/>
      <w:bookmarkEnd w:id="32"/>
      <w:bookmarkEnd w:id="33"/>
      <w:bookmarkEnd w:id="34"/>
      <w:bookmarkEnd w:id="35"/>
      <w:bookmarkEnd w:id="36"/>
      <w:bookmarkEnd w:id="37"/>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自本公告发布之日起5个工作日。</w:t>
      </w:r>
    </w:p>
    <w:p>
      <w:pPr>
        <w:keepNext w:val="0"/>
        <w:keepLines w:val="0"/>
        <w:pageBreakBefore w:val="0"/>
        <w:widowControl w:val="0"/>
        <w:kinsoku/>
        <w:wordWrap/>
        <w:overflowPunct/>
        <w:topLinePunct w:val="0"/>
        <w:bidi w:val="0"/>
        <w:snapToGrid/>
        <w:spacing w:line="320" w:lineRule="exact"/>
        <w:jc w:val="both"/>
        <w:textAlignment w:val="auto"/>
        <w:outlineLvl w:val="9"/>
        <w:rPr>
          <w:rFonts w:hint="eastAsia" w:ascii="微软雅黑" w:hAnsi="微软雅黑" w:eastAsia="微软雅黑" w:cs="微软雅黑"/>
          <w:b/>
          <w:bCs w:val="0"/>
          <w:color w:val="auto"/>
          <w:sz w:val="24"/>
          <w:szCs w:val="24"/>
          <w:highlight w:val="none"/>
          <w:lang w:eastAsia="zh-CN"/>
        </w:rPr>
      </w:pPr>
      <w:r>
        <w:rPr>
          <w:rFonts w:hint="eastAsia" w:ascii="微软雅黑" w:hAnsi="微软雅黑" w:eastAsia="微软雅黑" w:cs="微软雅黑"/>
          <w:b/>
          <w:bCs w:val="0"/>
          <w:color w:val="auto"/>
          <w:sz w:val="24"/>
          <w:szCs w:val="24"/>
          <w:highlight w:val="none"/>
          <w:lang w:eastAsia="zh-CN"/>
        </w:rPr>
        <w:t>六、其它补充事宜</w:t>
      </w:r>
    </w:p>
    <w:p>
      <w:pPr>
        <w:pageBreakBefore w:val="0"/>
        <w:widowControl w:val="0"/>
        <w:shd w:val="clear" w:color="auto" w:fill="auto"/>
        <w:kinsoku/>
        <w:wordWrap/>
        <w:overflowPunct/>
        <w:topLinePunct w:val="0"/>
        <w:bidi w:val="0"/>
        <w:snapToGrid/>
        <w:spacing w:line="380" w:lineRule="exact"/>
        <w:ind w:left="0" w:leftChars="0" w:firstLine="540"/>
        <w:textAlignment w:val="auto"/>
        <w:rPr>
          <w:rFonts w:hint="eastAsia" w:ascii="微软雅黑" w:hAnsi="微软雅黑" w:eastAsia="微软雅黑" w:cs="微软雅黑"/>
          <w:color w:val="auto"/>
          <w:sz w:val="24"/>
          <w:highlight w:val="none"/>
          <w:lang w:val="en-US" w:eastAsia="zh-CN"/>
        </w:rPr>
      </w:pPr>
      <w:bookmarkStart w:id="38" w:name="_Toc35393626"/>
      <w:bookmarkStart w:id="39" w:name="_Toc35393795"/>
      <w:bookmarkStart w:id="40" w:name="_Toc647"/>
      <w:bookmarkStart w:id="41" w:name="_Toc999"/>
      <w:bookmarkStart w:id="42" w:name="_Toc18258"/>
      <w:bookmarkStart w:id="43" w:name="_Toc13675"/>
      <w:r>
        <w:rPr>
          <w:rFonts w:hint="eastAsia" w:ascii="微软雅黑" w:hAnsi="微软雅黑" w:eastAsia="微软雅黑" w:cs="微软雅黑"/>
          <w:color w:val="auto"/>
          <w:sz w:val="24"/>
          <w:highlight w:val="none"/>
          <w:lang w:val="en-US"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pPr>
        <w:pageBreakBefore w:val="0"/>
        <w:widowControl w:val="0"/>
        <w:shd w:val="clear" w:color="auto" w:fill="auto"/>
        <w:kinsoku/>
        <w:wordWrap/>
        <w:overflowPunct/>
        <w:topLinePunct w:val="0"/>
        <w:bidi w:val="0"/>
        <w:snapToGrid/>
        <w:spacing w:line="380" w:lineRule="exact"/>
        <w:ind w:left="0" w:leftChars="0" w:firstLine="540"/>
        <w:textAlignment w:val="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2.本项目实行网上投标，采用电子投标文件(供应商须使用CA加密设备通过政采云电子投标客户端制作投标文件)。若供应商参与投标，自行承担投标一切费用。</w:t>
      </w:r>
    </w:p>
    <w:p>
      <w:pPr>
        <w:pageBreakBefore w:val="0"/>
        <w:widowControl w:val="0"/>
        <w:shd w:val="clear" w:color="auto" w:fill="auto"/>
        <w:kinsoku/>
        <w:wordWrap/>
        <w:overflowPunct/>
        <w:topLinePunct w:val="0"/>
        <w:bidi w:val="0"/>
        <w:snapToGrid/>
        <w:spacing w:line="380" w:lineRule="exact"/>
        <w:ind w:left="0" w:leftChars="0" w:firstLine="540"/>
        <w:textAlignment w:val="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3.各供应商应在开标前应确保成为新疆政府采购网正式注册入库供应商，并完成CA数字证书申领。因未注册入库、未办理CA数字证书等原因造成无法投标或投标失败等后果由供应商自行承担。</w:t>
      </w:r>
    </w:p>
    <w:p>
      <w:pPr>
        <w:pageBreakBefore w:val="0"/>
        <w:widowControl w:val="0"/>
        <w:shd w:val="clear" w:color="auto" w:fill="auto"/>
        <w:kinsoku/>
        <w:wordWrap/>
        <w:overflowPunct/>
        <w:topLinePunct w:val="0"/>
        <w:bidi w:val="0"/>
        <w:snapToGrid/>
        <w:spacing w:line="380" w:lineRule="exact"/>
        <w:ind w:left="0" w:leftChars="0" w:firstLine="540"/>
        <w:textAlignment w:val="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pageBreakBefore w:val="0"/>
        <w:widowControl w:val="0"/>
        <w:shd w:val="clear" w:color="auto" w:fill="auto"/>
        <w:kinsoku/>
        <w:wordWrap/>
        <w:overflowPunct/>
        <w:topLinePunct w:val="0"/>
        <w:bidi w:val="0"/>
        <w:snapToGrid/>
        <w:spacing w:line="380" w:lineRule="exact"/>
        <w:ind w:left="0" w:leftChars="0" w:firstLine="540"/>
        <w:textAlignment w:val="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5.供应商在开标时须使用制作加密电子投标文件所使用的CA锁及电脑，电脑须提前配置好浏览器（建议使用谷歌浏览器），以便开标时解锁。</w:t>
      </w:r>
    </w:p>
    <w:p>
      <w:pPr>
        <w:pageBreakBefore w:val="0"/>
        <w:widowControl w:val="0"/>
        <w:shd w:val="clear" w:color="auto" w:fill="auto"/>
        <w:kinsoku/>
        <w:wordWrap/>
        <w:overflowPunct/>
        <w:topLinePunct w:val="0"/>
        <w:bidi w:val="0"/>
        <w:snapToGrid/>
        <w:spacing w:line="380" w:lineRule="exact"/>
        <w:ind w:left="0" w:leftChars="0" w:firstLine="540"/>
        <w:textAlignment w:val="auto"/>
        <w:rPr>
          <w:rFonts w:hint="eastAsia" w:ascii="微软雅黑" w:hAnsi="微软雅黑" w:eastAsia="微软雅黑" w:cs="微软雅黑"/>
          <w:color w:val="auto"/>
          <w:sz w:val="24"/>
          <w:highlight w:val="none"/>
          <w:lang w:val="en-US" w:eastAsia="zh-CN"/>
        </w:rPr>
      </w:pPr>
      <w:r>
        <w:rPr>
          <w:rFonts w:hint="eastAsia" w:ascii="微软雅黑" w:hAnsi="微软雅黑" w:eastAsia="微软雅黑" w:cs="微软雅黑"/>
          <w:color w:val="auto"/>
          <w:sz w:val="24"/>
          <w:highlight w:val="none"/>
          <w:lang w:val="en-US" w:eastAsia="zh-CN"/>
        </w:rPr>
        <w:t>6.投标保证金缴纳及确认时间：凡拟参加本次招标项目的供应商，必须在开标前将投标保证金汇入指定账户。投标保证金汇款凭证上用途栏应注明:招标项目名称+标项号+投标保证金。否则，届时其投标将被拒绝。</w:t>
      </w:r>
    </w:p>
    <w:p>
      <w:pPr>
        <w:pageBreakBefore w:val="0"/>
        <w:widowControl w:val="0"/>
        <w:shd w:val="clear" w:color="auto" w:fill="auto"/>
        <w:kinsoku/>
        <w:wordWrap/>
        <w:overflowPunct/>
        <w:topLinePunct w:val="0"/>
        <w:bidi w:val="0"/>
        <w:snapToGrid/>
        <w:spacing w:line="380" w:lineRule="exact"/>
        <w:ind w:left="0" w:leftChars="0" w:firstLine="540"/>
        <w:textAlignment w:val="auto"/>
        <w:rPr>
          <w:rFonts w:hint="eastAsia" w:ascii="微软雅黑" w:hAnsi="微软雅黑" w:eastAsia="微软雅黑" w:cs="微软雅黑"/>
          <w:color w:val="auto"/>
          <w:highlight w:val="none"/>
          <w:lang w:eastAsia="zh-CN"/>
        </w:rPr>
      </w:pPr>
      <w:r>
        <w:rPr>
          <w:rFonts w:hint="eastAsia" w:ascii="微软雅黑" w:hAnsi="微软雅黑" w:eastAsia="微软雅黑" w:cs="微软雅黑"/>
          <w:color w:val="auto"/>
          <w:sz w:val="24"/>
          <w:highlight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pPr>
        <w:keepNext w:val="0"/>
        <w:keepLines w:val="0"/>
        <w:pageBreakBefore w:val="0"/>
        <w:widowControl w:val="0"/>
        <w:kinsoku/>
        <w:wordWrap/>
        <w:overflowPunct/>
        <w:topLinePunct w:val="0"/>
        <w:bidi w:val="0"/>
        <w:snapToGrid/>
        <w:spacing w:line="320" w:lineRule="exact"/>
        <w:jc w:val="left"/>
        <w:textAlignment w:val="auto"/>
        <w:outlineLvl w:val="9"/>
        <w:rPr>
          <w:rFonts w:hint="eastAsia" w:ascii="微软雅黑" w:hAnsi="微软雅黑" w:eastAsia="微软雅黑" w:cs="微软雅黑"/>
          <w:b/>
          <w:bCs w:val="0"/>
          <w:color w:val="auto"/>
          <w:sz w:val="24"/>
          <w:szCs w:val="24"/>
          <w:highlight w:val="none"/>
        </w:rPr>
      </w:pPr>
      <w:r>
        <w:rPr>
          <w:rFonts w:hint="eastAsia" w:ascii="微软雅黑" w:hAnsi="微软雅黑" w:eastAsia="微软雅黑" w:cs="微软雅黑"/>
          <w:b/>
          <w:bCs w:val="0"/>
          <w:color w:val="auto"/>
          <w:sz w:val="24"/>
          <w:szCs w:val="24"/>
          <w:highlight w:val="none"/>
          <w:lang w:val="en-US" w:eastAsia="zh-CN"/>
        </w:rPr>
        <w:t>七</w:t>
      </w:r>
      <w:r>
        <w:rPr>
          <w:rFonts w:hint="eastAsia" w:ascii="微软雅黑" w:hAnsi="微软雅黑" w:eastAsia="微软雅黑" w:cs="微软雅黑"/>
          <w:b/>
          <w:bCs w:val="0"/>
          <w:color w:val="auto"/>
          <w:sz w:val="24"/>
          <w:szCs w:val="24"/>
          <w:highlight w:val="none"/>
        </w:rPr>
        <w:t>、</w:t>
      </w:r>
      <w:bookmarkEnd w:id="38"/>
      <w:bookmarkEnd w:id="39"/>
      <w:bookmarkStart w:id="44" w:name="_Toc35393796"/>
      <w:bookmarkStart w:id="45" w:name="_Toc28359085"/>
      <w:bookmarkStart w:id="46" w:name="_Toc35393627"/>
      <w:bookmarkStart w:id="47" w:name="_Toc28359008"/>
      <w:r>
        <w:rPr>
          <w:rFonts w:hint="eastAsia" w:ascii="微软雅黑" w:hAnsi="微软雅黑" w:eastAsia="微软雅黑" w:cs="微软雅黑"/>
          <w:b/>
          <w:bCs w:val="0"/>
          <w:color w:val="auto"/>
          <w:sz w:val="24"/>
          <w:szCs w:val="24"/>
          <w:highlight w:val="none"/>
        </w:rPr>
        <w:t>对本次招标提出询问，请按以下方式联系。</w:t>
      </w:r>
      <w:bookmarkEnd w:id="40"/>
      <w:bookmarkEnd w:id="41"/>
      <w:bookmarkEnd w:id="42"/>
      <w:bookmarkEnd w:id="43"/>
      <w:bookmarkEnd w:id="44"/>
      <w:bookmarkEnd w:id="45"/>
      <w:bookmarkEnd w:id="46"/>
      <w:bookmarkEnd w:id="47"/>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bookmarkStart w:id="48" w:name="_Toc28359010"/>
      <w:bookmarkStart w:id="49" w:name="_Toc28359087"/>
      <w:r>
        <w:rPr>
          <w:rFonts w:hint="eastAsia" w:ascii="微软雅黑" w:hAnsi="微软雅黑" w:eastAsia="微软雅黑" w:cs="微软雅黑"/>
          <w:color w:val="auto"/>
          <w:kern w:val="0"/>
          <w:sz w:val="24"/>
          <w:szCs w:val="24"/>
          <w:highlight w:val="none"/>
        </w:rPr>
        <w:t>1.采购人信息</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名    称：喀什地区第一人民医院　　</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地    址：喀什地区喀什市迎宾大道120号　　　　　　　　　　</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联 系 人：丁芸　　　　　　　　　　　</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联系方式：0998-2962911</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2.采购代理机构信息</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名    称：新疆共建恒业信息咨询有限责任公司</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地　　址：喀什经济开发区深喀大道陕西大厦12楼1208室</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联 系 人：</w:t>
      </w:r>
      <w:r>
        <w:rPr>
          <w:rFonts w:hint="eastAsia" w:ascii="微软雅黑" w:hAnsi="微软雅黑" w:eastAsia="微软雅黑" w:cs="微软雅黑"/>
          <w:color w:val="auto"/>
          <w:kern w:val="0"/>
          <w:sz w:val="24"/>
          <w:szCs w:val="24"/>
          <w:highlight w:val="none"/>
          <w:lang w:eastAsia="zh-CN"/>
        </w:rPr>
        <w:t>朱萍</w:t>
      </w:r>
      <w:r>
        <w:rPr>
          <w:rFonts w:hint="eastAsia" w:ascii="微软雅黑" w:hAnsi="微软雅黑" w:eastAsia="微软雅黑" w:cs="微软雅黑"/>
          <w:color w:val="auto"/>
          <w:kern w:val="0"/>
          <w:sz w:val="24"/>
          <w:szCs w:val="24"/>
          <w:highlight w:val="none"/>
        </w:rPr>
        <w:t xml:space="preserve">      </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xml:space="preserve">联系方式：18209987338  </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3.同级政府采购监督管理部门</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xml:space="preserve">名    称：喀什地区财政局政府采购管理办公室            </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xml:space="preserve">地    址：喀什地区财政局 </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监督投诉电话：0998-2597200  　　　　　　　　　　　　　　</w:t>
      </w:r>
    </w:p>
    <w:bookmarkEnd w:id="48"/>
    <w:bookmarkEnd w:id="49"/>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w:t>
      </w:r>
    </w:p>
    <w:p>
      <w:pPr>
        <w:pStyle w:val="4"/>
        <w:keepNext w:val="0"/>
        <w:keepLines w:val="0"/>
        <w:pageBreakBefore w:val="0"/>
        <w:widowControl w:val="0"/>
        <w:kinsoku/>
        <w:wordWrap/>
        <w:overflowPunct/>
        <w:topLinePunct w:val="0"/>
        <w:bidi w:val="0"/>
        <w:snapToGrid/>
        <w:spacing w:line="320" w:lineRule="exact"/>
        <w:textAlignment w:val="auto"/>
        <w:rPr>
          <w:rFonts w:hint="eastAsia" w:ascii="微软雅黑" w:hAnsi="微软雅黑" w:eastAsia="微软雅黑" w:cs="微软雅黑"/>
          <w:sz w:val="24"/>
          <w:szCs w:val="24"/>
          <w:highlight w:val="none"/>
        </w:rPr>
      </w:pPr>
    </w:p>
    <w:p>
      <w:pPr>
        <w:keepNext w:val="0"/>
        <w:keepLines w:val="0"/>
        <w:pageBreakBefore w:val="0"/>
        <w:widowControl w:val="0"/>
        <w:kinsoku/>
        <w:wordWrap/>
        <w:overflowPunct/>
        <w:topLinePunct w:val="0"/>
        <w:bidi w:val="0"/>
        <w:snapToGrid/>
        <w:spacing w:line="320" w:lineRule="exact"/>
        <w:ind w:firstLine="3840" w:firstLineChars="16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新疆共建恒业信息咨询有限责任公司</w:t>
      </w:r>
    </w:p>
    <w:p>
      <w:pPr>
        <w:keepNext w:val="0"/>
        <w:keepLines w:val="0"/>
        <w:pageBreakBefore w:val="0"/>
        <w:widowControl w:val="0"/>
        <w:kinsoku/>
        <w:wordWrap/>
        <w:overflowPunct/>
        <w:topLinePunct w:val="0"/>
        <w:bidi w:val="0"/>
        <w:snapToGrid/>
        <w:spacing w:line="320" w:lineRule="exact"/>
        <w:ind w:firstLine="480" w:firstLineChars="200"/>
        <w:textAlignment w:val="auto"/>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 xml:space="preserve">                              </w:t>
      </w:r>
      <w:r>
        <w:rPr>
          <w:rFonts w:hint="eastAsia" w:ascii="微软雅黑" w:hAnsi="微软雅黑" w:eastAsia="微软雅黑" w:cs="微软雅黑"/>
          <w:color w:val="auto"/>
          <w:kern w:val="0"/>
          <w:sz w:val="24"/>
          <w:szCs w:val="24"/>
          <w:highlight w:val="none"/>
          <w:lang w:val="en-US" w:eastAsia="zh-CN"/>
        </w:rPr>
        <w:t xml:space="preserve">    </w:t>
      </w:r>
      <w:r>
        <w:rPr>
          <w:rFonts w:hint="eastAsia" w:ascii="微软雅黑" w:hAnsi="微软雅黑" w:eastAsia="微软雅黑" w:cs="微软雅黑"/>
          <w:color w:val="auto"/>
          <w:kern w:val="0"/>
          <w:sz w:val="24"/>
          <w:szCs w:val="24"/>
          <w:highlight w:val="none"/>
        </w:rPr>
        <w:t xml:space="preserve"> </w:t>
      </w:r>
      <w:r>
        <w:rPr>
          <w:rFonts w:hint="eastAsia" w:ascii="微软雅黑" w:hAnsi="微软雅黑" w:eastAsia="微软雅黑" w:cs="微软雅黑"/>
          <w:color w:val="auto"/>
          <w:kern w:val="0"/>
          <w:sz w:val="24"/>
          <w:szCs w:val="24"/>
          <w:highlight w:val="none"/>
          <w:lang w:val="en-US" w:eastAsia="zh-CN"/>
        </w:rPr>
        <w:t xml:space="preserve">    </w:t>
      </w:r>
      <w:r>
        <w:rPr>
          <w:rFonts w:hint="eastAsia" w:ascii="微软雅黑" w:hAnsi="微软雅黑" w:eastAsia="微软雅黑" w:cs="微软雅黑"/>
          <w:color w:val="auto"/>
          <w:sz w:val="24"/>
          <w:szCs w:val="24"/>
          <w:highlight w:val="none"/>
        </w:rPr>
        <w:t>202</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lang w:val="en-US" w:eastAsia="zh-CN"/>
        </w:rPr>
        <w:t>11</w:t>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lang w:val="en-US" w:eastAsia="zh-CN"/>
        </w:rPr>
        <w:t>24</w:t>
      </w:r>
      <w:r>
        <w:rPr>
          <w:rFonts w:hint="eastAsia" w:ascii="微软雅黑" w:hAnsi="微软雅黑" w:eastAsia="微软雅黑" w:cs="微软雅黑"/>
          <w:color w:val="auto"/>
          <w:sz w:val="24"/>
          <w:szCs w:val="24"/>
          <w:highlight w:val="none"/>
        </w:rPr>
        <w:t>日</w:t>
      </w:r>
    </w:p>
    <w:p>
      <w:pPr>
        <w:rPr>
          <w:rFonts w:hint="eastAsia"/>
        </w:rPr>
      </w:pPr>
    </w:p>
    <w:bookmarkEnd w:id="50"/>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IzM2Q5NWZjZDNhOWMzYzVlODM5NTVhMWNlYzJjM2QifQ=="/>
  </w:docVars>
  <w:rsids>
    <w:rsidRoot w:val="00000000"/>
    <w:rsid w:val="04BE5748"/>
    <w:rsid w:val="067740B5"/>
    <w:rsid w:val="166D4D3C"/>
    <w:rsid w:val="2137558F"/>
    <w:rsid w:val="23F0147F"/>
    <w:rsid w:val="23FC68E2"/>
    <w:rsid w:val="2792712C"/>
    <w:rsid w:val="285C14C0"/>
    <w:rsid w:val="2A020632"/>
    <w:rsid w:val="2A2B6011"/>
    <w:rsid w:val="2D4F23A4"/>
    <w:rsid w:val="2DD67B47"/>
    <w:rsid w:val="349B6A61"/>
    <w:rsid w:val="36A15DFD"/>
    <w:rsid w:val="37E75CFA"/>
    <w:rsid w:val="39B57A28"/>
    <w:rsid w:val="3AB755EF"/>
    <w:rsid w:val="3B164044"/>
    <w:rsid w:val="3CD93138"/>
    <w:rsid w:val="3DA519B5"/>
    <w:rsid w:val="3E2C0284"/>
    <w:rsid w:val="45892EA9"/>
    <w:rsid w:val="45CB550C"/>
    <w:rsid w:val="48196FBB"/>
    <w:rsid w:val="4BEE4519"/>
    <w:rsid w:val="4CFC3D4A"/>
    <w:rsid w:val="52CD398C"/>
    <w:rsid w:val="57572926"/>
    <w:rsid w:val="57B81320"/>
    <w:rsid w:val="583E7FB1"/>
    <w:rsid w:val="5B194E94"/>
    <w:rsid w:val="60067FDB"/>
    <w:rsid w:val="62C546BC"/>
    <w:rsid w:val="636B1FDC"/>
    <w:rsid w:val="6C472EBA"/>
    <w:rsid w:val="6CA428CA"/>
    <w:rsid w:val="74785181"/>
    <w:rsid w:val="74EA5B99"/>
    <w:rsid w:val="75B91A02"/>
    <w:rsid w:val="771F17A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6">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7">
    <w:name w:val="heading 3"/>
    <w:basedOn w:val="1"/>
    <w:next w:val="4"/>
    <w:qFormat/>
    <w:uiPriority w:val="0"/>
    <w:pPr>
      <w:spacing w:before="360" w:after="120"/>
      <w:jc w:val="left"/>
      <w:outlineLvl w:val="2"/>
    </w:pPr>
    <w:rPr>
      <w:rFonts w:ascii="宋体" w:hAnsi="Times New Roman" w:eastAsia="宋体"/>
      <w:sz w:val="24"/>
      <w:u w:val="single"/>
    </w:rPr>
  </w:style>
  <w:style w:type="character" w:default="1" w:styleId="11">
    <w:name w:val="Default Paragraph Font"/>
    <w:qFormat/>
    <w:uiPriority w:val="0"/>
  </w:style>
  <w:style w:type="table" w:default="1" w:styleId="10">
    <w:name w:val="Normal Table"/>
    <w:qFormat/>
    <w:uiPriority w:val="0"/>
    <w:tblPr>
      <w:tblCellMar>
        <w:top w:w="0" w:type="dxa"/>
        <w:left w:w="108" w:type="dxa"/>
        <w:bottom w:w="0" w:type="dxa"/>
        <w:right w:w="108" w:type="dxa"/>
      </w:tblCellMar>
    </w:tblPr>
  </w:style>
  <w:style w:type="paragraph" w:styleId="2">
    <w:name w:val="Body Text First Indent 2"/>
    <w:basedOn w:val="3"/>
    <w:next w:val="4"/>
    <w:qFormat/>
    <w:uiPriority w:val="0"/>
    <w:pPr>
      <w:ind w:firstLine="420" w:firstLineChars="200"/>
    </w:pPr>
    <w:rPr>
      <w:rFonts w:ascii="Times New Roman" w:hAnsi="Times New Roman" w:eastAsia="宋体" w:cs="Times New Roman"/>
      <w:szCs w:val="24"/>
    </w:rPr>
  </w:style>
  <w:style w:type="paragraph" w:styleId="3">
    <w:name w:val="Body Text Indent"/>
    <w:basedOn w:val="1"/>
    <w:next w:val="2"/>
    <w:qFormat/>
    <w:uiPriority w:val="0"/>
    <w:pPr>
      <w:spacing w:line="360" w:lineRule="auto"/>
      <w:ind w:firstLine="570"/>
    </w:pPr>
    <w:rPr>
      <w:rFonts w:ascii="Times New Roman" w:hAnsi="Times New Roman" w:eastAsia="宋体" w:cs="Times New Roman"/>
      <w:sz w:val="24"/>
    </w:rPr>
  </w:style>
  <w:style w:type="paragraph" w:styleId="4">
    <w:name w:val="Normal Indent"/>
    <w:basedOn w:val="1"/>
    <w:next w:val="5"/>
    <w:qFormat/>
    <w:uiPriority w:val="0"/>
    <w:pPr>
      <w:autoSpaceDE w:val="0"/>
      <w:autoSpaceDN w:val="0"/>
      <w:adjustRightInd w:val="0"/>
      <w:ind w:firstLine="420"/>
      <w:jc w:val="left"/>
    </w:pPr>
    <w:rPr>
      <w:rFonts w:ascii="宋体" w:hAnsi="Times New Roman" w:eastAsia="宋体" w:cs="Times New Roman"/>
      <w:kern w:val="0"/>
      <w:sz w:val="24"/>
      <w:szCs w:val="20"/>
    </w:rPr>
  </w:style>
  <w:style w:type="paragraph" w:styleId="5">
    <w:name w:val="toa heading"/>
    <w:basedOn w:val="1"/>
    <w:next w:val="1"/>
    <w:qFormat/>
    <w:uiPriority w:val="0"/>
    <w:pPr>
      <w:spacing w:before="120"/>
    </w:pPr>
    <w:rPr>
      <w:rFonts w:ascii="Cambria" w:hAnsi="Cambria"/>
      <w:sz w:val="24"/>
    </w:rPr>
  </w:style>
  <w:style w:type="paragraph" w:styleId="8">
    <w:name w:val="Body Text"/>
    <w:basedOn w:val="1"/>
    <w:next w:val="1"/>
    <w:qFormat/>
    <w:uiPriority w:val="0"/>
    <w:pPr>
      <w:tabs>
        <w:tab w:val="left" w:pos="567"/>
      </w:tabs>
      <w:spacing w:before="120" w:line="22" w:lineRule="atLeast"/>
    </w:pPr>
    <w:rPr>
      <w:rFonts w:ascii="宋体" w:hAnsi="宋体"/>
      <w:sz w:val="24"/>
    </w:rPr>
  </w:style>
  <w:style w:type="paragraph" w:styleId="9">
    <w:name w:val="footnote text"/>
    <w:basedOn w:val="1"/>
    <w:qFormat/>
    <w:uiPriority w:val="0"/>
    <w:pPr>
      <w:snapToGrid w:val="0"/>
      <w:jc w:val="left"/>
    </w:pPr>
    <w:rPr>
      <w:sz w:val="18"/>
    </w:rPr>
  </w:style>
  <w:style w:type="character" w:styleId="12">
    <w:name w:val="Hyperlink"/>
    <w:basedOn w:val="11"/>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2853</Words>
  <Characters>3407</Characters>
  <Paragraphs>54</Paragraphs>
  <TotalTime>1</TotalTime>
  <ScaleCrop>false</ScaleCrop>
  <LinksUpToDate>false</LinksUpToDate>
  <CharactersWithSpaces>3542</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2021-01-29T02:19:00Z</dcterms:created>
  <dc:creator>Administrator</dc:creator>
  <cp:lastModifiedBy>回回去去789@</cp:lastModifiedBy>
  <cp:lastPrinted>2021-07-05T02:16:00Z</cp:lastPrinted>
  <dcterms:modified xsi:type="dcterms:W3CDTF">2022-11-24T02:41:48Z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C8A2AF13C7384C138344584D2A96911B</vt:lpwstr>
  </property>
</Properties>
</file>