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44D34">
      <w:pPr>
        <w:spacing w:line="760" w:lineRule="exact"/>
        <w:jc w:val="both"/>
        <w:rPr>
          <w:rFonts w:hint="eastAsia" w:ascii="仿宋" w:hAnsi="仿宋" w:eastAsia="仿宋" w:cs="仿宋"/>
          <w:b/>
          <w:bCs/>
          <w:color w:val="auto"/>
          <w:sz w:val="48"/>
          <w:szCs w:val="48"/>
          <w:highlight w:val="none"/>
          <w:lang w:eastAsia="zh-CN"/>
        </w:rPr>
      </w:pPr>
    </w:p>
    <w:p w14:paraId="01C43275">
      <w:pPr>
        <w:spacing w:line="760" w:lineRule="exact"/>
        <w:jc w:val="center"/>
        <w:rPr>
          <w:rFonts w:hint="default"/>
          <w:color w:val="auto"/>
          <w:highlight w:val="none"/>
          <w:lang w:val="en-US"/>
        </w:rPr>
      </w:pPr>
      <w:r>
        <w:rPr>
          <w:rFonts w:hint="eastAsia" w:ascii="仿宋" w:hAnsi="仿宋" w:eastAsia="仿宋" w:cs="仿宋"/>
          <w:b/>
          <w:bCs/>
          <w:color w:val="auto"/>
          <w:sz w:val="48"/>
          <w:szCs w:val="48"/>
          <w:highlight w:val="none"/>
          <w:lang w:eastAsia="zh-CN"/>
        </w:rPr>
        <w:t>阿图什市国资国企数字化运营监管平台项目</w:t>
      </w:r>
      <w:r>
        <w:rPr>
          <w:rFonts w:hint="eastAsia" w:ascii="仿宋" w:hAnsi="仿宋" w:eastAsia="仿宋" w:cs="仿宋"/>
          <w:b/>
          <w:bCs/>
          <w:color w:val="auto"/>
          <w:sz w:val="40"/>
          <w:szCs w:val="40"/>
          <w:highlight w:val="none"/>
          <w:lang w:eastAsia="zh-CN"/>
        </w:rPr>
        <w:t>项目编号：ATSCG-2025045</w:t>
      </w:r>
    </w:p>
    <w:p w14:paraId="6EAD1D92">
      <w:pPr>
        <w:pStyle w:val="32"/>
        <w:rPr>
          <w:rFonts w:ascii="仿宋" w:hAnsi="仿宋" w:eastAsia="仿宋" w:cs="仿宋"/>
          <w:color w:val="auto"/>
          <w:highlight w:val="none"/>
        </w:rPr>
      </w:pPr>
    </w:p>
    <w:p w14:paraId="7FFC108C">
      <w:pPr>
        <w:pStyle w:val="32"/>
        <w:rPr>
          <w:rFonts w:ascii="仿宋" w:hAnsi="仿宋" w:eastAsia="仿宋" w:cs="仿宋"/>
          <w:color w:val="auto"/>
          <w:highlight w:val="none"/>
        </w:rPr>
      </w:pPr>
    </w:p>
    <w:p w14:paraId="0AE6F09B">
      <w:pPr>
        <w:pStyle w:val="32"/>
        <w:rPr>
          <w:rFonts w:ascii="仿宋" w:hAnsi="仿宋" w:eastAsia="仿宋" w:cs="仿宋"/>
          <w:color w:val="auto"/>
          <w:highlight w:val="none"/>
        </w:rPr>
      </w:pPr>
    </w:p>
    <w:p w14:paraId="47FCF5A7">
      <w:pPr>
        <w:pStyle w:val="32"/>
        <w:rPr>
          <w:rFonts w:ascii="仿宋" w:hAnsi="仿宋" w:eastAsia="仿宋" w:cs="仿宋"/>
          <w:color w:val="auto"/>
          <w:highlight w:val="none"/>
        </w:rPr>
      </w:pPr>
    </w:p>
    <w:p w14:paraId="1A557F6C">
      <w:pPr>
        <w:pStyle w:val="32"/>
        <w:tabs>
          <w:tab w:val="center" w:pos="4833"/>
          <w:tab w:val="left" w:pos="7579"/>
        </w:tabs>
        <w:jc w:val="left"/>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tab/>
      </w:r>
      <w:r>
        <w:rPr>
          <w:rFonts w:hint="eastAsia" w:ascii="仿宋" w:hAnsi="仿宋" w:eastAsia="仿宋" w:cs="仿宋"/>
          <w:b/>
          <w:color w:val="auto"/>
          <w:sz w:val="96"/>
          <w:szCs w:val="96"/>
          <w:highlight w:val="none"/>
        </w:rPr>
        <w:t>招</w:t>
      </w:r>
      <w:r>
        <w:rPr>
          <w:rFonts w:hint="eastAsia" w:ascii="仿宋" w:hAnsi="仿宋" w:eastAsia="仿宋" w:cs="仿宋"/>
          <w:b/>
          <w:color w:val="auto"/>
          <w:sz w:val="96"/>
          <w:szCs w:val="96"/>
          <w:highlight w:val="none"/>
          <w:lang w:eastAsia="zh-CN"/>
        </w:rPr>
        <w:tab/>
      </w:r>
    </w:p>
    <w:p w14:paraId="57070D4C">
      <w:pPr>
        <w:pStyle w:val="32"/>
        <w:jc w:val="center"/>
        <w:rPr>
          <w:rFonts w:ascii="仿宋" w:hAnsi="仿宋" w:eastAsia="仿宋" w:cs="仿宋"/>
          <w:b/>
          <w:bCs/>
          <w:color w:val="auto"/>
          <w:sz w:val="96"/>
          <w:szCs w:val="96"/>
          <w:highlight w:val="none"/>
        </w:rPr>
      </w:pPr>
      <w:r>
        <w:rPr>
          <w:rFonts w:hint="eastAsia" w:ascii="仿宋" w:hAnsi="仿宋" w:eastAsia="仿宋" w:cs="仿宋"/>
          <w:b/>
          <w:color w:val="auto"/>
          <w:sz w:val="96"/>
          <w:szCs w:val="96"/>
          <w:highlight w:val="none"/>
        </w:rPr>
        <w:t>标</w:t>
      </w:r>
    </w:p>
    <w:p w14:paraId="73279768">
      <w:pPr>
        <w:pStyle w:val="32"/>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46D3739E">
      <w:pPr>
        <w:pStyle w:val="32"/>
        <w:jc w:val="center"/>
        <w:rPr>
          <w:rFonts w:ascii="仿宋" w:hAnsi="仿宋" w:eastAsia="仿宋" w:cs="仿宋"/>
          <w:color w:val="auto"/>
          <w:sz w:val="84"/>
          <w:szCs w:val="84"/>
          <w:highlight w:val="none"/>
        </w:rPr>
      </w:pPr>
      <w:r>
        <w:rPr>
          <w:rFonts w:hint="eastAsia" w:ascii="仿宋" w:hAnsi="仿宋" w:eastAsia="仿宋" w:cs="仿宋"/>
          <w:b/>
          <w:bCs/>
          <w:color w:val="auto"/>
          <w:sz w:val="96"/>
          <w:szCs w:val="96"/>
          <w:highlight w:val="none"/>
        </w:rPr>
        <w:t>件</w:t>
      </w:r>
    </w:p>
    <w:p w14:paraId="62025C6C">
      <w:pPr>
        <w:pStyle w:val="32"/>
        <w:rPr>
          <w:rFonts w:ascii="仿宋" w:hAnsi="仿宋" w:eastAsia="仿宋" w:cs="仿宋"/>
          <w:color w:val="auto"/>
          <w:highlight w:val="none"/>
        </w:rPr>
      </w:pPr>
    </w:p>
    <w:p w14:paraId="436307E9">
      <w:pPr>
        <w:spacing w:line="700" w:lineRule="exact"/>
        <w:rPr>
          <w:rFonts w:hint="eastAsia" w:ascii="仿宋" w:hAnsi="仿宋" w:eastAsia="仿宋" w:cs="仿宋"/>
          <w:color w:val="auto"/>
          <w:sz w:val="32"/>
          <w:szCs w:val="32"/>
          <w:highlight w:val="none"/>
          <w:lang w:eastAsia="zh-CN"/>
        </w:rPr>
      </w:pPr>
    </w:p>
    <w:p w14:paraId="117C743F">
      <w:pPr>
        <w:spacing w:line="700" w:lineRule="exact"/>
        <w:rPr>
          <w:rFonts w:hint="eastAsia" w:ascii="仿宋" w:hAnsi="仿宋" w:eastAsia="仿宋" w:cs="仿宋"/>
          <w:color w:val="auto"/>
          <w:sz w:val="32"/>
          <w:szCs w:val="32"/>
          <w:highlight w:val="none"/>
          <w:lang w:eastAsia="zh-CN"/>
        </w:rPr>
      </w:pPr>
    </w:p>
    <w:p w14:paraId="7D400030">
      <w:pPr>
        <w:spacing w:line="700" w:lineRule="exact"/>
        <w:ind w:firstLine="960" w:firstLineChars="3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采购单位：阿图什市人民政府国有资产监督管理委员会</w:t>
      </w:r>
    </w:p>
    <w:p w14:paraId="1AE3071F">
      <w:pPr>
        <w:spacing w:line="700" w:lineRule="exact"/>
        <w:ind w:firstLine="960" w:firstLineChars="3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 系 人: 季先生</w:t>
      </w:r>
      <w:r>
        <w:rPr>
          <w:rFonts w:hint="eastAsia" w:ascii="仿宋" w:hAnsi="仿宋" w:eastAsia="仿宋" w:cs="仿宋"/>
          <w:color w:val="auto"/>
          <w:sz w:val="32"/>
          <w:szCs w:val="32"/>
          <w:highlight w:val="none"/>
          <w:lang w:val="en-US" w:eastAsia="zh-CN"/>
        </w:rPr>
        <w:t xml:space="preserve">   19990980555</w:t>
      </w:r>
    </w:p>
    <w:p w14:paraId="5C61337C">
      <w:pPr>
        <w:spacing w:line="700" w:lineRule="exact"/>
        <w:ind w:firstLine="960" w:firstLineChars="3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代理机构：新疆飞耀项目管理有限公司</w:t>
      </w:r>
    </w:p>
    <w:p w14:paraId="66C80FE3">
      <w:pPr>
        <w:ind w:firstLine="960" w:firstLineChars="300"/>
        <w:jc w:val="both"/>
        <w:rPr>
          <w:rFonts w:hint="eastAsia" w:ascii="仿宋" w:hAnsi="仿宋" w:eastAsia="仿宋" w:cs="仿宋"/>
          <w:b/>
          <w:color w:val="auto"/>
          <w:sz w:val="36"/>
          <w:szCs w:val="36"/>
          <w:highlight w:val="none"/>
          <w:lang w:eastAsia="zh-CN"/>
        </w:rPr>
      </w:pPr>
      <w:r>
        <w:rPr>
          <w:rFonts w:hint="eastAsia" w:ascii="仿宋" w:hAnsi="仿宋" w:eastAsia="仿宋" w:cs="仿宋"/>
          <w:color w:val="auto"/>
          <w:sz w:val="32"/>
          <w:szCs w:val="32"/>
          <w:highlight w:val="none"/>
          <w:lang w:eastAsia="zh-CN"/>
        </w:rPr>
        <w:t>联 系 人：段女士</w:t>
      </w:r>
      <w:r>
        <w:rPr>
          <w:rFonts w:hint="eastAsia" w:ascii="仿宋" w:hAnsi="仿宋" w:eastAsia="仿宋" w:cs="仿宋"/>
          <w:color w:val="auto"/>
          <w:sz w:val="32"/>
          <w:szCs w:val="32"/>
          <w:highlight w:val="none"/>
          <w:lang w:val="en-US" w:eastAsia="zh-CN"/>
        </w:rPr>
        <w:t xml:space="preserve">   15349977680</w:t>
      </w:r>
    </w:p>
    <w:p w14:paraId="3C996FA1">
      <w:pPr>
        <w:jc w:val="center"/>
        <w:rPr>
          <w:rFonts w:hint="eastAsia" w:ascii="仿宋" w:hAnsi="仿宋" w:eastAsia="仿宋" w:cs="仿宋"/>
          <w:b/>
          <w:color w:val="auto"/>
          <w:sz w:val="36"/>
          <w:szCs w:val="36"/>
          <w:highlight w:val="none"/>
          <w:lang w:eastAsia="zh-CN"/>
        </w:rPr>
      </w:pPr>
    </w:p>
    <w:p w14:paraId="788ED1BB">
      <w:pPr>
        <w:jc w:val="center"/>
        <w:rPr>
          <w:rFonts w:hint="eastAsia" w:ascii="仿宋" w:hAnsi="仿宋" w:eastAsia="仿宋" w:cs="仿宋"/>
          <w:b/>
          <w:color w:val="auto"/>
          <w:sz w:val="36"/>
          <w:szCs w:val="36"/>
          <w:highlight w:val="none"/>
          <w:lang w:eastAsia="zh-CN"/>
        </w:rPr>
      </w:pPr>
    </w:p>
    <w:p w14:paraId="74542420">
      <w:pPr>
        <w:jc w:val="center"/>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招投标监督管理机构备案登记栏</w:t>
      </w:r>
    </w:p>
    <w:tbl>
      <w:tblPr>
        <w:tblStyle w:val="2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8"/>
      </w:tblGrid>
      <w:tr w14:paraId="2B1F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198" w:type="dxa"/>
          </w:tcPr>
          <w:p w14:paraId="258A2CC7">
            <w:pPr>
              <w:spacing w:line="500" w:lineRule="exact"/>
              <w:jc w:val="both"/>
              <w:rPr>
                <w:rFonts w:ascii="仿宋" w:hAnsi="仿宋" w:eastAsia="仿宋" w:cs="仿宋"/>
                <w:color w:val="auto"/>
                <w:highlight w:val="none"/>
                <w:lang w:eastAsia="zh-CN"/>
              </w:rPr>
            </w:pPr>
          </w:p>
          <w:p w14:paraId="4ABD0696">
            <w:pPr>
              <w:spacing w:line="500" w:lineRule="exact"/>
              <w:jc w:val="both"/>
              <w:rPr>
                <w:rFonts w:ascii="仿宋" w:hAnsi="仿宋" w:eastAsia="仿宋" w:cs="仿宋"/>
                <w:color w:val="auto"/>
                <w:sz w:val="32"/>
                <w:szCs w:val="32"/>
                <w:highlight w:val="none"/>
                <w:lang w:eastAsia="zh-CN"/>
              </w:rPr>
            </w:pPr>
          </w:p>
          <w:p w14:paraId="4452F6B0">
            <w:pPr>
              <w:spacing w:line="500" w:lineRule="exact"/>
              <w:jc w:val="both"/>
              <w:rPr>
                <w:rFonts w:ascii="仿宋" w:hAnsi="仿宋" w:eastAsia="仿宋" w:cs="仿宋"/>
                <w:color w:val="auto"/>
                <w:sz w:val="32"/>
                <w:szCs w:val="32"/>
                <w:highlight w:val="none"/>
                <w:lang w:eastAsia="zh-CN"/>
              </w:rPr>
            </w:pPr>
          </w:p>
          <w:p w14:paraId="34CE40A1">
            <w:pPr>
              <w:spacing w:line="500" w:lineRule="exact"/>
              <w:jc w:val="both"/>
              <w:rPr>
                <w:rFonts w:ascii="仿宋" w:hAnsi="仿宋" w:eastAsia="仿宋" w:cs="仿宋"/>
                <w:color w:val="auto"/>
                <w:w w:val="95"/>
                <w:sz w:val="32"/>
                <w:szCs w:val="32"/>
                <w:highlight w:val="none"/>
                <w:lang w:eastAsia="zh-CN"/>
              </w:rPr>
            </w:pPr>
            <w:r>
              <w:rPr>
                <w:rFonts w:hint="eastAsia" w:ascii="仿宋" w:hAnsi="仿宋" w:eastAsia="仿宋" w:cs="仿宋"/>
                <w:color w:val="auto"/>
                <w:sz w:val="32"/>
                <w:szCs w:val="32"/>
                <w:highlight w:val="none"/>
                <w:lang w:eastAsia="zh-CN"/>
              </w:rPr>
              <w:t>采购单位：阿图什市人民政府国有资产监督管理委员会</w:t>
            </w:r>
            <w:r>
              <w:rPr>
                <w:rFonts w:hint="eastAsia" w:ascii="仿宋" w:hAnsi="仿宋" w:eastAsia="仿宋" w:cs="仿宋"/>
                <w:color w:val="auto"/>
                <w:w w:val="95"/>
                <w:sz w:val="32"/>
                <w:szCs w:val="32"/>
                <w:highlight w:val="none"/>
                <w:lang w:eastAsia="zh-CN"/>
              </w:rPr>
              <w:t>（盖章）</w:t>
            </w:r>
          </w:p>
          <w:p w14:paraId="1F92FFAF">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052D1D6D">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1A908F41">
            <w:pPr>
              <w:spacing w:line="500" w:lineRule="exact"/>
              <w:jc w:val="both"/>
              <w:rPr>
                <w:rFonts w:ascii="仿宋" w:hAnsi="仿宋" w:eastAsia="仿宋" w:cs="仿宋"/>
                <w:color w:val="auto"/>
                <w:sz w:val="32"/>
                <w:szCs w:val="32"/>
                <w:highlight w:val="none"/>
                <w:lang w:eastAsia="zh-CN"/>
              </w:rPr>
            </w:pPr>
          </w:p>
          <w:p w14:paraId="4A11EF3B">
            <w:pPr>
              <w:spacing w:line="500" w:lineRule="exact"/>
              <w:jc w:val="both"/>
              <w:rPr>
                <w:rFonts w:ascii="仿宋" w:hAnsi="仿宋" w:eastAsia="仿宋" w:cs="仿宋"/>
                <w:color w:val="auto"/>
                <w:sz w:val="32"/>
                <w:szCs w:val="32"/>
                <w:highlight w:val="none"/>
                <w:lang w:eastAsia="zh-CN"/>
              </w:rPr>
            </w:pPr>
          </w:p>
          <w:p w14:paraId="282E6BBA">
            <w:pPr>
              <w:spacing w:line="500" w:lineRule="exact"/>
              <w:ind w:left="3520" w:hanging="3520" w:hangingChars="1100"/>
              <w:jc w:val="both"/>
              <w:rPr>
                <w:rFonts w:ascii="仿宋" w:hAnsi="仿宋" w:eastAsia="仿宋" w:cs="仿宋"/>
                <w:color w:val="auto"/>
                <w:sz w:val="32"/>
                <w:szCs w:val="32"/>
                <w:highlight w:val="none"/>
                <w:lang w:eastAsia="zh-CN"/>
              </w:rPr>
            </w:pPr>
          </w:p>
          <w:p w14:paraId="3DD3F0F3">
            <w:pPr>
              <w:spacing w:line="500" w:lineRule="exact"/>
              <w:ind w:left="2560" w:hanging="2560" w:hangingChars="8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采购项目名称：阿图什市国资国企数字化运营监管平台项目</w:t>
            </w:r>
            <w:r>
              <w:rPr>
                <w:rFonts w:hint="eastAsia" w:ascii="仿宋" w:hAnsi="仿宋" w:eastAsia="仿宋" w:cs="仿宋"/>
                <w:color w:val="auto"/>
                <w:sz w:val="32"/>
                <w:szCs w:val="32"/>
                <w:highlight w:val="none"/>
                <w:lang w:val="en-US" w:eastAsia="zh-CN"/>
              </w:rPr>
              <w:t xml:space="preserve">     </w:t>
            </w:r>
          </w:p>
          <w:p w14:paraId="1E14CCB2">
            <w:pPr>
              <w:spacing w:line="500" w:lineRule="exact"/>
              <w:jc w:val="both"/>
              <w:rPr>
                <w:rFonts w:ascii="仿宋" w:hAnsi="仿宋" w:eastAsia="仿宋" w:cs="仿宋"/>
                <w:color w:val="auto"/>
                <w:sz w:val="32"/>
                <w:szCs w:val="32"/>
                <w:highlight w:val="none"/>
                <w:lang w:eastAsia="zh-CN"/>
              </w:rPr>
            </w:pPr>
          </w:p>
          <w:p w14:paraId="4F56E43F">
            <w:pPr>
              <w:spacing w:line="500" w:lineRule="exact"/>
              <w:jc w:val="both"/>
              <w:rPr>
                <w:rFonts w:ascii="仿宋" w:hAnsi="仿宋" w:eastAsia="仿宋" w:cs="仿宋"/>
                <w:color w:val="auto"/>
                <w:sz w:val="32"/>
                <w:szCs w:val="32"/>
                <w:highlight w:val="none"/>
                <w:lang w:eastAsia="zh-CN"/>
              </w:rPr>
            </w:pPr>
          </w:p>
          <w:p w14:paraId="3B0ED69E">
            <w:pPr>
              <w:pStyle w:val="34"/>
              <w:jc w:val="both"/>
              <w:rPr>
                <w:rFonts w:ascii="仿宋" w:hAnsi="仿宋" w:eastAsia="仿宋" w:cs="仿宋"/>
                <w:color w:val="auto"/>
                <w:sz w:val="32"/>
                <w:szCs w:val="32"/>
                <w:highlight w:val="none"/>
                <w:lang w:eastAsia="zh-CN"/>
              </w:rPr>
            </w:pPr>
          </w:p>
          <w:p w14:paraId="7CAA3940">
            <w:pPr>
              <w:pStyle w:val="34"/>
              <w:jc w:val="both"/>
              <w:rPr>
                <w:rFonts w:ascii="仿宋" w:hAnsi="仿宋" w:eastAsia="仿宋" w:cs="仿宋"/>
                <w:color w:val="auto"/>
                <w:sz w:val="32"/>
                <w:szCs w:val="32"/>
                <w:highlight w:val="none"/>
                <w:lang w:eastAsia="zh-CN"/>
              </w:rPr>
            </w:pPr>
          </w:p>
          <w:p w14:paraId="5BF67904">
            <w:pPr>
              <w:pStyle w:val="34"/>
              <w:jc w:val="both"/>
              <w:rPr>
                <w:rFonts w:ascii="仿宋" w:hAnsi="仿宋" w:eastAsia="仿宋" w:cs="仿宋"/>
                <w:color w:val="auto"/>
                <w:sz w:val="32"/>
                <w:szCs w:val="32"/>
                <w:highlight w:val="none"/>
                <w:lang w:eastAsia="zh-CN"/>
              </w:rPr>
            </w:pPr>
          </w:p>
          <w:p w14:paraId="1CF7A301">
            <w:pPr>
              <w:pStyle w:val="34"/>
              <w:jc w:val="both"/>
              <w:rPr>
                <w:rFonts w:ascii="仿宋" w:hAnsi="仿宋" w:eastAsia="仿宋" w:cs="仿宋"/>
                <w:color w:val="auto"/>
                <w:sz w:val="32"/>
                <w:szCs w:val="32"/>
                <w:highlight w:val="none"/>
                <w:lang w:eastAsia="zh-CN"/>
              </w:rPr>
            </w:pPr>
          </w:p>
          <w:p w14:paraId="7E0CE5C5">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代理机构：新疆飞耀项目管理有限公司</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（盖章）</w:t>
            </w:r>
          </w:p>
          <w:p w14:paraId="2197C2B9">
            <w:pPr>
              <w:pStyle w:val="4"/>
              <w:jc w:val="both"/>
              <w:outlineLvl w:val="2"/>
              <w:rPr>
                <w:rFonts w:ascii="仿宋" w:hAnsi="仿宋" w:eastAsia="仿宋" w:cs="仿宋"/>
                <w:color w:val="auto"/>
                <w:highlight w:val="none"/>
                <w:lang w:eastAsia="zh-CN"/>
              </w:rPr>
            </w:pPr>
          </w:p>
          <w:p w14:paraId="749FE6F0">
            <w:pPr>
              <w:jc w:val="both"/>
              <w:rPr>
                <w:color w:val="auto"/>
                <w:highlight w:val="none"/>
                <w:lang w:eastAsia="zh-CN"/>
              </w:rPr>
            </w:pPr>
          </w:p>
          <w:p w14:paraId="34F16BD1">
            <w:pPr>
              <w:pStyle w:val="4"/>
              <w:jc w:val="center"/>
              <w:outlineLvl w:val="2"/>
              <w:rPr>
                <w:rFonts w:ascii="仿宋" w:hAnsi="仿宋" w:eastAsia="仿宋" w:cs="仿宋"/>
                <w:color w:val="auto"/>
                <w:highlight w:val="none"/>
              </w:rPr>
            </w:pPr>
            <w:r>
              <w:rPr>
                <w:rFonts w:hint="eastAsia" w:ascii="仿宋" w:hAnsi="仿宋" w:eastAsia="仿宋" w:cs="仿宋"/>
                <w:color w:val="auto"/>
                <w:highlight w:val="none"/>
              </w:rPr>
              <w:t>日  期：20</w:t>
            </w:r>
            <w:r>
              <w:rPr>
                <w:rFonts w:hint="eastAsia" w:ascii="仿宋" w:hAnsi="仿宋" w:eastAsia="仿宋" w:cs="仿宋"/>
                <w:color w:val="auto"/>
                <w:highlight w:val="none"/>
                <w:lang w:eastAsia="zh-CN"/>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p>
          <w:p w14:paraId="201BEBFA">
            <w:pPr>
              <w:pStyle w:val="4"/>
              <w:jc w:val="both"/>
              <w:outlineLvl w:val="2"/>
              <w:rPr>
                <w:rFonts w:ascii="仿宋" w:hAnsi="仿宋" w:eastAsia="仿宋" w:cs="仿宋"/>
                <w:color w:val="auto"/>
                <w:highlight w:val="none"/>
              </w:rPr>
            </w:pPr>
          </w:p>
        </w:tc>
      </w:tr>
    </w:tbl>
    <w:p w14:paraId="3E55AA6F">
      <w:pPr>
        <w:spacing w:line="240" w:lineRule="exact"/>
        <w:rPr>
          <w:rFonts w:ascii="仿宋" w:hAnsi="仿宋" w:eastAsia="仿宋" w:cs="仿宋"/>
          <w:color w:val="auto"/>
          <w:sz w:val="44"/>
          <w:szCs w:val="44"/>
          <w:highlight w:val="none"/>
          <w:lang w:eastAsia="zh-CN"/>
        </w:rPr>
        <w:sectPr>
          <w:headerReference r:id="rId3" w:type="default"/>
          <w:footerReference r:id="rId4" w:type="default"/>
          <w:pgSz w:w="11906" w:h="16838"/>
          <w:pgMar w:top="1213" w:right="1179" w:bottom="1213" w:left="1179" w:header="851" w:footer="992" w:gutter="0"/>
          <w:pgNumType w:start="1"/>
          <w:cols w:space="720" w:num="1"/>
          <w:docGrid w:type="linesAndChars" w:linePitch="312" w:charSpace="0"/>
        </w:sectPr>
      </w:pPr>
    </w:p>
    <w:p w14:paraId="34DE9982">
      <w:pPr>
        <w:pStyle w:val="36"/>
        <w:spacing w:before="0" w:line="360" w:lineRule="auto"/>
        <w:jc w:val="both"/>
        <w:rPr>
          <w:rFonts w:ascii="仿宋" w:hAnsi="仿宋" w:eastAsia="仿宋" w:cs="仿宋"/>
          <w:color w:val="auto"/>
          <w:sz w:val="44"/>
          <w:szCs w:val="44"/>
          <w:highlight w:val="none"/>
          <w:lang w:val="zh-CN"/>
        </w:rPr>
      </w:pPr>
    </w:p>
    <w:p w14:paraId="221A49AB">
      <w:pPr>
        <w:pStyle w:val="36"/>
        <w:spacing w:before="0"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44"/>
          <w:szCs w:val="44"/>
          <w:highlight w:val="none"/>
          <w:lang w:val="zh-CN"/>
        </w:rPr>
        <w:t>目    录</w:t>
      </w:r>
    </w:p>
    <w:p w14:paraId="43FB6B98">
      <w:pPr>
        <w:widowControl/>
        <w:rPr>
          <w:rFonts w:ascii="仿宋" w:hAnsi="仿宋" w:eastAsia="仿宋" w:cs="仿宋"/>
          <w:color w:val="auto"/>
          <w:sz w:val="30"/>
          <w:szCs w:val="30"/>
          <w:highlight w:val="none"/>
        </w:rPr>
      </w:pPr>
    </w:p>
    <w:p w14:paraId="171EEC4A">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第一</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3FB16A11">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供应商须知</w:t>
      </w:r>
    </w:p>
    <w:p w14:paraId="76B2BA60">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第三</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评标办法</w:t>
      </w:r>
    </w:p>
    <w:p w14:paraId="7AA16981">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第四</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技术规格数量及质量要求</w:t>
      </w:r>
    </w:p>
    <w:p w14:paraId="5DDB8CB7">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第五</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合同（参考）</w:t>
      </w:r>
    </w:p>
    <w:p w14:paraId="0A89132F">
      <w:pPr>
        <w:pStyle w:val="34"/>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w:t>
      </w:r>
      <w:r>
        <w:rPr>
          <w:rFonts w:hint="eastAsia" w:ascii="仿宋" w:hAnsi="仿宋" w:eastAsia="仿宋" w:cs="仿宋"/>
          <w:b/>
          <w:color w:val="auto"/>
          <w:sz w:val="30"/>
          <w:szCs w:val="30"/>
          <w:lang w:val="en-US" w:eastAsia="zh-CN"/>
        </w:rPr>
        <w:t>章     投标文件格式</w:t>
      </w:r>
    </w:p>
    <w:p w14:paraId="443CA9F5">
      <w:pPr>
        <w:pStyle w:val="10"/>
        <w:numPr>
          <w:ilvl w:val="0"/>
          <w:numId w:val="0"/>
        </w:numPr>
        <w:spacing w:line="480" w:lineRule="auto"/>
        <w:rPr>
          <w:rFonts w:ascii="仿宋" w:hAnsi="仿宋" w:eastAsia="仿宋" w:cs="仿宋"/>
          <w:color w:val="auto"/>
          <w:highlight w:val="none"/>
          <w:lang w:eastAsia="zh-CN"/>
        </w:rPr>
      </w:pPr>
    </w:p>
    <w:p w14:paraId="00CF8A65">
      <w:pPr>
        <w:spacing w:line="480" w:lineRule="auto"/>
        <w:rPr>
          <w:rFonts w:ascii="仿宋" w:hAnsi="仿宋" w:eastAsia="仿宋" w:cs="仿宋"/>
          <w:color w:val="auto"/>
          <w:highlight w:val="none"/>
          <w:lang w:eastAsia="zh-CN"/>
        </w:rPr>
      </w:pPr>
    </w:p>
    <w:p w14:paraId="31A95EB8">
      <w:pPr>
        <w:pStyle w:val="4"/>
        <w:rPr>
          <w:rFonts w:ascii="仿宋" w:hAnsi="仿宋" w:eastAsia="仿宋" w:cs="仿宋"/>
          <w:color w:val="auto"/>
          <w:highlight w:val="none"/>
          <w:lang w:eastAsia="zh-CN"/>
        </w:rPr>
      </w:pPr>
    </w:p>
    <w:p w14:paraId="2AF86CE5">
      <w:pPr>
        <w:rPr>
          <w:rFonts w:ascii="仿宋" w:hAnsi="仿宋" w:eastAsia="仿宋" w:cs="仿宋"/>
          <w:color w:val="auto"/>
          <w:highlight w:val="none"/>
          <w:lang w:eastAsia="zh-CN"/>
        </w:rPr>
      </w:pPr>
    </w:p>
    <w:p w14:paraId="34936123">
      <w:pPr>
        <w:pStyle w:val="4"/>
        <w:rPr>
          <w:rFonts w:ascii="仿宋" w:hAnsi="仿宋" w:eastAsia="仿宋" w:cs="仿宋"/>
          <w:color w:val="auto"/>
          <w:highlight w:val="none"/>
          <w:lang w:eastAsia="zh-CN"/>
        </w:rPr>
      </w:pPr>
    </w:p>
    <w:p w14:paraId="3D5BB10A">
      <w:pPr>
        <w:rPr>
          <w:rFonts w:ascii="仿宋" w:hAnsi="仿宋" w:eastAsia="仿宋" w:cs="仿宋"/>
          <w:color w:val="auto"/>
          <w:highlight w:val="none"/>
          <w:lang w:eastAsia="zh-CN"/>
        </w:rPr>
      </w:pPr>
    </w:p>
    <w:p w14:paraId="596B5501">
      <w:pPr>
        <w:pStyle w:val="4"/>
        <w:rPr>
          <w:rFonts w:ascii="仿宋" w:hAnsi="仿宋" w:eastAsia="仿宋" w:cs="仿宋"/>
          <w:color w:val="auto"/>
          <w:highlight w:val="none"/>
          <w:lang w:eastAsia="zh-CN"/>
        </w:rPr>
      </w:pPr>
    </w:p>
    <w:p w14:paraId="45E3CD16">
      <w:pPr>
        <w:rPr>
          <w:rFonts w:ascii="仿宋" w:hAnsi="仿宋" w:eastAsia="仿宋" w:cs="仿宋"/>
          <w:color w:val="auto"/>
          <w:highlight w:val="none"/>
          <w:lang w:eastAsia="zh-CN"/>
        </w:rPr>
      </w:pPr>
    </w:p>
    <w:p w14:paraId="4D80B36B">
      <w:pPr>
        <w:pStyle w:val="4"/>
        <w:rPr>
          <w:rFonts w:ascii="仿宋" w:hAnsi="仿宋" w:eastAsia="仿宋" w:cs="仿宋"/>
          <w:color w:val="auto"/>
          <w:highlight w:val="none"/>
          <w:lang w:eastAsia="zh-CN"/>
        </w:rPr>
      </w:pPr>
    </w:p>
    <w:p w14:paraId="6E2495D1">
      <w:pPr>
        <w:pStyle w:val="37"/>
        <w:keepNext/>
        <w:keepLines/>
        <w:spacing w:before="120" w:after="300"/>
        <w:jc w:val="both"/>
        <w:rPr>
          <w:rFonts w:ascii="仿宋" w:hAnsi="仿宋" w:eastAsia="仿宋" w:cs="仿宋"/>
          <w:b/>
          <w:bCs/>
          <w:color w:val="auto"/>
          <w:highlight w:val="none"/>
        </w:rPr>
        <w:sectPr>
          <w:footerReference r:id="rId5" w:type="default"/>
          <w:pgSz w:w="11906" w:h="16838"/>
          <w:pgMar w:top="1440" w:right="1080" w:bottom="1440" w:left="1080" w:header="851" w:footer="992" w:gutter="0"/>
          <w:pgNumType w:start="1"/>
          <w:cols w:space="720" w:num="1"/>
          <w:docGrid w:type="linesAndChars" w:linePitch="312" w:charSpace="0"/>
        </w:sectPr>
      </w:pPr>
    </w:p>
    <w:p w14:paraId="11AAC695">
      <w:pPr>
        <w:pStyle w:val="37"/>
        <w:keepNext/>
        <w:keepLines/>
        <w:pageBreakBefore w:val="0"/>
        <w:kinsoku/>
        <w:wordWrap/>
        <w:overflowPunct/>
        <w:topLinePunct w:val="0"/>
        <w:autoSpaceDE/>
        <w:autoSpaceDN/>
        <w:bidi w:val="0"/>
        <w:adjustRightInd/>
        <w:snapToGrid/>
        <w:spacing w:before="120" w:after="300" w:line="40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rPr>
        <w:t>第一</w:t>
      </w:r>
      <w:r>
        <w:rPr>
          <w:rFonts w:hint="eastAsia" w:ascii="仿宋" w:hAnsi="仿宋" w:eastAsia="仿宋" w:cs="仿宋"/>
          <w:b/>
          <w:bCs/>
          <w:color w:val="auto"/>
          <w:highlight w:val="none"/>
          <w:lang w:val="en-US" w:eastAsia="zh-CN"/>
        </w:rPr>
        <w:t xml:space="preserve">章 </w:t>
      </w:r>
      <w:r>
        <w:rPr>
          <w:rFonts w:hint="eastAsia" w:ascii="仿宋" w:hAnsi="仿宋" w:eastAsia="仿宋" w:cs="仿宋"/>
          <w:b/>
          <w:bCs/>
          <w:color w:val="auto"/>
          <w:highlight w:val="none"/>
          <w:lang w:eastAsia="zh-CN"/>
        </w:rPr>
        <w:t>招标公告</w:t>
      </w:r>
    </w:p>
    <w:p w14:paraId="2D346C30">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32"/>
          <w:szCs w:val="32"/>
          <w:highlight w:val="none"/>
          <w:lang w:val="en-US" w:eastAsia="zh-CN" w:bidi="ar"/>
        </w:rPr>
        <w:t>阿图什市国资国企数字化运营监管平台项目公开招标公告</w:t>
      </w:r>
    </w:p>
    <w:tbl>
      <w:tblPr>
        <w:tblStyle w:val="2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7D9B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287" w:type="dxa"/>
            <w:vAlign w:val="top"/>
          </w:tcPr>
          <w:p w14:paraId="3D9E2622">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项目概况</w:t>
            </w:r>
          </w:p>
          <w:p w14:paraId="438E12EF">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6" w:firstLineChars="200"/>
              <w:jc w:val="both"/>
              <w:textAlignment w:val="auto"/>
              <w:rPr>
                <w:b w:val="0"/>
                <w:bCs w:val="0"/>
                <w:color w:val="auto"/>
                <w:sz w:val="36"/>
                <w:szCs w:val="36"/>
                <w:highlight w:val="none"/>
                <w:vertAlign w:val="baseline"/>
              </w:rPr>
            </w:pPr>
            <w:r>
              <w:rPr>
                <w:rFonts w:hint="eastAsia" w:ascii="仿宋" w:hAnsi="仿宋" w:eastAsia="仿宋" w:cs="仿宋"/>
                <w:i w:val="0"/>
                <w:iCs w:val="0"/>
                <w:caps w:val="0"/>
                <w:color w:val="auto"/>
                <w:spacing w:val="0"/>
                <w:sz w:val="24"/>
                <w:szCs w:val="24"/>
                <w:highlight w:val="none"/>
                <w:lang w:eastAsia="zh-CN"/>
              </w:rPr>
              <w:t>阿图什市国资国企数字化运营监管平台项目</w:t>
            </w:r>
            <w:r>
              <w:rPr>
                <w:rFonts w:hint="eastAsia" w:ascii="仿宋" w:hAnsi="仿宋" w:eastAsia="仿宋" w:cs="仿宋"/>
                <w:i w:val="0"/>
                <w:iCs w:val="0"/>
                <w:caps w:val="0"/>
                <w:color w:val="auto"/>
                <w:spacing w:val="0"/>
                <w:sz w:val="24"/>
                <w:szCs w:val="24"/>
                <w:highlight w:val="none"/>
              </w:rPr>
              <w:t>的潜在投标人应在政采云平台线上获取招标文件</w:t>
            </w:r>
            <w:r>
              <w:rPr>
                <w:rFonts w:hint="eastAsia" w:ascii="仿宋" w:hAnsi="仿宋" w:eastAsia="仿宋" w:cs="仿宋"/>
                <w:b w:val="0"/>
                <w:bCs w:val="0"/>
                <w:i w:val="0"/>
                <w:iCs w:val="0"/>
                <w:caps w:val="0"/>
                <w:color w:val="auto"/>
                <w:spacing w:val="0"/>
                <w:sz w:val="24"/>
                <w:szCs w:val="24"/>
                <w:highlight w:val="none"/>
              </w:rPr>
              <w:t>，并于</w:t>
            </w:r>
            <w:r>
              <w:rPr>
                <w:rFonts w:hint="eastAsia" w:ascii="仿宋" w:hAnsi="仿宋" w:eastAsia="仿宋" w:cs="仿宋"/>
                <w:b w:val="0"/>
                <w:bCs w:val="0"/>
                <w:i w:val="0"/>
                <w:iCs w:val="0"/>
                <w:caps w:val="0"/>
                <w:color w:val="auto"/>
                <w:spacing w:val="0"/>
                <w:sz w:val="24"/>
                <w:szCs w:val="24"/>
                <w:highlight w:val="none"/>
                <w:u w:val="single"/>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7  </w:t>
            </w:r>
            <w:r>
              <w:rPr>
                <w:rFonts w:hint="eastAsia" w:ascii="仿宋" w:hAnsi="仿宋" w:eastAsia="仿宋" w:cs="仿宋"/>
                <w:b w:val="0"/>
                <w:bCs w:val="0"/>
                <w:i w:val="0"/>
                <w:iCs w:val="0"/>
                <w:caps w:val="0"/>
                <w:color w:val="auto"/>
                <w:spacing w:val="0"/>
                <w:sz w:val="24"/>
                <w:szCs w:val="24"/>
                <w:highlight w:val="none"/>
                <w:u w:val="single"/>
              </w:rPr>
              <w:t>月</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18 </w:t>
            </w:r>
            <w:r>
              <w:rPr>
                <w:rFonts w:hint="eastAsia" w:ascii="仿宋" w:hAnsi="仿宋" w:eastAsia="仿宋" w:cs="仿宋"/>
                <w:b w:val="0"/>
                <w:bCs w:val="0"/>
                <w:i w:val="0"/>
                <w:iCs w:val="0"/>
                <w:caps w:val="0"/>
                <w:color w:val="auto"/>
                <w:spacing w:val="0"/>
                <w:sz w:val="24"/>
                <w:szCs w:val="24"/>
                <w:highlight w:val="none"/>
                <w:u w:val="single"/>
              </w:rPr>
              <w:t>日</w:t>
            </w:r>
            <w:r>
              <w:rPr>
                <w:rFonts w:hint="eastAsia" w:ascii="仿宋" w:hAnsi="仿宋" w:eastAsia="仿宋" w:cs="仿宋"/>
                <w:b w:val="0"/>
                <w:bCs w:val="0"/>
                <w:i w:val="0"/>
                <w:iCs w:val="0"/>
                <w:caps w:val="0"/>
                <w:color w:val="auto"/>
                <w:spacing w:val="0"/>
                <w:sz w:val="24"/>
                <w:szCs w:val="24"/>
                <w:highlight w:val="none"/>
                <w:u w:val="single"/>
                <w:lang w:val="en-US" w:eastAsia="zh-CN"/>
              </w:rPr>
              <w:t>10</w:t>
            </w:r>
            <w:r>
              <w:rPr>
                <w:rFonts w:hint="eastAsia" w:ascii="仿宋" w:hAnsi="仿宋" w:eastAsia="仿宋" w:cs="仿宋"/>
                <w:b w:val="0"/>
                <w:bCs w:val="0"/>
                <w:i w:val="0"/>
                <w:iCs w:val="0"/>
                <w:caps w:val="0"/>
                <w:color w:val="auto"/>
                <w:spacing w:val="0"/>
                <w:sz w:val="24"/>
                <w:szCs w:val="24"/>
                <w:highlight w:val="none"/>
                <w:u w:val="single"/>
              </w:rPr>
              <w:t>:</w:t>
            </w:r>
            <w:r>
              <w:rPr>
                <w:rFonts w:hint="eastAsia" w:ascii="仿宋" w:hAnsi="仿宋" w:eastAsia="仿宋" w:cs="仿宋"/>
                <w:b w:val="0"/>
                <w:bCs w:val="0"/>
                <w:i w:val="0"/>
                <w:iCs w:val="0"/>
                <w:caps w:val="0"/>
                <w:color w:val="auto"/>
                <w:spacing w:val="0"/>
                <w:sz w:val="24"/>
                <w:szCs w:val="24"/>
                <w:highlight w:val="none"/>
                <w:u w:val="single"/>
                <w:lang w:val="en-US" w:eastAsia="zh-CN"/>
              </w:rPr>
              <w:t>15</w:t>
            </w:r>
            <w:r>
              <w:rPr>
                <w:rFonts w:hint="eastAsia" w:ascii="仿宋" w:hAnsi="仿宋" w:eastAsia="仿宋" w:cs="仿宋"/>
                <w:b w:val="0"/>
                <w:bCs w:val="0"/>
                <w:i w:val="0"/>
                <w:iCs w:val="0"/>
                <w:caps w:val="0"/>
                <w:color w:val="auto"/>
                <w:spacing w:val="0"/>
                <w:sz w:val="24"/>
                <w:szCs w:val="24"/>
                <w:highlight w:val="none"/>
              </w:rPr>
              <w:t>（北京时间）前递交投标文件。</w:t>
            </w:r>
          </w:p>
        </w:tc>
      </w:tr>
    </w:tbl>
    <w:p w14:paraId="55A39308">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一、项目基本情况</w:t>
      </w:r>
    </w:p>
    <w:p w14:paraId="5DB8A27C">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项目编号：</w:t>
      </w:r>
      <w:r>
        <w:rPr>
          <w:rFonts w:hint="eastAsia" w:ascii="仿宋" w:hAnsi="仿宋" w:eastAsia="仿宋" w:cs="仿宋"/>
          <w:b w:val="0"/>
          <w:bCs w:val="0"/>
          <w:i w:val="0"/>
          <w:iCs w:val="0"/>
          <w:caps w:val="0"/>
          <w:color w:val="auto"/>
          <w:spacing w:val="0"/>
          <w:sz w:val="24"/>
          <w:szCs w:val="24"/>
          <w:highlight w:val="none"/>
          <w:lang w:eastAsia="zh-CN"/>
        </w:rPr>
        <w:t>ATSCG-2025045</w:t>
      </w:r>
    </w:p>
    <w:p w14:paraId="0D45157B">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rPr>
        <w:t>项目名称：</w:t>
      </w:r>
      <w:r>
        <w:rPr>
          <w:rFonts w:hint="eastAsia" w:ascii="仿宋" w:hAnsi="仿宋" w:eastAsia="仿宋" w:cs="仿宋"/>
          <w:b w:val="0"/>
          <w:bCs w:val="0"/>
          <w:i w:val="0"/>
          <w:iCs w:val="0"/>
          <w:caps w:val="0"/>
          <w:color w:val="auto"/>
          <w:spacing w:val="0"/>
          <w:sz w:val="24"/>
          <w:szCs w:val="24"/>
          <w:highlight w:val="none"/>
          <w:lang w:eastAsia="zh-CN"/>
        </w:rPr>
        <w:t>阿图什市国资国企数字化运营监管平台项目</w:t>
      </w:r>
    </w:p>
    <w:p w14:paraId="615E2687">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采购方式：公开招标</w:t>
      </w:r>
    </w:p>
    <w:p w14:paraId="065D46F9">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预算金额（元）：</w:t>
      </w:r>
      <w:r>
        <w:rPr>
          <w:rFonts w:hint="eastAsia" w:ascii="仿宋" w:hAnsi="仿宋" w:eastAsia="仿宋" w:cs="仿宋"/>
          <w:b w:val="0"/>
          <w:bCs w:val="0"/>
          <w:i w:val="0"/>
          <w:iCs w:val="0"/>
          <w:caps w:val="0"/>
          <w:color w:val="auto"/>
          <w:spacing w:val="0"/>
          <w:sz w:val="24"/>
          <w:szCs w:val="24"/>
          <w:highlight w:val="none"/>
          <w:lang w:val="en-US" w:eastAsia="zh-CN"/>
        </w:rPr>
        <w:t>888000.00</w:t>
      </w:r>
    </w:p>
    <w:p w14:paraId="049120EC">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default" w:ascii="仿宋" w:hAnsi="仿宋" w:eastAsia="仿宋" w:cs="仿宋"/>
          <w:b w:val="0"/>
          <w:bCs w:val="0"/>
          <w:i w:val="0"/>
          <w:iCs w:val="0"/>
          <w:caps w:val="0"/>
          <w:color w:val="FF0000"/>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最高限价（元）：</w:t>
      </w:r>
      <w:r>
        <w:rPr>
          <w:rFonts w:hint="eastAsia" w:ascii="仿宋" w:hAnsi="仿宋" w:eastAsia="仿宋" w:cs="仿宋"/>
          <w:b w:val="0"/>
          <w:bCs w:val="0"/>
          <w:i w:val="0"/>
          <w:iCs w:val="0"/>
          <w:caps w:val="0"/>
          <w:color w:val="auto"/>
          <w:spacing w:val="0"/>
          <w:sz w:val="24"/>
          <w:szCs w:val="24"/>
          <w:highlight w:val="none"/>
          <w:lang w:val="en-US" w:eastAsia="zh-CN"/>
        </w:rPr>
        <w:t>888000.00</w:t>
      </w:r>
    </w:p>
    <w:p w14:paraId="17EF2DA4">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采购需求：</w:t>
      </w:r>
    </w:p>
    <w:p w14:paraId="4BDA63A1">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729" w:leftChars="300" w:right="0" w:firstLine="0" w:firstLineChars="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标项名称:阿图什市国资国企数字化运营监管平台项目</w:t>
      </w:r>
      <w:r>
        <w:rPr>
          <w:rFonts w:hint="eastAsia" w:ascii="仿宋" w:hAnsi="仿宋" w:eastAsia="仿宋" w:cs="仿宋"/>
          <w:b w:val="0"/>
          <w:bCs w:val="0"/>
          <w:i w:val="0"/>
          <w:iCs w:val="0"/>
          <w:caps w:val="0"/>
          <w:color w:val="auto"/>
          <w:spacing w:val="0"/>
          <w:sz w:val="24"/>
          <w:szCs w:val="24"/>
          <w:highlight w:val="none"/>
          <w:lang w:eastAsia="zh-CN"/>
        </w:rPr>
        <w:br w:type="textWrapping"/>
      </w:r>
      <w:r>
        <w:rPr>
          <w:rFonts w:hint="eastAsia" w:ascii="仿宋" w:hAnsi="仿宋" w:eastAsia="仿宋" w:cs="仿宋"/>
          <w:b w:val="0"/>
          <w:bCs w:val="0"/>
          <w:i w:val="0"/>
          <w:iCs w:val="0"/>
          <w:caps w:val="0"/>
          <w:color w:val="auto"/>
          <w:spacing w:val="0"/>
          <w:sz w:val="24"/>
          <w:szCs w:val="24"/>
          <w:highlight w:val="none"/>
          <w:lang w:eastAsia="zh-CN"/>
        </w:rPr>
        <w:t>数量:</w:t>
      </w:r>
      <w:r>
        <w:rPr>
          <w:rFonts w:hint="eastAsia" w:ascii="仿宋" w:hAnsi="仿宋" w:eastAsia="仿宋" w:cs="仿宋"/>
          <w:b w:val="0"/>
          <w:bCs w:val="0"/>
          <w:i w:val="0"/>
          <w:iCs w:val="0"/>
          <w:caps w:val="0"/>
          <w:color w:val="auto"/>
          <w:spacing w:val="0"/>
          <w:sz w:val="24"/>
          <w:szCs w:val="24"/>
          <w:highlight w:val="none"/>
          <w:lang w:val="en-US" w:eastAsia="zh-CN"/>
        </w:rPr>
        <w:t>1</w:t>
      </w:r>
    </w:p>
    <w:p w14:paraId="22D668B7">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729" w:firstLineChars="3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预算金额（元）:</w:t>
      </w:r>
      <w:r>
        <w:rPr>
          <w:rFonts w:hint="eastAsia" w:ascii="仿宋" w:hAnsi="仿宋" w:eastAsia="仿宋" w:cs="仿宋"/>
          <w:b w:val="0"/>
          <w:bCs w:val="0"/>
          <w:i w:val="0"/>
          <w:iCs w:val="0"/>
          <w:caps w:val="0"/>
          <w:color w:val="auto"/>
          <w:spacing w:val="0"/>
          <w:sz w:val="24"/>
          <w:szCs w:val="24"/>
          <w:highlight w:val="none"/>
          <w:lang w:val="en-US" w:eastAsia="zh-CN"/>
        </w:rPr>
        <w:t>888000.00</w:t>
      </w:r>
    </w:p>
    <w:p w14:paraId="09574203">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简要规格描述或项目基本概况介绍、用途：阿图什市国资国企数字化运营监管平台</w:t>
      </w:r>
      <w:r>
        <w:rPr>
          <w:rFonts w:hint="eastAsia" w:ascii="仿宋" w:hAnsi="仿宋" w:eastAsia="仿宋" w:cs="仿宋"/>
          <w:b w:val="0"/>
          <w:bCs w:val="0"/>
          <w:i w:val="0"/>
          <w:iCs w:val="0"/>
          <w:caps w:val="0"/>
          <w:color w:val="auto"/>
          <w:spacing w:val="0"/>
          <w:sz w:val="24"/>
          <w:szCs w:val="24"/>
          <w:highlight w:val="none"/>
          <w:lang w:val="en-US" w:eastAsia="zh-CN"/>
        </w:rPr>
        <w:t>建设</w:t>
      </w:r>
      <w:r>
        <w:rPr>
          <w:rFonts w:hint="eastAsia" w:ascii="仿宋" w:hAnsi="仿宋" w:eastAsia="仿宋" w:cs="仿宋"/>
          <w:b w:val="0"/>
          <w:bCs w:val="0"/>
          <w:i w:val="0"/>
          <w:iCs w:val="0"/>
          <w:caps w:val="0"/>
          <w:color w:val="auto"/>
          <w:spacing w:val="0"/>
          <w:sz w:val="24"/>
          <w:szCs w:val="24"/>
          <w:highlight w:val="none"/>
          <w:lang w:eastAsia="zh-CN"/>
        </w:rPr>
        <w:t>。（具体详见招标文件）</w:t>
      </w:r>
    </w:p>
    <w:p w14:paraId="7C272FD0">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合同履约期限：</w:t>
      </w:r>
      <w:r>
        <w:rPr>
          <w:rFonts w:hint="eastAsia" w:ascii="仿宋" w:hAnsi="仿宋" w:eastAsia="仿宋" w:cs="仿宋"/>
          <w:color w:val="auto"/>
          <w:highlight w:val="none"/>
          <w:lang w:eastAsia="zh-CN"/>
        </w:rPr>
        <w:t>自合同签订之日起</w:t>
      </w:r>
      <w:r>
        <w:rPr>
          <w:rFonts w:hint="eastAsia" w:ascii="仿宋" w:hAnsi="仿宋" w:eastAsia="仿宋" w:cs="仿宋"/>
          <w:color w:val="auto"/>
          <w:highlight w:val="none"/>
          <w:lang w:val="en-US" w:eastAsia="zh-CN"/>
        </w:rPr>
        <w:t>90</w:t>
      </w:r>
      <w:r>
        <w:rPr>
          <w:rFonts w:hint="eastAsia" w:ascii="仿宋" w:hAnsi="仿宋" w:eastAsia="仿宋" w:cs="仿宋"/>
          <w:color w:val="auto"/>
          <w:highlight w:val="none"/>
          <w:lang w:eastAsia="zh-CN"/>
        </w:rPr>
        <w:t>天内完成供货，安装调试完毕</w:t>
      </w:r>
      <w:r>
        <w:rPr>
          <w:rFonts w:hint="eastAsia" w:ascii="仿宋" w:hAnsi="仿宋" w:eastAsia="仿宋" w:cs="仿宋"/>
          <w:color w:val="auto"/>
          <w:highlight w:val="none"/>
          <w:lang w:val="en-US" w:eastAsia="zh-CN"/>
        </w:rPr>
        <w:t>并</w:t>
      </w:r>
      <w:r>
        <w:rPr>
          <w:rFonts w:hint="eastAsia" w:ascii="仿宋" w:hAnsi="仿宋" w:eastAsia="仿宋" w:cs="仿宋"/>
          <w:color w:val="auto"/>
          <w:highlight w:val="none"/>
          <w:lang w:eastAsia="zh-CN"/>
        </w:rPr>
        <w:t>投入使用。</w:t>
      </w:r>
    </w:p>
    <w:p w14:paraId="75CF2F8C">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本项目不接受联合体投标。</w:t>
      </w:r>
    </w:p>
    <w:p w14:paraId="1483D884">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二、申请人的资格要求：</w:t>
      </w:r>
    </w:p>
    <w:p w14:paraId="64C256BB">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1.满足《中华人民共和国政府采购法》第二十二条规定；</w:t>
      </w:r>
    </w:p>
    <w:p w14:paraId="295D67FF">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2.落实政府采购政策需满足的资格要求：</w:t>
      </w:r>
      <w:r>
        <w:rPr>
          <w:rFonts w:hint="eastAsia" w:ascii="仿宋" w:hAnsi="仿宋" w:eastAsia="仿宋" w:cs="仿宋"/>
          <w:b w:val="0"/>
          <w:bCs w:val="0"/>
          <w:i w:val="0"/>
          <w:iCs w:val="0"/>
          <w:caps w:val="0"/>
          <w:color w:val="000000"/>
          <w:spacing w:val="0"/>
          <w:sz w:val="24"/>
          <w:szCs w:val="24"/>
          <w:highlight w:val="none"/>
          <w:lang w:val="en-US" w:eastAsia="zh-CN"/>
        </w:rPr>
        <w:t>本项目为非专门面向中小企业。</w:t>
      </w:r>
    </w:p>
    <w:p w14:paraId="65ED099C">
      <w:pPr>
        <w:keepNext w:val="0"/>
        <w:keepLines w:val="0"/>
        <w:pageBreakBefore w:val="0"/>
        <w:kinsoku/>
        <w:wordWrap/>
        <w:overflowPunct/>
        <w:topLinePunct w:val="0"/>
        <w:autoSpaceDE/>
        <w:autoSpaceDN/>
        <w:bidi w:val="0"/>
        <w:spacing w:line="400" w:lineRule="exact"/>
        <w:ind w:firstLine="486" w:firstLineChars="200"/>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3.本项目的特定资格要求：</w:t>
      </w:r>
    </w:p>
    <w:p w14:paraId="5CD4DFB4">
      <w:pPr>
        <w:keepNext w:val="0"/>
        <w:keepLines w:val="0"/>
        <w:pageBreakBefore w:val="0"/>
        <w:kinsoku/>
        <w:wordWrap/>
        <w:overflowPunct/>
        <w:topLinePunct w:val="0"/>
        <w:autoSpaceDE/>
        <w:autoSpaceDN/>
        <w:bidi w:val="0"/>
        <w:spacing w:line="400" w:lineRule="exact"/>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）具备三证合一营业执照副本；</w:t>
      </w:r>
    </w:p>
    <w:p w14:paraId="09871785">
      <w:pPr>
        <w:keepNext w:val="0"/>
        <w:keepLines w:val="0"/>
        <w:pageBreakBefore w:val="0"/>
        <w:kinsoku/>
        <w:wordWrap/>
        <w:overflowPunct/>
        <w:topLinePunct w:val="0"/>
        <w:autoSpaceDE/>
        <w:autoSpaceDN/>
        <w:bidi w:val="0"/>
        <w:spacing w:line="400" w:lineRule="exact"/>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）法定代表人投标须提供法定代表人资格证明书，委托代理人投标须提供法定代表人授权委托书；</w:t>
      </w:r>
    </w:p>
    <w:p w14:paraId="1803A4AC">
      <w:pPr>
        <w:keepNext w:val="0"/>
        <w:keepLines w:val="0"/>
        <w:pageBreakBefore w:val="0"/>
        <w:kinsoku/>
        <w:wordWrap/>
        <w:overflowPunct/>
        <w:topLinePunct w:val="0"/>
        <w:autoSpaceDE/>
        <w:autoSpaceDN/>
        <w:bidi w:val="0"/>
        <w:spacing w:line="400" w:lineRule="exact"/>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）投标企业须提供投标人（被授权在职人员）近6个月内任意一个月有效的社保证明；</w:t>
      </w:r>
    </w:p>
    <w:p w14:paraId="7F9F9383">
      <w:pPr>
        <w:pStyle w:val="34"/>
        <w:keepNext w:val="0"/>
        <w:keepLines w:val="0"/>
        <w:pageBreakBefore w:val="0"/>
        <w:kinsoku/>
        <w:wordWrap/>
        <w:overflowPunct/>
        <w:topLinePunct w:val="0"/>
        <w:autoSpaceDE/>
        <w:autoSpaceDN/>
        <w:bidi w:val="0"/>
        <w:spacing w:line="400" w:lineRule="exact"/>
        <w:ind w:left="0" w:leftChars="0"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参加政府采购活动前三年内，在经营活动中没有重大违法记录；未被“信用中国”（www.creditchina.gov.cn）、中国政府采购网（www.ccgp.gov.cn）列入失信被执行人、税收违法黑名单、政府采购严重违法失信行为记录名单。</w:t>
      </w:r>
    </w:p>
    <w:p w14:paraId="62FF745D">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三、获取招标文件</w:t>
      </w:r>
    </w:p>
    <w:p w14:paraId="4D4146B4">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6  </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27  </w:t>
      </w:r>
      <w:r>
        <w:rPr>
          <w:rFonts w:hint="eastAsia" w:ascii="仿宋" w:hAnsi="仿宋" w:eastAsia="仿宋" w:cs="仿宋"/>
          <w:color w:val="auto"/>
          <w:sz w:val="24"/>
          <w:szCs w:val="24"/>
          <w:highlight w:val="none"/>
          <w:lang w:eastAsia="zh-CN"/>
        </w:rPr>
        <w:t>日至</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7 </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  4 </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lang w:eastAsia="zh-CN"/>
        </w:rPr>
        <w:t>，每天上午10:00至</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，下午16:</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（北京时间，节假日除外）</w:t>
      </w:r>
    </w:p>
    <w:p w14:paraId="6F592F55">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地点：政采云平台线上</w:t>
      </w:r>
    </w:p>
    <w:p w14:paraId="5664D1B7">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方式：供应商登录政采云平台https://www.zcygov.cn/在线申请获取采购文件（进入“项目采购”应用，在获取采购文件菜单中选择项目，申请获取采购文件）</w:t>
      </w:r>
    </w:p>
    <w:p w14:paraId="0D814791">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售价（元）：0</w:t>
      </w:r>
    </w:p>
    <w:p w14:paraId="34EA5CE3">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四、提交投标文件截止时间、开标时间和地点</w:t>
      </w:r>
    </w:p>
    <w:p w14:paraId="1D26FC43">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截止时间：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 7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  18  </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15</w:t>
      </w:r>
      <w:r>
        <w:rPr>
          <w:rFonts w:hint="eastAsia" w:ascii="仿宋" w:hAnsi="仿宋" w:eastAsia="仿宋" w:cs="仿宋"/>
          <w:color w:val="auto"/>
          <w:kern w:val="2"/>
          <w:sz w:val="24"/>
          <w:szCs w:val="24"/>
          <w:highlight w:val="none"/>
          <w:u w:val="single"/>
          <w:lang w:eastAsia="zh-CN" w:bidi="ar-SA"/>
        </w:rPr>
        <w:t xml:space="preserve"> </w:t>
      </w:r>
      <w:r>
        <w:rPr>
          <w:rFonts w:hint="eastAsia" w:ascii="仿宋" w:hAnsi="仿宋" w:eastAsia="仿宋" w:cs="仿宋"/>
          <w:color w:val="auto"/>
          <w:kern w:val="2"/>
          <w:sz w:val="24"/>
          <w:szCs w:val="24"/>
          <w:highlight w:val="none"/>
          <w:lang w:eastAsia="zh-CN" w:bidi="ar-SA"/>
        </w:rPr>
        <w:t>（北京时间）</w:t>
      </w:r>
    </w:p>
    <w:p w14:paraId="0C57E5F0">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投标地点：政府采购云平台（www.zcygov.cn）供应商应于递交投标文件截止时间之前将电子投标文件上传到“政采云”平台。</w:t>
      </w:r>
    </w:p>
    <w:p w14:paraId="23FE052B">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  7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  18  </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15</w:t>
      </w:r>
      <w:r>
        <w:rPr>
          <w:rFonts w:hint="eastAsia" w:ascii="仿宋" w:hAnsi="仿宋" w:eastAsia="仿宋" w:cs="仿宋"/>
          <w:color w:val="auto"/>
          <w:kern w:val="2"/>
          <w:sz w:val="24"/>
          <w:szCs w:val="24"/>
          <w:highlight w:val="none"/>
          <w:lang w:eastAsia="zh-CN" w:bidi="ar-SA"/>
        </w:rPr>
        <w:t>（北京时间）</w:t>
      </w:r>
    </w:p>
    <w:p w14:paraId="5153BC31">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开标地点：投标人登录政采云平台https://www.zcygov.cn/，进入“项目采购-开标评标-右边选择对应项目点击“进入项目”进入开标大厅。</w:t>
      </w:r>
    </w:p>
    <w:p w14:paraId="4F05B70E">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五、公告期限</w:t>
      </w:r>
    </w:p>
    <w:p w14:paraId="4E6CD063">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自本公告发布之日起5个工作日</w:t>
      </w:r>
    </w:p>
    <w:p w14:paraId="02D6D8C1">
      <w:pPr>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其他补充事宜</w:t>
      </w:r>
    </w:p>
    <w:p w14:paraId="6B5278A7">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firstLine="486" w:firstLineChars="20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w:t>
      </w:r>
    </w:p>
    <w:p w14:paraId="64CC1B9E">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七、对本次采购提出询问，请按以下方式联系</w:t>
      </w:r>
    </w:p>
    <w:p w14:paraId="65971711">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1.采购人信息</w:t>
      </w:r>
    </w:p>
    <w:p w14:paraId="1D3F096F">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称：阿图什市人民政府国有资产监督管理委员会</w:t>
      </w:r>
    </w:p>
    <w:p w14:paraId="24F3F9FD">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址：阿图什市</w:t>
      </w:r>
    </w:p>
    <w:p w14:paraId="0C796542">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联系方式：19990980555</w:t>
      </w:r>
    </w:p>
    <w:p w14:paraId="57AF97B3">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3B97A828">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称：新疆飞耀项目管理有限公司　　　　　　　　   　</w:t>
      </w:r>
    </w:p>
    <w:p w14:paraId="7FB856AE">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w:t>
      </w:r>
      <w:r>
        <w:rPr>
          <w:rFonts w:hint="eastAsia" w:ascii="仿宋" w:hAnsi="仿宋" w:eastAsia="仿宋" w:cs="仿宋"/>
          <w:i w:val="0"/>
          <w:iCs w:val="0"/>
          <w:caps w:val="0"/>
          <w:color w:val="000000"/>
          <w:spacing w:val="0"/>
          <w:sz w:val="24"/>
          <w:szCs w:val="24"/>
          <w:lang w:val="en-US" w:eastAsia="zh-CN"/>
        </w:rPr>
        <w:t>克州阿图什市肖鲁克路10-1号5楼（州财政局斜对面）</w:t>
      </w:r>
      <w:r>
        <w:rPr>
          <w:rFonts w:hint="eastAsia" w:ascii="仿宋" w:hAnsi="仿宋" w:eastAsia="仿宋" w:cs="仿宋"/>
          <w:i w:val="0"/>
          <w:iCs w:val="0"/>
          <w:caps w:val="0"/>
          <w:color w:val="auto"/>
          <w:spacing w:val="0"/>
          <w:sz w:val="24"/>
          <w:szCs w:val="24"/>
          <w:highlight w:val="none"/>
          <w:lang w:val="en-US" w:eastAsia="zh-CN"/>
        </w:rPr>
        <w:t>　  　</w:t>
      </w:r>
    </w:p>
    <w:p w14:paraId="3D3B95FE">
      <w:pPr>
        <w:numPr>
          <w:ilvl w:val="0"/>
          <w:numId w:val="0"/>
        </w:numPr>
        <w:spacing w:line="360" w:lineRule="auto"/>
        <w:ind w:firstLine="486" w:firstLineChars="200"/>
        <w:jc w:val="both"/>
        <w:rPr>
          <w:rFonts w:hint="eastAsia" w:ascii="仿宋" w:hAnsi="仿宋" w:eastAsia="仿宋" w:cs="仿宋"/>
          <w:b/>
          <w:bCs/>
          <w:color w:val="auto"/>
          <w:sz w:val="36"/>
          <w:szCs w:val="36"/>
          <w:highlight w:val="none"/>
          <w:lang w:eastAsia="zh-CN"/>
        </w:rPr>
      </w:pPr>
      <w:r>
        <w:rPr>
          <w:rFonts w:hint="eastAsia" w:ascii="仿宋" w:hAnsi="仿宋" w:eastAsia="仿宋" w:cs="仿宋"/>
          <w:i w:val="0"/>
          <w:iCs w:val="0"/>
          <w:caps w:val="0"/>
          <w:color w:val="auto"/>
          <w:spacing w:val="0"/>
          <w:sz w:val="24"/>
          <w:szCs w:val="24"/>
          <w:highlight w:val="none"/>
          <w:lang w:val="en-US" w:eastAsia="zh-CN"/>
        </w:rPr>
        <w:t>项目联系人：段女士  15349977680</w:t>
      </w:r>
    </w:p>
    <w:p w14:paraId="5A223A63">
      <w:pPr>
        <w:numPr>
          <w:ilvl w:val="0"/>
          <w:numId w:val="0"/>
        </w:numPr>
        <w:spacing w:line="360" w:lineRule="auto"/>
        <w:jc w:val="both"/>
        <w:rPr>
          <w:rFonts w:hint="eastAsia" w:ascii="仿宋" w:hAnsi="仿宋" w:eastAsia="仿宋" w:cs="仿宋"/>
          <w:b/>
          <w:bCs/>
          <w:color w:val="auto"/>
          <w:sz w:val="36"/>
          <w:szCs w:val="36"/>
          <w:highlight w:val="none"/>
          <w:lang w:eastAsia="zh-CN"/>
        </w:rPr>
      </w:pPr>
    </w:p>
    <w:p w14:paraId="2DDB934B">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36"/>
          <w:szCs w:val="36"/>
          <w:highlight w:val="none"/>
          <w:lang w:eastAsia="zh-CN"/>
        </w:rPr>
        <w:t>第二</w:t>
      </w:r>
      <w:r>
        <w:rPr>
          <w:rFonts w:hint="eastAsia" w:ascii="仿宋" w:hAnsi="仿宋" w:eastAsia="仿宋" w:cs="仿宋"/>
          <w:b/>
          <w:bCs/>
          <w:color w:val="auto"/>
          <w:sz w:val="36"/>
          <w:szCs w:val="36"/>
          <w:highlight w:val="none"/>
          <w:lang w:val="en-US" w:eastAsia="zh-CN"/>
        </w:rPr>
        <w:t xml:space="preserve">章 </w:t>
      </w:r>
      <w:r>
        <w:rPr>
          <w:rFonts w:hint="eastAsia" w:ascii="仿宋" w:hAnsi="仿宋" w:eastAsia="仿宋" w:cs="仿宋"/>
          <w:b/>
          <w:bCs/>
          <w:color w:val="auto"/>
          <w:sz w:val="36"/>
          <w:szCs w:val="36"/>
          <w:highlight w:val="none"/>
        </w:rPr>
        <w:t>供应商须知</w:t>
      </w:r>
    </w:p>
    <w:p w14:paraId="256D9242">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须知前附表</w:t>
      </w:r>
    </w:p>
    <w:tbl>
      <w:tblPr>
        <w:tblStyle w:val="25"/>
        <w:tblW w:w="9892" w:type="dxa"/>
        <w:jc w:val="center"/>
        <w:tblLayout w:type="fixed"/>
        <w:tblCellMar>
          <w:top w:w="0" w:type="dxa"/>
          <w:left w:w="108" w:type="dxa"/>
          <w:bottom w:w="0" w:type="dxa"/>
          <w:right w:w="108" w:type="dxa"/>
        </w:tblCellMar>
      </w:tblPr>
      <w:tblGrid>
        <w:gridCol w:w="579"/>
        <w:gridCol w:w="1701"/>
        <w:gridCol w:w="7612"/>
      </w:tblGrid>
      <w:tr w14:paraId="403085DA">
        <w:tblPrEx>
          <w:tblCellMar>
            <w:top w:w="0" w:type="dxa"/>
            <w:left w:w="108" w:type="dxa"/>
            <w:bottom w:w="0" w:type="dxa"/>
            <w:right w:w="108" w:type="dxa"/>
          </w:tblCellMar>
        </w:tblPrEx>
        <w:trPr>
          <w:trHeight w:val="563"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C4B5450">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序 号</w:t>
            </w:r>
          </w:p>
        </w:tc>
        <w:tc>
          <w:tcPr>
            <w:tcW w:w="1701" w:type="dxa"/>
            <w:tcBorders>
              <w:top w:val="single" w:color="auto" w:sz="4" w:space="0"/>
              <w:left w:val="single" w:color="auto" w:sz="4" w:space="0"/>
              <w:bottom w:val="single" w:color="auto" w:sz="4" w:space="0"/>
              <w:right w:val="single" w:color="auto" w:sz="4" w:space="0"/>
            </w:tcBorders>
            <w:vAlign w:val="center"/>
          </w:tcPr>
          <w:p w14:paraId="2B2C0A3A">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7612" w:type="dxa"/>
            <w:tcBorders>
              <w:top w:val="single" w:color="auto" w:sz="4" w:space="0"/>
              <w:left w:val="single" w:color="auto" w:sz="4" w:space="0"/>
              <w:bottom w:val="single" w:color="auto" w:sz="4" w:space="0"/>
              <w:right w:val="single" w:color="auto" w:sz="4" w:space="0"/>
            </w:tcBorders>
            <w:vAlign w:val="center"/>
          </w:tcPr>
          <w:p w14:paraId="44356A60">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编  列  内  容</w:t>
            </w:r>
          </w:p>
        </w:tc>
      </w:tr>
      <w:tr w14:paraId="36243177">
        <w:tblPrEx>
          <w:tblCellMar>
            <w:top w:w="0" w:type="dxa"/>
            <w:left w:w="108" w:type="dxa"/>
            <w:bottom w:w="0" w:type="dxa"/>
            <w:right w:w="108" w:type="dxa"/>
          </w:tblCellMar>
        </w:tblPrEx>
        <w:trPr>
          <w:trHeight w:val="2163"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3F7BAEE">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2F653728">
            <w:pPr>
              <w:pStyle w:val="34"/>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p w14:paraId="49A5C5F2">
            <w:pPr>
              <w:pStyle w:val="34"/>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项目编号：</w:t>
            </w:r>
          </w:p>
          <w:p w14:paraId="63869ADE">
            <w:pPr>
              <w:pStyle w:val="34"/>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采购内容：</w:t>
            </w:r>
          </w:p>
          <w:p w14:paraId="2CB807B9">
            <w:pPr>
              <w:pStyle w:val="34"/>
              <w:ind w:firstLine="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实施工期：</w:t>
            </w:r>
          </w:p>
        </w:tc>
        <w:tc>
          <w:tcPr>
            <w:tcW w:w="7612" w:type="dxa"/>
            <w:tcBorders>
              <w:top w:val="single" w:color="auto" w:sz="4" w:space="0"/>
              <w:left w:val="single" w:color="auto" w:sz="4" w:space="0"/>
              <w:bottom w:val="single" w:color="auto" w:sz="4" w:space="0"/>
              <w:right w:val="single" w:color="auto" w:sz="4" w:space="0"/>
            </w:tcBorders>
            <w:vAlign w:val="center"/>
          </w:tcPr>
          <w:p w14:paraId="14CBBB74">
            <w:pPr>
              <w:spacing w:line="4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项目名称：阿图什市国资国企数字化运营监管平台项目</w:t>
            </w:r>
          </w:p>
          <w:p w14:paraId="372289FA">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项目编号：ATSCG-2025045</w:t>
            </w:r>
          </w:p>
          <w:p w14:paraId="1D2E53F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采购内容：阿图什市国资国企数字化运营监管平台</w:t>
            </w:r>
            <w:r>
              <w:rPr>
                <w:rFonts w:hint="eastAsia" w:ascii="仿宋" w:hAnsi="仿宋" w:eastAsia="仿宋" w:cs="仿宋"/>
                <w:color w:val="auto"/>
                <w:highlight w:val="none"/>
                <w:lang w:val="en-US" w:eastAsia="zh-CN"/>
              </w:rPr>
              <w:t>建设</w:t>
            </w:r>
            <w:r>
              <w:rPr>
                <w:rFonts w:hint="eastAsia" w:ascii="仿宋" w:hAnsi="仿宋" w:eastAsia="仿宋" w:cs="仿宋"/>
                <w:color w:val="auto"/>
                <w:highlight w:val="none"/>
                <w:lang w:eastAsia="zh-CN"/>
              </w:rPr>
              <w:t>（具体详见招标文件）</w:t>
            </w:r>
          </w:p>
          <w:p w14:paraId="76051158">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color w:val="auto"/>
                <w:highlight w:val="none"/>
                <w:lang w:eastAsia="zh-CN"/>
              </w:rPr>
              <w:t>实施工期：自合同签订之日起</w:t>
            </w:r>
            <w:r>
              <w:rPr>
                <w:rFonts w:hint="eastAsia" w:ascii="仿宋" w:hAnsi="仿宋" w:eastAsia="仿宋" w:cs="仿宋"/>
                <w:color w:val="auto"/>
                <w:highlight w:val="none"/>
                <w:lang w:val="en-US" w:eastAsia="zh-CN"/>
              </w:rPr>
              <w:t>90</w:t>
            </w:r>
            <w:r>
              <w:rPr>
                <w:rFonts w:hint="eastAsia" w:ascii="仿宋" w:hAnsi="仿宋" w:eastAsia="仿宋" w:cs="仿宋"/>
                <w:color w:val="auto"/>
                <w:highlight w:val="none"/>
                <w:lang w:eastAsia="zh-CN"/>
              </w:rPr>
              <w:t>天内完成供货，安装调试完毕</w:t>
            </w:r>
            <w:r>
              <w:rPr>
                <w:rFonts w:hint="eastAsia" w:ascii="仿宋" w:hAnsi="仿宋" w:eastAsia="仿宋" w:cs="仿宋"/>
                <w:color w:val="auto"/>
                <w:highlight w:val="none"/>
                <w:lang w:val="en-US" w:eastAsia="zh-CN"/>
              </w:rPr>
              <w:t>并</w:t>
            </w:r>
            <w:r>
              <w:rPr>
                <w:rFonts w:hint="eastAsia" w:ascii="仿宋" w:hAnsi="仿宋" w:eastAsia="仿宋" w:cs="仿宋"/>
                <w:color w:val="auto"/>
                <w:highlight w:val="none"/>
                <w:lang w:eastAsia="zh-CN"/>
              </w:rPr>
              <w:t>投入使用。</w:t>
            </w:r>
          </w:p>
        </w:tc>
      </w:tr>
      <w:tr w14:paraId="09C6BFD6">
        <w:tblPrEx>
          <w:tblCellMar>
            <w:top w:w="0" w:type="dxa"/>
            <w:left w:w="108" w:type="dxa"/>
            <w:bottom w:w="0" w:type="dxa"/>
            <w:right w:w="108" w:type="dxa"/>
          </w:tblCellMar>
        </w:tblPrEx>
        <w:trPr>
          <w:trHeight w:val="85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2CB73CB">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61A05BA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采购人信息</w:t>
            </w:r>
          </w:p>
        </w:tc>
        <w:tc>
          <w:tcPr>
            <w:tcW w:w="7612" w:type="dxa"/>
            <w:tcBorders>
              <w:top w:val="single" w:color="auto" w:sz="4" w:space="0"/>
              <w:left w:val="single" w:color="auto" w:sz="4" w:space="0"/>
              <w:bottom w:val="single" w:color="auto" w:sz="4" w:space="0"/>
              <w:right w:val="single" w:color="auto" w:sz="4" w:space="0"/>
            </w:tcBorders>
            <w:vAlign w:val="center"/>
          </w:tcPr>
          <w:p w14:paraId="17B759B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  称：阿图什市人民政府国有资产监督管理委员会</w:t>
            </w:r>
          </w:p>
          <w:p w14:paraId="1DF8283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联系人：季先生     电  话：19990980555</w:t>
            </w:r>
          </w:p>
        </w:tc>
      </w:tr>
      <w:tr w14:paraId="69AD9FE2">
        <w:tblPrEx>
          <w:tblCellMar>
            <w:top w:w="0" w:type="dxa"/>
            <w:left w:w="108" w:type="dxa"/>
            <w:bottom w:w="0" w:type="dxa"/>
            <w:right w:w="108" w:type="dxa"/>
          </w:tblCellMar>
        </w:tblPrEx>
        <w:trPr>
          <w:trHeight w:val="128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D940CFF">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445D77B4">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采购代理机构</w:t>
            </w:r>
          </w:p>
        </w:tc>
        <w:tc>
          <w:tcPr>
            <w:tcW w:w="7612" w:type="dxa"/>
            <w:tcBorders>
              <w:top w:val="single" w:color="auto" w:sz="4" w:space="0"/>
              <w:left w:val="single" w:color="auto" w:sz="4" w:space="0"/>
              <w:bottom w:val="single" w:color="auto" w:sz="4" w:space="0"/>
              <w:right w:val="single" w:color="auto" w:sz="4" w:space="0"/>
            </w:tcBorders>
            <w:vAlign w:val="center"/>
          </w:tcPr>
          <w:p w14:paraId="5F2492B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  称：新疆飞耀项目管理有限公司</w:t>
            </w:r>
          </w:p>
          <w:p w14:paraId="2196CFF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w:t>
            </w:r>
            <w:r>
              <w:rPr>
                <w:rFonts w:hint="eastAsia" w:ascii="仿宋" w:hAnsi="仿宋" w:eastAsia="仿宋" w:cs="仿宋"/>
                <w:i w:val="0"/>
                <w:iCs w:val="0"/>
                <w:caps w:val="0"/>
                <w:color w:val="000000"/>
                <w:spacing w:val="0"/>
                <w:sz w:val="24"/>
                <w:szCs w:val="24"/>
                <w:lang w:val="en-US" w:eastAsia="zh-CN"/>
              </w:rPr>
              <w:t>克州阿图什市肖鲁克路10-1号5楼（州财政局斜对面）</w:t>
            </w:r>
          </w:p>
          <w:p w14:paraId="5B8E5AA1">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联系人：段女士     电  话：15349977680</w:t>
            </w:r>
          </w:p>
        </w:tc>
      </w:tr>
      <w:tr w14:paraId="095936FF">
        <w:tblPrEx>
          <w:tblCellMar>
            <w:top w:w="0" w:type="dxa"/>
            <w:left w:w="108" w:type="dxa"/>
            <w:bottom w:w="0" w:type="dxa"/>
            <w:right w:w="108" w:type="dxa"/>
          </w:tblCellMar>
        </w:tblPrEx>
        <w:trPr>
          <w:trHeight w:val="46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7DC2913">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1411980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最终交货地点</w:t>
            </w:r>
          </w:p>
        </w:tc>
        <w:tc>
          <w:tcPr>
            <w:tcW w:w="7612" w:type="dxa"/>
            <w:tcBorders>
              <w:top w:val="single" w:color="auto" w:sz="4" w:space="0"/>
              <w:left w:val="single" w:color="auto" w:sz="4" w:space="0"/>
              <w:bottom w:val="single" w:color="auto" w:sz="4" w:space="0"/>
              <w:right w:val="single" w:color="auto" w:sz="4" w:space="0"/>
            </w:tcBorders>
            <w:vAlign w:val="center"/>
          </w:tcPr>
          <w:p w14:paraId="03A2D1B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采购单位指定地点</w:t>
            </w:r>
          </w:p>
        </w:tc>
      </w:tr>
      <w:tr w14:paraId="20C13BBE">
        <w:tblPrEx>
          <w:tblCellMar>
            <w:top w:w="0" w:type="dxa"/>
            <w:left w:w="108" w:type="dxa"/>
            <w:bottom w:w="0" w:type="dxa"/>
            <w:right w:w="108" w:type="dxa"/>
          </w:tblCellMar>
        </w:tblPrEx>
        <w:trPr>
          <w:trHeight w:val="45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0E2B64FF">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0377E86A">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资格要求</w:t>
            </w:r>
          </w:p>
        </w:tc>
        <w:tc>
          <w:tcPr>
            <w:tcW w:w="7612" w:type="dxa"/>
            <w:tcBorders>
              <w:top w:val="single" w:color="auto" w:sz="4" w:space="0"/>
              <w:left w:val="single" w:color="auto" w:sz="4" w:space="0"/>
              <w:bottom w:val="single" w:color="auto" w:sz="4" w:space="0"/>
              <w:right w:val="single" w:color="auto" w:sz="4" w:space="0"/>
            </w:tcBorders>
            <w:vAlign w:val="center"/>
          </w:tcPr>
          <w:p w14:paraId="1FBE91E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1.满足《中华人民共和国政府采购法》第二十二条规定；</w:t>
            </w:r>
          </w:p>
          <w:p w14:paraId="5EBC990B">
            <w:pPr>
              <w:spacing w:line="400" w:lineRule="exact"/>
              <w:rPr>
                <w:rFonts w:hint="eastAsia" w:ascii="仿宋" w:hAnsi="仿宋" w:eastAsia="仿宋" w:cs="仿宋"/>
                <w:b w:val="0"/>
                <w:bCs w:val="0"/>
                <w:i w:val="0"/>
                <w:iCs w:val="0"/>
                <w:caps w:val="0"/>
                <w:color w:val="000000"/>
                <w:spacing w:val="0"/>
                <w:sz w:val="24"/>
                <w:szCs w:val="24"/>
                <w:highlight w:val="none"/>
                <w:lang w:eastAsia="zh-CN"/>
              </w:rPr>
            </w:pPr>
            <w:r>
              <w:rPr>
                <w:rFonts w:hint="eastAsia" w:ascii="仿宋" w:hAnsi="仿宋" w:eastAsia="仿宋" w:cs="仿宋"/>
                <w:color w:val="auto"/>
                <w:highlight w:val="none"/>
                <w:lang w:val="en-US" w:eastAsia="zh-CN"/>
              </w:rPr>
              <w:t>2.落实政府采购政策需满足的资格要求：</w:t>
            </w:r>
            <w:r>
              <w:rPr>
                <w:rFonts w:hint="eastAsia" w:ascii="仿宋" w:hAnsi="仿宋" w:eastAsia="仿宋" w:cs="仿宋"/>
                <w:b w:val="0"/>
                <w:bCs w:val="0"/>
                <w:i w:val="0"/>
                <w:iCs w:val="0"/>
                <w:caps w:val="0"/>
                <w:color w:val="000000"/>
                <w:spacing w:val="0"/>
                <w:sz w:val="24"/>
                <w:szCs w:val="24"/>
                <w:highlight w:val="none"/>
                <w:lang w:val="en-US" w:eastAsia="zh-CN"/>
              </w:rPr>
              <w:t>本项目为非专门面向中小企业。</w:t>
            </w:r>
          </w:p>
          <w:p w14:paraId="4173895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3.本项目的特定资格要求：</w:t>
            </w:r>
          </w:p>
          <w:p w14:paraId="047350A0">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）具备三证合一营业执照副本；</w:t>
            </w:r>
          </w:p>
          <w:p w14:paraId="5D208C3E">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）法定代表人投标须提供法定代表人资格证明书，委托代理人投标须提供法定代表人授权委托书；</w:t>
            </w:r>
          </w:p>
          <w:p w14:paraId="64BF628F">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）投标企业须提供投标人（被授权在职人员）近6个月内任意一个月有效的社保证明；</w:t>
            </w:r>
          </w:p>
          <w:p w14:paraId="204619D9">
            <w:pPr>
              <w:pStyle w:val="34"/>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参加政府采购活动前三年内，在经营活动中没有重大违法记录；未被“信用中国”（www.creditchina.gov.cn）、中国政府采购网（www.ccgp.gov.cn）列入失信被执行人、税收违法黑名单、政府采购严重违法失信行为记录名单。</w:t>
            </w:r>
          </w:p>
          <w:p w14:paraId="34189CF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4.本项目不接受联合体投标。</w:t>
            </w:r>
          </w:p>
        </w:tc>
      </w:tr>
      <w:tr w14:paraId="679FF079">
        <w:tblPrEx>
          <w:tblCellMar>
            <w:top w:w="0" w:type="dxa"/>
            <w:left w:w="108" w:type="dxa"/>
            <w:bottom w:w="0" w:type="dxa"/>
            <w:right w:w="108" w:type="dxa"/>
          </w:tblCellMar>
        </w:tblPrEx>
        <w:trPr>
          <w:trHeight w:val="53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F25595E">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13FE3AE9">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付款方式</w:t>
            </w:r>
          </w:p>
        </w:tc>
        <w:tc>
          <w:tcPr>
            <w:tcW w:w="7612" w:type="dxa"/>
            <w:tcBorders>
              <w:top w:val="single" w:color="auto" w:sz="4" w:space="0"/>
              <w:left w:val="single" w:color="auto" w:sz="4" w:space="0"/>
              <w:bottom w:val="single" w:color="auto" w:sz="4" w:space="0"/>
              <w:right w:val="single" w:color="auto" w:sz="4" w:space="0"/>
            </w:tcBorders>
            <w:vAlign w:val="center"/>
          </w:tcPr>
          <w:p w14:paraId="7FBABBF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甲乙双方签订合同时约定。</w:t>
            </w:r>
          </w:p>
        </w:tc>
      </w:tr>
      <w:tr w14:paraId="368A24F0">
        <w:tblPrEx>
          <w:tblCellMar>
            <w:top w:w="0" w:type="dxa"/>
            <w:left w:w="108" w:type="dxa"/>
            <w:bottom w:w="0" w:type="dxa"/>
            <w:right w:w="108" w:type="dxa"/>
          </w:tblCellMar>
        </w:tblPrEx>
        <w:trPr>
          <w:trHeight w:val="57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241E7C3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67B0DF53">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资金来源</w:t>
            </w:r>
          </w:p>
        </w:tc>
        <w:tc>
          <w:tcPr>
            <w:tcW w:w="7612" w:type="dxa"/>
            <w:tcBorders>
              <w:top w:val="single" w:color="auto" w:sz="4" w:space="0"/>
              <w:left w:val="single" w:color="auto" w:sz="4" w:space="0"/>
              <w:bottom w:val="single" w:color="auto" w:sz="4" w:space="0"/>
              <w:right w:val="single" w:color="auto" w:sz="4" w:space="0"/>
            </w:tcBorders>
            <w:vAlign w:val="center"/>
          </w:tcPr>
          <w:p w14:paraId="589CD779">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2025年财政预算资金</w:t>
            </w:r>
          </w:p>
        </w:tc>
      </w:tr>
      <w:tr w14:paraId="14664C71">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44CE46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701" w:type="dxa"/>
            <w:tcBorders>
              <w:top w:val="single" w:color="auto" w:sz="4" w:space="0"/>
              <w:left w:val="single" w:color="auto" w:sz="4" w:space="0"/>
              <w:bottom w:val="single" w:color="auto" w:sz="4" w:space="0"/>
              <w:right w:val="single" w:color="auto" w:sz="4" w:space="0"/>
            </w:tcBorders>
            <w:vAlign w:val="center"/>
          </w:tcPr>
          <w:p w14:paraId="18064991">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招标方式</w:t>
            </w:r>
          </w:p>
        </w:tc>
        <w:tc>
          <w:tcPr>
            <w:tcW w:w="7612" w:type="dxa"/>
            <w:tcBorders>
              <w:top w:val="single" w:color="auto" w:sz="4" w:space="0"/>
              <w:left w:val="single" w:color="auto" w:sz="4" w:space="0"/>
              <w:bottom w:val="single" w:color="auto" w:sz="4" w:space="0"/>
              <w:right w:val="single" w:color="auto" w:sz="4" w:space="0"/>
            </w:tcBorders>
            <w:vAlign w:val="center"/>
          </w:tcPr>
          <w:p w14:paraId="456F266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公开招标(本项目采用网上电子招投标)  </w:t>
            </w:r>
          </w:p>
        </w:tc>
      </w:tr>
      <w:tr w14:paraId="0F24BA0F">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249699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008D7A9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供应商信用查询</w:t>
            </w:r>
          </w:p>
        </w:tc>
        <w:tc>
          <w:tcPr>
            <w:tcW w:w="7612" w:type="dxa"/>
            <w:tcBorders>
              <w:top w:val="single" w:color="auto" w:sz="4" w:space="0"/>
              <w:left w:val="single" w:color="auto" w:sz="4" w:space="0"/>
              <w:bottom w:val="single" w:color="auto" w:sz="4" w:space="0"/>
              <w:right w:val="single" w:color="auto" w:sz="4" w:space="0"/>
            </w:tcBorders>
            <w:vAlign w:val="center"/>
          </w:tcPr>
          <w:p w14:paraId="681C762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1、查询渠道：信用中国（网址：http://www.creditchina.gov.cn）、中国政府采购网(网址：http://www.ccgp.gov.cn）。</w:t>
            </w:r>
          </w:p>
          <w:p w14:paraId="54678BC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2、截止时点：开标后评标前。</w:t>
            </w:r>
          </w:p>
          <w:p w14:paraId="660A5D4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3、信用信息查询记录和证据留存的具体方式：由采购组织机构在规定查询时间内打印信用信息查询记录并归入项目档案。</w:t>
            </w:r>
          </w:p>
          <w:p w14:paraId="04DC08B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0B5E535E">
        <w:tblPrEx>
          <w:tblCellMar>
            <w:top w:w="0" w:type="dxa"/>
            <w:left w:w="108" w:type="dxa"/>
            <w:bottom w:w="0" w:type="dxa"/>
            <w:right w:w="108" w:type="dxa"/>
          </w:tblCellMar>
        </w:tblPrEx>
        <w:trPr>
          <w:trHeight w:val="104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08E5301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701" w:type="dxa"/>
            <w:tcBorders>
              <w:top w:val="single" w:color="auto" w:sz="4" w:space="0"/>
              <w:left w:val="single" w:color="auto" w:sz="4" w:space="0"/>
              <w:bottom w:val="single" w:color="auto" w:sz="4" w:space="0"/>
              <w:right w:val="single" w:color="auto" w:sz="4" w:space="0"/>
            </w:tcBorders>
            <w:vAlign w:val="center"/>
          </w:tcPr>
          <w:p w14:paraId="173D6B0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是否接受联合体投标</w:t>
            </w:r>
          </w:p>
        </w:tc>
        <w:tc>
          <w:tcPr>
            <w:tcW w:w="7612" w:type="dxa"/>
            <w:tcBorders>
              <w:top w:val="single" w:color="auto" w:sz="4" w:space="0"/>
              <w:left w:val="single" w:color="auto" w:sz="4" w:space="0"/>
              <w:bottom w:val="single" w:color="auto" w:sz="4" w:space="0"/>
              <w:right w:val="single" w:color="auto" w:sz="4" w:space="0"/>
            </w:tcBorders>
            <w:vAlign w:val="center"/>
          </w:tcPr>
          <w:p w14:paraId="6C792C3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■不接受</w:t>
            </w:r>
          </w:p>
          <w:p w14:paraId="4499128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□接  受</w:t>
            </w:r>
          </w:p>
        </w:tc>
      </w:tr>
      <w:tr w14:paraId="376DC3ED">
        <w:tblPrEx>
          <w:tblCellMar>
            <w:top w:w="0" w:type="dxa"/>
            <w:left w:w="108" w:type="dxa"/>
            <w:bottom w:w="0" w:type="dxa"/>
            <w:right w:w="108" w:type="dxa"/>
          </w:tblCellMar>
        </w:tblPrEx>
        <w:trPr>
          <w:trHeight w:val="88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2B0EC56">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701" w:type="dxa"/>
            <w:tcBorders>
              <w:top w:val="single" w:color="auto" w:sz="4" w:space="0"/>
              <w:left w:val="single" w:color="auto" w:sz="4" w:space="0"/>
              <w:bottom w:val="single" w:color="auto" w:sz="4" w:space="0"/>
              <w:right w:val="single" w:color="auto" w:sz="4" w:space="0"/>
            </w:tcBorders>
            <w:vAlign w:val="center"/>
          </w:tcPr>
          <w:p w14:paraId="6743C62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投标截止时间 （开标时间）</w:t>
            </w:r>
          </w:p>
        </w:tc>
        <w:tc>
          <w:tcPr>
            <w:tcW w:w="7612" w:type="dxa"/>
            <w:tcBorders>
              <w:top w:val="single" w:color="auto" w:sz="4" w:space="0"/>
              <w:left w:val="single" w:color="auto" w:sz="4" w:space="0"/>
              <w:bottom w:val="single" w:color="auto" w:sz="4" w:space="0"/>
              <w:right w:val="single" w:color="auto" w:sz="4" w:space="0"/>
            </w:tcBorders>
            <w:vAlign w:val="center"/>
          </w:tcPr>
          <w:p w14:paraId="7659E99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截止时间：2025年  7 月18  日上午10时15分（北京时间）</w:t>
            </w:r>
          </w:p>
        </w:tc>
      </w:tr>
      <w:tr w14:paraId="46F6AA1D">
        <w:tblPrEx>
          <w:tblCellMar>
            <w:top w:w="0" w:type="dxa"/>
            <w:left w:w="108" w:type="dxa"/>
            <w:bottom w:w="0" w:type="dxa"/>
            <w:right w:w="108" w:type="dxa"/>
          </w:tblCellMar>
        </w:tblPrEx>
        <w:trPr>
          <w:trHeight w:val="47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2A4292D5">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701" w:type="dxa"/>
            <w:tcBorders>
              <w:top w:val="single" w:color="auto" w:sz="4" w:space="0"/>
              <w:left w:val="single" w:color="auto" w:sz="4" w:space="0"/>
              <w:bottom w:val="single" w:color="auto" w:sz="4" w:space="0"/>
              <w:right w:val="single" w:color="auto" w:sz="4" w:space="0"/>
            </w:tcBorders>
            <w:vAlign w:val="center"/>
          </w:tcPr>
          <w:p w14:paraId="1A5A3C8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投标有效期</w:t>
            </w:r>
          </w:p>
        </w:tc>
        <w:tc>
          <w:tcPr>
            <w:tcW w:w="7612" w:type="dxa"/>
            <w:tcBorders>
              <w:top w:val="single" w:color="auto" w:sz="4" w:space="0"/>
              <w:left w:val="single" w:color="auto" w:sz="4" w:space="0"/>
              <w:bottom w:val="single" w:color="auto" w:sz="4" w:space="0"/>
              <w:right w:val="single" w:color="auto" w:sz="4" w:space="0"/>
            </w:tcBorders>
            <w:vAlign w:val="center"/>
          </w:tcPr>
          <w:p w14:paraId="7205497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60 天</w:t>
            </w:r>
          </w:p>
        </w:tc>
      </w:tr>
      <w:tr w14:paraId="092C578E">
        <w:tblPrEx>
          <w:tblCellMar>
            <w:top w:w="0" w:type="dxa"/>
            <w:left w:w="108" w:type="dxa"/>
            <w:bottom w:w="0" w:type="dxa"/>
            <w:right w:w="108" w:type="dxa"/>
          </w:tblCellMar>
        </w:tblPrEx>
        <w:trPr>
          <w:trHeight w:val="49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0738E4F">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701" w:type="dxa"/>
            <w:tcBorders>
              <w:top w:val="single" w:color="auto" w:sz="4" w:space="0"/>
              <w:left w:val="single" w:color="auto" w:sz="4" w:space="0"/>
              <w:bottom w:val="single" w:color="auto" w:sz="4" w:space="0"/>
              <w:right w:val="single" w:color="auto" w:sz="4" w:space="0"/>
            </w:tcBorders>
            <w:vAlign w:val="center"/>
          </w:tcPr>
          <w:p w14:paraId="024D0E12">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w:t>
            </w:r>
          </w:p>
        </w:tc>
        <w:tc>
          <w:tcPr>
            <w:tcW w:w="7612" w:type="dxa"/>
            <w:tcBorders>
              <w:top w:val="single" w:color="auto" w:sz="4" w:space="0"/>
              <w:left w:val="single" w:color="auto" w:sz="4" w:space="0"/>
              <w:bottom w:val="single" w:color="auto" w:sz="4" w:space="0"/>
              <w:right w:val="single" w:color="auto" w:sz="4" w:space="0"/>
            </w:tcBorders>
            <w:vAlign w:val="center"/>
          </w:tcPr>
          <w:p w14:paraId="58C9672D">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14:paraId="3107A458">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14:paraId="7BB5D678">
            <w:pPr>
              <w:numPr>
                <w:ilvl w:val="0"/>
                <w:numId w:val="0"/>
              </w:numPr>
              <w:shd w:val="clear" w:color="auto" w:fill="auto"/>
              <w:spacing w:line="360" w:lineRule="auto"/>
              <w:jc w:val="left"/>
              <w:rPr>
                <w:rFonts w:hint="eastAsia" w:ascii="仿宋" w:hAnsi="仿宋" w:eastAsia="仿宋" w:cs="仿宋"/>
                <w:color w:val="auto"/>
                <w:w w:val="90"/>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：15000.00元（壹万伍仟元整）</w:t>
            </w:r>
          </w:p>
          <w:p w14:paraId="59172A83">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24904B7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3A6226E3">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户名：阿图什市政务服务和公共资源交易中心</w:t>
            </w:r>
          </w:p>
          <w:p w14:paraId="26921630">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账号：30456301040005267</w:t>
            </w:r>
          </w:p>
          <w:p w14:paraId="7020AED6">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行名：中国农业银行阿图什市天山支行</w:t>
            </w:r>
          </w:p>
          <w:p w14:paraId="62F13440">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14:paraId="2EC2BFF2">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联系人：古女士</w:t>
            </w:r>
          </w:p>
          <w:p w14:paraId="4481D3D9">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val="en-US" w:eastAsia="zh-CN"/>
              </w:rPr>
              <w:t xml:space="preserve"> 电话：0908-4222076 </w:t>
            </w:r>
          </w:p>
          <w:p w14:paraId="3EC128D2">
            <w:pPr>
              <w:numPr>
                <w:ilvl w:val="0"/>
                <w:numId w:val="0"/>
              </w:numPr>
              <w:shd w:val="clear" w:color="auto" w:fill="auto"/>
              <w:spacing w:line="360" w:lineRule="auto"/>
              <w:jc w:val="left"/>
              <w:rPr>
                <w:rFonts w:hint="eastAsia" w:ascii="仿宋" w:hAnsi="仿宋" w:eastAsia="仿宋" w:cs="仿宋"/>
                <w:color w:val="FF0000"/>
                <w:sz w:val="28"/>
                <w:szCs w:val="28"/>
                <w:lang w:eastAsia="zh-CN"/>
              </w:rPr>
            </w:pPr>
            <w:r>
              <w:rPr>
                <w:rFonts w:hint="eastAsia" w:ascii="仿宋" w:hAnsi="仿宋" w:eastAsia="仿宋" w:cs="仿宋"/>
                <w:color w:val="FF0000"/>
                <w:sz w:val="28"/>
                <w:szCs w:val="28"/>
                <w:lang w:eastAsia="zh-CN"/>
              </w:rPr>
              <w:t>（备注：交易用途必须写清楚项目名称）</w:t>
            </w:r>
          </w:p>
          <w:p w14:paraId="4A1A581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3F3B6626">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42467323">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w:t>
            </w:r>
            <w:r>
              <w:rPr>
                <w:rFonts w:hint="eastAsia" w:ascii="仿宋" w:hAnsi="仿宋" w:eastAsia="仿宋" w:cs="仿宋"/>
                <w:color w:val="auto"/>
                <w:lang w:val="en-US" w:eastAsia="zh-CN"/>
              </w:rPr>
              <w:t>合同</w:t>
            </w:r>
            <w:r>
              <w:rPr>
                <w:rFonts w:hint="eastAsia" w:ascii="仿宋" w:hAnsi="仿宋" w:eastAsia="仿宋" w:cs="仿宋"/>
                <w:color w:val="auto"/>
                <w:lang w:eastAsia="zh-CN"/>
              </w:rPr>
              <w:t>签订后携带打款凭证，中标通知书及合同(所有</w:t>
            </w:r>
            <w:r>
              <w:rPr>
                <w:rFonts w:hint="eastAsia" w:ascii="仿宋" w:hAnsi="仿宋" w:eastAsia="仿宋" w:cs="仿宋"/>
                <w:color w:val="auto"/>
                <w:lang w:val="en-US" w:eastAsia="zh-CN"/>
              </w:rPr>
              <w:t>复</w:t>
            </w:r>
            <w:r>
              <w:rPr>
                <w:rFonts w:hint="eastAsia" w:ascii="仿宋" w:hAnsi="仿宋" w:eastAsia="仿宋" w:cs="仿宋"/>
                <w:color w:val="auto"/>
                <w:lang w:eastAsia="zh-CN"/>
              </w:rPr>
              <w:t>印件需加盖鲜）前往交易中心由财务人员核对后退还</w:t>
            </w:r>
          </w:p>
          <w:p w14:paraId="22E04450">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7DE0E31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color w:val="auto"/>
                <w:highlight w:val="none"/>
                <w:lang w:val="en-US" w:eastAsia="zh-CN"/>
              </w:rPr>
              <w:t xml:space="preserve">                       </w:t>
            </w:r>
          </w:p>
        </w:tc>
      </w:tr>
      <w:tr w14:paraId="1DCDDDF6">
        <w:tblPrEx>
          <w:tblCellMar>
            <w:top w:w="0" w:type="dxa"/>
            <w:left w:w="108" w:type="dxa"/>
            <w:bottom w:w="0" w:type="dxa"/>
            <w:right w:w="108" w:type="dxa"/>
          </w:tblCellMar>
        </w:tblPrEx>
        <w:trPr>
          <w:trHeight w:val="140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8487D3E">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701" w:type="dxa"/>
            <w:tcBorders>
              <w:top w:val="single" w:color="auto" w:sz="4" w:space="0"/>
              <w:left w:val="single" w:color="auto" w:sz="4" w:space="0"/>
              <w:bottom w:val="single" w:color="auto" w:sz="4" w:space="0"/>
              <w:right w:val="single" w:color="auto" w:sz="4" w:space="0"/>
            </w:tcBorders>
            <w:vAlign w:val="center"/>
          </w:tcPr>
          <w:p w14:paraId="7210C21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是否允许递交备选投标方案</w:t>
            </w:r>
          </w:p>
        </w:tc>
        <w:tc>
          <w:tcPr>
            <w:tcW w:w="7612" w:type="dxa"/>
            <w:tcBorders>
              <w:top w:val="single" w:color="auto" w:sz="4" w:space="0"/>
              <w:left w:val="single" w:color="auto" w:sz="4" w:space="0"/>
              <w:bottom w:val="single" w:color="auto" w:sz="4" w:space="0"/>
              <w:right w:val="single" w:color="auto" w:sz="4" w:space="0"/>
            </w:tcBorders>
            <w:vAlign w:val="center"/>
          </w:tcPr>
          <w:p w14:paraId="1410AC2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■不允许</w:t>
            </w:r>
          </w:p>
          <w:p w14:paraId="203837C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sym w:font="Wingdings 2" w:char="00A3"/>
            </w:r>
            <w:r>
              <w:rPr>
                <w:rFonts w:hint="eastAsia" w:ascii="仿宋" w:hAnsi="仿宋" w:eastAsia="仿宋" w:cs="仿宋"/>
                <w:color w:val="auto"/>
                <w:highlight w:val="none"/>
                <w:lang w:val="en-US" w:eastAsia="zh-CN"/>
              </w:rPr>
              <w:t>允  许</w:t>
            </w:r>
          </w:p>
        </w:tc>
      </w:tr>
      <w:tr w14:paraId="45B3DF3E">
        <w:tblPrEx>
          <w:tblCellMar>
            <w:top w:w="0" w:type="dxa"/>
            <w:left w:w="108" w:type="dxa"/>
            <w:bottom w:w="0" w:type="dxa"/>
            <w:right w:w="108" w:type="dxa"/>
          </w:tblCellMar>
        </w:tblPrEx>
        <w:trPr>
          <w:trHeight w:val="67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894630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701" w:type="dxa"/>
            <w:tcBorders>
              <w:top w:val="single" w:color="auto" w:sz="4" w:space="0"/>
              <w:left w:val="single" w:color="auto" w:sz="4" w:space="0"/>
              <w:bottom w:val="single" w:color="auto" w:sz="4" w:space="0"/>
              <w:right w:val="single" w:color="auto" w:sz="4" w:space="0"/>
            </w:tcBorders>
            <w:vAlign w:val="center"/>
          </w:tcPr>
          <w:p w14:paraId="4AEA1DB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招标文件领取</w:t>
            </w:r>
          </w:p>
        </w:tc>
        <w:tc>
          <w:tcPr>
            <w:tcW w:w="7612" w:type="dxa"/>
            <w:tcBorders>
              <w:top w:val="single" w:color="auto" w:sz="4" w:space="0"/>
              <w:left w:val="single" w:color="auto" w:sz="4" w:space="0"/>
              <w:bottom w:val="single" w:color="auto" w:sz="4" w:space="0"/>
              <w:right w:val="single" w:color="auto" w:sz="4" w:space="0"/>
            </w:tcBorders>
            <w:vAlign w:val="center"/>
          </w:tcPr>
          <w:p w14:paraId="6F134E5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时间：2025年 6  月 27 日至2025年 7  月4  日，每天上午10:00至14:00，下午16:00至20：00（北京时间，节假日除外）</w:t>
            </w:r>
          </w:p>
          <w:p w14:paraId="3832CD0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地点：政采云平台线上</w:t>
            </w:r>
          </w:p>
          <w:p w14:paraId="0498718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方式：供应商登录政采云平台https://www.zcygov.cn/在线申请获取采购文件（进入“项目采购”应用，在获取采购文件菜单中选择项目，申请获取采购文件）</w:t>
            </w:r>
          </w:p>
        </w:tc>
      </w:tr>
      <w:tr w14:paraId="7A9925D8">
        <w:tblPrEx>
          <w:tblCellMar>
            <w:top w:w="0" w:type="dxa"/>
            <w:left w:w="108" w:type="dxa"/>
            <w:bottom w:w="0" w:type="dxa"/>
            <w:right w:w="108" w:type="dxa"/>
          </w:tblCellMar>
        </w:tblPrEx>
        <w:trPr>
          <w:trHeight w:val="84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E2C2FB7">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701" w:type="dxa"/>
            <w:tcBorders>
              <w:top w:val="single" w:color="auto" w:sz="4" w:space="0"/>
              <w:left w:val="single" w:color="auto" w:sz="4" w:space="0"/>
              <w:bottom w:val="single" w:color="auto" w:sz="4" w:space="0"/>
              <w:right w:val="single" w:color="auto" w:sz="4" w:space="0"/>
            </w:tcBorders>
            <w:vAlign w:val="center"/>
          </w:tcPr>
          <w:p w14:paraId="571DF05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投标文件形式</w:t>
            </w:r>
          </w:p>
        </w:tc>
        <w:tc>
          <w:tcPr>
            <w:tcW w:w="7612" w:type="dxa"/>
            <w:tcBorders>
              <w:top w:val="single" w:color="auto" w:sz="4" w:space="0"/>
              <w:left w:val="single" w:color="auto" w:sz="4" w:space="0"/>
              <w:bottom w:val="single" w:color="auto" w:sz="4" w:space="0"/>
              <w:right w:val="single" w:color="auto" w:sz="4" w:space="0"/>
            </w:tcBorders>
            <w:vAlign w:val="center"/>
          </w:tcPr>
          <w:p w14:paraId="345DD98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电子投标文件包括“电子加密投标文件”和“备份投标文件”，在投标文件编制完成后同时生成。</w:t>
            </w:r>
          </w:p>
          <w:p w14:paraId="2F9FB35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1、“电子加密投标文件”是指通过“政采云电子交易客户端”完成投标文件编制后生成并加密的数据电文形式的投标文件。</w:t>
            </w:r>
          </w:p>
          <w:p w14:paraId="0880162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35BD9912">
        <w:tblPrEx>
          <w:tblCellMar>
            <w:top w:w="0" w:type="dxa"/>
            <w:left w:w="108" w:type="dxa"/>
            <w:bottom w:w="0" w:type="dxa"/>
            <w:right w:w="108" w:type="dxa"/>
          </w:tblCellMar>
        </w:tblPrEx>
        <w:trPr>
          <w:trHeight w:val="51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A35D3DB">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701" w:type="dxa"/>
            <w:tcBorders>
              <w:top w:val="single" w:color="auto" w:sz="4" w:space="0"/>
              <w:left w:val="single" w:color="auto" w:sz="4" w:space="0"/>
              <w:bottom w:val="single" w:color="auto" w:sz="4" w:space="0"/>
              <w:right w:val="single" w:color="auto" w:sz="4" w:space="0"/>
            </w:tcBorders>
            <w:vAlign w:val="center"/>
          </w:tcPr>
          <w:p w14:paraId="6BD2D33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投标文件要求</w:t>
            </w:r>
          </w:p>
        </w:tc>
        <w:tc>
          <w:tcPr>
            <w:tcW w:w="7612" w:type="dxa"/>
            <w:tcBorders>
              <w:top w:val="single" w:color="auto" w:sz="4" w:space="0"/>
              <w:left w:val="single" w:color="auto" w:sz="4" w:space="0"/>
              <w:bottom w:val="single" w:color="auto" w:sz="4" w:space="0"/>
              <w:right w:val="single" w:color="auto" w:sz="4" w:space="0"/>
            </w:tcBorders>
            <w:vAlign w:val="center"/>
          </w:tcPr>
          <w:p w14:paraId="1B58AF0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1、一份电子加密标书（“.jmbs”格式），一份备份标书文件（“.bfbs”格式）。</w:t>
            </w:r>
          </w:p>
          <w:p w14:paraId="17FE51E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2、每份电子投标文件应包括资格证明文件和商务及技术文件两部分。</w:t>
            </w:r>
          </w:p>
        </w:tc>
      </w:tr>
      <w:tr w14:paraId="04BEC343">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right w:val="single" w:color="auto" w:sz="4" w:space="0"/>
            </w:tcBorders>
            <w:vAlign w:val="center"/>
          </w:tcPr>
          <w:p w14:paraId="0EFF4FD0">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1701" w:type="dxa"/>
            <w:tcBorders>
              <w:top w:val="single" w:color="auto" w:sz="4" w:space="0"/>
              <w:left w:val="single" w:color="auto" w:sz="4" w:space="0"/>
              <w:right w:val="single" w:color="auto" w:sz="4" w:space="0"/>
            </w:tcBorders>
            <w:vAlign w:val="center"/>
          </w:tcPr>
          <w:p w14:paraId="532146B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投标文件的上传和递交</w:t>
            </w:r>
          </w:p>
        </w:tc>
        <w:tc>
          <w:tcPr>
            <w:tcW w:w="7612" w:type="dxa"/>
            <w:tcBorders>
              <w:top w:val="single" w:color="auto" w:sz="4" w:space="0"/>
              <w:left w:val="single" w:color="auto" w:sz="4" w:space="0"/>
              <w:bottom w:val="single" w:color="auto" w:sz="4" w:space="0"/>
              <w:right w:val="single" w:color="auto" w:sz="4" w:space="0"/>
            </w:tcBorders>
            <w:vAlign w:val="center"/>
          </w:tcPr>
          <w:p w14:paraId="50744F3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7569108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a.供应商未能在投标截止时间前成功上传电子加密投标文件的投标无效。</w:t>
            </w:r>
          </w:p>
          <w:p w14:paraId="2EA73F0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b.供应商成功上传电子加密投标文件后，可自行打印投标文件接收回执。</w:t>
            </w:r>
          </w:p>
        </w:tc>
      </w:tr>
      <w:tr w14:paraId="5DA6AD77">
        <w:tblPrEx>
          <w:tblCellMar>
            <w:top w:w="0" w:type="dxa"/>
            <w:left w:w="108" w:type="dxa"/>
            <w:bottom w:w="0" w:type="dxa"/>
            <w:right w:w="108" w:type="dxa"/>
          </w:tblCellMar>
        </w:tblPrEx>
        <w:trPr>
          <w:trHeight w:val="823"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E4131FE">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1701" w:type="dxa"/>
            <w:tcBorders>
              <w:top w:val="single" w:color="auto" w:sz="4" w:space="0"/>
              <w:left w:val="single" w:color="auto" w:sz="4" w:space="0"/>
              <w:bottom w:val="single" w:color="auto" w:sz="4" w:space="0"/>
              <w:right w:val="single" w:color="auto" w:sz="4" w:space="0"/>
            </w:tcBorders>
            <w:vAlign w:val="center"/>
          </w:tcPr>
          <w:p w14:paraId="5260FA0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评标委员会的组建</w:t>
            </w:r>
          </w:p>
        </w:tc>
        <w:tc>
          <w:tcPr>
            <w:tcW w:w="7612" w:type="dxa"/>
            <w:tcBorders>
              <w:top w:val="single" w:color="auto" w:sz="4" w:space="0"/>
              <w:left w:val="single" w:color="auto" w:sz="4" w:space="0"/>
              <w:bottom w:val="single" w:color="auto" w:sz="4" w:space="0"/>
              <w:right w:val="single" w:color="auto" w:sz="4" w:space="0"/>
            </w:tcBorders>
            <w:vAlign w:val="center"/>
          </w:tcPr>
          <w:p w14:paraId="2A7A5E87">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评标委员会由招标人依法组建；采购人代表</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zh-CN" w:eastAsia="zh-CN"/>
              </w:rPr>
              <w:t>人，评审专家</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val="zh-CN" w:eastAsia="zh-CN"/>
              </w:rPr>
              <w:t>人，共</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zh-CN" w:eastAsia="zh-CN"/>
              </w:rPr>
              <w:t>人。评标专家确定方式：评标委员会由招标人在开标前从政采云专家库中随机抽取</w:t>
            </w:r>
          </w:p>
        </w:tc>
      </w:tr>
      <w:tr w14:paraId="02C658E8">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B8C1771">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1701" w:type="dxa"/>
            <w:tcBorders>
              <w:top w:val="single" w:color="auto" w:sz="4" w:space="0"/>
              <w:left w:val="single" w:color="auto" w:sz="4" w:space="0"/>
              <w:bottom w:val="single" w:color="auto" w:sz="4" w:space="0"/>
              <w:right w:val="single" w:color="auto" w:sz="4" w:space="0"/>
            </w:tcBorders>
            <w:vAlign w:val="center"/>
          </w:tcPr>
          <w:p w14:paraId="2CD52CD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是否授权评标委员会确定中标候选人</w:t>
            </w:r>
          </w:p>
        </w:tc>
        <w:tc>
          <w:tcPr>
            <w:tcW w:w="7612" w:type="dxa"/>
            <w:tcBorders>
              <w:top w:val="single" w:color="auto" w:sz="4" w:space="0"/>
              <w:left w:val="single" w:color="auto" w:sz="4" w:space="0"/>
              <w:bottom w:val="single" w:color="auto" w:sz="4" w:space="0"/>
              <w:right w:val="single" w:color="auto" w:sz="4" w:space="0"/>
            </w:tcBorders>
            <w:vAlign w:val="center"/>
          </w:tcPr>
          <w:p w14:paraId="52C1B137">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是</w:t>
            </w:r>
          </w:p>
        </w:tc>
      </w:tr>
      <w:tr w14:paraId="2DB6FD05">
        <w:tblPrEx>
          <w:tblCellMar>
            <w:top w:w="0" w:type="dxa"/>
            <w:left w:w="108" w:type="dxa"/>
            <w:bottom w:w="0" w:type="dxa"/>
            <w:right w:w="108" w:type="dxa"/>
          </w:tblCellMar>
        </w:tblPrEx>
        <w:trPr>
          <w:trHeight w:val="86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ADF31B2">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701" w:type="dxa"/>
            <w:tcBorders>
              <w:top w:val="single" w:color="auto" w:sz="4" w:space="0"/>
              <w:left w:val="single" w:color="auto" w:sz="4" w:space="0"/>
              <w:bottom w:val="single" w:color="auto" w:sz="4" w:space="0"/>
              <w:right w:val="single" w:color="auto" w:sz="4" w:space="0"/>
            </w:tcBorders>
            <w:vAlign w:val="center"/>
          </w:tcPr>
          <w:p w14:paraId="31F8FA2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递交投标文件地点</w:t>
            </w:r>
          </w:p>
        </w:tc>
        <w:tc>
          <w:tcPr>
            <w:tcW w:w="7612" w:type="dxa"/>
            <w:tcBorders>
              <w:top w:val="single" w:color="auto" w:sz="4" w:space="0"/>
              <w:left w:val="single" w:color="auto" w:sz="4" w:space="0"/>
              <w:bottom w:val="single" w:color="auto" w:sz="4" w:space="0"/>
              <w:right w:val="single" w:color="auto" w:sz="4" w:space="0"/>
            </w:tcBorders>
            <w:vAlign w:val="center"/>
          </w:tcPr>
          <w:p w14:paraId="03A58B9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投标截止时间：2025年 7 月 18 日上午10时15分（北京时间）</w:t>
            </w:r>
          </w:p>
          <w:p w14:paraId="0E9006B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投标地点：新疆政府采购云平台（www.zcygov.cn）</w:t>
            </w:r>
          </w:p>
        </w:tc>
      </w:tr>
      <w:tr w14:paraId="786FF8F8">
        <w:tblPrEx>
          <w:tblCellMar>
            <w:top w:w="0" w:type="dxa"/>
            <w:left w:w="108" w:type="dxa"/>
            <w:bottom w:w="0" w:type="dxa"/>
            <w:right w:w="108" w:type="dxa"/>
          </w:tblCellMar>
        </w:tblPrEx>
        <w:trPr>
          <w:trHeight w:val="866" w:hRule="atLeast"/>
          <w:jc w:val="center"/>
        </w:trPr>
        <w:tc>
          <w:tcPr>
            <w:tcW w:w="579" w:type="dxa"/>
            <w:tcBorders>
              <w:top w:val="single" w:color="auto" w:sz="4" w:space="0"/>
              <w:left w:val="single" w:color="auto" w:sz="4" w:space="0"/>
              <w:right w:val="single" w:color="auto" w:sz="4" w:space="0"/>
            </w:tcBorders>
            <w:vAlign w:val="center"/>
          </w:tcPr>
          <w:p w14:paraId="10347E4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1701" w:type="dxa"/>
            <w:tcBorders>
              <w:top w:val="single" w:color="auto" w:sz="4" w:space="0"/>
              <w:left w:val="single" w:color="auto" w:sz="4" w:space="0"/>
              <w:right w:val="single" w:color="auto" w:sz="4" w:space="0"/>
            </w:tcBorders>
            <w:vAlign w:val="center"/>
          </w:tcPr>
          <w:p w14:paraId="1DEC994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开标时间和地点</w:t>
            </w:r>
          </w:p>
        </w:tc>
        <w:tc>
          <w:tcPr>
            <w:tcW w:w="7612" w:type="dxa"/>
            <w:tcBorders>
              <w:top w:val="single" w:color="auto" w:sz="4" w:space="0"/>
              <w:left w:val="single" w:color="auto" w:sz="4" w:space="0"/>
              <w:right w:val="single" w:color="auto" w:sz="4" w:space="0"/>
            </w:tcBorders>
            <w:vAlign w:val="center"/>
          </w:tcPr>
          <w:p w14:paraId="6762351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开标时间：2025年 7  月18  日上午10时15分（北京时间）</w:t>
            </w:r>
          </w:p>
          <w:p w14:paraId="035E66F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开标地点：新疆政府采购云平台（www.zcygov.cn）         </w:t>
            </w:r>
          </w:p>
        </w:tc>
      </w:tr>
      <w:tr w14:paraId="4D07E739">
        <w:tblPrEx>
          <w:tblCellMar>
            <w:top w:w="0" w:type="dxa"/>
            <w:left w:w="108" w:type="dxa"/>
            <w:bottom w:w="0" w:type="dxa"/>
            <w:right w:w="108" w:type="dxa"/>
          </w:tblCellMar>
        </w:tblPrEx>
        <w:trPr>
          <w:trHeight w:val="710" w:hRule="atLeast"/>
          <w:jc w:val="center"/>
        </w:trPr>
        <w:tc>
          <w:tcPr>
            <w:tcW w:w="579" w:type="dxa"/>
            <w:vMerge w:val="restart"/>
            <w:tcBorders>
              <w:top w:val="single" w:color="auto" w:sz="4" w:space="0"/>
              <w:left w:val="single" w:color="auto" w:sz="4" w:space="0"/>
              <w:right w:val="single" w:color="auto" w:sz="4" w:space="0"/>
            </w:tcBorders>
            <w:vAlign w:val="center"/>
          </w:tcPr>
          <w:p w14:paraId="411607E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w:t>
            </w:r>
          </w:p>
        </w:tc>
        <w:tc>
          <w:tcPr>
            <w:tcW w:w="1701" w:type="dxa"/>
            <w:vMerge w:val="restart"/>
            <w:tcBorders>
              <w:top w:val="single" w:color="auto" w:sz="4" w:space="0"/>
              <w:left w:val="single" w:color="auto" w:sz="4" w:space="0"/>
              <w:right w:val="single" w:color="auto" w:sz="4" w:space="0"/>
            </w:tcBorders>
            <w:vAlign w:val="center"/>
          </w:tcPr>
          <w:p w14:paraId="32C09AB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重要说明</w:t>
            </w:r>
          </w:p>
        </w:tc>
        <w:tc>
          <w:tcPr>
            <w:tcW w:w="7612" w:type="dxa"/>
            <w:tcBorders>
              <w:top w:val="single" w:color="auto" w:sz="4" w:space="0"/>
              <w:left w:val="single" w:color="auto" w:sz="4" w:space="0"/>
              <w:right w:val="single" w:color="auto" w:sz="4" w:space="0"/>
            </w:tcBorders>
            <w:vAlign w:val="center"/>
          </w:tcPr>
          <w:p w14:paraId="01D66AA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70A9B6B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2.本项目实行网上投标，采用加密电子投标文件(供应商须使用CA加密设备通过政采云电子投标客户端制作投标文件)。若供应商参与投标，自行承担投标一切费用。</w:t>
            </w:r>
          </w:p>
          <w:p w14:paraId="7367C68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63EE2D4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E131C9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5.供应商在开标时须使用制作加密电子投标文件所使用的CA锁及电脑，电脑须提前配置好浏览器（建议使用谷歌浏览器），以便开标时解锁。</w:t>
            </w:r>
          </w:p>
          <w:p w14:paraId="03B4429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https://service.zcygov.cn/#/help，“项目采购”—“操作流程-电子招投标”—“政府采购项目电子交易管理操作指南-供应商”版面获取操作指南。</w:t>
            </w:r>
            <w:r>
              <w:rPr>
                <w:rFonts w:hint="eastAsia" w:ascii="仿宋" w:hAnsi="仿宋" w:eastAsia="仿宋" w:cs="仿宋"/>
                <w:color w:val="auto"/>
                <w:highlight w:val="none"/>
                <w:lang w:val="en-US" w:eastAsia="zh-CN"/>
              </w:rPr>
              <w:fldChar w:fldCharType="end"/>
            </w:r>
          </w:p>
          <w:p w14:paraId="674ECD28">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7.为了保证开评标顺利进行，政采云线上开标功能完全实现，供应商开标所使用的电脑设备须具有视频及语音功能。</w:t>
            </w:r>
          </w:p>
        </w:tc>
      </w:tr>
      <w:tr w14:paraId="601C60CC">
        <w:tblPrEx>
          <w:tblCellMar>
            <w:top w:w="0" w:type="dxa"/>
            <w:left w:w="108" w:type="dxa"/>
            <w:bottom w:w="0" w:type="dxa"/>
            <w:right w:w="108" w:type="dxa"/>
          </w:tblCellMar>
        </w:tblPrEx>
        <w:trPr>
          <w:trHeight w:val="440" w:hRule="atLeast"/>
          <w:jc w:val="center"/>
        </w:trPr>
        <w:tc>
          <w:tcPr>
            <w:tcW w:w="579" w:type="dxa"/>
            <w:vMerge w:val="continue"/>
            <w:tcBorders>
              <w:left w:val="single" w:color="auto" w:sz="4" w:space="0"/>
              <w:bottom w:val="single" w:color="auto" w:sz="4" w:space="0"/>
              <w:right w:val="single" w:color="auto" w:sz="4" w:space="0"/>
            </w:tcBorders>
            <w:vAlign w:val="center"/>
          </w:tcPr>
          <w:p w14:paraId="3209E655">
            <w:pPr>
              <w:spacing w:line="400" w:lineRule="exact"/>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3EF26CCB">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F67A89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1、电子招投标情况说明：</w:t>
            </w:r>
          </w:p>
          <w:p w14:paraId="12DEAA5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（1）电子招投标：本项目以数据电文形式，依托“政府采购云平台（www.zcygov.cn）”进行招投标活动。</w:t>
            </w:r>
          </w:p>
          <w:p w14:paraId="329BECD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E7086E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（3）招标文件的获取：使用账号登录或者短信验证码或者使用CA登录政采云平台；进入“项目采购”应用，在获取招标文件 菜单中选择项目，获取招标文件 。</w:t>
            </w:r>
          </w:p>
          <w:p w14:paraId="53FBE67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（4）投标文件的制作：在“政采云电子交易客户端”中完成“填写基本信息”、“导入投标文件”、“标书关联”、“标书检查”、“电子签名”、“生成电子标书”等操作。</w:t>
            </w:r>
          </w:p>
          <w:p w14:paraId="75DE75F8">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（5）投标文件的传输递交：供应商在投标截止时间前将加密的投标文件上传至政府采购云平台。</w:t>
            </w:r>
          </w:p>
          <w:p w14:paraId="1C32A50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8D3540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（7）具体操作指南：详见政采云平台“服务中心-帮助文档-项目采购-操作流程-电子招投标-政府采购项目电子交易管理操作指南-供应商”。</w:t>
            </w:r>
          </w:p>
          <w:p w14:paraId="745DC44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（8）供应商在进行上述操作时，如遇技术问题可登录政采云（https://</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"http://www.zcygov.cn/" \h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www.zcygov.cn/</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），点击右侧咨询小采，获取采小蜜智能服务管家帮助，或拨打政采云服务热线 95763 获取热线服务帮助。</w:t>
            </w:r>
          </w:p>
          <w:p w14:paraId="2FD8C3B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温馨提醒：供应商应提前上传，以便在上传时遇到技术问题，有充足的时间请教平台的技术人员。</w:t>
            </w:r>
          </w:p>
          <w:p w14:paraId="1E61F5A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08CEAFEB">
        <w:tblPrEx>
          <w:tblCellMar>
            <w:top w:w="0" w:type="dxa"/>
            <w:left w:w="108" w:type="dxa"/>
            <w:bottom w:w="0" w:type="dxa"/>
            <w:right w:w="108" w:type="dxa"/>
          </w:tblCellMar>
        </w:tblPrEx>
        <w:trPr>
          <w:trHeight w:val="91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C4C714B">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w:t>
            </w:r>
          </w:p>
        </w:tc>
        <w:tc>
          <w:tcPr>
            <w:tcW w:w="1701" w:type="dxa"/>
            <w:tcBorders>
              <w:top w:val="single" w:color="auto" w:sz="4" w:space="0"/>
              <w:left w:val="single" w:color="auto" w:sz="4" w:space="0"/>
              <w:bottom w:val="single" w:color="auto" w:sz="4" w:space="0"/>
              <w:right w:val="single" w:color="auto" w:sz="4" w:space="0"/>
            </w:tcBorders>
            <w:vAlign w:val="center"/>
          </w:tcPr>
          <w:p w14:paraId="737F58C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中标候选人公示媒介</w:t>
            </w:r>
          </w:p>
        </w:tc>
        <w:tc>
          <w:tcPr>
            <w:tcW w:w="7612" w:type="dxa"/>
            <w:tcBorders>
              <w:top w:val="single" w:color="auto" w:sz="4" w:space="0"/>
              <w:left w:val="single" w:color="auto" w:sz="4" w:space="0"/>
              <w:bottom w:val="single" w:color="auto" w:sz="4" w:space="0"/>
              <w:right w:val="single" w:color="auto" w:sz="4" w:space="0"/>
            </w:tcBorders>
            <w:vAlign w:val="center"/>
          </w:tcPr>
          <w:p w14:paraId="104B7F1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新疆政府采购网、克州公共资源交易中心网，公示期为一个工作日。</w:t>
            </w:r>
          </w:p>
        </w:tc>
      </w:tr>
      <w:tr w14:paraId="0A45F355">
        <w:tblPrEx>
          <w:tblCellMar>
            <w:top w:w="0" w:type="dxa"/>
            <w:left w:w="108" w:type="dxa"/>
            <w:bottom w:w="0" w:type="dxa"/>
            <w:right w:w="108" w:type="dxa"/>
          </w:tblCellMar>
        </w:tblPrEx>
        <w:trPr>
          <w:trHeight w:val="50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791EAC2">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2718D97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招标代理服务费</w:t>
            </w:r>
          </w:p>
        </w:tc>
      </w:tr>
      <w:tr w14:paraId="608DE118">
        <w:tblPrEx>
          <w:tblCellMar>
            <w:top w:w="0" w:type="dxa"/>
            <w:left w:w="108" w:type="dxa"/>
            <w:bottom w:w="0" w:type="dxa"/>
            <w:right w:w="108" w:type="dxa"/>
          </w:tblCellMar>
        </w:tblPrEx>
        <w:trPr>
          <w:trHeight w:val="65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8EA1C4C">
            <w:pPr>
              <w:spacing w:line="400" w:lineRule="exact"/>
              <w:jc w:val="center"/>
              <w:rPr>
                <w:rFonts w:hint="eastAsia" w:ascii="仿宋" w:hAnsi="仿宋" w:eastAsia="仿宋" w:cs="仿宋"/>
                <w:color w:val="auto"/>
                <w:highlight w:val="none"/>
                <w:lang w:val="en-US" w:eastAsia="zh-CN"/>
              </w:rPr>
            </w:pP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1851928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代理费根据《中华人民共和国招标投标法》、《中华人民共和国招标投标法实施条例》、《国家发展改革委关于进一步放开建设项目专业服务价格的通知》（发改价格【2015】299号）文件等规定收费基准价格计取。本项目招标代理费：14030元。招标代理费在中标通知书发放之日前由中标人缴纳。</w:t>
            </w:r>
          </w:p>
        </w:tc>
      </w:tr>
      <w:tr w14:paraId="4B9C03C8">
        <w:tblPrEx>
          <w:tblCellMar>
            <w:top w:w="0" w:type="dxa"/>
            <w:left w:w="108" w:type="dxa"/>
            <w:bottom w:w="0" w:type="dxa"/>
            <w:right w:w="108" w:type="dxa"/>
          </w:tblCellMar>
        </w:tblPrEx>
        <w:trPr>
          <w:trHeight w:val="51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99AFB0B">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0DC5A0E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评标办法：本项目采用综合评分法</w:t>
            </w:r>
          </w:p>
        </w:tc>
      </w:tr>
      <w:tr w14:paraId="31128A16">
        <w:tblPrEx>
          <w:tblCellMar>
            <w:top w:w="0" w:type="dxa"/>
            <w:left w:w="108" w:type="dxa"/>
            <w:bottom w:w="0" w:type="dxa"/>
            <w:right w:w="108" w:type="dxa"/>
          </w:tblCellMar>
        </w:tblPrEx>
        <w:trPr>
          <w:trHeight w:val="55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07FC4C00">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75EC3C1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不管投标结果如何，供应商均应承担自己投标所需一切费用。</w:t>
            </w:r>
          </w:p>
        </w:tc>
      </w:tr>
      <w:tr w14:paraId="3E14F1AE">
        <w:tblPrEx>
          <w:tblCellMar>
            <w:top w:w="0" w:type="dxa"/>
            <w:left w:w="108" w:type="dxa"/>
            <w:bottom w:w="0" w:type="dxa"/>
            <w:right w:w="108" w:type="dxa"/>
          </w:tblCellMar>
        </w:tblPrEx>
        <w:trPr>
          <w:trHeight w:val="84"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50C733A">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28</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080CFD50">
            <w:pPr>
              <w:spacing w:line="400" w:lineRule="exact"/>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eastAsia="zh-CN"/>
              </w:rPr>
              <w:t>本次招标最高限价：</w:t>
            </w:r>
            <w:r>
              <w:rPr>
                <w:rFonts w:hint="eastAsia" w:ascii="仿宋" w:hAnsi="仿宋" w:eastAsia="仿宋" w:cs="仿宋"/>
                <w:b/>
                <w:bCs/>
                <w:color w:val="auto"/>
                <w:highlight w:val="none"/>
                <w:u w:val="single"/>
                <w:lang w:val="en-US" w:eastAsia="zh-CN"/>
              </w:rPr>
              <w:t>888000.00元</w:t>
            </w:r>
            <w:r>
              <w:rPr>
                <w:rFonts w:hint="eastAsia" w:ascii="仿宋" w:hAnsi="仿宋" w:eastAsia="仿宋" w:cs="仿宋"/>
                <w:b/>
                <w:bCs/>
                <w:color w:val="auto"/>
                <w:highlight w:val="none"/>
                <w:u w:val="none"/>
                <w:lang w:val="en-US" w:eastAsia="zh-CN"/>
              </w:rPr>
              <w:t>，</w:t>
            </w:r>
            <w:r>
              <w:rPr>
                <w:rFonts w:hint="eastAsia" w:ascii="仿宋" w:hAnsi="仿宋" w:eastAsia="仿宋" w:cs="仿宋"/>
                <w:b/>
                <w:bCs/>
                <w:color w:val="auto"/>
                <w:highlight w:val="none"/>
                <w:lang w:eastAsia="zh-CN"/>
              </w:rPr>
              <w:t>投标总报价超过最高限价的按废标处理。</w:t>
            </w:r>
          </w:p>
        </w:tc>
      </w:tr>
      <w:tr w14:paraId="7B8EAE77">
        <w:tblPrEx>
          <w:tblCellMar>
            <w:top w:w="0" w:type="dxa"/>
            <w:left w:w="108" w:type="dxa"/>
            <w:bottom w:w="0" w:type="dxa"/>
            <w:right w:w="108" w:type="dxa"/>
          </w:tblCellMar>
        </w:tblPrEx>
        <w:trPr>
          <w:trHeight w:val="2562" w:hRule="atLeast"/>
          <w:jc w:val="center"/>
        </w:trPr>
        <w:tc>
          <w:tcPr>
            <w:tcW w:w="579" w:type="dxa"/>
            <w:vMerge w:val="restart"/>
            <w:tcBorders>
              <w:top w:val="single" w:color="auto" w:sz="4" w:space="0"/>
              <w:left w:val="single" w:color="auto" w:sz="4" w:space="0"/>
              <w:bottom w:val="single" w:color="auto" w:sz="4" w:space="0"/>
              <w:right w:val="single" w:color="auto" w:sz="4" w:space="0"/>
            </w:tcBorders>
            <w:vAlign w:val="center"/>
          </w:tcPr>
          <w:p w14:paraId="133D5F70">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207A8F9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中小微企业政策文件</w:t>
            </w:r>
          </w:p>
        </w:tc>
        <w:tc>
          <w:tcPr>
            <w:tcW w:w="7612" w:type="dxa"/>
            <w:tcBorders>
              <w:top w:val="single" w:color="auto" w:sz="4" w:space="0"/>
              <w:left w:val="single" w:color="auto" w:sz="4" w:space="0"/>
              <w:bottom w:val="single" w:color="auto" w:sz="4" w:space="0"/>
              <w:right w:val="single" w:color="auto" w:sz="4" w:space="0"/>
            </w:tcBorders>
            <w:vAlign w:val="center"/>
          </w:tcPr>
          <w:p w14:paraId="365BCEF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bCs/>
                <w:color w:val="auto"/>
                <w:highlight w:val="none"/>
                <w:lang w:val="en-US" w:eastAsia="zh-CN"/>
              </w:rPr>
              <w:t>按招标文件格式提供《中小企业声明函》。</w:t>
            </w:r>
          </w:p>
        </w:tc>
      </w:tr>
      <w:tr w14:paraId="64E4476A">
        <w:tblPrEx>
          <w:tblCellMar>
            <w:top w:w="0" w:type="dxa"/>
            <w:left w:w="108" w:type="dxa"/>
            <w:bottom w:w="0" w:type="dxa"/>
            <w:right w:w="108" w:type="dxa"/>
          </w:tblCellMar>
        </w:tblPrEx>
        <w:trPr>
          <w:trHeight w:val="8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14:paraId="0BE58600">
            <w:pPr>
              <w:spacing w:line="400" w:lineRule="exact"/>
              <w:jc w:val="center"/>
              <w:rPr>
                <w:rFonts w:hint="eastAsia" w:ascii="仿宋" w:hAnsi="仿宋" w:eastAsia="仿宋" w:cs="仿宋"/>
                <w:color w:val="auto"/>
                <w:highlight w:val="none"/>
                <w:lang w:val="en-US" w:eastAsia="zh-CN"/>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C0671F6">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316B0A5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1B147EC9">
        <w:tblPrEx>
          <w:tblCellMar>
            <w:top w:w="0" w:type="dxa"/>
            <w:left w:w="108" w:type="dxa"/>
            <w:bottom w:w="0" w:type="dxa"/>
            <w:right w:w="108" w:type="dxa"/>
          </w:tblCellMar>
        </w:tblPrEx>
        <w:trPr>
          <w:trHeight w:val="8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14:paraId="30DA5C4F">
            <w:pPr>
              <w:spacing w:line="400" w:lineRule="exact"/>
              <w:jc w:val="center"/>
              <w:rPr>
                <w:rFonts w:hint="eastAsia" w:ascii="仿宋" w:hAnsi="仿宋" w:eastAsia="仿宋" w:cs="仿宋"/>
                <w:color w:val="auto"/>
                <w:highlight w:val="none"/>
                <w:lang w:val="en-US" w:eastAsia="zh-CN"/>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E11136F">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0B8E0A0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4EFA8C7F">
        <w:tblPrEx>
          <w:tblCellMar>
            <w:top w:w="0" w:type="dxa"/>
            <w:left w:w="108" w:type="dxa"/>
            <w:bottom w:w="0" w:type="dxa"/>
            <w:right w:w="108" w:type="dxa"/>
          </w:tblCellMar>
        </w:tblPrEx>
        <w:trPr>
          <w:trHeight w:val="90" w:hRule="atLeast"/>
          <w:jc w:val="center"/>
        </w:trPr>
        <w:tc>
          <w:tcPr>
            <w:tcW w:w="579" w:type="dxa"/>
            <w:vMerge w:val="restart"/>
            <w:tcBorders>
              <w:top w:val="single" w:color="auto" w:sz="4" w:space="0"/>
              <w:left w:val="single" w:color="auto" w:sz="4" w:space="0"/>
              <w:right w:val="single" w:color="auto" w:sz="4" w:space="0"/>
            </w:tcBorders>
            <w:vAlign w:val="center"/>
          </w:tcPr>
          <w:p w14:paraId="364446F0">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1701" w:type="dxa"/>
            <w:vMerge w:val="restart"/>
            <w:tcBorders>
              <w:top w:val="single" w:color="auto" w:sz="4" w:space="0"/>
              <w:left w:val="single" w:color="auto" w:sz="4" w:space="0"/>
              <w:right w:val="single" w:color="auto" w:sz="4" w:space="0"/>
            </w:tcBorders>
            <w:vAlign w:val="center"/>
          </w:tcPr>
          <w:p w14:paraId="78506AD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中小微企业政策文件说明</w:t>
            </w:r>
          </w:p>
        </w:tc>
        <w:tc>
          <w:tcPr>
            <w:tcW w:w="7612" w:type="dxa"/>
            <w:tcBorders>
              <w:top w:val="single" w:color="auto" w:sz="4" w:space="0"/>
              <w:left w:val="single" w:color="auto" w:sz="4" w:space="0"/>
              <w:bottom w:val="single" w:color="auto" w:sz="4" w:space="0"/>
              <w:right w:val="single" w:color="auto" w:sz="4" w:space="0"/>
            </w:tcBorders>
            <w:vAlign w:val="center"/>
          </w:tcPr>
          <w:p w14:paraId="78411E4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（1）支持中小企业发展：给予小型和微型企业的价格10%-20%的扣除，用扣除后的价格参与评审，</w:t>
            </w:r>
            <w:r>
              <w:rPr>
                <w:rFonts w:hint="eastAsia" w:ascii="仿宋" w:hAnsi="仿宋" w:eastAsia="仿宋" w:cs="仿宋"/>
                <w:b/>
                <w:bCs/>
                <w:color w:val="auto"/>
                <w:highlight w:val="none"/>
                <w:u w:val="single"/>
                <w:lang w:val="en-US" w:eastAsia="zh-CN"/>
              </w:rPr>
              <w:t>本项目具体扣除比例为10%</w:t>
            </w:r>
            <w:r>
              <w:rPr>
                <w:rFonts w:hint="eastAsia" w:ascii="仿宋" w:hAnsi="仿宋" w:eastAsia="仿宋" w:cs="仿宋"/>
                <w:color w:val="auto"/>
                <w:highlight w:val="none"/>
                <w:lang w:val="en-US" w:eastAsia="zh-CN"/>
              </w:rPr>
              <w:t>。用扣除后的价格参与评审。残疾人福利性单位视同小型、微型企业，享受同等价格扣除，但同时属于残疾人福利性单位和小微企业的，不重复价格扣除。</w:t>
            </w:r>
          </w:p>
        </w:tc>
      </w:tr>
      <w:tr w14:paraId="0E4E8D54">
        <w:tblPrEx>
          <w:tblCellMar>
            <w:top w:w="0" w:type="dxa"/>
            <w:left w:w="108" w:type="dxa"/>
            <w:bottom w:w="0" w:type="dxa"/>
            <w:right w:w="108" w:type="dxa"/>
          </w:tblCellMar>
        </w:tblPrEx>
        <w:trPr>
          <w:trHeight w:val="459" w:hRule="atLeast"/>
          <w:jc w:val="center"/>
        </w:trPr>
        <w:tc>
          <w:tcPr>
            <w:tcW w:w="579" w:type="dxa"/>
            <w:vMerge w:val="continue"/>
            <w:tcBorders>
              <w:left w:val="single" w:color="auto" w:sz="4" w:space="0"/>
              <w:right w:val="single" w:color="auto" w:sz="4" w:space="0"/>
            </w:tcBorders>
            <w:vAlign w:val="center"/>
          </w:tcPr>
          <w:p w14:paraId="383CB30C">
            <w:pPr>
              <w:spacing w:line="400" w:lineRule="exact"/>
              <w:jc w:val="center"/>
              <w:rPr>
                <w:rFonts w:hint="eastAsia" w:ascii="仿宋" w:hAnsi="仿宋" w:eastAsia="仿宋" w:cs="仿宋"/>
                <w:color w:val="auto"/>
                <w:highlight w:val="none"/>
                <w:lang w:val="en-US" w:eastAsia="zh-CN"/>
              </w:rPr>
            </w:pPr>
          </w:p>
        </w:tc>
        <w:tc>
          <w:tcPr>
            <w:tcW w:w="1701" w:type="dxa"/>
            <w:vMerge w:val="continue"/>
            <w:tcBorders>
              <w:left w:val="single" w:color="auto" w:sz="4" w:space="0"/>
              <w:right w:val="single" w:color="auto" w:sz="4" w:space="0"/>
            </w:tcBorders>
            <w:vAlign w:val="center"/>
          </w:tcPr>
          <w:p w14:paraId="0D103D4A">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431EA1EC">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（2）不符合上述适用情形的供应商无需提供上述声明函件。</w:t>
            </w:r>
          </w:p>
        </w:tc>
      </w:tr>
      <w:tr w14:paraId="7EF6FD95">
        <w:tblPrEx>
          <w:tblCellMar>
            <w:top w:w="0" w:type="dxa"/>
            <w:left w:w="108" w:type="dxa"/>
            <w:bottom w:w="0" w:type="dxa"/>
            <w:right w:w="108" w:type="dxa"/>
          </w:tblCellMar>
        </w:tblPrEx>
        <w:trPr>
          <w:trHeight w:val="459" w:hRule="atLeast"/>
          <w:jc w:val="center"/>
        </w:trPr>
        <w:tc>
          <w:tcPr>
            <w:tcW w:w="579" w:type="dxa"/>
            <w:tcBorders>
              <w:left w:val="single" w:color="auto" w:sz="4" w:space="0"/>
              <w:right w:val="single" w:color="auto" w:sz="4" w:space="0"/>
            </w:tcBorders>
            <w:vAlign w:val="center"/>
          </w:tcPr>
          <w:p w14:paraId="7ED460BD">
            <w:pPr>
              <w:spacing w:line="400" w:lineRule="exact"/>
              <w:jc w:val="center"/>
              <w:rPr>
                <w:rFonts w:hint="eastAsia" w:ascii="仿宋" w:hAnsi="仿宋" w:eastAsia="仿宋" w:cs="仿宋"/>
                <w:color w:val="auto"/>
                <w:highlight w:val="none"/>
                <w:lang w:val="en-US" w:eastAsia="zh-CN"/>
              </w:rPr>
            </w:pPr>
          </w:p>
        </w:tc>
        <w:tc>
          <w:tcPr>
            <w:tcW w:w="1701" w:type="dxa"/>
            <w:tcBorders>
              <w:left w:val="single" w:color="auto" w:sz="4" w:space="0"/>
              <w:right w:val="single" w:color="auto" w:sz="4" w:space="0"/>
            </w:tcBorders>
            <w:vAlign w:val="center"/>
          </w:tcPr>
          <w:p w14:paraId="74060072">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5A930956">
            <w:pPr>
              <w:numPr>
                <w:ilvl w:val="0"/>
                <w:numId w:val="0"/>
              </w:numPr>
              <w:spacing w:line="360" w:lineRule="auto"/>
              <w:ind w:left="0" w:leftChars="0" w:firstLine="0" w:firstLineChars="0"/>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）本项目所属行业：</w:t>
            </w:r>
            <w:r>
              <w:rPr>
                <w:rFonts w:hint="eastAsia" w:ascii="仿宋" w:hAnsi="仿宋" w:eastAsia="仿宋" w:cs="仿宋"/>
                <w:b/>
                <w:bCs/>
                <w:color w:val="auto"/>
                <w:lang w:val="en-US" w:eastAsia="zh-CN"/>
              </w:rPr>
              <w:t>软件和信息技术服务业</w:t>
            </w:r>
          </w:p>
        </w:tc>
      </w:tr>
      <w:tr w14:paraId="42F2D89D">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BA071A3">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1701" w:type="dxa"/>
            <w:tcBorders>
              <w:top w:val="single" w:color="auto" w:sz="4" w:space="0"/>
              <w:left w:val="single" w:color="auto" w:sz="4" w:space="0"/>
              <w:bottom w:val="single" w:color="auto" w:sz="4" w:space="0"/>
              <w:right w:val="single" w:color="auto" w:sz="4" w:space="0"/>
            </w:tcBorders>
            <w:vAlign w:val="center"/>
          </w:tcPr>
          <w:p w14:paraId="5071A731">
            <w:pPr>
              <w:spacing w:line="400" w:lineRule="exact"/>
              <w:rPr>
                <w:rFonts w:hint="eastAsia" w:ascii="仿宋" w:hAnsi="仿宋" w:eastAsia="仿宋" w:cs="仿宋"/>
                <w:color w:val="auto"/>
                <w:highlight w:val="none"/>
                <w:lang w:val="zh-CN" w:eastAsia="zh-CN"/>
              </w:rPr>
            </w:pPr>
          </w:p>
          <w:p w14:paraId="53B15F1D">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履约保证金</w:t>
            </w:r>
          </w:p>
          <w:p w14:paraId="6D492373">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EE66C4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val="en-US" w:eastAsia="zh-CN"/>
              </w:rPr>
              <w:t>应在领取《中标通知书》后的十个日历日内，办理履约保证金，</w:t>
            </w:r>
            <w:r>
              <w:rPr>
                <w:rFonts w:hint="eastAsia" w:ascii="仿宋" w:hAnsi="仿宋" w:eastAsia="仿宋" w:cs="仿宋"/>
                <w:color w:val="auto"/>
                <w:highlight w:val="none"/>
                <w:u w:val="single"/>
                <w:lang w:val="zh-CN" w:eastAsia="zh-CN"/>
              </w:rPr>
              <w:t>金额为合同总价的</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val="en-US" w:eastAsia="zh-CN"/>
              </w:rPr>
              <w:t>资格，并没收其投标保证金。</w:t>
            </w:r>
          </w:p>
        </w:tc>
      </w:tr>
      <w:tr w14:paraId="6EB7BA33">
        <w:tblPrEx>
          <w:tblCellMar>
            <w:top w:w="0" w:type="dxa"/>
            <w:left w:w="108" w:type="dxa"/>
            <w:bottom w:w="0" w:type="dxa"/>
            <w:right w:w="108" w:type="dxa"/>
          </w:tblCellMar>
        </w:tblPrEx>
        <w:trPr>
          <w:trHeight w:val="84" w:hRule="atLeast"/>
          <w:jc w:val="center"/>
        </w:trPr>
        <w:tc>
          <w:tcPr>
            <w:tcW w:w="2280" w:type="dxa"/>
            <w:gridSpan w:val="2"/>
            <w:tcBorders>
              <w:top w:val="single" w:color="auto" w:sz="4" w:space="0"/>
              <w:left w:val="single" w:color="auto" w:sz="4" w:space="0"/>
              <w:bottom w:val="single" w:color="auto" w:sz="4" w:space="0"/>
              <w:right w:val="single" w:color="auto" w:sz="4" w:space="0"/>
            </w:tcBorders>
            <w:vAlign w:val="center"/>
          </w:tcPr>
          <w:p w14:paraId="6D9861BB">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w:t>
            </w:r>
          </w:p>
        </w:tc>
        <w:tc>
          <w:tcPr>
            <w:tcW w:w="7612" w:type="dxa"/>
            <w:tcBorders>
              <w:top w:val="single" w:color="auto" w:sz="4" w:space="0"/>
              <w:left w:val="single" w:color="auto" w:sz="4" w:space="0"/>
              <w:bottom w:val="single" w:color="auto" w:sz="4" w:space="0"/>
              <w:right w:val="single" w:color="auto" w:sz="4" w:space="0"/>
            </w:tcBorders>
            <w:vAlign w:val="center"/>
          </w:tcPr>
          <w:p w14:paraId="0BA1C8B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1、着重提醒各供应商注意，并认真查看招标文件中的每一个条款及要求，因误读招标文件而造成的后果，招标人概不负责。</w:t>
            </w:r>
          </w:p>
          <w:p w14:paraId="39C9526F">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2、供应商使用相同IP地址的，一经发现，相关部门将进一步核实，查实后按串通投标处理。</w:t>
            </w:r>
          </w:p>
          <w:p w14:paraId="7CB6715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3、为保证本项目质量，良好的售后服务，最低报价不作为中标的唯一依据。</w:t>
            </w:r>
          </w:p>
          <w:p w14:paraId="4BAF009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2BCE059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5、如为信息系统采购项目，供应商不得为该整体项目或其中分项目前期工作提供过设计、编制、管理等服务的法人及附属单位。</w:t>
            </w:r>
          </w:p>
          <w:p w14:paraId="676DDE2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0176588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7、其它：</w:t>
            </w:r>
          </w:p>
          <w:p w14:paraId="720FAA1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（1）投标企业严格遵守国家的法律法规及招标纪律，无违法违纪及商业贿赂行为。</w:t>
            </w:r>
          </w:p>
          <w:p w14:paraId="3B28983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（2）不管投标结果如何，供应商均应自行承担投标所需一切费用。</w:t>
            </w:r>
          </w:p>
          <w:p w14:paraId="1335B5D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（3）供应商应以书面形式保证中标后由本公司组织实施，不得以任何理由将项目转包给其他机构。</w:t>
            </w:r>
          </w:p>
          <w:p w14:paraId="77476E7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（4）招标文件中如出现前后不一致情况，均以前附表内容为准。</w:t>
            </w:r>
          </w:p>
        </w:tc>
      </w:tr>
    </w:tbl>
    <w:p w14:paraId="352F2E7F">
      <w:pPr>
        <w:pageBreakBefore/>
        <w:spacing w:beforeLines="100" w:afterLines="100" w:line="340" w:lineRule="exact"/>
        <w:jc w:val="center"/>
        <w:outlineLvl w:val="1"/>
        <w:rPr>
          <w:rFonts w:ascii="仿宋" w:hAnsi="仿宋" w:eastAsia="仿宋" w:cs="仿宋"/>
          <w:b/>
          <w:color w:val="auto"/>
          <w:sz w:val="28"/>
          <w:szCs w:val="32"/>
          <w:highlight w:val="none"/>
          <w:lang w:eastAsia="zh-CN"/>
        </w:rPr>
      </w:pPr>
      <w:r>
        <w:rPr>
          <w:rFonts w:hint="eastAsia" w:ascii="仿宋" w:hAnsi="仿宋" w:eastAsia="仿宋" w:cs="仿宋"/>
          <w:b/>
          <w:color w:val="auto"/>
          <w:sz w:val="28"/>
          <w:szCs w:val="28"/>
          <w:highlight w:val="none"/>
          <w:lang w:eastAsia="zh-CN"/>
        </w:rPr>
        <w:t>二、供应商须知</w:t>
      </w:r>
    </w:p>
    <w:p w14:paraId="4388B59E">
      <w:pPr>
        <w:spacing w:line="340" w:lineRule="exact"/>
        <w:jc w:val="center"/>
        <w:outlineLvl w:val="2"/>
        <w:rPr>
          <w:rFonts w:ascii="仿宋" w:hAnsi="仿宋" w:eastAsia="仿宋" w:cs="仿宋"/>
          <w:color w:val="auto"/>
          <w:sz w:val="28"/>
          <w:szCs w:val="28"/>
          <w:highlight w:val="none"/>
          <w:lang w:eastAsia="zh-CN"/>
        </w:rPr>
      </w:pPr>
      <w:bookmarkStart w:id="0" w:name="_Toc469495724"/>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32"/>
          <w:highlight w:val="none"/>
          <w:lang w:eastAsia="zh-CN"/>
        </w:rPr>
        <w:t>总  则</w:t>
      </w:r>
      <w:bookmarkEnd w:id="0"/>
    </w:p>
    <w:p w14:paraId="63D2CEAE">
      <w:pPr>
        <w:snapToGrid w:val="0"/>
        <w:spacing w:line="3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1.项目概况</w:t>
      </w:r>
    </w:p>
    <w:p w14:paraId="1000113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1.1本次招标采购项目名称：见供应商须知前附表。</w:t>
      </w:r>
    </w:p>
    <w:p w14:paraId="4B217991">
      <w:pPr>
        <w:snapToGrid w:val="0"/>
        <w:spacing w:line="440" w:lineRule="exact"/>
        <w:ind w:firstLine="2430" w:firstLineChars="10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项目编号：见供应商须知前附表。</w:t>
      </w:r>
    </w:p>
    <w:p w14:paraId="2492F7AB">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招</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标</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人：见供应商须知前附表。</w:t>
      </w:r>
    </w:p>
    <w:p w14:paraId="6AC0C719">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color w:val="auto"/>
          <w:highlight w:val="none"/>
          <w:lang w:eastAsia="zh-CN"/>
        </w:rPr>
        <w:t>实施工期</w:t>
      </w:r>
      <w:r>
        <w:rPr>
          <w:rFonts w:hint="eastAsia" w:ascii="仿宋" w:hAnsi="仿宋" w:eastAsia="仿宋" w:cs="仿宋"/>
          <w:color w:val="auto"/>
          <w:szCs w:val="21"/>
          <w:highlight w:val="none"/>
          <w:lang w:eastAsia="zh-CN"/>
        </w:rPr>
        <w:t>：见供应商须知前附表。</w:t>
      </w:r>
    </w:p>
    <w:p w14:paraId="00E44901">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供货地点：见供应商须知前附表。</w:t>
      </w:r>
    </w:p>
    <w:p w14:paraId="11B209CC">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1.2招标人及联系人: 见供应商须知前附表。</w:t>
      </w:r>
    </w:p>
    <w:p w14:paraId="7E082DC2">
      <w:pPr>
        <w:snapToGrid w:val="0"/>
        <w:spacing w:line="440" w:lineRule="exact"/>
        <w:ind w:firstLine="607" w:firstLineChars="25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代理机构及联系人: 见供应商须知前附表。</w:t>
      </w:r>
    </w:p>
    <w:p w14:paraId="591E49DA">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1.3资金来源：见供应商须知前附表。</w:t>
      </w:r>
    </w:p>
    <w:p w14:paraId="520B6B7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1.4本项目预算：见供应商须知前附表。</w:t>
      </w:r>
    </w:p>
    <w:p w14:paraId="76B53F22">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1.5本项目控制价：见供应商须知前附表。</w:t>
      </w:r>
    </w:p>
    <w:p w14:paraId="708D507A">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2.招标范围：</w:t>
      </w:r>
    </w:p>
    <w:p w14:paraId="68D95F9F">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2.1 采购内容：见供应商须知前附表。</w:t>
      </w:r>
    </w:p>
    <w:p w14:paraId="37A012B6">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 技术要求：详见采购文件第四章采购内容及技术要求。</w:t>
      </w:r>
    </w:p>
    <w:p w14:paraId="27AACC6B">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3.标包划分：</w:t>
      </w:r>
    </w:p>
    <w:p w14:paraId="7FD1CD43">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3.1本项目划分：</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lang w:eastAsia="zh-CN"/>
        </w:rPr>
        <w:t>个包。</w:t>
      </w:r>
    </w:p>
    <w:p w14:paraId="61B5788E">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4.招标方式：</w:t>
      </w:r>
    </w:p>
    <w:p w14:paraId="3179758B">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4.1本项目招标方式：公开招标。</w:t>
      </w:r>
    </w:p>
    <w:p w14:paraId="7F347071">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5.计价方式：</w:t>
      </w:r>
    </w:p>
    <w:p w14:paraId="1345FB6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5.1本次招标项目合同采用</w:t>
      </w:r>
      <w:r>
        <w:rPr>
          <w:rFonts w:hint="eastAsia" w:ascii="仿宋" w:hAnsi="仿宋" w:eastAsia="仿宋" w:cs="仿宋"/>
          <w:color w:val="auto"/>
          <w:szCs w:val="21"/>
          <w:highlight w:val="none"/>
          <w:u w:val="single"/>
          <w:lang w:eastAsia="zh-CN"/>
        </w:rPr>
        <w:t xml:space="preserve">  固定总价  。</w:t>
      </w:r>
    </w:p>
    <w:p w14:paraId="4CA5ECD8">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6.评标办法：</w:t>
      </w:r>
    </w:p>
    <w:p w14:paraId="689D9A0B">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6.1本次招标评标采用</w:t>
      </w:r>
      <w:r>
        <w:rPr>
          <w:rFonts w:hint="eastAsia" w:ascii="仿宋" w:hAnsi="仿宋" w:eastAsia="仿宋" w:cs="仿宋"/>
          <w:color w:val="auto"/>
          <w:szCs w:val="21"/>
          <w:highlight w:val="none"/>
          <w:u w:val="single"/>
          <w:lang w:eastAsia="zh-CN"/>
        </w:rPr>
        <w:t xml:space="preserve">  综合评分法 </w:t>
      </w:r>
      <w:r>
        <w:rPr>
          <w:rFonts w:hint="eastAsia" w:ascii="仿宋" w:hAnsi="仿宋" w:eastAsia="仿宋" w:cs="仿宋"/>
          <w:color w:val="auto"/>
          <w:szCs w:val="21"/>
          <w:highlight w:val="none"/>
          <w:lang w:eastAsia="zh-CN"/>
        </w:rPr>
        <w:t>（详见第三章评标办法）</w:t>
      </w:r>
    </w:p>
    <w:p w14:paraId="0F27EAF5">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7.供应商资格：</w:t>
      </w:r>
    </w:p>
    <w:p w14:paraId="0EE1AC3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7.1参与采购活动的供应商必须是满足《中华人民共和国政府采购法》规定条件的法人、其他组织或者自然人：</w:t>
      </w:r>
    </w:p>
    <w:p w14:paraId="61AEF1D8">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7.2由于政府采购项目的差异性，供应商在参与具体政府采购项目活动时，应仔细阅读该项目的资质要求,具体见供应商须知前附表。</w:t>
      </w:r>
    </w:p>
    <w:p w14:paraId="6DD3FF54">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highlight w:val="none"/>
          <w:lang w:eastAsia="zh-CN" w:bidi="ar-SA"/>
        </w:rPr>
        <w:t>(已在政采云平台其他省份入驻的供应商无须重复注册），</w:t>
      </w:r>
      <w:r>
        <w:rPr>
          <w:rFonts w:hint="eastAsia" w:ascii="仿宋" w:hAnsi="仿宋" w:eastAsia="仿宋" w:cs="仿宋"/>
          <w:color w:val="auto"/>
          <w:szCs w:val="21"/>
          <w:highlight w:val="none"/>
          <w:lang w:eastAsia="zh-CN"/>
        </w:rPr>
        <w:t>并完成CA数字证书申领。因未注册入库、未办理CA数字证书等原因造成无法投标或投标失败等后果由供应商自行承担。</w:t>
      </w:r>
    </w:p>
    <w:p w14:paraId="35135585">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7.4供应商必须确保自己在信息库中注册的信息真实、准确，并保证投标文件中的有关信息与库中的信息相一致。否则，供应商因此蒙受损失，招标人概不负责。</w:t>
      </w:r>
    </w:p>
    <w:p w14:paraId="0F125708">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8. 投标费用</w:t>
      </w:r>
    </w:p>
    <w:p w14:paraId="396C6958">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8.1供应商准备和参加投标活动发生的费用自理。</w:t>
      </w:r>
    </w:p>
    <w:p w14:paraId="6AB71CAD">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9.</w:t>
      </w:r>
      <w:bookmarkStart w:id="1" w:name="_Toc247592876"/>
      <w:bookmarkStart w:id="2" w:name="_Toc152045539"/>
      <w:bookmarkStart w:id="3" w:name="_Toc247513962"/>
      <w:bookmarkStart w:id="4" w:name="_Toc247527563"/>
      <w:bookmarkStart w:id="5" w:name="_Toc144974507"/>
      <w:bookmarkStart w:id="6" w:name="_Toc152042315"/>
      <w:bookmarkStart w:id="7" w:name="_Toc296602429"/>
      <w:r>
        <w:rPr>
          <w:rFonts w:hint="eastAsia" w:ascii="仿宋" w:hAnsi="仿宋" w:eastAsia="仿宋" w:cs="仿宋"/>
          <w:b/>
          <w:color w:val="auto"/>
          <w:szCs w:val="21"/>
          <w:highlight w:val="none"/>
          <w:lang w:eastAsia="zh-CN"/>
        </w:rPr>
        <w:t xml:space="preserve"> 踏勘现场</w:t>
      </w:r>
      <w:bookmarkEnd w:id="1"/>
      <w:bookmarkEnd w:id="2"/>
      <w:bookmarkEnd w:id="3"/>
      <w:bookmarkEnd w:id="4"/>
      <w:bookmarkEnd w:id="5"/>
      <w:bookmarkEnd w:id="6"/>
      <w:bookmarkEnd w:id="7"/>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注：本项目不组织踏勘现场</w:t>
      </w:r>
      <w:r>
        <w:rPr>
          <w:rFonts w:hint="eastAsia" w:ascii="仿宋" w:hAnsi="仿宋" w:eastAsia="仿宋" w:cs="仿宋"/>
          <w:b/>
          <w:color w:val="auto"/>
          <w:szCs w:val="21"/>
          <w:highlight w:val="none"/>
          <w:lang w:eastAsia="zh-CN"/>
        </w:rPr>
        <w:t>）</w:t>
      </w:r>
    </w:p>
    <w:p w14:paraId="49434B19">
      <w:pPr>
        <w:spacing w:line="440" w:lineRule="exact"/>
        <w:ind w:firstLine="473" w:firstLineChars="195"/>
        <w:rPr>
          <w:rFonts w:ascii="仿宋" w:hAnsi="仿宋" w:eastAsia="仿宋" w:cs="仿宋"/>
          <w:b w:val="0"/>
          <w:bCs w:val="0"/>
          <w:color w:val="auto"/>
          <w:szCs w:val="21"/>
          <w:highlight w:val="none"/>
          <w:lang w:eastAsia="zh-CN"/>
        </w:rPr>
      </w:pPr>
      <w:r>
        <w:rPr>
          <w:rFonts w:hint="eastAsia" w:ascii="仿宋" w:hAnsi="仿宋" w:eastAsia="仿宋" w:cs="仿宋"/>
          <w:color w:val="auto"/>
          <w:szCs w:val="21"/>
          <w:highlight w:val="none"/>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highlight w:val="none"/>
          <w:lang w:eastAsia="zh-CN"/>
        </w:rPr>
        <w:t>供应商自行踏勘现场的，可咨询本项目采购人或采购代理机构联系人。</w:t>
      </w:r>
      <w:r>
        <w:rPr>
          <w:rFonts w:hint="eastAsia" w:ascii="仿宋" w:hAnsi="仿宋" w:eastAsia="仿宋" w:cs="仿宋"/>
          <w:b w:val="0"/>
          <w:bCs w:val="0"/>
          <w:color w:val="auto"/>
          <w:highlight w:val="none"/>
          <w:lang w:eastAsia="zh-CN"/>
        </w:rPr>
        <w:t>供应商自行踏勘现场的，可咨询本项目采购人或采购代理机构联系人。</w:t>
      </w:r>
      <w:r>
        <w:rPr>
          <w:rFonts w:hint="eastAsia" w:ascii="仿宋" w:hAnsi="仿宋" w:eastAsia="仿宋" w:cs="仿宋"/>
          <w:b w:val="0"/>
          <w:bCs w:val="0"/>
          <w:color w:val="auto"/>
          <w:szCs w:val="21"/>
          <w:highlight w:val="none"/>
          <w:lang w:eastAsia="zh-CN"/>
        </w:rPr>
        <w:t xml:space="preserve"> </w:t>
      </w:r>
    </w:p>
    <w:p w14:paraId="538F5B3B">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供应商踏勘现场发生的费用自理。</w:t>
      </w:r>
    </w:p>
    <w:p w14:paraId="5973CC34">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除招标人的原因外，供应商自行负责在踏勘现场中所发生的人员伤亡和财产损失。</w:t>
      </w:r>
    </w:p>
    <w:p w14:paraId="7EA8696F">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招标人在踏勘现场中介绍的场地和相关的周边环境情况，供供应商在编制投标文件时参考，招标人不对供应商据此作出的判断和决策负责。</w:t>
      </w:r>
      <w:bookmarkStart w:id="8" w:name="_Toc247513963"/>
      <w:bookmarkStart w:id="9" w:name="_Toc247592877"/>
      <w:bookmarkStart w:id="10" w:name="_Toc247527564"/>
      <w:bookmarkStart w:id="11" w:name="_Toc152042316"/>
      <w:bookmarkStart w:id="12" w:name="_Toc152045540"/>
      <w:bookmarkStart w:id="13" w:name="_Toc144974508"/>
      <w:bookmarkStart w:id="14" w:name="_Toc296602430"/>
    </w:p>
    <w:p w14:paraId="5CB3B46E">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10. 投标预备会</w:t>
      </w:r>
      <w:bookmarkEnd w:id="8"/>
      <w:bookmarkEnd w:id="9"/>
      <w:bookmarkEnd w:id="10"/>
      <w:bookmarkEnd w:id="11"/>
      <w:bookmarkEnd w:id="12"/>
      <w:bookmarkEnd w:id="13"/>
      <w:bookmarkEnd w:id="14"/>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注：本项目不组织投标预备会</w:t>
      </w:r>
      <w:r>
        <w:rPr>
          <w:rFonts w:hint="eastAsia" w:ascii="仿宋" w:hAnsi="仿宋" w:eastAsia="仿宋" w:cs="仿宋"/>
          <w:b/>
          <w:color w:val="auto"/>
          <w:szCs w:val="21"/>
          <w:highlight w:val="none"/>
          <w:lang w:eastAsia="zh-CN"/>
        </w:rPr>
        <w:t>）</w:t>
      </w:r>
    </w:p>
    <w:p w14:paraId="2F44A0B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10.1供应商须知前附表规定召开投标预备会的，招标人按供应商须知前附表规定的时间和地点召开投标预备会，澄清供应商提出的问题。</w:t>
      </w:r>
    </w:p>
    <w:p w14:paraId="159086B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10.2供应商应在供应商须知前附表规定的时间前，将提出的问题送达招标人，以便招标人澄清。</w:t>
      </w:r>
    </w:p>
    <w:p w14:paraId="49725320">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10.3招标人在供应商须知前附表规定的时间，将对供应商所提的问题进行澄清。该澄清内容为采购文件的组成部分。</w:t>
      </w:r>
    </w:p>
    <w:p w14:paraId="34FF337D">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11. 联合投标（</w:t>
      </w:r>
      <w:r>
        <w:rPr>
          <w:rFonts w:hint="eastAsia" w:ascii="仿宋" w:hAnsi="仿宋" w:eastAsia="仿宋" w:cs="仿宋"/>
          <w:b/>
          <w:color w:val="auto"/>
          <w:szCs w:val="21"/>
          <w:highlight w:val="none"/>
          <w:lang w:val="en-US" w:eastAsia="zh-CN"/>
        </w:rPr>
        <w:t>注：本项目不接受联合体投标</w:t>
      </w:r>
      <w:r>
        <w:rPr>
          <w:rFonts w:hint="eastAsia" w:ascii="仿宋" w:hAnsi="仿宋" w:eastAsia="仿宋" w:cs="仿宋"/>
          <w:b/>
          <w:color w:val="auto"/>
          <w:szCs w:val="21"/>
          <w:highlight w:val="none"/>
          <w:lang w:eastAsia="zh-CN"/>
        </w:rPr>
        <w:t>）</w:t>
      </w:r>
    </w:p>
    <w:p w14:paraId="55473F95">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7BF9D957">
      <w:pPr>
        <w:spacing w:line="40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5F751CA3">
      <w:pPr>
        <w:spacing w:line="400" w:lineRule="exact"/>
        <w:ind w:firstLine="475"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11.3 联合体应当确定其中一个单位为投标的全权代表，负责参加投标的一切事务，并承担投标及履约中应承担的全部责任与义务。</w:t>
      </w:r>
    </w:p>
    <w:p w14:paraId="6259F2BA">
      <w:pPr>
        <w:pStyle w:val="12"/>
        <w:spacing w:after="0" w:line="400" w:lineRule="exact"/>
        <w:ind w:left="0" w:leftChars="0" w:firstLine="490" w:firstLineChars="20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11.4 联合体各方应当共同与招标人签订采购合同，就采购合同约定的事项对招标人承担连带责任。</w:t>
      </w:r>
    </w:p>
    <w:p w14:paraId="721CC787">
      <w:pPr>
        <w:spacing w:line="440" w:lineRule="exact"/>
        <w:ind w:firstLine="475" w:firstLineChars="196"/>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12.招标代理费:</w:t>
      </w:r>
      <w:r>
        <w:rPr>
          <w:rFonts w:hint="eastAsia" w:ascii="仿宋" w:hAnsi="仿宋" w:eastAsia="仿宋" w:cs="仿宋"/>
          <w:color w:val="auto"/>
          <w:szCs w:val="21"/>
          <w:highlight w:val="none"/>
          <w:lang w:eastAsia="zh-CN"/>
        </w:rPr>
        <w:t xml:space="preserve"> 见供应商须知前附表。</w:t>
      </w:r>
    </w:p>
    <w:p w14:paraId="4647BA98">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13.供应商应注意的事项</w:t>
      </w:r>
    </w:p>
    <w:p w14:paraId="550BDF38">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color w:val="auto"/>
          <w:szCs w:val="21"/>
          <w:highlight w:val="none"/>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74FF8855">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13.2 供应商对采购内容中规定的技术参数、规格等要求必须完全响应或优于采购文件中的要求。</w:t>
      </w:r>
    </w:p>
    <w:p w14:paraId="5267D8B5">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13.3所有供应商的投标保证金都应在采购文件规定的投标保证金缴纳截止日期前缴纳。</w:t>
      </w:r>
    </w:p>
    <w:p w14:paraId="64FC61AA">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highlight w:val="none"/>
          <w:lang w:eastAsia="zh-CN"/>
        </w:rPr>
        <w:t>为采购项目提供整体设计、规范编制或者项目管理、监理、检测等服务的供应商，不得再参加该采购项目的其他采购活动。</w:t>
      </w:r>
    </w:p>
    <w:p w14:paraId="0B0ED77A">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13.5本项目只接受</w:t>
      </w:r>
      <w:r>
        <w:rPr>
          <w:rFonts w:hint="eastAsia" w:ascii="仿宋" w:hAnsi="仿宋" w:eastAsia="仿宋" w:cs="仿宋"/>
          <w:color w:val="auto"/>
          <w:szCs w:val="21"/>
          <w:highlight w:val="none"/>
          <w:lang w:eastAsia="zh-CN"/>
        </w:rPr>
        <w:t>成为新疆维吾尔自治区政府采购网正式注册入库并完成CA数字证书申领供应商参与投标。因未注册入库、未办理CA数字证书等原因造成无法投标或投标失败等后果由供应商自行承担。</w:t>
      </w:r>
    </w:p>
    <w:p w14:paraId="20E05083">
      <w:pPr>
        <w:wordWrap w:val="0"/>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13.6  供应商被视为充分熟悉本招标项目所在地的与履行合同有关的各种情况，包括但不限于：</w:t>
      </w:r>
    </w:p>
    <w:p w14:paraId="65A780E7">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（1）国家对本次投标货物和服务的生产、安装调试、验收、维修等有关法律、法规及行业管理标准；</w:t>
      </w:r>
    </w:p>
    <w:p w14:paraId="2619455F">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（2）本地区有关管理部门的相关规定；</w:t>
      </w:r>
    </w:p>
    <w:p w14:paraId="0F15388A">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（3）招标人的相关场地情况、基础建设、电力供应情况及相关设计标准。</w:t>
      </w:r>
    </w:p>
    <w:p w14:paraId="31CB678B">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本采购文件不再对上述情况进行描述。</w:t>
      </w:r>
      <w:bookmarkStart w:id="15" w:name="_Toc469495725"/>
    </w:p>
    <w:p w14:paraId="54495BE4">
      <w:pPr>
        <w:spacing w:line="400" w:lineRule="exact"/>
        <w:ind w:firstLine="424" w:firstLineChars="150"/>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w:t>
      </w:r>
      <w:bookmarkEnd w:id="15"/>
      <w:r>
        <w:rPr>
          <w:rFonts w:hint="eastAsia" w:ascii="仿宋" w:hAnsi="仿宋" w:eastAsia="仿宋" w:cs="仿宋"/>
          <w:b/>
          <w:color w:val="auto"/>
          <w:sz w:val="28"/>
          <w:szCs w:val="28"/>
          <w:highlight w:val="none"/>
          <w:lang w:eastAsia="zh-CN"/>
        </w:rPr>
        <w:t>招标文件</w:t>
      </w:r>
    </w:p>
    <w:p w14:paraId="64D42F72">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15. 采购文件的编制依据</w:t>
      </w:r>
    </w:p>
    <w:p w14:paraId="76934574">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根据《中华人民共和国政府采购法》、《政府采购货物和服务招标投标管理办法》和《中华人民共和国民法典》</w:t>
      </w:r>
      <w:r>
        <w:rPr>
          <w:rFonts w:hint="eastAsia" w:ascii="仿宋" w:hAnsi="仿宋" w:eastAsia="仿宋" w:cs="仿宋"/>
          <w:color w:val="auto"/>
          <w:spacing w:val="-2"/>
          <w:szCs w:val="21"/>
          <w:highlight w:val="none"/>
          <w:lang w:eastAsia="zh-CN"/>
        </w:rPr>
        <w:t>等相关法律法规和规章及部、省、市级规范性文件的规定，编制本采购文件。</w:t>
      </w:r>
    </w:p>
    <w:p w14:paraId="6B0527EC">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16. 采购文件的组成</w:t>
      </w:r>
    </w:p>
    <w:p w14:paraId="69CBCD37">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16.1 采购文件包括内容：</w:t>
      </w:r>
    </w:p>
    <w:p w14:paraId="1A374B59">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第一章  招标公告</w:t>
      </w:r>
    </w:p>
    <w:p w14:paraId="69122976">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第二章  投标须知</w:t>
      </w:r>
    </w:p>
    <w:p w14:paraId="61E16461">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第三章  评标办法</w:t>
      </w:r>
    </w:p>
    <w:p w14:paraId="225520E9">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第四章  采购内容及技术要求</w:t>
      </w:r>
    </w:p>
    <w:p w14:paraId="56841642">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第五章  合同条款及格式</w:t>
      </w:r>
    </w:p>
    <w:p w14:paraId="496A3071">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第六章  投标文件格式文本</w:t>
      </w:r>
    </w:p>
    <w:p w14:paraId="732175E0">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16.2 除16.1内容外，招标答疑亦为采购文件的组成部分，对招标人和供应商起约束作用。</w:t>
      </w:r>
    </w:p>
    <w:p w14:paraId="62011664">
      <w:pPr>
        <w:pStyle w:val="13"/>
        <w:wordWrap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3340646D">
      <w:pPr>
        <w:wordWrap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2977B5C9">
      <w:pPr>
        <w:spacing w:line="440" w:lineRule="exact"/>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17. 采购文件的修改、补充、解释</w:t>
      </w:r>
    </w:p>
    <w:p w14:paraId="4DF120E3">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52F19F50">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4514F882">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 xml:space="preserve">17.3 </w:t>
      </w:r>
      <w:r>
        <w:rPr>
          <w:rFonts w:hint="eastAsia" w:ascii="仿宋" w:hAnsi="仿宋" w:eastAsia="仿宋" w:cs="仿宋"/>
          <w:color w:val="auto"/>
          <w:szCs w:val="21"/>
          <w:highlight w:val="none"/>
          <w:lang w:eastAsia="zh-CN"/>
        </w:rPr>
        <w:t>供应商在规定的时间内未对采购文件提出疑问、质疑或要求澄清的，将视其为无异议。</w:t>
      </w:r>
    </w:p>
    <w:p w14:paraId="45F50288">
      <w:pPr>
        <w:spacing w:line="400" w:lineRule="exact"/>
        <w:ind w:firstLine="243" w:firstLineChars="1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17.4 采购文件的解释</w:t>
      </w:r>
    </w:p>
    <w:p w14:paraId="38F458C4">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本采购文件由招标人（或其委托的招标代理机构）负责解释。</w:t>
      </w:r>
    </w:p>
    <w:p w14:paraId="52FB97E1">
      <w:pPr>
        <w:spacing w:line="40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 18. 采购文件的发出</w:t>
      </w:r>
    </w:p>
    <w:p w14:paraId="4A7A6093">
      <w:pPr>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18.1 采购文件、采购文件的澄清、修改、补充及招标答疑等均应报相关部门备案后，方可发出。</w:t>
      </w:r>
    </w:p>
    <w:p w14:paraId="53799E87">
      <w:pPr>
        <w:spacing w:line="440" w:lineRule="exact"/>
        <w:ind w:firstLine="243" w:firstLineChars="100"/>
        <w:rPr>
          <w:rFonts w:ascii="仿宋" w:hAnsi="仿宋" w:eastAsia="仿宋" w:cs="仿宋"/>
          <w:color w:val="auto"/>
          <w:szCs w:val="21"/>
          <w:highlight w:val="none"/>
          <w:lang w:eastAsia="zh-CN"/>
        </w:rPr>
      </w:pPr>
      <w:bookmarkStart w:id="16" w:name="_Toc469495726"/>
      <w:r>
        <w:rPr>
          <w:rFonts w:hint="eastAsia" w:ascii="仿宋" w:hAnsi="仿宋" w:eastAsia="仿宋" w:cs="仿宋"/>
          <w:b/>
          <w:color w:val="auto"/>
          <w:szCs w:val="21"/>
          <w:highlight w:val="none"/>
          <w:lang w:eastAsia="zh-CN"/>
        </w:rPr>
        <w:t xml:space="preserve">19. </w:t>
      </w:r>
      <w:r>
        <w:rPr>
          <w:rFonts w:hint="eastAsia" w:ascii="仿宋" w:hAnsi="仿宋" w:eastAsia="仿宋" w:cs="仿宋"/>
          <w:color w:val="auto"/>
          <w:szCs w:val="21"/>
          <w:highlight w:val="none"/>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26591D96">
      <w:pPr>
        <w:spacing w:beforeLines="100" w:afterLines="100" w:line="440" w:lineRule="exact"/>
        <w:jc w:val="center"/>
        <w:outlineLvl w:val="2"/>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（三）投标文件的编制</w:t>
      </w:r>
      <w:bookmarkEnd w:id="16"/>
    </w:p>
    <w:p w14:paraId="61159536">
      <w:pPr>
        <w:spacing w:line="440" w:lineRule="exact"/>
        <w:ind w:firstLine="352" w:firstLineChars="145"/>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20. 投标的语言及度量衡单位</w:t>
      </w:r>
    </w:p>
    <w:p w14:paraId="1FAF130B">
      <w:pPr>
        <w:spacing w:line="440" w:lineRule="exact"/>
        <w:ind w:firstLine="328" w:firstLineChars="13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52BD450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20.2除采购文件中另有规定外，投标书所使用的度量衡均须采用法定计量单位。</w:t>
      </w:r>
    </w:p>
    <w:p w14:paraId="612539D1">
      <w:pPr>
        <w:spacing w:line="400" w:lineRule="exact"/>
        <w:ind w:firstLine="237" w:firstLineChars="98"/>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 投标文件的组成</w:t>
      </w:r>
    </w:p>
    <w:p w14:paraId="03E4D4CB">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资格证明文件和商务及技术文件两部分。</w:t>
      </w:r>
    </w:p>
    <w:p w14:paraId="69C21981">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21.1资格证明文件（包括但不限于）</w:t>
      </w:r>
    </w:p>
    <w:p w14:paraId="0D1B09B9">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资格证明文件是证明供应商有资格参加投标和中标后有能力履行合同的文件，这些文件应能满足招标的要求，否则作无效投标处理。</w:t>
      </w:r>
    </w:p>
    <w:p w14:paraId="6E25ED6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1、法人或者非法人组织的营业执照等证明文件复印件（须加盖本单位章）或自然人的身份证明复印件;</w:t>
      </w:r>
    </w:p>
    <w:p w14:paraId="2616857C">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2、法定代表人资格证明书</w:t>
      </w:r>
    </w:p>
    <w:p w14:paraId="3657B432">
      <w:pPr>
        <w:spacing w:line="440" w:lineRule="exact"/>
        <w:ind w:firstLine="356"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3、法定代表人授权书</w:t>
      </w:r>
    </w:p>
    <w:p w14:paraId="172A2257">
      <w:pPr>
        <w:spacing w:line="440" w:lineRule="exact"/>
        <w:ind w:firstLine="356" w:firstLineChars="147"/>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4EF53014">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、投标保证金缴纳凭证或投标担保函；</w:t>
      </w:r>
    </w:p>
    <w:p w14:paraId="2C93F46F">
      <w:pPr>
        <w:spacing w:line="440" w:lineRule="exact"/>
        <w:ind w:firstLine="356" w:firstLineChars="147"/>
        <w:rPr>
          <w:color w:val="auto"/>
          <w:highlight w:val="none"/>
          <w:lang w:eastAsia="zh-CN"/>
        </w:rPr>
      </w:pPr>
      <w:r>
        <w:rPr>
          <w:rFonts w:hint="eastAsia" w:ascii="仿宋" w:hAnsi="仿宋" w:eastAsia="仿宋" w:cs="仿宋"/>
          <w:color w:val="auto"/>
          <w:szCs w:val="21"/>
          <w:highlight w:val="none"/>
          <w:lang w:eastAsia="zh-CN"/>
        </w:rPr>
        <w:t>6、投标企业须提供投标人（被授权在职人员）近6个月内任意一个月有效的社保证明；</w:t>
      </w:r>
    </w:p>
    <w:p w14:paraId="0BE9244D">
      <w:pPr>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28BDF007">
      <w:pPr>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8、供应商须知前附表要求的其他资格证明文件。</w:t>
      </w:r>
    </w:p>
    <w:p w14:paraId="45988BC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21.2 商务及技术文件（包括但不限于）</w:t>
      </w:r>
    </w:p>
    <w:p w14:paraId="539BE50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7433B654">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4FD2117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w:t>
      </w:r>
      <w:r>
        <w:rPr>
          <w:rFonts w:hint="eastAsia" w:ascii="仿宋" w:hAnsi="仿宋" w:eastAsia="仿宋" w:cs="仿宋"/>
          <w:bCs/>
          <w:color w:val="auto"/>
          <w:szCs w:val="21"/>
          <w:highlight w:val="none"/>
          <w:lang w:val="en-US" w:eastAsia="zh-CN"/>
        </w:rPr>
        <w:t>服务</w:t>
      </w:r>
      <w:r>
        <w:rPr>
          <w:rFonts w:hint="eastAsia" w:ascii="仿宋" w:hAnsi="仿宋" w:eastAsia="仿宋" w:cs="仿宋"/>
          <w:bCs/>
          <w:color w:val="auto"/>
          <w:szCs w:val="21"/>
          <w:highlight w:val="none"/>
          <w:lang w:eastAsia="zh-CN"/>
        </w:rPr>
        <w:t>说明一览表</w:t>
      </w:r>
    </w:p>
    <w:p w14:paraId="039F223B">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4、投标分项报价明细表</w:t>
      </w:r>
    </w:p>
    <w:p w14:paraId="65CB61F8">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0EE6D90A">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1F821876">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1E1A9722">
      <w:pPr>
        <w:spacing w:line="400" w:lineRule="exact"/>
        <w:ind w:firstLine="482" w:firstLineChars="199"/>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8、中标服务费支付承诺书</w:t>
      </w:r>
    </w:p>
    <w:p w14:paraId="2ECD3AF0">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(2022年6月 至今）类似业绩</w:t>
      </w:r>
      <w:r>
        <w:rPr>
          <w:rFonts w:hint="eastAsia" w:ascii="仿宋" w:hAnsi="仿宋" w:eastAsia="仿宋" w:cs="仿宋"/>
          <w:bCs/>
          <w:color w:val="auto"/>
          <w:szCs w:val="21"/>
          <w:highlight w:val="none"/>
          <w:lang w:eastAsia="zh-CN"/>
        </w:rPr>
        <w:t>表</w:t>
      </w:r>
    </w:p>
    <w:p w14:paraId="515156DC">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、中小企业声明函(</w:t>
      </w:r>
      <w:r>
        <w:rPr>
          <w:rFonts w:hint="eastAsia" w:ascii="仿宋" w:hAnsi="仿宋" w:eastAsia="仿宋" w:cs="仿宋"/>
          <w:bCs/>
          <w:color w:val="auto"/>
          <w:szCs w:val="21"/>
          <w:highlight w:val="none"/>
          <w:lang w:val="en-US" w:eastAsia="zh-CN"/>
        </w:rPr>
        <w:t>服务</w:t>
      </w:r>
      <w:r>
        <w:rPr>
          <w:rFonts w:hint="eastAsia" w:ascii="仿宋" w:hAnsi="仿宋" w:eastAsia="仿宋" w:cs="仿宋"/>
          <w:bCs/>
          <w:color w:val="auto"/>
          <w:szCs w:val="21"/>
          <w:highlight w:val="none"/>
          <w:lang w:eastAsia="zh-CN"/>
        </w:rPr>
        <w:t>)</w:t>
      </w:r>
    </w:p>
    <w:p w14:paraId="0AB5F415">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、《残疾人福利性单位声明函》</w:t>
      </w:r>
    </w:p>
    <w:p w14:paraId="412BECFE">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、评分标准和细则中技术、</w:t>
      </w:r>
      <w:r>
        <w:rPr>
          <w:rFonts w:hint="eastAsia" w:ascii="仿宋" w:hAnsi="仿宋" w:eastAsia="仿宋" w:cs="仿宋"/>
          <w:bCs/>
          <w:color w:val="auto"/>
          <w:szCs w:val="21"/>
          <w:highlight w:val="none"/>
          <w:lang w:val="en-US" w:eastAsia="zh-CN"/>
        </w:rPr>
        <w:t>商务</w:t>
      </w:r>
      <w:r>
        <w:rPr>
          <w:rFonts w:hint="eastAsia" w:ascii="仿宋" w:hAnsi="仿宋" w:eastAsia="仿宋" w:cs="仿宋"/>
          <w:bCs/>
          <w:color w:val="auto"/>
          <w:szCs w:val="21"/>
          <w:highlight w:val="none"/>
          <w:lang w:eastAsia="zh-CN"/>
        </w:rPr>
        <w:t>部分证明材料</w:t>
      </w:r>
    </w:p>
    <w:p w14:paraId="72487BB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13</w:t>
      </w:r>
      <w:r>
        <w:rPr>
          <w:rFonts w:hint="eastAsia" w:ascii="仿宋" w:hAnsi="仿宋" w:eastAsia="仿宋" w:cs="仿宋"/>
          <w:bCs/>
          <w:color w:val="auto"/>
          <w:szCs w:val="21"/>
          <w:highlight w:val="none"/>
          <w:lang w:eastAsia="zh-CN"/>
        </w:rPr>
        <w:t>、供应商认为有必要提供的其他证明材料（格式自拟）</w:t>
      </w:r>
    </w:p>
    <w:p w14:paraId="3878EDD6">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53C1B4C4">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21.3投标文件的要求</w:t>
      </w:r>
    </w:p>
    <w:p w14:paraId="2B8145AD">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2257074">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（2）投标文件格式应按本采购文件第六章格式要求编制，不得对采购文件格式进行增删更改，否则按无效标处理。</w:t>
      </w:r>
    </w:p>
    <w:p w14:paraId="0B11DC09">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（3）对采购文件格式可更改的例外情况：采购文件第</w:t>
      </w:r>
      <w:r>
        <w:rPr>
          <w:rFonts w:hint="eastAsia" w:ascii="仿宋" w:hAnsi="仿宋" w:eastAsia="仿宋" w:cs="仿宋"/>
          <w:color w:val="auto"/>
          <w:szCs w:val="21"/>
          <w:highlight w:val="none"/>
          <w:lang w:val="en-US" w:eastAsia="zh-CN"/>
        </w:rPr>
        <w:t>六章</w:t>
      </w:r>
      <w:r>
        <w:rPr>
          <w:rFonts w:hint="eastAsia" w:ascii="仿宋" w:hAnsi="仿宋" w:eastAsia="仿宋" w:cs="仿宋"/>
          <w:color w:val="auto"/>
          <w:szCs w:val="21"/>
          <w:highlight w:val="none"/>
          <w:lang w:eastAsia="zh-CN"/>
        </w:rPr>
        <w:t xml:space="preserve">附件格式要求中明确规定表格中行数不够用时可按相同格式增加行数，其他一切内容和格式不得更改。 </w:t>
      </w:r>
    </w:p>
    <w:p w14:paraId="32C38E47">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（4）投标文件为电子投标文件，电子投标文件按“政采云供应商项目采购-电子招投标操作指南”及本采购文件要求制作、加密传输。</w:t>
      </w:r>
    </w:p>
    <w:p w14:paraId="38A16BEC">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（5）投标文件未在投标截止时间前完成传输的，视为投标文件撤回；投标文件未按时解密也未提供备份投标文件的，亦视为投标文件撤回。</w:t>
      </w:r>
    </w:p>
    <w:p w14:paraId="09A0B07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22</w:t>
      </w:r>
      <w:r>
        <w:rPr>
          <w:rFonts w:hint="eastAsia" w:ascii="仿宋" w:hAnsi="仿宋" w:eastAsia="仿宋" w:cs="仿宋"/>
          <w:color w:val="auto"/>
          <w:szCs w:val="21"/>
          <w:highlight w:val="none"/>
          <w:lang w:eastAsia="zh-CN"/>
        </w:rPr>
        <w:t>.</w:t>
      </w:r>
      <w:r>
        <w:rPr>
          <w:rFonts w:hint="eastAsia" w:ascii="仿宋" w:hAnsi="仿宋" w:eastAsia="仿宋" w:cs="仿宋"/>
          <w:b/>
          <w:color w:val="auto"/>
          <w:szCs w:val="21"/>
          <w:highlight w:val="none"/>
          <w:lang w:eastAsia="zh-CN"/>
        </w:rPr>
        <w:t>投标报价</w:t>
      </w:r>
    </w:p>
    <w:p w14:paraId="45EDB29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22.1投标报价文件中的单价和总价全部采用人民币表示。</w:t>
      </w:r>
    </w:p>
    <w:p w14:paraId="43D375B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22.2投标报价表上应清楚地标明供应商拟提供货物</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lang w:eastAsia="zh-CN"/>
        </w:rPr>
        <w:t>的名称、型号、生产厂家、数量、单价和总价。</w:t>
      </w:r>
    </w:p>
    <w:p w14:paraId="79899FD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22.3供应商只允许有一个方案、一个报价。</w:t>
      </w:r>
    </w:p>
    <w:p w14:paraId="42137DDF">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22.4供应商应按“采购</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lang w:eastAsia="zh-CN"/>
        </w:rPr>
        <w:t>内容及技术参数要求”所列货物</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lang w:eastAsia="zh-CN"/>
        </w:rPr>
        <w:t>逐项进行单价报价。综合单价包括：材料费、辅材费、运输费、管理费、利润、风险费用、代理费、调试、验收、培训及后期服务及国家对中标单位征收的各种税费等所有一切费用，综合单价今后将不作任何调整。</w:t>
      </w:r>
    </w:p>
    <w:p w14:paraId="3D9BD3D0">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22.6投标报价应由法定代表人或被授权人签署。</w:t>
      </w:r>
    </w:p>
    <w:p w14:paraId="315D868C">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22.</w:t>
      </w:r>
      <w:r>
        <w:rPr>
          <w:rFonts w:hint="eastAsia" w:ascii="仿宋" w:hAnsi="仿宋" w:eastAsia="仿宋" w:cs="仿宋"/>
          <w:bCs/>
          <w:color w:val="auto"/>
          <w:szCs w:val="21"/>
          <w:highlight w:val="none"/>
          <w:lang w:val="en-US" w:eastAsia="zh-CN"/>
        </w:rPr>
        <w:t>7</w:t>
      </w:r>
      <w:r>
        <w:rPr>
          <w:rFonts w:hint="eastAsia" w:ascii="仿宋" w:hAnsi="仿宋" w:eastAsia="仿宋" w:cs="仿宋"/>
          <w:b/>
          <w:color w:val="auto"/>
          <w:szCs w:val="21"/>
          <w:highlight w:val="none"/>
          <w:lang w:eastAsia="zh-CN"/>
        </w:rPr>
        <w:t>供应商投标总报价，不得高于本次招标设置的最高限价，</w:t>
      </w:r>
      <w:r>
        <w:rPr>
          <w:rFonts w:hint="eastAsia" w:ascii="仿宋" w:hAnsi="仿宋" w:eastAsia="仿宋" w:cs="仿宋"/>
          <w:b/>
          <w:bCs/>
          <w:color w:val="auto"/>
          <w:szCs w:val="21"/>
          <w:highlight w:val="none"/>
          <w:lang w:eastAsia="zh-CN"/>
        </w:rPr>
        <w:t>否则将作为无效投标处理。</w:t>
      </w:r>
    </w:p>
    <w:p w14:paraId="33BD4F7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如投标文件中未列明全面实现投标货物功能而必须配置的配套或辅助设施及相应技术措施的费用，这些费用将被视为已包含在总投标价中。</w:t>
      </w:r>
    </w:p>
    <w:p w14:paraId="194D6F72">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总投标价中不得包含采购文件要求以外的内容，否则，在评标时不予核减，但在授予合同时，招标人有权将这部分价格从其中标价格中扣除。</w:t>
      </w:r>
    </w:p>
    <w:p w14:paraId="23E1D763">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 xml:space="preserve">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06EB90CC">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23. 投标有效期</w:t>
      </w:r>
    </w:p>
    <w:p w14:paraId="676C0CA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23.1 除供应商须知前附表另有规定外，投标有效期为60天。</w:t>
      </w:r>
    </w:p>
    <w:p w14:paraId="45C01E34">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23.2在投标有效期内，供应商撤销或修改其投标文件的，应承担采购文件和法律规定的责任。</w:t>
      </w:r>
    </w:p>
    <w:p w14:paraId="02673A0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11A5D65A">
      <w:pPr>
        <w:spacing w:line="440" w:lineRule="exact"/>
        <w:ind w:firstLine="465" w:firstLineChars="192"/>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24. 投标保证金</w:t>
      </w:r>
    </w:p>
    <w:p w14:paraId="7E4D63F9">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24.1供应商须知前附表规定递交投标保证金的，供应商在递交投标文件的同时，应按供应商须知前附表规定的金额、担保形式和第六</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szCs w:val="21"/>
          <w:highlight w:val="none"/>
          <w:lang w:eastAsia="zh-CN"/>
        </w:rPr>
        <w:t>“投标文件格式”规定的投标保证金格式递交投标保证金，并作为其投标文件的组成部分。供应商不按要求提交投标保证金的，评标委员会将否决其投标。</w:t>
      </w:r>
    </w:p>
    <w:p w14:paraId="6BCF18B8">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24.2自中标通知书发出之日起5个工作日内退还未中标供应商的投标保证金，自政府采购合同签订之日起5个工作日内退还中标人的投标保证金。</w:t>
      </w:r>
    </w:p>
    <w:p w14:paraId="4CE83CAF">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24.3有下列情形之一的，投标保证金将不予退还： </w:t>
      </w:r>
    </w:p>
    <w:p w14:paraId="587C0299">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（1）供应商在规定的投标有效期内撤回或修改其投标文件；</w:t>
      </w:r>
    </w:p>
    <w:p w14:paraId="3C544E9C">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（2）中标通知书发出后三十天内，中标人无正当理由拒签合同协议书或未按采购文件规定提交履约担保。</w:t>
      </w:r>
    </w:p>
    <w:p w14:paraId="13E08AF6">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（3）提供虚假材料谋取中标的；</w:t>
      </w:r>
    </w:p>
    <w:p w14:paraId="062DF318">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（4）经查实属于陪标、串通投标的等。</w:t>
      </w:r>
    </w:p>
    <w:p w14:paraId="296168AC">
      <w:pPr>
        <w:spacing w:line="400" w:lineRule="exact"/>
        <w:ind w:firstLine="486" w:firstLineChars="200"/>
        <w:rPr>
          <w:rFonts w:ascii="仿宋" w:hAnsi="仿宋" w:eastAsia="仿宋" w:cs="仿宋"/>
          <w:color w:val="auto"/>
          <w:szCs w:val="21"/>
          <w:highlight w:val="none"/>
          <w:lang w:eastAsia="zh-CN"/>
        </w:rPr>
      </w:pPr>
      <w:bookmarkStart w:id="17"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1DEFF721">
      <w:pPr>
        <w:pStyle w:val="2"/>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w:t>
      </w:r>
      <w:bookmarkEnd w:id="17"/>
      <w:r>
        <w:rPr>
          <w:rFonts w:hint="eastAsia" w:ascii="仿宋" w:hAnsi="仿宋" w:eastAsia="仿宋" w:cs="仿宋"/>
          <w:color w:val="auto"/>
          <w:sz w:val="28"/>
          <w:szCs w:val="28"/>
          <w:highlight w:val="none"/>
          <w:lang w:eastAsia="zh-CN"/>
        </w:rPr>
        <w:t>投标文件的制作、上传及递交要求</w:t>
      </w:r>
    </w:p>
    <w:p w14:paraId="2C5D24BB">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25.投标文件的制作要求</w:t>
      </w:r>
    </w:p>
    <w:p w14:paraId="09B4560F">
      <w:pPr>
        <w:pStyle w:val="7"/>
        <w:snapToGrid w:val="0"/>
        <w:spacing w:line="360" w:lineRule="auto"/>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564B8041">
      <w:pPr>
        <w:pStyle w:val="7"/>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w:t>
      </w:r>
      <w:r>
        <w:rPr>
          <w:rFonts w:hint="eastAsia" w:ascii="仿宋" w:hAnsi="仿宋" w:eastAsia="仿宋" w:cs="仿宋"/>
          <w:bCs/>
          <w:color w:val="auto"/>
          <w:szCs w:val="24"/>
          <w:highlight w:val="none"/>
          <w:lang w:val="en-US" w:eastAsia="zh-CN"/>
        </w:rPr>
        <w:t>章</w:t>
      </w:r>
      <w:r>
        <w:rPr>
          <w:rFonts w:hint="eastAsia" w:ascii="仿宋" w:hAnsi="仿宋" w:eastAsia="仿宋" w:cs="仿宋"/>
          <w:bCs/>
          <w:color w:val="auto"/>
          <w:szCs w:val="24"/>
          <w:highlight w:val="none"/>
          <w:lang w:eastAsia="zh-CN"/>
        </w:rPr>
        <w:t>投标文件格式》未提供格式的，请供应商自行拟定格式，并加盖单位公章，否则视为未提供。</w:t>
      </w:r>
    </w:p>
    <w:p w14:paraId="0DFD7051">
      <w:pPr>
        <w:pStyle w:val="7"/>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备份电子投标文件：通过“政采云”平台电子投标工具制作投标文件所产生的备份文件。</w:t>
      </w:r>
    </w:p>
    <w:p w14:paraId="4A3A6D7B">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（2）供应商应对所提供的全部资料的真实性、有效性承担法律责任，电子投标文件中所须加盖公章部分均采用CA签章。</w:t>
      </w:r>
    </w:p>
    <w:p w14:paraId="79877040">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（3）投标文件以及供应商与采购组织机构就有关投标事宜的所有来往函电，均应以中文汉语书写。除签章、盖章、专用名称等特殊情形外，以中文汉语以外的文字表述的投标文件视同未提供。</w:t>
      </w:r>
    </w:p>
    <w:p w14:paraId="25CE3DBB">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（4）投标计量单位，采购文件已有明确规定的，使用采购文件规定的计量单位；采购文件没有规定的，应采用中华人民共和国法定计量单位（货币单位：人民币元）。</w:t>
      </w:r>
    </w:p>
    <w:p w14:paraId="1CEE67ED">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（5）若供应商不按采购文件的要求提供资格审查材料，其风险由供应商自行承担。</w:t>
      </w:r>
    </w:p>
    <w:p w14:paraId="273987D4">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（6）与本次投标无关的内容请不要制作在内，确保投标文件有针对性、简洁明了。</w:t>
      </w:r>
    </w:p>
    <w:p w14:paraId="77396B69">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26.投标文件的上传</w:t>
      </w:r>
    </w:p>
    <w:p w14:paraId="436C91AC">
      <w:pPr>
        <w:pStyle w:val="7"/>
        <w:snapToGrid w:val="0"/>
        <w:spacing w:line="360" w:lineRule="auto"/>
        <w:rPr>
          <w:rFonts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（1）</w:t>
      </w:r>
      <w:r>
        <w:rPr>
          <w:rFonts w:hint="eastAsia" w:ascii="仿宋" w:hAnsi="仿宋" w:eastAsia="仿宋" w:cs="仿宋"/>
          <w:b/>
          <w:bCs/>
          <w:color w:val="auto"/>
          <w:szCs w:val="24"/>
          <w:highlight w:val="none"/>
          <w:lang w:eastAsia="zh-CN" w:bidi="zh-CN"/>
        </w:rPr>
        <w:t>电子加密投标文件（“.jmbs”格式）</w:t>
      </w:r>
      <w:r>
        <w:rPr>
          <w:rFonts w:hint="eastAsia" w:ascii="仿宋" w:hAnsi="仿宋" w:eastAsia="仿宋" w:cs="仿宋"/>
          <w:b/>
          <w:bCs/>
          <w:color w:val="auto"/>
          <w:szCs w:val="24"/>
          <w:highlight w:val="none"/>
          <w:lang w:eastAsia="zh-CN"/>
        </w:rPr>
        <w:t>：</w:t>
      </w:r>
    </w:p>
    <w:p w14:paraId="22254A9A">
      <w:pPr>
        <w:pStyle w:val="7"/>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a.</w:t>
      </w:r>
      <w:r>
        <w:rPr>
          <w:rFonts w:hint="eastAsia" w:ascii="仿宋" w:hAnsi="仿宋" w:eastAsia="仿宋" w:cs="仿宋"/>
          <w:bCs/>
          <w:color w:val="auto"/>
          <w:szCs w:val="24"/>
          <w:highlight w:val="none"/>
          <w:lang w:eastAsia="zh-CN"/>
        </w:rPr>
        <w:t xml:space="preserve"> </w:t>
      </w:r>
      <w:r>
        <w:rPr>
          <w:rFonts w:hint="eastAsia" w:ascii="仿宋" w:hAnsi="仿宋" w:eastAsia="仿宋" w:cs="仿宋"/>
          <w:bCs/>
          <w:color w:val="auto"/>
          <w:szCs w:val="24"/>
          <w:highlight w:val="none"/>
          <w:lang w:eastAsia="zh-CN" w:bidi="zh-CN"/>
        </w:rPr>
        <w:t>供应商应在投标截止时间前将电子加密投标文件成功上传递交至新疆政府采购云平台，否则投标无效；</w:t>
      </w:r>
    </w:p>
    <w:p w14:paraId="406F522C">
      <w:pPr>
        <w:pStyle w:val="7"/>
        <w:snapToGrid w:val="0"/>
        <w:spacing w:line="360" w:lineRule="auto"/>
        <w:ind w:firstLine="607" w:firstLineChars="25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bidi="zh-CN"/>
        </w:rPr>
        <w:t>b.供应商成功上传电子加密投标文件后，可自行打印投标文件接收回执。</w:t>
      </w:r>
    </w:p>
    <w:p w14:paraId="30563A38">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27.</w:t>
      </w:r>
      <w:r>
        <w:rPr>
          <w:rFonts w:hint="eastAsia" w:ascii="仿宋" w:hAnsi="仿宋" w:eastAsia="仿宋" w:cs="仿宋"/>
          <w:b/>
          <w:color w:val="auto"/>
          <w:highlight w:val="none"/>
          <w:lang w:eastAsia="zh-CN"/>
        </w:rPr>
        <w:t>投标文件的递交要求</w:t>
      </w:r>
    </w:p>
    <w:p w14:paraId="4C61715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（1）供应商须按照采购文件和政采云平台的要求编制并加密投标文件。在投标文件递交截止时间以前完成投标文件的传输递交，截止时间后递交的投标文件，将被拒收。</w:t>
      </w:r>
    </w:p>
    <w:p w14:paraId="73FB0C6C">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（2）备份电子投标文件必须在投标截止时间前送达指定的投标地点。备份电子投标文件在截止时间后提交，采购组织机构将拒绝接收。</w:t>
      </w:r>
    </w:p>
    <w:p w14:paraId="4D79D662">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（3）如有特殊情况，采购组织机构延长截止时间和开标时间，采购组织机构和供应商的权利和义务将受到新的截止时间和开标时间的约束。</w:t>
      </w:r>
    </w:p>
    <w:p w14:paraId="20170C74">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28．投标文件的补充、修改与撤回</w:t>
      </w:r>
    </w:p>
    <w:p w14:paraId="172ACE73">
      <w:pPr>
        <w:tabs>
          <w:tab w:val="left" w:pos="960"/>
          <w:tab w:val="left" w:pos="1418"/>
        </w:tabs>
        <w:autoSpaceDE w:val="0"/>
        <w:autoSpaceDN w:val="0"/>
        <w:adjustRightInd w:val="0"/>
        <w:snapToGrid w:val="0"/>
        <w:spacing w:line="360" w:lineRule="auto"/>
        <w:ind w:firstLine="486"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color w:val="auto"/>
          <w:highlight w:val="none"/>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14:paraId="2EA987AF">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（五）开标、评标和定标</w:t>
      </w:r>
      <w:bookmarkEnd w:id="18"/>
    </w:p>
    <w:p w14:paraId="25DA2CB9">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29. 开标</w:t>
      </w:r>
    </w:p>
    <w:p w14:paraId="2A340AE1">
      <w:pPr>
        <w:snapToGrid w:val="0"/>
        <w:spacing w:line="360" w:lineRule="auto"/>
        <w:ind w:firstLine="486" w:firstLineChars="200"/>
        <w:rPr>
          <w:rFonts w:ascii="仿宋" w:hAnsi="仿宋" w:eastAsia="仿宋" w:cs="仿宋"/>
          <w:b/>
          <w:bCs/>
          <w:color w:val="auto"/>
          <w:highlight w:val="none"/>
          <w:lang w:eastAsia="zh-CN"/>
        </w:rPr>
      </w:pPr>
      <w:bookmarkStart w:id="19" w:name="_Toc73975822"/>
      <w:r>
        <w:rPr>
          <w:rFonts w:hint="eastAsia" w:ascii="仿宋" w:hAnsi="仿宋" w:eastAsia="仿宋" w:cs="仿宋"/>
          <w:b/>
          <w:bCs/>
          <w:color w:val="auto"/>
          <w:highlight w:val="none"/>
          <w:lang w:eastAsia="zh-CN"/>
        </w:rPr>
        <w:t>29.1开标邀请</w:t>
      </w:r>
      <w:bookmarkEnd w:id="19"/>
    </w:p>
    <w:p w14:paraId="50DA02F8">
      <w:pPr>
        <w:pStyle w:val="13"/>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（1）开标准备：本项目开标的准备工作由采购组织机构负责落实，开标过程由采购组织机构负责记录；</w:t>
      </w:r>
    </w:p>
    <w:p w14:paraId="40C08B80">
      <w:pPr>
        <w:pStyle w:val="13"/>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（2）开标主持:本项目开标由采购人或者采购代理机构主持；</w:t>
      </w:r>
    </w:p>
    <w:p w14:paraId="5E840787">
      <w:pPr>
        <w:pStyle w:val="13"/>
        <w:snapToGrid w:val="0"/>
        <w:spacing w:line="360" w:lineRule="auto"/>
        <w:ind w:firstLine="486" w:firstLineChars="200"/>
        <w:rPr>
          <w:rFonts w:ascii="仿宋" w:hAnsi="仿宋" w:eastAsia="仿宋" w:cs="仿宋"/>
          <w:color w:val="auto"/>
          <w:szCs w:val="24"/>
          <w:highlight w:val="none"/>
        </w:rPr>
      </w:pPr>
      <w:r>
        <w:rPr>
          <w:rFonts w:hint="eastAsia" w:ascii="仿宋" w:hAnsi="仿宋" w:eastAsia="仿宋" w:cs="仿宋"/>
          <w:color w:val="auto"/>
          <w:szCs w:val="24"/>
          <w:highlight w:val="none"/>
          <w:lang w:eastAsia="zh-CN"/>
        </w:rPr>
        <w:t>（3）</w:t>
      </w:r>
      <w:r>
        <w:rPr>
          <w:rFonts w:hint="eastAsia" w:ascii="仿宋" w:hAnsi="仿宋" w:eastAsia="仿宋" w:cs="仿宋"/>
          <w:color w:val="auto"/>
          <w:szCs w:val="24"/>
          <w:highlight w:val="none"/>
        </w:rPr>
        <w:t>开标邀请：本项目采用电子交易，采购组织机构将按照采购文件规定的时间通过“</w:t>
      </w:r>
      <w:r>
        <w:rPr>
          <w:rFonts w:hint="eastAsia" w:ascii="仿宋" w:hAnsi="仿宋" w:eastAsia="仿宋" w:cs="仿宋"/>
          <w:color w:val="auto"/>
          <w:szCs w:val="24"/>
          <w:highlight w:val="none"/>
          <w:lang w:eastAsia="zh-CN"/>
        </w:rPr>
        <w:t>新疆</w:t>
      </w:r>
      <w:r>
        <w:rPr>
          <w:rFonts w:hint="eastAsia" w:ascii="仿宋" w:hAnsi="仿宋" w:eastAsia="仿宋" w:cs="仿宋"/>
          <w:color w:val="auto"/>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29"/>
          <w:rFonts w:hint="eastAsia" w:ascii="仿宋" w:hAnsi="仿宋" w:eastAsia="仿宋" w:cs="仿宋"/>
          <w:color w:val="auto"/>
          <w:szCs w:val="24"/>
          <w:highlight w:val="none"/>
          <w:u w:val="none"/>
        </w:rPr>
        <w:t>www.zcygov.cn</w:t>
      </w:r>
      <w:r>
        <w:rPr>
          <w:rStyle w:val="29"/>
          <w:rFonts w:hint="eastAsia" w:ascii="仿宋" w:hAnsi="仿宋" w:eastAsia="仿宋" w:cs="仿宋"/>
          <w:color w:val="auto"/>
          <w:szCs w:val="24"/>
          <w:highlight w:val="none"/>
          <w:u w:val="none"/>
        </w:rPr>
        <w:fldChar w:fldCharType="end"/>
      </w:r>
      <w:r>
        <w:rPr>
          <w:rFonts w:hint="eastAsia" w:ascii="仿宋" w:hAnsi="仿宋" w:eastAsia="仿宋" w:cs="仿宋"/>
          <w:color w:val="auto"/>
          <w:szCs w:val="24"/>
          <w:highlight w:val="none"/>
        </w:rPr>
        <w:t>”组织开标、开启投标响应文件，所有供应商均应当准时在线参加。</w:t>
      </w:r>
    </w:p>
    <w:p w14:paraId="0B70BF02">
      <w:pPr>
        <w:pStyle w:val="13"/>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3DC6BC0">
      <w:pPr>
        <w:snapToGrid w:val="0"/>
        <w:spacing w:line="360" w:lineRule="auto"/>
        <w:ind w:firstLine="486" w:firstLineChars="200"/>
        <w:outlineLvl w:val="2"/>
        <w:rPr>
          <w:rFonts w:ascii="仿宋" w:hAnsi="仿宋" w:eastAsia="仿宋" w:cs="仿宋"/>
          <w:b/>
          <w:color w:val="auto"/>
          <w:highlight w:val="none"/>
          <w:lang w:eastAsia="zh-CN"/>
        </w:rPr>
      </w:pPr>
      <w:bookmarkStart w:id="20" w:name="_Toc73975823"/>
      <w:r>
        <w:rPr>
          <w:rFonts w:hint="eastAsia" w:ascii="仿宋" w:hAnsi="仿宋" w:eastAsia="仿宋" w:cs="仿宋"/>
          <w:b/>
          <w:color w:val="auto"/>
          <w:highlight w:val="none"/>
          <w:lang w:eastAsia="zh-CN"/>
        </w:rPr>
        <w:t>29.2</w:t>
      </w:r>
      <w:r>
        <w:rPr>
          <w:rFonts w:hint="eastAsia" w:ascii="仿宋" w:hAnsi="仿宋" w:eastAsia="仿宋" w:cs="仿宋"/>
          <w:b/>
          <w:bCs/>
          <w:color w:val="auto"/>
          <w:highlight w:val="none"/>
          <w:lang w:eastAsia="zh-CN"/>
        </w:rPr>
        <w:t>开标程序（先资格、商务技术后报价）</w:t>
      </w:r>
      <w:bookmarkEnd w:id="20"/>
    </w:p>
    <w:p w14:paraId="7A79AA1A">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（1）开标时间到后，主持人宣布开标会议开始。</w:t>
      </w:r>
    </w:p>
    <w:p w14:paraId="257D1659">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（2）投标文件解密（</w:t>
      </w:r>
      <w:r>
        <w:rPr>
          <w:rFonts w:hint="eastAsia" w:ascii="仿宋" w:hAnsi="仿宋" w:eastAsia="仿宋" w:cs="仿宋"/>
          <w:b/>
          <w:color w:val="auto"/>
          <w:highlight w:val="none"/>
          <w:lang w:eastAsia="zh-CN"/>
        </w:rPr>
        <w:t>解密规定见《供应商须知前附表》</w:t>
      </w:r>
      <w:r>
        <w:rPr>
          <w:rFonts w:hint="eastAsia" w:ascii="仿宋" w:hAnsi="仿宋" w:eastAsia="仿宋" w:cs="仿宋"/>
          <w:color w:val="auto"/>
          <w:highlight w:val="none"/>
          <w:lang w:eastAsia="zh-CN"/>
        </w:rPr>
        <w:t>）。</w:t>
      </w:r>
    </w:p>
    <w:p w14:paraId="018FCF9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（3）公布投标文件解密情况（投标文件成功解密的供应商名单等信息），组织签署</w:t>
      </w:r>
      <w:r>
        <w:rPr>
          <w:rFonts w:hint="eastAsia" w:ascii="仿宋" w:hAnsi="仿宋" w:eastAsia="仿宋" w:cs="仿宋"/>
          <w:b/>
          <w:bCs/>
          <w:color w:val="auto"/>
          <w:highlight w:val="none"/>
          <w:lang w:eastAsia="zh-CN"/>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highlight w:val="none"/>
          <w:lang w:val="en-US" w:eastAsia="zh-CN"/>
        </w:rPr>
        <w:t>923150488</w:t>
      </w:r>
      <w:r>
        <w:rPr>
          <w:rFonts w:hint="eastAsia" w:ascii="仿宋" w:hAnsi="仿宋" w:eastAsia="仿宋" w:cs="仿宋"/>
          <w:b/>
          <w:bCs/>
          <w:color w:val="auto"/>
          <w:highlight w:val="none"/>
          <w:lang w:eastAsia="zh-CN"/>
        </w:rPr>
        <w:t>@qq.com ，逾期发送或未发送的视为无异议</w:t>
      </w:r>
      <w:r>
        <w:rPr>
          <w:rFonts w:hint="eastAsia" w:ascii="仿宋" w:hAnsi="仿宋" w:eastAsia="仿宋" w:cs="仿宋"/>
          <w:color w:val="auto"/>
          <w:highlight w:val="none"/>
          <w:lang w:eastAsia="zh-CN"/>
        </w:rPr>
        <w:t>。</w:t>
      </w:r>
    </w:p>
    <w:p w14:paraId="59614CDE">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6721F28C">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（5）商务技术评审结束后，主持人公布商务技术评审无效投标供应商名单和商务技术评审有效投标供应商名单及其商务技术得分情况。商务技术评审无效的供应商，其报价不再进入评审。</w:t>
      </w:r>
    </w:p>
    <w:p w14:paraId="25B5D7C7">
      <w:pPr>
        <w:snapToGrid w:val="0"/>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0E87D21D">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（7）评审结束后，采购代理机构在系统上公布评审结果。</w:t>
      </w:r>
    </w:p>
    <w:p w14:paraId="677F4AD3">
      <w:pPr>
        <w:snapToGrid w:val="0"/>
        <w:spacing w:line="360" w:lineRule="auto"/>
        <w:ind w:left="48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特别情况说明：</w:t>
      </w:r>
    </w:p>
    <w:p w14:paraId="07D90CF6">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（1）本项目采用电子交易，如遇“新疆政府采购云平台”电子化开标或评审程序调整的，按调整后程序执行。</w:t>
      </w:r>
    </w:p>
    <w:p w14:paraId="346D7151">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highlight w:val="none"/>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highlight w:val="none"/>
          <w:lang w:eastAsia="zh-CN"/>
        </w:rPr>
        <w:t>。</w:t>
      </w:r>
    </w:p>
    <w:p w14:paraId="330959B8">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29.3 投标供应商资格审查：</w:t>
      </w:r>
    </w:p>
    <w:p w14:paraId="72A1592D">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bCs/>
          <w:color w:val="auto"/>
          <w:highlight w:val="none"/>
          <w:lang w:eastAsia="zh-CN"/>
        </w:rPr>
        <w:t>开标（标书信息开启）后，采购人或采购代理机构或</w:t>
      </w:r>
      <w:r>
        <w:rPr>
          <w:rFonts w:hint="eastAsia" w:ascii="仿宋" w:hAnsi="仿宋" w:eastAsia="仿宋" w:cs="仿宋"/>
          <w:color w:val="auto"/>
          <w:highlight w:val="none"/>
          <w:lang w:eastAsia="zh-CN"/>
        </w:rPr>
        <w:t>评审小组</w:t>
      </w:r>
      <w:r>
        <w:rPr>
          <w:rFonts w:hint="eastAsia" w:ascii="仿宋" w:hAnsi="仿宋" w:eastAsia="仿宋" w:cs="仿宋"/>
          <w:bCs/>
          <w:color w:val="auto"/>
          <w:highlight w:val="none"/>
          <w:lang w:eastAsia="zh-CN"/>
        </w:rPr>
        <w:t>首先依法对投标供应商的资格文件进行审查，审查各投标供应商的资格符合情况。</w:t>
      </w:r>
      <w:r>
        <w:rPr>
          <w:rFonts w:hint="eastAsia" w:ascii="仿宋" w:hAnsi="仿宋" w:eastAsia="仿宋" w:cs="仿宋"/>
          <w:color w:val="auto"/>
          <w:highlight w:val="none"/>
          <w:lang w:eastAsia="zh-CN"/>
        </w:rPr>
        <w:t>采购人或采购代理机构</w:t>
      </w:r>
      <w:r>
        <w:rPr>
          <w:rFonts w:hint="eastAsia" w:ascii="仿宋" w:hAnsi="仿宋" w:eastAsia="仿宋" w:cs="仿宋"/>
          <w:bCs/>
          <w:color w:val="auto"/>
          <w:highlight w:val="none"/>
          <w:lang w:eastAsia="zh-CN"/>
        </w:rPr>
        <w:t>或</w:t>
      </w:r>
      <w:r>
        <w:rPr>
          <w:rFonts w:hint="eastAsia" w:ascii="仿宋" w:hAnsi="仿宋" w:eastAsia="仿宋" w:cs="仿宋"/>
          <w:color w:val="auto"/>
          <w:highlight w:val="none"/>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5595B6CC">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8C4AA7E">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（3）供应商信用记录查询与使用：见《供应商须知前附表》。</w:t>
      </w:r>
    </w:p>
    <w:p w14:paraId="59DABE9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30.评审工作的组织</w:t>
      </w:r>
    </w:p>
    <w:p w14:paraId="32892450">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采购人或采购代理机构负责组织本项目的评审工作，并依据《政府采购货物和服务招标投标管理办法（财政部第87号令）》第四十五条的相关规定履行职责。</w:t>
      </w:r>
    </w:p>
    <w:p w14:paraId="4725B71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 评标委员会的组建</w:t>
      </w:r>
    </w:p>
    <w:p w14:paraId="256A1590">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31.1评标委员会由采购人或采购代理机构依法组建，成员由采购人代表1人和评审专家</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人，成员人数为</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人，其中评审专家不少于成员总数的三分之二。</w:t>
      </w:r>
    </w:p>
    <w:p w14:paraId="01839EE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31.2评审专家从新疆政府采购云平台专家库中通过随机方式抽取产生。评标委员会成员名单在采购结果公告前保密。</w:t>
      </w:r>
    </w:p>
    <w:p w14:paraId="1E40A7B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32.评标委员会的职责</w:t>
      </w:r>
    </w:p>
    <w:p w14:paraId="1012FC9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32.1审查、评价投标文件是否符合采购文件的商务、技术等实质性要求。</w:t>
      </w:r>
    </w:p>
    <w:p w14:paraId="26AA34C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32.2要求供应商对投标文件有关事项作出澄清或者说明。</w:t>
      </w:r>
    </w:p>
    <w:p w14:paraId="366D184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32.3对投标文件进行比较和评价。</w:t>
      </w:r>
    </w:p>
    <w:p w14:paraId="58F944B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32.4确定中标候选人名单，以及根据采购人委托直接确定中标人。</w:t>
      </w:r>
    </w:p>
    <w:p w14:paraId="08F7A8C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32.5向采购人、采购代理机构或者有关部门报告评审中发现的违法行为。</w:t>
      </w:r>
    </w:p>
    <w:p w14:paraId="37D6FAA6">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 评标原则</w:t>
      </w:r>
    </w:p>
    <w:p w14:paraId="46D7B56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33.1评标委员会将遵循公平、公正、科学的原则，对供应商提交的投标文件进行综合评审，评标委员会按照采购文件规定的评标细则进行评分。</w:t>
      </w:r>
    </w:p>
    <w:p w14:paraId="35AA288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33.2客观公正对待所有供应商，对所有投标评价均采用相同的程序和标准。 </w:t>
      </w:r>
    </w:p>
    <w:p w14:paraId="1D20D2DC">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6B43882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2EF521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3C0B784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34. 评委纪律</w:t>
      </w:r>
    </w:p>
    <w:p w14:paraId="3D7B0CB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1943ED2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35.评标程序</w:t>
      </w:r>
    </w:p>
    <w:p w14:paraId="53A93CE2">
      <w:pPr>
        <w:widowControl/>
        <w:spacing w:line="440" w:lineRule="exact"/>
        <w:ind w:left="243" w:leftChars="100" w:firstLine="0" w:firstLineChars="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 在评审专家中推选评标委员会组长，采购人代表不得担任评标委员会组长。35.2 评标委员会组长召集成员认真阅读采购文件以及相关补充、质疑、答复文项目书面说明等材料，熟悉采购项目的基本概况，采购项目的质量要求、数量、主要技术标准或服务需求，采购合同主要条款，投标文件无效情形，评审方法、评审依据、评审标准等。</w:t>
      </w:r>
    </w:p>
    <w:p w14:paraId="73B4AA6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35.3 评审人员对符合资格的供应商的投标文件的有效性、符合性、完整性和响应程度进行审查，确定是否对采购文件作出实质性响应。</w:t>
      </w:r>
    </w:p>
    <w:p w14:paraId="73F194F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35.4 评审人员按采购文件规定的评审方法和评审标准，依法独立对供应商投标文件进行评估、比较，并给予评价或打分，不受任何单位和个人的干预。</w:t>
      </w:r>
    </w:p>
    <w:p w14:paraId="2F933952">
      <w:pPr>
        <w:widowControl/>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综合评分法货物项目的价格分值占总分值的比重(即权值)为</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％，采购项目中含不同采购对象的，以占项目资金比例最高的采购对象确定其项目属性。其价格不列为评分因素，有特殊情况需要在上述规定范围外设定价格分权重的。</w:t>
      </w:r>
    </w:p>
    <w:p w14:paraId="1E1BEE69">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综合评分法中的价格分统一采用低价优先法计算，即满足招标文件要求且最后报价最低的供应商的价格为</w:t>
      </w:r>
      <w:r>
        <w:rPr>
          <w:rFonts w:hint="eastAsia" w:ascii="仿宋" w:hAnsi="仿宋" w:eastAsia="仿宋" w:cs="仿宋"/>
          <w:color w:val="auto"/>
          <w:szCs w:val="21"/>
          <w:highlight w:val="none"/>
          <w:lang w:val="en-US" w:eastAsia="zh-CN"/>
        </w:rPr>
        <w:t>评标</w:t>
      </w:r>
      <w:r>
        <w:rPr>
          <w:rFonts w:hint="eastAsia" w:ascii="仿宋" w:hAnsi="仿宋" w:eastAsia="仿宋" w:cs="仿宋"/>
          <w:color w:val="auto"/>
          <w:szCs w:val="21"/>
          <w:highlight w:val="none"/>
          <w:lang w:eastAsia="zh-CN"/>
        </w:rPr>
        <w:t>基准价，其价格分为满分。其他供应商的价格分统一按照下列公式计算：</w:t>
      </w:r>
    </w:p>
    <w:p w14:paraId="749F64DD">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投标报价得分=（</w:t>
      </w:r>
      <w:r>
        <w:rPr>
          <w:rFonts w:hint="eastAsia" w:ascii="仿宋" w:hAnsi="仿宋" w:eastAsia="仿宋" w:cs="仿宋"/>
          <w:color w:val="auto"/>
          <w:szCs w:val="21"/>
          <w:highlight w:val="none"/>
          <w:lang w:val="en-US" w:eastAsia="zh-CN"/>
        </w:rPr>
        <w:t>评标</w:t>
      </w:r>
      <w:r>
        <w:rPr>
          <w:rFonts w:hint="eastAsia" w:ascii="仿宋" w:hAnsi="仿宋" w:eastAsia="仿宋" w:cs="仿宋"/>
          <w:color w:val="auto"/>
          <w:szCs w:val="21"/>
          <w:highlight w:val="none"/>
          <w:lang w:eastAsia="zh-CN"/>
        </w:rPr>
        <w:t>基准价/投标报价）×价格权值×100</w:t>
      </w:r>
    </w:p>
    <w:p w14:paraId="3A060ACD">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项目评审过程中，不得去掉最后报价中的最高报价和最低报价。</w:t>
      </w:r>
    </w:p>
    <w:p w14:paraId="624EF9D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29BC2F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%以上的）情形的，应由相关人员当场改正或作出书面说明；拒不改正又不作书面说明的，由现场监督员如实记载后存入项目档案资料。</w:t>
      </w:r>
    </w:p>
    <w:p w14:paraId="56588386">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35.7 评标委员会根据评审汇总情况和采购文件规定确定中标候选供应商排序名单。</w:t>
      </w:r>
    </w:p>
    <w:p w14:paraId="6B8EE68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35.8 起草评审报告，所有评审人员须在评审报告上签章确认，对自己的评审意见承担法律责任。 </w:t>
      </w:r>
    </w:p>
    <w:p w14:paraId="7089786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35.9 采购组织机构对评标委员会评审专家进行评价。</w:t>
      </w:r>
    </w:p>
    <w:p w14:paraId="4300A94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35.10 修改评审结果</w:t>
      </w:r>
    </w:p>
    <w:p w14:paraId="734AB69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评标结果汇总完成后，除下列情形外，任何人不得修改评标结果：</w:t>
      </w:r>
    </w:p>
    <w:p w14:paraId="49AA1D2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（1）分值汇总计算错误的；</w:t>
      </w:r>
    </w:p>
    <w:p w14:paraId="7FA10ED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（2）分项评分超出评分标准范围的；</w:t>
      </w:r>
    </w:p>
    <w:p w14:paraId="7C7378D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（3）评标委员会成员对客观评审因素评分不一致的；</w:t>
      </w:r>
    </w:p>
    <w:p w14:paraId="2143E77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（4）经评标委员会认定评分畸高、畸低的。</w:t>
      </w:r>
    </w:p>
    <w:p w14:paraId="37D3C30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61A6C3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36．澄清、说明或补正的形式</w:t>
      </w:r>
    </w:p>
    <w:p w14:paraId="55F93D9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eastAsia="zh-CN"/>
        </w:rPr>
        <w:t>投标供应商澄清、说明或补正时间为20分钟</w:t>
      </w:r>
      <w:r>
        <w:rPr>
          <w:rFonts w:hint="eastAsia" w:ascii="仿宋" w:hAnsi="仿宋" w:eastAsia="仿宋" w:cs="仿宋"/>
          <w:color w:val="auto"/>
          <w:szCs w:val="21"/>
          <w:highlight w:val="none"/>
          <w:lang w:eastAsia="zh-CN"/>
        </w:rPr>
        <w:t>。</w:t>
      </w:r>
    </w:p>
    <w:p w14:paraId="299D3D2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1AD34D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9A81BF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37．错误修正的原则</w:t>
      </w:r>
    </w:p>
    <w:p w14:paraId="4A14F97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3B6AEA2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0585D99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37.1 投标函中表述的内容与报价表中不一致的，以报价表为准；报价表中的内容与报价明细表不一致的，以报价表为准；</w:t>
      </w:r>
    </w:p>
    <w:p w14:paraId="637D815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37.2 投标文件中的大写金额和小写金额不一致的，以大写金额为准；</w:t>
      </w:r>
    </w:p>
    <w:p w14:paraId="43E64FB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37.3 单价金额小数点有明显错位的，以开标一览表的总价为准，并修改单价；</w:t>
      </w:r>
    </w:p>
    <w:p w14:paraId="10A19CB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37.4 总价金额与按单价汇总金额不一致的，以单价金额计算结果为准；</w:t>
      </w:r>
    </w:p>
    <w:p w14:paraId="5E6B6CA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37.5 若用文字表示的数值与用数字表示的数值不一致，以文字表示的数值为准；</w:t>
      </w:r>
    </w:p>
    <w:p w14:paraId="3FAB034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37.6 如有多报（指数量超出采购文件需求）、重报（指同一货物重复报价），其投标总价在评标过程中不予调整，如其中标，其合同价按其投标单价予以调整；</w:t>
      </w:r>
    </w:p>
    <w:p w14:paraId="6656FA1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37.7 对不同文字文本投标文件的解释发生异议的，以中文文本为准；</w:t>
      </w:r>
    </w:p>
    <w:p w14:paraId="2093F4AF">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eastAsia="zh-CN"/>
        </w:rPr>
        <w:t>修正应当采用电子询标的形式，并加盖公章（电子印章）。</w:t>
      </w:r>
    </w:p>
    <w:p w14:paraId="7469B73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38．无效投标文件</w:t>
      </w:r>
    </w:p>
    <w:p w14:paraId="6F37355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有下列情形之一的，投标文件按无效标处理：</w:t>
      </w:r>
    </w:p>
    <w:p w14:paraId="347A11A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 报名的供应商与参加投标的供应商发生实质性变更的且未提供有效证明的；</w:t>
      </w:r>
    </w:p>
    <w:p w14:paraId="1E26FA2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38.2 供应商提交两份或两份以上内容不同的投标文件，未声明哪一份有效的；</w:t>
      </w:r>
    </w:p>
    <w:p w14:paraId="54AC9FF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38.3 投标文件非供应商法定代表人签署的，未提供或提供无效的法定代表人授权书；</w:t>
      </w:r>
    </w:p>
    <w:p w14:paraId="7CCE028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38.4 未按招标文件规定装订；</w:t>
      </w:r>
    </w:p>
    <w:p w14:paraId="38228D1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38.5 投标文件内容未按招标文件规定签章或盖章的；</w:t>
      </w:r>
    </w:p>
    <w:p w14:paraId="4A4A911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38.6 投标文件组成漏项或未按规定的格式编制或投标文件正、副本份数不足或内容不全或内容字迹模糊辨认不清的等而导致评标活动无法正常进行；</w:t>
      </w:r>
    </w:p>
    <w:p w14:paraId="7093D21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38.7 供应商未按招标文件变更通知更改投标文件的；</w:t>
      </w:r>
    </w:p>
    <w:p w14:paraId="0497C88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38.8 《开标一览表》和《投标分项报价表》内容不完整且不接受修正意见或字迹不能辨认的或未提供；</w:t>
      </w:r>
    </w:p>
    <w:p w14:paraId="4C66F6C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38.9 标项投标报价超过招标文件规定的预算金额或最高限价</w:t>
      </w:r>
    </w:p>
    <w:p w14:paraId="5569839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38.10 因供应商原因编制错误造成经评标委员会修正后的报价达到或超过投标报价的0.5%；</w:t>
      </w:r>
    </w:p>
    <w:p w14:paraId="5DF963D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38.11 供应商的报价明显低于其他通过符合性审查供应商的报价，有可能影响产品质量或者不能诚信履约的，且在规定时间内不能合理说明原因并提供证明材料的；</w:t>
      </w:r>
    </w:p>
    <w:p w14:paraId="717EDD8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38.12 未实质性响应招标文件中条款要求的投标文件；</w:t>
      </w:r>
    </w:p>
    <w:p w14:paraId="45D1683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38.13 不符合招标范围、技术规格、技术标准的要求无法满足采购人使用要求；</w:t>
      </w:r>
    </w:p>
    <w:p w14:paraId="23BD4A5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38.14 投标文件附有采购人不能接受的条款；</w:t>
      </w:r>
    </w:p>
    <w:p w14:paraId="78F544B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38.15 投标文件中提供了赠品或者与本项目采购无关的其他商品、服务；</w:t>
      </w:r>
    </w:p>
    <w:p w14:paraId="388388A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38.16 投标文件中承诺的投标有效期少于招标文件中载明的投标有效期；</w:t>
      </w:r>
    </w:p>
    <w:p w14:paraId="211863A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38.17供应商串通投标，妨碍其他供应商的竞争行为，损害采购人或者其他供应商的合法权益；</w:t>
      </w:r>
    </w:p>
    <w:p w14:paraId="3FCFF13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38.18违反国家及政府部门相关法律、法规、文件规定或经评标委员会认定的其他属于重大偏离；</w:t>
      </w:r>
    </w:p>
    <w:p w14:paraId="74A976F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39．废标</w:t>
      </w:r>
    </w:p>
    <w:p w14:paraId="719A4A6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39.1 符合招标文件规定废标情形的；</w:t>
      </w:r>
    </w:p>
    <w:p w14:paraId="4843A37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39.2 出现影响采购公正的违法、违规行为的；</w:t>
      </w:r>
    </w:p>
    <w:p w14:paraId="7F5F5EF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39.3 供应商的报价均超过了采购预算（或最高限价），采购人不能支付的;</w:t>
      </w:r>
    </w:p>
    <w:p w14:paraId="1BBB6A4A">
      <w:pPr>
        <w:spacing w:line="440" w:lineRule="exact"/>
        <w:ind w:firstLine="243"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39.4 因重大变故，采购任务取消的。</w:t>
      </w:r>
    </w:p>
    <w:p w14:paraId="6B8FCCD0">
      <w:pPr>
        <w:spacing w:line="440" w:lineRule="exact"/>
        <w:ind w:firstLine="243"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39.5不同的投标文件载明的项目管理成员或联系人员为同一人。</w:t>
      </w:r>
    </w:p>
    <w:p w14:paraId="6103C29E">
      <w:pPr>
        <w:spacing w:line="440" w:lineRule="exact"/>
        <w:ind w:firstLine="243"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39.6不同的投标人的投标文件异常一致或者投标报价呈规律性差异。</w:t>
      </w:r>
    </w:p>
    <w:p w14:paraId="2A7962F2">
      <w:pPr>
        <w:spacing w:line="440" w:lineRule="exact"/>
        <w:ind w:firstLine="243" w:firstLineChars="1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39.7不同投标人的投标保证金从同一单位或个人的账户转出.</w:t>
      </w:r>
    </w:p>
    <w:p w14:paraId="738F03D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40．突发情况处理</w:t>
      </w:r>
    </w:p>
    <w:p w14:paraId="41BBF63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40.1 采购过程中出现以下情形，导致电子交易平台无法正常运行，或者无法保证电子交易的公平、公正和安全时，采购组织机构可中止电子交易活动：</w:t>
      </w:r>
    </w:p>
    <w:p w14:paraId="133B421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（1）电子交易平台发生故障而无法登录访问的； </w:t>
      </w:r>
    </w:p>
    <w:p w14:paraId="379C2D6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（2）电子交易平台应用或数据库出现错误，不能进行正常操作的；</w:t>
      </w:r>
    </w:p>
    <w:p w14:paraId="1693097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（3）电子交易平台发现严重安全漏洞，有潜在泄密危险的；</w:t>
      </w:r>
    </w:p>
    <w:p w14:paraId="2F0F04F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（4）病毒发作导致不能进行正常操作的； </w:t>
      </w:r>
    </w:p>
    <w:p w14:paraId="1EB30B5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（5）其他无法保证电子交易的公平、公正和安全的情况。</w:t>
      </w:r>
    </w:p>
    <w:p w14:paraId="70C38CD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8AAE68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40.2 采购代理机构或评审小组因不可抗力（不可抗力包括但不限于自然灾害、断电、传播疫病等）原因造成电子交易活动无法正常运行的，将采取以下措施：</w:t>
      </w:r>
    </w:p>
    <w:p w14:paraId="2717C01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（1）短时间内能消除不可抗力因素的，采购代理机构或评审小组在消除不可抗力因素后继续组织电子交易活动； </w:t>
      </w:r>
    </w:p>
    <w:p w14:paraId="3E8D832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（2）长时间内无法消除不可抗力因素的，采购代理机构或评审小组将中止电子交易活动。中止电子交易活动的，采购人应当重新组织政府采购活动。</w:t>
      </w:r>
    </w:p>
    <w:p w14:paraId="58C3ABB0">
      <w:pPr>
        <w:snapToGrid w:val="0"/>
        <w:spacing w:line="360" w:lineRule="exact"/>
        <w:ind w:firstLine="42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41. 定标</w:t>
      </w:r>
    </w:p>
    <w:p w14:paraId="6C47F9A2">
      <w:pPr>
        <w:spacing w:line="440" w:lineRule="exact"/>
        <w:ind w:firstLine="243" w:firstLineChars="100"/>
        <w:rPr>
          <w:rFonts w:ascii="仿宋" w:hAnsi="仿宋" w:eastAsia="仿宋" w:cs="仿宋"/>
          <w:color w:val="auto"/>
          <w:szCs w:val="21"/>
          <w:highlight w:val="none"/>
          <w:lang w:eastAsia="zh-CN"/>
        </w:rPr>
      </w:pPr>
      <w:bookmarkStart w:id="21" w:name="_Toc469495729"/>
      <w:r>
        <w:rPr>
          <w:rFonts w:hint="eastAsia" w:ascii="仿宋" w:hAnsi="仿宋" w:eastAsia="仿宋" w:cs="仿宋"/>
          <w:color w:val="auto"/>
          <w:szCs w:val="21"/>
          <w:highlight w:val="none"/>
          <w:lang w:eastAsia="zh-CN"/>
        </w:rPr>
        <w:t>41.1采购结果确认（确定中标供应商）</w:t>
      </w:r>
    </w:p>
    <w:p w14:paraId="3C77B15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采购结果确认（确定中标供应商）：本项目由采购人根据评标委员会提交的《评审报告》，通过“政府采购云平台”依法确认采购结果、确定中标供应商。具体流程如下：</w:t>
      </w:r>
    </w:p>
    <w:p w14:paraId="7319AA8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（1）采购代理机构将在评审结束后2个工作日内将评审报告送采购人。</w:t>
      </w:r>
    </w:p>
    <w:p w14:paraId="693E44D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（2）采购人将在收到评审报告之日起5个工作日内，在评审报告推荐的中标候选供应商名单中按顺序确定中标供应商，并将确认意见以书面形式回复采购代理机构。 </w:t>
      </w:r>
    </w:p>
    <w:p w14:paraId="655FAA1C">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41.2采购结果经采购人确认后2个工作日内，采购代理机构将在</w:t>
      </w:r>
      <w:r>
        <w:rPr>
          <w:rFonts w:hint="eastAsia" w:ascii="仿宋" w:hAnsi="仿宋" w:eastAsia="仿宋" w:cs="仿宋"/>
          <w:b/>
          <w:bCs/>
          <w:color w:val="auto"/>
          <w:szCs w:val="21"/>
          <w:highlight w:val="none"/>
          <w:lang w:eastAsia="zh-CN"/>
        </w:rPr>
        <w:t>新疆政府采购网（www.</w:t>
      </w:r>
      <w:r>
        <w:rPr>
          <w:rFonts w:hint="eastAsia" w:ascii="仿宋" w:hAnsi="仿宋" w:eastAsia="仿宋" w:cs="仿宋"/>
          <w:b/>
          <w:bCs/>
          <w:color w:val="auto"/>
          <w:szCs w:val="21"/>
          <w:highlight w:val="none"/>
          <w:lang w:val="en-US" w:eastAsia="zh-CN"/>
        </w:rPr>
        <w:t>x</w:t>
      </w:r>
      <w:r>
        <w:rPr>
          <w:rFonts w:hint="eastAsia" w:ascii="仿宋" w:hAnsi="仿宋" w:eastAsia="仿宋" w:cs="仿宋"/>
          <w:b/>
          <w:bCs/>
          <w:color w:val="auto"/>
          <w:szCs w:val="21"/>
          <w:highlight w:val="none"/>
          <w:lang w:eastAsia="zh-CN"/>
        </w:rPr>
        <w:t>jzfcg.gov.cn）、克州公共资源交易中心网上公告采购结果，中标公告期限为1个工作日。</w:t>
      </w:r>
    </w:p>
    <w:p w14:paraId="102E412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 中标通知书</w:t>
      </w:r>
    </w:p>
    <w:p w14:paraId="427F712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highlight w:val="none"/>
          <w:lang w:eastAsia="zh-CN"/>
        </w:rPr>
        <w:t>公示期为一个工作日。待公示期结束后，</w:t>
      </w:r>
      <w:r>
        <w:rPr>
          <w:rFonts w:hint="eastAsia" w:ascii="仿宋" w:hAnsi="仿宋" w:eastAsia="仿宋" w:cs="仿宋"/>
          <w:color w:val="auto"/>
          <w:szCs w:val="21"/>
          <w:highlight w:val="none"/>
          <w:lang w:eastAsia="zh-CN"/>
        </w:rPr>
        <w:t>采购组织机构向中标人发出中标通知书。</w:t>
      </w:r>
    </w:p>
    <w:p w14:paraId="7C4DE40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73407A04">
      <w:pPr>
        <w:spacing w:beforeLines="50" w:line="440" w:lineRule="exact"/>
        <w:jc w:val="center"/>
        <w:outlineLvl w:val="2"/>
        <w:rPr>
          <w:rFonts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eastAsia="zh-CN"/>
        </w:rPr>
        <w:t>（六）合同的授予</w:t>
      </w:r>
      <w:bookmarkEnd w:id="21"/>
    </w:p>
    <w:p w14:paraId="28C20553">
      <w:pPr>
        <w:spacing w:line="440" w:lineRule="exact"/>
        <w:ind w:firstLine="243" w:firstLineChars="100"/>
        <w:rPr>
          <w:rFonts w:ascii="仿宋" w:hAnsi="仿宋" w:eastAsia="仿宋" w:cs="仿宋"/>
          <w:color w:val="auto"/>
          <w:szCs w:val="21"/>
          <w:highlight w:val="none"/>
          <w:lang w:eastAsia="zh-CN"/>
        </w:rPr>
      </w:pPr>
      <w:bookmarkStart w:id="22" w:name="_Toc73975842"/>
      <w:bookmarkStart w:id="23" w:name="_Toc469495730"/>
      <w:r>
        <w:rPr>
          <w:rFonts w:hint="eastAsia" w:ascii="仿宋" w:hAnsi="仿宋" w:eastAsia="仿宋" w:cs="仿宋"/>
          <w:color w:val="auto"/>
          <w:szCs w:val="21"/>
          <w:highlight w:val="none"/>
          <w:lang w:eastAsia="zh-CN"/>
        </w:rPr>
        <w:t>43．履约保证金</w:t>
      </w:r>
      <w:bookmarkEnd w:id="22"/>
    </w:p>
    <w:p w14:paraId="613287A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43.1 中标供应商在签订合同后10个工作日内向采购人缴纳</w:t>
      </w:r>
      <w:r>
        <w:rPr>
          <w:rFonts w:hint="eastAsia" w:ascii="仿宋" w:hAnsi="仿宋" w:eastAsia="仿宋" w:cs="仿宋"/>
          <w:color w:val="auto"/>
          <w:szCs w:val="21"/>
          <w:highlight w:val="none"/>
          <w:lang w:val="en-US" w:eastAsia="zh-CN"/>
        </w:rPr>
        <w:t>金额为</w:t>
      </w:r>
      <w:r>
        <w:rPr>
          <w:rFonts w:hint="eastAsia" w:ascii="仿宋" w:hAnsi="仿宋" w:eastAsia="仿宋" w:cs="仿宋"/>
          <w:color w:val="auto"/>
          <w:szCs w:val="21"/>
          <w:highlight w:val="none"/>
          <w:u w:val="single"/>
          <w:lang w:eastAsia="zh-CN"/>
        </w:rPr>
        <w:t>合同</w:t>
      </w:r>
      <w:r>
        <w:rPr>
          <w:rFonts w:hint="eastAsia" w:ascii="仿宋" w:hAnsi="仿宋" w:eastAsia="仿宋" w:cs="仿宋"/>
          <w:color w:val="auto"/>
          <w:szCs w:val="21"/>
          <w:highlight w:val="none"/>
          <w:u w:val="single"/>
          <w:lang w:val="en-US" w:eastAsia="zh-CN"/>
        </w:rPr>
        <w:t>总</w:t>
      </w:r>
      <w:r>
        <w:rPr>
          <w:rFonts w:hint="eastAsia" w:ascii="仿宋" w:hAnsi="仿宋" w:eastAsia="仿宋" w:cs="仿宋"/>
          <w:color w:val="auto"/>
          <w:szCs w:val="21"/>
          <w:highlight w:val="none"/>
          <w:u w:val="single"/>
          <w:lang w:eastAsia="zh-CN"/>
        </w:rPr>
        <w:t>价</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lang w:eastAsia="zh-CN"/>
        </w:rPr>
        <w:t>的履约保证金（鼓励以银行、保险公司出具的履约保函形式提交；若以电汇、银行转账方式提交的，必须转到采购人的指定账户）。</w:t>
      </w:r>
    </w:p>
    <w:p w14:paraId="210CA02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43.2 签订合同后，如中标供应商不按合同约定履约的，履约保证金不予退还，履约保证金不足以赔偿损失的，按实际损失赔偿。</w:t>
      </w:r>
    </w:p>
    <w:p w14:paraId="508539C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43.3 如果中标供应商在建设期内没有涉及采购人的应付而未付金额或违约行为，采购人在项目验收合格后或提前终止合同后全额无息退还履约保证金。</w:t>
      </w:r>
    </w:p>
    <w:p w14:paraId="4E0F72D5">
      <w:pPr>
        <w:spacing w:line="440" w:lineRule="exact"/>
        <w:ind w:firstLine="243" w:firstLineChars="100"/>
        <w:rPr>
          <w:rFonts w:ascii="仿宋" w:hAnsi="仿宋" w:eastAsia="仿宋" w:cs="仿宋"/>
          <w:color w:val="auto"/>
          <w:szCs w:val="21"/>
          <w:highlight w:val="none"/>
          <w:lang w:eastAsia="zh-CN"/>
        </w:rPr>
      </w:pPr>
      <w:bookmarkStart w:id="24" w:name="_Toc73975843"/>
      <w:r>
        <w:rPr>
          <w:rFonts w:hint="eastAsia" w:ascii="仿宋" w:hAnsi="仿宋" w:eastAsia="仿宋" w:cs="仿宋"/>
          <w:color w:val="auto"/>
          <w:szCs w:val="21"/>
          <w:highlight w:val="none"/>
          <w:lang w:eastAsia="zh-CN"/>
        </w:rPr>
        <w:t>44．签订合同及公告</w:t>
      </w:r>
      <w:bookmarkEnd w:id="24"/>
    </w:p>
    <w:p w14:paraId="1CA0C99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44.1采购人在中标通知书发出之日起30日内与中标供应商签订合同。</w:t>
      </w:r>
    </w:p>
    <w:p w14:paraId="6697120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44.2中标供应商拖延、拒签合同的,取消中标资格。</w:t>
      </w:r>
    </w:p>
    <w:p w14:paraId="0CC135E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44.3 采购文件、中标供应商的投标文件及评标过程中有关澄清文件等均作为签订合同的依据。所签订的合同不得对采购文件和中标供应商的投标文件的内容作实质性修改。</w:t>
      </w:r>
    </w:p>
    <w:p w14:paraId="6F802E1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44.4采购人应当自政府采购合同签订之日起2个工作日内，在省级以上财政部门指定的政府采购信息发布媒体及相关网站上公告。</w:t>
      </w:r>
    </w:p>
    <w:p w14:paraId="6E07203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44.5采购人应当自政府采购合同签订之日起7个工作日内，将政府采购合同副本报同级人民政府财政部门备案以及采购代理机构存档。</w:t>
      </w:r>
    </w:p>
    <w:p w14:paraId="77641DFF">
      <w:pPr>
        <w:adjustRightInd w:val="0"/>
        <w:snapToGrid w:val="0"/>
        <w:spacing w:line="440" w:lineRule="exact"/>
        <w:jc w:val="center"/>
        <w:outlineLvl w:val="2"/>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（七）纪律和监督</w:t>
      </w:r>
      <w:bookmarkEnd w:id="23"/>
    </w:p>
    <w:p w14:paraId="6BB512C7">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45. 对招标人的纪律要求 </w:t>
      </w:r>
    </w:p>
    <w:p w14:paraId="5D9513F4">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45.1招标人不得泄漏招标投标活动中应当保密的情况和资料，不得与供应商串通损害国家利益，社会公共利益或者他人合法权益。 </w:t>
      </w:r>
    </w:p>
    <w:p w14:paraId="0809F832">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46. 对供应商的纪律要求 </w:t>
      </w:r>
    </w:p>
    <w:p w14:paraId="526B4034">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7D9BFF67">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47. 对评标委员会成员的纪律要求 </w:t>
      </w:r>
    </w:p>
    <w:p w14:paraId="42F9CCE2">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47.1评标委员会成员不得收受他人的财物或者其他好处，不得向他人透漏对投标文件的评审和比较、中标候选人的推荐情况以及评标有关的其他情况。</w:t>
      </w:r>
    </w:p>
    <w:p w14:paraId="6ECA3B63">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47.2在评标活动中，评标委员会成员不得擅离职守，影响评标程序正常进行，不得使用第三章“评标办法”没有规定的评审因素和标准进行评标。 </w:t>
      </w:r>
    </w:p>
    <w:p w14:paraId="65C0E773">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48. 对与评标活动有关的工作人员的纪律要求 </w:t>
      </w:r>
    </w:p>
    <w:p w14:paraId="2E640D22">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33E5F48">
      <w:pPr>
        <w:spacing w:beforeLines="50" w:afterLines="50" w:line="320" w:lineRule="exact"/>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（八）质疑与投诉</w:t>
      </w:r>
    </w:p>
    <w:p w14:paraId="6B232E6E">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49．质疑和投诉</w:t>
      </w:r>
    </w:p>
    <w:p w14:paraId="4A899B45">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C42E043">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B798F6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54F548F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5929EDF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81C192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7CABA4E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0A15231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49.4质疑供应商对采购人、采购代理机构的质疑答复不满意，或者采购人、采购代理机构未在规定期限内作出答复的，供应商可以在答复期满后15个工作日内向同级财政部门提起投诉。</w:t>
      </w:r>
    </w:p>
    <w:p w14:paraId="309DC5A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49.5供应商有下列情形之一的，采购代理机构将报告阿图什市财政局，将其列入不良行为记录名单：</w:t>
      </w:r>
    </w:p>
    <w:p w14:paraId="3CE27A5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1C574EA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03F801F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335FC765">
      <w:pPr>
        <w:rPr>
          <w:rFonts w:hint="eastAsia" w:ascii="仿宋" w:hAnsi="仿宋" w:eastAsia="仿宋" w:cs="仿宋"/>
          <w:b/>
          <w:bCs/>
          <w:color w:val="auto"/>
          <w:highlight w:val="none"/>
          <w:lang w:eastAsia="zh-CN"/>
        </w:rPr>
      </w:pPr>
    </w:p>
    <w:p w14:paraId="2B013036">
      <w:pPr>
        <w:rPr>
          <w:rFonts w:hint="eastAsia" w:ascii="仿宋" w:hAnsi="仿宋" w:eastAsia="仿宋" w:cs="仿宋"/>
          <w:b/>
          <w:bCs/>
          <w:color w:val="auto"/>
          <w:highlight w:val="none"/>
          <w:lang w:eastAsia="zh-CN"/>
        </w:rPr>
      </w:pPr>
    </w:p>
    <w:p w14:paraId="50902299">
      <w:pPr>
        <w:rPr>
          <w:rFonts w:hint="eastAsia" w:ascii="仿宋" w:hAnsi="仿宋" w:eastAsia="仿宋" w:cs="仿宋"/>
          <w:b/>
          <w:bCs/>
          <w:color w:val="auto"/>
          <w:highlight w:val="none"/>
          <w:lang w:eastAsia="zh-CN"/>
        </w:rPr>
      </w:pPr>
    </w:p>
    <w:p w14:paraId="6A3A22D7">
      <w:pPr>
        <w:rPr>
          <w:rFonts w:hint="eastAsia" w:ascii="仿宋" w:hAnsi="仿宋" w:eastAsia="仿宋" w:cs="仿宋"/>
          <w:b/>
          <w:bCs/>
          <w:color w:val="auto"/>
          <w:highlight w:val="none"/>
          <w:lang w:eastAsia="zh-CN"/>
        </w:rPr>
      </w:pPr>
    </w:p>
    <w:p w14:paraId="51B8862C">
      <w:pPr>
        <w:rPr>
          <w:rFonts w:hint="eastAsia" w:ascii="仿宋" w:hAnsi="仿宋" w:eastAsia="仿宋" w:cs="仿宋"/>
          <w:b/>
          <w:bCs/>
          <w:color w:val="auto"/>
          <w:highlight w:val="none"/>
          <w:lang w:eastAsia="zh-CN"/>
        </w:rPr>
      </w:pPr>
    </w:p>
    <w:p w14:paraId="5B8CF32A">
      <w:pPr>
        <w:rPr>
          <w:rFonts w:hint="eastAsia" w:ascii="仿宋" w:hAnsi="仿宋" w:eastAsia="仿宋" w:cs="仿宋"/>
          <w:b/>
          <w:bCs/>
          <w:color w:val="auto"/>
          <w:highlight w:val="none"/>
          <w:lang w:eastAsia="zh-CN"/>
        </w:rPr>
      </w:pPr>
    </w:p>
    <w:p w14:paraId="5CD98D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609CF8BF">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3826B808">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72E7EDCD">
      <w:pPr>
        <w:spacing w:line="400" w:lineRule="exact"/>
        <w:rPr>
          <w:rFonts w:ascii="仿宋" w:hAnsi="仿宋" w:eastAsia="仿宋" w:cs="仿宋"/>
          <w:color w:val="auto"/>
          <w:highlight w:val="none"/>
          <w:lang w:eastAsia="zh-CN"/>
        </w:rPr>
      </w:pPr>
    </w:p>
    <w:p w14:paraId="22C250B8">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outlineLvl w:val="0"/>
        <w:rPr>
          <w:rFonts w:hint="eastAsia" w:ascii="仿宋" w:hAnsi="仿宋" w:eastAsia="仿宋" w:cs="仿宋"/>
          <w:color w:val="auto"/>
          <w:kern w:val="0"/>
          <w:sz w:val="24"/>
          <w:szCs w:val="24"/>
          <w:highlight w:val="none"/>
          <w:lang w:eastAsia="zh-CN"/>
        </w:rPr>
      </w:pPr>
      <w:bookmarkStart w:id="25" w:name="_Toc17515"/>
      <w:r>
        <w:rPr>
          <w:rFonts w:hint="eastAsia" w:ascii="仿宋" w:hAnsi="仿宋" w:eastAsia="仿宋" w:cs="仿宋"/>
          <w:color w:val="auto"/>
          <w:kern w:val="0"/>
          <w:sz w:val="24"/>
          <w:szCs w:val="24"/>
          <w:highlight w:val="none"/>
          <w:lang w:eastAsia="zh-CN"/>
        </w:rPr>
        <w:t>一、投诉相关主体基本情况</w:t>
      </w:r>
    </w:p>
    <w:p w14:paraId="3977711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投诉人：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 xml:space="preserve">  </w:t>
      </w:r>
    </w:p>
    <w:p w14:paraId="5C2FE5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2561DE6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法定代表人/主要负责人：</w:t>
      </w:r>
      <w:r>
        <w:rPr>
          <w:rFonts w:hint="eastAsia" w:ascii="仿宋" w:hAnsi="仿宋" w:eastAsia="仿宋" w:cs="仿宋"/>
          <w:color w:val="auto"/>
          <w:kern w:val="0"/>
          <w:sz w:val="24"/>
          <w:szCs w:val="24"/>
          <w:highlight w:val="none"/>
          <w:u w:val="single"/>
          <w:lang w:val="en-US" w:eastAsia="zh-CN"/>
        </w:rPr>
        <w:t xml:space="preserve">                             </w:t>
      </w:r>
    </w:p>
    <w:p w14:paraId="0C8EF99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7202611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46C43FE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授权代表（如有）：</w:t>
      </w:r>
      <w:r>
        <w:rPr>
          <w:rFonts w:hint="eastAsia" w:ascii="仿宋" w:hAnsi="仿宋" w:eastAsia="仿宋" w:cs="仿宋"/>
          <w:color w:val="auto"/>
          <w:kern w:val="0"/>
          <w:sz w:val="24"/>
          <w:szCs w:val="24"/>
          <w:highlight w:val="none"/>
          <w:u w:val="single"/>
          <w:lang w:val="en-US" w:eastAsia="zh-CN"/>
        </w:rPr>
        <w:t xml:space="preserve">                         </w:t>
      </w:r>
    </w:p>
    <w:p w14:paraId="7AADA80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val="en-US" w:eastAsia="zh-CN"/>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523988F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14707E1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5B34BFB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31444C4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eastAsia="zh-CN"/>
        </w:rPr>
        <w:t>联系人：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189B2A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2：</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714F3D9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val="en-US" w:eastAsia="zh-CN"/>
        </w:rPr>
        <w:t>相关供应商</w:t>
      </w:r>
      <w:r>
        <w:rPr>
          <w:rFonts w:hint="eastAsia" w:ascii="仿宋" w:hAnsi="仿宋" w:eastAsia="仿宋" w:cs="仿宋"/>
          <w:color w:val="auto"/>
          <w:kern w:val="0"/>
          <w:sz w:val="24"/>
          <w:szCs w:val="24"/>
          <w:highlight w:val="none"/>
          <w:u w:val="none"/>
          <w:lang w:eastAsia="zh-CN"/>
        </w:rPr>
        <w:t>（如有）</w:t>
      </w:r>
      <w:r>
        <w:rPr>
          <w:rFonts w:hint="eastAsia" w:ascii="仿宋" w:hAnsi="仿宋" w:eastAsia="仿宋" w:cs="仿宋"/>
          <w:color w:val="auto"/>
          <w:kern w:val="0"/>
          <w:sz w:val="24"/>
          <w:szCs w:val="24"/>
          <w:highlight w:val="none"/>
          <w:u w:val="none"/>
          <w:lang w:val="en-US" w:eastAsia="zh-CN"/>
        </w:rPr>
        <w:t>：</w:t>
      </w:r>
      <w:r>
        <w:rPr>
          <w:rFonts w:hint="eastAsia" w:ascii="仿宋" w:hAnsi="仿宋" w:eastAsia="仿宋" w:cs="仿宋"/>
          <w:color w:val="auto"/>
          <w:kern w:val="0"/>
          <w:sz w:val="24"/>
          <w:szCs w:val="24"/>
          <w:highlight w:val="none"/>
          <w:u w:val="single"/>
        </w:rPr>
        <w:t xml:space="preserve">                                        </w:t>
      </w:r>
    </w:p>
    <w:p w14:paraId="76A7F4E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1A5195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4C2D7DF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二、投诉项目基本情况</w:t>
      </w:r>
    </w:p>
    <w:p w14:paraId="304F371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采购项目名称：</w:t>
      </w:r>
    </w:p>
    <w:p w14:paraId="1461C89B">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采购项目编号：</w:t>
      </w:r>
      <w:r>
        <w:rPr>
          <w:rFonts w:hint="eastAsia" w:ascii="仿宋" w:hAnsi="仿宋" w:eastAsia="仿宋" w:cs="仿宋"/>
          <w:color w:val="auto"/>
          <w:kern w:val="0"/>
          <w:sz w:val="24"/>
          <w:szCs w:val="24"/>
          <w:highlight w:val="none"/>
          <w:lang w:val="en-US" w:eastAsia="zh-CN"/>
        </w:rPr>
        <w:t xml:space="preserve">        包号：</w:t>
      </w:r>
    </w:p>
    <w:p w14:paraId="30760ACC">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采购人名称：</w:t>
      </w:r>
    </w:p>
    <w:p w14:paraId="5353DF31">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代理机构名称：</w:t>
      </w:r>
    </w:p>
    <w:p w14:paraId="4B71414E">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采购文件公告：是/否 公告期限：</w:t>
      </w:r>
    </w:p>
    <w:p w14:paraId="161AB29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采购结果公告：是/否 公告期限：</w:t>
      </w:r>
    </w:p>
    <w:p w14:paraId="118563E2">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三、质疑基本情况</w:t>
      </w:r>
    </w:p>
    <w:p w14:paraId="24CCE24A">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投诉人于    年  月  日，向       提出质疑，</w:t>
      </w:r>
    </w:p>
    <w:p w14:paraId="37935AD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质疑事项为：</w:t>
      </w:r>
    </w:p>
    <w:p w14:paraId="27A2C511">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采购人/代理机构于    年  月  日，就质疑事项做出了答复/没有在法定期限内做出答复。</w:t>
      </w:r>
    </w:p>
    <w:p w14:paraId="52B7516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四、投诉事项具体内容</w:t>
      </w:r>
    </w:p>
    <w:p w14:paraId="61FE47B8">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投诉事项1：</w:t>
      </w:r>
    </w:p>
    <w:p w14:paraId="465B302C">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事实依据：</w:t>
      </w:r>
    </w:p>
    <w:p w14:paraId="14060538">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法律依据1：</w:t>
      </w:r>
    </w:p>
    <w:p w14:paraId="0F13812F">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法律依据2：</w:t>
      </w:r>
    </w:p>
    <w:p w14:paraId="42F43437">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p>
    <w:p w14:paraId="0FFFE8A7">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投诉事项2：</w:t>
      </w:r>
    </w:p>
    <w:p w14:paraId="0244662B">
      <w:pPr>
        <w:keepNext w:val="0"/>
        <w:keepLines w:val="0"/>
        <w:pageBreakBefore w:val="0"/>
        <w:kinsoku/>
        <w:wordWrap/>
        <w:overflowPunct/>
        <w:topLinePunct w:val="0"/>
        <w:autoSpaceDE/>
        <w:autoSpaceDN/>
        <w:bidi w:val="0"/>
        <w:adjustRightInd/>
        <w:snapToGrid/>
        <w:spacing w:line="500" w:lineRule="exact"/>
        <w:ind w:firstLine="486"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rPr>
        <w:t>……</w:t>
      </w:r>
    </w:p>
    <w:p w14:paraId="6673BA42">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五、与投诉事项相关的投诉请求</w:t>
      </w:r>
    </w:p>
    <w:p w14:paraId="63A22F2B">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请求：</w:t>
      </w:r>
    </w:p>
    <w:p w14:paraId="773DDEE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rPr>
      </w:pPr>
    </w:p>
    <w:p w14:paraId="07C6889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签字（签章）</w:t>
      </w:r>
      <w:r>
        <w:rPr>
          <w:rFonts w:hint="eastAsia" w:ascii="仿宋" w:hAnsi="仿宋" w:eastAsia="仿宋" w:cs="仿宋"/>
          <w:color w:val="auto"/>
          <w:kern w:val="0"/>
          <w:sz w:val="22"/>
          <w:szCs w:val="22"/>
          <w:highlight w:val="none"/>
          <w:lang w:eastAsia="zh-CN"/>
        </w:rPr>
        <w:t>（法人代表或负责人、代理人）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 xml:space="preserve">       </w:t>
      </w:r>
    </w:p>
    <w:p w14:paraId="21B929E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公章</w:t>
      </w:r>
      <w:r>
        <w:rPr>
          <w:rFonts w:hint="eastAsia" w:ascii="仿宋" w:hAnsi="仿宋" w:eastAsia="仿宋" w:cs="仿宋"/>
          <w:color w:val="auto"/>
          <w:kern w:val="0"/>
          <w:sz w:val="22"/>
          <w:szCs w:val="22"/>
          <w:highlight w:val="none"/>
          <w:lang w:eastAsia="zh-CN"/>
        </w:rPr>
        <w:t>（单位）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p>
    <w:p w14:paraId="30CD319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日期：</w:t>
      </w:r>
    </w:p>
    <w:p w14:paraId="56E59C3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附件：质疑及答复材料</w:t>
      </w:r>
    </w:p>
    <w:p w14:paraId="35297B6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lang w:eastAsia="zh-CN"/>
        </w:rPr>
        <w:br w:type="page"/>
      </w:r>
    </w:p>
    <w:p w14:paraId="01B38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outlineLvl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lang w:eastAsia="zh-CN"/>
        </w:rPr>
        <w:t>投诉书制作说明：</w:t>
      </w:r>
    </w:p>
    <w:p w14:paraId="5D7CDA1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1.投诉人应当按照《政府采购质疑和投诉办法》（财政部令第94号）规定提起投诉。</w:t>
      </w:r>
    </w:p>
    <w:p w14:paraId="5B4D5C3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2.投诉人提起投诉时，应当提交投诉书和必要的证明材料，并按照被投诉人和与投诉事项有关的供应商数量提供投诉书副本。</w:t>
      </w:r>
    </w:p>
    <w:p w14:paraId="3E4B9F2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7CC868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4.投诉人若对项目的某一分包进行投诉，投诉书应列明具体分包号。</w:t>
      </w:r>
    </w:p>
    <w:p w14:paraId="215FD42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5.投诉书应简要列明质疑事项，质疑函、质疑答复等作为附件材料提供。</w:t>
      </w:r>
    </w:p>
    <w:p w14:paraId="39D267F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6.投诉书的投诉事项应具体、明确，并由必要的事实依据和法律依据。</w:t>
      </w:r>
    </w:p>
    <w:p w14:paraId="28E60C5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7.投诉书的投诉请求应与投诉事项相关。</w:t>
      </w:r>
    </w:p>
    <w:p w14:paraId="41EF6BA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8.投诉人为自然人的，投诉书应当由本人签字；投诉书应当由法定代表人、主要负责人，或者其授权代表签字或者盖章，并加盖公章。</w:t>
      </w:r>
    </w:p>
    <w:p w14:paraId="33879915">
      <w:pPr>
        <w:ind w:left="5783" w:hanging="4374" w:hangingChars="1800"/>
        <w:jc w:val="center"/>
        <w:outlineLvl w:val="0"/>
        <w:rPr>
          <w:rFonts w:hint="eastAsia" w:ascii="仿宋" w:hAnsi="仿宋" w:eastAsia="仿宋" w:cs="仿宋"/>
          <w:b/>
          <w:bCs/>
          <w:color w:val="auto"/>
          <w:sz w:val="24"/>
          <w:szCs w:val="24"/>
          <w:highlight w:val="none"/>
          <w:lang w:eastAsia="zh-CN"/>
        </w:rPr>
      </w:pPr>
    </w:p>
    <w:p w14:paraId="3C8C128B">
      <w:pPr>
        <w:ind w:left="5783" w:hanging="4374" w:hangingChars="1800"/>
        <w:jc w:val="center"/>
        <w:outlineLvl w:val="0"/>
        <w:rPr>
          <w:rFonts w:hint="eastAsia" w:ascii="仿宋" w:hAnsi="仿宋" w:eastAsia="仿宋" w:cs="仿宋"/>
          <w:b/>
          <w:bCs/>
          <w:color w:val="auto"/>
          <w:sz w:val="24"/>
          <w:szCs w:val="24"/>
          <w:highlight w:val="none"/>
          <w:lang w:eastAsia="zh-CN"/>
        </w:rPr>
      </w:pPr>
    </w:p>
    <w:p w14:paraId="491C4B48">
      <w:pPr>
        <w:pStyle w:val="31"/>
        <w:rPr>
          <w:rFonts w:hint="eastAsia" w:ascii="仿宋" w:hAnsi="仿宋" w:eastAsia="仿宋" w:cs="仿宋"/>
          <w:b/>
          <w:bCs/>
          <w:color w:val="auto"/>
          <w:sz w:val="24"/>
          <w:szCs w:val="24"/>
          <w:highlight w:val="none"/>
          <w:lang w:eastAsia="zh-CN"/>
        </w:rPr>
      </w:pPr>
    </w:p>
    <w:p w14:paraId="23D1F1D2">
      <w:pPr>
        <w:pStyle w:val="31"/>
        <w:rPr>
          <w:rFonts w:hint="eastAsia" w:ascii="仿宋" w:hAnsi="仿宋" w:eastAsia="仿宋" w:cs="仿宋"/>
          <w:b/>
          <w:bCs/>
          <w:color w:val="auto"/>
          <w:sz w:val="24"/>
          <w:szCs w:val="24"/>
          <w:highlight w:val="none"/>
          <w:lang w:eastAsia="zh-CN"/>
        </w:rPr>
      </w:pPr>
    </w:p>
    <w:p w14:paraId="0B9BA9E0">
      <w:pPr>
        <w:pStyle w:val="31"/>
        <w:rPr>
          <w:rFonts w:hint="eastAsia" w:ascii="仿宋" w:hAnsi="仿宋" w:eastAsia="仿宋" w:cs="仿宋"/>
          <w:b/>
          <w:bCs/>
          <w:color w:val="auto"/>
          <w:sz w:val="24"/>
          <w:szCs w:val="24"/>
          <w:highlight w:val="none"/>
          <w:lang w:eastAsia="zh-CN"/>
        </w:rPr>
      </w:pPr>
    </w:p>
    <w:p w14:paraId="58C254D4">
      <w:pPr>
        <w:pStyle w:val="31"/>
        <w:rPr>
          <w:rFonts w:hint="eastAsia" w:ascii="仿宋" w:hAnsi="仿宋" w:eastAsia="仿宋" w:cs="仿宋"/>
          <w:b/>
          <w:bCs/>
          <w:color w:val="auto"/>
          <w:sz w:val="24"/>
          <w:szCs w:val="24"/>
          <w:highlight w:val="none"/>
          <w:lang w:eastAsia="zh-CN"/>
        </w:rPr>
      </w:pPr>
    </w:p>
    <w:p w14:paraId="3A2D81EB">
      <w:pPr>
        <w:pStyle w:val="31"/>
        <w:rPr>
          <w:rFonts w:hint="eastAsia" w:ascii="仿宋" w:hAnsi="仿宋" w:eastAsia="仿宋" w:cs="仿宋"/>
          <w:b/>
          <w:bCs/>
          <w:color w:val="auto"/>
          <w:sz w:val="24"/>
          <w:szCs w:val="24"/>
          <w:highlight w:val="none"/>
          <w:lang w:eastAsia="zh-CN"/>
        </w:rPr>
      </w:pPr>
    </w:p>
    <w:p w14:paraId="028EA536">
      <w:pPr>
        <w:pStyle w:val="31"/>
        <w:rPr>
          <w:rFonts w:hint="eastAsia" w:ascii="仿宋" w:hAnsi="仿宋" w:eastAsia="仿宋" w:cs="仿宋"/>
          <w:b/>
          <w:bCs/>
          <w:color w:val="auto"/>
          <w:sz w:val="24"/>
          <w:szCs w:val="24"/>
          <w:highlight w:val="none"/>
          <w:lang w:eastAsia="zh-CN"/>
        </w:rPr>
      </w:pPr>
    </w:p>
    <w:p w14:paraId="6E3CB934">
      <w:pPr>
        <w:pStyle w:val="31"/>
        <w:rPr>
          <w:rFonts w:hint="eastAsia" w:ascii="仿宋" w:hAnsi="仿宋" w:eastAsia="仿宋" w:cs="仿宋"/>
          <w:b/>
          <w:bCs/>
          <w:color w:val="auto"/>
          <w:sz w:val="24"/>
          <w:szCs w:val="24"/>
          <w:highlight w:val="none"/>
          <w:lang w:eastAsia="zh-CN"/>
        </w:rPr>
      </w:pPr>
    </w:p>
    <w:p w14:paraId="55184094">
      <w:pPr>
        <w:pStyle w:val="31"/>
        <w:rPr>
          <w:rFonts w:hint="eastAsia" w:ascii="仿宋" w:hAnsi="仿宋" w:eastAsia="仿宋" w:cs="仿宋"/>
          <w:b/>
          <w:bCs/>
          <w:color w:val="auto"/>
          <w:sz w:val="24"/>
          <w:szCs w:val="24"/>
          <w:highlight w:val="none"/>
          <w:lang w:eastAsia="zh-CN"/>
        </w:rPr>
      </w:pPr>
    </w:p>
    <w:p w14:paraId="5474F7C8">
      <w:pPr>
        <w:ind w:left="5783" w:hanging="4374" w:hangingChars="1800"/>
        <w:jc w:val="center"/>
        <w:outlineLvl w:val="0"/>
        <w:rPr>
          <w:rFonts w:hint="eastAsia" w:ascii="仿宋" w:hAnsi="仿宋" w:eastAsia="仿宋" w:cs="仿宋"/>
          <w:b/>
          <w:bCs/>
          <w:color w:val="auto"/>
          <w:sz w:val="24"/>
          <w:szCs w:val="24"/>
          <w:highlight w:val="none"/>
          <w:lang w:eastAsia="zh-CN"/>
        </w:rPr>
      </w:pPr>
    </w:p>
    <w:p w14:paraId="4EB6D21E">
      <w:pPr>
        <w:ind w:left="5783" w:hanging="4374" w:hangingChars="1800"/>
        <w:jc w:val="center"/>
        <w:outlineLvl w:val="0"/>
        <w:rPr>
          <w:rFonts w:hint="eastAsia" w:ascii="仿宋" w:hAnsi="仿宋" w:eastAsia="仿宋" w:cs="仿宋"/>
          <w:b/>
          <w:bCs/>
          <w:color w:val="auto"/>
          <w:sz w:val="24"/>
          <w:szCs w:val="24"/>
          <w:highlight w:val="none"/>
          <w:lang w:eastAsia="zh-CN"/>
        </w:rPr>
      </w:pPr>
    </w:p>
    <w:p w14:paraId="44FF8EE0">
      <w:pPr>
        <w:ind w:left="5783" w:hanging="4374" w:hangingChars="1800"/>
        <w:jc w:val="center"/>
        <w:outlineLvl w:val="0"/>
        <w:rPr>
          <w:rFonts w:hint="eastAsia" w:ascii="仿宋" w:hAnsi="仿宋" w:eastAsia="仿宋" w:cs="仿宋"/>
          <w:b/>
          <w:bCs/>
          <w:color w:val="auto"/>
          <w:sz w:val="24"/>
          <w:szCs w:val="24"/>
          <w:highlight w:val="none"/>
          <w:lang w:eastAsia="zh-CN"/>
        </w:rPr>
      </w:pPr>
    </w:p>
    <w:p w14:paraId="15A7F23D">
      <w:pPr>
        <w:ind w:left="5783" w:hanging="4374" w:hangingChars="1800"/>
        <w:jc w:val="center"/>
        <w:outlineLvl w:val="0"/>
        <w:rPr>
          <w:rFonts w:hint="eastAsia" w:ascii="仿宋" w:hAnsi="仿宋" w:eastAsia="仿宋" w:cs="仿宋"/>
          <w:b/>
          <w:bCs/>
          <w:color w:val="auto"/>
          <w:sz w:val="24"/>
          <w:szCs w:val="24"/>
          <w:highlight w:val="none"/>
          <w:lang w:eastAsia="zh-CN"/>
        </w:rPr>
      </w:pPr>
    </w:p>
    <w:p w14:paraId="28B4561A">
      <w:pPr>
        <w:ind w:left="5783" w:hanging="5814" w:hangingChars="1800"/>
        <w:jc w:val="center"/>
        <w:outlineLvl w:val="0"/>
        <w:rPr>
          <w:rFonts w:hint="eastAsia" w:ascii="仿宋" w:hAnsi="仿宋" w:eastAsia="仿宋" w:cs="仿宋"/>
          <w:b/>
          <w:bCs/>
          <w:color w:val="auto"/>
          <w:sz w:val="32"/>
          <w:szCs w:val="32"/>
          <w:highlight w:val="none"/>
          <w:lang w:eastAsia="zh-CN"/>
        </w:rPr>
      </w:pPr>
    </w:p>
    <w:p w14:paraId="28F4B7E6">
      <w:pPr>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25"/>
    </w:p>
    <w:p w14:paraId="5860A154">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5AAFB63A">
      <w:pPr>
        <w:numPr>
          <w:ilvl w:val="0"/>
          <w:numId w:val="4"/>
        </w:numPr>
        <w:spacing w:line="400" w:lineRule="exact"/>
        <w:ind w:left="4626" w:leftChars="304" w:hanging="3888" w:hangingChars="1600"/>
        <w:outlineLvl w:val="0"/>
        <w:rPr>
          <w:rFonts w:ascii="仿宋" w:hAnsi="仿宋" w:eastAsia="仿宋" w:cs="仿宋"/>
          <w:b/>
          <w:bCs/>
          <w:color w:val="auto"/>
          <w:sz w:val="24"/>
          <w:szCs w:val="24"/>
          <w:highlight w:val="none"/>
        </w:rPr>
      </w:pPr>
      <w:bookmarkStart w:id="26" w:name="_Toc11499"/>
      <w:r>
        <w:rPr>
          <w:rFonts w:hint="eastAsia" w:ascii="仿宋" w:hAnsi="仿宋" w:eastAsia="仿宋" w:cs="仿宋"/>
          <w:b/>
          <w:bCs/>
          <w:color w:val="auto"/>
          <w:sz w:val="24"/>
          <w:szCs w:val="24"/>
          <w:highlight w:val="none"/>
        </w:rPr>
        <w:t>质疑前置及时间要求</w:t>
      </w:r>
      <w:bookmarkEnd w:id="26"/>
    </w:p>
    <w:p w14:paraId="59F58EC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4502AB2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2ED820A7">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31E152B7">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383564C">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2630A6B0">
      <w:pPr>
        <w:spacing w:line="400" w:lineRule="exact"/>
        <w:ind w:left="3780" w:hanging="3834"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lang w:eastAsia="zh-CN"/>
        </w:rPr>
        <w:t xml:space="preserve"> </w:t>
      </w:r>
      <w:r>
        <w:rPr>
          <w:rFonts w:hint="eastAsia" w:ascii="仿宋" w:hAnsi="仿宋" w:eastAsia="仿宋" w:cs="仿宋"/>
          <w:b/>
          <w:bCs/>
          <w:color w:val="auto"/>
          <w:sz w:val="24"/>
          <w:szCs w:val="24"/>
          <w:highlight w:val="none"/>
          <w:lang w:eastAsia="zh-CN"/>
        </w:rPr>
        <w:t xml:space="preserve"> </w:t>
      </w:r>
      <w:bookmarkStart w:id="27" w:name="_Toc13508"/>
      <w:r>
        <w:rPr>
          <w:rFonts w:hint="eastAsia" w:ascii="仿宋" w:hAnsi="仿宋" w:eastAsia="仿宋" w:cs="仿宋"/>
          <w:b/>
          <w:bCs/>
          <w:color w:val="auto"/>
          <w:sz w:val="24"/>
          <w:szCs w:val="24"/>
          <w:highlight w:val="none"/>
          <w:lang w:eastAsia="zh-CN"/>
        </w:rPr>
        <w:t>二、书面方式</w:t>
      </w:r>
      <w:bookmarkEnd w:id="27"/>
    </w:p>
    <w:p w14:paraId="101840CB">
      <w:pPr>
        <w:spacing w:line="400" w:lineRule="exact"/>
        <w:ind w:firstLine="426" w:firstLineChars="2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highlight w:val="none"/>
          <w:lang w:eastAsia="zh-CN"/>
        </w:rPr>
        <w:t>政府采购供应商投诉处理办法》第八条：投诉人投诉</w:t>
      </w:r>
    </w:p>
    <w:p w14:paraId="0B5A933E">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369E804C">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6321479D">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70290D05">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549A5778">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1EAF0588">
      <w:pPr>
        <w:numPr>
          <w:ilvl w:val="0"/>
          <w:numId w:val="5"/>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1146C998">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49C91FB5">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42D3BE2">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22D19735">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498DA266">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480B3542">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2537089C">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460F367C">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21B1FC7C">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0F8A6D9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4A9C92B1">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0E3BA6F3">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28" w:name="_Toc5978"/>
      <w:r>
        <w:rPr>
          <w:rFonts w:hint="eastAsia" w:ascii="仿宋" w:hAnsi="仿宋" w:eastAsia="仿宋" w:cs="仿宋"/>
          <w:b/>
          <w:bCs/>
          <w:color w:val="auto"/>
          <w:highlight w:val="none"/>
          <w:lang w:eastAsia="zh-CN"/>
        </w:rPr>
        <w:t>三、虚假、恶意投诉法律责任</w:t>
      </w:r>
      <w:bookmarkEnd w:id="28"/>
    </w:p>
    <w:p w14:paraId="3E30E501">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25E15533">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B52E77A">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5EA3B878">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4961273B">
      <w:pPr>
        <w:spacing w:line="400" w:lineRule="exact"/>
        <w:rPr>
          <w:rFonts w:ascii="仿宋" w:hAnsi="仿宋" w:eastAsia="仿宋" w:cs="仿宋"/>
          <w:color w:val="auto"/>
          <w:sz w:val="21"/>
          <w:szCs w:val="21"/>
          <w:highlight w:val="none"/>
          <w:lang w:eastAsia="zh-CN"/>
        </w:rPr>
      </w:pPr>
    </w:p>
    <w:p w14:paraId="15766685">
      <w:pPr>
        <w:spacing w:line="400" w:lineRule="exact"/>
        <w:rPr>
          <w:rFonts w:ascii="仿宋" w:hAnsi="仿宋" w:eastAsia="仿宋" w:cs="仿宋"/>
          <w:color w:val="auto"/>
          <w:sz w:val="21"/>
          <w:szCs w:val="21"/>
          <w:highlight w:val="none"/>
          <w:lang w:eastAsia="zh-CN"/>
        </w:rPr>
      </w:pPr>
    </w:p>
    <w:p w14:paraId="4527C355">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递交投诉书地址：阿图什市政府采购办监管办公室</w:t>
      </w:r>
    </w:p>
    <w:p w14:paraId="048BF14A">
      <w:pPr>
        <w:jc w:val="right"/>
        <w:rPr>
          <w:rFonts w:ascii="仿宋" w:hAnsi="仿宋" w:eastAsia="仿宋" w:cs="仿宋"/>
          <w:color w:val="auto"/>
          <w:sz w:val="32"/>
          <w:szCs w:val="32"/>
          <w:highlight w:val="none"/>
          <w:lang w:eastAsia="zh-CN"/>
        </w:rPr>
      </w:pPr>
    </w:p>
    <w:p w14:paraId="48683013">
      <w:pPr>
        <w:spacing w:line="540" w:lineRule="exact"/>
        <w:jc w:val="center"/>
        <w:rPr>
          <w:rFonts w:ascii="仿宋" w:hAnsi="仿宋" w:eastAsia="仿宋" w:cs="仿宋"/>
          <w:b/>
          <w:bCs/>
          <w:color w:val="auto"/>
          <w:sz w:val="44"/>
          <w:szCs w:val="44"/>
          <w:highlight w:val="none"/>
          <w:lang w:eastAsia="zh-CN"/>
        </w:rPr>
      </w:pPr>
    </w:p>
    <w:p w14:paraId="42C9E2D5">
      <w:pPr>
        <w:spacing w:line="540" w:lineRule="exact"/>
        <w:jc w:val="center"/>
        <w:rPr>
          <w:rFonts w:ascii="仿宋" w:hAnsi="仿宋" w:eastAsia="仿宋" w:cs="仿宋"/>
          <w:b/>
          <w:bCs/>
          <w:color w:val="auto"/>
          <w:sz w:val="44"/>
          <w:szCs w:val="44"/>
          <w:highlight w:val="none"/>
          <w:lang w:eastAsia="zh-CN"/>
        </w:rPr>
      </w:pPr>
    </w:p>
    <w:p w14:paraId="60ED8229">
      <w:pPr>
        <w:spacing w:line="540" w:lineRule="exact"/>
        <w:jc w:val="center"/>
        <w:rPr>
          <w:rFonts w:ascii="仿宋" w:hAnsi="仿宋" w:eastAsia="仿宋" w:cs="仿宋"/>
          <w:b/>
          <w:bCs/>
          <w:color w:val="auto"/>
          <w:sz w:val="44"/>
          <w:szCs w:val="44"/>
          <w:highlight w:val="none"/>
          <w:lang w:eastAsia="zh-CN"/>
        </w:rPr>
      </w:pPr>
    </w:p>
    <w:p w14:paraId="4B1D78B0">
      <w:pPr>
        <w:spacing w:line="540" w:lineRule="exact"/>
        <w:jc w:val="center"/>
        <w:rPr>
          <w:rFonts w:ascii="仿宋" w:hAnsi="仿宋" w:eastAsia="仿宋" w:cs="仿宋"/>
          <w:b/>
          <w:bCs/>
          <w:color w:val="auto"/>
          <w:sz w:val="44"/>
          <w:szCs w:val="44"/>
          <w:highlight w:val="none"/>
          <w:lang w:eastAsia="zh-CN"/>
        </w:rPr>
      </w:pPr>
    </w:p>
    <w:p w14:paraId="72B1AEB7">
      <w:pPr>
        <w:spacing w:line="540" w:lineRule="exact"/>
        <w:jc w:val="center"/>
        <w:rPr>
          <w:rFonts w:ascii="仿宋" w:hAnsi="仿宋" w:eastAsia="仿宋" w:cs="仿宋"/>
          <w:b/>
          <w:bCs/>
          <w:color w:val="auto"/>
          <w:sz w:val="44"/>
          <w:szCs w:val="44"/>
          <w:highlight w:val="none"/>
          <w:lang w:eastAsia="zh-CN"/>
        </w:rPr>
      </w:pPr>
    </w:p>
    <w:p w14:paraId="7E45C040">
      <w:pPr>
        <w:spacing w:line="540" w:lineRule="exact"/>
        <w:jc w:val="center"/>
        <w:rPr>
          <w:rFonts w:ascii="仿宋" w:hAnsi="仿宋" w:eastAsia="仿宋" w:cs="仿宋"/>
          <w:b/>
          <w:bCs/>
          <w:color w:val="auto"/>
          <w:sz w:val="44"/>
          <w:szCs w:val="44"/>
          <w:highlight w:val="none"/>
          <w:lang w:eastAsia="zh-CN"/>
        </w:rPr>
      </w:pPr>
    </w:p>
    <w:p w14:paraId="2016592F">
      <w:pPr>
        <w:spacing w:line="540" w:lineRule="exact"/>
        <w:jc w:val="center"/>
        <w:rPr>
          <w:rFonts w:ascii="仿宋" w:hAnsi="仿宋" w:eastAsia="仿宋" w:cs="仿宋"/>
          <w:b/>
          <w:bCs/>
          <w:color w:val="auto"/>
          <w:sz w:val="44"/>
          <w:szCs w:val="44"/>
          <w:highlight w:val="none"/>
          <w:lang w:eastAsia="zh-CN"/>
        </w:rPr>
      </w:pPr>
    </w:p>
    <w:p w14:paraId="676241E6">
      <w:pPr>
        <w:spacing w:line="540" w:lineRule="exact"/>
        <w:jc w:val="center"/>
        <w:rPr>
          <w:rFonts w:ascii="仿宋" w:hAnsi="仿宋" w:eastAsia="仿宋" w:cs="仿宋"/>
          <w:b/>
          <w:bCs/>
          <w:color w:val="auto"/>
          <w:sz w:val="44"/>
          <w:szCs w:val="44"/>
          <w:highlight w:val="none"/>
          <w:lang w:eastAsia="zh-CN"/>
        </w:rPr>
      </w:pPr>
    </w:p>
    <w:p w14:paraId="21316B4F">
      <w:pPr>
        <w:spacing w:line="540" w:lineRule="exact"/>
        <w:jc w:val="center"/>
        <w:rPr>
          <w:rFonts w:ascii="仿宋" w:hAnsi="仿宋" w:eastAsia="仿宋" w:cs="仿宋"/>
          <w:b/>
          <w:bCs/>
          <w:color w:val="auto"/>
          <w:sz w:val="44"/>
          <w:szCs w:val="44"/>
          <w:highlight w:val="none"/>
          <w:lang w:eastAsia="zh-CN"/>
        </w:rPr>
      </w:pPr>
    </w:p>
    <w:p w14:paraId="2C6B7969">
      <w:pPr>
        <w:spacing w:line="540" w:lineRule="exact"/>
        <w:jc w:val="center"/>
        <w:rPr>
          <w:rFonts w:ascii="仿宋" w:hAnsi="仿宋" w:eastAsia="仿宋" w:cs="仿宋"/>
          <w:b/>
          <w:bCs/>
          <w:color w:val="auto"/>
          <w:sz w:val="44"/>
          <w:szCs w:val="44"/>
          <w:highlight w:val="none"/>
          <w:lang w:eastAsia="zh-CN"/>
        </w:rPr>
      </w:pPr>
    </w:p>
    <w:p w14:paraId="0D7E0E9F">
      <w:pPr>
        <w:pStyle w:val="31"/>
        <w:ind w:left="0" w:leftChars="0" w:firstLine="0" w:firstLineChars="0"/>
        <w:rPr>
          <w:rFonts w:ascii="仿宋" w:hAnsi="仿宋" w:eastAsia="仿宋" w:cs="仿宋"/>
          <w:b/>
          <w:bCs/>
          <w:color w:val="auto"/>
          <w:sz w:val="44"/>
          <w:szCs w:val="44"/>
          <w:highlight w:val="none"/>
          <w:lang w:eastAsia="zh-CN"/>
        </w:rPr>
      </w:pPr>
    </w:p>
    <w:p w14:paraId="7595E3AA">
      <w:pPr>
        <w:spacing w:line="540" w:lineRule="exact"/>
        <w:jc w:val="center"/>
        <w:outlineLvl w:val="0"/>
        <w:rPr>
          <w:rFonts w:hint="eastAsia" w:ascii="仿宋" w:hAnsi="仿宋" w:eastAsia="仿宋" w:cs="仿宋"/>
          <w:b/>
          <w:bCs/>
          <w:color w:val="auto"/>
          <w:sz w:val="32"/>
          <w:szCs w:val="32"/>
          <w:highlight w:val="none"/>
          <w:lang w:eastAsia="zh-CN"/>
        </w:rPr>
      </w:pPr>
      <w:bookmarkStart w:id="29" w:name="_Toc1697"/>
    </w:p>
    <w:p w14:paraId="7FD0FF04">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29"/>
    </w:p>
    <w:p w14:paraId="6B2308F4">
      <w:pPr>
        <w:keepNext w:val="0"/>
        <w:keepLines w:val="0"/>
        <w:pageBreakBefore w:val="0"/>
        <w:widowControl w:val="0"/>
        <w:kinsoku/>
        <w:wordWrap/>
        <w:overflowPunct/>
        <w:topLinePunct w:val="0"/>
        <w:autoSpaceDE/>
        <w:autoSpaceDN/>
        <w:bidi w:val="0"/>
        <w:adjustRightInd w:val="0"/>
        <w:snapToGrid w:val="0"/>
        <w:spacing w:beforeLines="100" w:line="500" w:lineRule="exact"/>
        <w:ind w:firstLine="486" w:firstLineChars="200"/>
        <w:textAlignment w:val="auto"/>
        <w:outlineLvl w:val="0"/>
        <w:rPr>
          <w:rFonts w:ascii="仿宋" w:hAnsi="仿宋" w:eastAsia="仿宋" w:cs="仿宋"/>
          <w:bCs/>
          <w:color w:val="auto"/>
          <w:highlight w:val="none"/>
          <w:lang w:eastAsia="zh-CN"/>
        </w:rPr>
      </w:pPr>
      <w:bookmarkStart w:id="30" w:name="_Toc9061"/>
      <w:r>
        <w:rPr>
          <w:rFonts w:hint="eastAsia" w:ascii="仿宋" w:hAnsi="仿宋" w:eastAsia="仿宋" w:cs="仿宋"/>
          <w:bCs/>
          <w:color w:val="auto"/>
          <w:highlight w:val="none"/>
          <w:lang w:eastAsia="zh-CN"/>
        </w:rPr>
        <w:t>一、质疑供应商基本信息</w:t>
      </w:r>
      <w:bookmarkEnd w:id="30"/>
    </w:p>
    <w:p w14:paraId="4FD07E6C">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0BC4A9FB">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D379965">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46D1EE39">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23E638BA">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6BA345F0">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38975DF">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31" w:name="_Toc15938"/>
      <w:r>
        <w:rPr>
          <w:rFonts w:hint="eastAsia" w:ascii="仿宋" w:hAnsi="仿宋" w:eastAsia="仿宋" w:cs="仿宋"/>
          <w:bCs/>
          <w:color w:val="auto"/>
          <w:highlight w:val="none"/>
          <w:lang w:eastAsia="zh-CN"/>
        </w:rPr>
        <w:t>二、质疑项目基本情况</w:t>
      </w:r>
      <w:bookmarkEnd w:id="31"/>
    </w:p>
    <w:p w14:paraId="3B16372D">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3154BAF9">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41F479CF">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15B30BEE">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531FAEF3">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32" w:name="_Toc18271"/>
      <w:r>
        <w:rPr>
          <w:rFonts w:hint="eastAsia" w:ascii="仿宋" w:hAnsi="仿宋" w:eastAsia="仿宋" w:cs="仿宋"/>
          <w:bCs/>
          <w:color w:val="auto"/>
          <w:highlight w:val="none"/>
          <w:lang w:eastAsia="zh-CN"/>
        </w:rPr>
        <w:t>三、质疑事项具体内容</w:t>
      </w:r>
      <w:bookmarkEnd w:id="32"/>
    </w:p>
    <w:p w14:paraId="391A117C">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BAC67FE">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3D74BBC3">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0BB2E8F9">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7823D812">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470BFA70">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33" w:name="_Toc22365"/>
      <w:r>
        <w:rPr>
          <w:rFonts w:hint="eastAsia" w:ascii="仿宋" w:hAnsi="仿宋" w:eastAsia="仿宋" w:cs="仿宋"/>
          <w:bCs/>
          <w:color w:val="auto"/>
          <w:highlight w:val="none"/>
          <w:lang w:eastAsia="zh-CN"/>
        </w:rPr>
        <w:t>四、与质疑事项相关的质疑请求</w:t>
      </w:r>
      <w:bookmarkEnd w:id="33"/>
    </w:p>
    <w:p w14:paraId="4F8F8A3A">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4F4E2644">
      <w:pPr>
        <w:keepNext w:val="0"/>
        <w:keepLines w:val="0"/>
        <w:pageBreakBefore w:val="0"/>
        <w:widowControl w:val="0"/>
        <w:kinsoku/>
        <w:wordWrap/>
        <w:overflowPunct/>
        <w:topLinePunct w:val="0"/>
        <w:autoSpaceDE/>
        <w:autoSpaceDN/>
        <w:bidi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424BBAEA">
      <w:pPr>
        <w:keepNext w:val="0"/>
        <w:keepLines w:val="0"/>
        <w:pageBreakBefore w:val="0"/>
        <w:widowControl w:val="0"/>
        <w:kinsoku/>
        <w:wordWrap/>
        <w:overflowPunct/>
        <w:topLinePunct w:val="0"/>
        <w:autoSpaceDE/>
        <w:autoSpaceDN/>
        <w:bidi w:val="0"/>
        <w:spacing w:line="50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6F9A7482">
      <w:pPr>
        <w:pageBreakBefore/>
        <w:spacing w:line="440" w:lineRule="exact"/>
        <w:jc w:val="center"/>
        <w:outlineLvl w:val="0"/>
        <w:rPr>
          <w:rFonts w:ascii="仿宋" w:hAnsi="仿宋" w:eastAsia="仿宋" w:cs="仿宋"/>
          <w:b/>
          <w:bCs/>
          <w:color w:val="auto"/>
          <w:sz w:val="30"/>
          <w:szCs w:val="30"/>
          <w:highlight w:val="none"/>
          <w:lang w:eastAsia="zh-CN"/>
        </w:rPr>
      </w:pPr>
      <w:bookmarkStart w:id="34" w:name="_Toc469495731"/>
      <w:r>
        <w:rPr>
          <w:rFonts w:hint="eastAsia" w:ascii="仿宋" w:hAnsi="仿宋" w:eastAsia="仿宋" w:cs="仿宋"/>
          <w:b/>
          <w:bCs/>
          <w:color w:val="auto"/>
          <w:sz w:val="30"/>
          <w:szCs w:val="30"/>
          <w:highlight w:val="none"/>
          <w:lang w:eastAsia="zh-CN"/>
        </w:rPr>
        <w:t>第三部分  评标办法</w:t>
      </w:r>
      <w:bookmarkEnd w:id="34"/>
    </w:p>
    <w:p w14:paraId="170C73EF">
      <w:pPr>
        <w:jc w:val="center"/>
        <w:outlineLvl w:val="1"/>
        <w:rPr>
          <w:rFonts w:ascii="仿宋" w:hAnsi="仿宋" w:eastAsia="仿宋" w:cs="仿宋"/>
          <w:b/>
          <w:color w:val="auto"/>
          <w:sz w:val="28"/>
          <w:szCs w:val="28"/>
          <w:highlight w:val="none"/>
          <w:lang w:eastAsia="zh-CN"/>
        </w:rPr>
      </w:pPr>
      <w:bookmarkStart w:id="35" w:name="_Toc469495733"/>
      <w:bookmarkStart w:id="36" w:name="_Toc362983802"/>
      <w:bookmarkStart w:id="37" w:name="_Toc267320058"/>
      <w:bookmarkStart w:id="38" w:name="_Toc363135205"/>
      <w:r>
        <w:rPr>
          <w:rFonts w:hint="eastAsia" w:ascii="仿宋" w:hAnsi="仿宋" w:eastAsia="仿宋" w:cs="仿宋"/>
          <w:b/>
          <w:color w:val="auto"/>
          <w:sz w:val="28"/>
          <w:szCs w:val="28"/>
          <w:highlight w:val="none"/>
          <w:lang w:eastAsia="zh-CN"/>
        </w:rPr>
        <w:t>一  总  则</w:t>
      </w:r>
    </w:p>
    <w:p w14:paraId="1DC34A19">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1、一般规定</w:t>
      </w:r>
    </w:p>
    <w:p w14:paraId="7724478B">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1.1本项目的招标按照《中华人民共和国政府采购法》、《政府采购货物和服务招标投标管理办法》及政府采购的有关规定进行。</w:t>
      </w:r>
    </w:p>
    <w:p w14:paraId="7F19B8A5">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1.2评标必须遵循邀请、公平、公正、诚实信用的原则。</w:t>
      </w:r>
    </w:p>
    <w:p w14:paraId="41C3C181">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1.3招标代理机构组织招标、开标、评标工作，全过程接受政府采购有关部门的监督、管理和指导。</w:t>
      </w:r>
    </w:p>
    <w:p w14:paraId="5A216AC0">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1.4评标按照招标文件规定的内容进行，采取符合招标文件要求的</w:t>
      </w:r>
      <w:r>
        <w:rPr>
          <w:rFonts w:hint="eastAsia" w:ascii="仿宋" w:hAnsi="仿宋" w:eastAsia="仿宋" w:cs="仿宋"/>
          <w:color w:val="auto"/>
          <w:highlight w:val="none"/>
          <w:lang w:eastAsia="zh-CN"/>
        </w:rPr>
        <w:t>综合评分法</w:t>
      </w:r>
      <w:r>
        <w:rPr>
          <w:rFonts w:hint="eastAsia" w:ascii="仿宋" w:hAnsi="仿宋" w:eastAsia="仿宋" w:cs="仿宋"/>
          <w:color w:val="auto"/>
          <w:szCs w:val="21"/>
          <w:highlight w:val="none"/>
          <w:lang w:eastAsia="zh-CN"/>
        </w:rPr>
        <w:t>；</w:t>
      </w:r>
    </w:p>
    <w:p w14:paraId="6F9100A0">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1.5本办法的评标对象是指供应商按照招标文件要求提供的有效投标文件，包括供应商应评标委员会要求对原投标文件作出的正式书面澄清文件。</w:t>
      </w:r>
    </w:p>
    <w:p w14:paraId="07B19033">
      <w:pPr>
        <w:keepNext w:val="0"/>
        <w:keepLines w:val="0"/>
        <w:pageBreakBefore w:val="0"/>
        <w:tabs>
          <w:tab w:val="left" w:pos="567"/>
          <w:tab w:val="left" w:pos="1145"/>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2、评标组织机构的组成</w:t>
      </w:r>
    </w:p>
    <w:p w14:paraId="2A0BE879">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2.1</w:t>
      </w:r>
      <w:r>
        <w:rPr>
          <w:rFonts w:hint="eastAsia" w:ascii="仿宋" w:hAnsi="仿宋" w:eastAsia="仿宋" w:cs="仿宋"/>
          <w:color w:val="auto"/>
          <w:spacing w:val="-2"/>
          <w:highlight w:val="none"/>
          <w:lang w:eastAsia="zh-CN"/>
        </w:rPr>
        <w:t xml:space="preserve"> 评标委员会由采购人代表</w:t>
      </w:r>
      <w:r>
        <w:rPr>
          <w:rFonts w:hint="eastAsia" w:ascii="仿宋" w:hAnsi="仿宋" w:eastAsia="仿宋" w:cs="仿宋"/>
          <w:color w:val="auto"/>
          <w:spacing w:val="-2"/>
          <w:highlight w:val="none"/>
          <w:lang w:val="en-US" w:eastAsia="zh-CN"/>
        </w:rPr>
        <w:t>1</w:t>
      </w:r>
      <w:r>
        <w:rPr>
          <w:rFonts w:hint="eastAsia" w:ascii="仿宋" w:hAnsi="仿宋" w:eastAsia="仿宋" w:cs="仿宋"/>
          <w:color w:val="auto"/>
          <w:spacing w:val="-2"/>
          <w:highlight w:val="none"/>
          <w:lang w:eastAsia="zh-CN"/>
        </w:rPr>
        <w:t>人和有关技术、经济等方面的专家</w:t>
      </w:r>
      <w:r>
        <w:rPr>
          <w:rFonts w:hint="eastAsia" w:ascii="仿宋" w:hAnsi="仿宋" w:eastAsia="仿宋" w:cs="仿宋"/>
          <w:color w:val="auto"/>
          <w:spacing w:val="-2"/>
          <w:highlight w:val="none"/>
          <w:lang w:val="en-US" w:eastAsia="zh-CN"/>
        </w:rPr>
        <w:t>4</w:t>
      </w:r>
      <w:r>
        <w:rPr>
          <w:rFonts w:hint="eastAsia" w:ascii="仿宋" w:hAnsi="仿宋" w:eastAsia="仿宋" w:cs="仿宋"/>
          <w:color w:val="auto"/>
          <w:spacing w:val="-2"/>
          <w:highlight w:val="none"/>
          <w:lang w:eastAsia="zh-CN"/>
        </w:rPr>
        <w:t>人组成，成员人数为</w:t>
      </w:r>
      <w:r>
        <w:rPr>
          <w:rFonts w:hint="eastAsia" w:ascii="仿宋" w:hAnsi="仿宋" w:eastAsia="仿宋" w:cs="仿宋"/>
          <w:color w:val="auto"/>
          <w:spacing w:val="-2"/>
          <w:highlight w:val="none"/>
          <w:lang w:val="en-US" w:eastAsia="zh-CN"/>
        </w:rPr>
        <w:t>5</w:t>
      </w:r>
      <w:r>
        <w:rPr>
          <w:rFonts w:hint="eastAsia" w:ascii="仿宋" w:hAnsi="仿宋" w:eastAsia="仿宋" w:cs="仿宋"/>
          <w:color w:val="auto"/>
          <w:spacing w:val="-2"/>
          <w:highlight w:val="none"/>
          <w:lang w:eastAsia="zh-CN"/>
        </w:rPr>
        <w:t>人。</w:t>
      </w:r>
      <w:r>
        <w:rPr>
          <w:rFonts w:hint="eastAsia" w:ascii="仿宋" w:hAnsi="仿宋" w:eastAsia="仿宋" w:cs="仿宋"/>
          <w:color w:val="auto"/>
          <w:szCs w:val="21"/>
          <w:highlight w:val="none"/>
          <w:lang w:eastAsia="zh-CN" w:bidi="ar-SA"/>
        </w:rPr>
        <w:t>其中，技术、经济等方面的专家不得少于成员总数的三分之二。采购数额在1000万元以上、技术复杂的项目，评标委员会中技术、经济方面的专家人数应当为</w:t>
      </w:r>
      <w:r>
        <w:rPr>
          <w:rFonts w:hint="eastAsia" w:ascii="仿宋" w:hAnsi="仿宋" w:eastAsia="仿宋" w:cs="仿宋"/>
          <w:color w:val="auto"/>
          <w:szCs w:val="21"/>
          <w:highlight w:val="none"/>
          <w:lang w:val="en-US" w:eastAsia="zh-CN" w:bidi="ar-SA"/>
        </w:rPr>
        <w:t>7</w:t>
      </w:r>
      <w:r>
        <w:rPr>
          <w:rFonts w:hint="eastAsia" w:ascii="仿宋" w:hAnsi="仿宋" w:eastAsia="仿宋" w:cs="仿宋"/>
          <w:color w:val="auto"/>
          <w:szCs w:val="21"/>
          <w:highlight w:val="none"/>
          <w:lang w:eastAsia="zh-CN" w:bidi="ar-SA"/>
        </w:rPr>
        <w:t>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536CCF2E">
      <w:pPr>
        <w:keepNext w:val="0"/>
        <w:keepLines w:val="0"/>
        <w:pageBreakBefore w:val="0"/>
        <w:tabs>
          <w:tab w:val="left" w:pos="567"/>
          <w:tab w:val="left" w:pos="1145"/>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2.2评标工作组由招标人及有关专家组成，由评标委员会确认，并接受其领导。</w:t>
      </w:r>
    </w:p>
    <w:p w14:paraId="1DEF2C4E">
      <w:pPr>
        <w:keepNext w:val="0"/>
        <w:keepLines w:val="0"/>
        <w:pageBreakBefore w:val="0"/>
        <w:tabs>
          <w:tab w:val="left" w:pos="567"/>
          <w:tab w:val="left" w:pos="1145"/>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2.3评标委员会应相对独立工作，负责评标、撰写技术、商务评标报告。采购代理机构负责评标过程中资料的保管、发放、回收，整理、汇总评标资料。</w:t>
      </w:r>
    </w:p>
    <w:p w14:paraId="7C2138B0">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3、评标委员会职责</w:t>
      </w:r>
    </w:p>
    <w:p w14:paraId="6F5E6670">
      <w:pPr>
        <w:pStyle w:val="43"/>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3.1审查投标文件是否符合招标文件要求，并作出评价；</w:t>
      </w:r>
    </w:p>
    <w:p w14:paraId="3E1096FC">
      <w:pPr>
        <w:pStyle w:val="43"/>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3.2要求供应商对投标文件有关事项作出解释或者澄清；</w:t>
      </w:r>
    </w:p>
    <w:p w14:paraId="4C7FFE16">
      <w:pPr>
        <w:pStyle w:val="43"/>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3.3推荐中标候选人名单；</w:t>
      </w:r>
    </w:p>
    <w:p w14:paraId="6A6AF62B">
      <w:pPr>
        <w:pStyle w:val="43"/>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3.4向招标人、招标代理机构或者有关部门报告非法干预评标工作的行为。</w:t>
      </w:r>
    </w:p>
    <w:p w14:paraId="66D93BE6">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4、评标委员会义务</w:t>
      </w:r>
    </w:p>
    <w:p w14:paraId="1CBFA421">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4.1遵纪守法，客观、公正、廉洁地履行职责；</w:t>
      </w:r>
    </w:p>
    <w:p w14:paraId="29013265">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4.2按照招标文件规定的评标方法和评标标准进行评标，对评审意见承担个人责任；</w:t>
      </w:r>
    </w:p>
    <w:p w14:paraId="47BE3388">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4.3对评标过程和结果，以及供应商的商业秘密保密；</w:t>
      </w:r>
    </w:p>
    <w:p w14:paraId="483AF8F2">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4.4参与评标报告的起草；</w:t>
      </w:r>
    </w:p>
    <w:p w14:paraId="43397FCE">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4.5配合有关部门的投诉处理工作；</w:t>
      </w:r>
    </w:p>
    <w:p w14:paraId="15051CDC">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4.6配合招标人、招标代理机构答复投标供应商提出的质疑。</w:t>
      </w:r>
    </w:p>
    <w:p w14:paraId="78E5EB45">
      <w:pPr>
        <w:keepNext w:val="0"/>
        <w:keepLines w:val="0"/>
        <w:pageBreakBefore w:val="0"/>
        <w:tabs>
          <w:tab w:val="left" w:pos="1547"/>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 评标程序</w:t>
      </w:r>
    </w:p>
    <w:p w14:paraId="23438518">
      <w:pPr>
        <w:pStyle w:val="20"/>
        <w:keepNext w:val="0"/>
        <w:keepLines w:val="0"/>
        <w:pageBreakBefore w:val="0"/>
        <w:tabs>
          <w:tab w:val="left" w:pos="720"/>
          <w:tab w:val="clear" w:pos="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bCs/>
          <w:color w:val="auto"/>
          <w:szCs w:val="21"/>
          <w:highlight w:val="none"/>
          <w:lang w:eastAsia="zh-CN" w:bidi="ar-SA"/>
        </w:rPr>
      </w:pPr>
      <w:r>
        <w:rPr>
          <w:rFonts w:hint="eastAsia" w:ascii="仿宋" w:hAnsi="仿宋" w:eastAsia="仿宋" w:cs="仿宋"/>
          <w:bCs/>
          <w:color w:val="auto"/>
          <w:szCs w:val="21"/>
          <w:highlight w:val="none"/>
          <w:lang w:eastAsia="zh-CN" w:bidi="ar-SA"/>
        </w:rPr>
        <w:t>5.1本次评标首先由评标委员会对供应商的投标文件进行初审，对未能通过初审的投标文件作无效标处理；</w:t>
      </w:r>
    </w:p>
    <w:p w14:paraId="35377D70">
      <w:pPr>
        <w:keepNext w:val="0"/>
        <w:keepLines w:val="0"/>
        <w:pageBreakBefore w:val="0"/>
        <w:tabs>
          <w:tab w:val="left" w:pos="72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5.2对通过初审的供应商的投标文件进行详细的比较和评价。如需要，进行必要的澄清工作；</w:t>
      </w:r>
    </w:p>
    <w:p w14:paraId="278FBF64">
      <w:pPr>
        <w:keepNext w:val="0"/>
        <w:keepLines w:val="0"/>
        <w:pageBreakBefore w:val="0"/>
        <w:widowControl/>
        <w:kinsoku/>
        <w:wordWrap/>
        <w:overflowPunct/>
        <w:topLinePunct w:val="0"/>
        <w:autoSpaceDE/>
        <w:autoSpaceDN/>
        <w:bidi w:val="0"/>
        <w:adjustRightInd/>
        <w:snapToGrid/>
        <w:spacing w:line="380" w:lineRule="exact"/>
        <w:ind w:firstLine="482"/>
        <w:textAlignment w:val="auto"/>
        <w:rPr>
          <w:rFonts w:ascii="仿宋" w:hAnsi="仿宋" w:eastAsia="仿宋" w:cs="仿宋"/>
          <w:b/>
          <w:bCs/>
          <w:color w:val="auto"/>
          <w:sz w:val="36"/>
          <w:szCs w:val="36"/>
          <w:highlight w:val="none"/>
          <w:lang w:eastAsia="zh-CN" w:bidi="ar-SA"/>
        </w:rPr>
      </w:pPr>
      <w:r>
        <w:rPr>
          <w:rFonts w:hint="eastAsia" w:ascii="仿宋" w:hAnsi="仿宋" w:eastAsia="仿宋" w:cs="仿宋"/>
          <w:color w:val="auto"/>
          <w:szCs w:val="21"/>
          <w:highlight w:val="none"/>
          <w:lang w:eastAsia="zh-CN" w:bidi="ar-SA"/>
        </w:rPr>
        <w:t>5.3依据评分标准以及各项权值，各位评委单独就每个供应商的投标文件进行价格、技术、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1D6707E3">
      <w:pPr>
        <w:jc w:val="center"/>
        <w:outlineLvl w:val="1"/>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  投标文件初审</w:t>
      </w:r>
      <w:bookmarkEnd w:id="35"/>
      <w:bookmarkEnd w:id="36"/>
    </w:p>
    <w:p w14:paraId="392729CB">
      <w:pPr>
        <w:spacing w:line="40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6.资格性审查:</w:t>
      </w:r>
    </w:p>
    <w:p w14:paraId="6C8DA107">
      <w:pPr>
        <w:spacing w:line="400" w:lineRule="exact"/>
        <w:ind w:firstLine="356"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.1评审细则</w:t>
      </w:r>
    </w:p>
    <w:p w14:paraId="0E26A8C2">
      <w:pPr>
        <w:spacing w:line="400" w:lineRule="exact"/>
        <w:ind w:firstLine="356" w:firstLineChars="147"/>
        <w:rPr>
          <w:rFonts w:ascii="仿宋" w:hAnsi="仿宋" w:eastAsia="仿宋" w:cs="仿宋"/>
          <w:color w:val="auto"/>
          <w:szCs w:val="21"/>
          <w:highlight w:val="none"/>
        </w:rPr>
      </w:pPr>
    </w:p>
    <w:tbl>
      <w:tblPr>
        <w:tblStyle w:val="25"/>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360"/>
        <w:gridCol w:w="7590"/>
        <w:gridCol w:w="597"/>
        <w:gridCol w:w="568"/>
      </w:tblGrid>
      <w:tr w14:paraId="736B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7" w:type="dxa"/>
            <w:vMerge w:val="restart"/>
            <w:vAlign w:val="center"/>
          </w:tcPr>
          <w:p w14:paraId="0337688A">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7950" w:type="dxa"/>
            <w:gridSpan w:val="2"/>
            <w:vMerge w:val="restart"/>
            <w:vAlign w:val="center"/>
          </w:tcPr>
          <w:p w14:paraId="2545860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165" w:type="dxa"/>
            <w:gridSpan w:val="2"/>
            <w:vAlign w:val="center"/>
          </w:tcPr>
          <w:p w14:paraId="60DC561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23AB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47" w:type="dxa"/>
            <w:vMerge w:val="continue"/>
            <w:vAlign w:val="center"/>
          </w:tcPr>
          <w:p w14:paraId="3B2B61D4">
            <w:pPr>
              <w:rPr>
                <w:rFonts w:ascii="仿宋" w:hAnsi="仿宋" w:eastAsia="仿宋" w:cs="仿宋"/>
                <w:color w:val="auto"/>
                <w:sz w:val="18"/>
                <w:szCs w:val="21"/>
                <w:highlight w:val="none"/>
              </w:rPr>
            </w:pPr>
          </w:p>
        </w:tc>
        <w:tc>
          <w:tcPr>
            <w:tcW w:w="7950" w:type="dxa"/>
            <w:gridSpan w:val="2"/>
            <w:vMerge w:val="continue"/>
          </w:tcPr>
          <w:p w14:paraId="35B9FB90">
            <w:pPr>
              <w:rPr>
                <w:rFonts w:ascii="仿宋" w:hAnsi="仿宋" w:eastAsia="仿宋" w:cs="仿宋"/>
                <w:color w:val="auto"/>
                <w:sz w:val="18"/>
                <w:szCs w:val="21"/>
                <w:highlight w:val="none"/>
              </w:rPr>
            </w:pPr>
          </w:p>
        </w:tc>
        <w:tc>
          <w:tcPr>
            <w:tcW w:w="597" w:type="dxa"/>
            <w:vAlign w:val="center"/>
          </w:tcPr>
          <w:p w14:paraId="1171A863">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568" w:type="dxa"/>
            <w:vAlign w:val="center"/>
          </w:tcPr>
          <w:p w14:paraId="604E1F2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2694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47" w:type="dxa"/>
            <w:vMerge w:val="continue"/>
            <w:vAlign w:val="center"/>
          </w:tcPr>
          <w:p w14:paraId="5589A29B">
            <w:pPr>
              <w:jc w:val="center"/>
              <w:rPr>
                <w:rFonts w:ascii="仿宋" w:hAnsi="仿宋" w:eastAsia="仿宋" w:cs="仿宋"/>
                <w:color w:val="auto"/>
                <w:szCs w:val="21"/>
                <w:highlight w:val="none"/>
                <w:lang w:eastAsia="zh-CN"/>
              </w:rPr>
            </w:pPr>
          </w:p>
        </w:tc>
        <w:tc>
          <w:tcPr>
            <w:tcW w:w="360" w:type="dxa"/>
            <w:vAlign w:val="center"/>
          </w:tcPr>
          <w:p w14:paraId="568BBA4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c>
          <w:tcPr>
            <w:tcW w:w="7590" w:type="dxa"/>
            <w:vAlign w:val="center"/>
          </w:tcPr>
          <w:p w14:paraId="146DD518">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（三证合一）营业执照</w:t>
            </w:r>
          </w:p>
        </w:tc>
        <w:tc>
          <w:tcPr>
            <w:tcW w:w="597" w:type="dxa"/>
          </w:tcPr>
          <w:p w14:paraId="72BD2963">
            <w:pPr>
              <w:rPr>
                <w:rFonts w:ascii="仿宋" w:hAnsi="仿宋" w:eastAsia="仿宋" w:cs="仿宋"/>
                <w:color w:val="auto"/>
                <w:szCs w:val="21"/>
                <w:highlight w:val="none"/>
                <w:lang w:eastAsia="zh-CN"/>
              </w:rPr>
            </w:pPr>
          </w:p>
        </w:tc>
        <w:tc>
          <w:tcPr>
            <w:tcW w:w="568" w:type="dxa"/>
          </w:tcPr>
          <w:p w14:paraId="7A212CAA">
            <w:pPr>
              <w:rPr>
                <w:rFonts w:ascii="仿宋" w:hAnsi="仿宋" w:eastAsia="仿宋" w:cs="仿宋"/>
                <w:color w:val="auto"/>
                <w:szCs w:val="21"/>
                <w:highlight w:val="none"/>
                <w:lang w:eastAsia="zh-CN"/>
              </w:rPr>
            </w:pPr>
          </w:p>
        </w:tc>
      </w:tr>
      <w:tr w14:paraId="4A6C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47" w:type="dxa"/>
            <w:vMerge w:val="continue"/>
            <w:vAlign w:val="center"/>
          </w:tcPr>
          <w:p w14:paraId="6844CC0E">
            <w:pPr>
              <w:rPr>
                <w:rFonts w:ascii="仿宋" w:hAnsi="仿宋" w:eastAsia="仿宋" w:cs="仿宋"/>
                <w:color w:val="auto"/>
                <w:highlight w:val="none"/>
                <w:lang w:eastAsia="zh-CN"/>
              </w:rPr>
            </w:pPr>
          </w:p>
        </w:tc>
        <w:tc>
          <w:tcPr>
            <w:tcW w:w="360" w:type="dxa"/>
            <w:vAlign w:val="center"/>
          </w:tcPr>
          <w:p w14:paraId="6EFE5DB9">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7590" w:type="dxa"/>
            <w:vAlign w:val="center"/>
          </w:tcPr>
          <w:p w14:paraId="535556C0">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法定代表人投标需提供法定代表人资格证明书，委托代理人投标需提供法定代表人授权委托书</w:t>
            </w:r>
          </w:p>
        </w:tc>
        <w:tc>
          <w:tcPr>
            <w:tcW w:w="597" w:type="dxa"/>
          </w:tcPr>
          <w:p w14:paraId="747CBCF4">
            <w:pPr>
              <w:rPr>
                <w:rFonts w:ascii="仿宋" w:hAnsi="仿宋" w:eastAsia="仿宋" w:cs="仿宋"/>
                <w:color w:val="auto"/>
                <w:szCs w:val="21"/>
                <w:highlight w:val="none"/>
                <w:lang w:eastAsia="zh-CN"/>
              </w:rPr>
            </w:pPr>
          </w:p>
        </w:tc>
        <w:tc>
          <w:tcPr>
            <w:tcW w:w="568" w:type="dxa"/>
          </w:tcPr>
          <w:p w14:paraId="0922992D">
            <w:pPr>
              <w:rPr>
                <w:rFonts w:ascii="仿宋" w:hAnsi="仿宋" w:eastAsia="仿宋" w:cs="仿宋"/>
                <w:color w:val="auto"/>
                <w:szCs w:val="21"/>
                <w:highlight w:val="none"/>
                <w:lang w:eastAsia="zh-CN"/>
              </w:rPr>
            </w:pPr>
          </w:p>
        </w:tc>
      </w:tr>
      <w:tr w14:paraId="6953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47" w:type="dxa"/>
            <w:vMerge w:val="continue"/>
            <w:vAlign w:val="center"/>
          </w:tcPr>
          <w:p w14:paraId="7D810758">
            <w:pPr>
              <w:rPr>
                <w:rFonts w:ascii="仿宋" w:hAnsi="仿宋" w:eastAsia="仿宋" w:cs="仿宋"/>
                <w:color w:val="auto"/>
                <w:highlight w:val="none"/>
                <w:lang w:eastAsia="zh-CN"/>
              </w:rPr>
            </w:pPr>
          </w:p>
        </w:tc>
        <w:tc>
          <w:tcPr>
            <w:tcW w:w="360" w:type="dxa"/>
            <w:vAlign w:val="center"/>
          </w:tcPr>
          <w:p w14:paraId="3B098E6E">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7590" w:type="dxa"/>
            <w:vAlign w:val="center"/>
          </w:tcPr>
          <w:p w14:paraId="7A34A042">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97" w:type="dxa"/>
          </w:tcPr>
          <w:p w14:paraId="43641F33">
            <w:pPr>
              <w:rPr>
                <w:rFonts w:ascii="仿宋" w:hAnsi="仿宋" w:eastAsia="仿宋" w:cs="仿宋"/>
                <w:color w:val="auto"/>
                <w:szCs w:val="21"/>
                <w:highlight w:val="none"/>
                <w:lang w:eastAsia="zh-CN"/>
              </w:rPr>
            </w:pPr>
          </w:p>
        </w:tc>
        <w:tc>
          <w:tcPr>
            <w:tcW w:w="568" w:type="dxa"/>
          </w:tcPr>
          <w:p w14:paraId="207C1BC5">
            <w:pPr>
              <w:rPr>
                <w:rFonts w:ascii="仿宋" w:hAnsi="仿宋" w:eastAsia="仿宋" w:cs="仿宋"/>
                <w:color w:val="auto"/>
                <w:szCs w:val="21"/>
                <w:highlight w:val="none"/>
                <w:lang w:eastAsia="zh-CN"/>
              </w:rPr>
            </w:pPr>
          </w:p>
        </w:tc>
      </w:tr>
      <w:tr w14:paraId="74A8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47" w:type="dxa"/>
            <w:vMerge w:val="continue"/>
            <w:vAlign w:val="center"/>
          </w:tcPr>
          <w:p w14:paraId="444A6E8F">
            <w:pPr>
              <w:rPr>
                <w:rFonts w:ascii="仿宋" w:hAnsi="仿宋" w:eastAsia="仿宋" w:cs="仿宋"/>
                <w:color w:val="auto"/>
                <w:highlight w:val="none"/>
                <w:lang w:eastAsia="zh-CN"/>
              </w:rPr>
            </w:pPr>
          </w:p>
        </w:tc>
        <w:tc>
          <w:tcPr>
            <w:tcW w:w="360" w:type="dxa"/>
            <w:vAlign w:val="center"/>
          </w:tcPr>
          <w:p w14:paraId="2DB887E8">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590" w:type="dxa"/>
            <w:vAlign w:val="center"/>
          </w:tcPr>
          <w:p w14:paraId="39BE5713">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投标保证金缴纳凭证或投标担保函</w:t>
            </w:r>
          </w:p>
        </w:tc>
        <w:tc>
          <w:tcPr>
            <w:tcW w:w="597" w:type="dxa"/>
          </w:tcPr>
          <w:p w14:paraId="01880E74">
            <w:pPr>
              <w:rPr>
                <w:rFonts w:ascii="仿宋" w:hAnsi="仿宋" w:eastAsia="仿宋" w:cs="仿宋"/>
                <w:color w:val="auto"/>
                <w:szCs w:val="21"/>
                <w:highlight w:val="none"/>
                <w:lang w:eastAsia="zh-CN"/>
              </w:rPr>
            </w:pPr>
          </w:p>
        </w:tc>
        <w:tc>
          <w:tcPr>
            <w:tcW w:w="568" w:type="dxa"/>
          </w:tcPr>
          <w:p w14:paraId="66B7E0AB">
            <w:pPr>
              <w:rPr>
                <w:rFonts w:ascii="仿宋" w:hAnsi="仿宋" w:eastAsia="仿宋" w:cs="仿宋"/>
                <w:color w:val="auto"/>
                <w:szCs w:val="21"/>
                <w:highlight w:val="none"/>
                <w:lang w:eastAsia="zh-CN"/>
              </w:rPr>
            </w:pPr>
          </w:p>
        </w:tc>
      </w:tr>
      <w:tr w14:paraId="4DA7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47" w:type="dxa"/>
            <w:vMerge w:val="continue"/>
            <w:vAlign w:val="center"/>
          </w:tcPr>
          <w:p w14:paraId="66F15E7E">
            <w:pPr>
              <w:rPr>
                <w:rFonts w:ascii="仿宋" w:hAnsi="仿宋" w:eastAsia="仿宋" w:cs="仿宋"/>
                <w:color w:val="auto"/>
                <w:highlight w:val="none"/>
                <w:lang w:eastAsia="zh-CN"/>
              </w:rPr>
            </w:pPr>
          </w:p>
        </w:tc>
        <w:tc>
          <w:tcPr>
            <w:tcW w:w="360" w:type="dxa"/>
            <w:vAlign w:val="center"/>
          </w:tcPr>
          <w:p w14:paraId="3F4A3E73">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7590" w:type="dxa"/>
            <w:vAlign w:val="center"/>
          </w:tcPr>
          <w:p w14:paraId="4BE1A779">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投标企业须提供投标人（被授权在职人员）近6个月内任意一个月有效的社保证明</w:t>
            </w:r>
          </w:p>
        </w:tc>
        <w:tc>
          <w:tcPr>
            <w:tcW w:w="597" w:type="dxa"/>
          </w:tcPr>
          <w:p w14:paraId="1F96FBD5">
            <w:pPr>
              <w:rPr>
                <w:rFonts w:ascii="仿宋" w:hAnsi="仿宋" w:eastAsia="仿宋" w:cs="仿宋"/>
                <w:color w:val="auto"/>
                <w:szCs w:val="21"/>
                <w:highlight w:val="none"/>
                <w:lang w:eastAsia="zh-CN"/>
              </w:rPr>
            </w:pPr>
          </w:p>
        </w:tc>
        <w:tc>
          <w:tcPr>
            <w:tcW w:w="568" w:type="dxa"/>
          </w:tcPr>
          <w:p w14:paraId="7C364312">
            <w:pPr>
              <w:rPr>
                <w:rFonts w:ascii="仿宋" w:hAnsi="仿宋" w:eastAsia="仿宋" w:cs="仿宋"/>
                <w:color w:val="auto"/>
                <w:szCs w:val="21"/>
                <w:highlight w:val="none"/>
                <w:lang w:eastAsia="zh-CN"/>
              </w:rPr>
            </w:pPr>
          </w:p>
        </w:tc>
      </w:tr>
      <w:tr w14:paraId="4B1B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47" w:type="dxa"/>
            <w:vMerge w:val="continue"/>
            <w:vAlign w:val="center"/>
          </w:tcPr>
          <w:p w14:paraId="169E9CA9">
            <w:pPr>
              <w:jc w:val="center"/>
              <w:rPr>
                <w:rFonts w:ascii="仿宋" w:hAnsi="仿宋" w:eastAsia="仿宋" w:cs="仿宋"/>
                <w:color w:val="auto"/>
                <w:szCs w:val="21"/>
                <w:highlight w:val="none"/>
                <w:lang w:eastAsia="zh-CN"/>
              </w:rPr>
            </w:pPr>
          </w:p>
        </w:tc>
        <w:tc>
          <w:tcPr>
            <w:tcW w:w="360" w:type="dxa"/>
          </w:tcPr>
          <w:p w14:paraId="561C9D0F">
            <w:pPr>
              <w:spacing w:line="440" w:lineRule="exact"/>
              <w:rPr>
                <w:rFonts w:ascii="仿宋" w:hAnsi="仿宋" w:eastAsia="仿宋" w:cs="仿宋"/>
                <w:color w:val="auto"/>
                <w:szCs w:val="21"/>
                <w:highlight w:val="none"/>
                <w:lang w:eastAsia="zh-CN"/>
              </w:rPr>
            </w:pPr>
          </w:p>
        </w:tc>
        <w:tc>
          <w:tcPr>
            <w:tcW w:w="7590" w:type="dxa"/>
          </w:tcPr>
          <w:p w14:paraId="12AB703D">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1EBC868C">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165" w:type="dxa"/>
            <w:gridSpan w:val="2"/>
          </w:tcPr>
          <w:p w14:paraId="146FA5B8">
            <w:pPr>
              <w:rPr>
                <w:rFonts w:ascii="仿宋" w:hAnsi="仿宋" w:eastAsia="仿宋" w:cs="仿宋"/>
                <w:color w:val="auto"/>
                <w:szCs w:val="21"/>
                <w:highlight w:val="none"/>
                <w:lang w:eastAsia="zh-CN"/>
              </w:rPr>
            </w:pPr>
          </w:p>
        </w:tc>
      </w:tr>
    </w:tbl>
    <w:p w14:paraId="33BC25AE">
      <w:pPr>
        <w:keepNext w:val="0"/>
        <w:keepLines w:val="0"/>
        <w:pageBreakBefore w:val="0"/>
        <w:widowControl w:val="0"/>
        <w:kinsoku/>
        <w:wordWrap/>
        <w:overflowPunct/>
        <w:topLinePunct w:val="0"/>
        <w:autoSpaceDE/>
        <w:autoSpaceDN/>
        <w:bidi w:val="0"/>
        <w:adjustRightInd/>
        <w:snapToGrid/>
        <w:spacing w:line="480" w:lineRule="exact"/>
        <w:ind w:firstLine="585" w:firstLineChars="241"/>
        <w:textAlignment w:val="auto"/>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788AC400">
      <w:pPr>
        <w:pStyle w:val="31"/>
        <w:rPr>
          <w:rFonts w:hint="eastAsia" w:ascii="仿宋" w:hAnsi="仿宋" w:eastAsia="仿宋" w:cs="仿宋"/>
          <w:b/>
          <w:color w:val="auto"/>
          <w:szCs w:val="21"/>
          <w:highlight w:val="none"/>
          <w:lang w:eastAsia="zh-CN"/>
        </w:rPr>
      </w:pPr>
    </w:p>
    <w:p w14:paraId="733D7293">
      <w:pPr>
        <w:keepNext w:val="0"/>
        <w:keepLines w:val="0"/>
        <w:pageBreakBefore w:val="0"/>
        <w:widowControl w:val="0"/>
        <w:kinsoku/>
        <w:wordWrap/>
        <w:overflowPunct/>
        <w:topLinePunct w:val="0"/>
        <w:autoSpaceDE/>
        <w:autoSpaceDN/>
        <w:bidi w:val="0"/>
        <w:adjustRightInd/>
        <w:snapToGrid/>
        <w:spacing w:beforeLines="50" w:line="480" w:lineRule="exact"/>
        <w:ind w:firstLine="356" w:firstLineChars="147"/>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7</w:t>
      </w:r>
      <w:r>
        <w:rPr>
          <w:rFonts w:hint="eastAsia" w:ascii="仿宋" w:hAnsi="仿宋" w:eastAsia="仿宋" w:cs="仿宋"/>
          <w:b/>
          <w:color w:val="auto"/>
          <w:szCs w:val="21"/>
          <w:highlight w:val="none"/>
        </w:rPr>
        <w:t>.符合性审查</w:t>
      </w:r>
    </w:p>
    <w:p w14:paraId="217275FD">
      <w:pPr>
        <w:keepNext w:val="0"/>
        <w:keepLines w:val="0"/>
        <w:pageBreakBefore w:val="0"/>
        <w:widowControl w:val="0"/>
        <w:kinsoku/>
        <w:wordWrap/>
        <w:overflowPunct/>
        <w:topLinePunct w:val="0"/>
        <w:autoSpaceDE/>
        <w:autoSpaceDN/>
        <w:bidi w:val="0"/>
        <w:adjustRightInd/>
        <w:snapToGrid/>
        <w:spacing w:line="480" w:lineRule="exact"/>
        <w:ind w:firstLine="364" w:firstLineChars="15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．1评审细则</w:t>
      </w:r>
    </w:p>
    <w:tbl>
      <w:tblPr>
        <w:tblStyle w:val="25"/>
        <w:tblpPr w:leftFromText="180" w:rightFromText="180" w:vertAnchor="text" w:horzAnchor="page" w:tblpX="1772" w:tblpY="544"/>
        <w:tblW w:w="89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5"/>
        <w:gridCol w:w="597"/>
        <w:gridCol w:w="6378"/>
        <w:gridCol w:w="749"/>
        <w:gridCol w:w="617"/>
      </w:tblGrid>
      <w:tr w14:paraId="6A815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615" w:type="dxa"/>
            <w:vMerge w:val="restart"/>
            <w:tcBorders>
              <w:top w:val="single" w:color="auto" w:sz="4" w:space="0"/>
              <w:left w:val="single" w:color="auto" w:sz="4" w:space="0"/>
            </w:tcBorders>
            <w:vAlign w:val="center"/>
          </w:tcPr>
          <w:p w14:paraId="4A5AA1A8">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03324104">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7786217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68A84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15" w:type="dxa"/>
            <w:vMerge w:val="continue"/>
            <w:tcBorders>
              <w:left w:val="single" w:color="auto" w:sz="4" w:space="0"/>
              <w:bottom w:val="single" w:color="auto" w:sz="4" w:space="0"/>
            </w:tcBorders>
            <w:vAlign w:val="center"/>
          </w:tcPr>
          <w:p w14:paraId="29030D6F">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11E0CBA1">
            <w:pPr>
              <w:spacing w:line="240" w:lineRule="auto"/>
              <w:rPr>
                <w:rFonts w:ascii="仿宋" w:hAnsi="仿宋" w:eastAsia="仿宋" w:cs="仿宋"/>
                <w:color w:val="auto"/>
                <w:highlight w:val="none"/>
              </w:rPr>
            </w:pPr>
          </w:p>
        </w:tc>
        <w:tc>
          <w:tcPr>
            <w:tcW w:w="749" w:type="dxa"/>
            <w:vAlign w:val="center"/>
          </w:tcPr>
          <w:p w14:paraId="5142178E">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21BC5556">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1137D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615" w:type="dxa"/>
            <w:vMerge w:val="restart"/>
            <w:tcBorders>
              <w:top w:val="single" w:color="auto" w:sz="4" w:space="0"/>
              <w:left w:val="single" w:color="auto" w:sz="4" w:space="0"/>
              <w:right w:val="single" w:color="auto" w:sz="4" w:space="0"/>
            </w:tcBorders>
            <w:vAlign w:val="center"/>
          </w:tcPr>
          <w:p w14:paraId="1CB5AD26">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40E76CC6">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263E9C68">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1B467D8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7C3AB8ED">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0D96F9EC">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报价高于设定的最高限价的。</w:t>
            </w:r>
          </w:p>
        </w:tc>
        <w:tc>
          <w:tcPr>
            <w:tcW w:w="749" w:type="dxa"/>
            <w:tcBorders>
              <w:left w:val="single" w:color="auto" w:sz="4" w:space="0"/>
              <w:right w:val="single" w:color="auto" w:sz="4" w:space="0"/>
            </w:tcBorders>
          </w:tcPr>
          <w:p w14:paraId="2127680D">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43AE6B9E">
            <w:pPr>
              <w:spacing w:line="240" w:lineRule="auto"/>
              <w:jc w:val="center"/>
              <w:rPr>
                <w:rFonts w:ascii="仿宋" w:hAnsi="仿宋" w:eastAsia="仿宋" w:cs="仿宋"/>
                <w:b/>
                <w:color w:val="auto"/>
                <w:szCs w:val="21"/>
                <w:highlight w:val="none"/>
                <w:lang w:eastAsia="zh-CN"/>
              </w:rPr>
            </w:pPr>
          </w:p>
        </w:tc>
      </w:tr>
      <w:tr w14:paraId="503EC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615" w:type="dxa"/>
            <w:vMerge w:val="continue"/>
            <w:tcBorders>
              <w:left w:val="single" w:color="auto" w:sz="4" w:space="0"/>
              <w:right w:val="single" w:color="auto" w:sz="4" w:space="0"/>
            </w:tcBorders>
            <w:vAlign w:val="center"/>
          </w:tcPr>
          <w:p w14:paraId="73A6C09F">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13E96E9F">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24C20D05">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1394A1B5">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1025690F">
            <w:pPr>
              <w:spacing w:line="240" w:lineRule="auto"/>
              <w:rPr>
                <w:rFonts w:ascii="仿宋" w:hAnsi="仿宋" w:eastAsia="仿宋" w:cs="仿宋"/>
                <w:color w:val="auto"/>
                <w:szCs w:val="21"/>
                <w:highlight w:val="none"/>
                <w:lang w:eastAsia="zh-CN"/>
              </w:rPr>
            </w:pPr>
          </w:p>
        </w:tc>
      </w:tr>
      <w:tr w14:paraId="09E89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615" w:type="dxa"/>
            <w:vMerge w:val="continue"/>
            <w:tcBorders>
              <w:left w:val="single" w:color="auto" w:sz="4" w:space="0"/>
              <w:right w:val="single" w:color="auto" w:sz="4" w:space="0"/>
            </w:tcBorders>
            <w:vAlign w:val="center"/>
          </w:tcPr>
          <w:p w14:paraId="042EA07D">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48E67F4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601D00AA">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7B86A245">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0362F496">
            <w:pPr>
              <w:spacing w:line="240" w:lineRule="auto"/>
              <w:rPr>
                <w:rFonts w:ascii="仿宋" w:hAnsi="仿宋" w:eastAsia="仿宋" w:cs="仿宋"/>
                <w:color w:val="auto"/>
                <w:szCs w:val="21"/>
                <w:highlight w:val="none"/>
              </w:rPr>
            </w:pPr>
          </w:p>
        </w:tc>
      </w:tr>
      <w:tr w14:paraId="3B63E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615" w:type="dxa"/>
            <w:vMerge w:val="continue"/>
            <w:tcBorders>
              <w:left w:val="single" w:color="auto" w:sz="4" w:space="0"/>
              <w:right w:val="single" w:color="auto" w:sz="4" w:space="0"/>
            </w:tcBorders>
            <w:vAlign w:val="center"/>
          </w:tcPr>
          <w:p w14:paraId="7B6DF0DF">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4653178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1F89F4DC">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投标文件内容齐全、无遗漏。</w:t>
            </w:r>
          </w:p>
        </w:tc>
        <w:tc>
          <w:tcPr>
            <w:tcW w:w="749" w:type="dxa"/>
            <w:tcBorders>
              <w:left w:val="single" w:color="auto" w:sz="4" w:space="0"/>
            </w:tcBorders>
          </w:tcPr>
          <w:p w14:paraId="613AA776">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3304BA12">
            <w:pPr>
              <w:spacing w:line="240" w:lineRule="auto"/>
              <w:rPr>
                <w:rFonts w:ascii="仿宋" w:hAnsi="仿宋" w:eastAsia="仿宋" w:cs="仿宋"/>
                <w:color w:val="auto"/>
                <w:szCs w:val="21"/>
                <w:highlight w:val="none"/>
                <w:lang w:eastAsia="zh-CN"/>
              </w:rPr>
            </w:pPr>
          </w:p>
        </w:tc>
      </w:tr>
      <w:tr w14:paraId="0A4CB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615" w:type="dxa"/>
            <w:vMerge w:val="continue"/>
            <w:tcBorders>
              <w:left w:val="single" w:color="auto" w:sz="4" w:space="0"/>
              <w:right w:val="single" w:color="auto" w:sz="4" w:space="0"/>
            </w:tcBorders>
            <w:vAlign w:val="center"/>
          </w:tcPr>
          <w:p w14:paraId="32E196F4">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26FB36E5">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42D7F144">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对招标文件规定的招标内容全部作出响应。</w:t>
            </w:r>
          </w:p>
        </w:tc>
        <w:tc>
          <w:tcPr>
            <w:tcW w:w="749" w:type="dxa"/>
            <w:tcBorders>
              <w:left w:val="single" w:color="auto" w:sz="4" w:space="0"/>
              <w:bottom w:val="single" w:color="auto" w:sz="4" w:space="0"/>
            </w:tcBorders>
          </w:tcPr>
          <w:p w14:paraId="593D9DF2">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52FA831A">
            <w:pPr>
              <w:spacing w:line="240" w:lineRule="auto"/>
              <w:rPr>
                <w:rFonts w:ascii="仿宋" w:hAnsi="仿宋" w:eastAsia="仿宋" w:cs="仿宋"/>
                <w:color w:val="auto"/>
                <w:szCs w:val="21"/>
                <w:highlight w:val="none"/>
                <w:lang w:eastAsia="zh-CN"/>
              </w:rPr>
            </w:pPr>
          </w:p>
        </w:tc>
      </w:tr>
      <w:tr w14:paraId="458E3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615" w:type="dxa"/>
            <w:vMerge w:val="continue"/>
            <w:tcBorders>
              <w:left w:val="single" w:color="auto" w:sz="4" w:space="0"/>
              <w:right w:val="single" w:color="auto" w:sz="4" w:space="0"/>
            </w:tcBorders>
            <w:vAlign w:val="center"/>
          </w:tcPr>
          <w:p w14:paraId="29D02618">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34172401">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503864B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6F9814A5">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1A27F094">
            <w:pPr>
              <w:spacing w:line="240" w:lineRule="auto"/>
              <w:rPr>
                <w:rFonts w:ascii="仿宋" w:hAnsi="仿宋" w:eastAsia="仿宋" w:cs="仿宋"/>
                <w:color w:val="auto"/>
                <w:szCs w:val="21"/>
                <w:highlight w:val="none"/>
                <w:lang w:eastAsia="zh-CN"/>
              </w:rPr>
            </w:pPr>
          </w:p>
        </w:tc>
      </w:tr>
      <w:tr w14:paraId="3A5FB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615" w:type="dxa"/>
            <w:vMerge w:val="continue"/>
            <w:tcBorders>
              <w:left w:val="single" w:color="auto" w:sz="4" w:space="0"/>
              <w:right w:val="single" w:color="auto" w:sz="4" w:space="0"/>
            </w:tcBorders>
            <w:vAlign w:val="center"/>
          </w:tcPr>
          <w:p w14:paraId="68858CE6">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783A6E30">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127AFA02">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完成期限满足招标文件要求。</w:t>
            </w:r>
          </w:p>
        </w:tc>
        <w:tc>
          <w:tcPr>
            <w:tcW w:w="749" w:type="dxa"/>
            <w:tcBorders>
              <w:top w:val="single" w:color="auto" w:sz="4" w:space="0"/>
              <w:left w:val="single" w:color="auto" w:sz="4" w:space="0"/>
            </w:tcBorders>
          </w:tcPr>
          <w:p w14:paraId="6F135A1C">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066E0285">
            <w:pPr>
              <w:spacing w:line="240" w:lineRule="auto"/>
              <w:rPr>
                <w:rFonts w:ascii="仿宋" w:hAnsi="仿宋" w:eastAsia="仿宋" w:cs="仿宋"/>
                <w:color w:val="auto"/>
                <w:szCs w:val="21"/>
                <w:highlight w:val="none"/>
                <w:lang w:eastAsia="zh-CN"/>
              </w:rPr>
            </w:pPr>
          </w:p>
        </w:tc>
      </w:tr>
      <w:tr w14:paraId="3E869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15" w:type="dxa"/>
            <w:vMerge w:val="continue"/>
            <w:tcBorders>
              <w:left w:val="single" w:color="auto" w:sz="4" w:space="0"/>
              <w:right w:val="single" w:color="auto" w:sz="4" w:space="0"/>
            </w:tcBorders>
            <w:vAlign w:val="center"/>
          </w:tcPr>
          <w:p w14:paraId="381D3500">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23081295">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32826D85">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售后服务满足招标文件要求。</w:t>
            </w:r>
          </w:p>
        </w:tc>
        <w:tc>
          <w:tcPr>
            <w:tcW w:w="749" w:type="dxa"/>
            <w:tcBorders>
              <w:left w:val="single" w:color="auto" w:sz="4" w:space="0"/>
            </w:tcBorders>
          </w:tcPr>
          <w:p w14:paraId="396C24A9">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363E86B">
            <w:pPr>
              <w:spacing w:line="240" w:lineRule="auto"/>
              <w:rPr>
                <w:rFonts w:ascii="仿宋" w:hAnsi="仿宋" w:eastAsia="仿宋" w:cs="仿宋"/>
                <w:color w:val="auto"/>
                <w:szCs w:val="21"/>
                <w:highlight w:val="none"/>
                <w:lang w:eastAsia="zh-CN"/>
              </w:rPr>
            </w:pPr>
          </w:p>
        </w:tc>
      </w:tr>
      <w:tr w14:paraId="6FF8B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615" w:type="dxa"/>
            <w:vMerge w:val="continue"/>
            <w:tcBorders>
              <w:left w:val="single" w:color="auto" w:sz="4" w:space="0"/>
              <w:right w:val="single" w:color="auto" w:sz="4" w:space="0"/>
            </w:tcBorders>
            <w:vAlign w:val="center"/>
          </w:tcPr>
          <w:p w14:paraId="320DED2C">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59AE3699">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1D99E38D">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投标有效期满足招标文件要求。</w:t>
            </w:r>
          </w:p>
        </w:tc>
        <w:tc>
          <w:tcPr>
            <w:tcW w:w="749" w:type="dxa"/>
            <w:tcBorders>
              <w:left w:val="single" w:color="auto" w:sz="4" w:space="0"/>
            </w:tcBorders>
          </w:tcPr>
          <w:p w14:paraId="269B9198">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409DC1F">
            <w:pPr>
              <w:spacing w:line="240" w:lineRule="auto"/>
              <w:rPr>
                <w:rFonts w:ascii="仿宋" w:hAnsi="仿宋" w:eastAsia="仿宋" w:cs="仿宋"/>
                <w:color w:val="auto"/>
                <w:szCs w:val="21"/>
                <w:highlight w:val="none"/>
                <w:lang w:eastAsia="zh-CN"/>
              </w:rPr>
            </w:pPr>
          </w:p>
        </w:tc>
      </w:tr>
      <w:tr w14:paraId="4A2BC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15" w:type="dxa"/>
            <w:vMerge w:val="continue"/>
            <w:tcBorders>
              <w:left w:val="single" w:color="auto" w:sz="4" w:space="0"/>
              <w:right w:val="single" w:color="auto" w:sz="4" w:space="0"/>
            </w:tcBorders>
            <w:vAlign w:val="center"/>
          </w:tcPr>
          <w:p w14:paraId="185AF21D">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6F58EA6B">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168AEE59">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6F903D9C">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CFA04F8">
            <w:pPr>
              <w:spacing w:line="240" w:lineRule="auto"/>
              <w:rPr>
                <w:rFonts w:ascii="仿宋" w:hAnsi="仿宋" w:eastAsia="仿宋" w:cs="仿宋"/>
                <w:color w:val="auto"/>
                <w:szCs w:val="21"/>
                <w:highlight w:val="none"/>
                <w:lang w:eastAsia="zh-CN"/>
              </w:rPr>
            </w:pPr>
          </w:p>
        </w:tc>
      </w:tr>
      <w:tr w14:paraId="5A69D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615" w:type="dxa"/>
            <w:tcBorders>
              <w:left w:val="single" w:color="auto" w:sz="4" w:space="0"/>
              <w:bottom w:val="single" w:color="auto" w:sz="4" w:space="0"/>
              <w:right w:val="single" w:color="auto" w:sz="4" w:space="0"/>
            </w:tcBorders>
            <w:vAlign w:val="center"/>
          </w:tcPr>
          <w:p w14:paraId="667AFAB4">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687DD032">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417EBD1D">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7E43A9E3">
            <w:pPr>
              <w:spacing w:line="240" w:lineRule="auto"/>
              <w:rPr>
                <w:rFonts w:ascii="仿宋" w:hAnsi="仿宋" w:eastAsia="仿宋" w:cs="仿宋"/>
                <w:color w:val="auto"/>
                <w:szCs w:val="21"/>
                <w:highlight w:val="none"/>
                <w:lang w:eastAsia="zh-CN"/>
              </w:rPr>
            </w:pPr>
          </w:p>
        </w:tc>
      </w:tr>
    </w:tbl>
    <w:p w14:paraId="4C2A497E">
      <w:pPr>
        <w:rPr>
          <w:rFonts w:ascii="仿宋" w:hAnsi="仿宋" w:eastAsia="仿宋" w:cs="仿宋"/>
          <w:color w:val="auto"/>
          <w:highlight w:val="none"/>
          <w:lang w:eastAsia="zh-CN"/>
        </w:rPr>
      </w:pPr>
    </w:p>
    <w:p w14:paraId="300F2FF9">
      <w:pPr>
        <w:keepNext w:val="0"/>
        <w:keepLines w:val="0"/>
        <w:pageBreakBefore w:val="0"/>
        <w:widowControl w:val="0"/>
        <w:kinsoku/>
        <w:wordWrap/>
        <w:overflowPunct/>
        <w:topLinePunct w:val="0"/>
        <w:autoSpaceDE/>
        <w:autoSpaceDN/>
        <w:bidi w:val="0"/>
        <w:adjustRightInd/>
        <w:snapToGrid/>
        <w:spacing w:line="42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7.2评委会判定投标文件的响应性只根据投标文件本身的内容，而不寻求外部的证据，但投标有不真实不正确的内容时除外。</w:t>
      </w:r>
    </w:p>
    <w:p w14:paraId="746B11FA">
      <w:pPr>
        <w:keepNext w:val="0"/>
        <w:keepLines w:val="0"/>
        <w:pageBreakBefore w:val="0"/>
        <w:widowControl w:val="0"/>
        <w:kinsoku/>
        <w:wordWrap/>
        <w:overflowPunct/>
        <w:topLinePunct w:val="0"/>
        <w:autoSpaceDE/>
        <w:autoSpaceDN/>
        <w:bidi w:val="0"/>
        <w:adjustRightInd/>
        <w:snapToGrid/>
        <w:spacing w:line="42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7.3如果投标文件实质上没有响应采购文件的要求，评委会将予以拒绝，供应商不得通过修正或撤销不符合要求的偏离或保留，而使其投标成为实质上响应的投标。</w:t>
      </w:r>
    </w:p>
    <w:p w14:paraId="06C62CE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7.4供应商可在现场20分钟内对评标委员会的评审结论提出异议，评标委员会根据采购文件及有关规定对供应商的异议进行复议</w:t>
      </w:r>
    </w:p>
    <w:p w14:paraId="06909019">
      <w:pPr>
        <w:keepNext w:val="0"/>
        <w:keepLines w:val="0"/>
        <w:pageBreakBefore w:val="0"/>
        <w:widowControl w:val="0"/>
        <w:kinsoku/>
        <w:wordWrap/>
        <w:overflowPunct/>
        <w:topLinePunct w:val="0"/>
        <w:autoSpaceDE/>
        <w:autoSpaceDN/>
        <w:bidi w:val="0"/>
        <w:adjustRightInd/>
        <w:snapToGrid/>
        <w:spacing w:line="420" w:lineRule="exact"/>
        <w:ind w:firstLine="607" w:firstLineChars="2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7.5只有通过初审的供应商才能进入下一步评标程序。</w:t>
      </w:r>
    </w:p>
    <w:p w14:paraId="3294558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68CBA318">
      <w:pPr>
        <w:keepNext w:val="0"/>
        <w:keepLines w:val="0"/>
        <w:pageBreakBefore w:val="0"/>
        <w:widowControl w:val="0"/>
        <w:kinsoku/>
        <w:wordWrap/>
        <w:overflowPunct/>
        <w:topLinePunct w:val="0"/>
        <w:autoSpaceDE/>
        <w:autoSpaceDN/>
        <w:bidi w:val="0"/>
        <w:adjustRightInd/>
        <w:snapToGrid/>
        <w:spacing w:beforeLines="50" w:line="420" w:lineRule="exact"/>
        <w:jc w:val="center"/>
        <w:textAlignment w:val="auto"/>
        <w:outlineLvl w:val="1"/>
        <w:rPr>
          <w:rFonts w:ascii="仿宋" w:hAnsi="仿宋" w:eastAsia="仿宋" w:cs="仿宋"/>
          <w:b/>
          <w:color w:val="auto"/>
          <w:highlight w:val="none"/>
          <w:lang w:eastAsia="zh-CN"/>
        </w:rPr>
      </w:pPr>
      <w:bookmarkStart w:id="39" w:name="_Toc362983803"/>
      <w:bookmarkStart w:id="40" w:name="_Toc469495734"/>
      <w:r>
        <w:rPr>
          <w:rFonts w:hint="eastAsia" w:ascii="仿宋" w:hAnsi="仿宋" w:eastAsia="仿宋" w:cs="仿宋"/>
          <w:b/>
          <w:color w:val="auto"/>
          <w:highlight w:val="none"/>
          <w:lang w:eastAsia="zh-CN"/>
        </w:rPr>
        <w:t xml:space="preserve">三 </w:t>
      </w:r>
      <w:r>
        <w:rPr>
          <w:rFonts w:hint="eastAsia" w:ascii="仿宋" w:hAnsi="仿宋" w:eastAsia="仿宋" w:cs="仿宋"/>
          <w:b/>
          <w:color w:val="auto"/>
          <w:sz w:val="28"/>
          <w:szCs w:val="28"/>
          <w:highlight w:val="none"/>
          <w:lang w:eastAsia="zh-CN"/>
        </w:rPr>
        <w:t xml:space="preserve"> </w:t>
      </w:r>
      <w:r>
        <w:rPr>
          <w:rFonts w:hint="eastAsia" w:ascii="仿宋" w:hAnsi="仿宋" w:eastAsia="仿宋" w:cs="仿宋"/>
          <w:b/>
          <w:color w:val="auto"/>
          <w:highlight w:val="none"/>
          <w:lang w:eastAsia="zh-CN"/>
        </w:rPr>
        <w:t>投标文件的澄清和补正</w:t>
      </w:r>
      <w:bookmarkEnd w:id="39"/>
      <w:bookmarkEnd w:id="40"/>
    </w:p>
    <w:p w14:paraId="6E94EAB8">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8．澄清、说明或补正的形式</w:t>
      </w:r>
    </w:p>
    <w:p w14:paraId="09EA4524">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32819E2">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BB556F3">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5BFD5ED">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9．错误修正的原则</w:t>
      </w:r>
    </w:p>
    <w:p w14:paraId="412FAFEC">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5E18B81F">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766E864E">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投标函中表述的内容与报价表中不一致的，以报价表为准；报价表中的内容与报价明细表不一致的，以报价表为准；</w:t>
      </w:r>
    </w:p>
    <w:p w14:paraId="629E001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投标文件中的大写金额和小写金额不一致的，以大写金额为准；</w:t>
      </w:r>
    </w:p>
    <w:p w14:paraId="35A3782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单价金额小数点有明显错位的，以开标一览表的总价为准，并修改单价；</w:t>
      </w:r>
    </w:p>
    <w:p w14:paraId="4397A2A6">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总价金额与按单价汇总金额不一致的，以单价金额计算结果为准；</w:t>
      </w:r>
    </w:p>
    <w:p w14:paraId="4F631FE5">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9.5 若用文字表示的数值与用数字表示的数值不一致，以文字表示的数值为准；</w:t>
      </w:r>
    </w:p>
    <w:p w14:paraId="0E11949A">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9.6 如有多报（指数量超出采购文件需求）、重报（指同一货物重复报价），其投标总价在评标过程中不予调整，如其中标，其合同价按其投标单价予以调整；</w:t>
      </w:r>
    </w:p>
    <w:p w14:paraId="6B0E8EC1">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9.7 对不同文字文本投标文件的解释发生异议的，以中文文本为准；</w:t>
      </w:r>
    </w:p>
    <w:p w14:paraId="7A51B4A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2930FCC">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1"/>
        <w:rPr>
          <w:rFonts w:ascii="仿宋" w:hAnsi="仿宋" w:eastAsia="仿宋" w:cs="仿宋"/>
          <w:b/>
          <w:color w:val="auto"/>
          <w:highlight w:val="none"/>
          <w:lang w:eastAsia="zh-CN"/>
        </w:rPr>
      </w:pPr>
      <w:bookmarkStart w:id="41" w:name="_Toc469495735"/>
      <w:r>
        <w:rPr>
          <w:rFonts w:hint="eastAsia" w:ascii="仿宋" w:hAnsi="仿宋" w:eastAsia="仿宋" w:cs="仿宋"/>
          <w:b/>
          <w:color w:val="auto"/>
          <w:highlight w:val="none"/>
          <w:lang w:eastAsia="zh-CN"/>
        </w:rPr>
        <w:t>四 比较与评价</w:t>
      </w:r>
      <w:bookmarkEnd w:id="41"/>
    </w:p>
    <w:p w14:paraId="0C2AD799">
      <w:pPr>
        <w:keepNext w:val="0"/>
        <w:keepLines w:val="0"/>
        <w:pageBreakBefore w:val="0"/>
        <w:widowControl w:val="0"/>
        <w:tabs>
          <w:tab w:val="left" w:pos="720"/>
        </w:tabs>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bookmarkStart w:id="42" w:name="_Toc362983805"/>
      <w:bookmarkStart w:id="43" w:name="_Toc469495736"/>
      <w:r>
        <w:rPr>
          <w:rFonts w:hint="eastAsia" w:ascii="仿宋" w:hAnsi="仿宋" w:eastAsia="仿宋" w:cs="仿宋"/>
          <w:color w:val="auto"/>
          <w:szCs w:val="21"/>
          <w:highlight w:val="none"/>
          <w:lang w:eastAsia="zh-CN" w:bidi="ar-SA"/>
        </w:rPr>
        <w:t>10.1评标委员会按招标文件中规定的评标方法和标准，对资格性检查和符合性检查合格的投标文件进行商务和技术评估、综合比较与评价。</w:t>
      </w:r>
    </w:p>
    <w:p w14:paraId="5C23AD7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10.2评标委员会根据商务和技术评估的结果，采用综合评分法，分别对投标文件的商务、技术、价格等内容进行打分。其中，商务评估、技术评估、价格评估的评分权值（详见附件1）。</w:t>
      </w:r>
    </w:p>
    <w:p w14:paraId="279610ED">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bCs/>
          <w:color w:val="auto"/>
          <w:szCs w:val="21"/>
          <w:highlight w:val="none"/>
          <w:lang w:eastAsia="zh-CN" w:bidi="ar-SA"/>
        </w:rPr>
      </w:pPr>
      <w:r>
        <w:rPr>
          <w:rFonts w:hint="eastAsia" w:ascii="仿宋" w:hAnsi="仿宋" w:eastAsia="仿宋" w:cs="仿宋"/>
          <w:color w:val="auto"/>
          <w:szCs w:val="21"/>
          <w:highlight w:val="none"/>
          <w:lang w:eastAsia="zh-CN" w:bidi="ar-SA"/>
        </w:rPr>
        <w:t>10.</w:t>
      </w:r>
      <w:r>
        <w:rPr>
          <w:rFonts w:hint="eastAsia" w:ascii="仿宋" w:hAnsi="仿宋" w:eastAsia="仿宋" w:cs="仿宋"/>
          <w:bCs/>
          <w:color w:val="auto"/>
          <w:szCs w:val="21"/>
          <w:highlight w:val="none"/>
          <w:lang w:eastAsia="zh-CN" w:bidi="ar-SA"/>
        </w:rPr>
        <w:t>2.1评委打分办法</w:t>
      </w:r>
    </w:p>
    <w:p w14:paraId="46E19F3A">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bCs/>
          <w:color w:val="auto"/>
          <w:szCs w:val="21"/>
          <w:highlight w:val="none"/>
          <w:lang w:eastAsia="zh-CN" w:bidi="ar-SA"/>
        </w:rPr>
        <w:t>（1）</w:t>
      </w:r>
      <w:r>
        <w:rPr>
          <w:rFonts w:hint="eastAsia" w:ascii="仿宋" w:hAnsi="仿宋" w:eastAsia="仿宋" w:cs="仿宋"/>
          <w:color w:val="auto"/>
          <w:szCs w:val="21"/>
          <w:highlight w:val="none"/>
          <w:lang w:eastAsia="zh-CN" w:bidi="ar-SA"/>
        </w:rPr>
        <w:t>参加评分的评委应尽力体现客观、实事求是，避免学派偏见和个人偏好。</w:t>
      </w:r>
    </w:p>
    <w:p w14:paraId="2447A852">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（2）衡量、对比的依据，应以招标文件、投标文件、提供的正式试验数据、质询澄清中的文字为准，口头回答和收集的资料只作为参考。</w:t>
      </w:r>
    </w:p>
    <w:p w14:paraId="08B006E9">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（3）评分主要是为比较各供应商的价格、商务和技术综合排序。</w:t>
      </w:r>
    </w:p>
    <w:p w14:paraId="17021076">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（4）评委打分采取记名形式。</w:t>
      </w:r>
    </w:p>
    <w:p w14:paraId="2AB7215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（5）各评委根据提供的技术打分表独立自主打分，任何人不得要求评委统一打分或统一确定等次顺序。</w:t>
      </w:r>
    </w:p>
    <w:p w14:paraId="16743E76">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（6）对打分表中的每项条款，各评委应根据投标文件、澄清材料、招标文件要求，按满足的程度给供应商打分。</w:t>
      </w:r>
    </w:p>
    <w:p w14:paraId="5BF7E234">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（7）评分程序</w:t>
      </w:r>
    </w:p>
    <w:p w14:paraId="5E0BBCA1">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1)就供应商的投标文件对照整理出商务、技术评标因素对比表、偏差表，并在经过校核的基础上逐项打分。</w:t>
      </w:r>
    </w:p>
    <w:p w14:paraId="78B27735">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2)各评委独立完成打分后分别提交，由代理机构组织进行分数统计。</w:t>
      </w:r>
    </w:p>
    <w:p w14:paraId="63B8D31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3)最终汇总表中各供应商得分应为评委打分的算术平均值。</w:t>
      </w:r>
    </w:p>
    <w:p w14:paraId="70A3C9A2">
      <w:pPr>
        <w:pStyle w:val="7"/>
        <w:keepNext w:val="0"/>
        <w:keepLines w:val="0"/>
        <w:pageBreakBefore w:val="0"/>
        <w:widowControl w:val="0"/>
        <w:numPr>
          <w:ilvl w:val="0"/>
          <w:numId w:val="7"/>
        </w:numPr>
        <w:kinsoku/>
        <w:wordWrap/>
        <w:overflowPunct/>
        <w:topLinePunct w:val="0"/>
        <w:bidi w:val="0"/>
        <w:snapToGrid/>
        <w:spacing w:line="480" w:lineRule="exact"/>
        <w:jc w:val="left"/>
        <w:textAlignment w:val="auto"/>
        <w:rPr>
          <w:rFonts w:hint="eastAsia" w:ascii="仿宋" w:hAnsi="仿宋" w:eastAsia="仿宋" w:cs="仿宋"/>
          <w:b/>
          <w:bCs/>
          <w:color w:val="auto"/>
          <w:szCs w:val="21"/>
          <w:highlight w:val="none"/>
          <w:lang w:eastAsia="zh-CN" w:bidi="ar-SA"/>
        </w:rPr>
      </w:pPr>
      <w:r>
        <w:rPr>
          <w:rFonts w:hint="eastAsia" w:ascii="仿宋" w:hAnsi="仿宋" w:eastAsia="仿宋" w:cs="仿宋"/>
          <w:b/>
          <w:bCs/>
          <w:color w:val="auto"/>
          <w:szCs w:val="21"/>
          <w:highlight w:val="none"/>
          <w:lang w:eastAsia="zh-CN" w:bidi="ar-SA"/>
        </w:rPr>
        <w:t>评分标准和细则（综合评分法评分标准）</w:t>
      </w:r>
    </w:p>
    <w:p w14:paraId="7D77DE79">
      <w:pPr>
        <w:pStyle w:val="4"/>
        <w:jc w:val="cente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w:t>
      </w:r>
    </w:p>
    <w:tbl>
      <w:tblPr>
        <w:tblStyle w:val="25"/>
        <w:tblW w:w="53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996"/>
        <w:gridCol w:w="7483"/>
      </w:tblGrid>
      <w:tr w14:paraId="4DC2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1" w:type="dxa"/>
            <w:vAlign w:val="center"/>
          </w:tcPr>
          <w:p w14:paraId="140257E5">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评分因素</w:t>
            </w:r>
          </w:p>
        </w:tc>
        <w:tc>
          <w:tcPr>
            <w:tcW w:w="996" w:type="dxa"/>
            <w:vAlign w:val="center"/>
          </w:tcPr>
          <w:p w14:paraId="67C2FAEF">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分值</w:t>
            </w:r>
          </w:p>
        </w:tc>
        <w:tc>
          <w:tcPr>
            <w:tcW w:w="7483" w:type="dxa"/>
            <w:vAlign w:val="center"/>
          </w:tcPr>
          <w:p w14:paraId="4B2B3AE4">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评审标准</w:t>
            </w:r>
          </w:p>
        </w:tc>
      </w:tr>
      <w:tr w14:paraId="43DC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401" w:type="dxa"/>
            <w:vAlign w:val="center"/>
          </w:tcPr>
          <w:p w14:paraId="54BD8B6A">
            <w:pPr>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报价部分</w:t>
            </w:r>
          </w:p>
        </w:tc>
        <w:tc>
          <w:tcPr>
            <w:tcW w:w="996" w:type="dxa"/>
            <w:vAlign w:val="center"/>
          </w:tcPr>
          <w:p w14:paraId="201A1992">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分</w:t>
            </w:r>
          </w:p>
        </w:tc>
        <w:tc>
          <w:tcPr>
            <w:tcW w:w="7483" w:type="dxa"/>
            <w:vAlign w:val="center"/>
          </w:tcPr>
          <w:p w14:paraId="20D24A9F">
            <w:pPr>
              <w:spacing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满足</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文件要求且最后报价最低的报价为</w:t>
            </w:r>
            <w:r>
              <w:rPr>
                <w:rFonts w:hint="eastAsia" w:ascii="仿宋" w:hAnsi="仿宋" w:eastAsia="仿宋" w:cs="仿宋"/>
                <w:color w:val="auto"/>
                <w:sz w:val="24"/>
                <w:szCs w:val="24"/>
                <w:lang w:val="en-US" w:eastAsia="zh-CN"/>
              </w:rPr>
              <w:t>评标</w:t>
            </w:r>
            <w:r>
              <w:rPr>
                <w:rFonts w:hint="eastAsia" w:ascii="仿宋" w:hAnsi="仿宋" w:eastAsia="仿宋" w:cs="仿宋"/>
                <w:color w:val="auto"/>
                <w:sz w:val="24"/>
                <w:szCs w:val="24"/>
              </w:rPr>
              <w:t>基准价，</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报价得分=（</w:t>
            </w:r>
            <w:r>
              <w:rPr>
                <w:rFonts w:hint="eastAsia" w:ascii="仿宋" w:hAnsi="仿宋" w:eastAsia="仿宋" w:cs="仿宋"/>
                <w:color w:val="auto"/>
                <w:sz w:val="24"/>
                <w:szCs w:val="24"/>
                <w:lang w:val="en-US" w:eastAsia="zh-CN"/>
              </w:rPr>
              <w:t>评标</w:t>
            </w:r>
            <w:r>
              <w:rPr>
                <w:rFonts w:hint="eastAsia" w:ascii="仿宋" w:hAnsi="仿宋" w:eastAsia="仿宋" w:cs="仿宋"/>
                <w:color w:val="auto"/>
                <w:sz w:val="24"/>
                <w:szCs w:val="24"/>
                <w:lang w:eastAsia="zh-CN"/>
              </w:rPr>
              <w:t>基准价/</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报价）×价格权值×100</w:t>
            </w:r>
            <w:r>
              <w:rPr>
                <w:rFonts w:hint="eastAsia" w:ascii="仿宋" w:hAnsi="仿宋" w:eastAsia="仿宋" w:cs="仿宋"/>
                <w:color w:val="auto"/>
                <w:sz w:val="24"/>
                <w:szCs w:val="24"/>
                <w:lang w:val="en-US" w:eastAsia="zh-CN"/>
              </w:rPr>
              <w:t>。</w:t>
            </w:r>
          </w:p>
          <w:p w14:paraId="6A1D687D">
            <w:pPr>
              <w:spacing w:line="400" w:lineRule="exact"/>
              <w:jc w:val="left"/>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注：投标报价超过采购预算价的按废标处理</w:t>
            </w:r>
          </w:p>
        </w:tc>
      </w:tr>
      <w:tr w14:paraId="1A79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401" w:type="dxa"/>
            <w:vAlign w:val="center"/>
          </w:tcPr>
          <w:p w14:paraId="2B199370">
            <w:pPr>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类似业绩</w:t>
            </w:r>
          </w:p>
        </w:tc>
        <w:tc>
          <w:tcPr>
            <w:tcW w:w="996" w:type="dxa"/>
            <w:shd w:val="clear" w:color="auto" w:fill="auto"/>
            <w:vAlign w:val="center"/>
          </w:tcPr>
          <w:p w14:paraId="409BCC0B">
            <w:pPr>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2分</w:t>
            </w:r>
          </w:p>
        </w:tc>
        <w:tc>
          <w:tcPr>
            <w:tcW w:w="7483" w:type="dxa"/>
            <w:shd w:val="clear" w:color="auto" w:fill="auto"/>
            <w:vAlign w:val="center"/>
          </w:tcPr>
          <w:p w14:paraId="0AEFAC8F">
            <w:pPr>
              <w:spacing w:line="400" w:lineRule="exact"/>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提供近三年（2022年6月至今）类似业绩，每提供一项加1分，满分2分。</w:t>
            </w:r>
            <w:r>
              <w:rPr>
                <w:rFonts w:hint="default" w:ascii="仿宋" w:hAnsi="仿宋" w:eastAsia="仿宋" w:cs="仿宋"/>
                <w:color w:val="auto"/>
                <w:sz w:val="24"/>
                <w:szCs w:val="24"/>
                <w:lang w:val="en-US" w:eastAsia="zh-CN"/>
              </w:rPr>
              <w:t>(需提供中标通知书</w:t>
            </w:r>
            <w:r>
              <w:rPr>
                <w:rFonts w:hint="eastAsia" w:ascii="仿宋" w:hAnsi="仿宋" w:eastAsia="仿宋" w:cs="仿宋"/>
                <w:color w:val="auto"/>
                <w:sz w:val="24"/>
                <w:szCs w:val="24"/>
                <w:lang w:val="en-US" w:eastAsia="zh-CN"/>
              </w:rPr>
              <w:t>和</w:t>
            </w:r>
            <w:r>
              <w:rPr>
                <w:rFonts w:hint="default" w:ascii="仿宋" w:hAnsi="仿宋" w:eastAsia="仿宋" w:cs="仿宋"/>
                <w:color w:val="auto"/>
                <w:sz w:val="24"/>
                <w:szCs w:val="24"/>
                <w:lang w:val="en-US" w:eastAsia="zh-CN"/>
              </w:rPr>
              <w:t>合同扫描件加盖公章)</w:t>
            </w:r>
            <w:r>
              <w:rPr>
                <w:rFonts w:hint="eastAsia" w:ascii="仿宋" w:hAnsi="仿宋" w:eastAsia="仿宋" w:cs="仿宋"/>
                <w:color w:val="auto"/>
                <w:sz w:val="24"/>
                <w:szCs w:val="24"/>
                <w:lang w:val="en-US" w:eastAsia="zh-CN"/>
              </w:rPr>
              <w:t>证明材料不齐全、字迹不清晰、不提供不得分。</w:t>
            </w:r>
          </w:p>
        </w:tc>
      </w:tr>
      <w:tr w14:paraId="409C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01" w:type="dxa"/>
            <w:vAlign w:val="center"/>
          </w:tcPr>
          <w:p w14:paraId="60549C4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驻场人员</w:t>
            </w:r>
            <w:r>
              <w:rPr>
                <w:rFonts w:hint="default" w:ascii="仿宋" w:hAnsi="仿宋" w:eastAsia="仿宋" w:cs="仿宋"/>
                <w:color w:val="auto"/>
                <w:sz w:val="24"/>
                <w:szCs w:val="24"/>
                <w:lang w:val="en-US" w:eastAsia="zh-CN"/>
              </w:rPr>
              <w:t>配置</w:t>
            </w:r>
          </w:p>
        </w:tc>
        <w:tc>
          <w:tcPr>
            <w:tcW w:w="996" w:type="dxa"/>
            <w:vAlign w:val="center"/>
          </w:tcPr>
          <w:p w14:paraId="5994C708">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6分</w:t>
            </w:r>
          </w:p>
        </w:tc>
        <w:tc>
          <w:tcPr>
            <w:tcW w:w="7483" w:type="dxa"/>
            <w:vAlign w:val="center"/>
          </w:tcPr>
          <w:p w14:paraId="487E0332">
            <w:pPr>
              <w:pStyle w:val="31"/>
              <w:numPr>
                <w:ilvl w:val="0"/>
                <w:numId w:val="0"/>
              </w:numPr>
              <w:ind w:left="0" w:leftChars="0" w:firstLine="0" w:firstLineChars="0"/>
              <w:rPr>
                <w:rFonts w:hint="eastAsia" w:ascii="仿宋" w:hAnsi="仿宋" w:eastAsia="仿宋" w:cs="仿宋"/>
                <w:color w:val="auto"/>
                <w:sz w:val="24"/>
                <w:szCs w:val="24"/>
                <w:lang w:val="en-US" w:eastAsia="zh-CN" w:bidi="en-US"/>
              </w:rPr>
            </w:pPr>
            <w:bookmarkStart w:id="115" w:name="_GoBack"/>
            <w:r>
              <w:rPr>
                <w:rFonts w:hint="eastAsia" w:ascii="仿宋" w:hAnsi="仿宋" w:eastAsia="仿宋" w:cs="仿宋"/>
                <w:color w:val="auto"/>
                <w:sz w:val="24"/>
                <w:szCs w:val="24"/>
                <w:lang w:val="en-US" w:eastAsia="zh-CN" w:bidi="en-US"/>
              </w:rPr>
              <w:t>1.驻场服务人员不少于6人，其中配备2名工程师及以上，得6分；</w:t>
            </w:r>
          </w:p>
          <w:p w14:paraId="724571FC">
            <w:pPr>
              <w:pStyle w:val="31"/>
              <w:ind w:left="0" w:leftChars="0" w:firstLine="0" w:firstLineChars="0"/>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2.驻场服务人员不少于4人，其中配备1名工程师及以上，得4分；3.驻场服务人员不少于2人，得2分；</w:t>
            </w:r>
          </w:p>
          <w:p w14:paraId="31EF9347">
            <w:pPr>
              <w:pStyle w:val="31"/>
              <w:ind w:left="0" w:leftChars="0" w:firstLine="0" w:firstLineChars="0"/>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(证明材料以社保及相关人员证书复印件加盖公章为准，</w:t>
            </w:r>
            <w:r>
              <w:rPr>
                <w:rFonts w:hint="eastAsia" w:ascii="仿宋" w:hAnsi="仿宋" w:eastAsia="仿宋" w:cs="仿宋"/>
                <w:color w:val="auto"/>
                <w:sz w:val="24"/>
                <w:szCs w:val="24"/>
                <w:lang w:val="en-US" w:eastAsia="zh-CN"/>
              </w:rPr>
              <w:t>证明材料不齐全、字迹不清晰、不提供不得分。</w:t>
            </w:r>
            <w:r>
              <w:rPr>
                <w:rFonts w:hint="eastAsia" w:ascii="仿宋" w:hAnsi="仿宋" w:eastAsia="仿宋" w:cs="仿宋"/>
                <w:color w:val="auto"/>
                <w:sz w:val="24"/>
                <w:szCs w:val="24"/>
                <w:lang w:val="en-US" w:eastAsia="zh-CN" w:bidi="en-US"/>
              </w:rPr>
              <w:t>)</w:t>
            </w:r>
            <w:bookmarkEnd w:id="115"/>
          </w:p>
        </w:tc>
      </w:tr>
      <w:tr w14:paraId="3699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401" w:type="dxa"/>
            <w:vAlign w:val="center"/>
          </w:tcPr>
          <w:p w14:paraId="25F0E86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信创能力</w:t>
            </w:r>
          </w:p>
        </w:tc>
        <w:tc>
          <w:tcPr>
            <w:tcW w:w="996" w:type="dxa"/>
            <w:vAlign w:val="center"/>
          </w:tcPr>
          <w:p w14:paraId="2794C542">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12分</w:t>
            </w:r>
          </w:p>
        </w:tc>
        <w:tc>
          <w:tcPr>
            <w:tcW w:w="7483" w:type="dxa"/>
            <w:vAlign w:val="center"/>
          </w:tcPr>
          <w:p w14:paraId="6428A09F">
            <w:pPr>
              <w:numPr>
                <w:ilvl w:val="0"/>
                <w:numId w:val="0"/>
              </w:numPr>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投标企业需提供所投标产品适配国产化操作系统、国产化芯片，数据库，中间件，流式、版式软件的适配认证证书。</w:t>
            </w:r>
          </w:p>
          <w:p w14:paraId="19F9826D">
            <w:pPr>
              <w:numPr>
                <w:ilvl w:val="0"/>
                <w:numId w:val="0"/>
              </w:numPr>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1.每提供1个国产化操作系统、国产化芯片适配证书的得1分，满分3分；</w:t>
            </w:r>
          </w:p>
          <w:p w14:paraId="62079BCA">
            <w:pPr>
              <w:numPr>
                <w:ilvl w:val="0"/>
                <w:numId w:val="0"/>
              </w:numPr>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2.每提供1个国产化数据库适配证书的得1分，满分3分；</w:t>
            </w:r>
          </w:p>
          <w:p w14:paraId="0FE1F34D">
            <w:pPr>
              <w:numPr>
                <w:ilvl w:val="0"/>
                <w:numId w:val="0"/>
              </w:numPr>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3.每提供1个国产化中间件适配证书的得1分，满分3分；</w:t>
            </w:r>
          </w:p>
          <w:p w14:paraId="4B2ABF0F">
            <w:pPr>
              <w:numPr>
                <w:ilvl w:val="0"/>
                <w:numId w:val="0"/>
              </w:numPr>
              <w:rPr>
                <w:rFonts w:hint="default"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4.每提供1个国产化流式、版式软件适配证书的得1分，满分3分；本项共12分。（需提供厂家授权书）</w:t>
            </w:r>
            <w:r>
              <w:rPr>
                <w:rFonts w:hint="eastAsia" w:ascii="仿宋" w:hAnsi="仿宋" w:eastAsia="仿宋" w:cs="仿宋"/>
                <w:color w:val="auto"/>
                <w:sz w:val="24"/>
                <w:szCs w:val="24"/>
                <w:lang w:val="en-US" w:eastAsia="zh-CN"/>
              </w:rPr>
              <w:t>证明材料不齐全、字迹不清晰、不提供不得分</w:t>
            </w:r>
            <w:r>
              <w:rPr>
                <w:rFonts w:hint="eastAsia" w:ascii="仿宋" w:hAnsi="仿宋" w:eastAsia="仿宋" w:cs="仿宋"/>
                <w:color w:val="auto"/>
                <w:sz w:val="24"/>
                <w:szCs w:val="24"/>
                <w:lang w:val="en-US" w:eastAsia="zh-CN" w:bidi="en-US"/>
              </w:rPr>
              <w:t>。</w:t>
            </w:r>
          </w:p>
        </w:tc>
      </w:tr>
      <w:tr w14:paraId="347B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1" w:type="dxa"/>
            <w:vAlign w:val="center"/>
          </w:tcPr>
          <w:p w14:paraId="762BCAC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总体方案</w:t>
            </w:r>
          </w:p>
        </w:tc>
        <w:tc>
          <w:tcPr>
            <w:tcW w:w="996" w:type="dxa"/>
            <w:vAlign w:val="center"/>
          </w:tcPr>
          <w:p w14:paraId="279C38C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24分</w:t>
            </w:r>
          </w:p>
        </w:tc>
        <w:tc>
          <w:tcPr>
            <w:tcW w:w="7483" w:type="dxa"/>
            <w:vAlign w:val="center"/>
          </w:tcPr>
          <w:p w14:paraId="733CEEAC">
            <w:pPr>
              <w:keepNext w:val="0"/>
              <w:keepLines w:val="0"/>
              <w:widowControl/>
              <w:suppressLineNumbers w:val="0"/>
              <w:jc w:val="left"/>
              <w:rPr>
                <w:rFonts w:hint="eastAsia" w:ascii="仿宋" w:hAnsi="仿宋" w:eastAsia="仿宋" w:cs="仿宋"/>
                <w:color w:val="auto"/>
                <w:sz w:val="24"/>
                <w:szCs w:val="24"/>
                <w:lang w:val="en-US" w:eastAsia="zh-CN" w:bidi="en-US"/>
              </w:rPr>
            </w:pPr>
            <w:r>
              <w:rPr>
                <w:rFonts w:hint="eastAsia" w:ascii="仿宋" w:hAnsi="仿宋" w:eastAsia="仿宋"/>
                <w:szCs w:val="21"/>
                <w:lang w:val="en-US" w:eastAsia="zh-CN"/>
              </w:rPr>
              <w:t>投标企业</w:t>
            </w:r>
            <w:r>
              <w:rPr>
                <w:rFonts w:hint="eastAsia" w:ascii="仿宋" w:hAnsi="仿宋" w:eastAsia="仿宋"/>
                <w:szCs w:val="21"/>
              </w:rPr>
              <w:t>针对本项目提</w:t>
            </w:r>
            <w:r>
              <w:rPr>
                <w:rFonts w:hint="eastAsia" w:ascii="仿宋" w:hAnsi="仿宋" w:eastAsia="仿宋"/>
                <w:szCs w:val="21"/>
                <w:lang w:val="en-US" w:eastAsia="zh-CN"/>
              </w:rPr>
              <w:t>出</w:t>
            </w:r>
            <w:r>
              <w:rPr>
                <w:rFonts w:hint="eastAsia" w:ascii="仿宋" w:hAnsi="仿宋" w:eastAsia="仿宋"/>
                <w:szCs w:val="21"/>
              </w:rPr>
              <w:t>相对应的</w:t>
            </w:r>
            <w:r>
              <w:rPr>
                <w:rFonts w:hint="eastAsia" w:ascii="仿宋" w:hAnsi="仿宋" w:eastAsia="仿宋" w:cs="仿宋"/>
                <w:color w:val="auto"/>
                <w:sz w:val="24"/>
                <w:szCs w:val="24"/>
                <w:lang w:val="en-US" w:eastAsia="zh-CN" w:bidi="en-US"/>
              </w:rPr>
              <w:t>总体方案，方案内容至少包含：</w:t>
            </w:r>
          </w:p>
          <w:p w14:paraId="2A75CADE">
            <w:pPr>
              <w:keepNext w:val="0"/>
              <w:keepLines w:val="0"/>
              <w:widowControl/>
              <w:suppressLineNumbers w:val="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（1）项目团队各职能机构设置</w:t>
            </w:r>
          </w:p>
          <w:p w14:paraId="1907EBF0">
            <w:pPr>
              <w:keepNext w:val="0"/>
              <w:keepLines w:val="0"/>
              <w:widowControl/>
              <w:suppressLineNumbers w:val="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（2）组织管理体系</w:t>
            </w:r>
          </w:p>
          <w:p w14:paraId="770A3991">
            <w:pPr>
              <w:keepNext w:val="0"/>
              <w:keepLines w:val="0"/>
              <w:widowControl/>
              <w:suppressLineNumbers w:val="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（3）项目背景的理解</w:t>
            </w:r>
          </w:p>
          <w:p w14:paraId="1167FDAB">
            <w:pPr>
              <w:keepNext w:val="0"/>
              <w:keepLines w:val="0"/>
              <w:widowControl/>
              <w:suppressLineNumbers w:val="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（4）项目目标的理解</w:t>
            </w:r>
          </w:p>
          <w:p w14:paraId="2D2FDAE3">
            <w:pPr>
              <w:keepNext w:val="0"/>
              <w:keepLines w:val="0"/>
              <w:widowControl/>
              <w:suppressLineNumbers w:val="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（5）项目实施的具体方法与流程</w:t>
            </w:r>
          </w:p>
          <w:p w14:paraId="0A870360">
            <w:pPr>
              <w:keepNext w:val="0"/>
              <w:keepLines w:val="0"/>
              <w:widowControl/>
              <w:suppressLineNumbers w:val="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 xml:space="preserve">（6）项目实施过程环节的注意事项及现场管控措施 </w:t>
            </w:r>
          </w:p>
          <w:p w14:paraId="3C0F1432">
            <w:pPr>
              <w:keepNext w:val="0"/>
              <w:keepLines w:val="0"/>
              <w:widowControl/>
              <w:suppressLineNumbers w:val="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（7）质量管理体系及措施</w:t>
            </w:r>
          </w:p>
          <w:p w14:paraId="554F9EC7">
            <w:pPr>
              <w:keepNext w:val="0"/>
              <w:keepLines w:val="0"/>
              <w:widowControl/>
              <w:suppressLineNumbers w:val="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（8）进度计划方案</w:t>
            </w:r>
          </w:p>
          <w:p w14:paraId="352BF14B">
            <w:pPr>
              <w:keepNext w:val="0"/>
              <w:keepLines w:val="0"/>
              <w:widowControl/>
              <w:suppressLineNumbers w:val="0"/>
              <w:jc w:val="left"/>
              <w:rPr>
                <w:rFonts w:hint="default"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每提供一条内容完整且满足项目需求的方案得3分，满分24分， 每有一项内容不完整或方案存在缺陷的扣 1.5 分。(缺陷是指:与本项目采购需求无关、方案内容前后不一致、前后逻辑错误、涉及的相关规范及标准错误、地点区域错误、内容缺失、规范标准有误、套用其他项目方案、科学原理错误以及不可能实现的夸大情形等情况、只有简单描述无实质性内容等)，扣完为止，不提供不得分。</w:t>
            </w:r>
          </w:p>
        </w:tc>
      </w:tr>
      <w:tr w14:paraId="7B7A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01" w:type="dxa"/>
            <w:vAlign w:val="center"/>
          </w:tcPr>
          <w:p w14:paraId="24F48A1B">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default" w:ascii="仿宋" w:hAnsi="仿宋" w:eastAsia="仿宋" w:cs="仿宋"/>
                <w:color w:val="0000FF"/>
                <w:sz w:val="24"/>
                <w:szCs w:val="24"/>
                <w:lang w:val="en-US" w:eastAsia="zh-CN"/>
              </w:rPr>
            </w:pPr>
            <w:r>
              <w:rPr>
                <w:rFonts w:hint="eastAsia" w:ascii="仿宋" w:hAnsi="仿宋" w:eastAsia="仿宋"/>
                <w:szCs w:val="21"/>
              </w:rPr>
              <w:t>实施方案</w:t>
            </w:r>
          </w:p>
        </w:tc>
        <w:tc>
          <w:tcPr>
            <w:tcW w:w="996" w:type="dxa"/>
            <w:vAlign w:val="center"/>
          </w:tcPr>
          <w:p w14:paraId="361B2648">
            <w:pPr>
              <w:numPr>
                <w:ilvl w:val="0"/>
                <w:numId w:val="0"/>
              </w:numPr>
              <w:rPr>
                <w:rFonts w:hint="default" w:ascii="仿宋" w:hAnsi="仿宋" w:eastAsia="仿宋" w:cs="仿宋"/>
                <w:color w:val="0000FF"/>
                <w:sz w:val="24"/>
                <w:szCs w:val="24"/>
                <w:lang w:val="en-US" w:eastAsia="zh-CN"/>
              </w:rPr>
            </w:pPr>
            <w:r>
              <w:rPr>
                <w:rFonts w:hint="eastAsia" w:ascii="仿宋" w:hAnsi="仿宋" w:eastAsia="仿宋" w:cs="仿宋"/>
                <w:color w:val="auto"/>
                <w:sz w:val="24"/>
                <w:szCs w:val="24"/>
                <w:lang w:val="en-US" w:eastAsia="zh-CN"/>
              </w:rPr>
              <w:t>18分</w:t>
            </w:r>
          </w:p>
        </w:tc>
        <w:tc>
          <w:tcPr>
            <w:tcW w:w="7483" w:type="dxa"/>
            <w:vAlign w:val="center"/>
          </w:tcPr>
          <w:p w14:paraId="15528BE0">
            <w:pPr>
              <w:spacing w:line="260" w:lineRule="exact"/>
              <w:jc w:val="left"/>
              <w:outlineLvl w:val="0"/>
              <w:rPr>
                <w:rFonts w:hint="eastAsia" w:ascii="仿宋" w:hAnsi="仿宋" w:eastAsia="仿宋"/>
                <w:szCs w:val="21"/>
              </w:rPr>
            </w:pPr>
            <w:r>
              <w:rPr>
                <w:rFonts w:hint="eastAsia" w:ascii="仿宋" w:hAnsi="仿宋" w:eastAsia="仿宋"/>
                <w:szCs w:val="21"/>
              </w:rPr>
              <w:t>根据招标文件要求，针对本项目提供相对应的实施方案 :</w:t>
            </w:r>
          </w:p>
          <w:p w14:paraId="0112A2B3">
            <w:pPr>
              <w:keepNext w:val="0"/>
              <w:keepLines w:val="0"/>
              <w:widowControl/>
              <w:suppressLineNumbers w:val="0"/>
              <w:jc w:val="left"/>
              <w:rPr>
                <w:rFonts w:hint="default"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实施方案科学合理、规范，具有操作性，包括但不限于（1）系统架构（2）系统能力（3）系统建设需求、试运行、测试、调优、系统运行维护等内容。每提供一条内容完整且满足项目需求的方案得6分，满分18分， 每有一项内容不完整或方案存在缺陷的扣 2分(缺陷是指:与本项目采购需求无关、方案内容前后不一致、前后逻辑错误、涉及的相关规范及标准错误、地点区域错误、内容缺失、规范标准有误、套用其他项目方案、科学原理错误以及不可能实现的夸大情形等情况、只有简单描述无实质性内容等)，扣完为止，不提供不得分。</w:t>
            </w:r>
          </w:p>
        </w:tc>
      </w:tr>
      <w:tr w14:paraId="4F86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401" w:type="dxa"/>
            <w:shd w:val="clear" w:color="auto" w:fill="auto"/>
            <w:vAlign w:val="center"/>
          </w:tcPr>
          <w:p w14:paraId="3565A34C">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 w:hAnsi="仿宋" w:eastAsia="仿宋" w:cs="仿宋"/>
                <w:color w:val="auto"/>
                <w:sz w:val="24"/>
                <w:szCs w:val="24"/>
                <w:lang w:val="en-US" w:eastAsia="zh-CN" w:bidi="en-US"/>
              </w:rPr>
            </w:pPr>
            <w:r>
              <w:rPr>
                <w:rFonts w:hint="default" w:ascii="仿宋" w:hAnsi="仿宋" w:eastAsia="仿宋" w:cs="仿宋"/>
                <w:color w:val="auto"/>
                <w:sz w:val="24"/>
                <w:szCs w:val="24"/>
                <w:lang w:val="en-US" w:eastAsia="zh-CN"/>
              </w:rPr>
              <w:t>本项目重点难点分析</w:t>
            </w:r>
          </w:p>
        </w:tc>
        <w:tc>
          <w:tcPr>
            <w:tcW w:w="996" w:type="dxa"/>
            <w:shd w:val="clear" w:color="auto" w:fill="auto"/>
            <w:vAlign w:val="center"/>
          </w:tcPr>
          <w:p w14:paraId="058BF528">
            <w:pPr>
              <w:spacing w:line="400" w:lineRule="exact"/>
              <w:jc w:val="center"/>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10分</w:t>
            </w:r>
          </w:p>
        </w:tc>
        <w:tc>
          <w:tcPr>
            <w:tcW w:w="7483" w:type="dxa"/>
            <w:shd w:val="clear" w:color="auto" w:fill="auto"/>
            <w:vAlign w:val="center"/>
          </w:tcPr>
          <w:p w14:paraId="05BA17E8">
            <w:pPr>
              <w:keepNext w:val="0"/>
              <w:keepLines w:val="0"/>
              <w:widowControl/>
              <w:suppressLineNumbers w:val="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投标企业</w:t>
            </w:r>
            <w:r>
              <w:rPr>
                <w:rFonts w:hint="eastAsia" w:ascii="仿宋" w:hAnsi="仿宋" w:eastAsia="仿宋" w:cs="仿宋"/>
                <w:color w:val="auto"/>
                <w:sz w:val="24"/>
                <w:szCs w:val="24"/>
                <w:lang w:val="en-US" w:eastAsia="zh-CN"/>
              </w:rPr>
              <w:t>根据项目概况、服务需求及技术要求和预期目标，着重分析项目实施的重点和难点。包含但不限于</w:t>
            </w:r>
            <w:r>
              <w:rPr>
                <w:rFonts w:hint="eastAsia" w:ascii="仿宋" w:hAnsi="仿宋" w:eastAsia="仿宋" w:cs="仿宋"/>
                <w:color w:val="auto"/>
                <w:sz w:val="24"/>
                <w:szCs w:val="24"/>
                <w:lang w:val="en-US" w:eastAsia="zh-CN" w:bidi="en-US"/>
              </w:rPr>
              <w:t>人事、资产及财务等系统的技术创新等提</w:t>
            </w:r>
            <w:r>
              <w:rPr>
                <w:rFonts w:hint="eastAsia" w:ascii="仿宋" w:hAnsi="仿宋" w:eastAsia="仿宋" w:cs="仿宋"/>
                <w:color w:val="auto"/>
                <w:sz w:val="24"/>
                <w:szCs w:val="24"/>
                <w:lang w:val="en-US" w:eastAsia="zh-CN"/>
              </w:rPr>
              <w:t>出切实可行的解决</w:t>
            </w:r>
            <w:r>
              <w:rPr>
                <w:rFonts w:hint="eastAsia" w:ascii="仿宋" w:hAnsi="仿宋" w:eastAsia="仿宋" w:cs="仿宋"/>
                <w:color w:val="auto"/>
                <w:sz w:val="24"/>
                <w:szCs w:val="24"/>
                <w:lang w:val="en-US" w:eastAsia="zh-CN" w:bidi="en-US"/>
              </w:rPr>
              <w:t>方案，技术路线合理，针对性强，规划重点突出，可操作性强，不仅要求涉及本期业务，未来依然有很强的拓展性。满分10分；每有一处方案内容分析不完整方案存在缺陷的扣2分。(缺陷是指:与本项目采购需求无关、方案内容前后不一致、前后逻辑错误、涉及的相关规范及标准错误、地点区域错误、内容缺失、规范标准有误、套用其他项目方案、科学原理错误以及不可能实现的夸大情形等情况、只有简单描述无实质性内容等)，扣完为止，不提供不得分。</w:t>
            </w:r>
          </w:p>
        </w:tc>
      </w:tr>
      <w:tr w14:paraId="47BA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01" w:type="dxa"/>
            <w:shd w:val="clear" w:color="auto" w:fill="auto"/>
            <w:vAlign w:val="center"/>
          </w:tcPr>
          <w:p w14:paraId="243528C1">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 w:hAnsi="仿宋" w:eastAsia="仿宋" w:cs="仿宋"/>
                <w:color w:val="auto"/>
                <w:sz w:val="24"/>
                <w:szCs w:val="24"/>
                <w:lang w:val="en-US" w:eastAsia="zh-CN" w:bidi="en-US"/>
              </w:rPr>
            </w:pPr>
            <w:r>
              <w:rPr>
                <w:rFonts w:hint="default" w:ascii="仿宋" w:hAnsi="仿宋" w:eastAsia="仿宋" w:cs="仿宋"/>
                <w:color w:val="auto"/>
                <w:sz w:val="24"/>
                <w:szCs w:val="24"/>
                <w:lang w:val="en-US" w:eastAsia="zh-CN"/>
              </w:rPr>
              <w:t>培训服务方案</w:t>
            </w:r>
          </w:p>
        </w:tc>
        <w:tc>
          <w:tcPr>
            <w:tcW w:w="996" w:type="dxa"/>
            <w:shd w:val="clear" w:color="auto" w:fill="auto"/>
            <w:vAlign w:val="center"/>
          </w:tcPr>
          <w:p w14:paraId="2A4273E0">
            <w:pPr>
              <w:spacing w:line="400" w:lineRule="exact"/>
              <w:jc w:val="center"/>
              <w:rPr>
                <w:rFonts w:hint="default"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8分</w:t>
            </w:r>
          </w:p>
        </w:tc>
        <w:tc>
          <w:tcPr>
            <w:tcW w:w="7483" w:type="dxa"/>
            <w:shd w:val="clear" w:color="auto" w:fill="auto"/>
            <w:vAlign w:val="center"/>
          </w:tcPr>
          <w:p w14:paraId="371F19D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投标企业针对本项目提供的培训方案包含但不限于应用开发培训、系统管理培训、系统运行维护培训等内容，满分8分；</w:t>
            </w:r>
            <w:r>
              <w:rPr>
                <w:rFonts w:hint="default" w:ascii="仿宋" w:hAnsi="仿宋" w:eastAsia="仿宋" w:cs="仿宋"/>
                <w:color w:val="auto"/>
                <w:sz w:val="24"/>
                <w:szCs w:val="24"/>
                <w:lang w:val="en-US" w:eastAsia="zh-CN" w:bidi="en-US"/>
              </w:rPr>
              <w:t xml:space="preserve"> </w:t>
            </w:r>
            <w:r>
              <w:rPr>
                <w:rFonts w:hint="eastAsia" w:ascii="仿宋" w:hAnsi="仿宋" w:eastAsia="仿宋" w:cs="仿宋"/>
                <w:color w:val="auto"/>
                <w:sz w:val="24"/>
                <w:szCs w:val="24"/>
                <w:lang w:val="en-US" w:eastAsia="zh-CN" w:bidi="en-US"/>
              </w:rPr>
              <w:t>每有一处内容不完整方案存在缺陷的扣1分。(缺陷是指:与本项目采购需求无关、方案内容前后不一致、前后逻辑错误、涉及的相关规范及标准错误、地点区域错误、内容缺失、规范标准有误、套用其他项目方案、科学原理错误以及不可能实现的夸大情形等情况、只有简单描述无实质性内容等)，扣完为止，不提供不得分。</w:t>
            </w:r>
          </w:p>
        </w:tc>
      </w:tr>
      <w:tr w14:paraId="53E2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01" w:type="dxa"/>
            <w:vAlign w:val="center"/>
          </w:tcPr>
          <w:p w14:paraId="3FA32E2D">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rPr>
            </w:pPr>
            <w:r>
              <w:rPr>
                <w:rFonts w:ascii="仿宋" w:hAnsi="仿宋" w:eastAsia="仿宋" w:cs="仿宋"/>
                <w:snapToGrid w:val="0"/>
                <w:color w:val="000000"/>
                <w:kern w:val="0"/>
                <w:sz w:val="20"/>
                <w:szCs w:val="20"/>
                <w:lang w:val="en-US" w:eastAsia="zh-CN" w:bidi="ar"/>
              </w:rPr>
              <w:t>售后服务</w:t>
            </w:r>
          </w:p>
        </w:tc>
        <w:tc>
          <w:tcPr>
            <w:tcW w:w="996" w:type="dxa"/>
            <w:vAlign w:val="center"/>
          </w:tcPr>
          <w:p w14:paraId="6C4E3B7F">
            <w:pPr>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7483" w:type="dxa"/>
            <w:vAlign w:val="center"/>
          </w:tcPr>
          <w:p w14:paraId="563BC488">
            <w:pPr>
              <w:keepNext w:val="0"/>
              <w:keepLines w:val="0"/>
              <w:widowControl/>
              <w:numPr>
                <w:ilvl w:val="0"/>
                <w:numId w:val="0"/>
              </w:numPr>
              <w:suppressLineNumbers w:val="0"/>
              <w:ind w:leftChars="0"/>
              <w:jc w:val="left"/>
              <w:rPr>
                <w:rFonts w:hint="eastAsia" w:ascii="仿宋" w:hAnsi="仿宋" w:eastAsia="仿宋" w:cs="仿宋"/>
                <w:color w:val="auto"/>
                <w:sz w:val="24"/>
                <w:szCs w:val="24"/>
                <w:lang w:val="en-US" w:eastAsia="zh-CN" w:bidi="en-US"/>
              </w:rPr>
            </w:pPr>
            <w:r>
              <w:rPr>
                <w:rFonts w:hint="default" w:ascii="仿宋" w:hAnsi="仿宋" w:eastAsia="仿宋" w:cs="仿宋"/>
                <w:color w:val="auto"/>
                <w:sz w:val="24"/>
                <w:szCs w:val="24"/>
                <w:lang w:val="en-US" w:eastAsia="zh-CN" w:bidi="en-US"/>
              </w:rPr>
              <w:t>投标</w:t>
            </w:r>
            <w:r>
              <w:rPr>
                <w:rFonts w:hint="eastAsia" w:ascii="仿宋" w:hAnsi="仿宋" w:eastAsia="仿宋" w:cs="仿宋"/>
                <w:color w:val="auto"/>
                <w:sz w:val="24"/>
                <w:szCs w:val="24"/>
                <w:lang w:val="en-US" w:eastAsia="zh-CN" w:bidi="en-US"/>
              </w:rPr>
              <w:t>企业</w:t>
            </w:r>
            <w:r>
              <w:rPr>
                <w:rFonts w:hint="default" w:ascii="仿宋" w:hAnsi="仿宋" w:eastAsia="仿宋" w:cs="仿宋"/>
                <w:color w:val="auto"/>
                <w:sz w:val="24"/>
                <w:szCs w:val="24"/>
                <w:lang w:val="en-US" w:eastAsia="zh-CN" w:bidi="en-US"/>
              </w:rPr>
              <w:t>针对本项目提供的售后服务方案进行评审，方案内容至少包</w:t>
            </w:r>
            <w:r>
              <w:rPr>
                <w:rFonts w:hint="eastAsia" w:ascii="仿宋" w:hAnsi="仿宋" w:eastAsia="仿宋" w:cs="仿宋"/>
                <w:color w:val="auto"/>
                <w:sz w:val="24"/>
                <w:szCs w:val="24"/>
                <w:lang w:val="en-US" w:eastAsia="zh-CN" w:bidi="en-US"/>
              </w:rPr>
              <w:t>含：</w:t>
            </w:r>
          </w:p>
          <w:p w14:paraId="6D771E75">
            <w:pPr>
              <w:keepNext w:val="0"/>
              <w:keepLines w:val="0"/>
              <w:widowControl/>
              <w:numPr>
                <w:ilvl w:val="0"/>
                <w:numId w:val="8"/>
              </w:numPr>
              <w:suppressLineNumbers w:val="0"/>
              <w:ind w:leftChars="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售后服务人员配置</w:t>
            </w:r>
          </w:p>
          <w:p w14:paraId="522D826F">
            <w:pPr>
              <w:keepNext w:val="0"/>
              <w:keepLines w:val="0"/>
              <w:widowControl/>
              <w:numPr>
                <w:ilvl w:val="0"/>
                <w:numId w:val="8"/>
              </w:numPr>
              <w:suppressLineNumbers w:val="0"/>
              <w:ind w:leftChars="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售后服务内容及计划安排</w:t>
            </w:r>
          </w:p>
          <w:p w14:paraId="0B29627E">
            <w:pPr>
              <w:keepNext w:val="0"/>
              <w:keepLines w:val="0"/>
              <w:widowControl/>
              <w:numPr>
                <w:ilvl w:val="0"/>
                <w:numId w:val="8"/>
              </w:numPr>
              <w:suppressLineNumbers w:val="0"/>
              <w:ind w:leftChars="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售后服务质量保障措施</w:t>
            </w:r>
          </w:p>
          <w:p w14:paraId="1B23AE03">
            <w:pPr>
              <w:keepNext w:val="0"/>
              <w:keepLines w:val="0"/>
              <w:widowControl/>
              <w:numPr>
                <w:ilvl w:val="0"/>
                <w:numId w:val="8"/>
              </w:numPr>
              <w:suppressLineNumbers w:val="0"/>
              <w:ind w:leftChars="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 xml:space="preserve">系统故障的响应时间及应急处理措施 </w:t>
            </w:r>
          </w:p>
          <w:p w14:paraId="6C0BF4C8">
            <w:pPr>
              <w:keepNext w:val="0"/>
              <w:keepLines w:val="0"/>
              <w:widowControl/>
              <w:numPr>
                <w:ilvl w:val="0"/>
                <w:numId w:val="8"/>
              </w:numPr>
              <w:suppressLineNumbers w:val="0"/>
              <w:ind w:leftChars="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突发事件处理预案</w:t>
            </w:r>
          </w:p>
          <w:p w14:paraId="4DD15E8B">
            <w:pPr>
              <w:keepNext w:val="0"/>
              <w:keepLines w:val="0"/>
              <w:widowControl/>
              <w:numPr>
                <w:ilvl w:val="0"/>
                <w:numId w:val="0"/>
              </w:numPr>
              <w:suppressLineNumbers w:val="0"/>
              <w:jc w:val="left"/>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每提供一条内容完整且满足项目需求方案的得1分，满分5分，</w:t>
            </w:r>
            <w:r>
              <w:rPr>
                <w:rFonts w:hint="default" w:ascii="仿宋" w:hAnsi="仿宋" w:eastAsia="仿宋" w:cs="仿宋"/>
                <w:color w:val="auto"/>
                <w:sz w:val="24"/>
                <w:szCs w:val="24"/>
                <w:lang w:val="en-US" w:eastAsia="zh-CN" w:bidi="en-US"/>
              </w:rPr>
              <w:t xml:space="preserve"> </w:t>
            </w:r>
            <w:r>
              <w:rPr>
                <w:rFonts w:hint="eastAsia" w:ascii="仿宋" w:hAnsi="仿宋" w:eastAsia="仿宋" w:cs="仿宋"/>
                <w:color w:val="auto"/>
                <w:sz w:val="24"/>
                <w:szCs w:val="24"/>
                <w:lang w:val="en-US" w:eastAsia="zh-CN" w:bidi="en-US"/>
              </w:rPr>
              <w:t>每有一项内容不完整方案存在缺陷的扣 0.5 分。(缺陷是指:与本项目采购需求无关、方案内容前后不一致、前后逻辑错误、涉及的相关规范及标准错误、地点区域错误、内容缺失、规范标准有误、套用其他项目方案、科学原理错误以及不可能实现的夸大情形等情况、只有简单描述无实质性内容等)，扣完为止，不提供不得分。</w:t>
            </w:r>
          </w:p>
        </w:tc>
      </w:tr>
    </w:tbl>
    <w:p w14:paraId="607884E6">
      <w:pPr>
        <w:rPr>
          <w:rFonts w:hint="eastAsia"/>
          <w:lang w:eastAsia="zh-CN"/>
        </w:rPr>
      </w:pPr>
    </w:p>
    <w:p w14:paraId="546C9157">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0723830D">
      <w:pPr>
        <w:pStyle w:val="46"/>
        <w:keepNext w:val="0"/>
        <w:keepLines w:val="0"/>
        <w:pageBreakBefore w:val="0"/>
        <w:widowControl w:val="0"/>
        <w:tabs>
          <w:tab w:val="left" w:pos="1701"/>
        </w:tabs>
        <w:kinsoku/>
        <w:wordWrap/>
        <w:overflowPunct/>
        <w:topLinePunct w:val="0"/>
        <w:autoSpaceDE/>
        <w:autoSpaceDN/>
        <w:bidi w:val="0"/>
        <w:adjustRightInd/>
        <w:snapToGrid/>
        <w:spacing w:line="360" w:lineRule="auto"/>
        <w:ind w:left="0"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10.2.2价格评分方法</w:t>
      </w:r>
    </w:p>
    <w:p w14:paraId="79559FAF">
      <w:pPr>
        <w:shd w:val="clear" w:color="auto" w:fill="auto"/>
        <w:spacing w:line="440" w:lineRule="exact"/>
        <w:ind w:firstLine="623" w:firstLineChars="257"/>
        <w:jc w:val="left"/>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满足招标文件技术要求且投标报价最低的为评标基准价，其价格分为满分。其他供应商的价格分别按照下列公式计算：</w:t>
      </w:r>
      <w:r>
        <w:rPr>
          <w:rFonts w:hint="eastAsia" w:ascii="仿宋" w:hAnsi="仿宋" w:eastAsia="仿宋" w:cs="仿宋"/>
          <w:color w:val="auto"/>
          <w:szCs w:val="21"/>
          <w:highlight w:val="none"/>
          <w:lang w:bidi="ar-SA"/>
        </w:rPr>
        <w:t xml:space="preserve"> 投标报价得分=（评标基准价/投标报价）×价格权重×</w:t>
      </w:r>
      <w:r>
        <w:rPr>
          <w:rFonts w:hint="eastAsia" w:ascii="仿宋" w:hAnsi="仿宋" w:eastAsia="仿宋" w:cs="仿宋"/>
          <w:color w:val="auto"/>
          <w:szCs w:val="21"/>
          <w:highlight w:val="none"/>
          <w:lang w:val="en-US" w:eastAsia="zh-CN" w:bidi="ar-SA"/>
        </w:rPr>
        <w:t>100</w:t>
      </w:r>
      <w:r>
        <w:rPr>
          <w:rFonts w:hint="eastAsia" w:ascii="仿宋" w:hAnsi="仿宋" w:eastAsia="仿宋" w:cs="仿宋"/>
          <w:color w:val="auto"/>
          <w:szCs w:val="21"/>
          <w:highlight w:val="none"/>
          <w:lang w:eastAsia="zh-CN" w:bidi="ar-SA"/>
        </w:rPr>
        <w:t>。</w:t>
      </w:r>
    </w:p>
    <w:p w14:paraId="083934BC">
      <w:pPr>
        <w:keepNext w:val="0"/>
        <w:keepLines w:val="0"/>
        <w:pageBreakBefore w:val="0"/>
        <w:kinsoku/>
        <w:wordWrap/>
        <w:overflowPunct/>
        <w:topLinePunct w:val="0"/>
        <w:autoSpaceDE/>
        <w:autoSpaceDN/>
        <w:bidi w:val="0"/>
        <w:adjustRightInd/>
        <w:spacing w:beforeLines="50" w:line="360" w:lineRule="auto"/>
        <w:jc w:val="center"/>
        <w:textAlignment w:val="auto"/>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五  推荐中标候选人</w:t>
      </w:r>
      <w:bookmarkEnd w:id="42"/>
      <w:bookmarkEnd w:id="43"/>
    </w:p>
    <w:p w14:paraId="024747BC">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11.1评标委员会推荐3名中标候选人，并标明排序。</w:t>
      </w:r>
    </w:p>
    <w:p w14:paraId="0FC5F038">
      <w:pPr>
        <w:keepNext w:val="0"/>
        <w:keepLines w:val="0"/>
        <w:pageBreakBefore w:val="0"/>
        <w:kinsoku/>
        <w:wordWrap/>
        <w:overflowPunct/>
        <w:topLinePunct w:val="0"/>
        <w:autoSpaceDE/>
        <w:autoSpaceDN/>
        <w:bidi w:val="0"/>
        <w:adjustRightInd/>
        <w:spacing w:line="360" w:lineRule="auto"/>
        <w:ind w:firstLine="475" w:firstLineChars="196"/>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11.2如出现报价相同情况，则由招标人现场抽签确定中标候选人排名顺序。</w:t>
      </w:r>
    </w:p>
    <w:bookmarkEnd w:id="37"/>
    <w:p w14:paraId="2804259A">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12.无效投标条款</w:t>
      </w:r>
    </w:p>
    <w:p w14:paraId="6E71CD39">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12.1投标文件有下列情形之一的,其投标文件拒收:</w:t>
      </w:r>
    </w:p>
    <w:p w14:paraId="5BE337CB">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b/>
          <w:bCs/>
          <w:color w:val="auto"/>
          <w:szCs w:val="21"/>
          <w:highlight w:val="none"/>
          <w:lang w:eastAsia="zh-CN"/>
        </w:rPr>
        <w:t xml:space="preserve"> (1) 未在开标截止时间前通过网上招标投标系统递交有效电子投标文件的，开标系统不予接收。</w:t>
      </w:r>
    </w:p>
    <w:p w14:paraId="4258AB8B">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w:t>
      </w:r>
      <w:r>
        <w:rPr>
          <w:rFonts w:hint="eastAsia" w:ascii="仿宋" w:hAnsi="仿宋" w:eastAsia="仿宋" w:cs="仿宋"/>
          <w:b/>
          <w:color w:val="auto"/>
          <w:szCs w:val="21"/>
          <w:highlight w:val="none"/>
          <w:lang w:eastAsia="zh-CN"/>
        </w:rPr>
        <w:t>所有供应商应在规定时间里完成投标文件的解密工作</w:t>
      </w:r>
      <w:r>
        <w:rPr>
          <w:rFonts w:hint="eastAsia" w:ascii="仿宋" w:hAnsi="仿宋" w:eastAsia="仿宋" w:cs="仿宋"/>
          <w:b/>
          <w:bCs/>
          <w:color w:val="auto"/>
          <w:szCs w:val="21"/>
          <w:highlight w:val="none"/>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lang w:eastAsia="zh-CN"/>
        </w:rPr>
        <w:t>，因系统原因未能成功解密的投标文件，可导入备份投标文件。备份投标文件也无法导入的，则投标文件被否决。</w:t>
      </w:r>
    </w:p>
    <w:p w14:paraId="6F2A6EC1">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12.2供应商有下列情形之一的,资格审查后其投标作无效投标处理：</w:t>
      </w:r>
    </w:p>
    <w:p w14:paraId="360C2AD1">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(1)法定代表人参加开标会议未携带有效的法定代表人身份证明原件和本人身份证的；委托代理人参加开标会议未携带有效的法定代表人授权书和本人身份证；</w:t>
      </w:r>
    </w:p>
    <w:p w14:paraId="5228FFE8">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(2)供应商为本项目提供招标代理服务的；</w:t>
      </w:r>
    </w:p>
    <w:p w14:paraId="7E9A3069">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(3)供应商与在本项目代理机构存在相互任职或工作的；</w:t>
      </w:r>
    </w:p>
    <w:p w14:paraId="3D2F023F">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(4)投标保证金未按规定要求缴纳的；</w:t>
      </w:r>
    </w:p>
    <w:p w14:paraId="67C64BD8">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(5)评标专家无法查看并检验电子标书中相关资料的；</w:t>
      </w:r>
    </w:p>
    <w:p w14:paraId="48456C30">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(6)供应商超出营业范围投标的；</w:t>
      </w:r>
    </w:p>
    <w:p w14:paraId="720A5D31">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(7)联合体投标未提交联合体协议的；</w:t>
      </w:r>
    </w:p>
    <w:p w14:paraId="79FEC517">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(8)被暂停营业的；</w:t>
      </w:r>
    </w:p>
    <w:p w14:paraId="62143892">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(9)被暂停或取消投标资格的；</w:t>
      </w:r>
    </w:p>
    <w:p w14:paraId="1096032D">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(10)财产被接管或冻结的；</w:t>
      </w:r>
    </w:p>
    <w:p w14:paraId="1A724B3C">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(11)供应商单位负责人为同一人或者存在控股、管理关系的不同单位的；</w:t>
      </w:r>
    </w:p>
    <w:p w14:paraId="18C41ED0">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（12）供应商基本资格条件和特定资格条件中有一项及以上不符合要求的；</w:t>
      </w:r>
    </w:p>
    <w:p w14:paraId="5F2D7C4B">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（13）供应商使用相同的MAC地址进行报名的；</w:t>
      </w:r>
    </w:p>
    <w:p w14:paraId="7AA3A22E">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（14）其它情形，经评标委员会委提出按无效投标处理，并经公共资源交易监督部门核准的；</w:t>
      </w:r>
    </w:p>
    <w:p w14:paraId="79EFA317">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（15）供应商使用相同IP地址报名的，一经发现，监管部门将进一步核实，查实后按串通投标处理；</w:t>
      </w:r>
    </w:p>
    <w:p w14:paraId="2E9B5AFD">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（16）采购文件规定的其它无效投标情形。</w:t>
      </w:r>
    </w:p>
    <w:p w14:paraId="00D3C632">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12.3 供应商有下列情形之一的,符合性审查后其投标按无效投标处理：</w:t>
      </w:r>
    </w:p>
    <w:p w14:paraId="2335B083">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 投标文件签章、盖章不全，经评标委员会一致认定对开评标内容有实质性影响并经监督部门核准的；</w:t>
      </w:r>
    </w:p>
    <w:p w14:paraId="0D6CB2EA">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(2)未按规定的格式填写，实质性内容不全或关键字迹模糊、无法辨认; 经监督部门核准的；</w:t>
      </w:r>
    </w:p>
    <w:p w14:paraId="184AE090">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(4)同一供应商提交两个以上不同的投标文件或者投标报价，但采购文件规定提交备选方案的除外；</w:t>
      </w:r>
    </w:p>
    <w:p w14:paraId="1476879E">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(3)投标文件没有对采购文件的实质性要求和条件作出响应;</w:t>
      </w:r>
    </w:p>
    <w:p w14:paraId="594A5027">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(4)投标报价超出规定的投标限价或公布的采购预算的；</w:t>
      </w:r>
    </w:p>
    <w:p w14:paraId="0B5412F0">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(5)不按评标委员会要求澄清、说明或补正的，或者评标委员会根据采购文件的规定对采购文件的计算错误进行修正后，供应商不接受修正的投标报价的。</w:t>
      </w:r>
    </w:p>
    <w:p w14:paraId="0CCE5F55">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（6）其它情形，经评标委员会委提出按无效投标处理，并经公共资源交易监督部门核准的；</w:t>
      </w:r>
    </w:p>
    <w:p w14:paraId="28CF3C27">
      <w:pPr>
        <w:keepNext w:val="0"/>
        <w:keepLines w:val="0"/>
        <w:pageBreakBefore w:val="0"/>
        <w:widowControl/>
        <w:kinsoku/>
        <w:wordWrap/>
        <w:overflowPunct/>
        <w:topLinePunct w:val="0"/>
        <w:autoSpaceDE/>
        <w:autoSpaceDN/>
        <w:bidi w:val="0"/>
        <w:adjustRightInd/>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shd w:val="clear" w:color="auto" w:fill="FFFFFF"/>
          <w:lang w:eastAsia="zh-CN"/>
        </w:rPr>
        <w:t>未按照招标文件的规定提交投标保证金的；</w:t>
      </w:r>
    </w:p>
    <w:p w14:paraId="3F9BA391">
      <w:pPr>
        <w:keepNext w:val="0"/>
        <w:keepLines w:val="0"/>
        <w:pageBreakBefore w:val="0"/>
        <w:widowControl/>
        <w:kinsoku/>
        <w:wordWrap/>
        <w:overflowPunct/>
        <w:topLinePunct w:val="0"/>
        <w:autoSpaceDE/>
        <w:autoSpaceDN/>
        <w:bidi w:val="0"/>
        <w:adjustRightInd/>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shd w:val="clear" w:color="auto" w:fill="FFFFFF"/>
          <w:lang w:eastAsia="zh-CN"/>
        </w:rPr>
        <w:t>投标文件含有采购人不能接受的附加条件的;</w:t>
      </w:r>
    </w:p>
    <w:p w14:paraId="7A53E36F">
      <w:pPr>
        <w:keepNext w:val="0"/>
        <w:keepLines w:val="0"/>
        <w:pageBreakBefore w:val="0"/>
        <w:tabs>
          <w:tab w:val="left" w:pos="1123"/>
        </w:tabs>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（9）采购文件规定的其它无效投标情形。</w:t>
      </w:r>
    </w:p>
    <w:p w14:paraId="63AD4B5F">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12.4 供应商有下列情形之一的, 详细评审后其投标按无效投标处理：</w:t>
      </w:r>
    </w:p>
    <w:p w14:paraId="2AAB9C48">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(1)投标产品不符合必须强制执行的国家标准的；</w:t>
      </w:r>
    </w:p>
    <w:p w14:paraId="6C737F6F">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(2)供应商有串通投标、弄虚作假、行贿等违法行为；</w:t>
      </w:r>
    </w:p>
    <w:p w14:paraId="3C7C22AE">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(3)投标文件含有违反国家法律、法规的内容，或附有招标人不能接受的条件的；</w:t>
      </w:r>
    </w:p>
    <w:p w14:paraId="618BFF56">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（4）在同一项目（或同一标段）中有多个供应商有效投标报价接近最高限价，且评标委员会认为报价出现异常的，可以宣布其投标无效；</w:t>
      </w:r>
    </w:p>
    <w:p w14:paraId="4E8D7D08">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（5）报价明显低于其他供应商，且不能证明报价合理性的投标无效；</w:t>
      </w:r>
    </w:p>
    <w:p w14:paraId="5D9F44E7">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（6）拒不确认评标委员会评审修正的投标无效；</w:t>
      </w:r>
    </w:p>
    <w:p w14:paraId="2732AB64">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（7）其它情形，经评标委员会提出按无效投标处理，并经公共资源交易监督部门核准的；</w:t>
      </w:r>
    </w:p>
    <w:p w14:paraId="433B5DC7">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（8）采购文件规定的其它无效投标情形。</w:t>
      </w:r>
    </w:p>
    <w:p w14:paraId="3A184BA1">
      <w:pPr>
        <w:keepNext w:val="0"/>
        <w:keepLines w:val="0"/>
        <w:pageBreakBefore/>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b/>
          <w:bCs w:val="0"/>
          <w:color w:val="auto"/>
          <w:sz w:val="36"/>
          <w:szCs w:val="36"/>
          <w:highlight w:val="none"/>
          <w:lang w:eastAsia="zh-CN"/>
        </w:rPr>
      </w:pPr>
      <w:bookmarkStart w:id="44" w:name="_Toc469495737"/>
      <w:bookmarkStart w:id="45" w:name="OLE_LINK4"/>
      <w:r>
        <w:rPr>
          <w:rFonts w:hint="eastAsia" w:ascii="仿宋" w:hAnsi="仿宋" w:eastAsia="仿宋" w:cs="仿宋"/>
          <w:b/>
          <w:bCs w:val="0"/>
          <w:color w:val="auto"/>
          <w:sz w:val="36"/>
          <w:szCs w:val="36"/>
          <w:highlight w:val="none"/>
          <w:lang w:eastAsia="zh-CN"/>
        </w:rPr>
        <w:t>第四</w:t>
      </w:r>
      <w:r>
        <w:rPr>
          <w:rFonts w:hint="eastAsia" w:ascii="仿宋" w:hAnsi="仿宋" w:eastAsia="仿宋" w:cs="仿宋"/>
          <w:b/>
          <w:bCs w:val="0"/>
          <w:color w:val="auto"/>
          <w:sz w:val="36"/>
          <w:szCs w:val="36"/>
          <w:highlight w:val="none"/>
          <w:lang w:val="en-US" w:eastAsia="zh-CN"/>
        </w:rPr>
        <w:t>章</w:t>
      </w:r>
      <w:r>
        <w:rPr>
          <w:rFonts w:hint="eastAsia" w:ascii="仿宋" w:hAnsi="仿宋" w:eastAsia="仿宋" w:cs="仿宋"/>
          <w:b/>
          <w:bCs w:val="0"/>
          <w:color w:val="auto"/>
          <w:sz w:val="36"/>
          <w:szCs w:val="36"/>
          <w:highlight w:val="none"/>
          <w:lang w:eastAsia="zh-CN"/>
        </w:rPr>
        <w:t xml:space="preserve"> 国资监管平台项目技术</w:t>
      </w:r>
      <w:r>
        <w:rPr>
          <w:rFonts w:hint="eastAsia" w:ascii="仿宋" w:hAnsi="仿宋" w:eastAsia="仿宋" w:cs="仿宋"/>
          <w:b/>
          <w:bCs w:val="0"/>
          <w:color w:val="auto"/>
          <w:sz w:val="36"/>
          <w:szCs w:val="36"/>
          <w:highlight w:val="none"/>
          <w:lang w:val="en-US" w:eastAsia="zh-CN"/>
        </w:rPr>
        <w:t>需求文件</w:t>
      </w:r>
      <w:bookmarkEnd w:id="38"/>
      <w:bookmarkEnd w:id="44"/>
      <w:bookmarkEnd w:id="45"/>
      <w:bookmarkStart w:id="46" w:name="_Toc267320052"/>
      <w:bookmarkStart w:id="47" w:name="_Toc340225294"/>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126"/>
      </w:tblGrid>
      <w:tr w14:paraId="69FC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Align w:val="center"/>
          </w:tcPr>
          <w:p w14:paraId="2E442C0A">
            <w:pPr>
              <w:keepNext w:val="0"/>
              <w:keepLines w:val="0"/>
              <w:widowControl/>
              <w:suppressLineNumbers w:val="0"/>
              <w:jc w:val="center"/>
              <w:textAlignment w:val="center"/>
              <w:rPr>
                <w:rFonts w:hint="default" w:ascii="方正仿宋_GBK" w:hAnsi="方正仿宋_GBK" w:eastAsia="方正仿宋_GBK" w:cs="方正仿宋_GBK"/>
                <w:sz w:val="24"/>
                <w:szCs w:val="24"/>
                <w:vertAlign w:val="baseline"/>
                <w:lang w:val="en-US"/>
              </w:rPr>
            </w:pPr>
            <w:r>
              <w:rPr>
                <w:rFonts w:hint="eastAsia" w:ascii="方正仿宋_GBK" w:hAnsi="方正仿宋_GBK" w:eastAsia="方正仿宋_GBK" w:cs="方正仿宋_GBK"/>
                <w:b/>
                <w:bCs/>
                <w:i w:val="0"/>
                <w:iCs w:val="0"/>
                <w:color w:val="000000"/>
                <w:kern w:val="0"/>
                <w:sz w:val="24"/>
                <w:szCs w:val="24"/>
                <w:u w:val="none"/>
                <w:lang w:val="en-US" w:eastAsia="zh-CN" w:bidi="ar"/>
              </w:rPr>
              <w:t>系统架构</w:t>
            </w:r>
          </w:p>
        </w:tc>
        <w:tc>
          <w:tcPr>
            <w:tcW w:w="7126" w:type="dxa"/>
          </w:tcPr>
          <w:p w14:paraId="79F7D9D0">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合理设计：系统架构设计合理，技术路线科学、合理，关键技术方法针对本项目需求。</w:t>
            </w:r>
          </w:p>
          <w:p w14:paraId="144E2B8D">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细化架构：从业务、技术、数据等方面进行细化架构设计，层次清晰，粒度适中，扩展性强。</w:t>
            </w:r>
          </w:p>
          <w:p w14:paraId="3EC795EE">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方正仿宋_GBK" w:hAnsi="方正仿宋_GBK" w:eastAsia="方正仿宋_GBK" w:cs="方正仿宋_GBK"/>
                <w:sz w:val="24"/>
                <w:szCs w:val="24"/>
                <w:vertAlign w:val="baseline"/>
              </w:rPr>
            </w:pPr>
            <w:r>
              <w:rPr>
                <w:rFonts w:hint="eastAsia" w:ascii="仿宋" w:hAnsi="仿宋" w:eastAsia="仿宋" w:cs="仿宋"/>
                <w:color w:val="auto"/>
                <w:szCs w:val="21"/>
                <w:highlight w:val="none"/>
                <w:lang w:eastAsia="zh-CN"/>
              </w:rPr>
              <w:t>开发平台：采用Java平台进行开发，符合SOA架构，应用软件采用B/S和C/S架构，保证系统具有开放的体系与接口。软件包应采用模块化开发技术，支持专业化、面向对象和集成化的开发环境IDE和代码开发工具，支持开放的标准API接口，以保证系统具有良好的开放性和可扩展性，方便地与其他厂家同类型应用系统进行软、硬件平台互连。</w:t>
            </w:r>
          </w:p>
        </w:tc>
      </w:tr>
      <w:tr w14:paraId="0657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Align w:val="center"/>
          </w:tcPr>
          <w:p w14:paraId="4BF730EE">
            <w:pPr>
              <w:keepNext w:val="0"/>
              <w:keepLines w:val="0"/>
              <w:pageBreakBefore w:val="0"/>
              <w:kinsoku/>
              <w:wordWrap/>
              <w:overflowPunct/>
              <w:topLinePunct w:val="0"/>
              <w:autoSpaceDE/>
              <w:autoSpaceDN/>
              <w:bidi w:val="0"/>
              <w:adjustRightInd/>
              <w:spacing w:line="360" w:lineRule="auto"/>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系统能力</w:t>
            </w:r>
          </w:p>
        </w:tc>
        <w:tc>
          <w:tcPr>
            <w:tcW w:w="7126" w:type="dxa"/>
          </w:tcPr>
          <w:p w14:paraId="79D346B3">
            <w:pPr>
              <w:keepNext w:val="0"/>
              <w:keepLines w:val="0"/>
              <w:pageBreakBefore w:val="0"/>
              <w:kinsoku/>
              <w:wordWrap/>
              <w:overflowPunct/>
              <w:topLinePunct w:val="0"/>
              <w:autoSpaceDE/>
              <w:autoSpaceDN/>
              <w:bidi w:val="0"/>
              <w:adjustRightInd/>
              <w:spacing w:line="360" w:lineRule="auto"/>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1.智能化能力</w:t>
            </w:r>
          </w:p>
          <w:p w14:paraId="4684E40A">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智能化特性：引入AI技术，如智能语音、智能流程、智能检索等，通过智能化的手段提升协同办公的效率和便捷性。</w:t>
            </w:r>
          </w:p>
          <w:p w14:paraId="2BD1888A">
            <w:pPr>
              <w:keepNext w:val="0"/>
              <w:keepLines w:val="0"/>
              <w:pageBreakBefore w:val="0"/>
              <w:kinsoku/>
              <w:wordWrap/>
              <w:overflowPunct/>
              <w:topLinePunct w:val="0"/>
              <w:autoSpaceDE/>
              <w:autoSpaceDN/>
              <w:bidi w:val="0"/>
              <w:adjustRightInd/>
              <w:spacing w:line="360" w:lineRule="auto"/>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2.安全能力</w:t>
            </w:r>
          </w:p>
          <w:p w14:paraId="4ABF97BC">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等级保护：全面满足国家网络安全等级保护2.0、涉密信息分级保护等政策规定，通过身份鉴别、访问控制、密级标定、安全审计等措施，确保数据的安全性和完整性。</w:t>
            </w:r>
          </w:p>
          <w:p w14:paraId="20C46DA5">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数据备份：提供数据备份和恢复功能，防止数据丢失和损坏，保障企业数据的可靠性。</w:t>
            </w:r>
          </w:p>
          <w:p w14:paraId="33D2C8D0">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应用定制能力</w:t>
            </w:r>
          </w:p>
          <w:p w14:paraId="2E092A95">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零代码开发：支持可视化配置实现业务逻辑（流程逻辑、数据逻辑）设计，无需编写代码即可搭建任意多个业务模块，实现零代码、低成本、个性化、快速封装、灵活调整、易维护，即搭即用。</w:t>
            </w:r>
          </w:p>
          <w:p w14:paraId="0469ADE8">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 流程能力</w:t>
            </w:r>
          </w:p>
          <w:p w14:paraId="18DCF93A">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灵活流程定制：工作流配置简单、灵活，流程清晰可见，支持“二元化工作流”、“</w:t>
            </w:r>
            <w:r>
              <w:rPr>
                <w:rFonts w:hint="eastAsia" w:ascii="仿宋" w:hAnsi="仿宋" w:eastAsia="仿宋" w:cs="仿宋"/>
                <w:color w:val="auto"/>
                <w:szCs w:val="21"/>
                <w:highlight w:val="none"/>
                <w:lang w:val="en-US" w:eastAsia="zh-CN"/>
              </w:rPr>
              <w:t>流程仿真</w:t>
            </w:r>
            <w:r>
              <w:rPr>
                <w:rFonts w:hint="eastAsia" w:ascii="仿宋" w:hAnsi="仿宋" w:eastAsia="仿宋" w:cs="仿宋"/>
                <w:color w:val="auto"/>
                <w:szCs w:val="21"/>
                <w:highlight w:val="none"/>
                <w:lang w:eastAsia="zh-CN"/>
              </w:rPr>
              <w:t>”专利技术。</w:t>
            </w:r>
          </w:p>
          <w:p w14:paraId="590664E9">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可视化配置：实现流程权限与状态的自定义控制，支持复杂流程分支、智能流程仿真及自由流程配置。</w:t>
            </w:r>
          </w:p>
          <w:p w14:paraId="0A30611B">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流程衔接：流程间通过免代码开发实现按条件自动衔接串联，并传递数据。</w:t>
            </w:r>
          </w:p>
          <w:p w14:paraId="7DF6A8F8">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 表单能力</w:t>
            </w:r>
          </w:p>
          <w:p w14:paraId="4F68B1EA">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高可定制化：表单设计无需与数据库及代码挂钩，操作便捷。</w:t>
            </w:r>
          </w:p>
          <w:p w14:paraId="3BFC4089">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校验规则：支持设置校验规则，确保表单填写内容合规。</w:t>
            </w:r>
          </w:p>
          <w:p w14:paraId="69840843">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在线操作：支持在线完成表单模板制作、权限控制、表单查询，无需添加代码块。</w:t>
            </w:r>
          </w:p>
          <w:p w14:paraId="76667933">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 门户能力</w:t>
            </w:r>
          </w:p>
          <w:p w14:paraId="2042BDAB">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自定义配置：支持门户的自定义配置，按角色/部门定制不同业务门户。</w:t>
            </w:r>
          </w:p>
          <w:p w14:paraId="396B9D82">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多样化展示：支持菜单式功能入口以业务导图形式展现，提供业务引导。</w:t>
            </w:r>
          </w:p>
          <w:p w14:paraId="371B689C">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多端支持：支持PC端、移动端、大屏的门户设计，支持节庆日登录背景自动切换。</w:t>
            </w:r>
          </w:p>
          <w:p w14:paraId="380D82CB">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组件扩展：支持云服务环境下载门户、栏目等组件进行扩展。</w:t>
            </w:r>
          </w:p>
          <w:p w14:paraId="5A4579FB">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 集成能力</w:t>
            </w:r>
          </w:p>
          <w:p w14:paraId="767B28AE">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标准化集成：具备标准化的集成插件和成熟的集成配置工具，采用OSF、WIF、RSF、WebService等协议，支持分层服务模式。</w:t>
            </w:r>
          </w:p>
          <w:p w14:paraId="31B18885">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多系统集成：支持内外开放接口库、组织机构同步、消息/待办集成、单点登录、单位统一信息门户、数据交换等集成服务。</w:t>
            </w:r>
          </w:p>
          <w:p w14:paraId="56BF7CCA">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深度融合：基于数据交换引擎DEE和单点登录SSO，实现与OA、ERP、财务系统等多层次集成整合，支撑公文流转、审批协同等核心业务场景。</w:t>
            </w:r>
          </w:p>
          <w:p w14:paraId="799C3475">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 数据服务能力</w:t>
            </w:r>
          </w:p>
          <w:p w14:paraId="67B2F163">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EXCEL文件处理：能够利用EXCEL文件自动生成表单，并具备应用快速迁移能力，包括图片、枚举基础数据识别。</w:t>
            </w:r>
          </w:p>
          <w:p w14:paraId="5A0A9423">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 扩展</w:t>
            </w:r>
            <w:r>
              <w:rPr>
                <w:rFonts w:hint="eastAsia" w:ascii="仿宋" w:hAnsi="仿宋" w:eastAsia="仿宋" w:cs="仿宋"/>
                <w:color w:val="auto"/>
                <w:szCs w:val="21"/>
                <w:highlight w:val="none"/>
                <w:lang w:val="en-US" w:eastAsia="zh-CN"/>
              </w:rPr>
              <w:t>能力</w:t>
            </w:r>
          </w:p>
          <w:p w14:paraId="3ED3AA87">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功能扩展性：具有良好的功能扩展性，可通过配置实现业务需求和业务规则调整，减少二次开发。</w:t>
            </w:r>
          </w:p>
          <w:p w14:paraId="38D3BB8D">
            <w:pPr>
              <w:keepNext w:val="0"/>
              <w:keepLines w:val="0"/>
              <w:pageBreakBefore w:val="0"/>
              <w:kinsoku/>
              <w:wordWrap/>
              <w:overflowPunct/>
              <w:topLinePunct w:val="0"/>
              <w:autoSpaceDE/>
              <w:autoSpaceDN/>
              <w:bidi w:val="0"/>
              <w:adjustRightInd/>
              <w:spacing w:line="360" w:lineRule="auto"/>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10.兼容能力</w:t>
            </w:r>
            <w:r>
              <w:rPr>
                <w:rFonts w:hint="eastAsia" w:ascii="仿宋" w:hAnsi="仿宋" w:eastAsia="仿宋" w:cs="仿宋"/>
                <w:color w:val="auto"/>
                <w:szCs w:val="21"/>
                <w:highlight w:val="none"/>
                <w:lang w:val="en-US" w:eastAsia="zh-CN"/>
              </w:rPr>
              <w:br w:type="textWrapping"/>
            </w:r>
            <w:r>
              <w:rPr>
                <w:rFonts w:hint="eastAsia" w:ascii="仿宋" w:hAnsi="仿宋" w:eastAsia="仿宋" w:cs="仿宋"/>
                <w:color w:val="auto"/>
                <w:szCs w:val="21"/>
                <w:highlight w:val="none"/>
                <w:lang w:val="en-US" w:eastAsia="zh-CN"/>
              </w:rPr>
              <w:t>兼容性：</w:t>
            </w:r>
            <w:r>
              <w:rPr>
                <w:rFonts w:hint="eastAsia" w:ascii="仿宋" w:hAnsi="仿宋" w:eastAsia="仿宋" w:cs="仿宋"/>
                <w:color w:val="auto"/>
                <w:szCs w:val="21"/>
                <w:highlight w:val="none"/>
                <w:lang w:eastAsia="zh-CN"/>
              </w:rPr>
              <w:t>全面适配信创及常规环境。服务端兼容麒麟、统信等操作系统，达梦、人大金仓等数据库，东方通等中间件；客户端适配多种浏览器，支持 Windows、麒麟系统，还能与 WPS 等办公软件协同，满足多元办公需求 。</w:t>
            </w:r>
          </w:p>
          <w:p w14:paraId="13F2BE7F">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 平台二次开发与集成性能</w:t>
            </w:r>
          </w:p>
          <w:p w14:paraId="5922CAF0">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二次开发平台：提供二次开发管理与协同平台，支持自有开发团队进行创新应用开发。</w:t>
            </w:r>
          </w:p>
          <w:p w14:paraId="1E58B712">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多方协同：支持多方协同定制开发平台，满足业务对象、插件开发、源码服务、在线构建、质量管理、自动化测试、在线发布等应用要求。</w:t>
            </w:r>
          </w:p>
          <w:p w14:paraId="4D7194A8">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lang w:eastAsia="zh-CN"/>
              </w:rPr>
              <w:t>. 中间件适配</w:t>
            </w:r>
            <w:r>
              <w:rPr>
                <w:rFonts w:hint="eastAsia" w:ascii="仿宋" w:hAnsi="仿宋" w:eastAsia="仿宋" w:cs="仿宋"/>
                <w:color w:val="auto"/>
                <w:szCs w:val="21"/>
                <w:highlight w:val="none"/>
                <w:lang w:val="en-US" w:eastAsia="zh-CN"/>
              </w:rPr>
              <w:t>能力</w:t>
            </w:r>
          </w:p>
          <w:p w14:paraId="2003CD65">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国产中间件：支持国产中间件，通过J2EE</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5.0认证。</w:t>
            </w:r>
          </w:p>
          <w:p w14:paraId="73E46086">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性能要求</w:t>
            </w:r>
          </w:p>
          <w:p w14:paraId="4BB86042">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主数据模型：有确实可行的主数据模型方案，支持公司未来异构系统的快速集成。</w:t>
            </w:r>
          </w:p>
          <w:p w14:paraId="13CF9406">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 系统与网络安全维护</w:t>
            </w:r>
          </w:p>
          <w:p w14:paraId="4B789DF0">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可视化管理：通过防护日志、会话管理、通信安全、数据保护、安全审计、http安全管理、密级管理、三员分离等多种类型进行可视化管理。</w:t>
            </w:r>
          </w:p>
          <w:p w14:paraId="0AD7486C">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控件检测：无需单独安装流程控件，具备控件检测和控件说明。</w:t>
            </w:r>
          </w:p>
          <w:p w14:paraId="010AC41E">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安全集成：能够与主流安全厂商的安全产品无缝集成，实现安全身份认证，保障端到端的安全性。</w:t>
            </w:r>
          </w:p>
          <w:p w14:paraId="5161B983">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 信创适配</w:t>
            </w:r>
          </w:p>
          <w:p w14:paraId="33916FFD">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国产化芯片：适配龙芯、飞腾、鲲鹏、兆芯、海光、申威等国产化芯片。</w:t>
            </w:r>
          </w:p>
          <w:p w14:paraId="03433A13">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国产化操作系统：支持银河麒麟、中标麒麟、统信、普华、中科方德等国产化操作系统。</w:t>
            </w:r>
          </w:p>
          <w:p w14:paraId="489892D6">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国产化数据库：满足人大金仓、达梦、神州通用、中兴数据、华为高斯、科蓝、南通、</w:t>
            </w:r>
            <w:r>
              <w:rPr>
                <w:rFonts w:hint="eastAsia" w:ascii="仿宋" w:hAnsi="仿宋" w:eastAsia="仿宋" w:cs="仿宋"/>
                <w:color w:val="auto"/>
                <w:szCs w:val="21"/>
                <w:highlight w:val="none"/>
                <w:lang w:val="en-US" w:eastAsia="zh-CN"/>
              </w:rPr>
              <w:t>海量</w:t>
            </w:r>
            <w:r>
              <w:rPr>
                <w:rFonts w:hint="eastAsia" w:ascii="仿宋" w:hAnsi="仿宋" w:eastAsia="仿宋" w:cs="仿宋"/>
                <w:color w:val="auto"/>
                <w:szCs w:val="21"/>
                <w:highlight w:val="none"/>
                <w:lang w:eastAsia="zh-CN"/>
              </w:rPr>
              <w:t>等国产化数据库适配要求。</w:t>
            </w:r>
          </w:p>
        </w:tc>
      </w:tr>
      <w:tr w14:paraId="4F88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Align w:val="center"/>
          </w:tcPr>
          <w:p w14:paraId="24127555">
            <w:pPr>
              <w:keepNext w:val="0"/>
              <w:keepLines w:val="0"/>
              <w:pageBreakBefore w:val="0"/>
              <w:kinsoku/>
              <w:wordWrap/>
              <w:overflowPunct/>
              <w:topLinePunct w:val="0"/>
              <w:autoSpaceDE/>
              <w:autoSpaceDN/>
              <w:bidi w:val="0"/>
              <w:adjustRightInd/>
              <w:spacing w:line="360" w:lineRule="auto"/>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系统建设需求</w:t>
            </w:r>
          </w:p>
        </w:tc>
        <w:tc>
          <w:tcPr>
            <w:tcW w:w="7126" w:type="dxa"/>
          </w:tcPr>
          <w:p w14:paraId="26574AC5">
            <w:pPr>
              <w:keepNext w:val="0"/>
              <w:keepLines w:val="0"/>
              <w:pageBreakBefore w:val="0"/>
              <w:kinsoku/>
              <w:wordWrap/>
              <w:overflowPunct/>
              <w:topLinePunct w:val="0"/>
              <w:autoSpaceDE/>
              <w:autoSpaceDN/>
              <w:bidi w:val="0"/>
              <w:adjustRightInd/>
              <w:spacing w:line="360" w:lineRule="auto"/>
              <w:jc w:val="both"/>
              <w:textAlignment w:val="auto"/>
              <w:rPr>
                <w:rFonts w:hint="default" w:ascii="仿宋" w:hAnsi="仿宋" w:eastAsia="仿宋" w:cs="仿宋"/>
                <w:color w:val="auto"/>
                <w:szCs w:val="21"/>
                <w:highlight w:val="none"/>
                <w:lang w:val="en-US" w:eastAsia="zh-CN"/>
              </w:rPr>
            </w:pPr>
            <w:bookmarkStart w:id="48" w:name="_Toc17085"/>
            <w:bookmarkStart w:id="49" w:name="_Toc11542"/>
            <w:r>
              <w:rPr>
                <w:rFonts w:hint="eastAsia" w:ascii="仿宋" w:hAnsi="仿宋" w:eastAsia="仿宋" w:cs="仿宋"/>
                <w:color w:val="auto"/>
                <w:szCs w:val="21"/>
                <w:highlight w:val="none"/>
                <w:lang w:val="en-US" w:eastAsia="zh-CN"/>
              </w:rPr>
              <w:t>系统建设要求</w:t>
            </w:r>
          </w:p>
          <w:p w14:paraId="59F6F286">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（一）系统部署环境要求</w:t>
            </w:r>
          </w:p>
          <w:p w14:paraId="51B109F4">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 部署环境为国产化环境；</w:t>
            </w:r>
          </w:p>
          <w:p w14:paraId="0E790C57">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 供应商需提供符合国产化部署要求的服务器、数据库、中间件及操作系统；</w:t>
            </w:r>
          </w:p>
          <w:p w14:paraId="3388E507">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 部署环境需满足数据安全备份，提供安全服务。</w:t>
            </w:r>
          </w:p>
          <w:p w14:paraId="664461DE">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二．系统建设内容</w:t>
            </w:r>
          </w:p>
          <w:p w14:paraId="1A194687">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财务管理系统</w:t>
            </w:r>
            <w:bookmarkEnd w:id="48"/>
            <w:bookmarkEnd w:id="49"/>
          </w:p>
          <w:p w14:paraId="12624915">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50" w:name="_Toc13926"/>
            <w:bookmarkStart w:id="51" w:name="_Hlk69570925"/>
            <w:r>
              <w:rPr>
                <w:rFonts w:hint="eastAsia" w:ascii="仿宋" w:hAnsi="仿宋" w:eastAsia="仿宋" w:cs="仿宋"/>
                <w:color w:val="auto"/>
                <w:szCs w:val="21"/>
                <w:highlight w:val="none"/>
                <w:lang w:eastAsia="zh-CN"/>
              </w:rPr>
              <w:t>总账管理</w:t>
            </w:r>
            <w:bookmarkEnd w:id="50"/>
          </w:p>
          <w:p w14:paraId="4EE519F9">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围绕凭证为核心，提供现金流量管理、往来账龄管理、集团内部交易管理等功能。并提供了科目总账、科目明细账、辅助总账、辅助明细账等类别的账表查询功能。还提供期末调汇、自动转账、期末摊销、结转损益、结账检查、期末结账等一系列功能辅助企业做期末处理。</w:t>
            </w:r>
          </w:p>
          <w:p w14:paraId="3881D355">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52" w:name="_Toc30557"/>
            <w:r>
              <w:rPr>
                <w:rFonts w:hint="eastAsia" w:ascii="仿宋" w:hAnsi="仿宋" w:eastAsia="仿宋" w:cs="仿宋"/>
                <w:color w:val="auto"/>
                <w:szCs w:val="21"/>
                <w:highlight w:val="none"/>
                <w:lang w:eastAsia="zh-CN"/>
              </w:rPr>
              <w:t>报表管理</w:t>
            </w:r>
            <w:bookmarkEnd w:id="52"/>
          </w:p>
          <w:p w14:paraId="5DBB4097">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便于取数，系统提供报表批量编制、报表审核、报表上报、报表打印、报表联查、报表查询及分析等功能，并支持灵活、丰富的取数公式。</w:t>
            </w:r>
          </w:p>
          <w:p w14:paraId="3AA35C1E">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53" w:name="_Toc13809"/>
            <w:r>
              <w:rPr>
                <w:rFonts w:hint="eastAsia" w:ascii="仿宋" w:hAnsi="仿宋" w:eastAsia="仿宋" w:cs="仿宋"/>
                <w:color w:val="auto"/>
                <w:szCs w:val="21"/>
                <w:highlight w:val="none"/>
                <w:lang w:eastAsia="zh-CN"/>
              </w:rPr>
              <w:t>合并报表</w:t>
            </w:r>
            <w:bookmarkEnd w:id="53"/>
          </w:p>
          <w:p w14:paraId="01C9DBC0">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为企业提供按法定合并架构进行合并处理的全面解决方案，支持从模板编制及分配，个别报表编制、上报、接收，抵销分录编制，工作底稿编制、法定合并编制等业务流程。</w:t>
            </w:r>
          </w:p>
          <w:p w14:paraId="570916A6">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54" w:name="_Toc27967"/>
            <w:r>
              <w:rPr>
                <w:rFonts w:hint="eastAsia" w:ascii="仿宋" w:hAnsi="仿宋" w:eastAsia="仿宋" w:cs="仿宋"/>
                <w:color w:val="auto"/>
                <w:szCs w:val="21"/>
                <w:highlight w:val="none"/>
                <w:lang w:val="en-US" w:eastAsia="zh-CN"/>
              </w:rPr>
              <w:t>固定资产</w:t>
            </w:r>
            <w:bookmarkEnd w:id="54"/>
          </w:p>
          <w:p w14:paraId="298D4088">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资产卡片管理</w:t>
            </w:r>
          </w:p>
          <w:p w14:paraId="543000FA">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支持电子化录入固定资产信息（如资产名称、型号、原值、使用部门、折旧方法、购置日期等），形成标准化资产卡片。可批量导入 / 导出资产数据，简化初始化工作。支持附件上传（如发票、保修单、照片等），实现资产信息的完整留存。</w:t>
            </w:r>
          </w:p>
          <w:p w14:paraId="134F8170">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资产分类与编码</w:t>
            </w:r>
          </w:p>
          <w:p w14:paraId="082B369E">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自定义资产分类体系（如房屋建筑、机器设备、电子设备等），匹配企业管理需求。自动生成唯一资产编码，便于资产标识与追踪。</w:t>
            </w:r>
          </w:p>
          <w:bookmarkEnd w:id="51"/>
          <w:p w14:paraId="64386EF7">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55" w:name="_Toc18404"/>
            <w:r>
              <w:rPr>
                <w:rFonts w:hint="eastAsia" w:ascii="仿宋" w:hAnsi="仿宋" w:eastAsia="仿宋" w:cs="仿宋"/>
                <w:color w:val="auto"/>
                <w:szCs w:val="21"/>
                <w:highlight w:val="none"/>
                <w:lang w:eastAsia="zh-CN"/>
              </w:rPr>
              <w:t>国资监管财务平台</w:t>
            </w:r>
            <w:bookmarkEnd w:id="55"/>
          </w:p>
          <w:p w14:paraId="6DE7A664">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实现</w:t>
            </w:r>
            <w:r>
              <w:rPr>
                <w:rFonts w:hint="eastAsia" w:ascii="仿宋" w:hAnsi="仿宋" w:eastAsia="仿宋" w:cs="仿宋"/>
                <w:color w:val="auto"/>
                <w:szCs w:val="21"/>
                <w:highlight w:val="none"/>
                <w:lang w:eastAsia="zh-CN"/>
              </w:rPr>
              <w:t>报表查询、一键采集、报表</w:t>
            </w:r>
            <w:r>
              <w:rPr>
                <w:rFonts w:hint="eastAsia" w:ascii="仿宋" w:hAnsi="仿宋" w:eastAsia="仿宋" w:cs="仿宋"/>
                <w:color w:val="auto"/>
                <w:szCs w:val="21"/>
                <w:highlight w:val="none"/>
                <w:lang w:val="en-US" w:eastAsia="zh-CN"/>
              </w:rPr>
              <w:t>定时</w:t>
            </w:r>
            <w:r>
              <w:rPr>
                <w:rFonts w:hint="eastAsia" w:ascii="仿宋" w:hAnsi="仿宋" w:eastAsia="仿宋" w:cs="仿宋"/>
                <w:color w:val="auto"/>
                <w:szCs w:val="21"/>
                <w:highlight w:val="none"/>
                <w:lang w:eastAsia="zh-CN"/>
              </w:rPr>
              <w:t>上报、</w:t>
            </w:r>
            <w:r>
              <w:rPr>
                <w:rFonts w:hint="eastAsia" w:ascii="仿宋" w:hAnsi="仿宋" w:eastAsia="仿宋" w:cs="仿宋"/>
                <w:color w:val="auto"/>
                <w:szCs w:val="21"/>
                <w:highlight w:val="none"/>
                <w:lang w:val="en-US" w:eastAsia="zh-CN"/>
              </w:rPr>
              <w:t>横向及纵向过录表、指标库等功能。</w:t>
            </w:r>
          </w:p>
          <w:p w14:paraId="702797C0">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56" w:name="_Toc12758"/>
            <w:bookmarkStart w:id="57" w:name="_Toc26935"/>
            <w:r>
              <w:rPr>
                <w:rFonts w:hint="eastAsia" w:ascii="仿宋" w:hAnsi="仿宋" w:eastAsia="仿宋" w:cs="仿宋"/>
                <w:color w:val="auto"/>
                <w:szCs w:val="21"/>
                <w:highlight w:val="none"/>
                <w:lang w:eastAsia="zh-CN"/>
              </w:rPr>
              <w:t>企业组织机构管理</w:t>
            </w:r>
            <w:bookmarkEnd w:id="56"/>
            <w:bookmarkEnd w:id="57"/>
          </w:p>
          <w:p w14:paraId="69681AAC">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58" w:name="_Toc6318"/>
            <w:r>
              <w:rPr>
                <w:rFonts w:hint="eastAsia" w:ascii="仿宋" w:hAnsi="仿宋" w:eastAsia="仿宋" w:cs="仿宋"/>
                <w:color w:val="auto"/>
                <w:szCs w:val="21"/>
                <w:highlight w:val="none"/>
                <w:lang w:eastAsia="zh-CN"/>
              </w:rPr>
              <w:t>企业管理层级数</w:t>
            </w:r>
            <w:bookmarkEnd w:id="58"/>
          </w:p>
          <w:p w14:paraId="7AB09E21">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按照出资企业管理层级，采用树形结构方式显示企业组织机构信息，出资企业可通过“层级调整”功能，实现管理层级调整。</w:t>
            </w:r>
          </w:p>
          <w:p w14:paraId="2F20E5A3">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59" w:name="_Toc6761"/>
            <w:r>
              <w:rPr>
                <w:rFonts w:hint="eastAsia" w:ascii="仿宋" w:hAnsi="仿宋" w:eastAsia="仿宋" w:cs="仿宋"/>
                <w:color w:val="auto"/>
                <w:szCs w:val="21"/>
                <w:highlight w:val="none"/>
                <w:lang w:eastAsia="zh-CN"/>
              </w:rPr>
              <w:t>企业法人层级数</w:t>
            </w:r>
            <w:bookmarkEnd w:id="59"/>
          </w:p>
          <w:p w14:paraId="4B99A9F8">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按照出资企业法人层级，采用树形结构方式显示企业组织机构信息，出资企业可通过“层级调整”功能，实现法人层级调整。</w:t>
            </w:r>
          </w:p>
          <w:p w14:paraId="7CD9C461">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60" w:name="_Toc17796"/>
            <w:r>
              <w:rPr>
                <w:rFonts w:hint="eastAsia" w:ascii="仿宋" w:hAnsi="仿宋" w:eastAsia="仿宋" w:cs="仿宋"/>
                <w:color w:val="auto"/>
                <w:szCs w:val="21"/>
                <w:highlight w:val="none"/>
                <w:lang w:eastAsia="zh-CN"/>
              </w:rPr>
              <w:t>股权穿透图</w:t>
            </w:r>
            <w:bookmarkEnd w:id="60"/>
          </w:p>
          <w:p w14:paraId="46675A5C">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提供企业股权穿透图，并支持自定义查看功能，可通过企业名称，查询企业的股权穿透信息，并以图表的形式直观展示。</w:t>
            </w:r>
          </w:p>
          <w:p w14:paraId="55BEA943">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61" w:name="_Toc20791"/>
            <w:r>
              <w:rPr>
                <w:rFonts w:hint="eastAsia" w:ascii="仿宋" w:hAnsi="仿宋" w:eastAsia="仿宋" w:cs="仿宋"/>
                <w:color w:val="auto"/>
                <w:szCs w:val="21"/>
                <w:highlight w:val="none"/>
                <w:lang w:eastAsia="zh-CN"/>
              </w:rPr>
              <w:t>岗位配置管理</w:t>
            </w:r>
            <w:bookmarkEnd w:id="61"/>
          </w:p>
          <w:p w14:paraId="22223FB8">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对企业内部岗位的设置、职责定义、人员匹配及动态调整进行系统化管理。</w:t>
            </w:r>
          </w:p>
          <w:p w14:paraId="36413EA3">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62" w:name="_Toc27971"/>
            <w:r>
              <w:rPr>
                <w:rFonts w:hint="eastAsia" w:ascii="仿宋" w:hAnsi="仿宋" w:eastAsia="仿宋" w:cs="仿宋"/>
                <w:color w:val="auto"/>
                <w:szCs w:val="21"/>
                <w:highlight w:val="none"/>
                <w:lang w:eastAsia="zh-CN"/>
              </w:rPr>
              <w:t>职务级别</w:t>
            </w:r>
            <w:bookmarkEnd w:id="62"/>
          </w:p>
          <w:p w14:paraId="636BFF95">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对于不同职务级别的描述，通常会根据其角色和职责进行定制。</w:t>
            </w:r>
          </w:p>
          <w:p w14:paraId="324DECED">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63" w:name="_Toc26914"/>
            <w:r>
              <w:rPr>
                <w:rFonts w:hint="eastAsia" w:ascii="仿宋" w:hAnsi="仿宋" w:eastAsia="仿宋" w:cs="仿宋"/>
                <w:color w:val="auto"/>
                <w:szCs w:val="21"/>
                <w:highlight w:val="none"/>
                <w:lang w:eastAsia="zh-CN"/>
              </w:rPr>
              <w:t>人员信息</w:t>
            </w:r>
            <w:bookmarkEnd w:id="63"/>
          </w:p>
          <w:p w14:paraId="6BF9F026">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对人员的姓名、部门、岗位、职务级别、人员类型（状态）等进行管理。</w:t>
            </w:r>
          </w:p>
          <w:p w14:paraId="0BD23E14">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64" w:name="_Toc7472"/>
            <w:r>
              <w:rPr>
                <w:rFonts w:hint="eastAsia" w:ascii="仿宋" w:hAnsi="仿宋" w:eastAsia="仿宋" w:cs="仿宋"/>
                <w:color w:val="auto"/>
                <w:szCs w:val="21"/>
                <w:highlight w:val="none"/>
                <w:lang w:eastAsia="zh-CN"/>
              </w:rPr>
              <w:t>人员排序管理</w:t>
            </w:r>
            <w:bookmarkEnd w:id="64"/>
          </w:p>
          <w:p w14:paraId="78559CD5">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按照部门及岗位对人员信息进行排序管理。</w:t>
            </w:r>
          </w:p>
          <w:p w14:paraId="12E73B34">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65" w:name="_Toc761"/>
            <w:r>
              <w:rPr>
                <w:rFonts w:hint="eastAsia" w:ascii="仿宋" w:hAnsi="仿宋" w:eastAsia="仿宋" w:cs="仿宋"/>
                <w:color w:val="auto"/>
                <w:szCs w:val="21"/>
                <w:highlight w:val="none"/>
                <w:lang w:eastAsia="zh-CN"/>
              </w:rPr>
              <w:t>集团信息</w:t>
            </w:r>
            <w:bookmarkEnd w:id="65"/>
          </w:p>
          <w:p w14:paraId="1586DF70">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针对各集团企业的信息进行管理。</w:t>
            </w:r>
          </w:p>
          <w:p w14:paraId="748D275D">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66" w:name="_Toc479"/>
            <w:bookmarkStart w:id="67" w:name="_Toc8434"/>
            <w:r>
              <w:rPr>
                <w:rFonts w:hint="eastAsia" w:ascii="仿宋" w:hAnsi="仿宋" w:eastAsia="仿宋" w:cs="仿宋"/>
                <w:color w:val="auto"/>
                <w:szCs w:val="21"/>
                <w:highlight w:val="none"/>
                <w:lang w:eastAsia="zh-CN"/>
              </w:rPr>
              <w:t>人事管理系统</w:t>
            </w:r>
            <w:bookmarkEnd w:id="66"/>
            <w:bookmarkEnd w:id="67"/>
          </w:p>
          <w:p w14:paraId="182F6F0D">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68" w:name="_Toc6521"/>
            <w:r>
              <w:rPr>
                <w:rFonts w:hint="eastAsia" w:ascii="仿宋" w:hAnsi="仿宋" w:eastAsia="仿宋" w:cs="仿宋"/>
                <w:color w:val="auto"/>
                <w:szCs w:val="21"/>
                <w:highlight w:val="none"/>
                <w:lang w:eastAsia="zh-CN"/>
              </w:rPr>
              <w:t>人员信息管理</w:t>
            </w:r>
            <w:bookmarkEnd w:id="68"/>
          </w:p>
          <w:p w14:paraId="1E8F2308">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69" w:name="_Toc385868378"/>
            <w:bookmarkStart w:id="70" w:name="_Toc253692340"/>
            <w:bookmarkStart w:id="71" w:name="_Toc385614195"/>
            <w:r>
              <w:rPr>
                <w:rFonts w:hint="eastAsia" w:ascii="仿宋" w:hAnsi="仿宋" w:eastAsia="仿宋" w:cs="仿宋"/>
                <w:color w:val="auto"/>
                <w:szCs w:val="21"/>
                <w:highlight w:val="none"/>
                <w:lang w:eastAsia="zh-CN"/>
              </w:rPr>
              <w:t>实现对出资企业集团成员人员信息的管理维护，形成干部信息库，进行多维度查询。</w:t>
            </w:r>
          </w:p>
          <w:bookmarkEnd w:id="69"/>
          <w:bookmarkEnd w:id="70"/>
          <w:bookmarkEnd w:id="71"/>
          <w:p w14:paraId="745A6A00">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72" w:name="_Toc14147"/>
            <w:r>
              <w:rPr>
                <w:rFonts w:hint="eastAsia" w:ascii="仿宋" w:hAnsi="仿宋" w:eastAsia="仿宋" w:cs="仿宋"/>
                <w:color w:val="auto"/>
                <w:szCs w:val="21"/>
                <w:highlight w:val="none"/>
                <w:lang w:eastAsia="zh-CN"/>
              </w:rPr>
              <w:t>出国（境）管理</w:t>
            </w:r>
            <w:bookmarkEnd w:id="72"/>
          </w:p>
          <w:p w14:paraId="29ED09E2">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支持出国境的</w:t>
            </w:r>
            <w:r>
              <w:rPr>
                <w:rFonts w:hint="eastAsia" w:ascii="仿宋" w:hAnsi="仿宋" w:eastAsia="仿宋" w:cs="仿宋"/>
                <w:color w:val="auto"/>
                <w:szCs w:val="21"/>
                <w:highlight w:val="none"/>
                <w:lang w:val="en-US" w:eastAsia="zh-CN"/>
              </w:rPr>
              <w:t>登记</w:t>
            </w:r>
            <w:r>
              <w:rPr>
                <w:rFonts w:hint="eastAsia" w:ascii="仿宋" w:hAnsi="仿宋" w:eastAsia="仿宋" w:cs="仿宋"/>
                <w:color w:val="auto"/>
                <w:szCs w:val="21"/>
                <w:highlight w:val="none"/>
                <w:lang w:eastAsia="zh-CN"/>
              </w:rPr>
              <w:t>及证照管理，</w:t>
            </w:r>
            <w:r>
              <w:rPr>
                <w:rFonts w:hint="eastAsia" w:ascii="仿宋" w:hAnsi="仿宋" w:eastAsia="仿宋" w:cs="仿宋"/>
                <w:color w:val="auto"/>
                <w:szCs w:val="21"/>
                <w:highlight w:val="none"/>
                <w:lang w:val="en-US" w:eastAsia="zh-CN"/>
              </w:rPr>
              <w:t>便于查询。</w:t>
            </w:r>
          </w:p>
          <w:p w14:paraId="1EFBB1F9">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73" w:name="_Toc2997"/>
            <w:r>
              <w:rPr>
                <w:rFonts w:hint="eastAsia" w:ascii="仿宋" w:hAnsi="仿宋" w:eastAsia="仿宋" w:cs="仿宋"/>
                <w:color w:val="auto"/>
                <w:szCs w:val="21"/>
                <w:highlight w:val="none"/>
                <w:lang w:eastAsia="zh-CN"/>
              </w:rPr>
              <w:t>离退休职工服务管理</w:t>
            </w:r>
            <w:bookmarkEnd w:id="73"/>
          </w:p>
          <w:p w14:paraId="1F3DDCA4">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建立阿图什国资委退休干部职工信息台账，对相关情况进行直观展示，便于开展退休干部职工情况的</w:t>
            </w:r>
            <w:r>
              <w:rPr>
                <w:rFonts w:hint="eastAsia" w:ascii="仿宋" w:hAnsi="仿宋" w:eastAsia="仿宋" w:cs="仿宋"/>
                <w:color w:val="auto"/>
                <w:szCs w:val="21"/>
                <w:highlight w:val="none"/>
                <w:lang w:val="en-US" w:eastAsia="zh-CN"/>
              </w:rPr>
              <w:t>调查</w:t>
            </w:r>
            <w:r>
              <w:rPr>
                <w:rFonts w:hint="eastAsia" w:ascii="仿宋" w:hAnsi="仿宋" w:eastAsia="仿宋" w:cs="仿宋"/>
                <w:color w:val="auto"/>
                <w:szCs w:val="21"/>
                <w:highlight w:val="none"/>
                <w:lang w:eastAsia="zh-CN"/>
              </w:rPr>
              <w:t>。</w:t>
            </w:r>
          </w:p>
          <w:p w14:paraId="17C0621B">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74" w:name="_Toc31008"/>
            <w:r>
              <w:rPr>
                <w:rFonts w:hint="eastAsia" w:ascii="仿宋" w:hAnsi="仿宋" w:eastAsia="仿宋" w:cs="仿宋"/>
                <w:color w:val="auto"/>
                <w:szCs w:val="21"/>
                <w:highlight w:val="none"/>
                <w:lang w:eastAsia="zh-CN"/>
              </w:rPr>
              <w:t>人事任免信息管理</w:t>
            </w:r>
            <w:bookmarkEnd w:id="74"/>
          </w:p>
          <w:p w14:paraId="15C8862E">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通过《干部任免表》填报表单，对企业人员任免信息、履职信息、职务变动信息进行全面记录。</w:t>
            </w:r>
          </w:p>
          <w:p w14:paraId="1FED8BCE">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75" w:name="_Toc21512"/>
            <w:r>
              <w:rPr>
                <w:rFonts w:hint="eastAsia" w:ascii="仿宋" w:hAnsi="仿宋" w:eastAsia="仿宋" w:cs="仿宋"/>
                <w:color w:val="auto"/>
                <w:szCs w:val="21"/>
                <w:highlight w:val="none"/>
                <w:lang w:eastAsia="zh-CN"/>
              </w:rPr>
              <w:t>人事报表</w:t>
            </w:r>
            <w:bookmarkEnd w:id="75"/>
          </w:p>
          <w:p w14:paraId="3249DE6F">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对人员明细进行查询。</w:t>
            </w:r>
          </w:p>
          <w:p w14:paraId="6F57C252">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76" w:name="_Toc28549"/>
            <w:bookmarkStart w:id="77" w:name="_Toc2546"/>
            <w:r>
              <w:rPr>
                <w:rFonts w:hint="eastAsia" w:ascii="仿宋" w:hAnsi="仿宋" w:eastAsia="仿宋" w:cs="仿宋"/>
                <w:color w:val="auto"/>
                <w:szCs w:val="21"/>
                <w:highlight w:val="none"/>
                <w:lang w:eastAsia="zh-CN"/>
              </w:rPr>
              <w:t>资产管理系统</w:t>
            </w:r>
            <w:bookmarkEnd w:id="76"/>
            <w:bookmarkEnd w:id="77"/>
          </w:p>
          <w:p w14:paraId="055EB7A8">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78" w:name="_Toc5987"/>
            <w:r>
              <w:rPr>
                <w:rFonts w:hint="eastAsia" w:ascii="仿宋" w:hAnsi="仿宋" w:eastAsia="仿宋" w:cs="仿宋"/>
                <w:color w:val="auto"/>
                <w:szCs w:val="21"/>
                <w:highlight w:val="none"/>
                <w:lang w:eastAsia="zh-CN"/>
              </w:rPr>
              <w:t>一般性资产台账</w:t>
            </w:r>
            <w:bookmarkEnd w:id="78"/>
          </w:p>
          <w:p w14:paraId="7CBDC7E8">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对一般性资产的分类、位置、状态等进行台账记录，通过一般性资产台账模块了解国有企业的资产状况，进行监管和评估。</w:t>
            </w:r>
          </w:p>
          <w:p w14:paraId="4DA5712C">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79" w:name="_Toc29684"/>
            <w:r>
              <w:rPr>
                <w:rFonts w:hint="eastAsia" w:ascii="仿宋" w:hAnsi="仿宋" w:eastAsia="仿宋" w:cs="仿宋"/>
                <w:color w:val="auto"/>
                <w:szCs w:val="21"/>
                <w:highlight w:val="none"/>
                <w:lang w:eastAsia="zh-CN"/>
              </w:rPr>
              <w:t>经营性资产台账</w:t>
            </w:r>
            <w:bookmarkEnd w:id="79"/>
          </w:p>
          <w:p w14:paraId="05738F75">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记录创建土地、楼盘档案，作为资产的归属依据，对房屋、土地、广告、市场、停车场等类型资产，创建资产档案。</w:t>
            </w:r>
          </w:p>
          <w:p w14:paraId="64FB0188">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80" w:name="_Toc22577"/>
            <w:r>
              <w:rPr>
                <w:rFonts w:hint="eastAsia" w:ascii="仿宋" w:hAnsi="仿宋" w:eastAsia="仿宋" w:cs="仿宋"/>
                <w:color w:val="auto"/>
                <w:szCs w:val="21"/>
                <w:highlight w:val="none"/>
                <w:lang w:eastAsia="zh-CN"/>
              </w:rPr>
              <w:t>资产调拨记录</w:t>
            </w:r>
            <w:bookmarkEnd w:id="80"/>
          </w:p>
          <w:p w14:paraId="12D770FF">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员工或部门申领资产并投入使用，记录领用人、用途及归还责任；资产责任人变更时的交接流程，包括实物清点及系统信息更新，确保权责无缝转移。</w:t>
            </w:r>
          </w:p>
          <w:p w14:paraId="1DA048B9">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81" w:name="_Toc6749"/>
            <w:r>
              <w:rPr>
                <w:rFonts w:hint="eastAsia" w:ascii="仿宋" w:hAnsi="仿宋" w:eastAsia="仿宋" w:cs="仿宋"/>
                <w:color w:val="auto"/>
                <w:szCs w:val="21"/>
                <w:highlight w:val="none"/>
                <w:lang w:eastAsia="zh-CN"/>
              </w:rPr>
              <w:t>资产借用记录</w:t>
            </w:r>
            <w:bookmarkEnd w:id="81"/>
          </w:p>
          <w:p w14:paraId="34DA5424">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员工或部门发起短期资产借用请求，明确借用期限及用途，</w:t>
            </w:r>
            <w:r>
              <w:rPr>
                <w:rFonts w:hint="eastAsia" w:ascii="仿宋" w:hAnsi="仿宋" w:eastAsia="仿宋" w:cs="仿宋"/>
                <w:color w:val="auto"/>
                <w:szCs w:val="21"/>
                <w:highlight w:val="none"/>
                <w:lang w:val="en-US" w:eastAsia="zh-CN"/>
              </w:rPr>
              <w:t>然后</w:t>
            </w:r>
            <w:r>
              <w:rPr>
                <w:rFonts w:hint="eastAsia" w:ascii="仿宋" w:hAnsi="仿宋" w:eastAsia="仿宋" w:cs="仿宋"/>
                <w:color w:val="auto"/>
                <w:szCs w:val="21"/>
                <w:highlight w:val="none"/>
                <w:lang w:eastAsia="zh-CN"/>
              </w:rPr>
              <w:t xml:space="preserve">完成借用登记。  </w:t>
            </w:r>
          </w:p>
          <w:p w14:paraId="0A82DF32">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82" w:name="_Toc12579"/>
            <w:r>
              <w:rPr>
                <w:rFonts w:hint="eastAsia" w:ascii="仿宋" w:hAnsi="仿宋" w:eastAsia="仿宋" w:cs="仿宋"/>
                <w:color w:val="auto"/>
                <w:szCs w:val="21"/>
                <w:highlight w:val="none"/>
                <w:lang w:eastAsia="zh-CN"/>
              </w:rPr>
              <w:t>资产报废记录</w:t>
            </w:r>
            <w:bookmarkEnd w:id="82"/>
          </w:p>
          <w:p w14:paraId="24B0AEB7">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对达到使用寿命或技术淘汰的资产进行报废处理，包括技术鉴定及残值回收。  </w:t>
            </w:r>
          </w:p>
          <w:p w14:paraId="0CDD0378">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83" w:name="_Toc5921"/>
            <w:r>
              <w:rPr>
                <w:rFonts w:hint="eastAsia" w:ascii="仿宋" w:hAnsi="仿宋" w:eastAsia="仿宋" w:cs="仿宋"/>
                <w:color w:val="auto"/>
                <w:szCs w:val="21"/>
                <w:highlight w:val="none"/>
                <w:lang w:eastAsia="zh-CN"/>
              </w:rPr>
              <w:t>资产盘点记录</w:t>
            </w:r>
            <w:bookmarkEnd w:id="83"/>
          </w:p>
          <w:p w14:paraId="4A5208C8">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制定盘点计划，分配盘点人员及范围，确保账实相符；将盘点结果（如资产状态、数量差异）录入系统，生成盘点报告并归档。 </w:t>
            </w:r>
          </w:p>
          <w:p w14:paraId="31093C8E">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84" w:name="_Toc22689"/>
            <w:bookmarkStart w:id="85" w:name="_Toc24487"/>
            <w:r>
              <w:rPr>
                <w:rFonts w:hint="eastAsia" w:ascii="仿宋" w:hAnsi="仿宋" w:eastAsia="仿宋" w:cs="仿宋"/>
                <w:color w:val="auto"/>
                <w:szCs w:val="21"/>
                <w:highlight w:val="none"/>
                <w:lang w:eastAsia="zh-CN"/>
              </w:rPr>
              <w:t>可视化数据分析信息化平台</w:t>
            </w:r>
            <w:bookmarkEnd w:id="84"/>
            <w:bookmarkEnd w:id="85"/>
          </w:p>
          <w:p w14:paraId="3AF7F1F2">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动态图表、实时数据流等方式，集中呈现国资监管核心指标（如资产规模、经营效益等），支持多维度分析。</w:t>
            </w:r>
          </w:p>
          <w:p w14:paraId="267570A6">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通过国资委决策支持系统的建设，力求获取反映国资委资产、财务成本等方面最原始、最完整的信息集合，同时又能提供常规的报表处理、数据分析、数据挖掘和其他信息服务功能。</w:t>
            </w:r>
          </w:p>
          <w:p w14:paraId="09095FDB">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能够按不同板块、行业、领域（人、财、物）建立分析模型，实现对各级业务的日常管理、经营指标、综合绩效的分析与结果展现。</w:t>
            </w:r>
          </w:p>
          <w:p w14:paraId="24BDC65B">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能支持仪表盘、多维分析报表的应用，能够从分析的方法上提供结构分析、对比分析、趋势分析、环比分析等</w:t>
            </w:r>
            <w:r>
              <w:rPr>
                <w:rFonts w:hint="eastAsia" w:ascii="仿宋" w:hAnsi="仿宋" w:eastAsia="仿宋" w:cs="仿宋"/>
                <w:color w:val="auto"/>
                <w:szCs w:val="21"/>
                <w:highlight w:val="none"/>
                <w:lang w:val="en-US" w:eastAsia="zh-CN"/>
              </w:rPr>
              <w:t>各类报表</w:t>
            </w:r>
            <w:r>
              <w:rPr>
                <w:rFonts w:hint="eastAsia" w:ascii="仿宋" w:hAnsi="仿宋" w:eastAsia="仿宋" w:cs="仿宋"/>
                <w:color w:val="auto"/>
                <w:szCs w:val="21"/>
                <w:highlight w:val="none"/>
                <w:lang w:eastAsia="zh-CN"/>
              </w:rPr>
              <w:t>。从分析的时间（月、季、年）要求上提供包括相同时期、不同时期的各种比较。</w:t>
            </w:r>
          </w:p>
          <w:p w14:paraId="6AB1E757">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能够对各级管理者实现更直观、更友好的分析界面，可自定义各种图形化分析图形。</w:t>
            </w:r>
          </w:p>
          <w:p w14:paraId="305E3E5F">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能够结合分析结果与预警，对异常指标、关键指标等数据进行及时的报警，反映到决策层和管理层。能够对各级公司的财务指标和报表进行分析。</w:t>
            </w:r>
          </w:p>
          <w:p w14:paraId="34C0A94A">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主要用于呈现多方面的报表，方便国资委</w:t>
            </w:r>
            <w:r>
              <w:rPr>
                <w:rFonts w:hint="eastAsia" w:ascii="仿宋" w:hAnsi="仿宋" w:eastAsia="仿宋" w:cs="仿宋"/>
                <w:color w:val="auto"/>
                <w:szCs w:val="21"/>
                <w:highlight w:val="none"/>
                <w:lang w:val="en-US" w:eastAsia="zh-CN"/>
              </w:rPr>
              <w:t>及国有企业管理者</w:t>
            </w:r>
            <w:r>
              <w:rPr>
                <w:rFonts w:hint="eastAsia" w:ascii="仿宋" w:hAnsi="仿宋" w:eastAsia="仿宋" w:cs="仿宋"/>
                <w:color w:val="auto"/>
                <w:szCs w:val="21"/>
                <w:highlight w:val="none"/>
                <w:lang w:eastAsia="zh-CN"/>
              </w:rPr>
              <w:t>把控全局，报表浏览过程中可以通过报表设计时定义的调整过滤方案对报表进行深度分析。</w:t>
            </w:r>
          </w:p>
          <w:p w14:paraId="70C8E506">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bookmarkStart w:id="86" w:name="_Toc27202"/>
            <w:bookmarkStart w:id="87" w:name="_Toc2444"/>
            <w:r>
              <w:rPr>
                <w:rFonts w:hint="eastAsia" w:ascii="仿宋" w:hAnsi="仿宋" w:eastAsia="仿宋" w:cs="仿宋"/>
                <w:color w:val="auto"/>
                <w:szCs w:val="21"/>
                <w:highlight w:val="none"/>
                <w:lang w:eastAsia="zh-CN"/>
              </w:rPr>
              <w:t>数据报表中心</w:t>
            </w:r>
            <w:bookmarkEnd w:id="86"/>
            <w:bookmarkEnd w:id="87"/>
          </w:p>
          <w:p w14:paraId="1AA79328">
            <w:pPr>
              <w:keepNext w:val="0"/>
              <w:keepLines w:val="0"/>
              <w:pageBreakBefore w:val="0"/>
              <w:kinsoku/>
              <w:wordWrap/>
              <w:overflowPunct/>
              <w:topLinePunct w:val="0"/>
              <w:autoSpaceDE/>
              <w:autoSpaceDN/>
              <w:bidi w:val="0"/>
              <w:adjustRightInd/>
              <w:spacing w:line="360" w:lineRule="auto"/>
              <w:ind w:firstLine="364"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统计各人事、资产、财务等的数据报表情况。数据报表中心平台的核心功能之一是生成和展示各类数据报表。这些报表可以根据企业的实际需求进行定制，包括但不限于人事报表（如员工流动率报表、招聘效率报表等）、资产报表（如设备利用率报表、库存周转率报表等）和财务报表（如损益表、现金流量表等）。平台能够以直观、易懂的图表形式展示这些数据报表，使得企业领导和管理层能够迅速了解业务状况，做出科学决策。</w:t>
            </w:r>
          </w:p>
        </w:tc>
      </w:tr>
    </w:tbl>
    <w:p w14:paraId="43CA0350">
      <w:pPr>
        <w:keepNext w:val="0"/>
        <w:keepLines w:val="0"/>
        <w:pageBreakBefore w:val="0"/>
        <w:kinsoku/>
        <w:wordWrap/>
        <w:overflowPunct/>
        <w:topLinePunct w:val="0"/>
        <w:autoSpaceDE/>
        <w:autoSpaceDN/>
        <w:bidi w:val="0"/>
        <w:adjustRightInd/>
        <w:spacing w:line="360" w:lineRule="auto"/>
        <w:ind w:firstLine="424" w:firstLineChars="150"/>
        <w:textAlignment w:val="auto"/>
        <w:rPr>
          <w:rFonts w:hint="default" w:ascii="仿宋" w:hAnsi="仿宋" w:eastAsia="仿宋" w:cs="仿宋"/>
          <w:color w:val="FF0000"/>
          <w:szCs w:val="21"/>
          <w:highlight w:val="none"/>
          <w:lang w:val="en-US" w:eastAsia="zh-CN"/>
        </w:rPr>
      </w:pPr>
      <w:r>
        <w:rPr>
          <w:rFonts w:hint="eastAsia" w:ascii="仿宋" w:hAnsi="仿宋" w:eastAsia="仿宋" w:cs="仿宋"/>
          <w:color w:val="FF0000"/>
          <w:sz w:val="28"/>
          <w:szCs w:val="22"/>
          <w:highlight w:val="none"/>
          <w:lang w:val="en-US" w:eastAsia="zh-CN"/>
        </w:rPr>
        <w:t>着重提醒：该平台在政务云布置，云资源由投标企业提供租赁期一年，（租赁时间：验收合格，安装调试完毕并投入使用开始之日计算）</w:t>
      </w:r>
    </w:p>
    <w:bookmarkEnd w:id="46"/>
    <w:bookmarkEnd w:id="47"/>
    <w:p w14:paraId="6C142DC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1.2包装要求</w:t>
      </w:r>
    </w:p>
    <w:p w14:paraId="33ED7C00">
      <w:pPr>
        <w:shd w:val="clear" w:color="auto" w:fill="auto"/>
        <w:spacing w:line="264" w:lineRule="auto"/>
        <w:ind w:firstLine="486" w:firstLineChars="200"/>
        <w:outlineLvl w:val="9"/>
        <w:rPr>
          <w:rFonts w:hint="eastAsia" w:ascii="Times New Roman" w:hAnsi="Times New Roman" w:eastAsia="仿宋" w:cs="Times New Roman"/>
          <w:bCs/>
          <w:color w:val="auto"/>
          <w:szCs w:val="21"/>
          <w:highlight w:val="none"/>
        </w:rPr>
      </w:pPr>
      <w:r>
        <w:rPr>
          <w:rFonts w:hint="eastAsia" w:ascii="Times New Roman" w:hAnsi="Times New Roman" w:eastAsia="仿宋" w:cs="Times New Roman"/>
          <w:bCs/>
          <w:color w:val="auto"/>
          <w:szCs w:val="21"/>
          <w:highlight w:val="none"/>
        </w:rPr>
        <w:t>供方应提供货物服务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50F53D06">
      <w:pPr>
        <w:spacing w:line="360" w:lineRule="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1.3商务要求：</w:t>
      </w:r>
    </w:p>
    <w:p w14:paraId="52C46304">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bCs/>
          <w:color w:val="auto"/>
          <w:highlight w:val="none"/>
          <w:lang w:eastAsia="zh-CN"/>
        </w:rPr>
        <w:t>（一）实施</w:t>
      </w:r>
      <w:r>
        <w:rPr>
          <w:rFonts w:hint="eastAsia" w:ascii="仿宋" w:hAnsi="仿宋" w:eastAsia="仿宋" w:cs="仿宋"/>
          <w:b/>
          <w:bCs/>
          <w:color w:val="auto"/>
          <w:highlight w:val="none"/>
          <w:lang w:val="en-US" w:eastAsia="zh-CN"/>
        </w:rPr>
        <w:t>工</w:t>
      </w:r>
      <w:r>
        <w:rPr>
          <w:rFonts w:hint="eastAsia" w:ascii="仿宋" w:hAnsi="仿宋" w:eastAsia="仿宋" w:cs="仿宋"/>
          <w:b/>
          <w:bCs/>
          <w:color w:val="auto"/>
          <w:highlight w:val="none"/>
          <w:lang w:eastAsia="zh-CN"/>
        </w:rPr>
        <w:t>期 ：</w:t>
      </w:r>
      <w:r>
        <w:rPr>
          <w:rFonts w:hint="eastAsia" w:ascii="仿宋" w:hAnsi="仿宋" w:eastAsia="仿宋" w:cs="仿宋"/>
          <w:b w:val="0"/>
          <w:bCs w:val="0"/>
          <w:i w:val="0"/>
          <w:iCs w:val="0"/>
          <w:caps w:val="0"/>
          <w:color w:val="auto"/>
          <w:spacing w:val="0"/>
          <w:sz w:val="24"/>
          <w:szCs w:val="24"/>
          <w:highlight w:val="none"/>
          <w:lang w:eastAsia="zh-CN"/>
        </w:rPr>
        <w:t>自合同签订之日起</w:t>
      </w:r>
      <w:r>
        <w:rPr>
          <w:rFonts w:hint="eastAsia" w:ascii="仿宋" w:hAnsi="仿宋" w:eastAsia="仿宋" w:cs="仿宋"/>
          <w:b w:val="0"/>
          <w:bCs w:val="0"/>
          <w:i w:val="0"/>
          <w:iCs w:val="0"/>
          <w:caps w:val="0"/>
          <w:color w:val="auto"/>
          <w:spacing w:val="0"/>
          <w:sz w:val="24"/>
          <w:szCs w:val="24"/>
          <w:highlight w:val="none"/>
          <w:lang w:val="en-US" w:eastAsia="zh-CN"/>
        </w:rPr>
        <w:t>90</w:t>
      </w:r>
      <w:r>
        <w:rPr>
          <w:rFonts w:hint="eastAsia" w:ascii="仿宋" w:hAnsi="仿宋" w:eastAsia="仿宋" w:cs="仿宋"/>
          <w:b w:val="0"/>
          <w:bCs w:val="0"/>
          <w:i w:val="0"/>
          <w:iCs w:val="0"/>
          <w:caps w:val="0"/>
          <w:color w:val="auto"/>
          <w:spacing w:val="0"/>
          <w:sz w:val="24"/>
          <w:szCs w:val="24"/>
          <w:highlight w:val="none"/>
          <w:lang w:eastAsia="zh-CN"/>
        </w:rPr>
        <w:t>天内完成供货，安装调试并投入使用。</w:t>
      </w:r>
    </w:p>
    <w:p w14:paraId="69565C1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textAlignment w:val="auto"/>
        <w:rPr>
          <w:rFonts w:hint="eastAsia"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688DD42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54F7A6F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人报价应为人民币含税全包价，包括招标文件规定的完成通过合同验收并正常运转所必需的有关产品的设计、生产、包装、保险、运输、装卸、安装、调试、培训、税费、验收、保修服务等货到采购人指定地点的一切费用。一旦中标，招标人不再追加支付任何费用。</w:t>
      </w:r>
    </w:p>
    <w:p w14:paraId="6C18368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30813EC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1、质保期：3年。</w:t>
      </w:r>
    </w:p>
    <w:p w14:paraId="1DC8A45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2、乙方应保证所开发的软件完全符合国家标准和行业的相关标准。</w:t>
      </w:r>
    </w:p>
    <w:p w14:paraId="57506888">
      <w:pPr>
        <w:keepNext w:val="0"/>
        <w:keepLines w:val="0"/>
        <w:pageBreakBefore w:val="0"/>
        <w:widowControl w:val="0"/>
        <w:kinsoku/>
        <w:wordWrap/>
        <w:overflowPunct/>
        <w:topLinePunct w:val="0"/>
        <w:autoSpaceDE/>
        <w:autoSpaceDN/>
        <w:bidi w:val="0"/>
        <w:adjustRightInd/>
        <w:snapToGrid/>
        <w:spacing w:line="460" w:lineRule="exact"/>
        <w:ind w:firstLine="243"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491F927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1、售后服务</w:t>
      </w:r>
    </w:p>
    <w:p w14:paraId="1D253FF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1.1产品质量：在合同期内，甲方正常使用乙方所</w:t>
      </w:r>
      <w:r>
        <w:rPr>
          <w:rFonts w:hint="eastAsia" w:ascii="仿宋" w:hAnsi="仿宋" w:eastAsia="仿宋" w:cs="仿宋"/>
          <w:color w:val="auto"/>
          <w:highlight w:val="none"/>
          <w:lang w:val="en-US" w:eastAsia="zh-CN"/>
        </w:rPr>
        <w:t>开发软件出</w:t>
      </w:r>
      <w:r>
        <w:rPr>
          <w:rFonts w:hint="eastAsia" w:ascii="仿宋" w:hAnsi="仿宋" w:eastAsia="仿宋" w:cs="仿宋"/>
          <w:color w:val="auto"/>
          <w:highlight w:val="none"/>
          <w:lang w:eastAsia="zh-CN"/>
        </w:rPr>
        <w:t>现质量问题时，乙方负责。产品使用：甲方在使用乙方所</w:t>
      </w:r>
      <w:r>
        <w:rPr>
          <w:rFonts w:hint="eastAsia" w:ascii="仿宋" w:hAnsi="仿宋" w:eastAsia="仿宋" w:cs="仿宋"/>
          <w:color w:val="auto"/>
          <w:highlight w:val="none"/>
          <w:lang w:val="en-US" w:eastAsia="zh-CN"/>
        </w:rPr>
        <w:t>开发软件</w:t>
      </w:r>
      <w:r>
        <w:rPr>
          <w:rFonts w:hint="eastAsia" w:ascii="仿宋" w:hAnsi="仿宋" w:eastAsia="仿宋" w:cs="仿宋"/>
          <w:color w:val="auto"/>
          <w:highlight w:val="none"/>
          <w:lang w:eastAsia="zh-CN"/>
        </w:rPr>
        <w:t>出现问题需乙方解决时，乙方应无偿解决（退换货）。</w:t>
      </w:r>
    </w:p>
    <w:p w14:paraId="04BD958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1.2质保期内，当采购人遇到使用及技术问题电话咨询不能解决的，须在</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 xml:space="preserve">小时内到达现场进行处理。 </w:t>
      </w:r>
      <w:r>
        <w:rPr>
          <w:rFonts w:hint="eastAsia" w:ascii="仿宋" w:hAnsi="仿宋" w:eastAsia="仿宋" w:cs="仿宋"/>
          <w:b w:val="0"/>
          <w:bCs w:val="0"/>
          <w:color w:val="auto"/>
          <w:highlight w:val="none"/>
          <w:lang w:eastAsia="zh-CN"/>
        </w:rPr>
        <w:t>一般故障</w:t>
      </w:r>
      <w:r>
        <w:rPr>
          <w:rFonts w:hint="eastAsia" w:ascii="仿宋" w:hAnsi="仿宋" w:eastAsia="仿宋" w:cs="仿宋"/>
          <w:b w:val="0"/>
          <w:bCs w:val="0"/>
          <w:color w:val="auto"/>
          <w:highlight w:val="none"/>
          <w:lang w:val="en-US" w:eastAsia="zh-CN"/>
        </w:rPr>
        <w:t>4</w:t>
      </w:r>
      <w:r>
        <w:rPr>
          <w:rFonts w:hint="eastAsia" w:ascii="仿宋" w:hAnsi="仿宋" w:eastAsia="仿宋" w:cs="仿宋"/>
          <w:b w:val="0"/>
          <w:bCs w:val="0"/>
          <w:color w:val="auto"/>
          <w:highlight w:val="none"/>
          <w:lang w:eastAsia="zh-CN"/>
        </w:rPr>
        <w:t>小时内修复，较大故障</w:t>
      </w:r>
      <w:r>
        <w:rPr>
          <w:rFonts w:hint="eastAsia" w:ascii="仿宋" w:hAnsi="仿宋" w:eastAsia="仿宋" w:cs="仿宋"/>
          <w:b w:val="0"/>
          <w:bCs w:val="0"/>
          <w:color w:val="auto"/>
          <w:highlight w:val="none"/>
          <w:lang w:val="en-US" w:eastAsia="zh-CN"/>
        </w:rPr>
        <w:t>8</w:t>
      </w:r>
      <w:r>
        <w:rPr>
          <w:rFonts w:hint="eastAsia" w:ascii="仿宋" w:hAnsi="仿宋" w:eastAsia="仿宋" w:cs="仿宋"/>
          <w:b w:val="0"/>
          <w:bCs w:val="0"/>
          <w:color w:val="auto"/>
          <w:highlight w:val="none"/>
          <w:lang w:eastAsia="zh-CN"/>
        </w:rPr>
        <w:t>小时内解决问题。每年提供不少于4次回访。</w:t>
      </w:r>
    </w:p>
    <w:p w14:paraId="33E75C0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 培训：免费安装并现场培训相关人员熟练操作及日常维护，</w:t>
      </w:r>
    </w:p>
    <w:p w14:paraId="3B06726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、在质保期内，如果供应商的产品技术升级，供应商应及时通知采购人，如采购人有相应要求，供应商应对采购人购买的产品进行升级服务。</w:t>
      </w:r>
    </w:p>
    <w:p w14:paraId="4F172F6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、质保期过后，供应商应同样提供免费电话咨询服务，并应承诺提供上门维护服务。</w:t>
      </w:r>
    </w:p>
    <w:p w14:paraId="31A2A70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5、质保期过后，采购人需要继续由原投标人提供售后服务的，该投标人和承接 </w:t>
      </w:r>
    </w:p>
    <w:p w14:paraId="215C756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商应以优惠价格提供售后服务。</w:t>
      </w:r>
    </w:p>
    <w:p w14:paraId="51B252B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bidi="en-US"/>
        </w:rPr>
        <w:t>6、</w:t>
      </w:r>
      <w:r>
        <w:rPr>
          <w:rFonts w:hint="eastAsia" w:ascii="仿宋" w:hAnsi="仿宋" w:eastAsia="仿宋" w:cs="仿宋"/>
          <w:color w:val="auto"/>
          <w:sz w:val="24"/>
          <w:szCs w:val="24"/>
          <w:highlight w:val="none"/>
          <w:lang w:val="en-US" w:eastAsia="zh-CN"/>
        </w:rPr>
        <w:t>项目质保期内必须指定固定的驻场人员在场。需提供承诺书。</w:t>
      </w:r>
    </w:p>
    <w:p w14:paraId="1CC3144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bidi="en-US"/>
        </w:rPr>
        <w:t>7、</w:t>
      </w:r>
      <w:r>
        <w:rPr>
          <w:rFonts w:hint="eastAsia" w:ascii="仿宋" w:hAnsi="仿宋" w:eastAsia="仿宋" w:cs="仿宋"/>
          <w:color w:val="auto"/>
          <w:sz w:val="24"/>
          <w:szCs w:val="24"/>
          <w:highlight w:val="none"/>
          <w:lang w:val="en-US" w:eastAsia="zh-CN"/>
        </w:rPr>
        <w:t>乙方应完成项目建设软件、硬件、系统（附件）兼容对接，如乙方交付前无法完成以上系统兼容任务，甲乙双方按照无法达到合同目的解除合同不支付相关建设费用，乙方还应承担中标金额的20%的违约金，并按照甲方实际损失承担违约赔偿金。</w:t>
      </w:r>
    </w:p>
    <w:p w14:paraId="38A5DA6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bidi="en-US"/>
        </w:rPr>
        <w:t>8、</w:t>
      </w:r>
      <w:r>
        <w:rPr>
          <w:rFonts w:hint="eastAsia" w:ascii="仿宋" w:hAnsi="仿宋" w:eastAsia="仿宋" w:cs="仿宋"/>
          <w:color w:val="auto"/>
          <w:sz w:val="24"/>
          <w:szCs w:val="24"/>
          <w:highlight w:val="none"/>
          <w:lang w:val="en-US" w:eastAsia="zh-CN"/>
        </w:rPr>
        <w:t>对甲方相关工作人员进行系统的培训，确保能够熟练使用适配后的国资监管平台系统。</w:t>
      </w:r>
    </w:p>
    <w:p w14:paraId="1CB12D4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1BFC3DF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功能验收</w:t>
      </w:r>
    </w:p>
    <w:p w14:paraId="4185EFF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需求匹配度：产品功能需完全实现需求文档定义的所有功能点，无遗漏或偏差。</w:t>
      </w:r>
    </w:p>
    <w:p w14:paraId="5165A8B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业务流程正确性：各功能模块的业务逻辑、操作流程符合实际业务场景，测试用例覆盖正常流程和异常场景（如输入错误、网络中断等）。</w:t>
      </w:r>
    </w:p>
    <w:p w14:paraId="0B46526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 xml:space="preserve">用户交互体验：界面操作逻辑、提示信息、响应反馈符合用户使用习惯，无明显卡顿或逻辑断层。 </w:t>
      </w:r>
    </w:p>
    <w:p w14:paraId="312E4BC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二、性能验收</w:t>
      </w:r>
    </w:p>
    <w:p w14:paraId="23CD579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响应速度：关键操作（如页面加载、数据查询）的响应时间需在预期范围内（例如，前端页面加载不超过3秒，后端接口响应不超过500ms）。</w:t>
      </w:r>
    </w:p>
    <w:p w14:paraId="3B4C7E8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并发能力：在指定并发用户数下，系统无崩溃、数据丢失或响应超时问题，资源占用在合理值内。</w:t>
      </w:r>
    </w:p>
    <w:p w14:paraId="29D1E41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稳定性：通过长时间压测（如72小时持续运行），系统无内存泄漏、服务中断等问题。</w:t>
      </w:r>
    </w:p>
    <w:p w14:paraId="0204648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三、质量与兼容性验收</w:t>
      </w:r>
    </w:p>
    <w:p w14:paraId="640EA2F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缺陷率：验收测试中发现的严重缺陷（如系统崩溃、数据错误）需全部修复，一般缺陷修复率需达到95%以上。</w:t>
      </w:r>
    </w:p>
    <w:p w14:paraId="0E87F2F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兼容性：产品在目标终端（</w:t>
      </w:r>
      <w:r>
        <w:rPr>
          <w:rFonts w:hint="eastAsia" w:ascii="仿宋" w:hAnsi="仿宋" w:eastAsia="仿宋" w:cs="仿宋"/>
          <w:color w:val="auto"/>
          <w:highlight w:val="none"/>
          <w:lang w:val="en-US" w:eastAsia="zh-CN"/>
        </w:rPr>
        <w:t>不同设备</w:t>
      </w:r>
      <w:r>
        <w:rPr>
          <w:rFonts w:hint="eastAsia" w:ascii="仿宋" w:hAnsi="仿宋" w:eastAsia="仿宋" w:cs="仿宋"/>
          <w:color w:val="auto"/>
          <w:highlight w:val="none"/>
          <w:lang w:eastAsia="zh-CN"/>
        </w:rPr>
        <w:t>）上运行正常，显示和功能无异常。</w:t>
      </w:r>
    </w:p>
    <w:p w14:paraId="242B381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安全性：通过漏洞扫描，敏感数据加密存储，权限控制符合设计要求。</w:t>
      </w:r>
    </w:p>
    <w:p w14:paraId="0937D1F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四、文档与交付物验收</w:t>
      </w:r>
    </w:p>
    <w:p w14:paraId="285123B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-技术文档：需提交完整的需求文档、设计文档、测试报告、接口文档等，内容与实际代码一致。</w:t>
      </w:r>
    </w:p>
    <w:p w14:paraId="3036FAC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用户文档：用户手册、操作指南等需清晰易懂，覆盖所有功能操作和常见问题解答。</w:t>
      </w:r>
    </w:p>
    <w:p w14:paraId="41D3E718">
      <w:pPr>
        <w:keepNext w:val="0"/>
        <w:keepLines w:val="0"/>
        <w:pageBreakBefore w:val="0"/>
        <w:widowControl w:val="0"/>
        <w:kinsoku/>
        <w:wordWrap/>
        <w:overflowPunct/>
        <w:topLinePunct w:val="0"/>
        <w:autoSpaceDE/>
        <w:autoSpaceDN/>
        <w:bidi w:val="0"/>
        <w:adjustRightInd/>
        <w:snapToGrid/>
        <w:spacing w:line="460" w:lineRule="exact"/>
        <w:ind w:firstLine="243" w:firstLineChars="1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交付物完整性：包括可执行程序、源代码（如有需要）、配置文件等，确保环境部署无依赖缺失。</w:t>
      </w:r>
    </w:p>
    <w:p w14:paraId="45379EA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五、其他验收项</w:t>
      </w:r>
    </w:p>
    <w:p w14:paraId="09B4B69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合规性：符合行业规范、法律法规。</w:t>
      </w:r>
    </w:p>
    <w:p w14:paraId="13B7CA4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可维护性：代码结构清晰、注释规范，便于后续迭代开发和问题排查。</w:t>
      </w:r>
    </w:p>
    <w:p w14:paraId="7104FA4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验收流程确认：需由开发、测试、产品、用户等多方参与验收测试，签署验收报告后才算正式交付。</w:t>
      </w:r>
    </w:p>
    <w:p w14:paraId="006C7C2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具体要求可根据项目类型和行业特性调整，核心是确保产品满足用户需求并稳定可用。</w:t>
      </w:r>
    </w:p>
    <w:p w14:paraId="22A6B867">
      <w:pPr>
        <w:keepNext w:val="0"/>
        <w:keepLines w:val="0"/>
        <w:pageBreakBefore w:val="0"/>
        <w:widowControl w:val="0"/>
        <w:kinsoku/>
        <w:wordWrap/>
        <w:overflowPunct/>
        <w:topLinePunct w:val="0"/>
        <w:autoSpaceDE/>
        <w:autoSpaceDN/>
        <w:bidi w:val="0"/>
        <w:adjustRightInd/>
        <w:snapToGrid/>
        <w:spacing w:line="460" w:lineRule="exact"/>
        <w:ind w:firstLine="356"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7444D7D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val="0"/>
          <w:bCs w:val="0"/>
          <w:color w:val="auto"/>
          <w:highlight w:val="yellow"/>
          <w:lang w:eastAsia="zh-CN"/>
        </w:rPr>
      </w:pPr>
      <w:r>
        <w:rPr>
          <w:rFonts w:hint="eastAsia" w:ascii="仿宋" w:hAnsi="仿宋" w:eastAsia="仿宋" w:cs="仿宋"/>
          <w:color w:val="auto"/>
          <w:highlight w:val="none"/>
          <w:lang w:val="en-US" w:eastAsia="zh-CN"/>
        </w:rPr>
        <w:t>甲乙双方签订合同时约定。</w:t>
      </w:r>
      <w:r>
        <w:rPr>
          <w:rFonts w:hint="eastAsia" w:ascii="仿宋" w:hAnsi="仿宋" w:eastAsia="仿宋" w:cs="仿宋"/>
          <w:b w:val="0"/>
          <w:bCs w:val="0"/>
          <w:color w:val="auto"/>
          <w:highlight w:val="none"/>
          <w:lang w:val="en-US" w:eastAsia="zh-CN"/>
        </w:rPr>
        <w:t>（具体以签订合同为准）</w:t>
      </w:r>
    </w:p>
    <w:p w14:paraId="02FDACF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63C01B9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14:paraId="6A43BE9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bookmarkStart w:id="88" w:name="_Toc20832"/>
      <w:bookmarkStart w:id="89" w:name="_Toc7598"/>
      <w:bookmarkStart w:id="90" w:name="_Toc12239"/>
      <w:bookmarkStart w:id="91" w:name="_Toc12840_WPSOffice_Level1"/>
      <w:bookmarkStart w:id="92" w:name="_Toc267320054"/>
      <w:bookmarkStart w:id="93" w:name="_Toc439255252"/>
      <w:r>
        <w:rPr>
          <w:rFonts w:hint="eastAsia" w:ascii="仿宋" w:hAnsi="仿宋" w:eastAsia="仿宋" w:cs="仿宋"/>
          <w:b/>
          <w:bCs/>
          <w:color w:val="auto"/>
          <w:highlight w:val="none"/>
          <w:lang w:eastAsia="zh-CN"/>
        </w:rPr>
        <w:t>（九）其他</w:t>
      </w:r>
      <w:bookmarkEnd w:id="88"/>
      <w:bookmarkEnd w:id="89"/>
      <w:bookmarkEnd w:id="90"/>
    </w:p>
    <w:bookmarkEnd w:id="91"/>
    <w:bookmarkEnd w:id="92"/>
    <w:bookmarkEnd w:id="93"/>
    <w:p w14:paraId="74F53BE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1、供应商必须在投标文件中对以上条款和服务承诺明确列出，承诺内容必须达到本篇及招标文件其他条款的要求。</w:t>
      </w:r>
    </w:p>
    <w:p w14:paraId="34BD094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2、中标人与采购人签订《协议》后，须与用户方签订《货物采购供应合同》（包括供货范围、需求数量、单价等），明确具体供货数量、供货时间、送达地点等内容。</w:t>
      </w:r>
    </w:p>
    <w:p w14:paraId="4A4D5FE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5188178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 若供应商不能按招标文件规定的交货期正常交货，采购方有权终止采购合同，并将相关情况上报给采购计划主管部门，取消其中标资格。</w:t>
      </w:r>
    </w:p>
    <w:p w14:paraId="0BFFE23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color w:val="auto"/>
          <w:sz w:val="30"/>
          <w:szCs w:val="30"/>
          <w:highlight w:val="none"/>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p>
    <w:p w14:paraId="74064C94">
      <w:pPr>
        <w:pStyle w:val="31"/>
        <w:rPr>
          <w:rFonts w:hint="eastAsia" w:ascii="仿宋" w:hAnsi="仿宋" w:eastAsia="仿宋" w:cs="仿宋"/>
          <w:b/>
          <w:color w:val="auto"/>
          <w:sz w:val="30"/>
          <w:szCs w:val="30"/>
          <w:highlight w:val="none"/>
          <w:lang w:eastAsia="zh-CN"/>
        </w:rPr>
      </w:pPr>
    </w:p>
    <w:p w14:paraId="634F4ED7">
      <w:pPr>
        <w:pStyle w:val="31"/>
        <w:ind w:left="0" w:leftChars="0" w:firstLine="0" w:firstLineChars="0"/>
        <w:rPr>
          <w:rFonts w:hint="eastAsia" w:ascii="仿宋" w:hAnsi="仿宋" w:eastAsia="仿宋" w:cs="仿宋"/>
          <w:b/>
          <w:color w:val="auto"/>
          <w:sz w:val="30"/>
          <w:szCs w:val="30"/>
          <w:highlight w:val="none"/>
          <w:lang w:eastAsia="zh-CN"/>
        </w:rPr>
      </w:pPr>
    </w:p>
    <w:p w14:paraId="0BA42DC8">
      <w:pPr>
        <w:spacing w:line="480" w:lineRule="exact"/>
        <w:jc w:val="center"/>
        <w:outlineLvl w:val="1"/>
        <w:rPr>
          <w:rFonts w:hint="eastAsia" w:ascii="仿宋" w:hAnsi="仿宋" w:eastAsia="仿宋" w:cs="仿宋"/>
          <w:b/>
          <w:color w:val="auto"/>
          <w:sz w:val="30"/>
          <w:szCs w:val="30"/>
          <w:highlight w:val="none"/>
          <w:lang w:eastAsia="zh-CN"/>
        </w:rPr>
      </w:pPr>
    </w:p>
    <w:p w14:paraId="1D2F8EB2">
      <w:pPr>
        <w:spacing w:line="480" w:lineRule="exact"/>
        <w:jc w:val="center"/>
        <w:outlineLvl w:val="1"/>
        <w:rPr>
          <w:rFonts w:hint="eastAsia" w:ascii="仿宋" w:hAnsi="仿宋" w:eastAsia="仿宋" w:cs="仿宋"/>
          <w:b/>
          <w:color w:val="auto"/>
          <w:sz w:val="30"/>
          <w:szCs w:val="30"/>
          <w:highlight w:val="none"/>
          <w:lang w:eastAsia="zh-CN"/>
        </w:rPr>
      </w:pPr>
    </w:p>
    <w:p w14:paraId="7A151C07">
      <w:pPr>
        <w:spacing w:line="480" w:lineRule="exact"/>
        <w:jc w:val="center"/>
        <w:outlineLvl w:val="1"/>
        <w:rPr>
          <w:rFonts w:hint="eastAsia" w:ascii="仿宋" w:hAnsi="仿宋" w:eastAsia="仿宋" w:cs="仿宋"/>
          <w:b/>
          <w:color w:val="auto"/>
          <w:sz w:val="30"/>
          <w:szCs w:val="30"/>
          <w:highlight w:val="none"/>
          <w:lang w:eastAsia="zh-CN"/>
        </w:rPr>
      </w:pPr>
    </w:p>
    <w:p w14:paraId="07BE6ED4">
      <w:pPr>
        <w:spacing w:line="480" w:lineRule="exact"/>
        <w:jc w:val="center"/>
        <w:outlineLvl w:val="1"/>
        <w:rPr>
          <w:rFonts w:hint="eastAsia" w:ascii="仿宋" w:hAnsi="仿宋" w:eastAsia="仿宋" w:cs="仿宋"/>
          <w:b/>
          <w:color w:val="auto"/>
          <w:sz w:val="30"/>
          <w:szCs w:val="30"/>
          <w:highlight w:val="none"/>
          <w:lang w:eastAsia="zh-CN"/>
        </w:rPr>
      </w:pPr>
    </w:p>
    <w:p w14:paraId="1AA2AADE">
      <w:pPr>
        <w:spacing w:line="480" w:lineRule="exact"/>
        <w:jc w:val="center"/>
        <w:outlineLvl w:val="1"/>
        <w:rPr>
          <w:rFonts w:hint="eastAsia" w:ascii="仿宋" w:hAnsi="仿宋" w:eastAsia="仿宋" w:cs="仿宋"/>
          <w:b/>
          <w:color w:val="auto"/>
          <w:sz w:val="30"/>
          <w:szCs w:val="30"/>
          <w:highlight w:val="none"/>
          <w:lang w:eastAsia="zh-CN"/>
        </w:rPr>
      </w:pPr>
    </w:p>
    <w:p w14:paraId="333241A3">
      <w:pPr>
        <w:spacing w:line="480" w:lineRule="exact"/>
        <w:jc w:val="center"/>
        <w:outlineLvl w:val="1"/>
        <w:rPr>
          <w:rFonts w:hint="eastAsia" w:ascii="仿宋" w:hAnsi="仿宋" w:eastAsia="仿宋" w:cs="仿宋"/>
          <w:b/>
          <w:color w:val="auto"/>
          <w:sz w:val="30"/>
          <w:szCs w:val="30"/>
          <w:highlight w:val="none"/>
          <w:lang w:eastAsia="zh-CN"/>
        </w:rPr>
      </w:pPr>
    </w:p>
    <w:p w14:paraId="5AECCBEA">
      <w:pPr>
        <w:spacing w:line="480" w:lineRule="exact"/>
        <w:jc w:val="center"/>
        <w:outlineLvl w:val="1"/>
        <w:rPr>
          <w:rFonts w:hint="eastAsia" w:ascii="仿宋" w:hAnsi="仿宋" w:eastAsia="仿宋" w:cs="仿宋"/>
          <w:b/>
          <w:color w:val="auto"/>
          <w:sz w:val="30"/>
          <w:szCs w:val="30"/>
          <w:highlight w:val="none"/>
          <w:lang w:eastAsia="zh-CN"/>
        </w:rPr>
      </w:pPr>
    </w:p>
    <w:p w14:paraId="32F29A4D">
      <w:pPr>
        <w:spacing w:line="480" w:lineRule="exact"/>
        <w:jc w:val="center"/>
        <w:outlineLvl w:val="1"/>
        <w:rPr>
          <w:rFonts w:hint="eastAsia" w:ascii="仿宋" w:hAnsi="仿宋" w:eastAsia="仿宋" w:cs="仿宋"/>
          <w:b/>
          <w:color w:val="auto"/>
          <w:sz w:val="30"/>
          <w:szCs w:val="30"/>
          <w:highlight w:val="none"/>
          <w:lang w:eastAsia="zh-CN"/>
        </w:rPr>
      </w:pPr>
    </w:p>
    <w:p w14:paraId="6AEB6E5C">
      <w:pPr>
        <w:spacing w:line="480" w:lineRule="exact"/>
        <w:jc w:val="center"/>
        <w:outlineLvl w:val="1"/>
        <w:rPr>
          <w:rFonts w:hint="eastAsia" w:ascii="仿宋" w:hAnsi="仿宋" w:eastAsia="仿宋" w:cs="仿宋"/>
          <w:b/>
          <w:color w:val="auto"/>
          <w:sz w:val="30"/>
          <w:szCs w:val="30"/>
          <w:highlight w:val="none"/>
          <w:lang w:eastAsia="zh-CN"/>
        </w:rPr>
      </w:pPr>
    </w:p>
    <w:p w14:paraId="72F44BB5">
      <w:pPr>
        <w:spacing w:line="480" w:lineRule="exact"/>
        <w:jc w:val="both"/>
        <w:outlineLvl w:val="1"/>
        <w:rPr>
          <w:rFonts w:hint="eastAsia" w:ascii="仿宋" w:hAnsi="仿宋" w:eastAsia="仿宋" w:cs="仿宋"/>
          <w:b/>
          <w:color w:val="auto"/>
          <w:sz w:val="30"/>
          <w:szCs w:val="30"/>
          <w:highlight w:val="none"/>
          <w:lang w:eastAsia="zh-CN"/>
        </w:rPr>
      </w:pPr>
    </w:p>
    <w:p w14:paraId="15B2235E">
      <w:pPr>
        <w:spacing w:line="480" w:lineRule="exact"/>
        <w:jc w:val="both"/>
        <w:outlineLvl w:val="1"/>
        <w:rPr>
          <w:rFonts w:hint="eastAsia" w:ascii="仿宋" w:hAnsi="仿宋" w:eastAsia="仿宋" w:cs="仿宋"/>
          <w:b/>
          <w:color w:val="auto"/>
          <w:sz w:val="30"/>
          <w:szCs w:val="30"/>
          <w:highlight w:val="none"/>
          <w:lang w:eastAsia="zh-CN"/>
        </w:rPr>
      </w:pPr>
    </w:p>
    <w:p w14:paraId="0F7EED43">
      <w:pPr>
        <w:spacing w:line="480" w:lineRule="exact"/>
        <w:jc w:val="both"/>
        <w:outlineLvl w:val="1"/>
        <w:rPr>
          <w:rFonts w:hint="eastAsia" w:ascii="仿宋" w:hAnsi="仿宋" w:eastAsia="仿宋" w:cs="仿宋"/>
          <w:b/>
          <w:color w:val="auto"/>
          <w:sz w:val="30"/>
          <w:szCs w:val="30"/>
          <w:highlight w:val="none"/>
          <w:lang w:eastAsia="zh-CN"/>
        </w:rPr>
      </w:pPr>
    </w:p>
    <w:p w14:paraId="09C49F47">
      <w:pPr>
        <w:spacing w:line="480" w:lineRule="exact"/>
        <w:jc w:val="both"/>
        <w:outlineLvl w:val="1"/>
        <w:rPr>
          <w:rFonts w:hint="eastAsia" w:ascii="仿宋" w:hAnsi="仿宋" w:eastAsia="仿宋" w:cs="仿宋"/>
          <w:b/>
          <w:color w:val="auto"/>
          <w:sz w:val="30"/>
          <w:szCs w:val="30"/>
          <w:highlight w:val="none"/>
          <w:lang w:eastAsia="zh-CN"/>
        </w:rPr>
      </w:pPr>
    </w:p>
    <w:p w14:paraId="20E866EF">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第五章 合同条款及格式</w:t>
      </w:r>
      <w:bookmarkStart w:id="94" w:name="_Toc20669"/>
    </w:p>
    <w:p w14:paraId="2B3FE8C0">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94"/>
    </w:p>
    <w:p w14:paraId="4450A6F3">
      <w:pPr>
        <w:keepNext w:val="0"/>
        <w:keepLines w:val="0"/>
        <w:pageBreakBefore w:val="0"/>
        <w:widowControl/>
        <w:numPr>
          <w:ilvl w:val="0"/>
          <w:numId w:val="9"/>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95" w:name="_Toc469495741"/>
      <w:r>
        <w:rPr>
          <w:rFonts w:hint="eastAsia" w:ascii="仿宋" w:hAnsi="仿宋" w:eastAsia="仿宋" w:cs="仿宋"/>
          <w:b/>
          <w:color w:val="auto"/>
          <w:sz w:val="30"/>
          <w:szCs w:val="30"/>
          <w:highlight w:val="none"/>
        </w:rPr>
        <w:t>合同协议书</w:t>
      </w:r>
      <w:bookmarkEnd w:id="95"/>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7F0883A7">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7D8A2DB1">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买    方：                                   卖    方：</w:t>
      </w:r>
    </w:p>
    <w:p w14:paraId="72661465">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7E795DF9">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3E399287">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为中标人。按照《中华人民共和国民法典》的规定，买卖双方同意按照下述的条款和条件，签署本合同。</w:t>
      </w:r>
    </w:p>
    <w:p w14:paraId="684DBB9F">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7649B1D3">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06ACE1D9">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2412E0D8">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41860D68">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0B00AC00">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6D6F0ADF">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0AFCD1E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color w:val="auto"/>
          <w:highlight w:val="none"/>
          <w:lang w:val="en-US" w:eastAsia="zh-CN"/>
        </w:rPr>
        <w:t>甲乙双方签订合同时约定。</w:t>
      </w:r>
      <w:r>
        <w:rPr>
          <w:rFonts w:hint="eastAsia" w:ascii="仿宋" w:hAnsi="仿宋" w:eastAsia="仿宋" w:cs="仿宋"/>
          <w:b w:val="0"/>
          <w:bCs w:val="0"/>
          <w:color w:val="auto"/>
          <w:highlight w:val="none"/>
          <w:lang w:val="en-US" w:eastAsia="zh-CN"/>
        </w:rPr>
        <w:t>（具体以签订合同为准）</w:t>
      </w:r>
    </w:p>
    <w:p w14:paraId="374E25CD">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7C23481B">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B37D4E7">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510A51CB">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13360C9B">
      <w:pPr>
        <w:pStyle w:val="12"/>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B2EA5E4">
      <w:pPr>
        <w:pStyle w:val="12"/>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6FE77E74">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2C226887">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3DAAD313">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6303DD47">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FEAE2">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4A16CDDA">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0367AC24">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664D44B5">
      <w:pPr>
        <w:pStyle w:val="12"/>
        <w:spacing w:after="0" w:line="360" w:lineRule="exact"/>
        <w:ind w:left="0" w:leftChars="0" w:firstLine="486" w:firstLineChars="200"/>
        <w:rPr>
          <w:rFonts w:hint="default" w:eastAsia="浠垮畫" w:cs="浠垮畫" w:asciiTheme="minorAscii" w:hAnsiTheme="minorAscii"/>
          <w:b/>
          <w:bCs/>
          <w:color w:val="000000"/>
          <w:kern w:val="0"/>
          <w:sz w:val="30"/>
          <w:szCs w:val="30"/>
          <w:lang w:val="en-US" w:eastAsia="zh-CN" w:bidi="ar"/>
        </w:rPr>
      </w:pPr>
      <w:r>
        <w:rPr>
          <w:rFonts w:hint="eastAsia" w:ascii="仿宋" w:hAnsi="仿宋" w:eastAsia="仿宋" w:cs="仿宋"/>
          <w:color w:val="auto"/>
          <w:highlight w:val="none"/>
          <w:u w:color="000000"/>
          <w:lang w:eastAsia="zh-CN"/>
        </w:rPr>
        <w:t>帐    号：                          帐    号：</w:t>
      </w:r>
    </w:p>
    <w:p w14:paraId="2EB2C22D">
      <w:pPr>
        <w:pStyle w:val="12"/>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14:paraId="65F836D2">
      <w:pPr>
        <w:pStyle w:val="12"/>
        <w:spacing w:after="0" w:line="420" w:lineRule="exact"/>
        <w:ind w:left="0" w:leftChars="0" w:firstLine="606"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p>
    <w:p w14:paraId="5C28C7FE">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2F77227">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540F409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515CB7A6">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5E746E71">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19DF95D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24827E46">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21D207F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C33271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02A5F04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2E8B4C1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5161C7F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BEE8E18">
      <w:pPr>
        <w:pStyle w:val="7"/>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720AC285">
      <w:pPr>
        <w:pStyle w:val="7"/>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5128AF0E">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2A444F1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4DB2FFC6">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DDE5C7F">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42DF298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69571B9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A39C4B4">
      <w:pPr>
        <w:pStyle w:val="7"/>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627C25C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75FFC43B">
      <w:pPr>
        <w:pStyle w:val="7"/>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38389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4C8811E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2200D95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291A4C0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A406A8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1939AED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486E6C6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06A2639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41D567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0CEF0E13">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3CF9A4B1">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5A2C74F6">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4A6317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4818570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486C234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78AA031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DA4258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466ABC5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533D2DB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25D7793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2EC5D3C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2C082646">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70193656">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6507699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19139E4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7C691E3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22DC70FE">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1E9D789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08989778">
      <w:pPr>
        <w:pStyle w:val="7"/>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3CF3EC7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39DDFD9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48F9CA9">
      <w:pPr>
        <w:pStyle w:val="7"/>
        <w:spacing w:line="440" w:lineRule="exact"/>
        <w:ind w:firstLine="486"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7ADE51A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7640E9A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78232A3C">
      <w:pPr>
        <w:pStyle w:val="7"/>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3B16197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68B287B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7BD38F5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79BF258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6FF58A7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01D188B2">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064AAF35">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419EAA4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72773CC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46DB2EF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B4B66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27AAA235">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07C15E7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0FCA799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40BECC7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D755716">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475A09BB">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5EE750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5C171BD6">
      <w:pPr>
        <w:pStyle w:val="7"/>
        <w:overflowPunct w:val="0"/>
        <w:spacing w:line="440" w:lineRule="exact"/>
        <w:ind w:firstLine="607"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68573130">
      <w:pPr>
        <w:pStyle w:val="7"/>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6CD218F6">
      <w:pPr>
        <w:pStyle w:val="7"/>
        <w:overflowPunct w:val="0"/>
        <w:spacing w:line="440" w:lineRule="exact"/>
        <w:ind w:right="-1010"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462B1352">
      <w:pPr>
        <w:pStyle w:val="7"/>
        <w:overflowPunct w:val="0"/>
        <w:spacing w:line="440" w:lineRule="exact"/>
        <w:ind w:right="-1010"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757644C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326BC99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307A597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1774C874">
      <w:pPr>
        <w:pStyle w:val="7"/>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0A10648E">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1539C49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60B649A9">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5A403E4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6F8A8F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3520088">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352B297E">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7901201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149D30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348E51E">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45082A9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4CA6B7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1AF07843">
      <w:pPr>
        <w:pStyle w:val="7"/>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213C24BF">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136003B2">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6AACCF6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6E8D55C">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4EBCE2F0">
      <w:pPr>
        <w:spacing w:line="440" w:lineRule="exact"/>
        <w:ind w:firstLine="607" w:firstLineChars="25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3EF12535">
      <w:pPr>
        <w:ind w:firstLine="486" w:firstLineChars="200"/>
        <w:rPr>
          <w:rFonts w:hint="eastAsia" w:ascii="仿宋" w:hAnsi="仿宋" w:eastAsia="仿宋" w:cs="仿宋"/>
          <w:color w:val="auto"/>
          <w:highlight w:val="none"/>
          <w:lang w:eastAsia="zh-CN"/>
        </w:rPr>
      </w:pPr>
    </w:p>
    <w:p w14:paraId="17C7A661">
      <w:pPr>
        <w:rPr>
          <w:rFonts w:hint="eastAsia" w:ascii="仿宋" w:hAnsi="仿宋" w:eastAsia="仿宋" w:cs="仿宋"/>
          <w:color w:val="auto"/>
          <w:highlight w:val="none"/>
          <w:lang w:eastAsia="zh-CN"/>
        </w:rPr>
      </w:pPr>
    </w:p>
    <w:p w14:paraId="5FB7C1CE">
      <w:pPr>
        <w:ind w:firstLine="486" w:firstLineChars="200"/>
        <w:rPr>
          <w:rFonts w:hint="eastAsia" w:ascii="仿宋" w:hAnsi="仿宋" w:eastAsia="仿宋" w:cs="仿宋"/>
          <w:color w:val="auto"/>
          <w:highlight w:val="none"/>
          <w:lang w:eastAsia="zh-CN"/>
        </w:rPr>
      </w:pPr>
    </w:p>
    <w:p w14:paraId="33137A53">
      <w:pPr>
        <w:pStyle w:val="37"/>
        <w:keepNext/>
        <w:keepLines/>
        <w:spacing w:before="0" w:after="1160"/>
        <w:jc w:val="center"/>
        <w:rPr>
          <w:rFonts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六</w:t>
      </w:r>
      <w:r>
        <w:rPr>
          <w:rFonts w:hint="eastAsia" w:ascii="仿宋" w:hAnsi="仿宋" w:eastAsia="仿宋" w:cs="仿宋"/>
          <w:b/>
          <w:bCs/>
          <w:color w:val="auto"/>
          <w:highlight w:val="none"/>
          <w:lang w:val="en-US" w:eastAsia="zh-CN"/>
        </w:rPr>
        <w:t xml:space="preserve">章  </w:t>
      </w:r>
      <w:r>
        <w:rPr>
          <w:rFonts w:hint="eastAsia" w:ascii="仿宋" w:hAnsi="仿宋" w:eastAsia="仿宋" w:cs="仿宋"/>
          <w:b/>
          <w:bCs/>
          <w:color w:val="auto"/>
          <w:highlight w:val="none"/>
        </w:rPr>
        <w:t>投标文件格式</w:t>
      </w:r>
    </w:p>
    <w:p w14:paraId="4345367F">
      <w:pPr>
        <w:adjustRightInd w:val="0"/>
        <w:snapToGrid w:val="0"/>
        <w:spacing w:line="360" w:lineRule="auto"/>
        <w:jc w:val="center"/>
        <w:rPr>
          <w:rFonts w:ascii="仿宋" w:hAnsi="仿宋" w:eastAsia="仿宋" w:cs="仿宋"/>
          <w:b/>
          <w:caps/>
          <w:color w:val="auto"/>
          <w:highlight w:val="none"/>
          <w:lang w:eastAsia="zh-CN"/>
        </w:rPr>
      </w:pPr>
      <w:bookmarkStart w:id="96" w:name="bookmark196"/>
    </w:p>
    <w:p w14:paraId="12AA196C">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caps/>
          <w:color w:val="auto"/>
          <w:sz w:val="32"/>
          <w:szCs w:val="32"/>
          <w:highlight w:val="none"/>
          <w:lang w:eastAsia="zh-CN"/>
        </w:rPr>
        <w:t>（项目名称、</w:t>
      </w:r>
      <w:r>
        <w:rPr>
          <w:rFonts w:hint="eastAsia" w:ascii="仿宋" w:hAnsi="仿宋" w:eastAsia="仿宋" w:cs="仿宋"/>
          <w:b/>
          <w:caps/>
          <w:color w:val="auto"/>
          <w:sz w:val="32"/>
          <w:szCs w:val="32"/>
          <w:highlight w:val="none"/>
          <w:lang w:val="en-US" w:eastAsia="zh-CN"/>
        </w:rPr>
        <w:t>编号</w:t>
      </w:r>
      <w:r>
        <w:rPr>
          <w:rFonts w:hint="eastAsia" w:ascii="仿宋" w:hAnsi="仿宋" w:eastAsia="仿宋" w:cs="仿宋"/>
          <w:b/>
          <w:caps/>
          <w:color w:val="auto"/>
          <w:sz w:val="32"/>
          <w:szCs w:val="32"/>
          <w:highlight w:val="none"/>
          <w:lang w:eastAsia="zh-CN"/>
        </w:rPr>
        <w:t>）</w:t>
      </w:r>
    </w:p>
    <w:p w14:paraId="4311CFCA">
      <w:pPr>
        <w:adjustRightInd w:val="0"/>
        <w:snapToGrid w:val="0"/>
        <w:spacing w:line="360" w:lineRule="auto"/>
        <w:jc w:val="center"/>
        <w:rPr>
          <w:rFonts w:hint="eastAsia" w:ascii="仿宋" w:hAnsi="仿宋" w:eastAsia="仿宋" w:cs="仿宋"/>
          <w:b/>
          <w:bCs/>
          <w:color w:val="auto"/>
          <w:sz w:val="44"/>
          <w:szCs w:val="44"/>
          <w:highlight w:val="none"/>
          <w:lang w:eastAsia="zh-CN"/>
        </w:rPr>
      </w:pPr>
    </w:p>
    <w:p w14:paraId="55BAEEAC">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1E5051CA">
      <w:pPr>
        <w:adjustRightInd w:val="0"/>
        <w:snapToGrid w:val="0"/>
        <w:spacing w:line="360" w:lineRule="auto"/>
        <w:jc w:val="center"/>
        <w:rPr>
          <w:rFonts w:ascii="仿宋" w:hAnsi="仿宋" w:eastAsia="仿宋" w:cs="仿宋"/>
          <w:bCs/>
          <w:color w:val="auto"/>
          <w:sz w:val="32"/>
          <w:szCs w:val="32"/>
          <w:highlight w:val="none"/>
          <w:lang w:eastAsia="zh-CN"/>
        </w:rPr>
      </w:pPr>
    </w:p>
    <w:p w14:paraId="0F170568">
      <w:pPr>
        <w:adjustRightInd w:val="0"/>
        <w:snapToGrid w:val="0"/>
        <w:spacing w:line="360" w:lineRule="auto"/>
        <w:jc w:val="center"/>
        <w:rPr>
          <w:rFonts w:ascii="仿宋" w:hAnsi="仿宋" w:eastAsia="仿宋" w:cs="仿宋"/>
          <w:bCs/>
          <w:color w:val="auto"/>
          <w:sz w:val="32"/>
          <w:szCs w:val="32"/>
          <w:highlight w:val="none"/>
          <w:lang w:eastAsia="zh-CN"/>
        </w:rPr>
      </w:pPr>
    </w:p>
    <w:p w14:paraId="1058F2E5">
      <w:pPr>
        <w:adjustRightInd w:val="0"/>
        <w:snapToGrid w:val="0"/>
        <w:spacing w:line="360" w:lineRule="auto"/>
        <w:jc w:val="center"/>
        <w:rPr>
          <w:rFonts w:ascii="仿宋" w:hAnsi="仿宋" w:eastAsia="仿宋" w:cs="仿宋"/>
          <w:bCs/>
          <w:color w:val="auto"/>
          <w:sz w:val="32"/>
          <w:szCs w:val="32"/>
          <w:highlight w:val="none"/>
          <w:lang w:eastAsia="zh-CN"/>
        </w:rPr>
      </w:pPr>
    </w:p>
    <w:p w14:paraId="63E4B1DB">
      <w:pPr>
        <w:adjustRightInd w:val="0"/>
        <w:snapToGrid w:val="0"/>
        <w:spacing w:line="360" w:lineRule="auto"/>
        <w:jc w:val="both"/>
        <w:rPr>
          <w:rFonts w:ascii="仿宋" w:hAnsi="仿宋" w:eastAsia="仿宋" w:cs="仿宋"/>
          <w:bCs/>
          <w:color w:val="auto"/>
          <w:sz w:val="32"/>
          <w:szCs w:val="32"/>
          <w:highlight w:val="none"/>
          <w:lang w:eastAsia="zh-CN"/>
        </w:rPr>
      </w:pPr>
    </w:p>
    <w:p w14:paraId="30D3B587">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kern w:val="0"/>
          <w:sz w:val="28"/>
          <w:szCs w:val="28"/>
          <w:highlight w:val="none"/>
          <w:fitText w:val="2810" w:id="164972916"/>
          <w:lang w:eastAsia="zh-CN"/>
        </w:rPr>
        <w:t>供应商名称（公章）：</w:t>
      </w:r>
    </w:p>
    <w:p w14:paraId="126B9201">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w w:val="77"/>
          <w:kern w:val="0"/>
          <w:sz w:val="28"/>
          <w:szCs w:val="28"/>
          <w:highlight w:val="none"/>
          <w:fitText w:val="2810" w:id="1"/>
          <w:lang w:eastAsia="zh-CN"/>
        </w:rPr>
        <w:t>法定代表人（签章或盖章）</w:t>
      </w:r>
      <w:r>
        <w:rPr>
          <w:rFonts w:hint="eastAsia" w:ascii="仿宋" w:hAnsi="仿宋" w:eastAsia="仿宋" w:cs="仿宋"/>
          <w:b/>
          <w:caps/>
          <w:color w:val="auto"/>
          <w:spacing w:val="-1"/>
          <w:w w:val="77"/>
          <w:kern w:val="0"/>
          <w:sz w:val="28"/>
          <w:szCs w:val="28"/>
          <w:highlight w:val="none"/>
          <w:fitText w:val="2810" w:id="1"/>
          <w:lang w:eastAsia="zh-CN"/>
        </w:rPr>
        <w:t>：</w:t>
      </w:r>
    </w:p>
    <w:p w14:paraId="5F4574D6">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13"/>
          <w:kern w:val="0"/>
          <w:sz w:val="28"/>
          <w:szCs w:val="28"/>
          <w:highlight w:val="none"/>
          <w:fitText w:val="2810" w:id="2"/>
          <w:lang w:eastAsia="zh-CN"/>
        </w:rPr>
        <w:t>供应商地址</w:t>
      </w:r>
      <w:r>
        <w:rPr>
          <w:rFonts w:hint="eastAsia" w:ascii="仿宋" w:hAnsi="仿宋" w:eastAsia="仿宋" w:cs="仿宋"/>
          <w:b/>
          <w:caps/>
          <w:color w:val="auto"/>
          <w:spacing w:val="0"/>
          <w:kern w:val="0"/>
          <w:sz w:val="28"/>
          <w:szCs w:val="28"/>
          <w:highlight w:val="none"/>
          <w:fitText w:val="2810" w:id="2"/>
          <w:lang w:eastAsia="zh-CN"/>
        </w:rPr>
        <w:t>：</w:t>
      </w:r>
    </w:p>
    <w:p w14:paraId="60DCDCE1">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281"/>
          <w:kern w:val="0"/>
          <w:sz w:val="28"/>
          <w:szCs w:val="28"/>
          <w:highlight w:val="none"/>
          <w:fitText w:val="2810" w:id="3"/>
          <w:lang w:eastAsia="zh-CN"/>
        </w:rPr>
        <w:t>联系人</w:t>
      </w:r>
      <w:r>
        <w:rPr>
          <w:rFonts w:hint="eastAsia" w:ascii="仿宋" w:hAnsi="仿宋" w:eastAsia="仿宋" w:cs="仿宋"/>
          <w:b/>
          <w:caps/>
          <w:color w:val="auto"/>
          <w:spacing w:val="2"/>
          <w:kern w:val="0"/>
          <w:sz w:val="28"/>
          <w:szCs w:val="28"/>
          <w:highlight w:val="none"/>
          <w:fitText w:val="2810" w:id="3"/>
          <w:lang w:eastAsia="zh-CN"/>
        </w:rPr>
        <w:t>：</w:t>
      </w:r>
    </w:p>
    <w:p w14:paraId="74090EA4">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76"/>
          <w:kern w:val="0"/>
          <w:sz w:val="28"/>
          <w:szCs w:val="28"/>
          <w:highlight w:val="none"/>
          <w:fitText w:val="2810" w:id="4"/>
          <w:lang w:eastAsia="zh-CN"/>
        </w:rPr>
        <w:t>联系电话</w:t>
      </w:r>
      <w:r>
        <w:rPr>
          <w:rFonts w:hint="eastAsia" w:ascii="仿宋" w:hAnsi="仿宋" w:eastAsia="仿宋" w:cs="仿宋"/>
          <w:b/>
          <w:caps/>
          <w:color w:val="auto"/>
          <w:spacing w:val="1"/>
          <w:kern w:val="0"/>
          <w:sz w:val="28"/>
          <w:szCs w:val="28"/>
          <w:highlight w:val="none"/>
          <w:fitText w:val="2810" w:id="4"/>
          <w:lang w:eastAsia="zh-CN"/>
        </w:rPr>
        <w:t>：</w:t>
      </w:r>
    </w:p>
    <w:p w14:paraId="5B6EE641">
      <w:pPr>
        <w:adjustRightInd w:val="0"/>
        <w:snapToGrid w:val="0"/>
        <w:spacing w:line="360" w:lineRule="auto"/>
        <w:jc w:val="center"/>
        <w:rPr>
          <w:rFonts w:ascii="仿宋" w:hAnsi="仿宋" w:eastAsia="仿宋" w:cs="仿宋"/>
          <w:b/>
          <w:caps/>
          <w:color w:val="auto"/>
          <w:sz w:val="28"/>
          <w:szCs w:val="28"/>
          <w:highlight w:val="none"/>
          <w:lang w:eastAsia="zh-CN"/>
        </w:rPr>
      </w:pPr>
    </w:p>
    <w:p w14:paraId="4601F9D9">
      <w:pPr>
        <w:adjustRightInd w:val="0"/>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年</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月</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日</w:t>
      </w:r>
    </w:p>
    <w:p w14:paraId="7DE4FA69">
      <w:pPr>
        <w:pStyle w:val="39"/>
        <w:spacing w:after="340" w:line="240" w:lineRule="auto"/>
        <w:ind w:firstLine="0"/>
        <w:rPr>
          <w:rFonts w:ascii="仿宋" w:hAnsi="仿宋" w:eastAsia="仿宋" w:cs="仿宋"/>
          <w:color w:val="auto"/>
          <w:highlight w:val="none"/>
        </w:rPr>
      </w:pPr>
    </w:p>
    <w:bookmarkEnd w:id="96"/>
    <w:p w14:paraId="203D4D15">
      <w:pPr>
        <w:pStyle w:val="3"/>
        <w:spacing w:line="240" w:lineRule="atLeast"/>
        <w:rPr>
          <w:rFonts w:ascii="仿宋" w:hAnsi="仿宋" w:eastAsia="仿宋" w:cs="仿宋"/>
          <w:bCs/>
          <w:color w:val="auto"/>
          <w:sz w:val="24"/>
          <w:highlight w:val="none"/>
          <w:lang w:eastAsia="zh-CN"/>
        </w:rPr>
      </w:pPr>
      <w:bookmarkStart w:id="97" w:name="_Toc18694"/>
      <w:bookmarkStart w:id="98" w:name="_Toc515647803"/>
      <w:bookmarkStart w:id="99" w:name="_Toc18974"/>
      <w:bookmarkStart w:id="100" w:name="_Toc8919"/>
    </w:p>
    <w:p w14:paraId="723B6E05">
      <w:pPr>
        <w:rPr>
          <w:rFonts w:ascii="仿宋" w:hAnsi="仿宋" w:eastAsia="仿宋" w:cs="仿宋"/>
          <w:bCs/>
          <w:color w:val="auto"/>
          <w:sz w:val="24"/>
          <w:highlight w:val="none"/>
          <w:lang w:eastAsia="zh-CN"/>
        </w:rPr>
      </w:pPr>
    </w:p>
    <w:p w14:paraId="58B45BEF">
      <w:pPr>
        <w:rPr>
          <w:rFonts w:ascii="仿宋" w:hAnsi="仿宋" w:eastAsia="仿宋" w:cs="仿宋"/>
          <w:bCs/>
          <w:color w:val="auto"/>
          <w:sz w:val="24"/>
          <w:highlight w:val="none"/>
          <w:lang w:eastAsia="zh-CN"/>
        </w:rPr>
      </w:pPr>
    </w:p>
    <w:p w14:paraId="248EC70F">
      <w:pPr>
        <w:rPr>
          <w:rFonts w:ascii="仿宋" w:hAnsi="仿宋" w:eastAsia="仿宋" w:cs="仿宋"/>
          <w:bCs/>
          <w:color w:val="auto"/>
          <w:sz w:val="24"/>
          <w:highlight w:val="none"/>
          <w:lang w:eastAsia="zh-CN"/>
        </w:rPr>
      </w:pPr>
    </w:p>
    <w:p w14:paraId="69BA37C7">
      <w:pPr>
        <w:pStyle w:val="3"/>
        <w:spacing w:line="240" w:lineRule="atLeast"/>
        <w:rPr>
          <w:rFonts w:hint="eastAsia" w:ascii="仿宋" w:hAnsi="仿宋" w:eastAsia="仿宋" w:cs="仿宋"/>
          <w:bCs/>
          <w:color w:val="auto"/>
          <w:sz w:val="44"/>
          <w:szCs w:val="32"/>
          <w:highlight w:val="none"/>
          <w:lang w:eastAsia="zh-CN"/>
        </w:rPr>
      </w:pPr>
    </w:p>
    <w:p w14:paraId="23576D0F">
      <w:pPr>
        <w:pStyle w:val="3"/>
        <w:spacing w:line="240" w:lineRule="atLeast"/>
        <w:rPr>
          <w:rFonts w:ascii="仿宋" w:hAnsi="仿宋" w:eastAsia="仿宋" w:cs="仿宋"/>
          <w:color w:val="auto"/>
          <w:szCs w:val="21"/>
          <w:highlight w:val="none"/>
          <w:lang w:eastAsia="zh-CN"/>
        </w:rPr>
      </w:pPr>
      <w:r>
        <w:rPr>
          <w:rFonts w:hint="eastAsia" w:ascii="仿宋" w:hAnsi="仿宋" w:eastAsia="仿宋" w:cs="仿宋"/>
          <w:bCs/>
          <w:color w:val="auto"/>
          <w:sz w:val="44"/>
          <w:szCs w:val="32"/>
          <w:highlight w:val="none"/>
          <w:lang w:eastAsia="zh-CN"/>
        </w:rPr>
        <w:t>第一部分 资格证明文件</w:t>
      </w:r>
      <w:bookmarkEnd w:id="97"/>
      <w:bookmarkEnd w:id="98"/>
      <w:bookmarkEnd w:id="99"/>
      <w:bookmarkEnd w:id="100"/>
    </w:p>
    <w:p w14:paraId="5F44384F">
      <w:pPr>
        <w:spacing w:line="240" w:lineRule="atLeast"/>
        <w:ind w:left="717" w:hanging="716" w:hangingChars="295"/>
        <w:jc w:val="center"/>
        <w:rPr>
          <w:rFonts w:ascii="仿宋" w:hAnsi="仿宋" w:eastAsia="仿宋" w:cs="仿宋"/>
          <w:color w:val="auto"/>
          <w:highlight w:val="none"/>
          <w:lang w:eastAsia="zh-CN"/>
        </w:rPr>
      </w:pPr>
    </w:p>
    <w:p w14:paraId="2856D23D">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1、法人或者非法人组织的营业执照等证明文件或自然人的身份证明（须加盖本单位章）;</w:t>
      </w:r>
    </w:p>
    <w:p w14:paraId="46F09FCA">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2、法定代表人资格证明书；</w:t>
      </w:r>
    </w:p>
    <w:p w14:paraId="2BD5D5C2">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3、法定代表人授权委托书；</w:t>
      </w:r>
    </w:p>
    <w:p w14:paraId="46746FEB">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75450427">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、投标保证金缴纳凭证或投标担保函；</w:t>
      </w:r>
    </w:p>
    <w:p w14:paraId="4C04A7D7">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、投标企业须提供投标人（被授权在职人员）近6个月内任意一个月有效的社保证明；</w:t>
      </w:r>
    </w:p>
    <w:p w14:paraId="0F2772A5">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60D30200">
      <w:pPr>
        <w:keepNext w:val="0"/>
        <w:keepLines w:val="0"/>
        <w:pageBreakBefore w:val="0"/>
        <w:widowControl w:val="0"/>
        <w:tabs>
          <w:tab w:val="left" w:pos="5580"/>
        </w:tabs>
        <w:kinsoku/>
        <w:wordWrap/>
        <w:overflowPunct/>
        <w:topLinePunct w:val="0"/>
        <w:autoSpaceDE/>
        <w:autoSpaceDN/>
        <w:bidi w:val="0"/>
        <w:adjustRightInd/>
        <w:snapToGrid/>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供应商须知前附表要求的其他资格证明文件。</w:t>
      </w:r>
    </w:p>
    <w:p w14:paraId="65953CF3">
      <w:pPr>
        <w:pStyle w:val="10"/>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p>
    <w:p w14:paraId="15E9BBAF">
      <w:pPr>
        <w:pStyle w:val="34"/>
        <w:rPr>
          <w:rFonts w:ascii="仿宋" w:hAnsi="仿宋" w:eastAsia="仿宋" w:cs="仿宋"/>
          <w:b/>
          <w:bCs/>
          <w:color w:val="auto"/>
          <w:sz w:val="36"/>
          <w:szCs w:val="36"/>
          <w:highlight w:val="none"/>
          <w:lang w:eastAsia="zh-CN"/>
        </w:rPr>
      </w:pPr>
    </w:p>
    <w:p w14:paraId="16DCF2B2">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bookmarkStart w:id="101" w:name="_Toc515647805"/>
      <w:bookmarkStart w:id="102" w:name="_Toc29899"/>
      <w:bookmarkStart w:id="103" w:name="_Toc17577"/>
      <w:bookmarkStart w:id="104" w:name="_Toc4844"/>
    </w:p>
    <w:p w14:paraId="56CD8472">
      <w:pPr>
        <w:rPr>
          <w:rFonts w:hint="eastAsia" w:ascii="仿宋" w:hAnsi="仿宋" w:eastAsia="仿宋" w:cs="仿宋"/>
          <w:b/>
          <w:bCs/>
          <w:color w:val="auto"/>
          <w:sz w:val="36"/>
          <w:szCs w:val="36"/>
          <w:highlight w:val="none"/>
          <w:lang w:eastAsia="zh-CN"/>
        </w:rPr>
      </w:pPr>
    </w:p>
    <w:p w14:paraId="16034D24">
      <w:pPr>
        <w:pStyle w:val="7"/>
        <w:rPr>
          <w:rFonts w:hint="eastAsia" w:ascii="仿宋" w:hAnsi="仿宋" w:eastAsia="仿宋" w:cs="仿宋"/>
          <w:b/>
          <w:bCs/>
          <w:color w:val="auto"/>
          <w:sz w:val="36"/>
          <w:szCs w:val="36"/>
          <w:highlight w:val="none"/>
          <w:lang w:eastAsia="zh-CN"/>
        </w:rPr>
      </w:pPr>
    </w:p>
    <w:p w14:paraId="307CE44B">
      <w:pPr>
        <w:pStyle w:val="8"/>
        <w:rPr>
          <w:rFonts w:hint="eastAsia" w:ascii="仿宋" w:hAnsi="仿宋" w:eastAsia="仿宋" w:cs="仿宋"/>
          <w:b/>
          <w:bCs/>
          <w:color w:val="auto"/>
          <w:sz w:val="36"/>
          <w:szCs w:val="36"/>
          <w:highlight w:val="none"/>
          <w:lang w:eastAsia="zh-CN"/>
        </w:rPr>
      </w:pPr>
    </w:p>
    <w:p w14:paraId="15591D73">
      <w:pPr>
        <w:rPr>
          <w:rFonts w:hint="eastAsia" w:ascii="仿宋" w:hAnsi="仿宋" w:eastAsia="仿宋" w:cs="仿宋"/>
          <w:b/>
          <w:bCs/>
          <w:color w:val="auto"/>
          <w:sz w:val="36"/>
          <w:szCs w:val="36"/>
          <w:highlight w:val="none"/>
          <w:lang w:eastAsia="zh-CN"/>
        </w:rPr>
      </w:pPr>
    </w:p>
    <w:p w14:paraId="5F0F2591">
      <w:pPr>
        <w:pStyle w:val="7"/>
        <w:rPr>
          <w:rFonts w:hint="eastAsia"/>
          <w:color w:val="auto"/>
          <w:highlight w:val="none"/>
          <w:lang w:eastAsia="zh-CN"/>
        </w:rPr>
      </w:pPr>
    </w:p>
    <w:p w14:paraId="407612F8">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38447869">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2C7EF67D">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5E4C1D47">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6ADCCCF8">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 法人或者非法人组织的营业执照等证明文件</w:t>
      </w:r>
      <w:bookmarkEnd w:id="101"/>
      <w:bookmarkStart w:id="105" w:name="_Toc515647806"/>
      <w:r>
        <w:rPr>
          <w:rFonts w:hint="eastAsia" w:ascii="仿宋" w:hAnsi="仿宋" w:eastAsia="仿宋" w:cs="仿宋"/>
          <w:b/>
          <w:bCs/>
          <w:color w:val="auto"/>
          <w:sz w:val="36"/>
          <w:szCs w:val="36"/>
          <w:highlight w:val="none"/>
          <w:lang w:eastAsia="zh-CN"/>
        </w:rPr>
        <w:t>或自然人的身份证明</w:t>
      </w:r>
      <w:bookmarkEnd w:id="102"/>
      <w:bookmarkEnd w:id="103"/>
      <w:bookmarkEnd w:id="104"/>
      <w:bookmarkEnd w:id="105"/>
    </w:p>
    <w:p w14:paraId="2C05B20C">
      <w:pPr>
        <w:pStyle w:val="13"/>
        <w:tabs>
          <w:tab w:val="left" w:pos="5580"/>
        </w:tabs>
        <w:spacing w:line="400" w:lineRule="exact"/>
        <w:ind w:left="1164" w:leftChars="257" w:hanging="540"/>
        <w:jc w:val="center"/>
        <w:rPr>
          <w:rFonts w:ascii="仿宋" w:hAnsi="仿宋" w:eastAsia="仿宋" w:cs="仿宋"/>
          <w:b/>
          <w:color w:val="auto"/>
          <w:highlight w:val="none"/>
          <w:lang w:eastAsia="zh-CN"/>
        </w:rPr>
      </w:pPr>
    </w:p>
    <w:p w14:paraId="5B6575B8">
      <w:pPr>
        <w:pStyle w:val="13"/>
        <w:tabs>
          <w:tab w:val="left" w:pos="5580"/>
        </w:tabs>
        <w:spacing w:line="400" w:lineRule="exact"/>
        <w:ind w:left="1164" w:leftChars="257" w:hanging="540"/>
        <w:rPr>
          <w:rFonts w:ascii="仿宋" w:hAnsi="仿宋" w:eastAsia="仿宋" w:cs="仿宋"/>
          <w:b/>
          <w:color w:val="auto"/>
          <w:highlight w:val="none"/>
          <w:lang w:eastAsia="zh-CN"/>
        </w:rPr>
      </w:pPr>
    </w:p>
    <w:p w14:paraId="2570FD54">
      <w:pPr>
        <w:pStyle w:val="13"/>
        <w:tabs>
          <w:tab w:val="left" w:pos="5580"/>
        </w:tabs>
        <w:spacing w:line="400" w:lineRule="exact"/>
        <w:ind w:left="1164" w:leftChars="257" w:hanging="540"/>
        <w:rPr>
          <w:rFonts w:ascii="仿宋" w:hAnsi="仿宋" w:eastAsia="仿宋" w:cs="仿宋"/>
          <w:b/>
          <w:color w:val="auto"/>
          <w:highlight w:val="none"/>
          <w:lang w:eastAsia="zh-CN"/>
        </w:rPr>
      </w:pPr>
    </w:p>
    <w:p w14:paraId="4CFD2CE1">
      <w:pPr>
        <w:pStyle w:val="13"/>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说明：1.提供有效的营业执照等证明文件复印件，复印件上应加盖本单位章。</w:t>
      </w:r>
    </w:p>
    <w:p w14:paraId="3C110FB9">
      <w:pPr>
        <w:pStyle w:val="13"/>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2.供应商为自然人的，应提供身份证明的复印件。</w:t>
      </w:r>
    </w:p>
    <w:p w14:paraId="713E3DD2">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FF1D177">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1DF0B16">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1CC875C0">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5AF0A70">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BA91DCE">
      <w:pPr>
        <w:pStyle w:val="10"/>
        <w:numPr>
          <w:ilvl w:val="0"/>
          <w:numId w:val="0"/>
        </w:numPr>
        <w:kinsoku w:val="0"/>
        <w:overflowPunct w:val="0"/>
        <w:spacing w:before="34" w:line="440" w:lineRule="exact"/>
        <w:ind w:right="126"/>
        <w:jc w:val="both"/>
        <w:rPr>
          <w:rFonts w:ascii="仿宋" w:hAnsi="仿宋" w:eastAsia="仿宋" w:cs="仿宋"/>
          <w:b/>
          <w:bCs/>
          <w:color w:val="auto"/>
          <w:sz w:val="36"/>
          <w:szCs w:val="36"/>
          <w:highlight w:val="none"/>
          <w:lang w:eastAsia="zh-CN"/>
        </w:rPr>
      </w:pPr>
    </w:p>
    <w:p w14:paraId="01BE1BDD">
      <w:pPr>
        <w:rPr>
          <w:rFonts w:ascii="仿宋" w:hAnsi="仿宋" w:eastAsia="仿宋" w:cs="仿宋"/>
          <w:b/>
          <w:bCs/>
          <w:color w:val="auto"/>
          <w:sz w:val="36"/>
          <w:szCs w:val="36"/>
          <w:highlight w:val="none"/>
          <w:lang w:eastAsia="zh-CN"/>
        </w:rPr>
      </w:pPr>
    </w:p>
    <w:p w14:paraId="3AF56DED">
      <w:pPr>
        <w:pStyle w:val="34"/>
        <w:rPr>
          <w:rFonts w:ascii="仿宋" w:hAnsi="仿宋" w:eastAsia="仿宋" w:cs="仿宋"/>
          <w:b/>
          <w:bCs/>
          <w:color w:val="auto"/>
          <w:sz w:val="36"/>
          <w:szCs w:val="36"/>
          <w:highlight w:val="none"/>
          <w:lang w:eastAsia="zh-CN"/>
        </w:rPr>
      </w:pPr>
    </w:p>
    <w:p w14:paraId="78BFAB5F">
      <w:pPr>
        <w:pStyle w:val="34"/>
        <w:rPr>
          <w:rFonts w:ascii="仿宋" w:hAnsi="仿宋" w:eastAsia="仿宋" w:cs="仿宋"/>
          <w:b/>
          <w:bCs/>
          <w:color w:val="auto"/>
          <w:sz w:val="36"/>
          <w:szCs w:val="36"/>
          <w:highlight w:val="none"/>
          <w:lang w:eastAsia="zh-CN"/>
        </w:rPr>
      </w:pPr>
    </w:p>
    <w:p w14:paraId="3831DAEC">
      <w:pPr>
        <w:pStyle w:val="34"/>
        <w:rPr>
          <w:rFonts w:ascii="仿宋" w:hAnsi="仿宋" w:eastAsia="仿宋" w:cs="仿宋"/>
          <w:b/>
          <w:bCs/>
          <w:color w:val="auto"/>
          <w:sz w:val="36"/>
          <w:szCs w:val="36"/>
          <w:highlight w:val="none"/>
          <w:lang w:eastAsia="zh-CN"/>
        </w:rPr>
      </w:pPr>
    </w:p>
    <w:p w14:paraId="22849708">
      <w:pPr>
        <w:pStyle w:val="34"/>
        <w:rPr>
          <w:rFonts w:ascii="仿宋" w:hAnsi="仿宋" w:eastAsia="仿宋" w:cs="仿宋"/>
          <w:b/>
          <w:bCs/>
          <w:color w:val="auto"/>
          <w:sz w:val="36"/>
          <w:szCs w:val="36"/>
          <w:highlight w:val="none"/>
          <w:lang w:eastAsia="zh-CN"/>
        </w:rPr>
      </w:pPr>
    </w:p>
    <w:p w14:paraId="08CD6311">
      <w:pPr>
        <w:pStyle w:val="34"/>
        <w:rPr>
          <w:rFonts w:ascii="仿宋" w:hAnsi="仿宋" w:eastAsia="仿宋" w:cs="仿宋"/>
          <w:b/>
          <w:bCs/>
          <w:color w:val="auto"/>
          <w:sz w:val="36"/>
          <w:szCs w:val="36"/>
          <w:highlight w:val="none"/>
          <w:lang w:eastAsia="zh-CN"/>
        </w:rPr>
      </w:pPr>
    </w:p>
    <w:p w14:paraId="06DF0CF9">
      <w:pPr>
        <w:pStyle w:val="34"/>
        <w:rPr>
          <w:rFonts w:ascii="仿宋" w:hAnsi="仿宋" w:eastAsia="仿宋" w:cs="仿宋"/>
          <w:b/>
          <w:bCs/>
          <w:color w:val="auto"/>
          <w:sz w:val="36"/>
          <w:szCs w:val="36"/>
          <w:highlight w:val="none"/>
          <w:lang w:eastAsia="zh-CN"/>
        </w:rPr>
      </w:pPr>
    </w:p>
    <w:p w14:paraId="432430C9">
      <w:pPr>
        <w:pStyle w:val="34"/>
        <w:rPr>
          <w:rFonts w:ascii="仿宋" w:hAnsi="仿宋" w:eastAsia="仿宋" w:cs="仿宋"/>
          <w:b/>
          <w:bCs/>
          <w:color w:val="auto"/>
          <w:sz w:val="36"/>
          <w:szCs w:val="36"/>
          <w:highlight w:val="none"/>
          <w:lang w:eastAsia="zh-CN"/>
        </w:rPr>
      </w:pPr>
    </w:p>
    <w:p w14:paraId="02D888A0">
      <w:pPr>
        <w:pStyle w:val="34"/>
        <w:rPr>
          <w:rFonts w:ascii="仿宋" w:hAnsi="仿宋" w:eastAsia="仿宋" w:cs="仿宋"/>
          <w:b/>
          <w:bCs/>
          <w:color w:val="auto"/>
          <w:sz w:val="36"/>
          <w:szCs w:val="36"/>
          <w:highlight w:val="none"/>
          <w:lang w:eastAsia="zh-CN"/>
        </w:rPr>
      </w:pPr>
    </w:p>
    <w:p w14:paraId="07857FE6">
      <w:pPr>
        <w:pStyle w:val="34"/>
        <w:rPr>
          <w:rFonts w:ascii="仿宋" w:hAnsi="仿宋" w:eastAsia="仿宋" w:cs="仿宋"/>
          <w:b/>
          <w:bCs/>
          <w:color w:val="auto"/>
          <w:sz w:val="36"/>
          <w:szCs w:val="36"/>
          <w:highlight w:val="none"/>
          <w:lang w:eastAsia="zh-CN"/>
        </w:rPr>
      </w:pPr>
    </w:p>
    <w:p w14:paraId="6C102D38">
      <w:pPr>
        <w:pStyle w:val="34"/>
        <w:rPr>
          <w:rFonts w:ascii="仿宋" w:hAnsi="仿宋" w:eastAsia="仿宋" w:cs="仿宋"/>
          <w:b/>
          <w:bCs/>
          <w:color w:val="auto"/>
          <w:sz w:val="36"/>
          <w:szCs w:val="36"/>
          <w:highlight w:val="none"/>
          <w:lang w:eastAsia="zh-CN"/>
        </w:rPr>
      </w:pPr>
    </w:p>
    <w:p w14:paraId="70BF27F1">
      <w:pPr>
        <w:pStyle w:val="34"/>
        <w:rPr>
          <w:rFonts w:ascii="仿宋" w:hAnsi="仿宋" w:eastAsia="仿宋" w:cs="仿宋"/>
          <w:b/>
          <w:bCs/>
          <w:color w:val="auto"/>
          <w:sz w:val="36"/>
          <w:szCs w:val="36"/>
          <w:highlight w:val="none"/>
          <w:lang w:eastAsia="zh-CN"/>
        </w:rPr>
      </w:pPr>
    </w:p>
    <w:p w14:paraId="343CB17C">
      <w:pPr>
        <w:pStyle w:val="34"/>
        <w:rPr>
          <w:rFonts w:ascii="仿宋" w:hAnsi="仿宋" w:eastAsia="仿宋" w:cs="仿宋"/>
          <w:b/>
          <w:bCs/>
          <w:color w:val="auto"/>
          <w:sz w:val="36"/>
          <w:szCs w:val="36"/>
          <w:highlight w:val="none"/>
          <w:lang w:eastAsia="zh-CN"/>
        </w:rPr>
      </w:pPr>
    </w:p>
    <w:p w14:paraId="707C230A">
      <w:pPr>
        <w:pStyle w:val="34"/>
        <w:rPr>
          <w:rFonts w:ascii="仿宋" w:hAnsi="仿宋" w:eastAsia="仿宋" w:cs="仿宋"/>
          <w:b/>
          <w:bCs/>
          <w:color w:val="auto"/>
          <w:sz w:val="36"/>
          <w:szCs w:val="36"/>
          <w:highlight w:val="none"/>
          <w:lang w:eastAsia="zh-CN"/>
        </w:rPr>
      </w:pPr>
    </w:p>
    <w:p w14:paraId="7FC91987">
      <w:pPr>
        <w:pStyle w:val="34"/>
        <w:rPr>
          <w:rFonts w:ascii="仿宋" w:hAnsi="仿宋" w:eastAsia="仿宋" w:cs="仿宋"/>
          <w:b/>
          <w:bCs/>
          <w:color w:val="auto"/>
          <w:sz w:val="36"/>
          <w:szCs w:val="36"/>
          <w:highlight w:val="none"/>
          <w:lang w:eastAsia="zh-CN"/>
        </w:rPr>
      </w:pPr>
    </w:p>
    <w:p w14:paraId="78F8E671">
      <w:pPr>
        <w:pStyle w:val="34"/>
        <w:rPr>
          <w:rFonts w:ascii="仿宋" w:hAnsi="仿宋" w:eastAsia="仿宋" w:cs="仿宋"/>
          <w:b/>
          <w:bCs/>
          <w:color w:val="auto"/>
          <w:sz w:val="36"/>
          <w:szCs w:val="36"/>
          <w:highlight w:val="none"/>
          <w:lang w:eastAsia="zh-CN"/>
        </w:rPr>
      </w:pPr>
    </w:p>
    <w:p w14:paraId="03AE65E1">
      <w:pPr>
        <w:pStyle w:val="34"/>
        <w:ind w:firstLine="0"/>
        <w:rPr>
          <w:rFonts w:ascii="仿宋" w:hAnsi="仿宋" w:eastAsia="仿宋" w:cs="仿宋"/>
          <w:b/>
          <w:bCs/>
          <w:color w:val="auto"/>
          <w:sz w:val="36"/>
          <w:szCs w:val="36"/>
          <w:highlight w:val="none"/>
          <w:lang w:eastAsia="zh-CN"/>
        </w:rPr>
      </w:pPr>
    </w:p>
    <w:p w14:paraId="6AB513E3">
      <w:pPr>
        <w:pStyle w:val="10"/>
        <w:numPr>
          <w:ilvl w:val="0"/>
          <w:numId w:val="0"/>
        </w:numPr>
        <w:kinsoku w:val="0"/>
        <w:overflowPunct w:val="0"/>
        <w:spacing w:before="34" w:line="440" w:lineRule="exact"/>
        <w:ind w:left="480" w:right="126"/>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2、法定代表人身份证明</w:t>
      </w:r>
    </w:p>
    <w:p w14:paraId="5686FE82">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投标单位名称：</w:t>
      </w:r>
      <w:r>
        <w:rPr>
          <w:rFonts w:hint="eastAsia" w:ascii="仿宋" w:hAnsi="仿宋" w:eastAsia="仿宋" w:cs="仿宋"/>
          <w:color w:val="auto"/>
          <w:highlight w:val="none"/>
          <w:u w:val="single"/>
          <w:lang w:eastAsia="zh-CN"/>
        </w:rPr>
        <w:t xml:space="preserve">                       </w:t>
      </w:r>
    </w:p>
    <w:p w14:paraId="31BBBA46">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单位性质：</w:t>
      </w:r>
      <w:r>
        <w:rPr>
          <w:rFonts w:hint="eastAsia" w:ascii="仿宋" w:hAnsi="仿宋" w:eastAsia="仿宋" w:cs="仿宋"/>
          <w:color w:val="auto"/>
          <w:highlight w:val="none"/>
          <w:u w:val="single"/>
          <w:lang w:eastAsia="zh-CN"/>
        </w:rPr>
        <w:t xml:space="preserve">                           </w:t>
      </w:r>
    </w:p>
    <w:p w14:paraId="26699E9D">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p>
    <w:p w14:paraId="0F089AE7">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成立时间：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06817F5C">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经营期限：</w:t>
      </w:r>
      <w:r>
        <w:rPr>
          <w:rFonts w:hint="eastAsia" w:ascii="仿宋" w:hAnsi="仿宋" w:eastAsia="仿宋" w:cs="仿宋"/>
          <w:color w:val="auto"/>
          <w:highlight w:val="none"/>
          <w:u w:val="single"/>
          <w:lang w:eastAsia="zh-CN"/>
        </w:rPr>
        <w:t xml:space="preserve">             </w:t>
      </w:r>
    </w:p>
    <w:p w14:paraId="7AE22653">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性别：</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年龄：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17F3B78A">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身份证号码：</w:t>
      </w:r>
      <w:r>
        <w:rPr>
          <w:rFonts w:hint="eastAsia" w:ascii="仿宋" w:hAnsi="仿宋" w:eastAsia="仿宋" w:cs="仿宋"/>
          <w:color w:val="auto"/>
          <w:highlight w:val="none"/>
          <w:u w:val="single"/>
          <w:lang w:eastAsia="zh-CN"/>
        </w:rPr>
        <w:t xml:space="preserve">                                                     </w:t>
      </w:r>
    </w:p>
    <w:p w14:paraId="163EA886">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系</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（投标单位名称）的法定代表人。</w:t>
      </w:r>
    </w:p>
    <w:p w14:paraId="61D4CBCF">
      <w:pPr>
        <w:spacing w:line="420" w:lineRule="exact"/>
        <w:ind w:firstLine="972"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4292C99A">
      <w:pPr>
        <w:pStyle w:val="10"/>
        <w:numPr>
          <w:ilvl w:val="0"/>
          <w:numId w:val="0"/>
        </w:numPr>
        <w:kinsoku w:val="0"/>
        <w:overflowPunct w:val="0"/>
        <w:rPr>
          <w:rFonts w:ascii="仿宋" w:hAnsi="仿宋" w:eastAsia="仿宋" w:cs="仿宋"/>
          <w:color w:val="auto"/>
          <w:sz w:val="20"/>
          <w:szCs w:val="20"/>
          <w:highlight w:val="none"/>
        </w:rPr>
      </w:pPr>
    </w:p>
    <w:p w14:paraId="0C843999">
      <w:pPr>
        <w:pStyle w:val="10"/>
        <w:numPr>
          <w:ilvl w:val="0"/>
          <w:numId w:val="0"/>
        </w:numPr>
        <w:kinsoku w:val="0"/>
        <w:overflowPunct w:val="0"/>
        <w:spacing w:before="7"/>
        <w:rPr>
          <w:rFonts w:ascii="仿宋" w:hAnsi="仿宋" w:eastAsia="仿宋" w:cs="仿宋"/>
          <w:color w:val="auto"/>
          <w:sz w:val="25"/>
          <w:szCs w:val="25"/>
          <w:highlight w:val="none"/>
        </w:rPr>
      </w:pPr>
      <w:r>
        <w:rPr>
          <w:color w:val="auto"/>
          <w:sz w:val="25"/>
          <w:highlight w:val="none"/>
        </w:rPr>
        <mc:AlternateContent>
          <mc:Choice Requires="wps">
            <w:drawing>
              <wp:anchor distT="0" distB="0" distL="114300" distR="114300" simplePos="0" relativeHeight="251665408" behindDoc="1" locked="0" layoutInCell="1" allowOverlap="1">
                <wp:simplePos x="0" y="0"/>
                <wp:positionH relativeFrom="column">
                  <wp:posOffset>336550</wp:posOffset>
                </wp:positionH>
                <wp:positionV relativeFrom="paragraph">
                  <wp:posOffset>17145</wp:posOffset>
                </wp:positionV>
                <wp:extent cx="4772025" cy="1403350"/>
                <wp:effectExtent l="5080" t="5080" r="0" b="20320"/>
                <wp:wrapTight wrapText="bothSides">
                  <wp:wrapPolygon>
                    <wp:start x="408" y="-68"/>
                    <wp:lineTo x="-23" y="1398"/>
                    <wp:lineTo x="-23" y="19870"/>
                    <wp:lineTo x="322" y="21336"/>
                    <wp:lineTo x="21189" y="21336"/>
                    <wp:lineTo x="21534" y="19870"/>
                    <wp:lineTo x="21534" y="1398"/>
                    <wp:lineTo x="21103" y="-68"/>
                    <wp:lineTo x="408" y="-68"/>
                  </wp:wrapPolygon>
                </wp:wrapTight>
                <wp:docPr id="5" name="自选图形 91"/>
                <wp:cNvGraphicFramePr/>
                <a:graphic xmlns:a="http://schemas.openxmlformats.org/drawingml/2006/main">
                  <a:graphicData uri="http://schemas.microsoft.com/office/word/2010/wordprocessingShape">
                    <wps:wsp>
                      <wps:cNvSpPr/>
                      <wps:spPr>
                        <a:xfrm>
                          <a:off x="0" y="0"/>
                          <a:ext cx="47720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71835E1">
                            <w:pPr>
                              <w:jc w:val="center"/>
                              <w:rPr>
                                <w:rFonts w:hint="eastAsia" w:ascii="仿宋" w:hAnsi="仿宋" w:eastAsia="仿宋" w:cs="仿宋"/>
                                <w:sz w:val="24"/>
                                <w:szCs w:val="24"/>
                              </w:rPr>
                            </w:pPr>
                          </w:p>
                          <w:p w14:paraId="19B679E0">
                            <w:pPr>
                              <w:jc w:val="center"/>
                              <w:rPr>
                                <w:rFonts w:hint="eastAsia" w:ascii="仿宋" w:hAnsi="仿宋" w:eastAsia="仿宋" w:cs="仿宋"/>
                                <w:sz w:val="24"/>
                                <w:szCs w:val="24"/>
                              </w:rPr>
                            </w:pPr>
                          </w:p>
                          <w:p w14:paraId="0B4720C8">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3F17C60"/>
                        </w:txbxContent>
                      </wps:txbx>
                      <wps:bodyPr upright="1"/>
                    </wps:wsp>
                  </a:graphicData>
                </a:graphic>
              </wp:anchor>
            </w:drawing>
          </mc:Choice>
          <mc:Fallback>
            <w:pict>
              <v:roundrect id="自选图形 91" o:spid="_x0000_s1026" o:spt="2" style="position:absolute;left:0pt;margin-left:26.5pt;margin-top:1.35pt;height:110.5pt;width:375.75pt;mso-wrap-distance-left:9pt;mso-wrap-distance-right:9pt;z-index:-251651072;mso-width-relative:page;mso-height-relative:page;" fillcolor="#FFFFFF" filled="t" stroked="t" coordsize="21600,21600" wrapcoords="408 -68 -23 1398 -23 19870 322 21336 21189 21336 21534 19870 21534 1398 21103 -68 408 -68" arcsize="0.166666666666667" o:gfxdata="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P7strV&#10;AAAACAEAAA8AAAAAAAAAAQAgAAAAIgAAAGRycy9kb3ducmV2LnhtbFBLAQIUABQAAAAIAIdO4kDS&#10;LvIQIwIAAFgEAAAOAAAAAAAAAAEAIAAAACQBAABkcnMvZTJvRG9jLnhtbFBLBQYAAAAABgAGAFkB&#10;AAC5BQAAAAA=&#10;">
                <v:fill on="t" focussize="0,0"/>
                <v:stroke color="#000000" joinstyle="round"/>
                <v:imagedata o:title=""/>
                <o:lock v:ext="edit" aspectratio="f"/>
                <v:textbox>
                  <w:txbxContent>
                    <w:p w14:paraId="171835E1">
                      <w:pPr>
                        <w:jc w:val="center"/>
                        <w:rPr>
                          <w:rFonts w:hint="eastAsia" w:ascii="仿宋" w:hAnsi="仿宋" w:eastAsia="仿宋" w:cs="仿宋"/>
                          <w:sz w:val="24"/>
                          <w:szCs w:val="24"/>
                        </w:rPr>
                      </w:pPr>
                    </w:p>
                    <w:p w14:paraId="19B679E0">
                      <w:pPr>
                        <w:jc w:val="center"/>
                        <w:rPr>
                          <w:rFonts w:hint="eastAsia" w:ascii="仿宋" w:hAnsi="仿宋" w:eastAsia="仿宋" w:cs="仿宋"/>
                          <w:sz w:val="24"/>
                          <w:szCs w:val="24"/>
                        </w:rPr>
                      </w:pPr>
                    </w:p>
                    <w:p w14:paraId="0B4720C8">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3F17C60"/>
                  </w:txbxContent>
                </v:textbox>
                <w10:wrap type="tight"/>
              </v:roundrect>
            </w:pict>
          </mc:Fallback>
        </mc:AlternateContent>
      </w:r>
    </w:p>
    <w:p w14:paraId="3D09D4CD">
      <w:pPr>
        <w:pStyle w:val="10"/>
        <w:numPr>
          <w:ilvl w:val="0"/>
          <w:numId w:val="0"/>
        </w:numPr>
        <w:kinsoku w:val="0"/>
        <w:overflowPunct w:val="0"/>
        <w:spacing w:line="200" w:lineRule="atLeast"/>
        <w:rPr>
          <w:rFonts w:ascii="仿宋" w:hAnsi="仿宋" w:eastAsia="仿宋" w:cs="仿宋"/>
          <w:color w:val="auto"/>
          <w:sz w:val="20"/>
          <w:szCs w:val="20"/>
          <w:highlight w:val="none"/>
        </w:rPr>
      </w:pPr>
    </w:p>
    <w:p w14:paraId="15F810D6">
      <w:pPr>
        <w:wordWrap w:val="0"/>
        <w:spacing w:line="420" w:lineRule="exact"/>
        <w:ind w:firstLine="486" w:firstLineChars="200"/>
        <w:jc w:val="right"/>
        <w:rPr>
          <w:rFonts w:ascii="仿宋" w:hAnsi="仿宋" w:eastAsia="仿宋" w:cs="仿宋"/>
          <w:color w:val="auto"/>
          <w:highlight w:val="none"/>
        </w:rPr>
      </w:pPr>
    </w:p>
    <w:p w14:paraId="72BA576A">
      <w:pPr>
        <w:pStyle w:val="10"/>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57072ED3">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6183BD01">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625383CD">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334D931A">
      <w:pPr>
        <w:rPr>
          <w:rFonts w:hint="eastAsia"/>
          <w:lang w:eastAsia="zh-CN"/>
        </w:rPr>
      </w:pPr>
    </w:p>
    <w:p w14:paraId="38736366">
      <w:pPr>
        <w:pStyle w:val="10"/>
        <w:numPr>
          <w:ilvl w:val="0"/>
          <w:numId w:val="0"/>
        </w:numPr>
        <w:kinsoku w:val="0"/>
        <w:overflowPunct w:val="0"/>
        <w:spacing w:before="34" w:line="357" w:lineRule="auto"/>
        <w:ind w:right="126" w:firstLine="486" w:firstLineChars="200"/>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投标单位名称（公章）：                       </w:t>
      </w:r>
    </w:p>
    <w:p w14:paraId="6FD90431">
      <w:pPr>
        <w:pStyle w:val="10"/>
        <w:numPr>
          <w:ilvl w:val="0"/>
          <w:numId w:val="0"/>
        </w:numPr>
        <w:kinsoku w:val="0"/>
        <w:overflowPunct w:val="0"/>
        <w:spacing w:before="34" w:line="357" w:lineRule="auto"/>
        <w:ind w:right="126" w:firstLine="486" w:firstLineChars="200"/>
        <w:jc w:val="both"/>
        <w:rPr>
          <w:rFonts w:ascii="仿宋" w:hAnsi="仿宋" w:eastAsia="仿宋" w:cs="仿宋"/>
          <w:color w:val="auto"/>
          <w:highlight w:val="none"/>
          <w:lang w:eastAsia="zh-CN"/>
        </w:rPr>
      </w:pPr>
      <w:r>
        <w:rPr>
          <w:rFonts w:hint="eastAsia" w:ascii="仿宋" w:hAnsi="仿宋" w:eastAsia="仿宋" w:cs="仿宋"/>
          <w:color w:val="auto"/>
          <w:sz w:val="24"/>
          <w:highlight w:val="none"/>
          <w:lang w:eastAsia="zh-CN"/>
        </w:rPr>
        <w:t xml:space="preserve">法定代表人（签字或盖章）：           </w:t>
      </w:r>
      <w:r>
        <w:rPr>
          <w:rFonts w:hint="eastAsia" w:ascii="仿宋" w:hAnsi="仿宋" w:eastAsia="仿宋" w:cs="仿宋"/>
          <w:color w:val="auto"/>
          <w:highlight w:val="none"/>
          <w:lang w:eastAsia="zh-CN"/>
        </w:rPr>
        <w:t xml:space="preserve">      </w:t>
      </w:r>
    </w:p>
    <w:p w14:paraId="4A13E960">
      <w:pPr>
        <w:pStyle w:val="10"/>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1F33AA23">
      <w:pPr>
        <w:pStyle w:val="10"/>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日  期：   年  月  日</w:t>
      </w:r>
    </w:p>
    <w:p w14:paraId="5CAD124A">
      <w:pPr>
        <w:pStyle w:val="10"/>
        <w:numPr>
          <w:ilvl w:val="0"/>
          <w:numId w:val="0"/>
        </w:numPr>
        <w:kinsoku w:val="0"/>
        <w:overflowPunct w:val="0"/>
        <w:spacing w:before="34" w:line="357" w:lineRule="auto"/>
        <w:ind w:left="480" w:right="126"/>
        <w:jc w:val="center"/>
        <w:rPr>
          <w:rFonts w:ascii="仿宋" w:hAnsi="仿宋" w:eastAsia="仿宋" w:cs="仿宋"/>
          <w:b/>
          <w:bCs/>
          <w:color w:val="auto"/>
          <w:szCs w:val="21"/>
          <w:highlight w:val="none"/>
          <w:lang w:eastAsia="zh-CN"/>
        </w:rPr>
      </w:pPr>
      <w:r>
        <w:rPr>
          <w:rFonts w:hint="eastAsia" w:ascii="仿宋" w:hAnsi="仿宋" w:eastAsia="仿宋" w:cs="仿宋"/>
          <w:color w:val="auto"/>
          <w:highlight w:val="none"/>
          <w:lang w:eastAsia="zh-CN"/>
        </w:rPr>
        <w:br w:type="page"/>
      </w:r>
      <w:r>
        <w:rPr>
          <w:rFonts w:hint="eastAsia" w:ascii="仿宋" w:hAnsi="仿宋" w:eastAsia="仿宋" w:cs="仿宋"/>
          <w:b/>
          <w:bCs/>
          <w:color w:val="auto"/>
          <w:sz w:val="36"/>
          <w:szCs w:val="36"/>
          <w:highlight w:val="none"/>
          <w:lang w:eastAsia="zh-CN"/>
        </w:rPr>
        <w:t>3、法定代表人授权委托书</w:t>
      </w:r>
    </w:p>
    <w:p w14:paraId="72B3C3B4">
      <w:pPr>
        <w:spacing w:line="420" w:lineRule="exact"/>
        <w:rPr>
          <w:rFonts w:hint="eastAsia" w:ascii="仿宋" w:hAnsi="仿宋" w:eastAsia="仿宋" w:cs="仿宋"/>
          <w:color w:val="auto"/>
          <w:highlight w:val="none"/>
          <w:lang w:eastAsia="zh-CN"/>
        </w:rPr>
      </w:pPr>
    </w:p>
    <w:p w14:paraId="0D60D562">
      <w:pPr>
        <w:pStyle w:val="13"/>
        <w:tabs>
          <w:tab w:val="left" w:pos="5580"/>
        </w:tabs>
        <w:spacing w:line="360" w:lineRule="auto"/>
        <w:ind w:firstLine="729"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致：采购人名称 </w:t>
      </w:r>
    </w:p>
    <w:p w14:paraId="35D3B64F">
      <w:pPr>
        <w:pStyle w:val="13"/>
        <w:tabs>
          <w:tab w:val="left" w:pos="5580"/>
        </w:tabs>
        <w:spacing w:line="360" w:lineRule="auto"/>
        <w:ind w:left="746" w:leftChars="307" w:firstLine="607" w:firstLineChars="25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本授权书声明：注册于（供应商地址）的（供应商名称）法定代表人（负责人）姓名、职务或职称）代表本公司授权（姓名）为本单位的合法代理人，参与贵方组织的（项目名称及项目编号） 的投标、谈判、签约等具体工作，并签署全部有关文件、协议及合同。</w:t>
      </w:r>
    </w:p>
    <w:p w14:paraId="703552DD">
      <w:pPr>
        <w:pStyle w:val="13"/>
        <w:tabs>
          <w:tab w:val="left" w:pos="5580"/>
        </w:tabs>
        <w:spacing w:line="360" w:lineRule="auto"/>
        <w:ind w:left="746" w:leftChars="307" w:firstLine="607" w:firstLineChars="25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我单位对被授权人的上述经济活动负全部责任。在撤销授权的书面通知前，本授权书一直有效。被授权人在授权书有效期内签署的所有文件不因授权的撤消而失效。</w:t>
      </w:r>
    </w:p>
    <w:p w14:paraId="18EA9403">
      <w:pPr>
        <w:spacing w:line="420" w:lineRule="exact"/>
        <w:ind w:firstLine="486" w:firstLineChars="200"/>
        <w:rPr>
          <w:rFonts w:hint="eastAsia" w:ascii="仿宋" w:hAnsi="仿宋" w:eastAsia="仿宋" w:cs="仿宋"/>
          <w:color w:val="auto"/>
          <w:highlight w:val="none"/>
          <w:lang w:eastAsia="zh-CN"/>
        </w:rPr>
      </w:pPr>
      <w:r>
        <w:rPr>
          <w:rFonts w:hint="default" w:ascii="仿宋" w:hAnsi="仿宋" w:eastAsia="仿宋" w:cs="仿宋"/>
          <w:color w:val="auto"/>
          <w:highlight w:val="none"/>
          <w:lang w:val="en-US" w:eastAsia="zh-CN"/>
        </w:rPr>
        <mc:AlternateContent>
          <mc:Choice Requires="wps">
            <w:drawing>
              <wp:anchor distT="0" distB="0" distL="114300" distR="114300" simplePos="0" relativeHeight="251662336" behindDoc="1" locked="0" layoutInCell="1" allowOverlap="1">
                <wp:simplePos x="0" y="0"/>
                <wp:positionH relativeFrom="column">
                  <wp:posOffset>652780</wp:posOffset>
                </wp:positionH>
                <wp:positionV relativeFrom="paragraph">
                  <wp:posOffset>188595</wp:posOffset>
                </wp:positionV>
                <wp:extent cx="4758055" cy="1367155"/>
                <wp:effectExtent l="4445" t="4445" r="0" b="19050"/>
                <wp:wrapTight wrapText="bothSides">
                  <wp:wrapPolygon>
                    <wp:start x="326" y="-70"/>
                    <wp:lineTo x="-20" y="1134"/>
                    <wp:lineTo x="-20" y="20095"/>
                    <wp:lineTo x="326" y="21299"/>
                    <wp:lineTo x="21168" y="21299"/>
                    <wp:lineTo x="21514" y="20095"/>
                    <wp:lineTo x="21514" y="1134"/>
                    <wp:lineTo x="21168" y="-70"/>
                    <wp:lineTo x="326" y="-70"/>
                  </wp:wrapPolygon>
                </wp:wrapTight>
                <wp:docPr id="2" name="自选图形 60"/>
                <wp:cNvGraphicFramePr/>
                <a:graphic xmlns:a="http://schemas.openxmlformats.org/drawingml/2006/main">
                  <a:graphicData uri="http://schemas.microsoft.com/office/word/2010/wordprocessingShape">
                    <wps:wsp>
                      <wps:cNvSpPr/>
                      <wps:spPr>
                        <a:xfrm>
                          <a:off x="0" y="0"/>
                          <a:ext cx="475805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0FE8B58">
                            <w:pPr>
                              <w:jc w:val="center"/>
                              <w:rPr>
                                <w:rFonts w:hint="eastAsia" w:ascii="仿宋" w:hAnsi="仿宋" w:eastAsia="仿宋" w:cs="仿宋"/>
                                <w:sz w:val="24"/>
                                <w:szCs w:val="24"/>
                              </w:rPr>
                            </w:pPr>
                          </w:p>
                          <w:p w14:paraId="4903AFDA">
                            <w:pPr>
                              <w:jc w:val="center"/>
                              <w:rPr>
                                <w:rFonts w:hint="eastAsia" w:ascii="仿宋" w:hAnsi="仿宋" w:eastAsia="仿宋" w:cs="仿宋"/>
                                <w:sz w:val="24"/>
                                <w:szCs w:val="24"/>
                              </w:rPr>
                            </w:pPr>
                          </w:p>
                          <w:p w14:paraId="238F795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w:t>
                            </w:r>
                            <w:r>
                              <w:rPr>
                                <w:rFonts w:hint="eastAsia" w:ascii="仿宋" w:hAnsi="仿宋" w:eastAsia="仿宋" w:cs="仿宋"/>
                                <w:sz w:val="24"/>
                                <w:szCs w:val="24"/>
                              </w:rPr>
                              <w:t>授权委托人身份证件</w:t>
                            </w:r>
                            <w:r>
                              <w:rPr>
                                <w:rFonts w:hint="eastAsia" w:ascii="仿宋" w:hAnsi="仿宋" w:eastAsia="仿宋" w:cs="仿宋"/>
                                <w:sz w:val="24"/>
                                <w:szCs w:val="24"/>
                                <w:lang w:eastAsia="zh-CN"/>
                              </w:rPr>
                              <w:t>正反面</w:t>
                            </w:r>
                          </w:p>
                          <w:p w14:paraId="26EFA6E1">
                            <w:pPr>
                              <w:rPr>
                                <w:rFonts w:hint="eastAsia"/>
                                <w:lang w:val="en-US" w:eastAsia="zh-CN"/>
                              </w:rPr>
                            </w:pPr>
                          </w:p>
                        </w:txbxContent>
                      </wps:txbx>
                      <wps:bodyPr upright="1"/>
                    </wps:wsp>
                  </a:graphicData>
                </a:graphic>
              </wp:anchor>
            </w:drawing>
          </mc:Choice>
          <mc:Fallback>
            <w:pict>
              <v:roundrect id="自选图形 60" o:spid="_x0000_s1026" o:spt="2" style="position:absolute;left:0pt;margin-left:51.4pt;margin-top:14.85pt;height:107.65pt;width:374.65pt;mso-wrap-distance-left:9pt;mso-wrap-distance-right:9pt;z-index:-251654144;mso-width-relative:page;mso-height-relative:page;" fillcolor="#FFFFFF" filled="t" stroked="t" coordsize="21600,21600" wrapcoords="326 -70 -20 1134 -20 20095 326 21299 21168 21299 21514 20095 21514 1134 21168 -70 326 -70" arcsize="0.166666666666667" o:gfxdata="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HRZfdUA&#10;AAAKAQAADwAAAAAAAAABACAAAAAiAAAAZHJzL2Rvd25yZXYueG1sUEsBAhQAFAAAAAgAh07iQHT9&#10;qK8iAgAAWAQAAA4AAAAAAAAAAQAgAAAAJAEAAGRycy9lMm9Eb2MueG1sUEsFBgAAAAAGAAYAWQEA&#10;ALgFAAAAAA==&#10;">
                <v:fill on="t" focussize="0,0"/>
                <v:stroke color="#000000" joinstyle="round"/>
                <v:imagedata o:title=""/>
                <o:lock v:ext="edit" aspectratio="f"/>
                <v:textbox>
                  <w:txbxContent>
                    <w:p w14:paraId="70FE8B58">
                      <w:pPr>
                        <w:jc w:val="center"/>
                        <w:rPr>
                          <w:rFonts w:hint="eastAsia" w:ascii="仿宋" w:hAnsi="仿宋" w:eastAsia="仿宋" w:cs="仿宋"/>
                          <w:sz w:val="24"/>
                          <w:szCs w:val="24"/>
                        </w:rPr>
                      </w:pPr>
                    </w:p>
                    <w:p w14:paraId="4903AFDA">
                      <w:pPr>
                        <w:jc w:val="center"/>
                        <w:rPr>
                          <w:rFonts w:hint="eastAsia" w:ascii="仿宋" w:hAnsi="仿宋" w:eastAsia="仿宋" w:cs="仿宋"/>
                          <w:sz w:val="24"/>
                          <w:szCs w:val="24"/>
                        </w:rPr>
                      </w:pPr>
                    </w:p>
                    <w:p w14:paraId="238F795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w:t>
                      </w:r>
                      <w:r>
                        <w:rPr>
                          <w:rFonts w:hint="eastAsia" w:ascii="仿宋" w:hAnsi="仿宋" w:eastAsia="仿宋" w:cs="仿宋"/>
                          <w:sz w:val="24"/>
                          <w:szCs w:val="24"/>
                        </w:rPr>
                        <w:t>授权委托人身份证件</w:t>
                      </w:r>
                      <w:r>
                        <w:rPr>
                          <w:rFonts w:hint="eastAsia" w:ascii="仿宋" w:hAnsi="仿宋" w:eastAsia="仿宋" w:cs="仿宋"/>
                          <w:sz w:val="24"/>
                          <w:szCs w:val="24"/>
                          <w:lang w:eastAsia="zh-CN"/>
                        </w:rPr>
                        <w:t>正反面</w:t>
                      </w:r>
                    </w:p>
                    <w:p w14:paraId="26EFA6E1">
                      <w:pPr>
                        <w:rPr>
                          <w:rFonts w:hint="eastAsia"/>
                          <w:lang w:val="en-US" w:eastAsia="zh-CN"/>
                        </w:rPr>
                      </w:pPr>
                    </w:p>
                  </w:txbxContent>
                </v:textbox>
                <w10:wrap type="tight"/>
              </v:roundrect>
            </w:pict>
          </mc:Fallback>
        </mc:AlternateContent>
      </w:r>
    </w:p>
    <w:p w14:paraId="64056D30">
      <w:pPr>
        <w:adjustRightInd w:val="0"/>
        <w:snapToGrid w:val="0"/>
        <w:spacing w:line="420" w:lineRule="exact"/>
        <w:ind w:firstLine="486" w:firstLineChars="200"/>
        <w:rPr>
          <w:rFonts w:hint="eastAsia" w:ascii="仿宋" w:hAnsi="仿宋" w:eastAsia="仿宋" w:cs="仿宋"/>
          <w:color w:val="auto"/>
          <w:highlight w:val="none"/>
          <w:lang w:eastAsia="zh-CN"/>
        </w:rPr>
      </w:pPr>
    </w:p>
    <w:p w14:paraId="6C513FCF">
      <w:pPr>
        <w:adjustRightInd w:val="0"/>
        <w:snapToGrid w:val="0"/>
        <w:spacing w:line="420" w:lineRule="exact"/>
        <w:ind w:firstLine="486" w:firstLineChars="200"/>
        <w:rPr>
          <w:rFonts w:hint="eastAsia" w:ascii="仿宋" w:hAnsi="仿宋" w:eastAsia="仿宋" w:cs="仿宋"/>
          <w:color w:val="auto"/>
          <w:highlight w:val="none"/>
          <w:lang w:eastAsia="zh-CN"/>
        </w:rPr>
      </w:pPr>
    </w:p>
    <w:p w14:paraId="2B107FAC">
      <w:pPr>
        <w:adjustRightInd w:val="0"/>
        <w:snapToGrid w:val="0"/>
        <w:spacing w:line="420" w:lineRule="exact"/>
        <w:ind w:firstLine="486" w:firstLineChars="200"/>
        <w:rPr>
          <w:rFonts w:hint="eastAsia" w:ascii="仿宋" w:hAnsi="仿宋" w:eastAsia="仿宋" w:cs="仿宋"/>
          <w:color w:val="auto"/>
          <w:highlight w:val="none"/>
          <w:lang w:eastAsia="zh-CN"/>
        </w:rPr>
      </w:pPr>
    </w:p>
    <w:p w14:paraId="4CDC11EF">
      <w:pPr>
        <w:adjustRightInd w:val="0"/>
        <w:snapToGrid w:val="0"/>
        <w:spacing w:line="420" w:lineRule="exact"/>
        <w:ind w:firstLine="486" w:firstLineChars="200"/>
        <w:rPr>
          <w:rFonts w:hint="eastAsia" w:ascii="仿宋" w:hAnsi="仿宋" w:eastAsia="仿宋" w:cs="仿宋"/>
          <w:color w:val="auto"/>
          <w:highlight w:val="none"/>
          <w:lang w:eastAsia="zh-CN"/>
        </w:rPr>
      </w:pPr>
    </w:p>
    <w:p w14:paraId="0F551B83">
      <w:pPr>
        <w:adjustRightInd w:val="0"/>
        <w:snapToGrid w:val="0"/>
        <w:spacing w:line="420" w:lineRule="exact"/>
        <w:ind w:firstLine="486" w:firstLineChars="200"/>
        <w:rPr>
          <w:rFonts w:hint="eastAsia" w:ascii="仿宋" w:hAnsi="仿宋" w:eastAsia="仿宋" w:cs="仿宋"/>
          <w:color w:val="auto"/>
          <w:highlight w:val="none"/>
          <w:lang w:eastAsia="zh-CN"/>
        </w:rPr>
      </w:pPr>
    </w:p>
    <w:p w14:paraId="496E2F32">
      <w:pPr>
        <w:adjustRightInd w:val="0"/>
        <w:snapToGrid w:val="0"/>
        <w:spacing w:line="420" w:lineRule="exact"/>
        <w:ind w:firstLine="366" w:firstLineChars="200"/>
        <w:rPr>
          <w:rFonts w:hint="eastAsia" w:ascii="仿宋" w:hAnsi="仿宋" w:eastAsia="仿宋" w:cs="仿宋"/>
          <w:color w:val="auto"/>
          <w:highlight w:val="none"/>
          <w:lang w:eastAsia="zh-CN"/>
        </w:rPr>
      </w:pPr>
      <w:r>
        <w:rPr>
          <w:color w:val="auto"/>
          <w:sz w:val="18"/>
          <w:highlight w:val="none"/>
        </w:rPr>
        <mc:AlternateContent>
          <mc:Choice Requires="wps">
            <w:drawing>
              <wp:anchor distT="0" distB="0" distL="114300" distR="114300" simplePos="0" relativeHeight="251664384" behindDoc="0" locked="0" layoutInCell="1" allowOverlap="1">
                <wp:simplePos x="0" y="0"/>
                <wp:positionH relativeFrom="column">
                  <wp:posOffset>652780</wp:posOffset>
                </wp:positionH>
                <wp:positionV relativeFrom="paragraph">
                  <wp:posOffset>78740</wp:posOffset>
                </wp:positionV>
                <wp:extent cx="4767580" cy="1367155"/>
                <wp:effectExtent l="4445" t="4445" r="9525" b="19050"/>
                <wp:wrapSquare wrapText="bothSides"/>
                <wp:docPr id="4" name="自选图形 62"/>
                <wp:cNvGraphicFramePr/>
                <a:graphic xmlns:a="http://schemas.openxmlformats.org/drawingml/2006/main">
                  <a:graphicData uri="http://schemas.microsoft.com/office/word/2010/wordprocessingShape">
                    <wps:wsp>
                      <wps:cNvSpPr/>
                      <wps:spPr>
                        <a:xfrm>
                          <a:off x="0" y="0"/>
                          <a:ext cx="476758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E9E1369">
                            <w:pPr>
                              <w:jc w:val="center"/>
                              <w:rPr>
                                <w:rFonts w:hint="eastAsia" w:ascii="仿宋" w:hAnsi="仿宋" w:eastAsia="仿宋" w:cs="仿宋"/>
                                <w:sz w:val="24"/>
                                <w:szCs w:val="24"/>
                              </w:rPr>
                            </w:pPr>
                          </w:p>
                          <w:p w14:paraId="600441C1">
                            <w:pPr>
                              <w:jc w:val="center"/>
                              <w:rPr>
                                <w:rFonts w:hint="eastAsia" w:ascii="仿宋" w:hAnsi="仿宋" w:eastAsia="仿宋" w:cs="仿宋"/>
                                <w:sz w:val="24"/>
                                <w:szCs w:val="24"/>
                              </w:rPr>
                            </w:pPr>
                          </w:p>
                          <w:p w14:paraId="1526AFC5">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322BE820"/>
                        </w:txbxContent>
                      </wps:txbx>
                      <wps:bodyPr upright="1"/>
                    </wps:wsp>
                  </a:graphicData>
                </a:graphic>
              </wp:anchor>
            </w:drawing>
          </mc:Choice>
          <mc:Fallback>
            <w:pict>
              <v:roundrect id="自选图形 62" o:spid="_x0000_s1026" o:spt="2" style="position:absolute;left:0pt;margin-left:51.4pt;margin-top:6.2pt;height:107.65pt;width:375.4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H/p&#10;H9cAAAAKAQAADwAAAAAAAAABACAAAAAiAAAAZHJzL2Rvd25yZXYueG1sUEsBAhQAFAAAAAgAh07i&#10;QKTMsacjAgAAWAQAAA4AAAAAAAAAAQAgAAAAJgEAAGRycy9lMm9Eb2MueG1sUEsFBgAAAAAGAAYA&#10;WQEAALsFAAAAAA==&#10;">
                <v:fill on="t" focussize="0,0"/>
                <v:stroke color="#000000" joinstyle="round"/>
                <v:imagedata o:title=""/>
                <o:lock v:ext="edit" aspectratio="f"/>
                <v:textbox>
                  <w:txbxContent>
                    <w:p w14:paraId="2E9E1369">
                      <w:pPr>
                        <w:jc w:val="center"/>
                        <w:rPr>
                          <w:rFonts w:hint="eastAsia" w:ascii="仿宋" w:hAnsi="仿宋" w:eastAsia="仿宋" w:cs="仿宋"/>
                          <w:sz w:val="24"/>
                          <w:szCs w:val="24"/>
                        </w:rPr>
                      </w:pPr>
                    </w:p>
                    <w:p w14:paraId="600441C1">
                      <w:pPr>
                        <w:jc w:val="center"/>
                        <w:rPr>
                          <w:rFonts w:hint="eastAsia" w:ascii="仿宋" w:hAnsi="仿宋" w:eastAsia="仿宋" w:cs="仿宋"/>
                          <w:sz w:val="24"/>
                          <w:szCs w:val="24"/>
                        </w:rPr>
                      </w:pPr>
                    </w:p>
                    <w:p w14:paraId="1526AFC5">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322BE820"/>
                  </w:txbxContent>
                </v:textbox>
                <w10:wrap type="square"/>
              </v:roundrect>
            </w:pict>
          </mc:Fallback>
        </mc:AlternateContent>
      </w:r>
    </w:p>
    <w:p w14:paraId="244D1809">
      <w:pPr>
        <w:pStyle w:val="10"/>
        <w:tabs>
          <w:tab w:val="left" w:pos="780"/>
        </w:tabs>
        <w:kinsoku w:val="0"/>
        <w:overflowPunct w:val="0"/>
        <w:adjustRightInd w:val="0"/>
        <w:snapToGrid w:val="0"/>
        <w:spacing w:before="12"/>
        <w:rPr>
          <w:rFonts w:ascii="仿宋" w:hAnsi="仿宋" w:eastAsia="仿宋" w:cs="仿宋"/>
          <w:color w:val="auto"/>
          <w:sz w:val="4"/>
          <w:szCs w:val="4"/>
          <w:highlight w:val="none"/>
          <w:lang w:eastAsia="zh-CN"/>
        </w:rPr>
      </w:pPr>
      <w:r>
        <w:rPr>
          <w:rFonts w:hint="eastAsia" w:ascii="仿宋" w:hAnsi="仿宋" w:eastAsia="仿宋" w:cs="仿宋"/>
          <w:color w:val="auto"/>
          <w:sz w:val="4"/>
          <w:szCs w:val="4"/>
          <w:highlight w:val="none"/>
          <w:lang w:val="en-US" w:eastAsia="zh-CN"/>
        </w:rPr>
        <w:t xml:space="preserve">  </w:t>
      </w:r>
    </w:p>
    <w:p w14:paraId="234F957D">
      <w:pPr>
        <w:pStyle w:val="10"/>
        <w:numPr>
          <w:ilvl w:val="0"/>
          <w:numId w:val="0"/>
        </w:numPr>
        <w:kinsoku w:val="0"/>
        <w:overflowPunct w:val="0"/>
        <w:adjustRightInd w:val="0"/>
        <w:snapToGrid w:val="0"/>
        <w:spacing w:line="200" w:lineRule="atLeast"/>
        <w:ind w:right="1931" w:rightChars="795"/>
        <w:jc w:val="center"/>
        <w:rPr>
          <w:rFonts w:ascii="仿宋" w:hAnsi="仿宋" w:eastAsia="仿宋" w:cs="仿宋"/>
          <w:color w:val="auto"/>
          <w:sz w:val="18"/>
          <w:szCs w:val="20"/>
          <w:highlight w:val="none"/>
        </w:rPr>
      </w:pPr>
    </w:p>
    <w:p w14:paraId="30518F09">
      <w:pPr>
        <w:pStyle w:val="10"/>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p>
    <w:p w14:paraId="0C3569F2">
      <w:pPr>
        <w:rPr>
          <w:rFonts w:ascii="仿宋" w:hAnsi="仿宋" w:eastAsia="仿宋" w:cs="仿宋"/>
          <w:color w:val="auto"/>
          <w:sz w:val="18"/>
          <w:szCs w:val="20"/>
          <w:highlight w:val="none"/>
        </w:rPr>
      </w:pPr>
    </w:p>
    <w:p w14:paraId="01E7F96B">
      <w:pPr>
        <w:pStyle w:val="34"/>
        <w:rPr>
          <w:rFonts w:ascii="仿宋" w:hAnsi="仿宋" w:eastAsia="仿宋" w:cs="仿宋"/>
          <w:color w:val="auto"/>
          <w:sz w:val="18"/>
          <w:szCs w:val="20"/>
          <w:highlight w:val="none"/>
        </w:rPr>
      </w:pPr>
    </w:p>
    <w:p w14:paraId="1ABEDAB6">
      <w:pPr>
        <w:pStyle w:val="34"/>
        <w:rPr>
          <w:rFonts w:ascii="仿宋" w:hAnsi="仿宋" w:eastAsia="仿宋" w:cs="仿宋"/>
          <w:color w:val="auto"/>
          <w:sz w:val="18"/>
          <w:szCs w:val="20"/>
          <w:highlight w:val="none"/>
        </w:rPr>
      </w:pPr>
    </w:p>
    <w:p w14:paraId="755FC445">
      <w:pPr>
        <w:pStyle w:val="34"/>
        <w:rPr>
          <w:rFonts w:ascii="仿宋" w:hAnsi="仿宋" w:eastAsia="仿宋" w:cs="仿宋"/>
          <w:color w:val="auto"/>
          <w:sz w:val="18"/>
          <w:szCs w:val="20"/>
          <w:highlight w:val="none"/>
        </w:rPr>
      </w:pPr>
    </w:p>
    <w:p w14:paraId="2A7F3730">
      <w:pPr>
        <w:pStyle w:val="34"/>
        <w:rPr>
          <w:rFonts w:ascii="仿宋" w:hAnsi="仿宋" w:eastAsia="仿宋" w:cs="仿宋"/>
          <w:color w:val="auto"/>
          <w:sz w:val="18"/>
          <w:szCs w:val="20"/>
          <w:highlight w:val="none"/>
        </w:rPr>
      </w:pPr>
    </w:p>
    <w:p w14:paraId="181BDEA3">
      <w:pPr>
        <w:pStyle w:val="10"/>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3F4AA901">
      <w:pPr>
        <w:pStyle w:val="10"/>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被授权代表（签章）：          供应商法定代表人（签章）：</w:t>
      </w:r>
    </w:p>
    <w:p w14:paraId="07B5047E">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p>
    <w:p w14:paraId="33EF15C7">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p>
    <w:p w14:paraId="54AF53E8">
      <w:pPr>
        <w:pStyle w:val="10"/>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（盖章）</w:t>
      </w:r>
    </w:p>
    <w:p w14:paraId="76FF7006">
      <w:pPr>
        <w:pStyle w:val="10"/>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highlight w:val="none"/>
          <w:lang w:eastAsia="zh-CN"/>
        </w:rPr>
      </w:pPr>
      <w:r>
        <w:rPr>
          <w:rFonts w:hint="eastAsia" w:ascii="仿宋" w:hAnsi="仿宋" w:eastAsia="仿宋" w:cs="仿宋"/>
          <w:color w:val="auto"/>
          <w:sz w:val="24"/>
          <w:highlight w:val="none"/>
          <w:lang w:eastAsia="zh-CN"/>
        </w:rPr>
        <w:t xml:space="preserve"> 日期：</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日 </w:t>
      </w:r>
      <w:r>
        <w:rPr>
          <w:rFonts w:hint="eastAsia" w:ascii="仿宋" w:hAnsi="仿宋" w:eastAsia="仿宋" w:cs="仿宋"/>
          <w:color w:val="auto"/>
          <w:sz w:val="20"/>
          <w:highlight w:val="none"/>
          <w:lang w:eastAsia="zh-CN"/>
        </w:rPr>
        <w:t xml:space="preserve">               </w:t>
      </w:r>
    </w:p>
    <w:p w14:paraId="06055FD0">
      <w:pPr>
        <w:pStyle w:val="34"/>
        <w:rPr>
          <w:rFonts w:ascii="仿宋" w:hAnsi="仿宋" w:eastAsia="仿宋" w:cs="仿宋"/>
          <w:b/>
          <w:bCs/>
          <w:color w:val="auto"/>
          <w:sz w:val="36"/>
          <w:szCs w:val="36"/>
          <w:highlight w:val="none"/>
          <w:lang w:eastAsia="zh-CN"/>
        </w:rPr>
      </w:pPr>
      <w:r>
        <w:rPr>
          <w:rFonts w:hint="eastAsia" w:ascii="仿宋" w:hAnsi="仿宋" w:eastAsia="仿宋" w:cs="仿宋"/>
          <w:color w:val="auto"/>
          <w:highlight w:val="none"/>
          <w:lang w:eastAsia="zh-CN"/>
        </w:rPr>
        <w:br w:type="page"/>
      </w:r>
    </w:p>
    <w:p w14:paraId="0AF7B041">
      <w:pPr>
        <w:pStyle w:val="3"/>
        <w:spacing w:line="240" w:lineRule="atLeast"/>
        <w:rPr>
          <w:rFonts w:ascii="仿宋" w:hAnsi="仿宋" w:eastAsia="仿宋" w:cs="仿宋"/>
          <w:color w:val="auto"/>
          <w:sz w:val="32"/>
          <w:szCs w:val="22"/>
          <w:highlight w:val="none"/>
          <w:lang w:eastAsia="zh-CN"/>
        </w:rPr>
      </w:pPr>
      <w:r>
        <w:rPr>
          <w:rFonts w:hint="eastAsia" w:ascii="仿宋" w:hAnsi="仿宋" w:eastAsia="仿宋" w:cs="仿宋"/>
          <w:color w:val="auto"/>
          <w:sz w:val="32"/>
          <w:szCs w:val="22"/>
          <w:highlight w:val="none"/>
          <w:lang w:eastAsia="zh-CN"/>
        </w:rPr>
        <w:t>4、参加政府采购活动前3年内</w:t>
      </w:r>
      <w:bookmarkStart w:id="106" w:name="_Toc6008"/>
      <w:bookmarkStart w:id="107" w:name="_Toc515647812"/>
      <w:bookmarkStart w:id="108" w:name="_Toc1137"/>
      <w:r>
        <w:rPr>
          <w:rFonts w:hint="eastAsia" w:ascii="仿宋" w:hAnsi="仿宋" w:eastAsia="仿宋" w:cs="仿宋"/>
          <w:color w:val="auto"/>
          <w:sz w:val="32"/>
          <w:szCs w:val="22"/>
          <w:highlight w:val="none"/>
          <w:lang w:eastAsia="zh-CN"/>
        </w:rPr>
        <w:t>在经营活动中没有重大违法记录的书面声明</w:t>
      </w:r>
      <w:bookmarkEnd w:id="106"/>
      <w:bookmarkEnd w:id="107"/>
      <w:bookmarkEnd w:id="108"/>
    </w:p>
    <w:p w14:paraId="75AE9D05">
      <w:pPr>
        <w:pStyle w:val="13"/>
        <w:tabs>
          <w:tab w:val="left" w:pos="5580"/>
        </w:tabs>
        <w:spacing w:line="240" w:lineRule="atLeast"/>
        <w:ind w:left="1164" w:leftChars="257" w:hanging="540"/>
        <w:jc w:val="center"/>
        <w:rPr>
          <w:rFonts w:ascii="仿宋" w:hAnsi="仿宋" w:eastAsia="仿宋" w:cs="仿宋"/>
          <w:b/>
          <w:color w:val="auto"/>
          <w:highlight w:val="none"/>
          <w:lang w:eastAsia="zh-CN"/>
        </w:rPr>
      </w:pPr>
    </w:p>
    <w:p w14:paraId="406E521F">
      <w:pPr>
        <w:pStyle w:val="13"/>
        <w:tabs>
          <w:tab w:val="left" w:pos="5580"/>
        </w:tabs>
        <w:spacing w:line="240" w:lineRule="atLeast"/>
        <w:ind w:left="1164" w:leftChars="257" w:hanging="540"/>
        <w:rPr>
          <w:rFonts w:ascii="仿宋" w:hAnsi="仿宋" w:eastAsia="仿宋" w:cs="仿宋"/>
          <w:color w:val="auto"/>
          <w:highlight w:val="none"/>
          <w:lang w:eastAsia="zh-CN"/>
        </w:rPr>
      </w:pPr>
    </w:p>
    <w:p w14:paraId="7DC09508">
      <w:pPr>
        <w:pStyle w:val="13"/>
        <w:tabs>
          <w:tab w:val="left" w:pos="5580"/>
        </w:tabs>
        <w:spacing w:line="240" w:lineRule="atLeast"/>
        <w:ind w:left="1164" w:leftChars="257" w:hanging="540"/>
        <w:rPr>
          <w:rFonts w:ascii="仿宋" w:hAnsi="仿宋" w:eastAsia="仿宋" w:cs="仿宋"/>
          <w:color w:val="auto"/>
          <w:highlight w:val="none"/>
          <w:lang w:eastAsia="zh-CN"/>
        </w:rPr>
      </w:pPr>
    </w:p>
    <w:p w14:paraId="556946D8">
      <w:pPr>
        <w:pStyle w:val="13"/>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说明：1.供应商应按照相关法规规定如实作出说明。</w:t>
      </w:r>
    </w:p>
    <w:p w14:paraId="4DE1B931">
      <w:pPr>
        <w:pStyle w:val="13"/>
        <w:tabs>
          <w:tab w:val="left" w:pos="5580"/>
        </w:tabs>
        <w:spacing w:line="360" w:lineRule="auto"/>
        <w:ind w:left="746" w:leftChars="307" w:firstLine="607" w:firstLineChars="25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2．按照招标文件的规定加盖单位章（自然人投标的无需盖章，需要签字）。</w:t>
      </w:r>
    </w:p>
    <w:p w14:paraId="2CCCCB16">
      <w:pPr>
        <w:pStyle w:val="13"/>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55F02089">
      <w:pPr>
        <w:pStyle w:val="4"/>
        <w:rPr>
          <w:rFonts w:ascii="仿宋" w:hAnsi="仿宋" w:eastAsia="仿宋" w:cs="仿宋"/>
          <w:color w:val="auto"/>
          <w:sz w:val="36"/>
          <w:szCs w:val="36"/>
          <w:highlight w:val="none"/>
          <w:lang w:eastAsia="zh-CN"/>
        </w:rPr>
      </w:pPr>
    </w:p>
    <w:p w14:paraId="78394678">
      <w:pPr>
        <w:rPr>
          <w:rFonts w:ascii="仿宋" w:hAnsi="仿宋" w:eastAsia="仿宋" w:cs="仿宋"/>
          <w:b/>
          <w:bCs/>
          <w:color w:val="auto"/>
          <w:sz w:val="36"/>
          <w:szCs w:val="36"/>
          <w:highlight w:val="none"/>
          <w:lang w:eastAsia="zh-CN"/>
        </w:rPr>
      </w:pPr>
    </w:p>
    <w:p w14:paraId="06E95003">
      <w:pPr>
        <w:pStyle w:val="4"/>
        <w:rPr>
          <w:rFonts w:ascii="仿宋" w:hAnsi="仿宋" w:eastAsia="仿宋" w:cs="仿宋"/>
          <w:color w:val="auto"/>
          <w:sz w:val="36"/>
          <w:szCs w:val="36"/>
          <w:highlight w:val="none"/>
          <w:lang w:eastAsia="zh-CN"/>
        </w:rPr>
      </w:pPr>
    </w:p>
    <w:p w14:paraId="1CA63CF7">
      <w:pPr>
        <w:rPr>
          <w:rFonts w:ascii="仿宋" w:hAnsi="仿宋" w:eastAsia="仿宋" w:cs="仿宋"/>
          <w:b/>
          <w:bCs/>
          <w:color w:val="auto"/>
          <w:sz w:val="36"/>
          <w:szCs w:val="36"/>
          <w:highlight w:val="none"/>
          <w:lang w:eastAsia="zh-CN"/>
        </w:rPr>
      </w:pPr>
    </w:p>
    <w:p w14:paraId="5680FA67">
      <w:pPr>
        <w:pStyle w:val="4"/>
        <w:rPr>
          <w:rFonts w:ascii="仿宋" w:hAnsi="仿宋" w:eastAsia="仿宋" w:cs="仿宋"/>
          <w:color w:val="auto"/>
          <w:sz w:val="36"/>
          <w:szCs w:val="36"/>
          <w:highlight w:val="none"/>
          <w:lang w:eastAsia="zh-CN"/>
        </w:rPr>
      </w:pPr>
    </w:p>
    <w:p w14:paraId="3704E929">
      <w:pPr>
        <w:rPr>
          <w:rFonts w:ascii="仿宋" w:hAnsi="仿宋" w:eastAsia="仿宋" w:cs="仿宋"/>
          <w:b/>
          <w:bCs/>
          <w:color w:val="auto"/>
          <w:sz w:val="36"/>
          <w:szCs w:val="36"/>
          <w:highlight w:val="none"/>
          <w:lang w:eastAsia="zh-CN"/>
        </w:rPr>
      </w:pPr>
    </w:p>
    <w:p w14:paraId="2DFACBEE">
      <w:pPr>
        <w:pStyle w:val="4"/>
        <w:rPr>
          <w:rFonts w:ascii="仿宋" w:hAnsi="仿宋" w:eastAsia="仿宋" w:cs="仿宋"/>
          <w:color w:val="auto"/>
          <w:sz w:val="36"/>
          <w:szCs w:val="36"/>
          <w:highlight w:val="none"/>
          <w:lang w:eastAsia="zh-CN"/>
        </w:rPr>
      </w:pPr>
    </w:p>
    <w:p w14:paraId="239CBAF7">
      <w:pPr>
        <w:rPr>
          <w:rFonts w:ascii="仿宋" w:hAnsi="仿宋" w:eastAsia="仿宋" w:cs="仿宋"/>
          <w:b/>
          <w:bCs/>
          <w:color w:val="auto"/>
          <w:sz w:val="36"/>
          <w:szCs w:val="36"/>
          <w:highlight w:val="none"/>
          <w:lang w:eastAsia="zh-CN"/>
        </w:rPr>
      </w:pPr>
    </w:p>
    <w:p w14:paraId="53B4ED1E">
      <w:pPr>
        <w:pStyle w:val="4"/>
        <w:rPr>
          <w:rFonts w:ascii="仿宋" w:hAnsi="仿宋" w:eastAsia="仿宋" w:cs="仿宋"/>
          <w:color w:val="auto"/>
          <w:sz w:val="36"/>
          <w:szCs w:val="36"/>
          <w:highlight w:val="none"/>
          <w:lang w:eastAsia="zh-CN"/>
        </w:rPr>
      </w:pPr>
    </w:p>
    <w:p w14:paraId="6F67BECA">
      <w:pPr>
        <w:rPr>
          <w:rFonts w:ascii="仿宋" w:hAnsi="仿宋" w:eastAsia="仿宋" w:cs="仿宋"/>
          <w:b/>
          <w:bCs/>
          <w:color w:val="auto"/>
          <w:sz w:val="36"/>
          <w:szCs w:val="36"/>
          <w:highlight w:val="none"/>
          <w:lang w:eastAsia="zh-CN"/>
        </w:rPr>
      </w:pPr>
    </w:p>
    <w:p w14:paraId="55096677">
      <w:pPr>
        <w:rPr>
          <w:rFonts w:ascii="仿宋" w:hAnsi="仿宋" w:eastAsia="仿宋" w:cs="仿宋"/>
          <w:b/>
          <w:bCs/>
          <w:color w:val="auto"/>
          <w:sz w:val="36"/>
          <w:szCs w:val="36"/>
          <w:highlight w:val="none"/>
          <w:lang w:eastAsia="zh-CN"/>
        </w:rPr>
      </w:pPr>
    </w:p>
    <w:p w14:paraId="4DD70D6C">
      <w:pPr>
        <w:rPr>
          <w:rFonts w:ascii="仿宋" w:hAnsi="仿宋" w:eastAsia="仿宋" w:cs="仿宋"/>
          <w:b/>
          <w:bCs/>
          <w:color w:val="auto"/>
          <w:sz w:val="36"/>
          <w:szCs w:val="36"/>
          <w:highlight w:val="none"/>
          <w:lang w:eastAsia="zh-CN"/>
        </w:rPr>
      </w:pPr>
    </w:p>
    <w:p w14:paraId="16B992F5">
      <w:pPr>
        <w:pStyle w:val="3"/>
        <w:spacing w:line="240" w:lineRule="atLeast"/>
        <w:rPr>
          <w:rFonts w:ascii="仿宋" w:hAnsi="仿宋" w:eastAsia="仿宋" w:cs="仿宋"/>
          <w:bCs/>
          <w:color w:val="auto"/>
          <w:sz w:val="36"/>
          <w:szCs w:val="36"/>
          <w:highlight w:val="none"/>
          <w:lang w:eastAsia="zh-CN"/>
        </w:rPr>
      </w:pPr>
    </w:p>
    <w:p w14:paraId="0E71743B">
      <w:pPr>
        <w:pStyle w:val="3"/>
        <w:spacing w:line="240" w:lineRule="atLeast"/>
        <w:rPr>
          <w:rFonts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eastAsia="zh-CN"/>
        </w:rPr>
        <w:t>5、投标保证金缴纳凭证或投标担保函</w:t>
      </w:r>
    </w:p>
    <w:p w14:paraId="2995E2AD">
      <w:pPr>
        <w:ind w:firstLine="486" w:firstLineChars="200"/>
        <w:rPr>
          <w:rFonts w:ascii="仿宋" w:hAnsi="仿宋" w:eastAsia="仿宋" w:cs="仿宋"/>
          <w:color w:val="auto"/>
          <w:highlight w:val="none"/>
          <w:lang w:eastAsia="zh-CN"/>
        </w:rPr>
      </w:pPr>
      <w:bookmarkStart w:id="109" w:name="_Toc494296665"/>
      <w:bookmarkStart w:id="110" w:name="_Toc494296991"/>
    </w:p>
    <w:bookmarkEnd w:id="109"/>
    <w:bookmarkEnd w:id="110"/>
    <w:p w14:paraId="16316F04">
      <w:pPr>
        <w:pStyle w:val="7"/>
        <w:rPr>
          <w:rFonts w:ascii="仿宋" w:hAnsi="仿宋" w:eastAsia="仿宋" w:cs="仿宋"/>
          <w:color w:val="auto"/>
          <w:highlight w:val="none"/>
          <w:lang w:eastAsia="zh-CN"/>
        </w:rPr>
      </w:pPr>
    </w:p>
    <w:p w14:paraId="77781AFF">
      <w:pPr>
        <w:pStyle w:val="7"/>
        <w:rPr>
          <w:rFonts w:ascii="仿宋" w:hAnsi="仿宋" w:eastAsia="仿宋" w:cs="仿宋"/>
          <w:color w:val="auto"/>
          <w:highlight w:val="none"/>
        </w:rPr>
      </w:pPr>
    </w:p>
    <w:p w14:paraId="11048D3E">
      <w:pPr>
        <w:spacing w:line="240" w:lineRule="atLeast"/>
        <w:ind w:left="1164" w:leftChars="257" w:hanging="540"/>
        <w:jc w:val="center"/>
        <w:rPr>
          <w:rFonts w:ascii="仿宋" w:hAnsi="仿宋" w:eastAsia="仿宋" w:cs="仿宋"/>
          <w:color w:val="auto"/>
          <w:highlight w:val="none"/>
        </w:rPr>
      </w:pPr>
    </w:p>
    <w:p w14:paraId="610BFA55">
      <w:pPr>
        <w:rPr>
          <w:rFonts w:ascii="仿宋" w:hAnsi="仿宋" w:eastAsia="仿宋" w:cs="仿宋"/>
          <w:color w:val="auto"/>
          <w:sz w:val="28"/>
          <w:szCs w:val="28"/>
          <w:highlight w:val="none"/>
        </w:rPr>
      </w:pPr>
    </w:p>
    <w:tbl>
      <w:tblPr>
        <w:tblStyle w:val="25"/>
        <w:tblpPr w:leftFromText="180" w:rightFromText="180" w:vertAnchor="text" w:horzAnchor="page" w:tblpX="2357" w:tblpY="750"/>
        <w:tblOverlap w:val="never"/>
        <w:tblW w:w="7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2"/>
      </w:tblGrid>
      <w:tr w14:paraId="7150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612" w:type="dxa"/>
          </w:tcPr>
          <w:p w14:paraId="6062A604">
            <w:pPr>
              <w:rPr>
                <w:rFonts w:ascii="仿宋" w:hAnsi="仿宋" w:eastAsia="仿宋" w:cs="仿宋"/>
                <w:b/>
                <w:bCs/>
                <w:color w:val="auto"/>
                <w:sz w:val="30"/>
                <w:szCs w:val="30"/>
                <w:highlight w:val="none"/>
              </w:rPr>
            </w:pPr>
          </w:p>
          <w:p w14:paraId="1A9F24C6">
            <w:pPr>
              <w:jc w:val="center"/>
              <w:rPr>
                <w:rFonts w:ascii="仿宋" w:hAnsi="仿宋" w:eastAsia="仿宋" w:cs="仿宋"/>
                <w:b/>
                <w:bCs/>
                <w:color w:val="auto"/>
                <w:sz w:val="30"/>
                <w:szCs w:val="30"/>
                <w:highlight w:val="none"/>
              </w:rPr>
            </w:pPr>
          </w:p>
          <w:p w14:paraId="58829BB5">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47BBE0CE">
      <w:pPr>
        <w:pStyle w:val="7"/>
        <w:rPr>
          <w:rFonts w:ascii="仿宋" w:hAnsi="仿宋" w:eastAsia="仿宋" w:cs="仿宋"/>
          <w:color w:val="auto"/>
          <w:highlight w:val="none"/>
        </w:rPr>
      </w:pPr>
    </w:p>
    <w:p w14:paraId="41225958">
      <w:pPr>
        <w:pStyle w:val="7"/>
        <w:rPr>
          <w:rFonts w:ascii="仿宋" w:hAnsi="仿宋" w:eastAsia="仿宋" w:cs="仿宋"/>
          <w:color w:val="auto"/>
          <w:highlight w:val="none"/>
        </w:rPr>
      </w:pPr>
    </w:p>
    <w:p w14:paraId="6356BA88">
      <w:pPr>
        <w:pStyle w:val="7"/>
        <w:rPr>
          <w:rFonts w:ascii="仿宋" w:hAnsi="仿宋" w:eastAsia="仿宋" w:cs="仿宋"/>
          <w:color w:val="auto"/>
          <w:highlight w:val="none"/>
        </w:rPr>
      </w:pPr>
    </w:p>
    <w:p w14:paraId="1F362F2C">
      <w:pPr>
        <w:pStyle w:val="7"/>
        <w:rPr>
          <w:rFonts w:ascii="仿宋" w:hAnsi="仿宋" w:eastAsia="仿宋" w:cs="仿宋"/>
          <w:color w:val="auto"/>
          <w:highlight w:val="none"/>
        </w:rPr>
      </w:pPr>
    </w:p>
    <w:p w14:paraId="2A35E2B1">
      <w:pPr>
        <w:pStyle w:val="7"/>
        <w:rPr>
          <w:rFonts w:ascii="仿宋" w:hAnsi="仿宋" w:eastAsia="仿宋" w:cs="仿宋"/>
          <w:color w:val="auto"/>
          <w:highlight w:val="none"/>
        </w:rPr>
      </w:pPr>
    </w:p>
    <w:p w14:paraId="7E481912">
      <w:pPr>
        <w:pStyle w:val="7"/>
        <w:rPr>
          <w:rFonts w:ascii="仿宋" w:hAnsi="仿宋" w:eastAsia="仿宋" w:cs="仿宋"/>
          <w:color w:val="auto"/>
          <w:highlight w:val="none"/>
        </w:rPr>
      </w:pPr>
    </w:p>
    <w:p w14:paraId="0E906E22">
      <w:pPr>
        <w:rPr>
          <w:rFonts w:ascii="仿宋" w:hAnsi="仿宋" w:eastAsia="仿宋" w:cs="仿宋"/>
          <w:color w:val="auto"/>
          <w:highlight w:val="none"/>
        </w:rPr>
      </w:pPr>
    </w:p>
    <w:p w14:paraId="5E60DF9B">
      <w:pPr>
        <w:pStyle w:val="4"/>
        <w:rPr>
          <w:rFonts w:ascii="仿宋" w:hAnsi="仿宋" w:eastAsia="仿宋" w:cs="仿宋"/>
          <w:color w:val="auto"/>
          <w:highlight w:val="none"/>
        </w:rPr>
      </w:pPr>
    </w:p>
    <w:p w14:paraId="51F95B3D">
      <w:pPr>
        <w:rPr>
          <w:rFonts w:ascii="仿宋" w:hAnsi="仿宋" w:eastAsia="仿宋" w:cs="仿宋"/>
          <w:color w:val="auto"/>
          <w:highlight w:val="none"/>
        </w:rPr>
      </w:pPr>
    </w:p>
    <w:p w14:paraId="76E7810E">
      <w:pPr>
        <w:rPr>
          <w:rFonts w:ascii="仿宋" w:hAnsi="仿宋" w:eastAsia="仿宋" w:cs="仿宋"/>
          <w:color w:val="auto"/>
          <w:highlight w:val="none"/>
        </w:rPr>
      </w:pPr>
    </w:p>
    <w:p w14:paraId="2F3E625F">
      <w:pPr>
        <w:rPr>
          <w:rFonts w:ascii="仿宋" w:hAnsi="仿宋" w:eastAsia="仿宋" w:cs="仿宋"/>
          <w:color w:val="auto"/>
          <w:highlight w:val="none"/>
        </w:rPr>
      </w:pPr>
    </w:p>
    <w:p w14:paraId="7ED67E82">
      <w:pPr>
        <w:jc w:val="center"/>
        <w:rPr>
          <w:rFonts w:ascii="仿宋" w:hAnsi="仿宋" w:eastAsia="仿宋" w:cs="仿宋"/>
          <w:color w:val="auto"/>
          <w:sz w:val="28"/>
          <w:szCs w:val="28"/>
          <w:highlight w:val="none"/>
        </w:rPr>
      </w:pPr>
    </w:p>
    <w:p w14:paraId="04906A75">
      <w:pPr>
        <w:jc w:val="center"/>
        <w:rPr>
          <w:rFonts w:ascii="仿宋" w:hAnsi="仿宋" w:eastAsia="仿宋" w:cs="仿宋"/>
          <w:color w:val="auto"/>
          <w:sz w:val="28"/>
          <w:szCs w:val="28"/>
          <w:highlight w:val="none"/>
        </w:rPr>
      </w:pPr>
    </w:p>
    <w:p w14:paraId="692989B1">
      <w:pPr>
        <w:jc w:val="center"/>
        <w:rPr>
          <w:rFonts w:ascii="仿宋" w:hAnsi="仿宋" w:eastAsia="仿宋" w:cs="仿宋"/>
          <w:color w:val="auto"/>
          <w:sz w:val="28"/>
          <w:szCs w:val="28"/>
          <w:highlight w:val="none"/>
        </w:rPr>
      </w:pPr>
    </w:p>
    <w:p w14:paraId="6DC8F8B5">
      <w:pPr>
        <w:jc w:val="center"/>
        <w:rPr>
          <w:rFonts w:ascii="仿宋" w:hAnsi="仿宋" w:eastAsia="仿宋" w:cs="仿宋"/>
          <w:color w:val="auto"/>
          <w:sz w:val="28"/>
          <w:szCs w:val="28"/>
          <w:highlight w:val="none"/>
        </w:rPr>
      </w:pPr>
    </w:p>
    <w:p w14:paraId="2FB44218">
      <w:pPr>
        <w:jc w:val="center"/>
        <w:rPr>
          <w:rFonts w:ascii="仿宋" w:hAnsi="仿宋" w:eastAsia="仿宋" w:cs="仿宋"/>
          <w:color w:val="auto"/>
          <w:sz w:val="28"/>
          <w:szCs w:val="28"/>
          <w:highlight w:val="none"/>
        </w:rPr>
      </w:pPr>
    </w:p>
    <w:p w14:paraId="50A7DD15">
      <w:pPr>
        <w:jc w:val="center"/>
        <w:rPr>
          <w:rFonts w:ascii="仿宋" w:hAnsi="仿宋" w:eastAsia="仿宋" w:cs="仿宋"/>
          <w:color w:val="auto"/>
          <w:sz w:val="28"/>
          <w:szCs w:val="28"/>
          <w:highlight w:val="none"/>
        </w:rPr>
      </w:pPr>
    </w:p>
    <w:p w14:paraId="08541D6F">
      <w:pPr>
        <w:jc w:val="center"/>
        <w:rPr>
          <w:rFonts w:ascii="仿宋" w:hAnsi="仿宋" w:eastAsia="仿宋" w:cs="仿宋"/>
          <w:color w:val="auto"/>
          <w:sz w:val="28"/>
          <w:szCs w:val="28"/>
          <w:highlight w:val="none"/>
        </w:rPr>
      </w:pPr>
    </w:p>
    <w:p w14:paraId="58D538A6">
      <w:pPr>
        <w:jc w:val="center"/>
        <w:rPr>
          <w:rFonts w:ascii="仿宋" w:hAnsi="仿宋" w:eastAsia="仿宋" w:cs="仿宋"/>
          <w:color w:val="auto"/>
          <w:sz w:val="28"/>
          <w:szCs w:val="28"/>
          <w:highlight w:val="none"/>
        </w:rPr>
      </w:pPr>
    </w:p>
    <w:p w14:paraId="2C4507F8">
      <w:pPr>
        <w:spacing w:line="360" w:lineRule="auto"/>
        <w:jc w:val="both"/>
        <w:rPr>
          <w:rFonts w:ascii="仿宋" w:hAnsi="仿宋" w:eastAsia="仿宋" w:cs="仿宋"/>
          <w:b/>
          <w:bCs/>
          <w:color w:val="auto"/>
          <w:sz w:val="28"/>
          <w:szCs w:val="28"/>
          <w:highlight w:val="none"/>
          <w:lang w:eastAsia="zh-CN"/>
        </w:rPr>
      </w:pPr>
    </w:p>
    <w:p w14:paraId="4480A6C9">
      <w:pPr>
        <w:spacing w:line="360" w:lineRule="auto"/>
        <w:jc w:val="center"/>
        <w:rPr>
          <w:rFonts w:hint="eastAsia" w:ascii="仿宋" w:hAnsi="仿宋" w:eastAsia="仿宋" w:cs="仿宋"/>
          <w:b/>
          <w:bCs/>
          <w:color w:val="auto"/>
          <w:sz w:val="28"/>
          <w:szCs w:val="28"/>
          <w:highlight w:val="none"/>
          <w:lang w:eastAsia="zh-CN"/>
        </w:rPr>
      </w:pPr>
    </w:p>
    <w:p w14:paraId="2303ABB8">
      <w:pPr>
        <w:spacing w:line="360" w:lineRule="auto"/>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政府采购投标担保函 （项目用）</w:t>
      </w:r>
    </w:p>
    <w:p w14:paraId="5DDCFA1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编号：</w:t>
      </w:r>
    </w:p>
    <w:p w14:paraId="38C4362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（采购人或采购代理机构）：</w:t>
      </w:r>
    </w:p>
    <w:p w14:paraId="5D05AAA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鉴于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（以下简称“供应商”）拟参加编号为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95345F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2F425A6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一、保证责任的情形及保证金额</w:t>
      </w:r>
    </w:p>
    <w:p w14:paraId="7BA64C71">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（一）在供应商出现下列情形之一时，我方承担保证责任：</w:t>
      </w:r>
    </w:p>
    <w:p w14:paraId="3BADA21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1．中标后供应商无正当理由不与采购人或者采购代理机构签订《政府采购合同》；</w:t>
      </w:r>
    </w:p>
    <w:p w14:paraId="5CF63DF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2．询价通知书规定的供应商应当缴纳保证金的其他情形。</w:t>
      </w:r>
    </w:p>
    <w:p w14:paraId="02B93EE4">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（二）我方承担保证责任的最高金额为人民币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元（大写</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），即本项目的投标保证金金额。</w:t>
      </w:r>
    </w:p>
    <w:p w14:paraId="1432E46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二、保证的方式及保证期间</w:t>
      </w:r>
    </w:p>
    <w:p w14:paraId="22F3AB0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我方保证的方式为：连带责任保证。</w:t>
      </w:r>
    </w:p>
    <w:p w14:paraId="6BA66E3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我方的保证期间为：自本保函生效之日起</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个月止。</w:t>
      </w:r>
    </w:p>
    <w:p w14:paraId="5A19743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三、承担保证责任的程序</w:t>
      </w:r>
    </w:p>
    <w:p w14:paraId="69B3F49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11C0271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2．我方在收到索赔通知及相关证明材料后，在</w:t>
      </w:r>
      <w:r>
        <w:rPr>
          <w:rFonts w:hint="eastAsia" w:ascii="仿宋" w:hAnsi="仿宋" w:eastAsia="仿宋" w:cs="仿宋"/>
          <w:color w:val="auto"/>
          <w:highlight w:val="none"/>
          <w:u w:val="single"/>
          <w:lang w:eastAsia="zh-CN"/>
        </w:rPr>
        <w:t>　　　</w:t>
      </w:r>
      <w:r>
        <w:rPr>
          <w:rFonts w:hint="eastAsia" w:ascii="仿宋" w:hAnsi="仿宋" w:eastAsia="仿宋" w:cs="仿宋"/>
          <w:color w:val="auto"/>
          <w:highlight w:val="none"/>
          <w:lang w:eastAsia="zh-CN"/>
        </w:rPr>
        <w:t>个工作日内进行审查，符合应承担保证责任情形的，我方应按照你方的要求代供应商向你方支付投标保证金。</w:t>
      </w:r>
    </w:p>
    <w:p w14:paraId="5F0636D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四、保证责任的终止</w:t>
      </w:r>
    </w:p>
    <w:p w14:paraId="5460C1C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1．保证期间届满你方未向我方书面主张保证责任的，自保证期间届满次日起，我方保证责任自动终止。</w:t>
      </w:r>
    </w:p>
    <w:p w14:paraId="4D1854D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2．我方按照本保函向你贵方履行了保证责任后，自我方向你贵方支付款项（支付款项从我方账户划出）之日起，保证责任终止。</w:t>
      </w:r>
    </w:p>
    <w:p w14:paraId="3FE29E8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3．按照法律法规的规定或出现我方保证责任终止的其它情形的，我方在本保函项下的保证责任亦终止。</w:t>
      </w:r>
    </w:p>
    <w:p w14:paraId="49E604B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五、免责条款</w:t>
      </w:r>
    </w:p>
    <w:p w14:paraId="41130B4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1．依照法律规定或你方与供应商的另行约定，全部或者部分免除供应商投标保证金义务时，我方亦免除相应的保证责任。</w:t>
      </w:r>
    </w:p>
    <w:p w14:paraId="752FA5B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2．因你方原因致使供应商发生本保函第一条第（一）款约定情形的，我方不承担保证责任。</w:t>
      </w:r>
    </w:p>
    <w:p w14:paraId="5FC6AF5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3．因不可抗力造成供应商发生本保函第一条约定情形的，我方不承担保证责任。</w:t>
      </w:r>
    </w:p>
    <w:p w14:paraId="48BAC2D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4．你方或其他有权机关对询价通知书进行任何澄清或修改，加重我方保证责任的，我方对加重部分不承担保证责任，但该澄清或修改经我方事先书面同意的除外。</w:t>
      </w:r>
    </w:p>
    <w:p w14:paraId="4BFA6CBF">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六、争议的解决</w:t>
      </w:r>
    </w:p>
    <w:p w14:paraId="675E152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因本保函发生的纠纷，由你我双方协商解决，协商不成的，通过诉讼程序解决，诉讼管辖地法院为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法院。</w:t>
      </w:r>
    </w:p>
    <w:p w14:paraId="20F46C3A">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七、保函的生效</w:t>
      </w:r>
    </w:p>
    <w:p w14:paraId="6AE2143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本保函自我方加盖公章之日起生效。</w:t>
      </w:r>
    </w:p>
    <w:p w14:paraId="3AB6E769">
      <w:pPr>
        <w:spacing w:line="360" w:lineRule="auto"/>
        <w:ind w:firstLine="6439" w:firstLineChars="2650"/>
        <w:rPr>
          <w:rFonts w:ascii="仿宋" w:hAnsi="仿宋" w:eastAsia="仿宋" w:cs="仿宋"/>
          <w:color w:val="auto"/>
          <w:highlight w:val="none"/>
          <w:lang w:eastAsia="zh-CN"/>
        </w:rPr>
      </w:pPr>
    </w:p>
    <w:p w14:paraId="22CE602C">
      <w:pPr>
        <w:spacing w:line="360" w:lineRule="auto"/>
        <w:ind w:firstLine="6439" w:firstLineChars="2650"/>
        <w:rPr>
          <w:rFonts w:ascii="仿宋" w:hAnsi="仿宋" w:eastAsia="仿宋" w:cs="仿宋"/>
          <w:color w:val="auto"/>
          <w:highlight w:val="none"/>
          <w:lang w:eastAsia="zh-CN"/>
        </w:rPr>
      </w:pPr>
    </w:p>
    <w:p w14:paraId="5B5106B4">
      <w:pPr>
        <w:spacing w:line="360" w:lineRule="auto"/>
        <w:ind w:firstLine="6439" w:firstLineChars="2650"/>
        <w:rPr>
          <w:rFonts w:ascii="仿宋" w:hAnsi="仿宋" w:eastAsia="仿宋" w:cs="仿宋"/>
          <w:color w:val="auto"/>
          <w:highlight w:val="none"/>
          <w:lang w:eastAsia="zh-CN"/>
        </w:rPr>
      </w:pPr>
      <w:r>
        <w:rPr>
          <w:rFonts w:hint="eastAsia" w:ascii="仿宋" w:hAnsi="仿宋" w:eastAsia="仿宋" w:cs="仿宋"/>
          <w:color w:val="auto"/>
          <w:highlight w:val="none"/>
          <w:lang w:eastAsia="zh-CN"/>
        </w:rPr>
        <w:t>保证人：（公章）</w:t>
      </w:r>
    </w:p>
    <w:p w14:paraId="1A84423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0C99303">
      <w:pPr>
        <w:spacing w:line="360" w:lineRule="auto"/>
        <w:ind w:firstLine="6318" w:firstLineChars="2600"/>
        <w:rPr>
          <w:rFonts w:ascii="仿宋" w:hAnsi="仿宋" w:eastAsia="仿宋" w:cs="仿宋"/>
          <w:color w:val="auto"/>
          <w:highlight w:val="none"/>
          <w:lang w:eastAsia="zh-CN"/>
        </w:rPr>
        <w:sectPr>
          <w:headerReference r:id="rId6" w:type="default"/>
          <w:footerReference r:id="rId7" w:type="default"/>
          <w:pgSz w:w="11905" w:h="16838"/>
          <w:pgMar w:top="1440" w:right="1417" w:bottom="1440" w:left="1417" w:header="850" w:footer="992" w:gutter="0"/>
          <w:pgNumType w:fmt="decimal"/>
          <w:cols w:space="0" w:num="1"/>
          <w:docGrid w:type="linesAndChars" w:linePitch="325" w:charSpace="635"/>
        </w:sectPr>
      </w:pPr>
      <w:r>
        <w:rPr>
          <w:rFonts w:hint="eastAsia" w:ascii="仿宋" w:hAnsi="仿宋" w:eastAsia="仿宋" w:cs="仿宋"/>
          <w:color w:val="auto"/>
          <w:highlight w:val="none"/>
          <w:lang w:eastAsia="zh-CN"/>
        </w:rPr>
        <w:t>年     月      日</w:t>
      </w:r>
    </w:p>
    <w:p w14:paraId="32218F22">
      <w:pPr>
        <w:spacing w:line="400" w:lineRule="exact"/>
        <w:jc w:val="center"/>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lang w:eastAsia="zh-CN"/>
        </w:rPr>
        <w:t>、投标企业须提供投标人（被授权在职人员）近6个月内任意一个月有效的社保证明</w:t>
      </w:r>
    </w:p>
    <w:p w14:paraId="36D9F3B9">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说明：复印件上应加盖本单位章</w:t>
      </w:r>
    </w:p>
    <w:p w14:paraId="1C9F1C65">
      <w:pPr>
        <w:pStyle w:val="34"/>
        <w:ind w:firstLine="0"/>
        <w:rPr>
          <w:rFonts w:ascii="仿宋" w:hAnsi="仿宋" w:eastAsia="仿宋" w:cs="仿宋"/>
          <w:color w:val="auto"/>
          <w:highlight w:val="none"/>
          <w:lang w:eastAsia="zh-CN"/>
        </w:rPr>
      </w:pPr>
    </w:p>
    <w:p w14:paraId="4AC449F3">
      <w:pPr>
        <w:pStyle w:val="34"/>
        <w:rPr>
          <w:rFonts w:ascii="仿宋" w:hAnsi="仿宋" w:eastAsia="仿宋" w:cs="仿宋"/>
          <w:color w:val="auto"/>
          <w:highlight w:val="none"/>
          <w:lang w:eastAsia="zh-CN"/>
        </w:rPr>
      </w:pPr>
    </w:p>
    <w:p w14:paraId="1494A5A3">
      <w:pPr>
        <w:pStyle w:val="34"/>
        <w:rPr>
          <w:rFonts w:ascii="仿宋" w:hAnsi="仿宋" w:eastAsia="仿宋" w:cs="仿宋"/>
          <w:color w:val="auto"/>
          <w:highlight w:val="none"/>
          <w:lang w:eastAsia="zh-CN"/>
        </w:rPr>
      </w:pPr>
    </w:p>
    <w:p w14:paraId="560D5612">
      <w:pPr>
        <w:pStyle w:val="34"/>
        <w:ind w:left="0" w:leftChars="0" w:firstLine="0" w:firstLineChars="0"/>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bCs/>
          <w:color w:val="auto"/>
          <w:sz w:val="32"/>
          <w:szCs w:val="32"/>
          <w:highlight w:val="none"/>
          <w:lang w:eastAsia="zh-CN"/>
        </w:rPr>
        <w:t>。</w:t>
      </w:r>
    </w:p>
    <w:p w14:paraId="3F0CB065">
      <w:pPr>
        <w:pStyle w:val="34"/>
        <w:jc w:val="left"/>
        <w:rPr>
          <w:rFonts w:ascii="仿宋" w:hAnsi="仿宋" w:eastAsia="仿宋" w:cs="仿宋"/>
          <w:b/>
          <w:bCs/>
          <w:color w:val="auto"/>
          <w:sz w:val="32"/>
          <w:szCs w:val="32"/>
          <w:highlight w:val="none"/>
          <w:lang w:eastAsia="zh-CN"/>
        </w:rPr>
      </w:pPr>
    </w:p>
    <w:p w14:paraId="34345FEA">
      <w:pPr>
        <w:jc w:val="left"/>
        <w:rPr>
          <w:rFonts w:ascii="仿宋" w:hAnsi="仿宋" w:eastAsia="仿宋" w:cs="仿宋"/>
          <w:color w:val="auto"/>
          <w:sz w:val="32"/>
          <w:szCs w:val="32"/>
          <w:highlight w:val="none"/>
          <w:lang w:eastAsia="zh-CN"/>
        </w:rPr>
      </w:pPr>
    </w:p>
    <w:p w14:paraId="5AFDDBAA">
      <w:pPr>
        <w:spacing w:line="400" w:lineRule="exact"/>
        <w:ind w:firstLine="646" w:firstLineChars="200"/>
        <w:jc w:val="left"/>
        <w:rPr>
          <w:rFonts w:ascii="仿宋" w:hAnsi="仿宋" w:eastAsia="仿宋" w:cs="仿宋"/>
          <w:b/>
          <w:bCs/>
          <w:color w:val="auto"/>
          <w:sz w:val="32"/>
          <w:szCs w:val="32"/>
          <w:highlight w:val="none"/>
          <w:lang w:eastAsia="zh-CN"/>
        </w:rPr>
      </w:pPr>
    </w:p>
    <w:p w14:paraId="6114F1D8">
      <w:pPr>
        <w:spacing w:line="400" w:lineRule="exact"/>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lang w:eastAsia="zh-CN"/>
        </w:rPr>
        <w:t>供应商须知资料表要求的其他资格证明文件</w:t>
      </w:r>
    </w:p>
    <w:p w14:paraId="1117A047">
      <w:pPr>
        <w:pStyle w:val="2"/>
        <w:spacing w:before="40" w:after="40" w:line="579" w:lineRule="auto"/>
        <w:jc w:val="left"/>
        <w:rPr>
          <w:rFonts w:hint="eastAsia" w:ascii="仿宋" w:hAnsi="仿宋" w:eastAsia="仿宋" w:cs="仿宋"/>
          <w:color w:val="auto"/>
          <w:sz w:val="40"/>
          <w:szCs w:val="40"/>
          <w:highlight w:val="none"/>
          <w:lang w:eastAsia="zh-CN"/>
        </w:rPr>
      </w:pPr>
      <w:bookmarkStart w:id="111" w:name="_Toc515647816"/>
      <w:bookmarkStart w:id="112" w:name="_Toc22967"/>
      <w:bookmarkStart w:id="113" w:name="_Toc5695"/>
      <w:bookmarkStart w:id="114" w:name="_Toc11180"/>
    </w:p>
    <w:p w14:paraId="6CB7B285">
      <w:pPr>
        <w:jc w:val="left"/>
        <w:rPr>
          <w:rFonts w:hint="eastAsia" w:ascii="仿宋" w:hAnsi="仿宋" w:eastAsia="仿宋" w:cs="仿宋"/>
          <w:color w:val="auto"/>
          <w:sz w:val="40"/>
          <w:szCs w:val="40"/>
          <w:highlight w:val="none"/>
          <w:lang w:eastAsia="zh-CN"/>
        </w:rPr>
      </w:pPr>
    </w:p>
    <w:p w14:paraId="2B491776">
      <w:pPr>
        <w:pStyle w:val="4"/>
        <w:jc w:val="left"/>
        <w:rPr>
          <w:rFonts w:hint="eastAsia" w:ascii="仿宋" w:hAnsi="仿宋" w:eastAsia="仿宋" w:cs="仿宋"/>
          <w:color w:val="auto"/>
          <w:sz w:val="40"/>
          <w:szCs w:val="40"/>
          <w:highlight w:val="none"/>
          <w:lang w:eastAsia="zh-CN"/>
        </w:rPr>
      </w:pPr>
    </w:p>
    <w:p w14:paraId="4C2E2FAD">
      <w:pPr>
        <w:jc w:val="left"/>
        <w:rPr>
          <w:rFonts w:hint="eastAsia"/>
          <w:color w:val="auto"/>
          <w:sz w:val="32"/>
          <w:szCs w:val="32"/>
          <w:highlight w:val="none"/>
          <w:lang w:eastAsia="zh-CN"/>
        </w:rPr>
      </w:pPr>
    </w:p>
    <w:p w14:paraId="2EBDD7CB">
      <w:pPr>
        <w:pStyle w:val="2"/>
        <w:spacing w:before="40" w:after="40" w:line="579" w:lineRule="auto"/>
        <w:jc w:val="both"/>
        <w:rPr>
          <w:rFonts w:hint="eastAsia" w:ascii="仿宋" w:hAnsi="仿宋" w:eastAsia="仿宋" w:cs="仿宋"/>
          <w:color w:val="auto"/>
          <w:sz w:val="32"/>
          <w:szCs w:val="32"/>
          <w:highlight w:val="none"/>
          <w:lang w:eastAsia="zh-CN"/>
        </w:rPr>
      </w:pPr>
    </w:p>
    <w:p w14:paraId="689A3605">
      <w:pPr>
        <w:rPr>
          <w:rFonts w:hint="eastAsia" w:ascii="仿宋" w:hAnsi="仿宋" w:eastAsia="仿宋" w:cs="仿宋"/>
          <w:color w:val="auto"/>
          <w:sz w:val="32"/>
          <w:szCs w:val="32"/>
          <w:highlight w:val="none"/>
          <w:lang w:eastAsia="zh-CN"/>
        </w:rPr>
      </w:pPr>
    </w:p>
    <w:p w14:paraId="61A39127">
      <w:pPr>
        <w:pStyle w:val="2"/>
        <w:spacing w:before="40" w:after="40" w:line="579" w:lineRule="auto"/>
        <w:jc w:val="both"/>
        <w:rPr>
          <w:rFonts w:hint="eastAsia" w:ascii="仿宋" w:hAnsi="仿宋" w:eastAsia="仿宋" w:cs="仿宋"/>
          <w:color w:val="auto"/>
          <w:sz w:val="32"/>
          <w:szCs w:val="32"/>
          <w:highlight w:val="none"/>
          <w:lang w:eastAsia="zh-CN"/>
        </w:rPr>
      </w:pPr>
    </w:p>
    <w:p w14:paraId="68EEFE6A">
      <w:pPr>
        <w:rPr>
          <w:rFonts w:hint="eastAsia" w:ascii="仿宋" w:hAnsi="仿宋" w:eastAsia="仿宋" w:cs="仿宋"/>
          <w:color w:val="auto"/>
          <w:sz w:val="32"/>
          <w:szCs w:val="32"/>
          <w:highlight w:val="none"/>
          <w:lang w:eastAsia="zh-CN"/>
        </w:rPr>
      </w:pPr>
    </w:p>
    <w:p w14:paraId="67DFF8F7">
      <w:pPr>
        <w:rPr>
          <w:rFonts w:hint="eastAsia" w:ascii="仿宋" w:hAnsi="仿宋" w:eastAsia="仿宋" w:cs="仿宋"/>
          <w:color w:val="auto"/>
          <w:sz w:val="32"/>
          <w:szCs w:val="32"/>
          <w:highlight w:val="none"/>
          <w:lang w:eastAsia="zh-CN"/>
        </w:rPr>
      </w:pPr>
    </w:p>
    <w:p w14:paraId="08196E0A">
      <w:pPr>
        <w:pStyle w:val="2"/>
        <w:spacing w:before="40" w:after="40" w:line="579" w:lineRule="auto"/>
        <w:jc w:val="center"/>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第二部分  商务及技术文件</w:t>
      </w:r>
      <w:bookmarkEnd w:id="111"/>
      <w:bookmarkEnd w:id="112"/>
      <w:bookmarkEnd w:id="113"/>
      <w:bookmarkEnd w:id="114"/>
    </w:p>
    <w:p w14:paraId="25772330">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1、投标函</w:t>
      </w:r>
    </w:p>
    <w:p w14:paraId="4C9CDF45">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2、开标一览表</w:t>
      </w:r>
    </w:p>
    <w:p w14:paraId="62D46D3F">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3、货物说明一览表</w:t>
      </w:r>
    </w:p>
    <w:p w14:paraId="09D27DFC">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4、投标分项报价明细表</w:t>
      </w:r>
    </w:p>
    <w:p w14:paraId="433B6D84">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5、技术规格偏离表</w:t>
      </w:r>
    </w:p>
    <w:p w14:paraId="325A0947">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6、商务条款偏离表</w:t>
      </w:r>
    </w:p>
    <w:p w14:paraId="3E1986D1">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7、供应商基本情况表</w:t>
      </w:r>
    </w:p>
    <w:p w14:paraId="6240595D">
      <w:pPr>
        <w:pStyle w:val="13"/>
        <w:spacing w:line="400" w:lineRule="exact"/>
        <w:ind w:left="359" w:leftChars="148" w:firstLine="228"/>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8、中标服务费支付承诺书</w:t>
      </w:r>
    </w:p>
    <w:p w14:paraId="7C9C605B">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lang w:val="en-US" w:eastAsia="zh-CN"/>
        </w:rPr>
        <w:t>近三年（2022年6月至今）</w:t>
      </w:r>
      <w:r>
        <w:rPr>
          <w:rFonts w:hint="eastAsia" w:ascii="仿宋" w:hAnsi="仿宋" w:eastAsia="仿宋" w:cs="仿宋"/>
          <w:color w:val="auto"/>
          <w:highlight w:val="none"/>
          <w:lang w:eastAsia="zh-CN"/>
        </w:rPr>
        <w:t>类似项目业绩表</w:t>
      </w:r>
    </w:p>
    <w:p w14:paraId="2861372E">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、中小企业声明函(</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lang w:eastAsia="zh-CN"/>
        </w:rPr>
        <w:t>)</w:t>
      </w:r>
    </w:p>
    <w:p w14:paraId="0F96FD52">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、《残疾人福利性单位声明函》</w:t>
      </w:r>
    </w:p>
    <w:p w14:paraId="49CEFE4E">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、评分标准和细则中技术部分、商务部分证明材料（格式自拟）</w:t>
      </w:r>
    </w:p>
    <w:p w14:paraId="464A8D42">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lang w:eastAsia="zh-CN"/>
        </w:rPr>
        <w:t>、供应商认为有必要提供的其他证明材料（格式自拟）</w:t>
      </w:r>
    </w:p>
    <w:p w14:paraId="4BCA0B11">
      <w:pPr>
        <w:pStyle w:val="13"/>
        <w:tabs>
          <w:tab w:val="left" w:pos="5580"/>
        </w:tabs>
        <w:spacing w:line="400" w:lineRule="exact"/>
        <w:ind w:left="648" w:leftChars="267"/>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br w:type="page"/>
      </w:r>
    </w:p>
    <w:p w14:paraId="39A95834">
      <w:pPr>
        <w:pStyle w:val="10"/>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1、投标函</w:t>
      </w:r>
    </w:p>
    <w:p w14:paraId="21F81DA1">
      <w:pPr>
        <w:spacing w:line="440" w:lineRule="exact"/>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致：</w:t>
      </w:r>
      <w:r>
        <w:rPr>
          <w:rFonts w:hint="eastAsia" w:ascii="仿宋" w:hAnsi="仿宋" w:eastAsia="仿宋" w:cs="仿宋"/>
          <w:color w:val="auto"/>
          <w:highlight w:val="none"/>
          <w:u w:val="single"/>
          <w:lang w:eastAsia="zh-CN"/>
        </w:rPr>
        <w:t xml:space="preserve">                     </w:t>
      </w:r>
    </w:p>
    <w:p w14:paraId="29CFA52A">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为响应你方组织的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项目的招标[项目编号为：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]，我方愿参与投标。</w:t>
      </w:r>
    </w:p>
    <w:p w14:paraId="5512ECE5">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我方确认收到贵方提供的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eastAsia="zh-CN"/>
        </w:rPr>
        <w:t>招标文件的全部内容。</w:t>
      </w:r>
    </w:p>
    <w:p w14:paraId="308DE811">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410DE15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(供应商名称)      </w:t>
      </w:r>
      <w:r>
        <w:rPr>
          <w:rFonts w:hint="eastAsia" w:ascii="仿宋" w:hAnsi="仿宋" w:eastAsia="仿宋" w:cs="仿宋"/>
          <w:color w:val="auto"/>
          <w:highlight w:val="none"/>
          <w:lang w:eastAsia="zh-CN"/>
        </w:rPr>
        <w:t>作为供应商正式授权</w:t>
      </w:r>
      <w:r>
        <w:rPr>
          <w:rFonts w:hint="eastAsia" w:ascii="仿宋" w:hAnsi="仿宋" w:eastAsia="仿宋" w:cs="仿宋"/>
          <w:color w:val="auto"/>
          <w:highlight w:val="none"/>
          <w:u w:val="single"/>
          <w:lang w:eastAsia="zh-CN"/>
        </w:rPr>
        <w:t xml:space="preserve">  (授权代表全名, 职务)  </w:t>
      </w:r>
      <w:r>
        <w:rPr>
          <w:rFonts w:hint="eastAsia" w:ascii="仿宋" w:hAnsi="仿宋" w:eastAsia="仿宋" w:cs="仿宋"/>
          <w:color w:val="auto"/>
          <w:highlight w:val="none"/>
          <w:lang w:eastAsia="zh-CN"/>
        </w:rPr>
        <w:t>代表我方全权处理有关本报价的一切事宜。</w:t>
      </w:r>
    </w:p>
    <w:p w14:paraId="3F05F025">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我方已完全明白招标文件的所有条款要求，并申明如下：</w:t>
      </w:r>
    </w:p>
    <w:p w14:paraId="46B7B9EE">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（一）按招标文件提供的全部货物与相关服务的投标总价详见《报价一览表》。</w:t>
      </w:r>
    </w:p>
    <w:p w14:paraId="017B377D">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（二）本投标文件的有效期为投标截止时间起</w:t>
      </w:r>
      <w:r>
        <w:rPr>
          <w:rFonts w:hint="eastAsia" w:ascii="仿宋" w:hAnsi="仿宋" w:eastAsia="仿宋" w:cs="仿宋"/>
          <w:color w:val="auto"/>
          <w:highlight w:val="none"/>
          <w:u w:val="single"/>
          <w:lang w:eastAsia="zh-CN"/>
        </w:rPr>
        <w:t>60</w:t>
      </w:r>
      <w:r>
        <w:rPr>
          <w:rFonts w:hint="eastAsia" w:ascii="仿宋" w:hAnsi="仿宋" w:eastAsia="仿宋" w:cs="仿宋"/>
          <w:color w:val="auto"/>
          <w:highlight w:val="none"/>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267EFD3">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（三）我方同意按照贵方可能提出的要求而提供与投标有关的任何其它数据、信息或资料。</w:t>
      </w:r>
    </w:p>
    <w:p w14:paraId="77EE833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（四）我方理解贵方不一定接受最低投标价或任何贵方可能收到的投标。</w:t>
      </w:r>
    </w:p>
    <w:p w14:paraId="38AAC5D4">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（五）我方如果中标，将保证履行招标文件及其澄清、修改文件（如果有）中的全部责任和义务，按质、按量、按期完成《招标内容》及《合同书》中的全部任务。</w:t>
      </w:r>
    </w:p>
    <w:p w14:paraId="04D088E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（六）如我方被授予合同，我方承诺支付就本次招标应支付或将支付的中标服务费（详见按招标文件要求格式填写的《中标服务费支付承诺书》）。</w:t>
      </w:r>
    </w:p>
    <w:p w14:paraId="1350C1B1">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（七）我方作为在法律、财务和运作上独立于采购人、招标代理机构的供应商，在此保证所提交的所有文件和全部说明是真实的和正确的。</w:t>
      </w:r>
    </w:p>
    <w:p w14:paraId="0E1996CB">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（八）我方投标报价已包含应向知识产权所有权人支付的所有相关税费，并保证采购人在中国使用我方提供的货物时，如有第三方提出侵犯其知识产权主张的，责任由我方承担。</w:t>
      </w:r>
    </w:p>
    <w:p w14:paraId="55285C7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（九）我方与其他供应商不存在单位负责人为同一人或者存在直接控股、管理关系。</w:t>
      </w:r>
    </w:p>
    <w:p w14:paraId="21C5DE46">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（十）我方承诺未为本项目提供整体设计、规范编制或者项目管理、监理、检测等服务。</w:t>
      </w:r>
    </w:p>
    <w:p w14:paraId="748FDF9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（十一）我方具备《政府采购法》第二十二条规定的条件，承诺如下：</w:t>
      </w:r>
    </w:p>
    <w:p w14:paraId="4FBC5C4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（1）我方已依法缴纳了各项税费及社会保险费用，如有需要，可随时向采购人提供近三个月内的相关缴费证明，以便核查。</w:t>
      </w:r>
    </w:p>
    <w:p w14:paraId="0D20649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（2）我方已依法建立健全的财务会计制度，如有需要，可随时向采购人提供相关的证明材料，以便核查。</w:t>
      </w:r>
    </w:p>
    <w:p w14:paraId="7CB7C8CE">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（3）我方参加本项目政府采购活动前3年内在经营活动中没有重大违法记录。</w:t>
      </w:r>
    </w:p>
    <w:p w14:paraId="1210E97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（4）我方具备履行合同所必需的设备和专业技术能力。</w:t>
      </w:r>
    </w:p>
    <w:p w14:paraId="55DE2EB8">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（5）我方符合法律、行政法规规定的其他条件。</w:t>
      </w:r>
    </w:p>
    <w:p w14:paraId="5F7F450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以上内容如有虚假或与事实不符的，评审委员会可将我方做无效投标处理，我方愿意承担相应的法律责任。</w:t>
      </w:r>
    </w:p>
    <w:p w14:paraId="78BCBC09">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（十三）我方对在本函及投标文件中所作的所有承诺承担法律责任。</w:t>
      </w:r>
    </w:p>
    <w:p w14:paraId="14D2AFCA">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（十四）所有与本招标有关的函件请发往下列地址：</w:t>
      </w:r>
    </w:p>
    <w:p w14:paraId="7699868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.邮政编码：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2F7AF5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AB5F3A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传    真：</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62F167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代表姓名：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.职    务：</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21FAB12F">
      <w:pPr>
        <w:spacing w:line="440" w:lineRule="exact"/>
        <w:ind w:right="48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（公章） </w:t>
      </w:r>
    </w:p>
    <w:p w14:paraId="11AF4F27">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法定代表人或委托人：</w:t>
      </w:r>
      <w:r>
        <w:rPr>
          <w:rFonts w:hint="eastAsia" w:ascii="仿宋" w:hAnsi="仿宋" w:eastAsia="仿宋" w:cs="仿宋"/>
          <w:color w:val="auto"/>
          <w:highlight w:val="non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（签章）  </w:t>
      </w:r>
    </w:p>
    <w:p w14:paraId="16B887D0">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6E7186B4">
      <w:pPr>
        <w:pStyle w:val="34"/>
        <w:rPr>
          <w:rFonts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39D3A6C3">
      <w:pPr>
        <w:pStyle w:val="7"/>
        <w:tabs>
          <w:tab w:val="left" w:pos="5580"/>
        </w:tabs>
        <w:spacing w:line="240" w:lineRule="atLeast"/>
        <w:ind w:firstLine="3364" w:firstLineChars="927"/>
        <w:jc w:val="both"/>
        <w:rPr>
          <w:rFonts w:ascii="仿宋" w:hAnsi="仿宋" w:eastAsia="仿宋" w:cs="仿宋"/>
          <w:color w:val="auto"/>
          <w:highlight w:val="none"/>
          <w:lang w:eastAsia="zh-CN"/>
        </w:rPr>
      </w:pPr>
      <w:r>
        <w:rPr>
          <w:rFonts w:hint="eastAsia" w:ascii="仿宋" w:hAnsi="仿宋" w:eastAsia="仿宋" w:cs="仿宋"/>
          <w:b/>
          <w:color w:val="auto"/>
          <w:sz w:val="36"/>
          <w:szCs w:val="24"/>
          <w:highlight w:val="none"/>
          <w:lang w:eastAsia="zh-CN"/>
        </w:rPr>
        <w:t>2、开标一览表</w:t>
      </w:r>
      <w:r>
        <w:rPr>
          <w:rFonts w:hint="eastAsia" w:ascii="仿宋" w:hAnsi="仿宋" w:eastAsia="仿宋" w:cs="仿宋"/>
          <w:b/>
          <w:color w:val="auto"/>
          <w:sz w:val="36"/>
          <w:szCs w:val="24"/>
          <w:highlight w:val="none"/>
          <w:lang w:eastAsia="zh-CN"/>
        </w:rPr>
        <w:cr/>
      </w:r>
    </w:p>
    <w:p w14:paraId="4E57CE69">
      <w:pPr>
        <w:adjustRightInd w:val="0"/>
        <w:snapToGrid w:val="0"/>
        <w:spacing w:line="500" w:lineRule="exact"/>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招标项目名称： </w:t>
      </w:r>
      <w:r>
        <w:rPr>
          <w:rFonts w:hint="eastAsia" w:ascii="仿宋" w:hAnsi="仿宋" w:eastAsia="仿宋" w:cs="仿宋"/>
          <w:color w:val="auto"/>
          <w:szCs w:val="21"/>
          <w:highlight w:val="none"/>
          <w:u w:val="single"/>
          <w:lang w:eastAsia="zh-CN"/>
        </w:rPr>
        <w:t xml:space="preserve">                         </w:t>
      </w:r>
    </w:p>
    <w:p w14:paraId="6D3F1BC5">
      <w:pPr>
        <w:adjustRightInd w:val="0"/>
        <w:snapToGrid w:val="0"/>
        <w:spacing w:line="500" w:lineRule="exact"/>
        <w:rPr>
          <w:rFonts w:hint="default" w:ascii="仿宋" w:hAnsi="仿宋" w:eastAsia="仿宋" w:cs="仿宋"/>
          <w:i/>
          <w:iCs/>
          <w:color w:val="auto"/>
          <w:szCs w:val="21"/>
          <w:highlight w:val="none"/>
          <w:lang w:val="en-US" w:eastAsia="zh-CN"/>
        </w:rPr>
      </w:pPr>
      <w:r>
        <w:rPr>
          <w:rFonts w:hint="eastAsia" w:ascii="仿宋" w:hAnsi="仿宋" w:eastAsia="仿宋" w:cs="仿宋"/>
          <w:color w:val="auto"/>
          <w:szCs w:val="21"/>
          <w:highlight w:val="none"/>
          <w:lang w:eastAsia="zh-CN"/>
        </w:rPr>
        <w:t>招标项目编号：</w:t>
      </w:r>
      <w:r>
        <w:rPr>
          <w:rFonts w:hint="eastAsia" w:ascii="仿宋" w:hAnsi="仿宋" w:eastAsia="仿宋" w:cs="仿宋"/>
          <w:i/>
          <w:iCs/>
          <w:color w:val="auto"/>
          <w:szCs w:val="21"/>
          <w:highlight w:val="none"/>
          <w:lang w:eastAsia="zh-CN"/>
        </w:rPr>
        <w:t xml:space="preserve">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b w:val="0"/>
          <w:bCs w:val="0"/>
          <w:color w:val="auto"/>
          <w:szCs w:val="21"/>
          <w:highlight w:val="none"/>
          <w:u w:val="none"/>
          <w:lang w:eastAsia="zh-CN"/>
        </w:rPr>
        <w:t>包号：</w:t>
      </w:r>
    </w:p>
    <w:p w14:paraId="7CE0C4A9">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w:t>
      </w:r>
    </w:p>
    <w:tbl>
      <w:tblPr>
        <w:tblStyle w:val="25"/>
        <w:tblW w:w="843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5838"/>
      </w:tblGrid>
      <w:tr w14:paraId="408B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5AEA108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5838" w:type="dxa"/>
            <w:vAlign w:val="center"/>
          </w:tcPr>
          <w:p w14:paraId="1E85A5D5">
            <w:pPr>
              <w:rPr>
                <w:rFonts w:ascii="仿宋" w:hAnsi="仿宋" w:eastAsia="仿宋" w:cs="仿宋"/>
                <w:color w:val="auto"/>
                <w:szCs w:val="21"/>
                <w:highlight w:val="none"/>
              </w:rPr>
            </w:pPr>
          </w:p>
        </w:tc>
      </w:tr>
      <w:tr w14:paraId="6BE8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4B13DB1C">
            <w:pPr>
              <w:jc w:val="center"/>
              <w:rPr>
                <w:rFonts w:hint="eastAsia" w:ascii="仿宋" w:hAnsi="仿宋" w:eastAsia="仿宋" w:cs="仿宋"/>
                <w:color w:val="auto"/>
                <w:szCs w:val="21"/>
                <w:highlight w:val="none"/>
                <w:lang w:eastAsia="zh-CN"/>
              </w:rPr>
            </w:pPr>
            <w:r>
              <w:rPr>
                <w:rFonts w:hint="eastAsia" w:ascii="仿宋" w:hAnsi="仿宋" w:eastAsia="仿宋" w:cs="仿宋"/>
                <w:color w:val="auto"/>
                <w:highlight w:val="none"/>
                <w:lang w:eastAsia="zh-CN"/>
              </w:rPr>
              <w:t>实施工期</w:t>
            </w:r>
          </w:p>
        </w:tc>
        <w:tc>
          <w:tcPr>
            <w:tcW w:w="5838" w:type="dxa"/>
            <w:vAlign w:val="center"/>
          </w:tcPr>
          <w:p w14:paraId="79161E82">
            <w:pPr>
              <w:jc w:val="center"/>
              <w:rPr>
                <w:rFonts w:hint="eastAsia" w:ascii="仿宋" w:hAnsi="仿宋" w:eastAsia="仿宋" w:cs="仿宋"/>
                <w:color w:val="auto"/>
                <w:szCs w:val="21"/>
                <w:highlight w:val="none"/>
                <w:lang w:eastAsia="zh-CN"/>
              </w:rPr>
            </w:pPr>
          </w:p>
        </w:tc>
      </w:tr>
      <w:tr w14:paraId="1387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603BEF3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5838" w:type="dxa"/>
            <w:vAlign w:val="center"/>
          </w:tcPr>
          <w:p w14:paraId="4D462DF4">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60天</w:t>
            </w:r>
          </w:p>
        </w:tc>
      </w:tr>
      <w:tr w14:paraId="3245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1" w:type="dxa"/>
            <w:vMerge w:val="restart"/>
            <w:vAlign w:val="center"/>
          </w:tcPr>
          <w:p w14:paraId="1DDFE1A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1945A2E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元</w:t>
            </w:r>
            <w:r>
              <w:rPr>
                <w:rFonts w:hint="eastAsia" w:ascii="仿宋" w:hAnsi="仿宋" w:eastAsia="仿宋" w:cs="仿宋"/>
                <w:color w:val="auto"/>
                <w:szCs w:val="21"/>
                <w:highlight w:val="none"/>
              </w:rPr>
              <w:t>）</w:t>
            </w:r>
          </w:p>
        </w:tc>
        <w:tc>
          <w:tcPr>
            <w:tcW w:w="974" w:type="dxa"/>
            <w:tcBorders>
              <w:top w:val="single" w:color="auto" w:sz="4" w:space="0"/>
              <w:bottom w:val="single" w:color="auto" w:sz="4" w:space="0"/>
            </w:tcBorders>
            <w:vAlign w:val="center"/>
          </w:tcPr>
          <w:p w14:paraId="2AE32CA1">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5838" w:type="dxa"/>
            <w:vAlign w:val="center"/>
          </w:tcPr>
          <w:p w14:paraId="751BF4FE">
            <w:pPr>
              <w:numPr>
                <w:ilvl w:val="0"/>
                <w:numId w:val="0"/>
              </w:numPr>
              <w:ind w:leftChars="0"/>
              <w:jc w:val="both"/>
              <w:rPr>
                <w:rFonts w:hint="default" w:ascii="仿宋" w:hAnsi="仿宋" w:eastAsia="仿宋" w:cs="仿宋"/>
                <w:color w:val="auto"/>
                <w:szCs w:val="21"/>
                <w:highlight w:val="none"/>
                <w:lang w:val="en-US" w:eastAsia="zh-CN"/>
              </w:rPr>
            </w:pPr>
          </w:p>
        </w:tc>
      </w:tr>
      <w:tr w14:paraId="3C7A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4758618F">
            <w:pPr>
              <w:jc w:val="center"/>
              <w:rPr>
                <w:rFonts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49BD7FC7">
            <w:pPr>
              <w:widowControl/>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5838" w:type="dxa"/>
            <w:vAlign w:val="center"/>
          </w:tcPr>
          <w:p w14:paraId="36B8B226">
            <w:pPr>
              <w:jc w:val="both"/>
              <w:rPr>
                <w:rFonts w:hint="default" w:ascii="仿宋" w:hAnsi="仿宋" w:eastAsia="仿宋" w:cs="仿宋"/>
                <w:color w:val="auto"/>
                <w:szCs w:val="21"/>
                <w:highlight w:val="none"/>
                <w:u w:val="single"/>
                <w:lang w:val="en-US" w:eastAsia="zh-CN"/>
              </w:rPr>
            </w:pPr>
          </w:p>
        </w:tc>
      </w:tr>
    </w:tbl>
    <w:p w14:paraId="7EE5F0BC">
      <w:pPr>
        <w:spacing w:line="500" w:lineRule="exact"/>
        <w:ind w:firstLine="475"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2A7B9302">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56128C0">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.投标总价为招标范围所列全部招标项目的报价总和，并应与投标报价明细表及分项价格表保持一致。</w:t>
      </w:r>
    </w:p>
    <w:p w14:paraId="37A99E2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.必须在投标文件中装订。</w:t>
      </w:r>
    </w:p>
    <w:p w14:paraId="7C43D4BB">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.投标报价不得填报选择性报价。</w:t>
      </w:r>
    </w:p>
    <w:p w14:paraId="0629618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供应商名称：</w:t>
      </w:r>
      <w:r>
        <w:rPr>
          <w:rFonts w:hint="eastAsia" w:ascii="仿宋" w:hAnsi="仿宋" w:eastAsia="仿宋" w:cs="仿宋"/>
          <w:color w:val="auto"/>
          <w:szCs w:val="21"/>
          <w:highlight w:val="none"/>
          <w:u w:val="single"/>
          <w:lang w:eastAsia="zh-CN"/>
        </w:rPr>
        <w:t xml:space="preserve">    （加盖公章）     </w:t>
      </w:r>
      <w:r>
        <w:rPr>
          <w:rFonts w:hint="eastAsia" w:ascii="仿宋" w:hAnsi="仿宋" w:eastAsia="仿宋" w:cs="仿宋"/>
          <w:color w:val="auto"/>
          <w:szCs w:val="21"/>
          <w:highlight w:val="none"/>
          <w:lang w:eastAsia="zh-CN"/>
        </w:rPr>
        <w:t xml:space="preserve">       </w:t>
      </w:r>
    </w:p>
    <w:p w14:paraId="0E26E146">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法定代表人签字或盖章：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73F80A97">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授权代表签字或盖章：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25FF5D3B">
      <w:pPr>
        <w:spacing w:line="5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签署日期：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068D8E65">
      <w:pPr>
        <w:spacing w:line="500" w:lineRule="exact"/>
        <w:ind w:firstLine="486" w:firstLineChars="200"/>
        <w:rPr>
          <w:rFonts w:hint="eastAsia" w:ascii="仿宋" w:hAnsi="仿宋" w:eastAsia="仿宋" w:cs="仿宋"/>
          <w:color w:val="auto"/>
          <w:szCs w:val="21"/>
          <w:highlight w:val="none"/>
          <w:lang w:val="en-US" w:eastAsia="zh-CN"/>
        </w:rPr>
      </w:pPr>
    </w:p>
    <w:p w14:paraId="7EFFB8F8">
      <w:pPr>
        <w:pStyle w:val="37"/>
        <w:keepNext/>
        <w:keepLines/>
        <w:spacing w:before="0" w:after="220"/>
        <w:jc w:val="center"/>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3、服务说明一览表</w:t>
      </w:r>
    </w:p>
    <w:p w14:paraId="5BE8D5E5">
      <w:pPr>
        <w:pStyle w:val="13"/>
        <w:spacing w:line="240" w:lineRule="atLeast"/>
        <w:ind w:left="1164" w:leftChars="257" w:hanging="540"/>
        <w:rPr>
          <w:rFonts w:ascii="仿宋" w:hAnsi="仿宋" w:eastAsia="仿宋" w:cs="仿宋"/>
          <w:color w:val="auto"/>
          <w:highlight w:val="none"/>
          <w:lang w:eastAsia="zh-CN"/>
        </w:rPr>
      </w:pPr>
    </w:p>
    <w:p w14:paraId="29E530AE">
      <w:pPr>
        <w:pStyle w:val="13"/>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7E4A34CB">
      <w:pPr>
        <w:pStyle w:val="13"/>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 xml:space="preserve">包号:                      </w:t>
      </w:r>
    </w:p>
    <w:p w14:paraId="0C781B5E">
      <w:pPr>
        <w:pStyle w:val="13"/>
        <w:spacing w:line="240" w:lineRule="atLeast"/>
        <w:ind w:left="1164" w:leftChars="257" w:hanging="540"/>
        <w:rPr>
          <w:rFonts w:ascii="仿宋" w:hAnsi="仿宋" w:eastAsia="仿宋" w:cs="仿宋"/>
          <w:color w:val="auto"/>
          <w:highlight w:val="none"/>
          <w:lang w:eastAsia="zh-CN"/>
        </w:rPr>
      </w:pPr>
    </w:p>
    <w:tbl>
      <w:tblPr>
        <w:tblStyle w:val="25"/>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538"/>
        <w:gridCol w:w="1549"/>
        <w:gridCol w:w="1330"/>
        <w:gridCol w:w="1499"/>
        <w:gridCol w:w="1186"/>
      </w:tblGrid>
      <w:tr w14:paraId="3634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55" w:type="dxa"/>
            <w:vAlign w:val="center"/>
          </w:tcPr>
          <w:p w14:paraId="2A7D1E6B">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538" w:type="dxa"/>
            <w:vAlign w:val="center"/>
          </w:tcPr>
          <w:p w14:paraId="62C61AD9">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val="en-US" w:eastAsia="zh-CN" w:bidi="ar-SA"/>
              </w:rPr>
              <w:t>服务</w:t>
            </w:r>
            <w:r>
              <w:rPr>
                <w:rFonts w:hint="eastAsia" w:ascii="仿宋" w:hAnsi="仿宋" w:eastAsia="仿宋" w:cs="仿宋"/>
                <w:color w:val="auto"/>
                <w:kern w:val="2"/>
                <w:szCs w:val="20"/>
                <w:highlight w:val="none"/>
                <w:u w:color="000000"/>
                <w:lang w:eastAsia="zh-CN" w:bidi="ar-SA"/>
              </w:rPr>
              <w:t>名称</w:t>
            </w:r>
          </w:p>
        </w:tc>
        <w:tc>
          <w:tcPr>
            <w:tcW w:w="1549" w:type="dxa"/>
            <w:vAlign w:val="center"/>
          </w:tcPr>
          <w:p w14:paraId="41D5CD6D">
            <w:pPr>
              <w:jc w:val="center"/>
              <w:rPr>
                <w:rFonts w:ascii="仿宋" w:hAnsi="仿宋" w:eastAsia="仿宋" w:cs="仿宋"/>
                <w:color w:val="auto"/>
                <w:kern w:val="2"/>
                <w:szCs w:val="20"/>
                <w:highlight w:val="none"/>
                <w:u w:color="000000"/>
                <w:lang w:eastAsia="zh-CN" w:bidi="ar-SA"/>
              </w:rPr>
            </w:pPr>
            <w:r>
              <w:rPr>
                <w:rFonts w:ascii="仿宋" w:hAnsi="仿宋" w:eastAsia="仿宋" w:cs="仿宋"/>
                <w:spacing w:val="6"/>
                <w:sz w:val="23"/>
                <w:szCs w:val="23"/>
              </w:rPr>
              <w:t>服务内容</w:t>
            </w:r>
          </w:p>
        </w:tc>
        <w:tc>
          <w:tcPr>
            <w:tcW w:w="1330" w:type="dxa"/>
            <w:vAlign w:val="center"/>
          </w:tcPr>
          <w:p w14:paraId="1D90670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val="en-US" w:eastAsia="zh-CN" w:bidi="ar-SA"/>
              </w:rPr>
              <w:t>服务</w:t>
            </w:r>
            <w:r>
              <w:rPr>
                <w:rFonts w:hint="eastAsia" w:ascii="仿宋" w:hAnsi="仿宋" w:eastAsia="仿宋" w:cs="仿宋"/>
                <w:color w:val="auto"/>
                <w:kern w:val="2"/>
                <w:szCs w:val="20"/>
                <w:highlight w:val="none"/>
                <w:u w:color="000000"/>
                <w:lang w:eastAsia="zh-CN" w:bidi="ar-SA"/>
              </w:rPr>
              <w:t>地点</w:t>
            </w:r>
          </w:p>
        </w:tc>
        <w:tc>
          <w:tcPr>
            <w:tcW w:w="1499" w:type="dxa"/>
            <w:vAlign w:val="center"/>
          </w:tcPr>
          <w:p w14:paraId="18E53DC2">
            <w:pPr>
              <w:jc w:val="center"/>
              <w:rPr>
                <w:rFonts w:hint="default" w:ascii="仿宋" w:hAnsi="仿宋" w:eastAsia="仿宋" w:cs="仿宋"/>
                <w:color w:val="auto"/>
                <w:kern w:val="2"/>
                <w:szCs w:val="20"/>
                <w:highlight w:val="none"/>
                <w:u w:color="000000"/>
                <w:lang w:val="en-US" w:eastAsia="zh-CN" w:bidi="ar-SA"/>
              </w:rPr>
            </w:pPr>
            <w:r>
              <w:rPr>
                <w:rFonts w:hint="eastAsia" w:ascii="仿宋" w:hAnsi="仿宋" w:eastAsia="仿宋" w:cs="仿宋"/>
                <w:color w:val="auto"/>
                <w:kern w:val="2"/>
                <w:szCs w:val="20"/>
                <w:highlight w:val="none"/>
                <w:u w:color="000000"/>
                <w:lang w:val="en-US" w:eastAsia="zh-CN" w:bidi="ar-SA"/>
              </w:rPr>
              <w:t>服务期限</w:t>
            </w:r>
          </w:p>
        </w:tc>
        <w:tc>
          <w:tcPr>
            <w:tcW w:w="1186" w:type="dxa"/>
            <w:vAlign w:val="center"/>
          </w:tcPr>
          <w:p w14:paraId="0E40C45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7F8A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55" w:type="dxa"/>
          </w:tcPr>
          <w:p w14:paraId="51D20BC1">
            <w:pPr>
              <w:pStyle w:val="13"/>
              <w:spacing w:line="240" w:lineRule="atLeast"/>
              <w:ind w:left="1164" w:leftChars="257" w:hanging="540"/>
              <w:rPr>
                <w:rFonts w:ascii="仿宋" w:hAnsi="仿宋" w:eastAsia="仿宋" w:cs="仿宋"/>
                <w:color w:val="auto"/>
                <w:highlight w:val="none"/>
                <w:lang w:eastAsia="zh-CN"/>
              </w:rPr>
            </w:pPr>
          </w:p>
        </w:tc>
        <w:tc>
          <w:tcPr>
            <w:tcW w:w="1538" w:type="dxa"/>
          </w:tcPr>
          <w:p w14:paraId="5034BADB">
            <w:pPr>
              <w:pStyle w:val="13"/>
              <w:spacing w:line="240" w:lineRule="atLeast"/>
              <w:ind w:left="1164" w:leftChars="257" w:hanging="540"/>
              <w:rPr>
                <w:rFonts w:ascii="仿宋" w:hAnsi="仿宋" w:eastAsia="仿宋" w:cs="仿宋"/>
                <w:color w:val="auto"/>
                <w:highlight w:val="none"/>
                <w:lang w:eastAsia="zh-CN"/>
              </w:rPr>
            </w:pPr>
          </w:p>
        </w:tc>
        <w:tc>
          <w:tcPr>
            <w:tcW w:w="1549" w:type="dxa"/>
          </w:tcPr>
          <w:p w14:paraId="5E0E01D9">
            <w:pPr>
              <w:pStyle w:val="13"/>
              <w:spacing w:line="240" w:lineRule="atLeast"/>
              <w:ind w:left="1164" w:leftChars="257" w:hanging="540"/>
              <w:rPr>
                <w:rFonts w:ascii="仿宋" w:hAnsi="仿宋" w:eastAsia="仿宋" w:cs="仿宋"/>
                <w:color w:val="auto"/>
                <w:highlight w:val="none"/>
                <w:lang w:eastAsia="zh-CN"/>
              </w:rPr>
            </w:pPr>
          </w:p>
        </w:tc>
        <w:tc>
          <w:tcPr>
            <w:tcW w:w="1330" w:type="dxa"/>
          </w:tcPr>
          <w:p w14:paraId="0C315322">
            <w:pPr>
              <w:pStyle w:val="13"/>
              <w:spacing w:line="240" w:lineRule="atLeast"/>
              <w:ind w:left="1164" w:leftChars="257" w:hanging="540"/>
              <w:rPr>
                <w:rFonts w:ascii="仿宋" w:hAnsi="仿宋" w:eastAsia="仿宋" w:cs="仿宋"/>
                <w:color w:val="auto"/>
                <w:highlight w:val="none"/>
                <w:lang w:eastAsia="zh-CN"/>
              </w:rPr>
            </w:pPr>
          </w:p>
        </w:tc>
        <w:tc>
          <w:tcPr>
            <w:tcW w:w="1499" w:type="dxa"/>
          </w:tcPr>
          <w:p w14:paraId="6B70E6C5">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2880889A">
            <w:pPr>
              <w:pStyle w:val="13"/>
              <w:spacing w:line="240" w:lineRule="atLeast"/>
              <w:ind w:left="1164" w:leftChars="257" w:hanging="540"/>
              <w:rPr>
                <w:rFonts w:ascii="仿宋" w:hAnsi="仿宋" w:eastAsia="仿宋" w:cs="仿宋"/>
                <w:color w:val="auto"/>
                <w:highlight w:val="none"/>
                <w:lang w:eastAsia="zh-CN"/>
              </w:rPr>
            </w:pPr>
          </w:p>
        </w:tc>
      </w:tr>
      <w:tr w14:paraId="3FE5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55" w:type="dxa"/>
          </w:tcPr>
          <w:p w14:paraId="47AA4E19">
            <w:pPr>
              <w:pStyle w:val="13"/>
              <w:spacing w:line="240" w:lineRule="atLeast"/>
              <w:ind w:left="1164" w:leftChars="257" w:hanging="540"/>
              <w:rPr>
                <w:rFonts w:ascii="仿宋" w:hAnsi="仿宋" w:eastAsia="仿宋" w:cs="仿宋"/>
                <w:color w:val="auto"/>
                <w:highlight w:val="none"/>
                <w:lang w:eastAsia="zh-CN"/>
              </w:rPr>
            </w:pPr>
          </w:p>
        </w:tc>
        <w:tc>
          <w:tcPr>
            <w:tcW w:w="1538" w:type="dxa"/>
          </w:tcPr>
          <w:p w14:paraId="59C42A2E">
            <w:pPr>
              <w:pStyle w:val="13"/>
              <w:spacing w:line="240" w:lineRule="atLeast"/>
              <w:ind w:left="1164" w:leftChars="257" w:hanging="540"/>
              <w:rPr>
                <w:rFonts w:ascii="仿宋" w:hAnsi="仿宋" w:eastAsia="仿宋" w:cs="仿宋"/>
                <w:color w:val="auto"/>
                <w:highlight w:val="none"/>
                <w:lang w:eastAsia="zh-CN"/>
              </w:rPr>
            </w:pPr>
          </w:p>
        </w:tc>
        <w:tc>
          <w:tcPr>
            <w:tcW w:w="1549" w:type="dxa"/>
          </w:tcPr>
          <w:p w14:paraId="751CE7C7">
            <w:pPr>
              <w:pStyle w:val="13"/>
              <w:spacing w:line="240" w:lineRule="atLeast"/>
              <w:ind w:left="1164" w:leftChars="257" w:hanging="540"/>
              <w:rPr>
                <w:rFonts w:ascii="仿宋" w:hAnsi="仿宋" w:eastAsia="仿宋" w:cs="仿宋"/>
                <w:color w:val="auto"/>
                <w:highlight w:val="none"/>
                <w:lang w:eastAsia="zh-CN"/>
              </w:rPr>
            </w:pPr>
          </w:p>
        </w:tc>
        <w:tc>
          <w:tcPr>
            <w:tcW w:w="1330" w:type="dxa"/>
          </w:tcPr>
          <w:p w14:paraId="42DFE288">
            <w:pPr>
              <w:pStyle w:val="13"/>
              <w:spacing w:line="240" w:lineRule="atLeast"/>
              <w:ind w:left="1164" w:leftChars="257" w:hanging="540"/>
              <w:rPr>
                <w:rFonts w:ascii="仿宋" w:hAnsi="仿宋" w:eastAsia="仿宋" w:cs="仿宋"/>
                <w:color w:val="auto"/>
                <w:highlight w:val="none"/>
                <w:lang w:eastAsia="zh-CN"/>
              </w:rPr>
            </w:pPr>
          </w:p>
        </w:tc>
        <w:tc>
          <w:tcPr>
            <w:tcW w:w="1499" w:type="dxa"/>
          </w:tcPr>
          <w:p w14:paraId="1A94CB55">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120C842F">
            <w:pPr>
              <w:pStyle w:val="13"/>
              <w:spacing w:line="240" w:lineRule="atLeast"/>
              <w:ind w:left="1164" w:leftChars="257" w:hanging="540"/>
              <w:rPr>
                <w:rFonts w:ascii="仿宋" w:hAnsi="仿宋" w:eastAsia="仿宋" w:cs="仿宋"/>
                <w:color w:val="auto"/>
                <w:highlight w:val="none"/>
                <w:lang w:eastAsia="zh-CN"/>
              </w:rPr>
            </w:pPr>
          </w:p>
        </w:tc>
      </w:tr>
      <w:tr w14:paraId="4E48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55" w:type="dxa"/>
          </w:tcPr>
          <w:p w14:paraId="309A77B1">
            <w:pPr>
              <w:pStyle w:val="13"/>
              <w:spacing w:line="240" w:lineRule="atLeast"/>
              <w:ind w:left="1164" w:leftChars="257" w:hanging="540"/>
              <w:rPr>
                <w:rFonts w:ascii="仿宋" w:hAnsi="仿宋" w:eastAsia="仿宋" w:cs="仿宋"/>
                <w:color w:val="auto"/>
                <w:highlight w:val="none"/>
                <w:lang w:eastAsia="zh-CN"/>
              </w:rPr>
            </w:pPr>
          </w:p>
        </w:tc>
        <w:tc>
          <w:tcPr>
            <w:tcW w:w="1538" w:type="dxa"/>
          </w:tcPr>
          <w:p w14:paraId="60E3617A">
            <w:pPr>
              <w:pStyle w:val="13"/>
              <w:spacing w:line="240" w:lineRule="atLeast"/>
              <w:ind w:left="1164" w:leftChars="257" w:hanging="540"/>
              <w:rPr>
                <w:rFonts w:ascii="仿宋" w:hAnsi="仿宋" w:eastAsia="仿宋" w:cs="仿宋"/>
                <w:color w:val="auto"/>
                <w:highlight w:val="none"/>
                <w:lang w:eastAsia="zh-CN"/>
              </w:rPr>
            </w:pPr>
          </w:p>
        </w:tc>
        <w:tc>
          <w:tcPr>
            <w:tcW w:w="1549" w:type="dxa"/>
          </w:tcPr>
          <w:p w14:paraId="4C6E4F03">
            <w:pPr>
              <w:pStyle w:val="13"/>
              <w:spacing w:line="240" w:lineRule="atLeast"/>
              <w:ind w:left="1164" w:leftChars="257" w:hanging="540"/>
              <w:rPr>
                <w:rFonts w:ascii="仿宋" w:hAnsi="仿宋" w:eastAsia="仿宋" w:cs="仿宋"/>
                <w:color w:val="auto"/>
                <w:highlight w:val="none"/>
                <w:lang w:eastAsia="zh-CN"/>
              </w:rPr>
            </w:pPr>
          </w:p>
        </w:tc>
        <w:tc>
          <w:tcPr>
            <w:tcW w:w="1330" w:type="dxa"/>
          </w:tcPr>
          <w:p w14:paraId="50D6B72B">
            <w:pPr>
              <w:pStyle w:val="13"/>
              <w:spacing w:line="240" w:lineRule="atLeast"/>
              <w:ind w:left="1164" w:leftChars="257" w:hanging="540"/>
              <w:rPr>
                <w:rFonts w:ascii="仿宋" w:hAnsi="仿宋" w:eastAsia="仿宋" w:cs="仿宋"/>
                <w:color w:val="auto"/>
                <w:highlight w:val="none"/>
                <w:lang w:eastAsia="zh-CN"/>
              </w:rPr>
            </w:pPr>
          </w:p>
        </w:tc>
        <w:tc>
          <w:tcPr>
            <w:tcW w:w="1499" w:type="dxa"/>
          </w:tcPr>
          <w:p w14:paraId="481ABE6B">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3BCA6F3D">
            <w:pPr>
              <w:pStyle w:val="13"/>
              <w:spacing w:line="240" w:lineRule="atLeast"/>
              <w:ind w:left="1164" w:leftChars="257" w:hanging="540"/>
              <w:rPr>
                <w:rFonts w:ascii="仿宋" w:hAnsi="仿宋" w:eastAsia="仿宋" w:cs="仿宋"/>
                <w:color w:val="auto"/>
                <w:highlight w:val="none"/>
                <w:lang w:eastAsia="zh-CN"/>
              </w:rPr>
            </w:pPr>
          </w:p>
        </w:tc>
      </w:tr>
      <w:tr w14:paraId="01A0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55" w:type="dxa"/>
          </w:tcPr>
          <w:p w14:paraId="1F6DD676">
            <w:pPr>
              <w:pStyle w:val="13"/>
              <w:spacing w:line="240" w:lineRule="atLeast"/>
              <w:ind w:left="1164" w:leftChars="257" w:hanging="540"/>
              <w:rPr>
                <w:rFonts w:ascii="仿宋" w:hAnsi="仿宋" w:eastAsia="仿宋" w:cs="仿宋"/>
                <w:color w:val="auto"/>
                <w:highlight w:val="none"/>
                <w:lang w:eastAsia="zh-CN"/>
              </w:rPr>
            </w:pPr>
          </w:p>
        </w:tc>
        <w:tc>
          <w:tcPr>
            <w:tcW w:w="1538" w:type="dxa"/>
          </w:tcPr>
          <w:p w14:paraId="1042D018">
            <w:pPr>
              <w:pStyle w:val="13"/>
              <w:spacing w:line="240" w:lineRule="atLeast"/>
              <w:ind w:left="1164" w:leftChars="257" w:hanging="540"/>
              <w:rPr>
                <w:rFonts w:ascii="仿宋" w:hAnsi="仿宋" w:eastAsia="仿宋" w:cs="仿宋"/>
                <w:color w:val="auto"/>
                <w:highlight w:val="none"/>
                <w:lang w:eastAsia="zh-CN"/>
              </w:rPr>
            </w:pPr>
          </w:p>
        </w:tc>
        <w:tc>
          <w:tcPr>
            <w:tcW w:w="1549" w:type="dxa"/>
          </w:tcPr>
          <w:p w14:paraId="7AC8236C">
            <w:pPr>
              <w:pStyle w:val="13"/>
              <w:spacing w:line="240" w:lineRule="atLeast"/>
              <w:ind w:left="1164" w:leftChars="257" w:hanging="540"/>
              <w:rPr>
                <w:rFonts w:ascii="仿宋" w:hAnsi="仿宋" w:eastAsia="仿宋" w:cs="仿宋"/>
                <w:color w:val="auto"/>
                <w:highlight w:val="none"/>
                <w:lang w:eastAsia="zh-CN"/>
              </w:rPr>
            </w:pPr>
          </w:p>
        </w:tc>
        <w:tc>
          <w:tcPr>
            <w:tcW w:w="1330" w:type="dxa"/>
          </w:tcPr>
          <w:p w14:paraId="6D998D9A">
            <w:pPr>
              <w:pStyle w:val="13"/>
              <w:spacing w:line="240" w:lineRule="atLeast"/>
              <w:ind w:left="1164" w:leftChars="257" w:hanging="540"/>
              <w:rPr>
                <w:rFonts w:ascii="仿宋" w:hAnsi="仿宋" w:eastAsia="仿宋" w:cs="仿宋"/>
                <w:color w:val="auto"/>
                <w:highlight w:val="none"/>
                <w:lang w:eastAsia="zh-CN"/>
              </w:rPr>
            </w:pPr>
          </w:p>
        </w:tc>
        <w:tc>
          <w:tcPr>
            <w:tcW w:w="1499" w:type="dxa"/>
          </w:tcPr>
          <w:p w14:paraId="14DF15BC">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530D4D6A">
            <w:pPr>
              <w:pStyle w:val="13"/>
              <w:spacing w:line="240" w:lineRule="atLeast"/>
              <w:ind w:left="1164" w:leftChars="257" w:hanging="540"/>
              <w:rPr>
                <w:rFonts w:ascii="仿宋" w:hAnsi="仿宋" w:eastAsia="仿宋" w:cs="仿宋"/>
                <w:color w:val="auto"/>
                <w:highlight w:val="none"/>
                <w:lang w:eastAsia="zh-CN"/>
              </w:rPr>
            </w:pPr>
          </w:p>
        </w:tc>
      </w:tr>
      <w:tr w14:paraId="10F0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55" w:type="dxa"/>
          </w:tcPr>
          <w:p w14:paraId="141C6F9D">
            <w:pPr>
              <w:pStyle w:val="13"/>
              <w:spacing w:line="240" w:lineRule="atLeast"/>
              <w:ind w:left="1164" w:leftChars="257" w:hanging="540"/>
              <w:rPr>
                <w:rFonts w:ascii="仿宋" w:hAnsi="仿宋" w:eastAsia="仿宋" w:cs="仿宋"/>
                <w:color w:val="auto"/>
                <w:highlight w:val="none"/>
                <w:lang w:eastAsia="zh-CN"/>
              </w:rPr>
            </w:pPr>
          </w:p>
        </w:tc>
        <w:tc>
          <w:tcPr>
            <w:tcW w:w="1538" w:type="dxa"/>
          </w:tcPr>
          <w:p w14:paraId="78E6DAD0">
            <w:pPr>
              <w:pStyle w:val="13"/>
              <w:spacing w:line="240" w:lineRule="atLeast"/>
              <w:ind w:left="1164" w:leftChars="257" w:hanging="540"/>
              <w:rPr>
                <w:rFonts w:ascii="仿宋" w:hAnsi="仿宋" w:eastAsia="仿宋" w:cs="仿宋"/>
                <w:color w:val="auto"/>
                <w:highlight w:val="none"/>
                <w:lang w:eastAsia="zh-CN"/>
              </w:rPr>
            </w:pPr>
          </w:p>
        </w:tc>
        <w:tc>
          <w:tcPr>
            <w:tcW w:w="1549" w:type="dxa"/>
          </w:tcPr>
          <w:p w14:paraId="58718FC2">
            <w:pPr>
              <w:pStyle w:val="13"/>
              <w:spacing w:line="240" w:lineRule="atLeast"/>
              <w:ind w:left="1164" w:leftChars="257" w:hanging="540"/>
              <w:rPr>
                <w:rFonts w:ascii="仿宋" w:hAnsi="仿宋" w:eastAsia="仿宋" w:cs="仿宋"/>
                <w:color w:val="auto"/>
                <w:highlight w:val="none"/>
                <w:lang w:eastAsia="zh-CN"/>
              </w:rPr>
            </w:pPr>
          </w:p>
        </w:tc>
        <w:tc>
          <w:tcPr>
            <w:tcW w:w="1330" w:type="dxa"/>
          </w:tcPr>
          <w:p w14:paraId="799D6A50">
            <w:pPr>
              <w:pStyle w:val="13"/>
              <w:spacing w:line="240" w:lineRule="atLeast"/>
              <w:ind w:left="1164" w:leftChars="257" w:hanging="540"/>
              <w:rPr>
                <w:rFonts w:ascii="仿宋" w:hAnsi="仿宋" w:eastAsia="仿宋" w:cs="仿宋"/>
                <w:color w:val="auto"/>
                <w:highlight w:val="none"/>
                <w:lang w:eastAsia="zh-CN"/>
              </w:rPr>
            </w:pPr>
          </w:p>
        </w:tc>
        <w:tc>
          <w:tcPr>
            <w:tcW w:w="1499" w:type="dxa"/>
          </w:tcPr>
          <w:p w14:paraId="551DEC91">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2F1AF1E2">
            <w:pPr>
              <w:pStyle w:val="13"/>
              <w:spacing w:line="240" w:lineRule="atLeast"/>
              <w:ind w:left="1164" w:leftChars="257" w:hanging="540"/>
              <w:rPr>
                <w:rFonts w:ascii="仿宋" w:hAnsi="仿宋" w:eastAsia="仿宋" w:cs="仿宋"/>
                <w:color w:val="auto"/>
                <w:highlight w:val="none"/>
                <w:lang w:eastAsia="zh-CN"/>
              </w:rPr>
            </w:pPr>
          </w:p>
        </w:tc>
      </w:tr>
      <w:tr w14:paraId="710C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55" w:type="dxa"/>
          </w:tcPr>
          <w:p w14:paraId="4FA3873D">
            <w:pPr>
              <w:pStyle w:val="13"/>
              <w:spacing w:line="240" w:lineRule="atLeast"/>
              <w:ind w:left="1164" w:leftChars="257" w:hanging="540"/>
              <w:rPr>
                <w:rFonts w:ascii="仿宋" w:hAnsi="仿宋" w:eastAsia="仿宋" w:cs="仿宋"/>
                <w:color w:val="auto"/>
                <w:highlight w:val="none"/>
                <w:lang w:eastAsia="zh-CN"/>
              </w:rPr>
            </w:pPr>
          </w:p>
        </w:tc>
        <w:tc>
          <w:tcPr>
            <w:tcW w:w="1538" w:type="dxa"/>
          </w:tcPr>
          <w:p w14:paraId="6EC9D8D9">
            <w:pPr>
              <w:pStyle w:val="13"/>
              <w:spacing w:line="240" w:lineRule="atLeast"/>
              <w:ind w:left="1164" w:leftChars="257" w:hanging="540"/>
              <w:rPr>
                <w:rFonts w:ascii="仿宋" w:hAnsi="仿宋" w:eastAsia="仿宋" w:cs="仿宋"/>
                <w:color w:val="auto"/>
                <w:highlight w:val="none"/>
                <w:lang w:eastAsia="zh-CN"/>
              </w:rPr>
            </w:pPr>
          </w:p>
        </w:tc>
        <w:tc>
          <w:tcPr>
            <w:tcW w:w="1549" w:type="dxa"/>
          </w:tcPr>
          <w:p w14:paraId="10A0F94A">
            <w:pPr>
              <w:pStyle w:val="13"/>
              <w:spacing w:line="240" w:lineRule="atLeast"/>
              <w:ind w:left="1164" w:leftChars="257" w:hanging="540"/>
              <w:rPr>
                <w:rFonts w:ascii="仿宋" w:hAnsi="仿宋" w:eastAsia="仿宋" w:cs="仿宋"/>
                <w:color w:val="auto"/>
                <w:highlight w:val="none"/>
                <w:lang w:eastAsia="zh-CN"/>
              </w:rPr>
            </w:pPr>
          </w:p>
        </w:tc>
        <w:tc>
          <w:tcPr>
            <w:tcW w:w="1330" w:type="dxa"/>
          </w:tcPr>
          <w:p w14:paraId="7654EE8D">
            <w:pPr>
              <w:pStyle w:val="13"/>
              <w:spacing w:line="240" w:lineRule="atLeast"/>
              <w:ind w:left="1164" w:leftChars="257" w:hanging="540"/>
              <w:rPr>
                <w:rFonts w:ascii="仿宋" w:hAnsi="仿宋" w:eastAsia="仿宋" w:cs="仿宋"/>
                <w:color w:val="auto"/>
                <w:highlight w:val="none"/>
                <w:lang w:eastAsia="zh-CN"/>
              </w:rPr>
            </w:pPr>
          </w:p>
        </w:tc>
        <w:tc>
          <w:tcPr>
            <w:tcW w:w="1499" w:type="dxa"/>
          </w:tcPr>
          <w:p w14:paraId="1A2EC880">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7E06A74F">
            <w:pPr>
              <w:pStyle w:val="13"/>
              <w:spacing w:line="240" w:lineRule="atLeast"/>
              <w:ind w:left="1164" w:leftChars="257" w:hanging="540"/>
              <w:rPr>
                <w:rFonts w:ascii="仿宋" w:hAnsi="仿宋" w:eastAsia="仿宋" w:cs="仿宋"/>
                <w:color w:val="auto"/>
                <w:highlight w:val="none"/>
                <w:lang w:eastAsia="zh-CN"/>
              </w:rPr>
            </w:pPr>
          </w:p>
        </w:tc>
      </w:tr>
      <w:tr w14:paraId="7F09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55" w:type="dxa"/>
          </w:tcPr>
          <w:p w14:paraId="043388B1">
            <w:pPr>
              <w:pStyle w:val="13"/>
              <w:spacing w:line="240" w:lineRule="atLeast"/>
              <w:ind w:left="1164" w:leftChars="257" w:hanging="540"/>
              <w:rPr>
                <w:rFonts w:ascii="仿宋" w:hAnsi="仿宋" w:eastAsia="仿宋" w:cs="仿宋"/>
                <w:color w:val="auto"/>
                <w:highlight w:val="none"/>
                <w:lang w:eastAsia="zh-CN"/>
              </w:rPr>
            </w:pPr>
          </w:p>
        </w:tc>
        <w:tc>
          <w:tcPr>
            <w:tcW w:w="1538" w:type="dxa"/>
          </w:tcPr>
          <w:p w14:paraId="485D87D9">
            <w:pPr>
              <w:pStyle w:val="13"/>
              <w:spacing w:line="240" w:lineRule="atLeast"/>
              <w:ind w:left="1164" w:leftChars="257" w:hanging="540"/>
              <w:rPr>
                <w:rFonts w:ascii="仿宋" w:hAnsi="仿宋" w:eastAsia="仿宋" w:cs="仿宋"/>
                <w:color w:val="auto"/>
                <w:highlight w:val="none"/>
                <w:lang w:eastAsia="zh-CN"/>
              </w:rPr>
            </w:pPr>
          </w:p>
        </w:tc>
        <w:tc>
          <w:tcPr>
            <w:tcW w:w="1549" w:type="dxa"/>
          </w:tcPr>
          <w:p w14:paraId="744427D4">
            <w:pPr>
              <w:pStyle w:val="13"/>
              <w:spacing w:line="240" w:lineRule="atLeast"/>
              <w:ind w:left="1164" w:leftChars="257" w:hanging="540"/>
              <w:rPr>
                <w:rFonts w:ascii="仿宋" w:hAnsi="仿宋" w:eastAsia="仿宋" w:cs="仿宋"/>
                <w:color w:val="auto"/>
                <w:highlight w:val="none"/>
                <w:lang w:eastAsia="zh-CN"/>
              </w:rPr>
            </w:pPr>
          </w:p>
        </w:tc>
        <w:tc>
          <w:tcPr>
            <w:tcW w:w="1330" w:type="dxa"/>
          </w:tcPr>
          <w:p w14:paraId="74DB1ACF">
            <w:pPr>
              <w:pStyle w:val="13"/>
              <w:spacing w:line="240" w:lineRule="atLeast"/>
              <w:ind w:left="1164" w:leftChars="257" w:hanging="540"/>
              <w:rPr>
                <w:rFonts w:ascii="仿宋" w:hAnsi="仿宋" w:eastAsia="仿宋" w:cs="仿宋"/>
                <w:color w:val="auto"/>
                <w:highlight w:val="none"/>
                <w:lang w:eastAsia="zh-CN"/>
              </w:rPr>
            </w:pPr>
          </w:p>
        </w:tc>
        <w:tc>
          <w:tcPr>
            <w:tcW w:w="1499" w:type="dxa"/>
          </w:tcPr>
          <w:p w14:paraId="2A712DBE">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18FD75B7">
            <w:pPr>
              <w:pStyle w:val="13"/>
              <w:spacing w:line="240" w:lineRule="atLeast"/>
              <w:ind w:left="1164" w:leftChars="257" w:hanging="540"/>
              <w:rPr>
                <w:rFonts w:ascii="仿宋" w:hAnsi="仿宋" w:eastAsia="仿宋" w:cs="仿宋"/>
                <w:color w:val="auto"/>
                <w:highlight w:val="none"/>
                <w:lang w:eastAsia="zh-CN"/>
              </w:rPr>
            </w:pPr>
          </w:p>
        </w:tc>
      </w:tr>
      <w:tr w14:paraId="47F8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55" w:type="dxa"/>
          </w:tcPr>
          <w:p w14:paraId="3AA15897">
            <w:pPr>
              <w:pStyle w:val="13"/>
              <w:spacing w:line="240" w:lineRule="atLeast"/>
              <w:ind w:left="1164" w:leftChars="257" w:hanging="540"/>
              <w:rPr>
                <w:rFonts w:ascii="仿宋" w:hAnsi="仿宋" w:eastAsia="仿宋" w:cs="仿宋"/>
                <w:color w:val="auto"/>
                <w:highlight w:val="none"/>
                <w:lang w:eastAsia="zh-CN"/>
              </w:rPr>
            </w:pPr>
          </w:p>
        </w:tc>
        <w:tc>
          <w:tcPr>
            <w:tcW w:w="1538" w:type="dxa"/>
          </w:tcPr>
          <w:p w14:paraId="32F6894B">
            <w:pPr>
              <w:pStyle w:val="13"/>
              <w:spacing w:line="240" w:lineRule="atLeast"/>
              <w:ind w:left="1164" w:leftChars="257" w:hanging="540"/>
              <w:rPr>
                <w:rFonts w:ascii="仿宋" w:hAnsi="仿宋" w:eastAsia="仿宋" w:cs="仿宋"/>
                <w:color w:val="auto"/>
                <w:highlight w:val="none"/>
                <w:lang w:eastAsia="zh-CN"/>
              </w:rPr>
            </w:pPr>
          </w:p>
        </w:tc>
        <w:tc>
          <w:tcPr>
            <w:tcW w:w="1549" w:type="dxa"/>
          </w:tcPr>
          <w:p w14:paraId="65229E0A">
            <w:pPr>
              <w:pStyle w:val="13"/>
              <w:spacing w:line="240" w:lineRule="atLeast"/>
              <w:ind w:left="1164" w:leftChars="257" w:hanging="540"/>
              <w:rPr>
                <w:rFonts w:ascii="仿宋" w:hAnsi="仿宋" w:eastAsia="仿宋" w:cs="仿宋"/>
                <w:color w:val="auto"/>
                <w:highlight w:val="none"/>
                <w:lang w:eastAsia="zh-CN"/>
              </w:rPr>
            </w:pPr>
          </w:p>
        </w:tc>
        <w:tc>
          <w:tcPr>
            <w:tcW w:w="1330" w:type="dxa"/>
          </w:tcPr>
          <w:p w14:paraId="5EE6D4C8">
            <w:pPr>
              <w:pStyle w:val="13"/>
              <w:spacing w:line="240" w:lineRule="atLeast"/>
              <w:ind w:left="1164" w:leftChars="257" w:hanging="540"/>
              <w:rPr>
                <w:rFonts w:ascii="仿宋" w:hAnsi="仿宋" w:eastAsia="仿宋" w:cs="仿宋"/>
                <w:color w:val="auto"/>
                <w:highlight w:val="none"/>
                <w:lang w:eastAsia="zh-CN"/>
              </w:rPr>
            </w:pPr>
          </w:p>
        </w:tc>
        <w:tc>
          <w:tcPr>
            <w:tcW w:w="1499" w:type="dxa"/>
          </w:tcPr>
          <w:p w14:paraId="5B177134">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2A03784F">
            <w:pPr>
              <w:pStyle w:val="13"/>
              <w:spacing w:line="240" w:lineRule="atLeast"/>
              <w:ind w:left="1164" w:leftChars="257" w:hanging="540"/>
              <w:rPr>
                <w:rFonts w:ascii="仿宋" w:hAnsi="仿宋" w:eastAsia="仿宋" w:cs="仿宋"/>
                <w:color w:val="auto"/>
                <w:highlight w:val="none"/>
                <w:lang w:eastAsia="zh-CN"/>
              </w:rPr>
            </w:pPr>
          </w:p>
        </w:tc>
      </w:tr>
    </w:tbl>
    <w:p w14:paraId="0DDFCE1B">
      <w:pPr>
        <w:pStyle w:val="13"/>
        <w:spacing w:line="240" w:lineRule="atLeast"/>
        <w:ind w:left="1164" w:leftChars="257" w:hanging="540"/>
        <w:rPr>
          <w:rFonts w:ascii="仿宋" w:hAnsi="仿宋" w:eastAsia="仿宋" w:cs="仿宋"/>
          <w:color w:val="auto"/>
          <w:highlight w:val="none"/>
        </w:rPr>
      </w:pPr>
    </w:p>
    <w:p w14:paraId="3DBFDC09">
      <w:pPr>
        <w:pStyle w:val="13"/>
        <w:spacing w:line="240" w:lineRule="atLeast"/>
        <w:ind w:left="1164" w:leftChars="257" w:hanging="540"/>
        <w:rPr>
          <w:rFonts w:hint="eastAsia" w:ascii="仿宋" w:hAnsi="仿宋" w:eastAsia="仿宋" w:cs="仿宋"/>
          <w:color w:val="auto"/>
          <w:highlight w:val="none"/>
          <w:lang w:eastAsia="zh-CN"/>
        </w:rPr>
      </w:pPr>
    </w:p>
    <w:p w14:paraId="6216A7EB">
      <w:pPr>
        <w:pStyle w:val="13"/>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769D2959">
      <w:pPr>
        <w:pStyle w:val="13"/>
        <w:tabs>
          <w:tab w:val="left" w:pos="5370"/>
        </w:tabs>
        <w:spacing w:line="240" w:lineRule="atLeast"/>
        <w:ind w:left="1164" w:leftChars="257" w:hanging="540"/>
        <w:rPr>
          <w:rFonts w:ascii="仿宋" w:hAnsi="仿宋" w:eastAsia="仿宋" w:cs="仿宋"/>
          <w:color w:val="auto"/>
          <w:highlight w:val="none"/>
          <w:lang w:eastAsia="zh-CN"/>
        </w:rPr>
      </w:pPr>
    </w:p>
    <w:p w14:paraId="3653FAA5">
      <w:pPr>
        <w:pStyle w:val="13"/>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310E1C17">
      <w:pPr>
        <w:pStyle w:val="13"/>
        <w:spacing w:line="240" w:lineRule="atLeast"/>
        <w:ind w:left="1164" w:leftChars="257" w:hanging="540"/>
        <w:rPr>
          <w:rFonts w:ascii="仿宋" w:hAnsi="仿宋" w:eastAsia="仿宋" w:cs="仿宋"/>
          <w:color w:val="auto"/>
          <w:highlight w:val="none"/>
          <w:lang w:eastAsia="zh-CN"/>
        </w:rPr>
      </w:pPr>
    </w:p>
    <w:p w14:paraId="02EE4A66">
      <w:pPr>
        <w:pStyle w:val="13"/>
        <w:spacing w:line="240" w:lineRule="atLeast"/>
        <w:ind w:left="1164" w:leftChars="257" w:hanging="540"/>
        <w:jc w:val="center"/>
        <w:rPr>
          <w:rFonts w:hAnsi="宋体" w:eastAsia="宋体" w:cs="宋体"/>
          <w:color w:val="auto"/>
          <w:highlight w:val="none"/>
          <w:lang w:eastAsia="zh-CN"/>
        </w:rPr>
      </w:pPr>
    </w:p>
    <w:p w14:paraId="0792B62A">
      <w:pPr>
        <w:pStyle w:val="13"/>
        <w:spacing w:line="240" w:lineRule="atLeast"/>
        <w:ind w:left="1164" w:leftChars="257" w:hanging="540"/>
        <w:jc w:val="center"/>
        <w:rPr>
          <w:rFonts w:hAnsi="宋体" w:eastAsia="宋体" w:cs="宋体"/>
          <w:color w:val="auto"/>
          <w:highlight w:val="none"/>
          <w:lang w:eastAsia="zh-CN"/>
        </w:rPr>
        <w:sectPr>
          <w:footerReference r:id="rId8" w:type="default"/>
          <w:pgSz w:w="11905" w:h="16838"/>
          <w:pgMar w:top="1440" w:right="1797" w:bottom="1440" w:left="1797" w:header="850" w:footer="992" w:gutter="0"/>
          <w:pgNumType w:fmt="decimal"/>
          <w:cols w:space="720" w:num="1"/>
          <w:docGrid w:type="linesAndChars" w:linePitch="325" w:charSpace="635"/>
        </w:sectPr>
      </w:pPr>
    </w:p>
    <w:p w14:paraId="1B7A52B5">
      <w:pPr>
        <w:pStyle w:val="37"/>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投标</w:t>
      </w:r>
      <w:r>
        <w:rPr>
          <w:rFonts w:hint="eastAsia" w:ascii="仿宋" w:hAnsi="仿宋" w:eastAsia="仿宋" w:cs="仿宋"/>
          <w:b/>
          <w:bCs/>
          <w:color w:val="auto"/>
          <w:highlight w:val="none"/>
          <w:lang w:eastAsia="zh-CN"/>
        </w:rPr>
        <w:t>分项</w:t>
      </w:r>
      <w:r>
        <w:rPr>
          <w:rFonts w:hint="eastAsia" w:ascii="仿宋" w:hAnsi="仿宋" w:eastAsia="仿宋" w:cs="仿宋"/>
          <w:b/>
          <w:bCs/>
          <w:color w:val="auto"/>
          <w:highlight w:val="none"/>
        </w:rPr>
        <w:t>报价明细表</w:t>
      </w:r>
    </w:p>
    <w:p w14:paraId="0C97AAA2">
      <w:pPr>
        <w:pStyle w:val="37"/>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14854EFB">
      <w:pPr>
        <w:pStyle w:val="37"/>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14:paraId="1983B75D">
      <w:pPr>
        <w:pStyle w:val="13"/>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5"/>
        <w:tblW w:w="86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311"/>
        <w:gridCol w:w="1575"/>
        <w:gridCol w:w="1147"/>
        <w:gridCol w:w="943"/>
        <w:gridCol w:w="868"/>
        <w:gridCol w:w="956"/>
        <w:gridCol w:w="1022"/>
      </w:tblGrid>
      <w:tr w14:paraId="2F248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top"/>
          </w:tcPr>
          <w:p w14:paraId="37842E54">
            <w:pPr>
              <w:spacing w:before="194" w:line="231" w:lineRule="auto"/>
              <w:ind w:left="123" w:leftChars="0"/>
              <w:rPr>
                <w:rFonts w:ascii="仿宋" w:hAnsi="仿宋" w:eastAsia="仿宋" w:cs="仿宋"/>
                <w:color w:val="auto"/>
                <w:szCs w:val="21"/>
                <w:highlight w:val="none"/>
              </w:rPr>
            </w:pPr>
            <w:r>
              <w:rPr>
                <w:rFonts w:ascii="仿宋" w:hAnsi="仿宋" w:eastAsia="仿宋" w:cs="仿宋"/>
                <w:spacing w:val="2"/>
                <w:sz w:val="23"/>
                <w:szCs w:val="23"/>
              </w:rPr>
              <w:t>序号</w:t>
            </w:r>
          </w:p>
        </w:tc>
        <w:tc>
          <w:tcPr>
            <w:tcW w:w="1311" w:type="dxa"/>
            <w:tcBorders>
              <w:top w:val="single" w:color="auto" w:sz="4" w:space="0"/>
              <w:left w:val="single" w:color="auto" w:sz="4" w:space="0"/>
              <w:bottom w:val="single" w:color="auto" w:sz="4" w:space="0"/>
              <w:right w:val="single" w:color="auto" w:sz="4" w:space="0"/>
            </w:tcBorders>
            <w:vAlign w:val="top"/>
          </w:tcPr>
          <w:p w14:paraId="40BBE24E">
            <w:pPr>
              <w:spacing w:before="195" w:line="229" w:lineRule="auto"/>
              <w:ind w:left="118" w:leftChars="0"/>
              <w:rPr>
                <w:rFonts w:ascii="仿宋" w:hAnsi="仿宋" w:eastAsia="仿宋" w:cs="仿宋"/>
                <w:color w:val="auto"/>
                <w:szCs w:val="21"/>
                <w:highlight w:val="none"/>
              </w:rPr>
            </w:pPr>
            <w:r>
              <w:rPr>
                <w:rFonts w:ascii="仿宋" w:hAnsi="仿宋" w:eastAsia="仿宋" w:cs="仿宋"/>
                <w:spacing w:val="6"/>
                <w:sz w:val="23"/>
                <w:szCs w:val="23"/>
              </w:rPr>
              <w:t>服务名称</w:t>
            </w:r>
          </w:p>
        </w:tc>
        <w:tc>
          <w:tcPr>
            <w:tcW w:w="1575" w:type="dxa"/>
            <w:tcBorders>
              <w:top w:val="single" w:color="auto" w:sz="4" w:space="0"/>
              <w:left w:val="single" w:color="auto" w:sz="4" w:space="0"/>
              <w:bottom w:val="single" w:color="auto" w:sz="4" w:space="0"/>
              <w:right w:val="single" w:color="auto" w:sz="4" w:space="0"/>
            </w:tcBorders>
            <w:vAlign w:val="top"/>
          </w:tcPr>
          <w:p w14:paraId="20F976C1">
            <w:pPr>
              <w:spacing w:before="194" w:line="231" w:lineRule="auto"/>
              <w:ind w:left="255" w:leftChars="0"/>
              <w:rPr>
                <w:rFonts w:ascii="仿宋" w:hAnsi="仿宋" w:eastAsia="仿宋" w:cs="仿宋"/>
                <w:color w:val="auto"/>
                <w:szCs w:val="21"/>
                <w:highlight w:val="none"/>
                <w:lang w:eastAsia="zh-CN"/>
              </w:rPr>
            </w:pPr>
            <w:r>
              <w:rPr>
                <w:rFonts w:ascii="仿宋" w:hAnsi="仿宋" w:eastAsia="仿宋" w:cs="仿宋"/>
                <w:spacing w:val="6"/>
                <w:sz w:val="23"/>
                <w:szCs w:val="23"/>
              </w:rPr>
              <w:t>服务内容</w:t>
            </w:r>
          </w:p>
        </w:tc>
        <w:tc>
          <w:tcPr>
            <w:tcW w:w="1147" w:type="dxa"/>
            <w:tcBorders>
              <w:top w:val="single" w:color="auto" w:sz="4" w:space="0"/>
              <w:left w:val="single" w:color="auto" w:sz="4" w:space="0"/>
              <w:bottom w:val="single" w:color="auto" w:sz="4" w:space="0"/>
              <w:right w:val="single" w:color="auto" w:sz="4" w:space="0"/>
            </w:tcBorders>
            <w:vAlign w:val="top"/>
          </w:tcPr>
          <w:p w14:paraId="5C75AD1E">
            <w:pPr>
              <w:spacing w:before="195" w:line="231" w:lineRule="auto"/>
              <w:jc w:val="both"/>
              <w:rPr>
                <w:rFonts w:ascii="仿宋" w:hAnsi="仿宋" w:eastAsia="仿宋" w:cs="仿宋"/>
                <w:color w:val="auto"/>
                <w:szCs w:val="21"/>
                <w:highlight w:val="none"/>
                <w:lang w:eastAsia="zh-CN"/>
              </w:rPr>
            </w:pPr>
            <w:r>
              <w:rPr>
                <w:rFonts w:ascii="仿宋" w:hAnsi="仿宋" w:eastAsia="仿宋" w:cs="仿宋"/>
                <w:spacing w:val="2"/>
                <w:sz w:val="23"/>
                <w:szCs w:val="23"/>
              </w:rPr>
              <w:t>数量</w:t>
            </w:r>
          </w:p>
        </w:tc>
        <w:tc>
          <w:tcPr>
            <w:tcW w:w="943" w:type="dxa"/>
            <w:tcBorders>
              <w:top w:val="single" w:color="auto" w:sz="4" w:space="0"/>
              <w:left w:val="single" w:color="auto" w:sz="4" w:space="0"/>
              <w:bottom w:val="single" w:color="auto" w:sz="4" w:space="0"/>
              <w:right w:val="single" w:color="auto" w:sz="4" w:space="0"/>
            </w:tcBorders>
            <w:vAlign w:val="top"/>
          </w:tcPr>
          <w:p w14:paraId="692CCAA4">
            <w:pPr>
              <w:spacing w:before="195" w:line="229" w:lineRule="auto"/>
              <w:rPr>
                <w:rFonts w:ascii="仿宋" w:hAnsi="仿宋" w:eastAsia="仿宋" w:cs="仿宋"/>
                <w:color w:val="auto"/>
                <w:szCs w:val="21"/>
                <w:highlight w:val="none"/>
                <w:lang w:eastAsia="zh-CN"/>
              </w:rPr>
            </w:pPr>
            <w:r>
              <w:rPr>
                <w:rFonts w:ascii="仿宋" w:hAnsi="仿宋" w:eastAsia="仿宋" w:cs="仿宋"/>
                <w:spacing w:val="-1"/>
                <w:sz w:val="23"/>
                <w:szCs w:val="23"/>
              </w:rPr>
              <w:t>单</w:t>
            </w:r>
            <w:r>
              <w:rPr>
                <w:rFonts w:ascii="仿宋" w:hAnsi="仿宋" w:eastAsia="仿宋" w:cs="仿宋"/>
                <w:sz w:val="23"/>
                <w:szCs w:val="23"/>
              </w:rPr>
              <w:t>位</w:t>
            </w:r>
          </w:p>
        </w:tc>
        <w:tc>
          <w:tcPr>
            <w:tcW w:w="868" w:type="dxa"/>
            <w:tcBorders>
              <w:top w:val="single" w:color="auto" w:sz="4" w:space="0"/>
              <w:left w:val="single" w:color="auto" w:sz="4" w:space="0"/>
              <w:bottom w:val="single" w:color="auto" w:sz="4" w:space="0"/>
              <w:right w:val="single" w:color="auto" w:sz="4" w:space="0"/>
            </w:tcBorders>
            <w:vAlign w:val="top"/>
          </w:tcPr>
          <w:p w14:paraId="6D880450">
            <w:pPr>
              <w:spacing w:before="195" w:line="229" w:lineRule="auto"/>
              <w:rPr>
                <w:rFonts w:ascii="仿宋" w:hAnsi="仿宋" w:eastAsia="仿宋" w:cs="仿宋"/>
                <w:color w:val="auto"/>
                <w:szCs w:val="21"/>
                <w:highlight w:val="none"/>
              </w:rPr>
            </w:pPr>
            <w:r>
              <w:rPr>
                <w:rFonts w:ascii="仿宋" w:hAnsi="仿宋" w:eastAsia="仿宋" w:cs="仿宋"/>
                <w:spacing w:val="-1"/>
                <w:sz w:val="23"/>
                <w:szCs w:val="23"/>
              </w:rPr>
              <w:t>单</w:t>
            </w:r>
            <w:r>
              <w:rPr>
                <w:rFonts w:ascii="仿宋" w:hAnsi="仿宋" w:eastAsia="仿宋" w:cs="仿宋"/>
                <w:sz w:val="23"/>
                <w:szCs w:val="23"/>
              </w:rPr>
              <w:t>价</w:t>
            </w:r>
          </w:p>
        </w:tc>
        <w:tc>
          <w:tcPr>
            <w:tcW w:w="956" w:type="dxa"/>
            <w:tcBorders>
              <w:top w:val="single" w:color="auto" w:sz="4" w:space="0"/>
              <w:left w:val="single" w:color="auto" w:sz="4" w:space="0"/>
              <w:bottom w:val="single" w:color="auto" w:sz="4" w:space="0"/>
              <w:right w:val="single" w:color="auto" w:sz="4" w:space="0"/>
            </w:tcBorders>
            <w:vAlign w:val="top"/>
          </w:tcPr>
          <w:p w14:paraId="54623DF8">
            <w:pPr>
              <w:spacing w:before="194" w:line="231" w:lineRule="auto"/>
              <w:rPr>
                <w:rFonts w:ascii="仿宋" w:hAnsi="仿宋" w:eastAsia="仿宋" w:cs="仿宋"/>
                <w:color w:val="auto"/>
                <w:szCs w:val="21"/>
                <w:highlight w:val="none"/>
                <w:lang w:eastAsia="zh-CN"/>
              </w:rPr>
            </w:pPr>
            <w:r>
              <w:rPr>
                <w:rFonts w:ascii="仿宋" w:hAnsi="仿宋" w:eastAsia="仿宋" w:cs="仿宋"/>
                <w:spacing w:val="-4"/>
                <w:sz w:val="23"/>
                <w:szCs w:val="23"/>
              </w:rPr>
              <w:t>总</w:t>
            </w:r>
            <w:r>
              <w:rPr>
                <w:rFonts w:ascii="仿宋" w:hAnsi="仿宋" w:eastAsia="仿宋" w:cs="仿宋"/>
                <w:spacing w:val="-3"/>
                <w:sz w:val="23"/>
                <w:szCs w:val="23"/>
              </w:rPr>
              <w:t>价</w:t>
            </w:r>
          </w:p>
        </w:tc>
        <w:tc>
          <w:tcPr>
            <w:tcW w:w="1022" w:type="dxa"/>
            <w:tcBorders>
              <w:top w:val="single" w:color="auto" w:sz="4" w:space="0"/>
              <w:left w:val="single" w:color="auto" w:sz="4" w:space="0"/>
              <w:bottom w:val="single" w:color="auto" w:sz="4" w:space="0"/>
              <w:right w:val="single" w:color="auto" w:sz="4" w:space="0"/>
            </w:tcBorders>
            <w:vAlign w:val="top"/>
          </w:tcPr>
          <w:p w14:paraId="4B31A47B">
            <w:pPr>
              <w:spacing w:before="194" w:line="233" w:lineRule="auto"/>
              <w:ind w:left="148" w:leftChars="0"/>
              <w:rPr>
                <w:rFonts w:ascii="仿宋" w:hAnsi="仿宋" w:eastAsia="仿宋" w:cs="仿宋"/>
                <w:color w:val="auto"/>
                <w:szCs w:val="21"/>
                <w:highlight w:val="none"/>
                <w:lang w:eastAsia="zh-CN"/>
              </w:rPr>
            </w:pPr>
            <w:r>
              <w:rPr>
                <w:rFonts w:ascii="仿宋" w:hAnsi="仿宋" w:eastAsia="仿宋" w:cs="仿宋"/>
                <w:spacing w:val="1"/>
                <w:sz w:val="23"/>
                <w:szCs w:val="23"/>
              </w:rPr>
              <w:t>备注</w:t>
            </w:r>
          </w:p>
        </w:tc>
      </w:tr>
      <w:tr w14:paraId="19CF2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41BF313">
            <w:pPr>
              <w:spacing w:line="500" w:lineRule="exact"/>
              <w:jc w:val="center"/>
              <w:rPr>
                <w:rFonts w:ascii="仿宋" w:hAnsi="仿宋" w:eastAsia="仿宋" w:cs="仿宋"/>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vAlign w:val="center"/>
          </w:tcPr>
          <w:p w14:paraId="40006441">
            <w:pPr>
              <w:spacing w:line="500" w:lineRule="exact"/>
              <w:jc w:val="center"/>
              <w:rPr>
                <w:rFonts w:ascii="仿宋" w:hAnsi="仿宋" w:eastAsia="仿宋" w:cs="仿宋"/>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596207C4">
            <w:pPr>
              <w:spacing w:line="500" w:lineRule="exact"/>
              <w:jc w:val="center"/>
              <w:rPr>
                <w:rFonts w:ascii="仿宋" w:hAnsi="仿宋" w:eastAsia="仿宋" w:cs="仿宋"/>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3B4FDBB">
            <w:pPr>
              <w:spacing w:line="500" w:lineRule="exact"/>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0E9830A7">
            <w:pPr>
              <w:spacing w:line="500" w:lineRule="exact"/>
              <w:jc w:val="center"/>
              <w:rPr>
                <w:rFonts w:ascii="仿宋" w:hAnsi="仿宋" w:eastAsia="仿宋" w:cs="仿宋"/>
                <w:color w:val="auto"/>
                <w:szCs w:val="21"/>
                <w:highlight w:val="none"/>
              </w:rPr>
            </w:pPr>
          </w:p>
        </w:tc>
        <w:tc>
          <w:tcPr>
            <w:tcW w:w="868" w:type="dxa"/>
            <w:tcBorders>
              <w:top w:val="single" w:color="auto" w:sz="4" w:space="0"/>
              <w:left w:val="single" w:color="auto" w:sz="4" w:space="0"/>
              <w:bottom w:val="single" w:color="auto" w:sz="4" w:space="0"/>
              <w:right w:val="single" w:color="auto" w:sz="4" w:space="0"/>
            </w:tcBorders>
            <w:vAlign w:val="center"/>
          </w:tcPr>
          <w:p w14:paraId="2124ABAA">
            <w:pPr>
              <w:spacing w:line="500" w:lineRule="exact"/>
              <w:jc w:val="center"/>
              <w:rPr>
                <w:rFonts w:ascii="仿宋" w:hAnsi="仿宋" w:eastAsia="仿宋" w:cs="仿宋"/>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679655A4">
            <w:pPr>
              <w:spacing w:line="500" w:lineRule="exact"/>
              <w:jc w:val="center"/>
              <w:rPr>
                <w:rFonts w:ascii="仿宋" w:hAnsi="仿宋" w:eastAsia="仿宋" w:cs="仿宋"/>
                <w:color w:val="auto"/>
                <w:szCs w:val="21"/>
                <w:highlight w:val="none"/>
              </w:rPr>
            </w:pPr>
          </w:p>
        </w:tc>
        <w:tc>
          <w:tcPr>
            <w:tcW w:w="1022" w:type="dxa"/>
            <w:tcBorders>
              <w:top w:val="single" w:color="auto" w:sz="4" w:space="0"/>
              <w:left w:val="single" w:color="auto" w:sz="4" w:space="0"/>
              <w:bottom w:val="single" w:color="auto" w:sz="4" w:space="0"/>
              <w:right w:val="single" w:color="auto" w:sz="4" w:space="0"/>
            </w:tcBorders>
            <w:vAlign w:val="center"/>
          </w:tcPr>
          <w:p w14:paraId="5BE03CF5">
            <w:pPr>
              <w:spacing w:line="500" w:lineRule="exact"/>
              <w:jc w:val="center"/>
              <w:rPr>
                <w:rFonts w:ascii="仿宋" w:hAnsi="仿宋" w:eastAsia="仿宋" w:cs="仿宋"/>
                <w:color w:val="auto"/>
                <w:szCs w:val="21"/>
                <w:highlight w:val="none"/>
              </w:rPr>
            </w:pPr>
          </w:p>
        </w:tc>
      </w:tr>
      <w:tr w14:paraId="19043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6C6E354">
            <w:pPr>
              <w:spacing w:line="500" w:lineRule="exact"/>
              <w:jc w:val="center"/>
              <w:rPr>
                <w:rFonts w:ascii="仿宋" w:hAnsi="仿宋" w:eastAsia="仿宋" w:cs="仿宋"/>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vAlign w:val="center"/>
          </w:tcPr>
          <w:p w14:paraId="289EEAE3">
            <w:pPr>
              <w:spacing w:line="500" w:lineRule="exact"/>
              <w:jc w:val="center"/>
              <w:rPr>
                <w:rFonts w:ascii="仿宋" w:hAnsi="仿宋" w:eastAsia="仿宋" w:cs="仿宋"/>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79311062">
            <w:pPr>
              <w:spacing w:line="500" w:lineRule="exact"/>
              <w:jc w:val="center"/>
              <w:rPr>
                <w:rFonts w:ascii="仿宋" w:hAnsi="仿宋" w:eastAsia="仿宋" w:cs="仿宋"/>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74B318F9">
            <w:pPr>
              <w:spacing w:line="500" w:lineRule="exact"/>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72A2AD46">
            <w:pPr>
              <w:spacing w:line="500" w:lineRule="exact"/>
              <w:jc w:val="center"/>
              <w:rPr>
                <w:rFonts w:ascii="仿宋" w:hAnsi="仿宋" w:eastAsia="仿宋" w:cs="仿宋"/>
                <w:color w:val="auto"/>
                <w:szCs w:val="21"/>
                <w:highlight w:val="none"/>
              </w:rPr>
            </w:pPr>
          </w:p>
        </w:tc>
        <w:tc>
          <w:tcPr>
            <w:tcW w:w="868" w:type="dxa"/>
            <w:tcBorders>
              <w:top w:val="single" w:color="auto" w:sz="4" w:space="0"/>
              <w:left w:val="single" w:color="auto" w:sz="4" w:space="0"/>
              <w:bottom w:val="single" w:color="auto" w:sz="4" w:space="0"/>
              <w:right w:val="single" w:color="auto" w:sz="4" w:space="0"/>
            </w:tcBorders>
            <w:vAlign w:val="center"/>
          </w:tcPr>
          <w:p w14:paraId="609C988F">
            <w:pPr>
              <w:spacing w:line="500" w:lineRule="exact"/>
              <w:jc w:val="center"/>
              <w:rPr>
                <w:rFonts w:ascii="仿宋" w:hAnsi="仿宋" w:eastAsia="仿宋" w:cs="仿宋"/>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65D6B2A5">
            <w:pPr>
              <w:spacing w:line="500" w:lineRule="exact"/>
              <w:jc w:val="center"/>
              <w:rPr>
                <w:rFonts w:ascii="仿宋" w:hAnsi="仿宋" w:eastAsia="仿宋" w:cs="仿宋"/>
                <w:color w:val="auto"/>
                <w:szCs w:val="21"/>
                <w:highlight w:val="none"/>
              </w:rPr>
            </w:pPr>
          </w:p>
        </w:tc>
        <w:tc>
          <w:tcPr>
            <w:tcW w:w="1022" w:type="dxa"/>
            <w:tcBorders>
              <w:top w:val="single" w:color="auto" w:sz="4" w:space="0"/>
              <w:left w:val="single" w:color="auto" w:sz="4" w:space="0"/>
              <w:bottom w:val="single" w:color="auto" w:sz="4" w:space="0"/>
              <w:right w:val="single" w:color="auto" w:sz="4" w:space="0"/>
            </w:tcBorders>
            <w:vAlign w:val="center"/>
          </w:tcPr>
          <w:p w14:paraId="3A08D27F">
            <w:pPr>
              <w:spacing w:line="500" w:lineRule="exact"/>
              <w:jc w:val="center"/>
              <w:rPr>
                <w:rFonts w:ascii="仿宋" w:hAnsi="仿宋" w:eastAsia="仿宋" w:cs="仿宋"/>
                <w:color w:val="auto"/>
                <w:szCs w:val="21"/>
                <w:highlight w:val="none"/>
              </w:rPr>
            </w:pPr>
          </w:p>
        </w:tc>
      </w:tr>
      <w:tr w14:paraId="330ED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EC40014">
            <w:pPr>
              <w:spacing w:line="500" w:lineRule="exact"/>
              <w:jc w:val="center"/>
              <w:rPr>
                <w:rFonts w:ascii="仿宋" w:hAnsi="仿宋" w:eastAsia="仿宋" w:cs="仿宋"/>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vAlign w:val="center"/>
          </w:tcPr>
          <w:p w14:paraId="20D68F95">
            <w:pPr>
              <w:spacing w:line="500" w:lineRule="exact"/>
              <w:jc w:val="center"/>
              <w:rPr>
                <w:rFonts w:ascii="仿宋" w:hAnsi="仿宋" w:eastAsia="仿宋" w:cs="仿宋"/>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2C27A0B9">
            <w:pPr>
              <w:spacing w:line="500" w:lineRule="exact"/>
              <w:jc w:val="center"/>
              <w:rPr>
                <w:rFonts w:ascii="仿宋" w:hAnsi="仿宋" w:eastAsia="仿宋" w:cs="仿宋"/>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7C275CDE">
            <w:pPr>
              <w:spacing w:line="500" w:lineRule="exact"/>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00FCD53F">
            <w:pPr>
              <w:spacing w:line="500" w:lineRule="exact"/>
              <w:jc w:val="center"/>
              <w:rPr>
                <w:rFonts w:ascii="仿宋" w:hAnsi="仿宋" w:eastAsia="仿宋" w:cs="仿宋"/>
                <w:color w:val="auto"/>
                <w:szCs w:val="21"/>
                <w:highlight w:val="none"/>
              </w:rPr>
            </w:pPr>
          </w:p>
        </w:tc>
        <w:tc>
          <w:tcPr>
            <w:tcW w:w="868" w:type="dxa"/>
            <w:tcBorders>
              <w:top w:val="single" w:color="auto" w:sz="4" w:space="0"/>
              <w:left w:val="single" w:color="auto" w:sz="4" w:space="0"/>
              <w:bottom w:val="single" w:color="auto" w:sz="4" w:space="0"/>
              <w:right w:val="single" w:color="auto" w:sz="4" w:space="0"/>
            </w:tcBorders>
            <w:vAlign w:val="center"/>
          </w:tcPr>
          <w:p w14:paraId="71AE7C86">
            <w:pPr>
              <w:spacing w:line="500" w:lineRule="exact"/>
              <w:jc w:val="center"/>
              <w:rPr>
                <w:rFonts w:ascii="仿宋" w:hAnsi="仿宋" w:eastAsia="仿宋" w:cs="仿宋"/>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27281822">
            <w:pPr>
              <w:spacing w:line="500" w:lineRule="exact"/>
              <w:jc w:val="center"/>
              <w:rPr>
                <w:rFonts w:ascii="仿宋" w:hAnsi="仿宋" w:eastAsia="仿宋" w:cs="仿宋"/>
                <w:color w:val="auto"/>
                <w:szCs w:val="21"/>
                <w:highlight w:val="none"/>
              </w:rPr>
            </w:pPr>
          </w:p>
        </w:tc>
        <w:tc>
          <w:tcPr>
            <w:tcW w:w="1022" w:type="dxa"/>
            <w:tcBorders>
              <w:top w:val="single" w:color="auto" w:sz="4" w:space="0"/>
              <w:left w:val="single" w:color="auto" w:sz="4" w:space="0"/>
              <w:bottom w:val="single" w:color="auto" w:sz="4" w:space="0"/>
              <w:right w:val="single" w:color="auto" w:sz="4" w:space="0"/>
            </w:tcBorders>
            <w:vAlign w:val="center"/>
          </w:tcPr>
          <w:p w14:paraId="0BF21816">
            <w:pPr>
              <w:spacing w:line="500" w:lineRule="exact"/>
              <w:jc w:val="center"/>
              <w:rPr>
                <w:rFonts w:ascii="仿宋" w:hAnsi="仿宋" w:eastAsia="仿宋" w:cs="仿宋"/>
                <w:color w:val="auto"/>
                <w:szCs w:val="21"/>
                <w:highlight w:val="none"/>
              </w:rPr>
            </w:pPr>
          </w:p>
        </w:tc>
      </w:tr>
      <w:tr w14:paraId="271DE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165CB9C">
            <w:pPr>
              <w:spacing w:line="500" w:lineRule="exact"/>
              <w:jc w:val="center"/>
              <w:rPr>
                <w:rFonts w:ascii="仿宋" w:hAnsi="仿宋" w:eastAsia="仿宋" w:cs="仿宋"/>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vAlign w:val="center"/>
          </w:tcPr>
          <w:p w14:paraId="45FA225A">
            <w:pPr>
              <w:spacing w:line="500" w:lineRule="exact"/>
              <w:jc w:val="center"/>
              <w:rPr>
                <w:rFonts w:ascii="仿宋" w:hAnsi="仿宋" w:eastAsia="仿宋" w:cs="仿宋"/>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414552E3">
            <w:pPr>
              <w:spacing w:line="500" w:lineRule="exact"/>
              <w:jc w:val="center"/>
              <w:rPr>
                <w:rFonts w:ascii="仿宋" w:hAnsi="仿宋" w:eastAsia="仿宋" w:cs="仿宋"/>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1D8D5D8">
            <w:pPr>
              <w:spacing w:line="500" w:lineRule="exact"/>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044F4766">
            <w:pPr>
              <w:spacing w:line="500" w:lineRule="exact"/>
              <w:jc w:val="center"/>
              <w:rPr>
                <w:rFonts w:ascii="仿宋" w:hAnsi="仿宋" w:eastAsia="仿宋" w:cs="仿宋"/>
                <w:color w:val="auto"/>
                <w:szCs w:val="21"/>
                <w:highlight w:val="none"/>
              </w:rPr>
            </w:pPr>
          </w:p>
        </w:tc>
        <w:tc>
          <w:tcPr>
            <w:tcW w:w="868" w:type="dxa"/>
            <w:tcBorders>
              <w:top w:val="single" w:color="auto" w:sz="4" w:space="0"/>
              <w:left w:val="single" w:color="auto" w:sz="4" w:space="0"/>
              <w:bottom w:val="single" w:color="auto" w:sz="4" w:space="0"/>
              <w:right w:val="single" w:color="auto" w:sz="4" w:space="0"/>
            </w:tcBorders>
            <w:vAlign w:val="center"/>
          </w:tcPr>
          <w:p w14:paraId="39C5F0CF">
            <w:pPr>
              <w:spacing w:line="500" w:lineRule="exact"/>
              <w:jc w:val="center"/>
              <w:rPr>
                <w:rFonts w:ascii="仿宋" w:hAnsi="仿宋" w:eastAsia="仿宋" w:cs="仿宋"/>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0DA1ADFC">
            <w:pPr>
              <w:spacing w:line="500" w:lineRule="exact"/>
              <w:jc w:val="center"/>
              <w:rPr>
                <w:rFonts w:ascii="仿宋" w:hAnsi="仿宋" w:eastAsia="仿宋" w:cs="仿宋"/>
                <w:color w:val="auto"/>
                <w:szCs w:val="21"/>
                <w:highlight w:val="none"/>
              </w:rPr>
            </w:pPr>
          </w:p>
        </w:tc>
        <w:tc>
          <w:tcPr>
            <w:tcW w:w="1022" w:type="dxa"/>
            <w:tcBorders>
              <w:top w:val="single" w:color="auto" w:sz="4" w:space="0"/>
              <w:left w:val="single" w:color="auto" w:sz="4" w:space="0"/>
              <w:bottom w:val="single" w:color="auto" w:sz="4" w:space="0"/>
              <w:right w:val="single" w:color="auto" w:sz="4" w:space="0"/>
            </w:tcBorders>
            <w:vAlign w:val="center"/>
          </w:tcPr>
          <w:p w14:paraId="5203842F">
            <w:pPr>
              <w:spacing w:line="500" w:lineRule="exact"/>
              <w:jc w:val="center"/>
              <w:rPr>
                <w:rFonts w:ascii="仿宋" w:hAnsi="仿宋" w:eastAsia="仿宋" w:cs="仿宋"/>
                <w:color w:val="auto"/>
                <w:szCs w:val="21"/>
                <w:highlight w:val="none"/>
              </w:rPr>
            </w:pPr>
          </w:p>
        </w:tc>
      </w:tr>
      <w:tr w14:paraId="6ADA1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29A4C93">
            <w:pPr>
              <w:spacing w:line="500" w:lineRule="exact"/>
              <w:jc w:val="center"/>
              <w:rPr>
                <w:rFonts w:ascii="仿宋" w:hAnsi="仿宋" w:eastAsia="仿宋" w:cs="仿宋"/>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vAlign w:val="center"/>
          </w:tcPr>
          <w:p w14:paraId="0E67B3E8">
            <w:pPr>
              <w:spacing w:line="500" w:lineRule="exact"/>
              <w:jc w:val="center"/>
              <w:rPr>
                <w:rFonts w:ascii="仿宋" w:hAnsi="仿宋" w:eastAsia="仿宋" w:cs="仿宋"/>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4716D5FF">
            <w:pPr>
              <w:spacing w:line="500" w:lineRule="exact"/>
              <w:jc w:val="center"/>
              <w:rPr>
                <w:rFonts w:ascii="仿宋" w:hAnsi="仿宋" w:eastAsia="仿宋" w:cs="仿宋"/>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3371946C">
            <w:pPr>
              <w:spacing w:line="500" w:lineRule="exact"/>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7C11B7BE">
            <w:pPr>
              <w:spacing w:line="500" w:lineRule="exact"/>
              <w:jc w:val="center"/>
              <w:rPr>
                <w:rFonts w:ascii="仿宋" w:hAnsi="仿宋" w:eastAsia="仿宋" w:cs="仿宋"/>
                <w:color w:val="auto"/>
                <w:szCs w:val="21"/>
                <w:highlight w:val="none"/>
              </w:rPr>
            </w:pPr>
          </w:p>
        </w:tc>
        <w:tc>
          <w:tcPr>
            <w:tcW w:w="868" w:type="dxa"/>
            <w:tcBorders>
              <w:top w:val="single" w:color="auto" w:sz="4" w:space="0"/>
              <w:left w:val="single" w:color="auto" w:sz="4" w:space="0"/>
              <w:bottom w:val="single" w:color="auto" w:sz="4" w:space="0"/>
              <w:right w:val="single" w:color="auto" w:sz="4" w:space="0"/>
            </w:tcBorders>
            <w:vAlign w:val="center"/>
          </w:tcPr>
          <w:p w14:paraId="17C8FCF6">
            <w:pPr>
              <w:spacing w:line="500" w:lineRule="exact"/>
              <w:jc w:val="center"/>
              <w:rPr>
                <w:rFonts w:ascii="仿宋" w:hAnsi="仿宋" w:eastAsia="仿宋" w:cs="仿宋"/>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2E725990">
            <w:pPr>
              <w:spacing w:line="500" w:lineRule="exact"/>
              <w:jc w:val="center"/>
              <w:rPr>
                <w:rFonts w:ascii="仿宋" w:hAnsi="仿宋" w:eastAsia="仿宋" w:cs="仿宋"/>
                <w:color w:val="auto"/>
                <w:szCs w:val="21"/>
                <w:highlight w:val="none"/>
              </w:rPr>
            </w:pPr>
          </w:p>
        </w:tc>
        <w:tc>
          <w:tcPr>
            <w:tcW w:w="1022" w:type="dxa"/>
            <w:tcBorders>
              <w:top w:val="single" w:color="auto" w:sz="4" w:space="0"/>
              <w:left w:val="single" w:color="auto" w:sz="4" w:space="0"/>
              <w:bottom w:val="single" w:color="auto" w:sz="4" w:space="0"/>
              <w:right w:val="single" w:color="auto" w:sz="4" w:space="0"/>
            </w:tcBorders>
            <w:vAlign w:val="center"/>
          </w:tcPr>
          <w:p w14:paraId="29D2A836">
            <w:pPr>
              <w:spacing w:line="500" w:lineRule="exact"/>
              <w:jc w:val="center"/>
              <w:rPr>
                <w:rFonts w:ascii="仿宋" w:hAnsi="仿宋" w:eastAsia="仿宋" w:cs="仿宋"/>
                <w:color w:val="auto"/>
                <w:szCs w:val="21"/>
                <w:highlight w:val="none"/>
              </w:rPr>
            </w:pPr>
          </w:p>
        </w:tc>
      </w:tr>
      <w:tr w14:paraId="1B4DD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FBF8026">
            <w:pPr>
              <w:spacing w:line="500" w:lineRule="exact"/>
              <w:jc w:val="center"/>
              <w:rPr>
                <w:rFonts w:ascii="仿宋" w:hAnsi="仿宋" w:eastAsia="仿宋" w:cs="仿宋"/>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vAlign w:val="center"/>
          </w:tcPr>
          <w:p w14:paraId="6DA08DCA">
            <w:pPr>
              <w:spacing w:line="500" w:lineRule="exact"/>
              <w:jc w:val="center"/>
              <w:rPr>
                <w:rFonts w:ascii="仿宋" w:hAnsi="仿宋" w:eastAsia="仿宋" w:cs="仿宋"/>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46369E59">
            <w:pPr>
              <w:spacing w:line="500" w:lineRule="exact"/>
              <w:jc w:val="center"/>
              <w:rPr>
                <w:rFonts w:ascii="仿宋" w:hAnsi="仿宋" w:eastAsia="仿宋" w:cs="仿宋"/>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7DF72B26">
            <w:pPr>
              <w:spacing w:line="500" w:lineRule="exact"/>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33DF5C72">
            <w:pPr>
              <w:spacing w:line="500" w:lineRule="exact"/>
              <w:jc w:val="center"/>
              <w:rPr>
                <w:rFonts w:ascii="仿宋" w:hAnsi="仿宋" w:eastAsia="仿宋" w:cs="仿宋"/>
                <w:color w:val="auto"/>
                <w:szCs w:val="21"/>
                <w:highlight w:val="none"/>
              </w:rPr>
            </w:pPr>
          </w:p>
        </w:tc>
        <w:tc>
          <w:tcPr>
            <w:tcW w:w="868" w:type="dxa"/>
            <w:tcBorders>
              <w:top w:val="single" w:color="auto" w:sz="4" w:space="0"/>
              <w:left w:val="single" w:color="auto" w:sz="4" w:space="0"/>
              <w:bottom w:val="single" w:color="auto" w:sz="4" w:space="0"/>
              <w:right w:val="single" w:color="auto" w:sz="4" w:space="0"/>
            </w:tcBorders>
            <w:vAlign w:val="center"/>
          </w:tcPr>
          <w:p w14:paraId="1C575F59">
            <w:pPr>
              <w:spacing w:line="500" w:lineRule="exact"/>
              <w:jc w:val="center"/>
              <w:rPr>
                <w:rFonts w:ascii="仿宋" w:hAnsi="仿宋" w:eastAsia="仿宋" w:cs="仿宋"/>
                <w:color w:val="auto"/>
                <w:szCs w:val="21"/>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6828E850">
            <w:pPr>
              <w:spacing w:line="500" w:lineRule="exact"/>
              <w:jc w:val="center"/>
              <w:rPr>
                <w:rFonts w:ascii="仿宋" w:hAnsi="仿宋" w:eastAsia="仿宋" w:cs="仿宋"/>
                <w:color w:val="auto"/>
                <w:szCs w:val="21"/>
                <w:highlight w:val="none"/>
              </w:rPr>
            </w:pPr>
          </w:p>
        </w:tc>
        <w:tc>
          <w:tcPr>
            <w:tcW w:w="1022" w:type="dxa"/>
            <w:tcBorders>
              <w:top w:val="single" w:color="auto" w:sz="4" w:space="0"/>
              <w:left w:val="single" w:color="auto" w:sz="4" w:space="0"/>
              <w:bottom w:val="single" w:color="auto" w:sz="4" w:space="0"/>
              <w:right w:val="single" w:color="auto" w:sz="4" w:space="0"/>
            </w:tcBorders>
            <w:vAlign w:val="center"/>
          </w:tcPr>
          <w:p w14:paraId="46797627">
            <w:pPr>
              <w:spacing w:line="500" w:lineRule="exact"/>
              <w:jc w:val="center"/>
              <w:rPr>
                <w:rFonts w:ascii="仿宋" w:hAnsi="仿宋" w:eastAsia="仿宋" w:cs="仿宋"/>
                <w:color w:val="auto"/>
                <w:szCs w:val="21"/>
                <w:highlight w:val="none"/>
              </w:rPr>
            </w:pPr>
          </w:p>
        </w:tc>
      </w:tr>
      <w:tr w14:paraId="667DC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7651" w:type="dxa"/>
            <w:gridSpan w:val="7"/>
            <w:tcBorders>
              <w:top w:val="single" w:color="auto" w:sz="4" w:space="0"/>
              <w:left w:val="single" w:color="auto" w:sz="4" w:space="0"/>
              <w:bottom w:val="single" w:color="auto" w:sz="4" w:space="0"/>
              <w:right w:val="single" w:color="auto" w:sz="4" w:space="0"/>
            </w:tcBorders>
            <w:vAlign w:val="center"/>
          </w:tcPr>
          <w:p w14:paraId="5634292D">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总价：</w:t>
            </w:r>
          </w:p>
        </w:tc>
        <w:tc>
          <w:tcPr>
            <w:tcW w:w="1022" w:type="dxa"/>
            <w:tcBorders>
              <w:top w:val="single" w:color="auto" w:sz="4" w:space="0"/>
              <w:left w:val="single" w:color="auto" w:sz="4" w:space="0"/>
              <w:bottom w:val="single" w:color="auto" w:sz="4" w:space="0"/>
              <w:right w:val="single" w:color="auto" w:sz="4" w:space="0"/>
            </w:tcBorders>
            <w:vAlign w:val="center"/>
          </w:tcPr>
          <w:p w14:paraId="41FDE849">
            <w:pPr>
              <w:spacing w:line="500" w:lineRule="exact"/>
              <w:jc w:val="center"/>
              <w:rPr>
                <w:rFonts w:ascii="仿宋" w:hAnsi="仿宋" w:eastAsia="仿宋" w:cs="仿宋"/>
                <w:color w:val="auto"/>
                <w:szCs w:val="21"/>
                <w:highlight w:val="none"/>
              </w:rPr>
            </w:pPr>
          </w:p>
        </w:tc>
      </w:tr>
    </w:tbl>
    <w:p w14:paraId="428D6176">
      <w:pPr>
        <w:pStyle w:val="41"/>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54B80C01">
      <w:pPr>
        <w:pStyle w:val="41"/>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报价总计价格须与《</w:t>
      </w:r>
      <w:r>
        <w:rPr>
          <w:rFonts w:hint="eastAsia" w:ascii="仿宋" w:hAnsi="仿宋" w:eastAsia="仿宋" w:cs="仿宋"/>
          <w:color w:val="auto"/>
          <w:sz w:val="24"/>
          <w:szCs w:val="24"/>
          <w:highlight w:val="none"/>
          <w:lang w:eastAsia="zh-CN"/>
        </w:rPr>
        <w:t>投标一览表</w:t>
      </w:r>
      <w:r>
        <w:rPr>
          <w:rFonts w:hint="eastAsia" w:ascii="仿宋" w:hAnsi="仿宋" w:eastAsia="仿宋" w:cs="仿宋"/>
          <w:color w:val="auto"/>
          <w:sz w:val="24"/>
          <w:szCs w:val="24"/>
          <w:highlight w:val="none"/>
        </w:rPr>
        <w:t>》报价一致。</w:t>
      </w:r>
    </w:p>
    <w:p w14:paraId="0B89FB08">
      <w:pPr>
        <w:pStyle w:val="41"/>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“其</w:t>
      </w:r>
      <w:r>
        <w:rPr>
          <w:rFonts w:hint="eastAsia" w:ascii="仿宋" w:hAnsi="仿宋" w:eastAsia="仿宋" w:cs="仿宋"/>
          <w:color w:val="auto"/>
          <w:sz w:val="24"/>
          <w:szCs w:val="24"/>
          <w:highlight w:val="none"/>
        </w:rPr>
        <w:t>它”中填写，并作详细说明。</w:t>
      </w:r>
    </w:p>
    <w:p w14:paraId="63173FD3">
      <w:pPr>
        <w:pStyle w:val="41"/>
        <w:tabs>
          <w:tab w:val="left" w:pos="493"/>
        </w:tabs>
        <w:spacing w:line="317" w:lineRule="exact"/>
        <w:ind w:left="176"/>
        <w:rPr>
          <w:rFonts w:ascii="仿宋" w:hAnsi="仿宋" w:eastAsia="仿宋" w:cs="仿宋"/>
          <w:color w:val="auto"/>
          <w:sz w:val="20"/>
          <w:szCs w:val="20"/>
          <w:highlight w:val="none"/>
        </w:rPr>
      </w:pPr>
    </w:p>
    <w:p w14:paraId="3D311385">
      <w:pPr>
        <w:pStyle w:val="41"/>
        <w:tabs>
          <w:tab w:val="left" w:pos="493"/>
        </w:tabs>
        <w:spacing w:line="317" w:lineRule="exact"/>
        <w:ind w:left="176"/>
        <w:rPr>
          <w:rFonts w:ascii="仿宋" w:hAnsi="仿宋" w:eastAsia="仿宋" w:cs="仿宋"/>
          <w:color w:val="auto"/>
          <w:sz w:val="20"/>
          <w:szCs w:val="20"/>
          <w:highlight w:val="none"/>
        </w:rPr>
      </w:pPr>
    </w:p>
    <w:p w14:paraId="7AEC4E2A">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318F5BC1">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14549292">
      <w:pPr>
        <w:pStyle w:val="10"/>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571D6A0A">
      <w:pPr>
        <w:pStyle w:val="10"/>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731F8272">
      <w:pPr>
        <w:spacing w:line="360" w:lineRule="auto"/>
        <w:jc w:val="center"/>
        <w:rPr>
          <w:rFonts w:ascii="仿宋" w:hAnsi="仿宋" w:eastAsia="仿宋" w:cs="仿宋"/>
          <w:b/>
          <w:color w:val="auto"/>
          <w:sz w:val="36"/>
          <w:szCs w:val="36"/>
          <w:highlight w:val="none"/>
          <w:lang w:eastAsia="zh-CN"/>
        </w:rPr>
      </w:pPr>
    </w:p>
    <w:p w14:paraId="246FF13B">
      <w:pPr>
        <w:pStyle w:val="24"/>
        <w:rPr>
          <w:lang w:eastAsia="zh-CN"/>
        </w:rPr>
      </w:pPr>
    </w:p>
    <w:p w14:paraId="76889E4F">
      <w:pPr>
        <w:spacing w:line="360" w:lineRule="auto"/>
        <w:jc w:val="center"/>
        <w:rPr>
          <w:rFonts w:ascii="仿宋" w:hAnsi="仿宋" w:eastAsia="仿宋" w:cs="仿宋"/>
          <w:b/>
          <w:bCs/>
          <w:color w:val="auto"/>
          <w:sz w:val="32"/>
          <w:szCs w:val="32"/>
          <w:highlight w:val="none"/>
          <w:lang w:eastAsia="zh-CN"/>
        </w:rPr>
      </w:pPr>
      <w:r>
        <w:rPr>
          <w:rFonts w:hint="eastAsia" w:ascii="仿宋" w:hAnsi="仿宋" w:eastAsia="仿宋" w:cs="仿宋"/>
          <w:b/>
          <w:color w:val="auto"/>
          <w:sz w:val="36"/>
          <w:szCs w:val="36"/>
          <w:highlight w:val="none"/>
          <w:lang w:eastAsia="zh-CN"/>
        </w:rPr>
        <w:t>5、</w:t>
      </w:r>
      <w:r>
        <w:rPr>
          <w:rFonts w:hint="eastAsia" w:ascii="仿宋" w:hAnsi="仿宋" w:eastAsia="仿宋" w:cs="仿宋"/>
          <w:b/>
          <w:bCs/>
          <w:color w:val="auto"/>
          <w:sz w:val="32"/>
          <w:szCs w:val="32"/>
          <w:highlight w:val="none"/>
          <w:lang w:eastAsia="zh-CN"/>
        </w:rPr>
        <w:t>技术规格偏离表</w:t>
      </w:r>
    </w:p>
    <w:tbl>
      <w:tblPr>
        <w:tblStyle w:val="25"/>
        <w:tblpPr w:leftFromText="180" w:rightFromText="180" w:vertAnchor="text" w:horzAnchor="page" w:tblpX="2272" w:tblpY="894"/>
        <w:tblOverlap w:val="never"/>
        <w:tblW w:w="7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01392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vAlign w:val="center"/>
          </w:tcPr>
          <w:p w14:paraId="7E188355">
            <w:pPr>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357" w:type="dxa"/>
            <w:vAlign w:val="center"/>
          </w:tcPr>
          <w:p w14:paraId="75D9A1C9">
            <w:pPr>
              <w:jc w:val="center"/>
              <w:rPr>
                <w:rFonts w:ascii="仿宋" w:hAnsi="仿宋" w:eastAsia="仿宋" w:cs="仿宋"/>
                <w:bCs/>
                <w:color w:val="auto"/>
                <w:highlight w:val="none"/>
              </w:rPr>
            </w:pPr>
            <w:r>
              <w:rPr>
                <w:rFonts w:hint="eastAsia" w:ascii="仿宋" w:hAnsi="仿宋" w:eastAsia="仿宋" w:cs="仿宋"/>
                <w:bCs/>
                <w:color w:val="auto"/>
                <w:highlight w:val="none"/>
                <w:lang w:val="en-US" w:eastAsia="zh-CN"/>
              </w:rPr>
              <w:t>服务</w:t>
            </w:r>
            <w:r>
              <w:rPr>
                <w:rFonts w:hint="eastAsia" w:ascii="仿宋" w:hAnsi="仿宋" w:eastAsia="仿宋" w:cs="仿宋"/>
                <w:bCs/>
                <w:color w:val="auto"/>
                <w:highlight w:val="none"/>
              </w:rPr>
              <w:t>名称</w:t>
            </w:r>
          </w:p>
        </w:tc>
        <w:tc>
          <w:tcPr>
            <w:tcW w:w="1326" w:type="dxa"/>
            <w:vAlign w:val="center"/>
          </w:tcPr>
          <w:p w14:paraId="0688E7C7">
            <w:pPr>
              <w:jc w:val="center"/>
              <w:rPr>
                <w:rFonts w:ascii="仿宋" w:hAnsi="仿宋" w:eastAsia="仿宋" w:cs="仿宋"/>
                <w:bCs/>
                <w:color w:val="auto"/>
                <w:highlight w:val="none"/>
              </w:rPr>
            </w:pPr>
            <w:r>
              <w:rPr>
                <w:rFonts w:hint="eastAsia" w:ascii="仿宋" w:hAnsi="仿宋" w:eastAsia="仿宋" w:cs="仿宋"/>
                <w:bCs/>
                <w:color w:val="auto"/>
                <w:highlight w:val="none"/>
              </w:rPr>
              <w:t>招标规格</w:t>
            </w:r>
          </w:p>
        </w:tc>
        <w:tc>
          <w:tcPr>
            <w:tcW w:w="1326" w:type="dxa"/>
            <w:vAlign w:val="center"/>
          </w:tcPr>
          <w:p w14:paraId="3FC146B5">
            <w:pPr>
              <w:jc w:val="center"/>
              <w:rPr>
                <w:rFonts w:ascii="仿宋" w:hAnsi="仿宋" w:eastAsia="仿宋" w:cs="仿宋"/>
                <w:bCs/>
                <w:color w:val="auto"/>
                <w:highlight w:val="none"/>
              </w:rPr>
            </w:pPr>
            <w:r>
              <w:rPr>
                <w:rFonts w:hint="eastAsia" w:ascii="仿宋" w:hAnsi="仿宋" w:eastAsia="仿宋" w:cs="仿宋"/>
                <w:bCs/>
                <w:color w:val="auto"/>
                <w:highlight w:val="none"/>
              </w:rPr>
              <w:t>投标规格</w:t>
            </w:r>
          </w:p>
        </w:tc>
        <w:tc>
          <w:tcPr>
            <w:tcW w:w="1327" w:type="dxa"/>
            <w:vAlign w:val="center"/>
          </w:tcPr>
          <w:p w14:paraId="3A2C352C">
            <w:pPr>
              <w:jc w:val="center"/>
              <w:rPr>
                <w:rFonts w:ascii="仿宋" w:hAnsi="仿宋" w:eastAsia="仿宋" w:cs="仿宋"/>
                <w:bCs/>
                <w:color w:val="auto"/>
                <w:highlight w:val="none"/>
              </w:rPr>
            </w:pPr>
            <w:r>
              <w:rPr>
                <w:rFonts w:hint="eastAsia" w:ascii="仿宋" w:hAnsi="仿宋" w:eastAsia="仿宋" w:cs="仿宋"/>
                <w:bCs/>
                <w:color w:val="auto"/>
                <w:highlight w:val="none"/>
              </w:rPr>
              <w:t>偏离</w:t>
            </w:r>
          </w:p>
        </w:tc>
        <w:tc>
          <w:tcPr>
            <w:tcW w:w="1327" w:type="dxa"/>
            <w:vAlign w:val="center"/>
          </w:tcPr>
          <w:p w14:paraId="325E5749">
            <w:pPr>
              <w:jc w:val="center"/>
              <w:rPr>
                <w:rFonts w:ascii="仿宋" w:hAnsi="仿宋" w:eastAsia="仿宋" w:cs="仿宋"/>
                <w:bCs/>
                <w:color w:val="auto"/>
                <w:highlight w:val="none"/>
              </w:rPr>
            </w:pPr>
            <w:r>
              <w:rPr>
                <w:rFonts w:hint="eastAsia" w:ascii="仿宋" w:hAnsi="仿宋" w:eastAsia="仿宋" w:cs="仿宋"/>
                <w:bCs/>
                <w:color w:val="auto"/>
                <w:highlight w:val="none"/>
              </w:rPr>
              <w:t>说明</w:t>
            </w:r>
          </w:p>
        </w:tc>
      </w:tr>
      <w:tr w14:paraId="2E542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0A1C4C13">
            <w:pPr>
              <w:jc w:val="center"/>
              <w:rPr>
                <w:rFonts w:ascii="仿宋" w:hAnsi="仿宋" w:eastAsia="仿宋" w:cs="仿宋"/>
                <w:b/>
                <w:bCs/>
                <w:color w:val="auto"/>
                <w:highlight w:val="none"/>
              </w:rPr>
            </w:pPr>
          </w:p>
        </w:tc>
        <w:tc>
          <w:tcPr>
            <w:tcW w:w="1357" w:type="dxa"/>
          </w:tcPr>
          <w:p w14:paraId="301F7C3C">
            <w:pPr>
              <w:jc w:val="center"/>
              <w:rPr>
                <w:rFonts w:ascii="仿宋" w:hAnsi="仿宋" w:eastAsia="仿宋" w:cs="仿宋"/>
                <w:b/>
                <w:bCs/>
                <w:color w:val="auto"/>
                <w:highlight w:val="none"/>
              </w:rPr>
            </w:pPr>
          </w:p>
        </w:tc>
        <w:tc>
          <w:tcPr>
            <w:tcW w:w="1326" w:type="dxa"/>
          </w:tcPr>
          <w:p w14:paraId="0820E013">
            <w:pPr>
              <w:jc w:val="center"/>
              <w:rPr>
                <w:rFonts w:ascii="仿宋" w:hAnsi="仿宋" w:eastAsia="仿宋" w:cs="仿宋"/>
                <w:b/>
                <w:bCs/>
                <w:color w:val="auto"/>
                <w:highlight w:val="none"/>
              </w:rPr>
            </w:pPr>
          </w:p>
        </w:tc>
        <w:tc>
          <w:tcPr>
            <w:tcW w:w="1326" w:type="dxa"/>
          </w:tcPr>
          <w:p w14:paraId="3D90F9A9">
            <w:pPr>
              <w:jc w:val="center"/>
              <w:rPr>
                <w:rFonts w:ascii="仿宋" w:hAnsi="仿宋" w:eastAsia="仿宋" w:cs="仿宋"/>
                <w:b/>
                <w:bCs/>
                <w:color w:val="auto"/>
                <w:highlight w:val="none"/>
              </w:rPr>
            </w:pPr>
          </w:p>
        </w:tc>
        <w:tc>
          <w:tcPr>
            <w:tcW w:w="1327" w:type="dxa"/>
          </w:tcPr>
          <w:p w14:paraId="6E35B42B">
            <w:pPr>
              <w:jc w:val="center"/>
              <w:rPr>
                <w:rFonts w:ascii="仿宋" w:hAnsi="仿宋" w:eastAsia="仿宋" w:cs="仿宋"/>
                <w:b/>
                <w:bCs/>
                <w:color w:val="auto"/>
                <w:highlight w:val="none"/>
                <w:lang w:eastAsia="zh-CN"/>
              </w:rPr>
            </w:pPr>
          </w:p>
        </w:tc>
        <w:tc>
          <w:tcPr>
            <w:tcW w:w="1327" w:type="dxa"/>
          </w:tcPr>
          <w:p w14:paraId="7B51D3B4">
            <w:pPr>
              <w:jc w:val="center"/>
              <w:rPr>
                <w:rFonts w:ascii="仿宋" w:hAnsi="仿宋" w:eastAsia="仿宋" w:cs="仿宋"/>
                <w:b/>
                <w:bCs/>
                <w:color w:val="auto"/>
                <w:highlight w:val="none"/>
                <w:lang w:eastAsia="zh-CN"/>
              </w:rPr>
            </w:pPr>
          </w:p>
        </w:tc>
      </w:tr>
      <w:tr w14:paraId="0FF90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569BC314">
            <w:pPr>
              <w:jc w:val="center"/>
              <w:rPr>
                <w:rFonts w:ascii="仿宋" w:hAnsi="仿宋" w:eastAsia="仿宋" w:cs="仿宋"/>
                <w:b/>
                <w:bCs/>
                <w:color w:val="auto"/>
                <w:highlight w:val="none"/>
                <w:lang w:eastAsia="zh-CN"/>
              </w:rPr>
            </w:pPr>
          </w:p>
        </w:tc>
        <w:tc>
          <w:tcPr>
            <w:tcW w:w="1357" w:type="dxa"/>
          </w:tcPr>
          <w:p w14:paraId="580BEA59">
            <w:pPr>
              <w:jc w:val="center"/>
              <w:rPr>
                <w:rFonts w:ascii="仿宋" w:hAnsi="仿宋" w:eastAsia="仿宋" w:cs="仿宋"/>
                <w:b/>
                <w:bCs/>
                <w:color w:val="auto"/>
                <w:highlight w:val="none"/>
                <w:lang w:eastAsia="zh-CN"/>
              </w:rPr>
            </w:pPr>
          </w:p>
        </w:tc>
        <w:tc>
          <w:tcPr>
            <w:tcW w:w="1326" w:type="dxa"/>
          </w:tcPr>
          <w:p w14:paraId="5367F3F8">
            <w:pPr>
              <w:jc w:val="center"/>
              <w:rPr>
                <w:rFonts w:ascii="仿宋" w:hAnsi="仿宋" w:eastAsia="仿宋" w:cs="仿宋"/>
                <w:b/>
                <w:bCs/>
                <w:color w:val="auto"/>
                <w:highlight w:val="none"/>
                <w:lang w:eastAsia="zh-CN"/>
              </w:rPr>
            </w:pPr>
          </w:p>
        </w:tc>
        <w:tc>
          <w:tcPr>
            <w:tcW w:w="1326" w:type="dxa"/>
          </w:tcPr>
          <w:p w14:paraId="2D31B0E8">
            <w:pPr>
              <w:jc w:val="center"/>
              <w:rPr>
                <w:rFonts w:ascii="仿宋" w:hAnsi="仿宋" w:eastAsia="仿宋" w:cs="仿宋"/>
                <w:b/>
                <w:bCs/>
                <w:color w:val="auto"/>
                <w:highlight w:val="none"/>
                <w:lang w:eastAsia="zh-CN"/>
              </w:rPr>
            </w:pPr>
          </w:p>
        </w:tc>
        <w:tc>
          <w:tcPr>
            <w:tcW w:w="1327" w:type="dxa"/>
          </w:tcPr>
          <w:p w14:paraId="1A97A5DF">
            <w:pPr>
              <w:jc w:val="center"/>
              <w:rPr>
                <w:rFonts w:ascii="仿宋" w:hAnsi="仿宋" w:eastAsia="仿宋" w:cs="仿宋"/>
                <w:b/>
                <w:bCs/>
                <w:color w:val="auto"/>
                <w:highlight w:val="none"/>
                <w:lang w:eastAsia="zh-CN"/>
              </w:rPr>
            </w:pPr>
          </w:p>
        </w:tc>
        <w:tc>
          <w:tcPr>
            <w:tcW w:w="1327" w:type="dxa"/>
          </w:tcPr>
          <w:p w14:paraId="14C5B669">
            <w:pPr>
              <w:jc w:val="center"/>
              <w:rPr>
                <w:rFonts w:ascii="仿宋" w:hAnsi="仿宋" w:eastAsia="仿宋" w:cs="仿宋"/>
                <w:b/>
                <w:bCs/>
                <w:color w:val="auto"/>
                <w:highlight w:val="none"/>
                <w:lang w:eastAsia="zh-CN"/>
              </w:rPr>
            </w:pPr>
          </w:p>
        </w:tc>
      </w:tr>
      <w:tr w14:paraId="19A18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450DE326">
            <w:pPr>
              <w:jc w:val="center"/>
              <w:rPr>
                <w:rFonts w:ascii="仿宋" w:hAnsi="仿宋" w:eastAsia="仿宋" w:cs="仿宋"/>
                <w:b/>
                <w:bCs/>
                <w:color w:val="auto"/>
                <w:highlight w:val="none"/>
                <w:lang w:eastAsia="zh-CN"/>
              </w:rPr>
            </w:pPr>
          </w:p>
        </w:tc>
        <w:tc>
          <w:tcPr>
            <w:tcW w:w="1357" w:type="dxa"/>
          </w:tcPr>
          <w:p w14:paraId="721C1AC7">
            <w:pPr>
              <w:jc w:val="center"/>
              <w:rPr>
                <w:rFonts w:ascii="仿宋" w:hAnsi="仿宋" w:eastAsia="仿宋" w:cs="仿宋"/>
                <w:b/>
                <w:bCs/>
                <w:color w:val="auto"/>
                <w:highlight w:val="none"/>
                <w:lang w:eastAsia="zh-CN"/>
              </w:rPr>
            </w:pPr>
          </w:p>
        </w:tc>
        <w:tc>
          <w:tcPr>
            <w:tcW w:w="1326" w:type="dxa"/>
          </w:tcPr>
          <w:p w14:paraId="28BA0C6E">
            <w:pPr>
              <w:jc w:val="center"/>
              <w:rPr>
                <w:rFonts w:ascii="仿宋" w:hAnsi="仿宋" w:eastAsia="仿宋" w:cs="仿宋"/>
                <w:b/>
                <w:bCs/>
                <w:color w:val="auto"/>
                <w:highlight w:val="none"/>
                <w:lang w:eastAsia="zh-CN"/>
              </w:rPr>
            </w:pPr>
          </w:p>
        </w:tc>
        <w:tc>
          <w:tcPr>
            <w:tcW w:w="1326" w:type="dxa"/>
          </w:tcPr>
          <w:p w14:paraId="6D804A33">
            <w:pPr>
              <w:jc w:val="center"/>
              <w:rPr>
                <w:rFonts w:ascii="仿宋" w:hAnsi="仿宋" w:eastAsia="仿宋" w:cs="仿宋"/>
                <w:b/>
                <w:bCs/>
                <w:color w:val="auto"/>
                <w:highlight w:val="none"/>
                <w:lang w:eastAsia="zh-CN"/>
              </w:rPr>
            </w:pPr>
          </w:p>
        </w:tc>
        <w:tc>
          <w:tcPr>
            <w:tcW w:w="1327" w:type="dxa"/>
          </w:tcPr>
          <w:p w14:paraId="76C39354">
            <w:pPr>
              <w:jc w:val="center"/>
              <w:rPr>
                <w:rFonts w:ascii="仿宋" w:hAnsi="仿宋" w:eastAsia="仿宋" w:cs="仿宋"/>
                <w:b/>
                <w:bCs/>
                <w:color w:val="auto"/>
                <w:highlight w:val="none"/>
                <w:lang w:eastAsia="zh-CN"/>
              </w:rPr>
            </w:pPr>
          </w:p>
        </w:tc>
        <w:tc>
          <w:tcPr>
            <w:tcW w:w="1327" w:type="dxa"/>
          </w:tcPr>
          <w:p w14:paraId="3050357F">
            <w:pPr>
              <w:jc w:val="center"/>
              <w:rPr>
                <w:rFonts w:ascii="仿宋" w:hAnsi="仿宋" w:eastAsia="仿宋" w:cs="仿宋"/>
                <w:b/>
                <w:bCs/>
                <w:color w:val="auto"/>
                <w:highlight w:val="none"/>
                <w:lang w:eastAsia="zh-CN"/>
              </w:rPr>
            </w:pPr>
          </w:p>
        </w:tc>
      </w:tr>
      <w:tr w14:paraId="5F4DF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6BE4D132">
            <w:pPr>
              <w:jc w:val="center"/>
              <w:rPr>
                <w:rFonts w:ascii="仿宋" w:hAnsi="仿宋" w:eastAsia="仿宋" w:cs="仿宋"/>
                <w:b/>
                <w:bCs/>
                <w:color w:val="auto"/>
                <w:highlight w:val="none"/>
                <w:lang w:eastAsia="zh-CN"/>
              </w:rPr>
            </w:pPr>
          </w:p>
        </w:tc>
        <w:tc>
          <w:tcPr>
            <w:tcW w:w="1357" w:type="dxa"/>
          </w:tcPr>
          <w:p w14:paraId="17A6F092">
            <w:pPr>
              <w:jc w:val="center"/>
              <w:rPr>
                <w:rFonts w:ascii="仿宋" w:hAnsi="仿宋" w:eastAsia="仿宋" w:cs="仿宋"/>
                <w:b/>
                <w:bCs/>
                <w:color w:val="auto"/>
                <w:highlight w:val="none"/>
                <w:lang w:eastAsia="zh-CN"/>
              </w:rPr>
            </w:pPr>
          </w:p>
        </w:tc>
        <w:tc>
          <w:tcPr>
            <w:tcW w:w="1326" w:type="dxa"/>
          </w:tcPr>
          <w:p w14:paraId="4E7C7D1D">
            <w:pPr>
              <w:jc w:val="center"/>
              <w:rPr>
                <w:rFonts w:ascii="仿宋" w:hAnsi="仿宋" w:eastAsia="仿宋" w:cs="仿宋"/>
                <w:b/>
                <w:bCs/>
                <w:color w:val="auto"/>
                <w:highlight w:val="none"/>
                <w:lang w:eastAsia="zh-CN"/>
              </w:rPr>
            </w:pPr>
          </w:p>
        </w:tc>
        <w:tc>
          <w:tcPr>
            <w:tcW w:w="1326" w:type="dxa"/>
          </w:tcPr>
          <w:p w14:paraId="5EC97A71">
            <w:pPr>
              <w:jc w:val="center"/>
              <w:rPr>
                <w:rFonts w:ascii="仿宋" w:hAnsi="仿宋" w:eastAsia="仿宋" w:cs="仿宋"/>
                <w:b/>
                <w:bCs/>
                <w:color w:val="auto"/>
                <w:highlight w:val="none"/>
                <w:lang w:eastAsia="zh-CN"/>
              </w:rPr>
            </w:pPr>
          </w:p>
        </w:tc>
        <w:tc>
          <w:tcPr>
            <w:tcW w:w="1327" w:type="dxa"/>
          </w:tcPr>
          <w:p w14:paraId="03B1C133">
            <w:pPr>
              <w:jc w:val="center"/>
              <w:rPr>
                <w:rFonts w:ascii="仿宋" w:hAnsi="仿宋" w:eastAsia="仿宋" w:cs="仿宋"/>
                <w:b/>
                <w:bCs/>
                <w:color w:val="auto"/>
                <w:highlight w:val="none"/>
                <w:lang w:eastAsia="zh-CN"/>
              </w:rPr>
            </w:pPr>
          </w:p>
        </w:tc>
        <w:tc>
          <w:tcPr>
            <w:tcW w:w="1327" w:type="dxa"/>
          </w:tcPr>
          <w:p w14:paraId="1D377F44">
            <w:pPr>
              <w:jc w:val="center"/>
              <w:rPr>
                <w:rFonts w:ascii="仿宋" w:hAnsi="仿宋" w:eastAsia="仿宋" w:cs="仿宋"/>
                <w:b/>
                <w:bCs/>
                <w:color w:val="auto"/>
                <w:highlight w:val="none"/>
                <w:lang w:eastAsia="zh-CN"/>
              </w:rPr>
            </w:pPr>
          </w:p>
        </w:tc>
      </w:tr>
      <w:tr w14:paraId="7F048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7E348C43">
            <w:pPr>
              <w:jc w:val="center"/>
              <w:rPr>
                <w:rFonts w:ascii="仿宋" w:hAnsi="仿宋" w:eastAsia="仿宋" w:cs="仿宋"/>
                <w:b/>
                <w:bCs/>
                <w:color w:val="auto"/>
                <w:highlight w:val="none"/>
                <w:lang w:eastAsia="zh-CN"/>
              </w:rPr>
            </w:pPr>
          </w:p>
        </w:tc>
        <w:tc>
          <w:tcPr>
            <w:tcW w:w="1357" w:type="dxa"/>
          </w:tcPr>
          <w:p w14:paraId="46494FB3">
            <w:pPr>
              <w:jc w:val="center"/>
              <w:rPr>
                <w:rFonts w:ascii="仿宋" w:hAnsi="仿宋" w:eastAsia="仿宋" w:cs="仿宋"/>
                <w:b/>
                <w:bCs/>
                <w:color w:val="auto"/>
                <w:highlight w:val="none"/>
                <w:lang w:eastAsia="zh-CN"/>
              </w:rPr>
            </w:pPr>
          </w:p>
        </w:tc>
        <w:tc>
          <w:tcPr>
            <w:tcW w:w="1326" w:type="dxa"/>
          </w:tcPr>
          <w:p w14:paraId="0D8ACC0F">
            <w:pPr>
              <w:jc w:val="center"/>
              <w:rPr>
                <w:rFonts w:ascii="仿宋" w:hAnsi="仿宋" w:eastAsia="仿宋" w:cs="仿宋"/>
                <w:b/>
                <w:bCs/>
                <w:color w:val="auto"/>
                <w:highlight w:val="none"/>
                <w:lang w:eastAsia="zh-CN"/>
              </w:rPr>
            </w:pPr>
          </w:p>
        </w:tc>
        <w:tc>
          <w:tcPr>
            <w:tcW w:w="1326" w:type="dxa"/>
          </w:tcPr>
          <w:p w14:paraId="0F3C1199">
            <w:pPr>
              <w:jc w:val="center"/>
              <w:rPr>
                <w:rFonts w:ascii="仿宋" w:hAnsi="仿宋" w:eastAsia="仿宋" w:cs="仿宋"/>
                <w:b/>
                <w:bCs/>
                <w:color w:val="auto"/>
                <w:highlight w:val="none"/>
                <w:lang w:eastAsia="zh-CN"/>
              </w:rPr>
            </w:pPr>
          </w:p>
        </w:tc>
        <w:tc>
          <w:tcPr>
            <w:tcW w:w="1327" w:type="dxa"/>
          </w:tcPr>
          <w:p w14:paraId="557AD0C5">
            <w:pPr>
              <w:jc w:val="center"/>
              <w:rPr>
                <w:rFonts w:ascii="仿宋" w:hAnsi="仿宋" w:eastAsia="仿宋" w:cs="仿宋"/>
                <w:b/>
                <w:bCs/>
                <w:color w:val="auto"/>
                <w:highlight w:val="none"/>
                <w:lang w:eastAsia="zh-CN"/>
              </w:rPr>
            </w:pPr>
          </w:p>
        </w:tc>
        <w:tc>
          <w:tcPr>
            <w:tcW w:w="1327" w:type="dxa"/>
          </w:tcPr>
          <w:p w14:paraId="2EE0FD92">
            <w:pPr>
              <w:jc w:val="center"/>
              <w:rPr>
                <w:rFonts w:ascii="仿宋" w:hAnsi="仿宋" w:eastAsia="仿宋" w:cs="仿宋"/>
                <w:b/>
                <w:bCs/>
                <w:color w:val="auto"/>
                <w:highlight w:val="none"/>
                <w:lang w:eastAsia="zh-CN"/>
              </w:rPr>
            </w:pPr>
          </w:p>
        </w:tc>
      </w:tr>
    </w:tbl>
    <w:p w14:paraId="7613DDFD">
      <w:pPr>
        <w:spacing w:line="360" w:lineRule="auto"/>
        <w:ind w:firstLine="475" w:firstLineChars="198"/>
        <w:rPr>
          <w:rFonts w:hint="eastAsia" w:ascii="仿宋" w:hAnsi="仿宋" w:eastAsia="仿宋" w:cs="仿宋"/>
          <w:color w:val="auto"/>
          <w:highlight w:val="none"/>
          <w:lang w:eastAsia="zh-CN"/>
        </w:rPr>
      </w:pPr>
    </w:p>
    <w:p w14:paraId="0BC3967F">
      <w:pPr>
        <w:spacing w:line="360" w:lineRule="auto"/>
        <w:ind w:firstLine="475" w:firstLineChars="198"/>
        <w:rPr>
          <w:rFonts w:hint="eastAsia" w:ascii="仿宋" w:hAnsi="仿宋" w:eastAsia="仿宋" w:cs="仿宋"/>
          <w:color w:val="auto"/>
          <w:highlight w:val="none"/>
          <w:lang w:eastAsia="zh-CN"/>
        </w:rPr>
      </w:pPr>
    </w:p>
    <w:p w14:paraId="497BD570">
      <w:pPr>
        <w:spacing w:line="360" w:lineRule="auto"/>
        <w:ind w:firstLine="475" w:firstLineChars="198"/>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备注：供应商应根据其提供的货物，对照招标文件第四</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lang w:eastAsia="zh-CN"/>
        </w:rPr>
        <w:t>“ 技术规格、数量及质量要求”中的要求，有差异的，则在此表中列明实际响应的内容提要并加以说明，以便查对。本表包括所有的技术响应及差异。无差异说明表示完全响应。</w:t>
      </w:r>
    </w:p>
    <w:p w14:paraId="6ED07E95">
      <w:pPr>
        <w:pStyle w:val="13"/>
        <w:tabs>
          <w:tab w:val="left" w:pos="5580"/>
        </w:tabs>
        <w:spacing w:line="360" w:lineRule="auto"/>
        <w:ind w:firstLine="3120" w:firstLineChars="1300"/>
        <w:rPr>
          <w:rFonts w:ascii="仿宋" w:hAnsi="仿宋" w:eastAsia="仿宋" w:cs="仿宋"/>
          <w:color w:val="auto"/>
          <w:highlight w:val="none"/>
          <w:lang w:eastAsia="zh-CN"/>
        </w:rPr>
      </w:pPr>
    </w:p>
    <w:p w14:paraId="3223F965">
      <w:pPr>
        <w:pStyle w:val="13"/>
        <w:tabs>
          <w:tab w:val="left" w:pos="5580"/>
        </w:tabs>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供应商（盖章）：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B684712">
      <w:pPr>
        <w:pStyle w:val="13"/>
        <w:tabs>
          <w:tab w:val="left" w:pos="5580"/>
        </w:tabs>
        <w:spacing w:line="360" w:lineRule="auto"/>
        <w:ind w:firstLine="3120" w:firstLineChars="1300"/>
        <w:rPr>
          <w:rFonts w:ascii="仿宋" w:hAnsi="仿宋" w:eastAsia="仿宋" w:cs="仿宋"/>
          <w:color w:val="auto"/>
          <w:szCs w:val="24"/>
          <w:highlight w:val="none"/>
          <w:u w:val="single"/>
          <w:lang w:eastAsia="zh-CN"/>
        </w:rPr>
      </w:pPr>
      <w:r>
        <w:rPr>
          <w:rFonts w:hint="eastAsia" w:ascii="仿宋" w:hAnsi="仿宋" w:eastAsia="仿宋" w:cs="仿宋"/>
          <w:color w:val="auto"/>
          <w:highlight w:val="none"/>
          <w:lang w:eastAsia="zh-CN"/>
        </w:rPr>
        <w:t>法定代表人或</w:t>
      </w:r>
      <w:r>
        <w:rPr>
          <w:rFonts w:hint="eastAsia" w:ascii="仿宋" w:hAnsi="仿宋" w:eastAsia="仿宋" w:cs="仿宋"/>
          <w:color w:val="auto"/>
          <w:szCs w:val="24"/>
          <w:highlight w:val="none"/>
          <w:lang w:eastAsia="zh-CN"/>
        </w:rPr>
        <w:t>委托代理人</w:t>
      </w:r>
      <w:r>
        <w:rPr>
          <w:rFonts w:hint="eastAsia" w:ascii="仿宋" w:hAnsi="仿宋" w:eastAsia="仿宋" w:cs="仿宋"/>
          <w:color w:val="auto"/>
          <w:highlight w:val="none"/>
          <w:lang w:eastAsia="zh-CN"/>
        </w:rPr>
        <w:t>（签章）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 xml:space="preserve">             </w:t>
      </w:r>
    </w:p>
    <w:p w14:paraId="5D7E8EB4">
      <w:pPr>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日期：       年   月   日</w:t>
      </w:r>
    </w:p>
    <w:p w14:paraId="3A878F66">
      <w:pPr>
        <w:pStyle w:val="4"/>
        <w:rPr>
          <w:rFonts w:ascii="仿宋" w:hAnsi="仿宋" w:eastAsia="仿宋" w:cs="仿宋"/>
          <w:color w:val="auto"/>
          <w:sz w:val="36"/>
          <w:szCs w:val="36"/>
          <w:highlight w:val="none"/>
          <w:lang w:eastAsia="zh-CN"/>
        </w:rPr>
      </w:pPr>
    </w:p>
    <w:p w14:paraId="7EF01F43">
      <w:pPr>
        <w:rPr>
          <w:rFonts w:ascii="仿宋" w:hAnsi="仿宋" w:eastAsia="仿宋" w:cs="仿宋"/>
          <w:color w:val="auto"/>
          <w:highlight w:val="none"/>
          <w:lang w:eastAsia="zh-CN"/>
        </w:rPr>
      </w:pPr>
    </w:p>
    <w:p w14:paraId="5757ECA9">
      <w:pPr>
        <w:pStyle w:val="38"/>
        <w:spacing w:after="0"/>
        <w:ind w:firstLine="420"/>
        <w:jc w:val="center"/>
        <w:rPr>
          <w:rFonts w:ascii="仿宋" w:hAnsi="仿宋" w:eastAsia="仿宋" w:cs="仿宋"/>
          <w:color w:val="auto"/>
          <w:sz w:val="36"/>
          <w:szCs w:val="36"/>
          <w:highlight w:val="none"/>
          <w:lang w:eastAsia="zh-CN"/>
        </w:rPr>
      </w:pPr>
    </w:p>
    <w:p w14:paraId="23CEF138">
      <w:pPr>
        <w:pStyle w:val="38"/>
        <w:spacing w:after="0"/>
        <w:ind w:firstLine="420"/>
        <w:jc w:val="center"/>
        <w:rPr>
          <w:rFonts w:ascii="仿宋" w:hAnsi="仿宋" w:eastAsia="仿宋" w:cs="仿宋"/>
          <w:color w:val="auto"/>
          <w:sz w:val="36"/>
          <w:szCs w:val="36"/>
          <w:highlight w:val="none"/>
          <w:lang w:eastAsia="zh-CN"/>
        </w:rPr>
      </w:pPr>
    </w:p>
    <w:p w14:paraId="75730955">
      <w:pPr>
        <w:pStyle w:val="38"/>
        <w:spacing w:after="0"/>
        <w:ind w:firstLine="420"/>
        <w:jc w:val="center"/>
        <w:rPr>
          <w:rFonts w:ascii="仿宋" w:hAnsi="仿宋" w:eastAsia="仿宋" w:cs="仿宋"/>
          <w:color w:val="auto"/>
          <w:sz w:val="36"/>
          <w:szCs w:val="36"/>
          <w:highlight w:val="none"/>
          <w:lang w:eastAsia="zh-CN"/>
        </w:rPr>
      </w:pPr>
    </w:p>
    <w:p w14:paraId="766624BD">
      <w:pPr>
        <w:jc w:val="both"/>
        <w:rPr>
          <w:rFonts w:hint="eastAsia" w:ascii="仿宋" w:hAnsi="仿宋" w:eastAsia="仿宋" w:cs="仿宋"/>
          <w:b/>
          <w:bCs/>
          <w:color w:val="auto"/>
          <w:sz w:val="30"/>
          <w:szCs w:val="30"/>
          <w:highlight w:val="none"/>
          <w:lang w:eastAsia="zh-CN"/>
        </w:rPr>
      </w:pPr>
    </w:p>
    <w:p w14:paraId="5D4DA011">
      <w:pPr>
        <w:jc w:val="both"/>
        <w:rPr>
          <w:rFonts w:hint="eastAsia" w:ascii="仿宋" w:hAnsi="仿宋" w:eastAsia="仿宋" w:cs="仿宋"/>
          <w:b/>
          <w:bCs/>
          <w:color w:val="auto"/>
          <w:sz w:val="30"/>
          <w:szCs w:val="30"/>
          <w:highlight w:val="none"/>
          <w:lang w:eastAsia="zh-CN"/>
        </w:rPr>
      </w:pPr>
    </w:p>
    <w:p w14:paraId="4D43A56A">
      <w:pPr>
        <w:jc w:val="center"/>
        <w:rPr>
          <w:rFonts w:hint="eastAsia" w:ascii="仿宋" w:hAnsi="仿宋" w:eastAsia="仿宋" w:cs="仿宋"/>
          <w:b/>
          <w:bCs/>
          <w:color w:val="auto"/>
          <w:sz w:val="30"/>
          <w:szCs w:val="30"/>
          <w:highlight w:val="none"/>
          <w:lang w:eastAsia="zh-CN"/>
        </w:rPr>
      </w:pPr>
    </w:p>
    <w:p w14:paraId="3700E379">
      <w:pPr>
        <w:jc w:val="center"/>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6、商务条款偏离表</w:t>
      </w:r>
    </w:p>
    <w:p w14:paraId="4A01F6F3">
      <w:pPr>
        <w:rPr>
          <w:rFonts w:hint="eastAsia" w:ascii="仿宋" w:hAnsi="仿宋" w:eastAsia="仿宋" w:cs="仿宋"/>
          <w:color w:val="auto"/>
          <w:spacing w:val="-1"/>
          <w:highlight w:val="none"/>
          <w:lang w:eastAsia="zh-CN"/>
        </w:rPr>
      </w:pPr>
    </w:p>
    <w:tbl>
      <w:tblPr>
        <w:tblStyle w:val="25"/>
        <w:tblpPr w:leftFromText="180" w:rightFromText="180" w:vertAnchor="text" w:horzAnchor="page" w:tblpX="2377" w:tblpY="78"/>
        <w:tblOverlap w:val="never"/>
        <w:tblW w:w="7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477"/>
        <w:gridCol w:w="2454"/>
        <w:gridCol w:w="1686"/>
      </w:tblGrid>
      <w:tr w14:paraId="738C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4523C10C">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477" w:type="dxa"/>
            <w:vAlign w:val="center"/>
          </w:tcPr>
          <w:p w14:paraId="31CF1B33">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招标文件的商务条款</w:t>
            </w:r>
          </w:p>
        </w:tc>
        <w:tc>
          <w:tcPr>
            <w:tcW w:w="2454" w:type="dxa"/>
            <w:vAlign w:val="center"/>
          </w:tcPr>
          <w:p w14:paraId="1F5650D3">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投标文件的商务条款</w:t>
            </w:r>
          </w:p>
        </w:tc>
        <w:tc>
          <w:tcPr>
            <w:tcW w:w="1686" w:type="dxa"/>
            <w:vAlign w:val="center"/>
          </w:tcPr>
          <w:p w14:paraId="29E3DC4A">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说明</w:t>
            </w:r>
          </w:p>
        </w:tc>
      </w:tr>
      <w:tr w14:paraId="6648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0848A0DE">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477" w:type="dxa"/>
            <w:vAlign w:val="center"/>
          </w:tcPr>
          <w:p w14:paraId="5C1670D2">
            <w:pPr>
              <w:jc w:val="center"/>
              <w:rPr>
                <w:rFonts w:ascii="仿宋" w:hAnsi="仿宋" w:eastAsia="仿宋" w:cs="仿宋"/>
                <w:color w:val="auto"/>
                <w:spacing w:val="-1"/>
                <w:highlight w:val="none"/>
              </w:rPr>
            </w:pPr>
          </w:p>
        </w:tc>
        <w:tc>
          <w:tcPr>
            <w:tcW w:w="2454" w:type="dxa"/>
            <w:vAlign w:val="center"/>
          </w:tcPr>
          <w:p w14:paraId="55D24B05">
            <w:pPr>
              <w:jc w:val="center"/>
              <w:rPr>
                <w:rFonts w:ascii="仿宋" w:hAnsi="仿宋" w:eastAsia="仿宋" w:cs="仿宋"/>
                <w:color w:val="auto"/>
                <w:spacing w:val="-1"/>
                <w:highlight w:val="none"/>
              </w:rPr>
            </w:pPr>
          </w:p>
        </w:tc>
        <w:tc>
          <w:tcPr>
            <w:tcW w:w="1686" w:type="dxa"/>
            <w:vAlign w:val="center"/>
          </w:tcPr>
          <w:p w14:paraId="4326588E">
            <w:pPr>
              <w:jc w:val="center"/>
              <w:rPr>
                <w:rFonts w:ascii="仿宋" w:hAnsi="仿宋" w:eastAsia="仿宋" w:cs="仿宋"/>
                <w:color w:val="auto"/>
                <w:spacing w:val="-1"/>
                <w:highlight w:val="none"/>
              </w:rPr>
            </w:pPr>
          </w:p>
        </w:tc>
      </w:tr>
      <w:tr w14:paraId="41AC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5612CFB4">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477" w:type="dxa"/>
            <w:vAlign w:val="center"/>
          </w:tcPr>
          <w:p w14:paraId="19FD3F28">
            <w:pPr>
              <w:jc w:val="center"/>
              <w:rPr>
                <w:rFonts w:ascii="仿宋" w:hAnsi="仿宋" w:eastAsia="仿宋" w:cs="仿宋"/>
                <w:color w:val="auto"/>
                <w:spacing w:val="-1"/>
                <w:highlight w:val="none"/>
              </w:rPr>
            </w:pPr>
          </w:p>
        </w:tc>
        <w:tc>
          <w:tcPr>
            <w:tcW w:w="2454" w:type="dxa"/>
            <w:vAlign w:val="center"/>
          </w:tcPr>
          <w:p w14:paraId="28F64E87">
            <w:pPr>
              <w:jc w:val="center"/>
              <w:rPr>
                <w:rFonts w:ascii="仿宋" w:hAnsi="仿宋" w:eastAsia="仿宋" w:cs="仿宋"/>
                <w:color w:val="auto"/>
                <w:spacing w:val="-1"/>
                <w:highlight w:val="none"/>
              </w:rPr>
            </w:pPr>
          </w:p>
        </w:tc>
        <w:tc>
          <w:tcPr>
            <w:tcW w:w="1686" w:type="dxa"/>
            <w:vAlign w:val="center"/>
          </w:tcPr>
          <w:p w14:paraId="26BA10D2">
            <w:pPr>
              <w:jc w:val="center"/>
              <w:rPr>
                <w:rFonts w:ascii="仿宋" w:hAnsi="仿宋" w:eastAsia="仿宋" w:cs="仿宋"/>
                <w:color w:val="auto"/>
                <w:spacing w:val="-1"/>
                <w:highlight w:val="none"/>
              </w:rPr>
            </w:pPr>
          </w:p>
        </w:tc>
      </w:tr>
      <w:tr w14:paraId="7EBF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3614E554">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477" w:type="dxa"/>
            <w:vAlign w:val="center"/>
          </w:tcPr>
          <w:p w14:paraId="5206298B">
            <w:pPr>
              <w:jc w:val="center"/>
              <w:rPr>
                <w:rFonts w:ascii="仿宋" w:hAnsi="仿宋" w:eastAsia="仿宋" w:cs="仿宋"/>
                <w:color w:val="auto"/>
                <w:spacing w:val="-1"/>
                <w:highlight w:val="none"/>
              </w:rPr>
            </w:pPr>
          </w:p>
        </w:tc>
        <w:tc>
          <w:tcPr>
            <w:tcW w:w="2454" w:type="dxa"/>
            <w:vAlign w:val="center"/>
          </w:tcPr>
          <w:p w14:paraId="54D9FA45">
            <w:pPr>
              <w:jc w:val="center"/>
              <w:rPr>
                <w:rFonts w:ascii="仿宋" w:hAnsi="仿宋" w:eastAsia="仿宋" w:cs="仿宋"/>
                <w:color w:val="auto"/>
                <w:spacing w:val="-1"/>
                <w:highlight w:val="none"/>
              </w:rPr>
            </w:pPr>
          </w:p>
        </w:tc>
        <w:tc>
          <w:tcPr>
            <w:tcW w:w="1686" w:type="dxa"/>
            <w:vAlign w:val="center"/>
          </w:tcPr>
          <w:p w14:paraId="7BD66F5C">
            <w:pPr>
              <w:jc w:val="center"/>
              <w:rPr>
                <w:rFonts w:ascii="仿宋" w:hAnsi="仿宋" w:eastAsia="仿宋" w:cs="仿宋"/>
                <w:color w:val="auto"/>
                <w:spacing w:val="-1"/>
                <w:highlight w:val="none"/>
              </w:rPr>
            </w:pPr>
          </w:p>
        </w:tc>
      </w:tr>
      <w:tr w14:paraId="340E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4C0374C0">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477" w:type="dxa"/>
            <w:vAlign w:val="center"/>
          </w:tcPr>
          <w:p w14:paraId="4BB07F87">
            <w:pPr>
              <w:jc w:val="center"/>
              <w:rPr>
                <w:rFonts w:ascii="仿宋" w:hAnsi="仿宋" w:eastAsia="仿宋" w:cs="仿宋"/>
                <w:color w:val="auto"/>
                <w:spacing w:val="-1"/>
                <w:highlight w:val="none"/>
              </w:rPr>
            </w:pPr>
          </w:p>
        </w:tc>
        <w:tc>
          <w:tcPr>
            <w:tcW w:w="2454" w:type="dxa"/>
            <w:vAlign w:val="center"/>
          </w:tcPr>
          <w:p w14:paraId="59A71AC5">
            <w:pPr>
              <w:jc w:val="center"/>
              <w:rPr>
                <w:rFonts w:ascii="仿宋" w:hAnsi="仿宋" w:eastAsia="仿宋" w:cs="仿宋"/>
                <w:color w:val="auto"/>
                <w:spacing w:val="-1"/>
                <w:highlight w:val="none"/>
              </w:rPr>
            </w:pPr>
          </w:p>
        </w:tc>
        <w:tc>
          <w:tcPr>
            <w:tcW w:w="1686" w:type="dxa"/>
            <w:vAlign w:val="center"/>
          </w:tcPr>
          <w:p w14:paraId="519A80C2">
            <w:pPr>
              <w:jc w:val="center"/>
              <w:rPr>
                <w:rFonts w:ascii="仿宋" w:hAnsi="仿宋" w:eastAsia="仿宋" w:cs="仿宋"/>
                <w:color w:val="auto"/>
                <w:spacing w:val="-1"/>
                <w:highlight w:val="none"/>
              </w:rPr>
            </w:pPr>
          </w:p>
        </w:tc>
      </w:tr>
      <w:tr w14:paraId="47E9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7BDA52CB">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477" w:type="dxa"/>
            <w:vAlign w:val="center"/>
          </w:tcPr>
          <w:p w14:paraId="6B72825D">
            <w:pPr>
              <w:jc w:val="center"/>
              <w:rPr>
                <w:rFonts w:ascii="仿宋" w:hAnsi="仿宋" w:eastAsia="仿宋" w:cs="仿宋"/>
                <w:color w:val="auto"/>
                <w:spacing w:val="-1"/>
                <w:highlight w:val="none"/>
              </w:rPr>
            </w:pPr>
          </w:p>
        </w:tc>
        <w:tc>
          <w:tcPr>
            <w:tcW w:w="2454" w:type="dxa"/>
            <w:vAlign w:val="center"/>
          </w:tcPr>
          <w:p w14:paraId="7BF45C97">
            <w:pPr>
              <w:jc w:val="center"/>
              <w:rPr>
                <w:rFonts w:ascii="仿宋" w:hAnsi="仿宋" w:eastAsia="仿宋" w:cs="仿宋"/>
                <w:color w:val="auto"/>
                <w:spacing w:val="-1"/>
                <w:highlight w:val="none"/>
              </w:rPr>
            </w:pPr>
          </w:p>
        </w:tc>
        <w:tc>
          <w:tcPr>
            <w:tcW w:w="1686" w:type="dxa"/>
            <w:vAlign w:val="center"/>
          </w:tcPr>
          <w:p w14:paraId="5B7D0ACB">
            <w:pPr>
              <w:jc w:val="center"/>
              <w:rPr>
                <w:rFonts w:ascii="仿宋" w:hAnsi="仿宋" w:eastAsia="仿宋" w:cs="仿宋"/>
                <w:color w:val="auto"/>
                <w:spacing w:val="-1"/>
                <w:highlight w:val="none"/>
              </w:rPr>
            </w:pPr>
          </w:p>
        </w:tc>
      </w:tr>
      <w:tr w14:paraId="2419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02C2873D">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477" w:type="dxa"/>
            <w:vAlign w:val="center"/>
          </w:tcPr>
          <w:p w14:paraId="61B8BBCC">
            <w:pPr>
              <w:jc w:val="center"/>
              <w:rPr>
                <w:rFonts w:ascii="仿宋" w:hAnsi="仿宋" w:eastAsia="仿宋" w:cs="仿宋"/>
                <w:color w:val="auto"/>
                <w:spacing w:val="-1"/>
                <w:highlight w:val="none"/>
              </w:rPr>
            </w:pPr>
          </w:p>
        </w:tc>
        <w:tc>
          <w:tcPr>
            <w:tcW w:w="2454" w:type="dxa"/>
            <w:vAlign w:val="center"/>
          </w:tcPr>
          <w:p w14:paraId="350D85B5">
            <w:pPr>
              <w:jc w:val="center"/>
              <w:rPr>
                <w:rFonts w:ascii="仿宋" w:hAnsi="仿宋" w:eastAsia="仿宋" w:cs="仿宋"/>
                <w:color w:val="auto"/>
                <w:spacing w:val="-1"/>
                <w:highlight w:val="none"/>
              </w:rPr>
            </w:pPr>
          </w:p>
        </w:tc>
        <w:tc>
          <w:tcPr>
            <w:tcW w:w="1686" w:type="dxa"/>
            <w:vAlign w:val="center"/>
          </w:tcPr>
          <w:p w14:paraId="62463DCC">
            <w:pPr>
              <w:jc w:val="center"/>
              <w:rPr>
                <w:rFonts w:ascii="仿宋" w:hAnsi="仿宋" w:eastAsia="仿宋" w:cs="仿宋"/>
                <w:color w:val="auto"/>
                <w:spacing w:val="-1"/>
                <w:highlight w:val="none"/>
              </w:rPr>
            </w:pPr>
          </w:p>
        </w:tc>
      </w:tr>
      <w:tr w14:paraId="19B0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1E076650">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477" w:type="dxa"/>
            <w:vAlign w:val="center"/>
          </w:tcPr>
          <w:p w14:paraId="06CFE853">
            <w:pPr>
              <w:jc w:val="center"/>
              <w:rPr>
                <w:rFonts w:ascii="仿宋" w:hAnsi="仿宋" w:eastAsia="仿宋" w:cs="仿宋"/>
                <w:color w:val="auto"/>
                <w:spacing w:val="-1"/>
                <w:highlight w:val="none"/>
              </w:rPr>
            </w:pPr>
          </w:p>
        </w:tc>
        <w:tc>
          <w:tcPr>
            <w:tcW w:w="2454" w:type="dxa"/>
            <w:vAlign w:val="center"/>
          </w:tcPr>
          <w:p w14:paraId="0CA12498">
            <w:pPr>
              <w:jc w:val="center"/>
              <w:rPr>
                <w:rFonts w:ascii="仿宋" w:hAnsi="仿宋" w:eastAsia="仿宋" w:cs="仿宋"/>
                <w:color w:val="auto"/>
                <w:spacing w:val="-1"/>
                <w:highlight w:val="none"/>
              </w:rPr>
            </w:pPr>
          </w:p>
        </w:tc>
        <w:tc>
          <w:tcPr>
            <w:tcW w:w="1686" w:type="dxa"/>
            <w:vAlign w:val="center"/>
          </w:tcPr>
          <w:p w14:paraId="250401A6">
            <w:pPr>
              <w:jc w:val="center"/>
              <w:rPr>
                <w:rFonts w:ascii="仿宋" w:hAnsi="仿宋" w:eastAsia="仿宋" w:cs="仿宋"/>
                <w:color w:val="auto"/>
                <w:spacing w:val="-1"/>
                <w:highlight w:val="none"/>
              </w:rPr>
            </w:pPr>
          </w:p>
        </w:tc>
      </w:tr>
      <w:tr w14:paraId="7CD3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6BDFB5D7">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477" w:type="dxa"/>
            <w:vAlign w:val="center"/>
          </w:tcPr>
          <w:p w14:paraId="2E58BCA4">
            <w:pPr>
              <w:jc w:val="center"/>
              <w:rPr>
                <w:rFonts w:ascii="仿宋" w:hAnsi="仿宋" w:eastAsia="仿宋" w:cs="仿宋"/>
                <w:color w:val="auto"/>
                <w:spacing w:val="-1"/>
                <w:highlight w:val="none"/>
              </w:rPr>
            </w:pPr>
          </w:p>
        </w:tc>
        <w:tc>
          <w:tcPr>
            <w:tcW w:w="2454" w:type="dxa"/>
            <w:vAlign w:val="center"/>
          </w:tcPr>
          <w:p w14:paraId="3B13A0EB">
            <w:pPr>
              <w:jc w:val="center"/>
              <w:rPr>
                <w:rFonts w:ascii="仿宋" w:hAnsi="仿宋" w:eastAsia="仿宋" w:cs="仿宋"/>
                <w:color w:val="auto"/>
                <w:spacing w:val="-1"/>
                <w:highlight w:val="none"/>
              </w:rPr>
            </w:pPr>
          </w:p>
        </w:tc>
        <w:tc>
          <w:tcPr>
            <w:tcW w:w="1686" w:type="dxa"/>
            <w:vAlign w:val="center"/>
          </w:tcPr>
          <w:p w14:paraId="39DE2CEF">
            <w:pPr>
              <w:jc w:val="center"/>
              <w:rPr>
                <w:rFonts w:ascii="仿宋" w:hAnsi="仿宋" w:eastAsia="仿宋" w:cs="仿宋"/>
                <w:color w:val="auto"/>
                <w:spacing w:val="-1"/>
                <w:highlight w:val="none"/>
              </w:rPr>
            </w:pPr>
          </w:p>
        </w:tc>
      </w:tr>
      <w:tr w14:paraId="6F2B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39CA970B">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477" w:type="dxa"/>
            <w:vAlign w:val="center"/>
          </w:tcPr>
          <w:p w14:paraId="19955366">
            <w:pPr>
              <w:jc w:val="center"/>
              <w:rPr>
                <w:rFonts w:ascii="仿宋" w:hAnsi="仿宋" w:eastAsia="仿宋" w:cs="仿宋"/>
                <w:color w:val="auto"/>
                <w:spacing w:val="-1"/>
                <w:highlight w:val="none"/>
              </w:rPr>
            </w:pPr>
          </w:p>
        </w:tc>
        <w:tc>
          <w:tcPr>
            <w:tcW w:w="2454" w:type="dxa"/>
            <w:vAlign w:val="center"/>
          </w:tcPr>
          <w:p w14:paraId="7ECE8F31">
            <w:pPr>
              <w:jc w:val="center"/>
              <w:rPr>
                <w:rFonts w:ascii="仿宋" w:hAnsi="仿宋" w:eastAsia="仿宋" w:cs="仿宋"/>
                <w:color w:val="auto"/>
                <w:spacing w:val="-1"/>
                <w:highlight w:val="none"/>
              </w:rPr>
            </w:pPr>
          </w:p>
        </w:tc>
        <w:tc>
          <w:tcPr>
            <w:tcW w:w="1686" w:type="dxa"/>
            <w:vAlign w:val="center"/>
          </w:tcPr>
          <w:p w14:paraId="259C3FF0">
            <w:pPr>
              <w:jc w:val="center"/>
              <w:rPr>
                <w:rFonts w:ascii="仿宋" w:hAnsi="仿宋" w:eastAsia="仿宋" w:cs="仿宋"/>
                <w:color w:val="auto"/>
                <w:spacing w:val="-1"/>
                <w:highlight w:val="none"/>
              </w:rPr>
            </w:pPr>
          </w:p>
        </w:tc>
      </w:tr>
      <w:tr w14:paraId="6DD2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48B3E0EF">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477" w:type="dxa"/>
            <w:vAlign w:val="center"/>
          </w:tcPr>
          <w:p w14:paraId="40D3C9A0">
            <w:pPr>
              <w:jc w:val="center"/>
              <w:rPr>
                <w:rFonts w:ascii="仿宋" w:hAnsi="仿宋" w:eastAsia="仿宋" w:cs="仿宋"/>
                <w:color w:val="auto"/>
                <w:spacing w:val="-1"/>
                <w:highlight w:val="none"/>
              </w:rPr>
            </w:pPr>
          </w:p>
        </w:tc>
        <w:tc>
          <w:tcPr>
            <w:tcW w:w="2454" w:type="dxa"/>
            <w:vAlign w:val="center"/>
          </w:tcPr>
          <w:p w14:paraId="73A97359">
            <w:pPr>
              <w:jc w:val="center"/>
              <w:rPr>
                <w:rFonts w:ascii="仿宋" w:hAnsi="仿宋" w:eastAsia="仿宋" w:cs="仿宋"/>
                <w:color w:val="auto"/>
                <w:spacing w:val="-1"/>
                <w:highlight w:val="none"/>
              </w:rPr>
            </w:pPr>
          </w:p>
        </w:tc>
        <w:tc>
          <w:tcPr>
            <w:tcW w:w="1686" w:type="dxa"/>
            <w:vAlign w:val="center"/>
          </w:tcPr>
          <w:p w14:paraId="6C7370B3">
            <w:pPr>
              <w:jc w:val="center"/>
              <w:rPr>
                <w:rFonts w:ascii="仿宋" w:hAnsi="仿宋" w:eastAsia="仿宋" w:cs="仿宋"/>
                <w:color w:val="auto"/>
                <w:spacing w:val="-1"/>
                <w:highlight w:val="none"/>
              </w:rPr>
            </w:pPr>
          </w:p>
        </w:tc>
      </w:tr>
    </w:tbl>
    <w:p w14:paraId="62F11B35">
      <w:pPr>
        <w:ind w:firstLine="476" w:firstLineChars="200"/>
        <w:rPr>
          <w:rFonts w:hint="eastAsia" w:ascii="仿宋" w:hAnsi="仿宋" w:eastAsia="仿宋" w:cs="仿宋"/>
          <w:color w:val="auto"/>
          <w:spacing w:val="-1"/>
          <w:kern w:val="0"/>
          <w:sz w:val="24"/>
        </w:rPr>
      </w:pPr>
      <w:r>
        <w:rPr>
          <w:rFonts w:hint="eastAsia" w:ascii="仿宋" w:hAnsi="仿宋" w:eastAsia="仿宋" w:cs="仿宋"/>
          <w:color w:val="auto"/>
          <w:spacing w:val="-1"/>
          <w:highlight w:val="none"/>
          <w:lang w:eastAsia="zh-CN"/>
        </w:rPr>
        <w:t>注：</w:t>
      </w:r>
      <w:r>
        <w:rPr>
          <w:rFonts w:hint="eastAsia" w:ascii="仿宋" w:hAnsi="仿宋" w:eastAsia="仿宋" w:cs="仿宋"/>
          <w:color w:val="auto"/>
          <w:spacing w:val="-1"/>
          <w:kern w:val="0"/>
          <w:sz w:val="24"/>
        </w:rPr>
        <w:t>凡投标文件中商务条款（包括</w:t>
      </w:r>
      <w:r>
        <w:rPr>
          <w:rFonts w:hint="eastAsia" w:ascii="仿宋" w:hAnsi="仿宋" w:eastAsia="仿宋" w:cs="仿宋"/>
          <w:color w:val="auto"/>
          <w:spacing w:val="-1"/>
          <w:kern w:val="0"/>
          <w:sz w:val="24"/>
          <w:lang w:val="en-US" w:eastAsia="zh-CN"/>
        </w:rPr>
        <w:t>实施工期</w:t>
      </w:r>
      <w:r>
        <w:rPr>
          <w:rFonts w:hint="eastAsia" w:ascii="仿宋" w:hAnsi="仿宋" w:eastAsia="仿宋" w:cs="仿宋"/>
          <w:color w:val="auto"/>
          <w:spacing w:val="-1"/>
          <w:kern w:val="0"/>
          <w:sz w:val="24"/>
        </w:rPr>
        <w:t>、付款</w:t>
      </w:r>
      <w:r>
        <w:rPr>
          <w:rFonts w:hint="eastAsia" w:ascii="仿宋" w:hAnsi="仿宋" w:eastAsia="仿宋" w:cs="仿宋"/>
          <w:color w:val="auto"/>
          <w:spacing w:val="-1"/>
          <w:kern w:val="0"/>
          <w:sz w:val="24"/>
          <w:lang w:eastAsia="zh-CN"/>
        </w:rPr>
        <w:t>方式</w:t>
      </w:r>
      <w:r>
        <w:rPr>
          <w:rFonts w:hint="eastAsia" w:ascii="仿宋" w:hAnsi="仿宋" w:eastAsia="仿宋" w:cs="仿宋"/>
          <w:color w:val="auto"/>
          <w:spacing w:val="-1"/>
          <w:kern w:val="0"/>
          <w:sz w:val="24"/>
        </w:rPr>
        <w:t>、</w:t>
      </w:r>
      <w:r>
        <w:rPr>
          <w:rFonts w:hint="eastAsia" w:ascii="仿宋" w:hAnsi="仿宋" w:eastAsia="仿宋" w:cs="仿宋"/>
          <w:color w:val="auto"/>
          <w:spacing w:val="-1"/>
          <w:kern w:val="0"/>
          <w:sz w:val="24"/>
          <w:lang w:eastAsia="zh-CN"/>
        </w:rPr>
        <w:t>投标保证金、</w:t>
      </w:r>
      <w:r>
        <w:rPr>
          <w:rFonts w:hint="eastAsia" w:ascii="仿宋" w:hAnsi="仿宋" w:eastAsia="仿宋" w:cs="仿宋"/>
          <w:color w:val="auto"/>
          <w:spacing w:val="-1"/>
          <w:kern w:val="0"/>
          <w:sz w:val="24"/>
        </w:rPr>
        <w:t>合同条款以及其它所有商务内容）与</w:t>
      </w:r>
      <w:r>
        <w:rPr>
          <w:rFonts w:hint="eastAsia" w:ascii="仿宋" w:hAnsi="仿宋" w:eastAsia="仿宋" w:cs="仿宋"/>
          <w:color w:val="auto"/>
          <w:spacing w:val="-1"/>
          <w:kern w:val="0"/>
          <w:sz w:val="24"/>
          <w:lang w:eastAsia="zh-CN"/>
        </w:rPr>
        <w:t>招标</w:t>
      </w:r>
      <w:r>
        <w:rPr>
          <w:rFonts w:hint="eastAsia" w:ascii="仿宋" w:hAnsi="仿宋" w:eastAsia="仿宋" w:cs="仿宋"/>
          <w:color w:val="auto"/>
          <w:spacing w:val="-1"/>
          <w:kern w:val="0"/>
          <w:sz w:val="24"/>
        </w:rPr>
        <w:t>文件存在正偏差的，均应在此表中列出（不允许存在负偏离），未在此表中列出的视同完全满足</w:t>
      </w:r>
      <w:r>
        <w:rPr>
          <w:rFonts w:hint="eastAsia" w:ascii="仿宋" w:hAnsi="仿宋" w:eastAsia="仿宋" w:cs="仿宋"/>
          <w:color w:val="auto"/>
          <w:spacing w:val="-1"/>
          <w:kern w:val="0"/>
          <w:sz w:val="24"/>
          <w:lang w:eastAsia="zh-CN"/>
        </w:rPr>
        <w:t>招标文件</w:t>
      </w:r>
      <w:r>
        <w:rPr>
          <w:rFonts w:hint="eastAsia" w:ascii="仿宋" w:hAnsi="仿宋" w:eastAsia="仿宋" w:cs="仿宋"/>
          <w:color w:val="auto"/>
          <w:spacing w:val="-1"/>
          <w:kern w:val="0"/>
          <w:sz w:val="24"/>
        </w:rPr>
        <w:t>要求。</w:t>
      </w:r>
    </w:p>
    <w:p w14:paraId="09E862BC">
      <w:pPr>
        <w:ind w:firstLine="476" w:firstLineChars="200"/>
        <w:rPr>
          <w:rFonts w:ascii="仿宋" w:hAnsi="仿宋" w:eastAsia="仿宋" w:cs="仿宋"/>
          <w:color w:val="auto"/>
          <w:spacing w:val="-1"/>
          <w:highlight w:val="none"/>
          <w:lang w:eastAsia="zh-CN"/>
        </w:rPr>
      </w:pPr>
    </w:p>
    <w:p w14:paraId="3B801BD8">
      <w:pPr>
        <w:pStyle w:val="10"/>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7BB30698">
      <w:pPr>
        <w:pStyle w:val="10"/>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4F4AE99E">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32D21284">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highlight w:val="none"/>
          <w:lang w:eastAsia="zh-CN"/>
        </w:rPr>
        <w:t xml:space="preserve"> </w:t>
      </w:r>
    </w:p>
    <w:p w14:paraId="06F87ABB">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sz w:val="24"/>
          <w:szCs w:val="24"/>
          <w:highlight w:val="none"/>
          <w:u w:val="single"/>
        </w:rPr>
        <w:tab/>
      </w:r>
    </w:p>
    <w:p w14:paraId="754874FF">
      <w:pPr>
        <w:pStyle w:val="38"/>
        <w:spacing w:after="0"/>
        <w:ind w:firstLine="420"/>
        <w:jc w:val="center"/>
        <w:rPr>
          <w:rFonts w:hint="eastAsia" w:ascii="仿宋" w:hAnsi="仿宋" w:eastAsia="仿宋" w:cs="仿宋"/>
          <w:color w:val="auto"/>
          <w:sz w:val="24"/>
          <w:szCs w:val="24"/>
          <w:highlight w:val="none"/>
        </w:rPr>
      </w:pPr>
    </w:p>
    <w:p w14:paraId="03B1494A">
      <w:pPr>
        <w:pStyle w:val="38"/>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E8825BC">
      <w:pPr>
        <w:pStyle w:val="38"/>
        <w:spacing w:after="0"/>
        <w:ind w:firstLine="420"/>
        <w:jc w:val="center"/>
        <w:rPr>
          <w:rFonts w:ascii="仿宋" w:hAnsi="仿宋" w:eastAsia="仿宋" w:cs="仿宋"/>
          <w:color w:val="auto"/>
          <w:sz w:val="36"/>
          <w:szCs w:val="36"/>
          <w:highlight w:val="none"/>
        </w:rPr>
      </w:pPr>
    </w:p>
    <w:p w14:paraId="4E8A5791">
      <w:pPr>
        <w:pStyle w:val="39"/>
        <w:tabs>
          <w:tab w:val="left" w:pos="826"/>
        </w:tabs>
        <w:spacing w:line="470" w:lineRule="exact"/>
        <w:ind w:firstLine="0"/>
        <w:jc w:val="center"/>
        <w:rPr>
          <w:rFonts w:ascii="仿宋" w:hAnsi="仿宋" w:eastAsia="仿宋" w:cs="仿宋"/>
          <w:color w:val="auto"/>
          <w:sz w:val="21"/>
          <w:szCs w:val="21"/>
          <w:highlight w:val="none"/>
        </w:rPr>
      </w:pPr>
    </w:p>
    <w:p w14:paraId="7E813F1A">
      <w:pPr>
        <w:pStyle w:val="39"/>
        <w:tabs>
          <w:tab w:val="left" w:pos="826"/>
        </w:tabs>
        <w:spacing w:line="470" w:lineRule="exact"/>
        <w:ind w:firstLine="0"/>
        <w:jc w:val="center"/>
        <w:rPr>
          <w:rFonts w:ascii="仿宋" w:hAnsi="仿宋" w:eastAsia="仿宋" w:cs="仿宋"/>
          <w:color w:val="auto"/>
          <w:sz w:val="21"/>
          <w:szCs w:val="21"/>
          <w:highlight w:val="none"/>
        </w:rPr>
      </w:pPr>
    </w:p>
    <w:p w14:paraId="54EAC7A8">
      <w:pPr>
        <w:pStyle w:val="39"/>
        <w:tabs>
          <w:tab w:val="left" w:pos="826"/>
        </w:tabs>
        <w:spacing w:line="470" w:lineRule="exact"/>
        <w:ind w:firstLine="0"/>
        <w:jc w:val="center"/>
        <w:rPr>
          <w:rFonts w:ascii="仿宋" w:hAnsi="仿宋" w:eastAsia="仿宋" w:cs="仿宋"/>
          <w:color w:val="auto"/>
          <w:sz w:val="21"/>
          <w:szCs w:val="21"/>
          <w:highlight w:val="none"/>
        </w:rPr>
      </w:pPr>
    </w:p>
    <w:p w14:paraId="002EB333">
      <w:pPr>
        <w:jc w:val="both"/>
        <w:rPr>
          <w:rFonts w:hint="eastAsia" w:ascii="仿宋" w:hAnsi="仿宋" w:eastAsia="仿宋" w:cs="仿宋"/>
          <w:b/>
          <w:bCs/>
          <w:color w:val="auto"/>
          <w:sz w:val="30"/>
          <w:szCs w:val="30"/>
          <w:highlight w:val="none"/>
          <w:lang w:eastAsia="zh-CN"/>
        </w:rPr>
      </w:pPr>
    </w:p>
    <w:p w14:paraId="1E620D9E">
      <w:pPr>
        <w:jc w:val="center"/>
        <w:rPr>
          <w:rFonts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eastAsia="zh-CN"/>
        </w:rPr>
        <w:t>7、供应商基本情况表</w:t>
      </w:r>
    </w:p>
    <w:p w14:paraId="7911E312">
      <w:pPr>
        <w:pStyle w:val="10"/>
        <w:numPr>
          <w:ilvl w:val="0"/>
          <w:numId w:val="0"/>
        </w:numPr>
        <w:kinsoku w:val="0"/>
        <w:overflowPunct w:val="0"/>
        <w:spacing w:before="5"/>
        <w:rPr>
          <w:rFonts w:ascii="仿宋" w:hAnsi="仿宋" w:eastAsia="仿宋" w:cs="仿宋"/>
          <w:b/>
          <w:bCs/>
          <w:color w:val="auto"/>
          <w:sz w:val="6"/>
          <w:szCs w:val="6"/>
          <w:highlight w:val="none"/>
          <w:lang w:eastAsia="zh-CN"/>
        </w:rPr>
      </w:pPr>
    </w:p>
    <w:tbl>
      <w:tblPr>
        <w:tblStyle w:val="2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1E6870A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E41F432">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560F4691">
            <w:pPr>
              <w:rPr>
                <w:rFonts w:ascii="仿宋" w:hAnsi="仿宋" w:eastAsia="仿宋" w:cs="仿宋"/>
                <w:color w:val="auto"/>
                <w:highlight w:val="none"/>
              </w:rPr>
            </w:pPr>
          </w:p>
        </w:tc>
      </w:tr>
      <w:tr w14:paraId="4BBF3CD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4D72F92">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5F4B7221">
            <w:pPr>
              <w:rPr>
                <w:rFonts w:ascii="仿宋" w:hAnsi="仿宋" w:eastAsia="仿宋" w:cs="仿宋"/>
                <w:color w:val="auto"/>
                <w:highlight w:val="none"/>
              </w:rPr>
            </w:pPr>
          </w:p>
        </w:tc>
      </w:tr>
      <w:tr w14:paraId="3E4AD60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C373115">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06378F7D">
            <w:pPr>
              <w:rPr>
                <w:rFonts w:ascii="仿宋" w:hAnsi="仿宋" w:eastAsia="仿宋" w:cs="仿宋"/>
                <w:color w:val="auto"/>
                <w:highlight w:val="none"/>
              </w:rPr>
            </w:pPr>
          </w:p>
        </w:tc>
      </w:tr>
      <w:tr w14:paraId="7C1D2DCB">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FE7FFDE">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2BFEF32A">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53C2C011">
            <w:pPr>
              <w:pStyle w:val="42"/>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285265A">
            <w:pPr>
              <w:rPr>
                <w:rFonts w:ascii="仿宋" w:hAnsi="仿宋" w:eastAsia="仿宋" w:cs="仿宋"/>
                <w:color w:val="auto"/>
                <w:highlight w:val="none"/>
              </w:rPr>
            </w:pPr>
          </w:p>
        </w:tc>
      </w:tr>
      <w:tr w14:paraId="0D83ACC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B1B4148">
            <w:pPr>
              <w:pStyle w:val="42"/>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47A5200D">
            <w:pPr>
              <w:rPr>
                <w:rFonts w:ascii="仿宋" w:hAnsi="仿宋" w:eastAsia="仿宋" w:cs="仿宋"/>
                <w:color w:val="auto"/>
                <w:highlight w:val="none"/>
              </w:rPr>
            </w:pPr>
          </w:p>
        </w:tc>
      </w:tr>
      <w:tr w14:paraId="69CEE19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403EA08">
            <w:pPr>
              <w:pStyle w:val="42"/>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76FFB53D">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1209F9D4">
            <w:pPr>
              <w:pStyle w:val="42"/>
              <w:kinsoku w:val="0"/>
              <w:overflowPunct w:val="0"/>
              <w:spacing w:before="4"/>
              <w:rPr>
                <w:rFonts w:ascii="仿宋" w:hAnsi="仿宋" w:eastAsia="仿宋" w:cs="仿宋"/>
                <w:b/>
                <w:bCs/>
                <w:color w:val="auto"/>
                <w:sz w:val="20"/>
                <w:szCs w:val="20"/>
                <w:highlight w:val="none"/>
              </w:rPr>
            </w:pPr>
          </w:p>
          <w:p w14:paraId="51A63671">
            <w:pPr>
              <w:pStyle w:val="42"/>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58AB80B4">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1721B0FF">
            <w:pPr>
              <w:pStyle w:val="42"/>
              <w:kinsoku w:val="0"/>
              <w:overflowPunct w:val="0"/>
              <w:spacing w:before="4"/>
              <w:rPr>
                <w:rFonts w:ascii="仿宋" w:hAnsi="仿宋" w:eastAsia="仿宋" w:cs="仿宋"/>
                <w:b/>
                <w:bCs/>
                <w:color w:val="auto"/>
                <w:sz w:val="20"/>
                <w:szCs w:val="20"/>
                <w:highlight w:val="none"/>
              </w:rPr>
            </w:pPr>
          </w:p>
          <w:p w14:paraId="5E571383">
            <w:pPr>
              <w:pStyle w:val="42"/>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CA4175E">
            <w:pPr>
              <w:rPr>
                <w:rFonts w:ascii="仿宋" w:hAnsi="仿宋" w:eastAsia="仿宋" w:cs="仿宋"/>
                <w:color w:val="auto"/>
                <w:highlight w:val="none"/>
              </w:rPr>
            </w:pPr>
          </w:p>
        </w:tc>
      </w:tr>
      <w:tr w14:paraId="67EFE0CC">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7889318C">
            <w:pPr>
              <w:pStyle w:val="42"/>
              <w:kinsoku w:val="0"/>
              <w:overflowPunct w:val="0"/>
              <w:rPr>
                <w:rFonts w:ascii="仿宋" w:hAnsi="仿宋" w:eastAsia="仿宋" w:cs="仿宋"/>
                <w:b/>
                <w:bCs/>
                <w:color w:val="auto"/>
                <w:highlight w:val="none"/>
              </w:rPr>
            </w:pPr>
          </w:p>
          <w:p w14:paraId="0C8B0608">
            <w:pPr>
              <w:pStyle w:val="42"/>
              <w:kinsoku w:val="0"/>
              <w:overflowPunct w:val="0"/>
              <w:rPr>
                <w:rFonts w:ascii="仿宋" w:hAnsi="仿宋" w:eastAsia="仿宋" w:cs="仿宋"/>
                <w:b/>
                <w:bCs/>
                <w:color w:val="auto"/>
                <w:highlight w:val="none"/>
              </w:rPr>
            </w:pPr>
          </w:p>
          <w:p w14:paraId="28A1C555">
            <w:pPr>
              <w:pStyle w:val="42"/>
              <w:kinsoku w:val="0"/>
              <w:overflowPunct w:val="0"/>
              <w:rPr>
                <w:rFonts w:ascii="仿宋" w:hAnsi="仿宋" w:eastAsia="仿宋" w:cs="仿宋"/>
                <w:b/>
                <w:bCs/>
                <w:color w:val="auto"/>
                <w:highlight w:val="none"/>
              </w:rPr>
            </w:pPr>
          </w:p>
          <w:p w14:paraId="02DB084F">
            <w:pPr>
              <w:pStyle w:val="42"/>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41575501">
            <w:pPr>
              <w:pStyle w:val="42"/>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48C552E">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2AAA852F">
            <w:pPr>
              <w:pStyle w:val="42"/>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7CE46D48">
            <w:pPr>
              <w:rPr>
                <w:rFonts w:ascii="仿宋" w:hAnsi="仿宋" w:eastAsia="仿宋" w:cs="仿宋"/>
                <w:color w:val="auto"/>
                <w:highlight w:val="none"/>
              </w:rPr>
            </w:pPr>
          </w:p>
        </w:tc>
      </w:tr>
      <w:tr w14:paraId="41C18FA8">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6252438">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0D234CD4">
            <w:pPr>
              <w:pStyle w:val="42"/>
              <w:kinsoku w:val="0"/>
              <w:overflowPunct w:val="0"/>
              <w:spacing w:before="145"/>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单位行政和技术负责人</w:t>
            </w:r>
          </w:p>
        </w:tc>
      </w:tr>
      <w:tr w14:paraId="46051410">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9160785">
            <w:pPr>
              <w:pStyle w:val="42"/>
              <w:kinsoku w:val="0"/>
              <w:overflowPunct w:val="0"/>
              <w:spacing w:before="145"/>
              <w:jc w:val="center"/>
              <w:rPr>
                <w:rFonts w:ascii="仿宋" w:hAnsi="仿宋" w:eastAsia="仿宋" w:cs="仿宋"/>
                <w:color w:val="auto"/>
                <w:highlight w:val="none"/>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30FC9AC5">
            <w:pPr>
              <w:pStyle w:val="42"/>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42972F9A">
            <w:pPr>
              <w:pStyle w:val="42"/>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69ABFBE">
            <w:pPr>
              <w:pStyle w:val="42"/>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65CC8EFE">
            <w:pPr>
              <w:pStyle w:val="42"/>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71E9099E">
        <w:tblPrEx>
          <w:tblCellMar>
            <w:top w:w="0" w:type="dxa"/>
            <w:left w:w="0" w:type="dxa"/>
            <w:bottom w:w="0" w:type="dxa"/>
            <w:right w:w="0" w:type="dxa"/>
          </w:tblCellMar>
        </w:tblPrEx>
        <w:trPr>
          <w:trHeight w:val="58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E5B1523">
            <w:pPr>
              <w:pStyle w:val="42"/>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30F8B3DD">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0DAED9E3">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833B9EF">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AC2E892">
            <w:pPr>
              <w:rPr>
                <w:rFonts w:ascii="仿宋" w:hAnsi="仿宋" w:eastAsia="仿宋" w:cs="仿宋"/>
                <w:color w:val="auto"/>
                <w:highlight w:val="none"/>
              </w:rPr>
            </w:pPr>
          </w:p>
        </w:tc>
      </w:tr>
      <w:tr w14:paraId="674D427B">
        <w:tblPrEx>
          <w:tblCellMar>
            <w:top w:w="0" w:type="dxa"/>
            <w:left w:w="0" w:type="dxa"/>
            <w:bottom w:w="0" w:type="dxa"/>
            <w:right w:w="0" w:type="dxa"/>
          </w:tblCellMar>
        </w:tblPrEx>
        <w:trPr>
          <w:trHeight w:val="546"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DD8B48C">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08159F98">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C6C3938">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33A3DEFE">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27D3D03">
            <w:pPr>
              <w:rPr>
                <w:rFonts w:ascii="仿宋" w:hAnsi="仿宋" w:eastAsia="仿宋" w:cs="仿宋"/>
                <w:color w:val="auto"/>
                <w:highlight w:val="none"/>
              </w:rPr>
            </w:pPr>
          </w:p>
        </w:tc>
      </w:tr>
      <w:tr w14:paraId="54BE7552">
        <w:tblPrEx>
          <w:tblCellMar>
            <w:top w:w="0" w:type="dxa"/>
            <w:left w:w="0" w:type="dxa"/>
            <w:bottom w:w="0" w:type="dxa"/>
            <w:right w:w="0" w:type="dxa"/>
          </w:tblCellMar>
        </w:tblPrEx>
        <w:trPr>
          <w:trHeight w:val="5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5F8954E">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08965E50">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6EB741F">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3786D58">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AFFC9B7">
            <w:pPr>
              <w:rPr>
                <w:rFonts w:ascii="仿宋" w:hAnsi="仿宋" w:eastAsia="仿宋" w:cs="仿宋"/>
                <w:color w:val="auto"/>
                <w:highlight w:val="none"/>
              </w:rPr>
            </w:pPr>
          </w:p>
        </w:tc>
      </w:tr>
      <w:tr w14:paraId="0F3BB57D">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B2374E7">
            <w:pPr>
              <w:pStyle w:val="42"/>
              <w:kinsoku w:val="0"/>
              <w:overflowPunct w:val="0"/>
              <w:spacing w:before="1"/>
              <w:rPr>
                <w:rFonts w:ascii="仿宋" w:hAnsi="仿宋" w:eastAsia="仿宋" w:cs="仿宋"/>
                <w:b/>
                <w:bCs/>
                <w:color w:val="auto"/>
                <w:sz w:val="23"/>
                <w:szCs w:val="23"/>
                <w:highlight w:val="none"/>
              </w:rPr>
            </w:pPr>
          </w:p>
          <w:p w14:paraId="4F1F872B">
            <w:pPr>
              <w:pStyle w:val="42"/>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7146C0E5">
            <w:pPr>
              <w:rPr>
                <w:rFonts w:ascii="仿宋" w:hAnsi="仿宋" w:eastAsia="仿宋" w:cs="仿宋"/>
                <w:color w:val="auto"/>
                <w:highlight w:val="none"/>
              </w:rPr>
            </w:pPr>
          </w:p>
        </w:tc>
      </w:tr>
    </w:tbl>
    <w:p w14:paraId="074551C6">
      <w:pPr>
        <w:pStyle w:val="39"/>
        <w:spacing w:line="440" w:lineRule="exact"/>
        <w:ind w:firstLine="0"/>
        <w:jc w:val="both"/>
        <w:rPr>
          <w:rFonts w:ascii="仿宋" w:hAnsi="仿宋" w:eastAsia="仿宋" w:cs="仿宋"/>
          <w:b/>
          <w:color w:val="auto"/>
          <w:sz w:val="30"/>
          <w:szCs w:val="30"/>
          <w:highlight w:val="none"/>
        </w:rPr>
      </w:pPr>
    </w:p>
    <w:p w14:paraId="2E0DDFF3">
      <w:pPr>
        <w:pStyle w:val="39"/>
        <w:spacing w:line="440" w:lineRule="exact"/>
        <w:ind w:firstLine="0"/>
        <w:jc w:val="both"/>
        <w:rPr>
          <w:rFonts w:ascii="仿宋" w:hAnsi="仿宋" w:eastAsia="仿宋" w:cs="仿宋"/>
          <w:b/>
          <w:color w:val="auto"/>
          <w:sz w:val="30"/>
          <w:szCs w:val="30"/>
          <w:highlight w:val="none"/>
        </w:rPr>
      </w:pPr>
    </w:p>
    <w:p w14:paraId="16957B43">
      <w:pPr>
        <w:pStyle w:val="39"/>
        <w:spacing w:line="440" w:lineRule="exact"/>
        <w:ind w:firstLine="0"/>
        <w:jc w:val="both"/>
        <w:rPr>
          <w:rFonts w:ascii="仿宋" w:hAnsi="仿宋" w:eastAsia="仿宋" w:cs="仿宋"/>
          <w:b/>
          <w:color w:val="auto"/>
          <w:sz w:val="30"/>
          <w:szCs w:val="30"/>
          <w:highlight w:val="none"/>
        </w:rPr>
      </w:pPr>
    </w:p>
    <w:p w14:paraId="5BED29E0">
      <w:pPr>
        <w:pStyle w:val="39"/>
        <w:spacing w:line="440" w:lineRule="exact"/>
        <w:ind w:firstLine="0"/>
        <w:jc w:val="both"/>
        <w:rPr>
          <w:rFonts w:ascii="仿宋" w:hAnsi="仿宋" w:eastAsia="仿宋" w:cs="仿宋"/>
          <w:b/>
          <w:color w:val="auto"/>
          <w:sz w:val="30"/>
          <w:szCs w:val="30"/>
          <w:highlight w:val="none"/>
        </w:rPr>
      </w:pPr>
    </w:p>
    <w:p w14:paraId="3140D9BE">
      <w:pPr>
        <w:pStyle w:val="10"/>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23B21D22">
      <w:pPr>
        <w:pStyle w:val="10"/>
        <w:numPr>
          <w:ilvl w:val="0"/>
          <w:numId w:val="0"/>
        </w:numPr>
        <w:kinsoku w:val="0"/>
        <w:overflowPunct w:val="0"/>
        <w:spacing w:before="34" w:line="357" w:lineRule="auto"/>
        <w:ind w:left="480" w:right="126"/>
        <w:jc w:val="center"/>
        <w:rPr>
          <w:rFonts w:ascii="仿宋" w:hAnsi="仿宋" w:eastAsia="仿宋" w:cs="仿宋"/>
          <w:b/>
          <w:bCs w:val="0"/>
          <w:color w:val="auto"/>
          <w:w w:val="90"/>
          <w:highlight w:val="none"/>
          <w:lang w:eastAsia="zh-CN"/>
        </w:rPr>
      </w:pPr>
      <w:r>
        <w:rPr>
          <w:rFonts w:hint="eastAsia" w:ascii="仿宋" w:hAnsi="仿宋" w:eastAsia="仿宋" w:cs="仿宋"/>
          <w:b/>
          <w:bCs w:val="0"/>
          <w:color w:val="auto"/>
          <w:sz w:val="36"/>
          <w:szCs w:val="36"/>
          <w:highlight w:val="none"/>
          <w:lang w:eastAsia="zh-CN"/>
        </w:rPr>
        <w:t>8、</w:t>
      </w:r>
      <w:r>
        <w:rPr>
          <w:rFonts w:hint="eastAsia" w:ascii="仿宋" w:hAnsi="仿宋" w:eastAsia="仿宋" w:cs="仿宋"/>
          <w:b/>
          <w:bCs w:val="0"/>
          <w:color w:val="auto"/>
          <w:sz w:val="36"/>
          <w:szCs w:val="36"/>
          <w:highlight w:val="none"/>
          <w:lang w:val="en-US" w:eastAsia="zh-CN"/>
        </w:rPr>
        <w:t>(2022年6月至今）类似业绩</w:t>
      </w:r>
      <w:r>
        <w:rPr>
          <w:rFonts w:hint="eastAsia" w:ascii="仿宋" w:hAnsi="仿宋" w:eastAsia="仿宋" w:cs="仿宋"/>
          <w:b/>
          <w:bCs w:val="0"/>
          <w:color w:val="auto"/>
          <w:sz w:val="36"/>
          <w:szCs w:val="36"/>
          <w:highlight w:val="none"/>
          <w:lang w:eastAsia="zh-CN"/>
        </w:rPr>
        <w:t>表</w:t>
      </w:r>
    </w:p>
    <w:p w14:paraId="3F234F50">
      <w:pPr>
        <w:pStyle w:val="10"/>
        <w:numPr>
          <w:ilvl w:val="0"/>
          <w:numId w:val="0"/>
        </w:numPr>
        <w:kinsoku w:val="0"/>
        <w:overflowPunct w:val="0"/>
        <w:rPr>
          <w:rFonts w:ascii="仿宋" w:hAnsi="仿宋" w:eastAsia="仿宋" w:cs="仿宋"/>
          <w:b/>
          <w:bCs/>
          <w:color w:val="auto"/>
          <w:sz w:val="20"/>
          <w:szCs w:val="20"/>
          <w:highlight w:val="none"/>
          <w:lang w:eastAsia="zh-CN"/>
        </w:rPr>
      </w:pPr>
    </w:p>
    <w:tbl>
      <w:tblPr>
        <w:tblStyle w:val="25"/>
        <w:tblW w:w="8731" w:type="dxa"/>
        <w:jc w:val="center"/>
        <w:tblLayout w:type="fixed"/>
        <w:tblCellMar>
          <w:top w:w="0" w:type="dxa"/>
          <w:left w:w="10" w:type="dxa"/>
          <w:bottom w:w="0" w:type="dxa"/>
          <w:right w:w="10" w:type="dxa"/>
        </w:tblCellMar>
      </w:tblPr>
      <w:tblGrid>
        <w:gridCol w:w="2002"/>
        <w:gridCol w:w="6729"/>
      </w:tblGrid>
      <w:tr w14:paraId="3BB506E2">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vAlign w:val="center"/>
          </w:tcPr>
          <w:p w14:paraId="39BFFE38">
            <w:pPr>
              <w:pStyle w:val="40"/>
              <w:spacing w:line="240" w:lineRule="auto"/>
              <w:ind w:firstLine="0"/>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6729" w:type="dxa"/>
            <w:tcBorders>
              <w:top w:val="single" w:color="auto" w:sz="4" w:space="0"/>
              <w:left w:val="single" w:color="auto" w:sz="4" w:space="0"/>
              <w:right w:val="single" w:color="auto" w:sz="4" w:space="0"/>
            </w:tcBorders>
            <w:shd w:val="clear" w:color="auto" w:fill="FFFFFF"/>
          </w:tcPr>
          <w:p w14:paraId="2AC3FCC0">
            <w:pPr>
              <w:rPr>
                <w:rFonts w:ascii="仿宋" w:hAnsi="仿宋" w:eastAsia="仿宋" w:cs="仿宋"/>
                <w:color w:val="auto"/>
                <w:sz w:val="10"/>
                <w:szCs w:val="10"/>
                <w:highlight w:val="none"/>
              </w:rPr>
            </w:pPr>
          </w:p>
        </w:tc>
      </w:tr>
      <w:tr w14:paraId="35AB4B67">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tcPr>
          <w:p w14:paraId="2FA9FB8F">
            <w:pPr>
              <w:pStyle w:val="40"/>
              <w:spacing w:before="120"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项目单位名称</w:t>
            </w:r>
          </w:p>
        </w:tc>
        <w:tc>
          <w:tcPr>
            <w:tcW w:w="6729" w:type="dxa"/>
            <w:tcBorders>
              <w:top w:val="single" w:color="auto" w:sz="4" w:space="0"/>
              <w:left w:val="single" w:color="auto" w:sz="4" w:space="0"/>
              <w:right w:val="single" w:color="auto" w:sz="4" w:space="0"/>
            </w:tcBorders>
            <w:shd w:val="clear" w:color="auto" w:fill="FFFFFF"/>
          </w:tcPr>
          <w:p w14:paraId="1DC6EAE8">
            <w:pPr>
              <w:rPr>
                <w:rFonts w:ascii="仿宋" w:hAnsi="仿宋" w:eastAsia="仿宋" w:cs="仿宋"/>
                <w:color w:val="auto"/>
                <w:sz w:val="10"/>
                <w:szCs w:val="10"/>
                <w:highlight w:val="none"/>
              </w:rPr>
            </w:pPr>
          </w:p>
        </w:tc>
      </w:tr>
      <w:tr w14:paraId="44B112ED">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tcPr>
          <w:p w14:paraId="7B9F3135">
            <w:pPr>
              <w:pStyle w:val="40"/>
              <w:spacing w:line="320" w:lineRule="exact"/>
              <w:ind w:firstLine="0"/>
              <w:jc w:val="center"/>
              <w:rPr>
                <w:rFonts w:ascii="仿宋" w:hAnsi="仿宋" w:eastAsia="仿宋" w:cs="仿宋"/>
                <w:color w:val="auto"/>
                <w:highlight w:val="none"/>
              </w:rPr>
            </w:pPr>
            <w:r>
              <w:rPr>
                <w:rFonts w:hint="eastAsia" w:ascii="仿宋" w:hAnsi="仿宋" w:eastAsia="仿宋" w:cs="仿宋"/>
                <w:color w:val="auto"/>
                <w:highlight w:val="none"/>
              </w:rPr>
              <w:t>项目单位联系姓名及联系方式</w:t>
            </w:r>
          </w:p>
        </w:tc>
        <w:tc>
          <w:tcPr>
            <w:tcW w:w="6729" w:type="dxa"/>
            <w:tcBorders>
              <w:top w:val="single" w:color="auto" w:sz="4" w:space="0"/>
              <w:left w:val="single" w:color="auto" w:sz="4" w:space="0"/>
              <w:right w:val="single" w:color="auto" w:sz="4" w:space="0"/>
            </w:tcBorders>
            <w:shd w:val="clear" w:color="auto" w:fill="FFFFFF"/>
          </w:tcPr>
          <w:p w14:paraId="51C1C9FF">
            <w:pPr>
              <w:rPr>
                <w:rFonts w:ascii="仿宋" w:hAnsi="仿宋" w:eastAsia="仿宋" w:cs="仿宋"/>
                <w:color w:val="auto"/>
                <w:sz w:val="10"/>
                <w:szCs w:val="10"/>
                <w:highlight w:val="none"/>
                <w:lang w:eastAsia="zh-CN"/>
              </w:rPr>
            </w:pPr>
          </w:p>
        </w:tc>
      </w:tr>
      <w:tr w14:paraId="52BF3B49">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vAlign w:val="center"/>
          </w:tcPr>
          <w:p w14:paraId="1C191840">
            <w:pPr>
              <w:pStyle w:val="40"/>
              <w:spacing w:line="240" w:lineRule="auto"/>
              <w:ind w:firstLine="0"/>
              <w:jc w:val="center"/>
              <w:rPr>
                <w:rFonts w:ascii="仿宋" w:hAnsi="仿宋" w:eastAsia="仿宋" w:cs="仿宋"/>
                <w:color w:val="auto"/>
                <w:highlight w:val="none"/>
              </w:rPr>
            </w:pPr>
            <w:r>
              <w:rPr>
                <w:rFonts w:hint="eastAsia" w:ascii="仿宋" w:hAnsi="仿宋" w:eastAsia="仿宋" w:cs="仿宋"/>
                <w:color w:val="auto"/>
                <w:highlight w:val="none"/>
              </w:rPr>
              <w:t>合同金额</w:t>
            </w:r>
          </w:p>
        </w:tc>
        <w:tc>
          <w:tcPr>
            <w:tcW w:w="6729" w:type="dxa"/>
            <w:tcBorders>
              <w:top w:val="single" w:color="auto" w:sz="4" w:space="0"/>
              <w:left w:val="single" w:color="auto" w:sz="4" w:space="0"/>
              <w:right w:val="single" w:color="auto" w:sz="4" w:space="0"/>
            </w:tcBorders>
            <w:shd w:val="clear" w:color="auto" w:fill="FFFFFF"/>
          </w:tcPr>
          <w:p w14:paraId="2AE457BC">
            <w:pPr>
              <w:rPr>
                <w:rFonts w:ascii="仿宋" w:hAnsi="仿宋" w:eastAsia="仿宋" w:cs="仿宋"/>
                <w:color w:val="auto"/>
                <w:sz w:val="10"/>
                <w:szCs w:val="10"/>
                <w:highlight w:val="none"/>
              </w:rPr>
            </w:pPr>
          </w:p>
        </w:tc>
      </w:tr>
      <w:tr w14:paraId="40ED1668">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tcPr>
          <w:p w14:paraId="54E7F948">
            <w:pPr>
              <w:pStyle w:val="40"/>
              <w:spacing w:line="306" w:lineRule="exact"/>
              <w:ind w:firstLine="0"/>
              <w:jc w:val="center"/>
              <w:rPr>
                <w:rFonts w:ascii="仿宋" w:hAnsi="仿宋" w:eastAsia="仿宋" w:cs="仿宋"/>
                <w:color w:val="auto"/>
                <w:highlight w:val="none"/>
              </w:rPr>
            </w:pPr>
            <w:r>
              <w:rPr>
                <w:rFonts w:hint="eastAsia" w:ascii="仿宋" w:hAnsi="仿宋" w:eastAsia="仿宋" w:cs="仿宋"/>
                <w:color w:val="auto"/>
                <w:highlight w:val="none"/>
              </w:rPr>
              <w:t>项目负责人姓名</w:t>
            </w:r>
          </w:p>
        </w:tc>
        <w:tc>
          <w:tcPr>
            <w:tcW w:w="6729" w:type="dxa"/>
            <w:tcBorders>
              <w:top w:val="single" w:color="auto" w:sz="4" w:space="0"/>
              <w:left w:val="single" w:color="auto" w:sz="4" w:space="0"/>
              <w:right w:val="single" w:color="auto" w:sz="4" w:space="0"/>
            </w:tcBorders>
            <w:shd w:val="clear" w:color="auto" w:fill="FFFFFF"/>
          </w:tcPr>
          <w:p w14:paraId="4D4DD2AA">
            <w:pPr>
              <w:rPr>
                <w:rFonts w:ascii="仿宋" w:hAnsi="仿宋" w:eastAsia="仿宋" w:cs="仿宋"/>
                <w:color w:val="auto"/>
                <w:sz w:val="10"/>
                <w:szCs w:val="10"/>
                <w:highlight w:val="none"/>
              </w:rPr>
            </w:pPr>
          </w:p>
        </w:tc>
      </w:tr>
      <w:tr w14:paraId="16BF5227">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tcPr>
          <w:p w14:paraId="14EE5C76">
            <w:pPr>
              <w:pStyle w:val="40"/>
              <w:spacing w:before="120"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项目实施时间</w:t>
            </w:r>
          </w:p>
        </w:tc>
        <w:tc>
          <w:tcPr>
            <w:tcW w:w="6729" w:type="dxa"/>
            <w:tcBorders>
              <w:top w:val="single" w:color="auto" w:sz="4" w:space="0"/>
              <w:left w:val="single" w:color="auto" w:sz="4" w:space="0"/>
              <w:right w:val="single" w:color="auto" w:sz="4" w:space="0"/>
            </w:tcBorders>
            <w:shd w:val="clear" w:color="auto" w:fill="FFFFFF"/>
          </w:tcPr>
          <w:p w14:paraId="70B64622">
            <w:pPr>
              <w:rPr>
                <w:rFonts w:ascii="仿宋" w:hAnsi="仿宋" w:eastAsia="仿宋" w:cs="仿宋"/>
                <w:color w:val="auto"/>
                <w:sz w:val="10"/>
                <w:szCs w:val="10"/>
                <w:highlight w:val="none"/>
              </w:rPr>
            </w:pPr>
          </w:p>
        </w:tc>
      </w:tr>
      <w:tr w14:paraId="48E761A8">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14:paraId="3E9632EE">
            <w:pPr>
              <w:pStyle w:val="40"/>
              <w:spacing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项目内容说明</w:t>
            </w:r>
          </w:p>
        </w:tc>
        <w:tc>
          <w:tcPr>
            <w:tcW w:w="6729" w:type="dxa"/>
            <w:tcBorders>
              <w:top w:val="single" w:color="auto" w:sz="4" w:space="0"/>
              <w:left w:val="single" w:color="auto" w:sz="4" w:space="0"/>
              <w:bottom w:val="single" w:color="auto" w:sz="4" w:space="0"/>
              <w:right w:val="single" w:color="auto" w:sz="4" w:space="0"/>
            </w:tcBorders>
            <w:shd w:val="clear" w:color="auto" w:fill="FFFFFF"/>
          </w:tcPr>
          <w:p w14:paraId="2E87E2B3">
            <w:pPr>
              <w:rPr>
                <w:rFonts w:ascii="仿宋" w:hAnsi="仿宋" w:eastAsia="仿宋" w:cs="仿宋"/>
                <w:color w:val="auto"/>
                <w:sz w:val="10"/>
                <w:szCs w:val="10"/>
                <w:highlight w:val="none"/>
              </w:rPr>
            </w:pPr>
          </w:p>
        </w:tc>
      </w:tr>
      <w:tr w14:paraId="5F3011A1">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14:paraId="53E15D57">
            <w:pPr>
              <w:pStyle w:val="40"/>
              <w:spacing w:line="240" w:lineRule="auto"/>
              <w:ind w:firstLine="220"/>
              <w:rPr>
                <w:rFonts w:hint="eastAsia" w:ascii="仿宋" w:hAnsi="仿宋" w:eastAsia="仿宋" w:cs="仿宋"/>
                <w:color w:val="auto"/>
                <w:highlight w:val="none"/>
              </w:rPr>
            </w:pPr>
          </w:p>
        </w:tc>
        <w:tc>
          <w:tcPr>
            <w:tcW w:w="6729" w:type="dxa"/>
            <w:tcBorders>
              <w:top w:val="single" w:color="auto" w:sz="4" w:space="0"/>
              <w:left w:val="single" w:color="auto" w:sz="4" w:space="0"/>
              <w:bottom w:val="single" w:color="auto" w:sz="4" w:space="0"/>
              <w:right w:val="single" w:color="auto" w:sz="4" w:space="0"/>
            </w:tcBorders>
            <w:shd w:val="clear" w:color="auto" w:fill="FFFFFF"/>
          </w:tcPr>
          <w:p w14:paraId="55CCFF43">
            <w:pPr>
              <w:rPr>
                <w:rFonts w:ascii="仿宋" w:hAnsi="仿宋" w:eastAsia="仿宋" w:cs="仿宋"/>
                <w:color w:val="auto"/>
                <w:sz w:val="10"/>
                <w:szCs w:val="10"/>
                <w:highlight w:val="none"/>
              </w:rPr>
            </w:pPr>
          </w:p>
        </w:tc>
      </w:tr>
    </w:tbl>
    <w:p w14:paraId="6FA3D138">
      <w:pPr>
        <w:rPr>
          <w:rFonts w:ascii="仿宋" w:hAnsi="仿宋" w:eastAsia="仿宋" w:cs="仿宋"/>
          <w:color w:val="auto"/>
          <w:spacing w:val="-1"/>
          <w:highlight w:val="none"/>
          <w:lang w:eastAsia="zh-CN"/>
        </w:rPr>
      </w:pPr>
      <w:r>
        <w:rPr>
          <w:rFonts w:hint="eastAsia" w:ascii="仿宋" w:hAnsi="仿宋" w:eastAsia="仿宋" w:cs="仿宋"/>
          <w:color w:val="auto"/>
          <w:spacing w:val="-1"/>
          <w:highlight w:val="none"/>
          <w:lang w:eastAsia="zh-CN"/>
        </w:rPr>
        <w:t>注：每个业绩须单独附表，并附上合同及中标通知书相关证明材料，否则专家在评审时将不予采信。</w:t>
      </w:r>
    </w:p>
    <w:p w14:paraId="678E4E3B">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07E1983F">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2B159761">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6EDF457E">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u w:val="single"/>
          <w:lang w:eastAsia="zh-CN"/>
        </w:rPr>
        <w:tab/>
      </w:r>
    </w:p>
    <w:p w14:paraId="370B1857">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eastAsia="zh-CN"/>
        </w:rPr>
        <w:tab/>
      </w:r>
    </w:p>
    <w:p w14:paraId="1A53776D">
      <w:pPr>
        <w:pStyle w:val="10"/>
        <w:numPr>
          <w:ilvl w:val="0"/>
          <w:numId w:val="0"/>
        </w:numPr>
        <w:tabs>
          <w:tab w:val="left" w:pos="5551"/>
          <w:tab w:val="left" w:pos="6511"/>
          <w:tab w:val="left" w:pos="7111"/>
          <w:tab w:val="left" w:pos="7711"/>
        </w:tabs>
        <w:kinsoku w:val="0"/>
        <w:overflowPunct w:val="0"/>
        <w:spacing w:before="46"/>
        <w:ind w:left="3928"/>
        <w:rPr>
          <w:rFonts w:hint="eastAsia" w:ascii="仿宋" w:hAnsi="仿宋" w:eastAsia="仿宋" w:cs="仿宋"/>
          <w:color w:val="auto"/>
          <w:sz w:val="24"/>
          <w:highlight w:val="none"/>
          <w:lang w:eastAsia="zh-CN"/>
        </w:rPr>
      </w:pPr>
    </w:p>
    <w:p w14:paraId="14C1B02C">
      <w:pPr>
        <w:pStyle w:val="10"/>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329C2639">
      <w:pPr>
        <w:pStyle w:val="38"/>
        <w:spacing w:after="580"/>
        <w:ind w:firstLine="360"/>
        <w:rPr>
          <w:rFonts w:ascii="仿宋" w:hAnsi="仿宋" w:eastAsia="仿宋" w:cs="仿宋"/>
          <w:color w:val="auto"/>
          <w:highlight w:val="none"/>
        </w:rPr>
      </w:pPr>
    </w:p>
    <w:p w14:paraId="731B353D">
      <w:pPr>
        <w:spacing w:line="360" w:lineRule="auto"/>
        <w:jc w:val="both"/>
        <w:rPr>
          <w:rFonts w:hint="eastAsia" w:ascii="仿宋" w:hAnsi="仿宋" w:eastAsia="仿宋" w:cs="仿宋"/>
          <w:b/>
          <w:color w:val="auto"/>
          <w:sz w:val="36"/>
          <w:szCs w:val="36"/>
          <w:highlight w:val="none"/>
          <w:lang w:eastAsia="zh-CN"/>
        </w:rPr>
      </w:pPr>
    </w:p>
    <w:p w14:paraId="5C5334B7">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9、中标服务费支付承诺书</w:t>
      </w:r>
    </w:p>
    <w:p w14:paraId="06A84731">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64450FAA">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w:t>
      </w:r>
      <w:r>
        <w:rPr>
          <w:rFonts w:hint="eastAsia" w:ascii="仿宋" w:hAnsi="仿宋" w:eastAsia="仿宋" w:cs="仿宋"/>
          <w:i/>
          <w:color w:val="auto"/>
          <w:kern w:val="0"/>
          <w:sz w:val="24"/>
          <w:szCs w:val="24"/>
          <w:highlight w:val="none"/>
          <w:u w:val="single"/>
          <w:lang w:val="en-US" w:eastAsia="zh-CN"/>
        </w:rPr>
        <w:t xml:space="preserve">  </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0A194DD7">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053198C3">
      <w:pPr>
        <w:spacing w:line="440" w:lineRule="exact"/>
        <w:ind w:firstLine="960" w:firstLineChars="400"/>
        <w:rPr>
          <w:rFonts w:hint="eastAsia" w:ascii="仿宋" w:hAnsi="仿宋" w:eastAsia="仿宋" w:cs="仿宋"/>
          <w:color w:val="auto"/>
          <w:sz w:val="24"/>
          <w:szCs w:val="24"/>
          <w:highlight w:val="none"/>
        </w:rPr>
      </w:pPr>
    </w:p>
    <w:p w14:paraId="13AEFF30">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16019CE0">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2143C384">
      <w:pPr>
        <w:adjustRightInd w:val="0"/>
        <w:snapToGrid w:val="0"/>
        <w:spacing w:line="440" w:lineRule="exact"/>
        <w:rPr>
          <w:rFonts w:hint="eastAsia" w:ascii="仿宋" w:hAnsi="仿宋" w:eastAsia="仿宋" w:cs="仿宋"/>
          <w:color w:val="auto"/>
          <w:sz w:val="24"/>
          <w:szCs w:val="24"/>
          <w:highlight w:val="none"/>
        </w:rPr>
      </w:pPr>
    </w:p>
    <w:p w14:paraId="1C4ECF89">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7F63788B">
      <w:pPr>
        <w:adjustRightInd w:val="0"/>
        <w:snapToGrid w:val="0"/>
        <w:spacing w:line="440" w:lineRule="exact"/>
        <w:rPr>
          <w:rFonts w:hint="eastAsia" w:ascii="仿宋" w:hAnsi="仿宋" w:eastAsia="仿宋" w:cs="仿宋"/>
          <w:color w:val="auto"/>
          <w:sz w:val="24"/>
          <w:szCs w:val="24"/>
          <w:highlight w:val="none"/>
        </w:rPr>
      </w:pPr>
    </w:p>
    <w:p w14:paraId="6B0D756E">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49A6C44">
      <w:pPr>
        <w:adjustRightInd w:val="0"/>
        <w:snapToGrid w:val="0"/>
        <w:spacing w:line="440" w:lineRule="exact"/>
        <w:rPr>
          <w:rFonts w:hint="eastAsia" w:ascii="仿宋" w:hAnsi="仿宋" w:eastAsia="仿宋" w:cs="仿宋"/>
          <w:color w:val="auto"/>
          <w:sz w:val="24"/>
          <w:szCs w:val="24"/>
          <w:highlight w:val="none"/>
        </w:rPr>
      </w:pPr>
    </w:p>
    <w:p w14:paraId="73CEB9C7">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14125A8">
      <w:pPr>
        <w:pStyle w:val="10"/>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2D28BA68">
      <w:pPr>
        <w:spacing w:line="360" w:lineRule="auto"/>
        <w:jc w:val="center"/>
        <w:rPr>
          <w:rFonts w:hint="eastAsia" w:ascii="仿宋" w:hAnsi="仿宋" w:eastAsia="仿宋" w:cs="仿宋"/>
          <w:b w:val="0"/>
          <w:bCs/>
          <w:color w:val="auto"/>
          <w:sz w:val="36"/>
          <w:szCs w:val="36"/>
          <w:highlight w:val="none"/>
          <w:lang w:eastAsia="zh-CN"/>
        </w:rPr>
      </w:pPr>
    </w:p>
    <w:p w14:paraId="3FCB9274">
      <w:pPr>
        <w:spacing w:line="360" w:lineRule="auto"/>
        <w:jc w:val="center"/>
        <w:rPr>
          <w:rFonts w:hint="eastAsia" w:ascii="仿宋" w:hAnsi="仿宋" w:eastAsia="仿宋" w:cs="仿宋"/>
          <w:b/>
          <w:color w:val="auto"/>
          <w:sz w:val="36"/>
          <w:szCs w:val="36"/>
          <w:highlight w:val="none"/>
          <w:lang w:eastAsia="zh-CN"/>
        </w:rPr>
      </w:pPr>
    </w:p>
    <w:p w14:paraId="0A049E9B">
      <w:pPr>
        <w:spacing w:line="360" w:lineRule="auto"/>
        <w:jc w:val="center"/>
        <w:rPr>
          <w:rFonts w:hint="eastAsia" w:ascii="仿宋" w:hAnsi="仿宋" w:eastAsia="仿宋" w:cs="仿宋"/>
          <w:b/>
          <w:color w:val="auto"/>
          <w:sz w:val="36"/>
          <w:szCs w:val="36"/>
          <w:highlight w:val="none"/>
          <w:lang w:eastAsia="zh-CN"/>
        </w:rPr>
      </w:pPr>
    </w:p>
    <w:p w14:paraId="33474600">
      <w:pPr>
        <w:spacing w:line="360" w:lineRule="auto"/>
        <w:jc w:val="center"/>
        <w:rPr>
          <w:rFonts w:hint="eastAsia" w:ascii="仿宋" w:hAnsi="仿宋" w:eastAsia="仿宋" w:cs="仿宋"/>
          <w:b/>
          <w:color w:val="auto"/>
          <w:sz w:val="36"/>
          <w:szCs w:val="36"/>
          <w:highlight w:val="none"/>
          <w:lang w:eastAsia="zh-CN"/>
        </w:rPr>
      </w:pPr>
    </w:p>
    <w:p w14:paraId="59F6ECE6">
      <w:pPr>
        <w:spacing w:line="360" w:lineRule="auto"/>
        <w:jc w:val="center"/>
        <w:rPr>
          <w:rFonts w:hint="eastAsia" w:ascii="仿宋" w:hAnsi="仿宋" w:eastAsia="仿宋" w:cs="仿宋"/>
          <w:b/>
          <w:color w:val="auto"/>
          <w:sz w:val="36"/>
          <w:szCs w:val="36"/>
          <w:highlight w:val="none"/>
          <w:lang w:eastAsia="zh-CN"/>
        </w:rPr>
      </w:pPr>
    </w:p>
    <w:p w14:paraId="0F5EC685">
      <w:pPr>
        <w:spacing w:line="360" w:lineRule="auto"/>
        <w:jc w:val="center"/>
        <w:rPr>
          <w:rFonts w:hint="eastAsia" w:ascii="仿宋" w:hAnsi="仿宋" w:eastAsia="仿宋" w:cs="仿宋"/>
          <w:b/>
          <w:color w:val="auto"/>
          <w:sz w:val="36"/>
          <w:szCs w:val="36"/>
          <w:highlight w:val="none"/>
          <w:lang w:eastAsia="zh-CN"/>
        </w:rPr>
      </w:pPr>
    </w:p>
    <w:p w14:paraId="576CCC2B">
      <w:pPr>
        <w:spacing w:line="360" w:lineRule="auto"/>
        <w:jc w:val="center"/>
        <w:rPr>
          <w:rFonts w:hint="eastAsia" w:ascii="仿宋" w:hAnsi="仿宋" w:eastAsia="仿宋" w:cs="仿宋"/>
          <w:b/>
          <w:color w:val="auto"/>
          <w:sz w:val="36"/>
          <w:szCs w:val="36"/>
          <w:highlight w:val="none"/>
          <w:lang w:eastAsia="zh-CN"/>
        </w:rPr>
      </w:pPr>
    </w:p>
    <w:p w14:paraId="0C33DB27">
      <w:pPr>
        <w:spacing w:line="360" w:lineRule="auto"/>
        <w:jc w:val="center"/>
        <w:rPr>
          <w:rFonts w:hint="eastAsia" w:ascii="仿宋" w:hAnsi="仿宋" w:eastAsia="仿宋" w:cs="仿宋"/>
          <w:b/>
          <w:color w:val="auto"/>
          <w:sz w:val="36"/>
          <w:szCs w:val="36"/>
          <w:highlight w:val="none"/>
          <w:lang w:eastAsia="zh-CN"/>
        </w:rPr>
      </w:pPr>
    </w:p>
    <w:p w14:paraId="5D292C76">
      <w:pPr>
        <w:spacing w:line="360" w:lineRule="auto"/>
        <w:jc w:val="both"/>
        <w:rPr>
          <w:rFonts w:hint="eastAsia" w:ascii="仿宋" w:hAnsi="仿宋" w:eastAsia="仿宋" w:cs="仿宋"/>
          <w:b/>
          <w:color w:val="auto"/>
          <w:sz w:val="36"/>
          <w:szCs w:val="36"/>
          <w:highlight w:val="none"/>
          <w:lang w:eastAsia="zh-CN"/>
        </w:rPr>
      </w:pPr>
    </w:p>
    <w:p w14:paraId="18D671C6">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color w:val="auto"/>
          <w:sz w:val="36"/>
          <w:szCs w:val="36"/>
          <w:highlight w:val="none"/>
          <w:lang w:val="en-US" w:eastAsia="zh-CN"/>
        </w:rPr>
        <w:t>10</w:t>
      </w:r>
      <w:r>
        <w:rPr>
          <w:rFonts w:hint="eastAsia" w:ascii="仿宋" w:hAnsi="仿宋" w:eastAsia="仿宋" w:cs="仿宋"/>
          <w:b/>
          <w:color w:val="auto"/>
          <w:sz w:val="36"/>
          <w:szCs w:val="36"/>
          <w:highlight w:val="none"/>
          <w:lang w:eastAsia="zh-CN"/>
        </w:rPr>
        <w:t>、中小企业声明函(</w:t>
      </w:r>
      <w:r>
        <w:rPr>
          <w:rFonts w:hint="eastAsia" w:ascii="仿宋" w:hAnsi="仿宋" w:eastAsia="仿宋" w:cs="仿宋"/>
          <w:b/>
          <w:color w:val="auto"/>
          <w:sz w:val="36"/>
          <w:szCs w:val="36"/>
          <w:highlight w:val="none"/>
          <w:lang w:val="en-US" w:eastAsia="zh-CN"/>
        </w:rPr>
        <w:t>服务</w:t>
      </w:r>
      <w:r>
        <w:rPr>
          <w:rFonts w:hint="eastAsia" w:ascii="仿宋" w:hAnsi="仿宋" w:eastAsia="仿宋" w:cs="仿宋"/>
          <w:b/>
          <w:color w:val="auto"/>
          <w:sz w:val="36"/>
          <w:szCs w:val="36"/>
          <w:highlight w:val="none"/>
          <w:lang w:eastAsia="zh-CN"/>
        </w:rPr>
        <w:t>)</w:t>
      </w:r>
    </w:p>
    <w:p w14:paraId="28772189">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w:t>
      </w:r>
      <w:r>
        <w:rPr>
          <w:rFonts w:hint="eastAsia" w:ascii="仿宋" w:hAnsi="仿宋" w:eastAsia="仿宋" w:cs="仿宋"/>
          <w:color w:val="auto"/>
          <w:highlight w:val="none"/>
          <w:u w:val="single"/>
          <w:lang w:eastAsia="zh-CN"/>
        </w:rPr>
        <w:t>（单位名称）</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采购活动，工程的施工单位全部为符合政策要求的中小企业 (或者：服务全部由符合政策要求的中小企业承接) 。相关企业 (含联合体中的中小企业、签 订分包意向协议的中小企业) 的具体情况如下：</w:t>
      </w:r>
    </w:p>
    <w:p w14:paraId="7CEB65BE">
      <w:pPr>
        <w:numPr>
          <w:ilvl w:val="0"/>
          <w:numId w:val="10"/>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承接</w:t>
      </w:r>
      <w:r>
        <w:rPr>
          <w:rFonts w:hint="eastAsia" w:ascii="仿宋" w:hAnsi="仿宋" w:eastAsia="仿宋" w:cs="仿宋"/>
          <w:color w:val="auto"/>
          <w:highlight w:val="none"/>
          <w:lang w:eastAsia="zh-CN"/>
        </w:rPr>
        <w:t>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2B5B4A4D">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（采购文件明中确的所属行业）</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承接</w:t>
      </w:r>
      <w:r>
        <w:rPr>
          <w:rFonts w:hint="eastAsia" w:ascii="仿宋" w:hAnsi="仿宋" w:eastAsia="仿宋" w:cs="仿宋"/>
          <w:color w:val="auto"/>
          <w:highlight w:val="none"/>
          <w:lang w:eastAsia="zh-CN"/>
        </w:rPr>
        <w:t>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623A117">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26690B4">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175FBD39">
      <w:pPr>
        <w:spacing w:line="360" w:lineRule="auto"/>
        <w:ind w:firstLine="480" w:firstLineChars="200"/>
        <w:rPr>
          <w:rFonts w:ascii="仿宋" w:hAnsi="仿宋" w:eastAsia="仿宋" w:cs="仿宋"/>
          <w:color w:val="auto"/>
          <w:highlight w:val="none"/>
          <w:lang w:eastAsia="zh-CN"/>
        </w:rPr>
      </w:pPr>
    </w:p>
    <w:p w14:paraId="2383F3DE">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356E3F7A">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D08B129">
      <w:pPr>
        <w:spacing w:line="360" w:lineRule="auto"/>
        <w:ind w:firstLine="480" w:firstLineChars="200"/>
        <w:rPr>
          <w:rFonts w:ascii="仿宋" w:hAnsi="仿宋" w:eastAsia="仿宋" w:cs="仿宋"/>
          <w:color w:val="auto"/>
          <w:highlight w:val="none"/>
          <w:lang w:eastAsia="zh-CN"/>
        </w:rPr>
      </w:pPr>
    </w:p>
    <w:p w14:paraId="4DB00AEA">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1939DE6D">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0B59DCC2">
      <w:pPr>
        <w:pStyle w:val="18"/>
        <w:rPr>
          <w:rFonts w:ascii="仿宋" w:hAnsi="仿宋" w:eastAsia="仿宋" w:cs="仿宋"/>
          <w:color w:val="auto"/>
          <w:highlight w:val="none"/>
          <w:lang w:eastAsia="zh-CN"/>
        </w:rPr>
      </w:pPr>
    </w:p>
    <w:p w14:paraId="711585F9">
      <w:pPr>
        <w:pStyle w:val="18"/>
        <w:rPr>
          <w:rFonts w:ascii="仿宋" w:hAnsi="仿宋" w:eastAsia="仿宋" w:cs="仿宋"/>
          <w:color w:val="auto"/>
          <w:highlight w:val="none"/>
          <w:lang w:eastAsia="zh-CN"/>
        </w:rPr>
      </w:pPr>
    </w:p>
    <w:p w14:paraId="61A9720B">
      <w:pPr>
        <w:pStyle w:val="18"/>
        <w:rPr>
          <w:rFonts w:ascii="仿宋" w:hAnsi="仿宋" w:eastAsia="仿宋" w:cs="仿宋"/>
          <w:color w:val="auto"/>
          <w:highlight w:val="none"/>
          <w:lang w:eastAsia="zh-CN"/>
        </w:rPr>
      </w:pPr>
    </w:p>
    <w:p w14:paraId="0C88061A">
      <w:pPr>
        <w:pStyle w:val="18"/>
        <w:rPr>
          <w:rFonts w:hint="eastAsia" w:ascii="仿宋" w:hAnsi="仿宋" w:eastAsia="仿宋" w:cs="仿宋"/>
          <w:color w:val="auto"/>
          <w:sz w:val="24"/>
          <w:szCs w:val="24"/>
          <w:highlight w:val="none"/>
          <w:lang w:val="en-US" w:eastAsia="zh-CN" w:bidi="en-US"/>
        </w:rPr>
      </w:pPr>
    </w:p>
    <w:p w14:paraId="18A5329F">
      <w:pPr>
        <w:pStyle w:val="18"/>
        <w:rPr>
          <w:rFonts w:hint="eastAsia" w:ascii="仿宋" w:hAnsi="仿宋" w:eastAsia="仿宋" w:cs="仿宋"/>
          <w:color w:val="auto"/>
          <w:sz w:val="24"/>
          <w:szCs w:val="24"/>
          <w:highlight w:val="none"/>
          <w:lang w:val="en-US" w:eastAsia="zh-CN" w:bidi="en-US"/>
        </w:rPr>
      </w:pPr>
    </w:p>
    <w:p w14:paraId="3DC625EB">
      <w:pPr>
        <w:pStyle w:val="18"/>
        <w:rPr>
          <w:rFonts w:hint="eastAsia" w:ascii="仿宋" w:hAnsi="仿宋" w:eastAsia="仿宋" w:cs="仿宋"/>
          <w:color w:val="auto"/>
          <w:sz w:val="24"/>
          <w:szCs w:val="24"/>
          <w:highlight w:val="none"/>
          <w:lang w:val="en-US" w:eastAsia="zh-CN" w:bidi="en-US"/>
        </w:rPr>
      </w:pPr>
    </w:p>
    <w:p w14:paraId="41A4B5CF">
      <w:pPr>
        <w:pStyle w:val="18"/>
        <w:rPr>
          <w:rFonts w:hint="eastAsia" w:ascii="仿宋" w:hAnsi="仿宋" w:eastAsia="仿宋" w:cs="仿宋"/>
          <w:color w:val="auto"/>
          <w:sz w:val="24"/>
          <w:szCs w:val="24"/>
          <w:highlight w:val="none"/>
          <w:lang w:val="en-US" w:eastAsia="zh-CN" w:bidi="en-US"/>
        </w:rPr>
      </w:pPr>
    </w:p>
    <w:p w14:paraId="7061C65E">
      <w:pPr>
        <w:pStyle w:val="18"/>
        <w:rPr>
          <w:rFonts w:hint="eastAsia" w:ascii="仿宋" w:hAnsi="仿宋" w:eastAsia="仿宋" w:cs="仿宋"/>
          <w:color w:val="auto"/>
          <w:sz w:val="24"/>
          <w:szCs w:val="24"/>
          <w:highlight w:val="none"/>
          <w:lang w:val="en-US" w:eastAsia="zh-CN" w:bidi="en-US"/>
        </w:rPr>
      </w:pPr>
    </w:p>
    <w:p w14:paraId="20D4090E">
      <w:pPr>
        <w:pStyle w:val="18"/>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sz w:val="24"/>
          <w:szCs w:val="24"/>
          <w:highlight w:val="none"/>
          <w:lang w:val="en-US" w:eastAsia="zh-CN" w:bidi="en-US"/>
        </w:rPr>
        <w:t>注：1、从业人员、营业收入、资产总额填报上一年度数据，无上一年度数据的 新成立企业可不填报。</w:t>
      </w:r>
    </w:p>
    <w:p w14:paraId="5EEA170B">
      <w:pPr>
        <w:pStyle w:val="18"/>
        <w:rPr>
          <w:rFonts w:ascii="仿宋" w:hAnsi="仿宋" w:eastAsia="仿宋" w:cs="仿宋"/>
          <w:color w:val="auto"/>
          <w:highlight w:val="none"/>
          <w:lang w:eastAsia="zh-CN"/>
        </w:rPr>
      </w:pPr>
    </w:p>
    <w:p w14:paraId="1248A82E">
      <w:pPr>
        <w:pStyle w:val="18"/>
        <w:rPr>
          <w:rFonts w:ascii="仿宋" w:hAnsi="仿宋" w:eastAsia="仿宋" w:cs="仿宋"/>
          <w:color w:val="auto"/>
          <w:highlight w:val="none"/>
          <w:lang w:eastAsia="zh-CN"/>
        </w:rPr>
      </w:pPr>
    </w:p>
    <w:p w14:paraId="762B8E76">
      <w:pPr>
        <w:pStyle w:val="18"/>
        <w:rPr>
          <w:rFonts w:ascii="仿宋" w:hAnsi="仿宋" w:eastAsia="仿宋" w:cs="仿宋"/>
          <w:color w:val="auto"/>
          <w:highlight w:val="none"/>
          <w:lang w:eastAsia="zh-CN"/>
        </w:rPr>
      </w:pPr>
    </w:p>
    <w:p w14:paraId="3F422C2F">
      <w:pPr>
        <w:tabs>
          <w:tab w:val="left" w:pos="3600"/>
        </w:tabs>
        <w:adjustRightInd w:val="0"/>
        <w:snapToGrid w:val="0"/>
        <w:spacing w:line="440" w:lineRule="exact"/>
        <w:jc w:val="both"/>
        <w:rPr>
          <w:rFonts w:hint="eastAsia" w:ascii="仿宋" w:hAnsi="仿宋" w:eastAsia="仿宋" w:cs="仿宋"/>
          <w:color w:val="auto"/>
          <w:sz w:val="36"/>
          <w:szCs w:val="36"/>
          <w:highlight w:val="none"/>
          <w:lang w:eastAsia="zh-CN"/>
        </w:rPr>
      </w:pPr>
    </w:p>
    <w:p w14:paraId="4479652E">
      <w:pPr>
        <w:tabs>
          <w:tab w:val="left" w:pos="3600"/>
        </w:tabs>
        <w:adjustRightInd w:val="0"/>
        <w:snapToGrid w:val="0"/>
        <w:spacing w:line="440" w:lineRule="exact"/>
        <w:jc w:val="center"/>
        <w:rPr>
          <w:rFonts w:ascii="仿宋" w:hAnsi="仿宋" w:eastAsia="仿宋" w:cs="仿宋"/>
          <w:b/>
          <w:bCs/>
          <w:color w:val="auto"/>
          <w:spacing w:val="6"/>
          <w:sz w:val="36"/>
          <w:szCs w:val="36"/>
          <w:highlight w:val="none"/>
          <w:lang w:eastAsia="zh-CN"/>
        </w:rPr>
      </w:pPr>
      <w:r>
        <w:rPr>
          <w:rFonts w:hint="eastAsia" w:ascii="仿宋" w:hAnsi="仿宋" w:eastAsia="仿宋" w:cs="仿宋"/>
          <w:color w:val="auto"/>
          <w:sz w:val="36"/>
          <w:szCs w:val="36"/>
          <w:highlight w:val="none"/>
          <w:lang w:val="en-US" w:eastAsia="zh-CN"/>
        </w:rPr>
        <w:t>11</w:t>
      </w:r>
      <w:r>
        <w:rPr>
          <w:rFonts w:hint="eastAsia" w:ascii="仿宋" w:hAnsi="仿宋" w:eastAsia="仿宋" w:cs="仿宋"/>
          <w:color w:val="auto"/>
          <w:sz w:val="36"/>
          <w:szCs w:val="36"/>
          <w:highlight w:val="none"/>
          <w:lang w:eastAsia="zh-CN"/>
        </w:rPr>
        <w:t>、</w:t>
      </w:r>
      <w:r>
        <w:rPr>
          <w:rFonts w:hint="eastAsia" w:ascii="仿宋" w:hAnsi="仿宋" w:eastAsia="仿宋" w:cs="仿宋"/>
          <w:b/>
          <w:bCs/>
          <w:color w:val="auto"/>
          <w:spacing w:val="6"/>
          <w:sz w:val="36"/>
          <w:szCs w:val="36"/>
          <w:highlight w:val="none"/>
          <w:lang w:eastAsia="zh-CN"/>
        </w:rPr>
        <w:t>残疾人福利性单位声明函</w:t>
      </w:r>
    </w:p>
    <w:p w14:paraId="710070EB">
      <w:pPr>
        <w:widowControl/>
        <w:adjustRightInd w:val="0"/>
        <w:snapToGrid w:val="0"/>
        <w:spacing w:line="440" w:lineRule="exact"/>
        <w:ind w:firstLine="504" w:firstLineChars="200"/>
        <w:rPr>
          <w:rFonts w:ascii="仿宋" w:hAnsi="仿宋" w:eastAsia="仿宋" w:cs="仿宋"/>
          <w:color w:val="auto"/>
          <w:spacing w:val="6"/>
          <w:highlight w:val="none"/>
          <w:lang w:eastAsia="zh-CN"/>
        </w:rPr>
      </w:pPr>
    </w:p>
    <w:p w14:paraId="29736BD5">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单位的</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14:paraId="771D4F72">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本单位对上述声明的真实性负责。如有虚假，将依法承担相应责任。</w:t>
      </w:r>
    </w:p>
    <w:p w14:paraId="791084A3">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w:t>
      </w:r>
    </w:p>
    <w:p w14:paraId="037B6B8D">
      <w:pPr>
        <w:widowControl/>
        <w:adjustRightInd w:val="0"/>
        <w:snapToGrid w:val="0"/>
        <w:spacing w:line="440" w:lineRule="exact"/>
        <w:ind w:firstLine="5544" w:firstLineChars="2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单位名称（盖章）：</w:t>
      </w:r>
    </w:p>
    <w:p w14:paraId="21F3CE9C">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日  期：</w:t>
      </w:r>
    </w:p>
    <w:p w14:paraId="686B0F18">
      <w:pPr>
        <w:pStyle w:val="3"/>
        <w:numPr>
          <w:ilvl w:val="1"/>
          <w:numId w:val="0"/>
        </w:numPr>
        <w:spacing w:line="240" w:lineRule="atLeast"/>
        <w:jc w:val="left"/>
        <w:rPr>
          <w:rFonts w:ascii="仿宋" w:hAnsi="仿宋" w:eastAsia="仿宋" w:cs="仿宋"/>
          <w:bCs/>
          <w:color w:val="auto"/>
          <w:sz w:val="24"/>
          <w:highlight w:val="none"/>
          <w:lang w:eastAsia="zh-CN"/>
        </w:rPr>
      </w:pPr>
    </w:p>
    <w:p w14:paraId="6E1B065C">
      <w:pPr>
        <w:pStyle w:val="3"/>
        <w:numPr>
          <w:ilvl w:val="1"/>
          <w:numId w:val="0"/>
        </w:numPr>
        <w:spacing w:line="240" w:lineRule="atLeast"/>
        <w:jc w:val="left"/>
        <w:rPr>
          <w:rFonts w:ascii="仿宋" w:hAnsi="仿宋" w:eastAsia="仿宋" w:cs="仿宋"/>
          <w:bCs/>
          <w:color w:val="auto"/>
          <w:sz w:val="24"/>
          <w:highlight w:val="none"/>
          <w:lang w:eastAsia="zh-CN"/>
        </w:rPr>
      </w:pPr>
    </w:p>
    <w:p w14:paraId="4AB09B34">
      <w:pPr>
        <w:pStyle w:val="3"/>
        <w:numPr>
          <w:ilvl w:val="1"/>
          <w:numId w:val="0"/>
        </w:numPr>
        <w:spacing w:line="240" w:lineRule="atLeast"/>
        <w:jc w:val="left"/>
        <w:rPr>
          <w:rFonts w:ascii="仿宋" w:hAnsi="仿宋" w:eastAsia="仿宋" w:cs="仿宋"/>
          <w:bCs/>
          <w:color w:val="auto"/>
          <w:sz w:val="24"/>
          <w:highlight w:val="none"/>
          <w:lang w:eastAsia="zh-CN"/>
        </w:rPr>
      </w:pPr>
    </w:p>
    <w:p w14:paraId="315F3993">
      <w:pPr>
        <w:rPr>
          <w:rFonts w:ascii="仿宋" w:hAnsi="仿宋" w:eastAsia="仿宋" w:cs="仿宋"/>
          <w:b/>
          <w:bCs/>
          <w:color w:val="auto"/>
          <w:highlight w:val="none"/>
          <w:lang w:eastAsia="zh-CN"/>
        </w:rPr>
      </w:pPr>
    </w:p>
    <w:p w14:paraId="0BB4D11A">
      <w:pPr>
        <w:pStyle w:val="34"/>
        <w:rPr>
          <w:rFonts w:ascii="仿宋" w:hAnsi="仿宋" w:eastAsia="仿宋" w:cs="仿宋"/>
          <w:b/>
          <w:bCs/>
          <w:color w:val="auto"/>
          <w:highlight w:val="none"/>
          <w:lang w:eastAsia="zh-CN"/>
        </w:rPr>
      </w:pPr>
    </w:p>
    <w:p w14:paraId="5C2F4114">
      <w:pPr>
        <w:pStyle w:val="34"/>
        <w:rPr>
          <w:rFonts w:ascii="仿宋" w:hAnsi="仿宋" w:eastAsia="仿宋" w:cs="仿宋"/>
          <w:b/>
          <w:bCs/>
          <w:color w:val="auto"/>
          <w:highlight w:val="none"/>
          <w:lang w:eastAsia="zh-CN"/>
        </w:rPr>
      </w:pPr>
    </w:p>
    <w:p w14:paraId="1C88C80D">
      <w:pPr>
        <w:pStyle w:val="34"/>
        <w:rPr>
          <w:rFonts w:ascii="仿宋" w:hAnsi="仿宋" w:eastAsia="仿宋" w:cs="仿宋"/>
          <w:b/>
          <w:bCs/>
          <w:color w:val="auto"/>
          <w:highlight w:val="none"/>
          <w:lang w:eastAsia="zh-CN"/>
        </w:rPr>
      </w:pPr>
    </w:p>
    <w:p w14:paraId="66420A14">
      <w:pPr>
        <w:pStyle w:val="34"/>
        <w:rPr>
          <w:rFonts w:ascii="仿宋" w:hAnsi="仿宋" w:eastAsia="仿宋" w:cs="仿宋"/>
          <w:b/>
          <w:bCs/>
          <w:color w:val="auto"/>
          <w:highlight w:val="none"/>
          <w:lang w:eastAsia="zh-CN"/>
        </w:rPr>
      </w:pPr>
    </w:p>
    <w:p w14:paraId="2D91DAEB">
      <w:pPr>
        <w:pStyle w:val="34"/>
        <w:rPr>
          <w:rFonts w:ascii="仿宋" w:hAnsi="仿宋" w:eastAsia="仿宋" w:cs="仿宋"/>
          <w:b/>
          <w:bCs/>
          <w:color w:val="auto"/>
          <w:highlight w:val="none"/>
          <w:lang w:eastAsia="zh-CN"/>
        </w:rPr>
      </w:pPr>
    </w:p>
    <w:p w14:paraId="244F8767">
      <w:pPr>
        <w:pStyle w:val="34"/>
        <w:rPr>
          <w:rFonts w:ascii="仿宋" w:hAnsi="仿宋" w:eastAsia="仿宋" w:cs="仿宋"/>
          <w:b/>
          <w:bCs/>
          <w:color w:val="auto"/>
          <w:highlight w:val="none"/>
          <w:lang w:eastAsia="zh-CN"/>
        </w:rPr>
      </w:pPr>
    </w:p>
    <w:p w14:paraId="1020AD3C">
      <w:pPr>
        <w:pStyle w:val="34"/>
        <w:rPr>
          <w:rFonts w:ascii="仿宋" w:hAnsi="仿宋" w:eastAsia="仿宋" w:cs="仿宋"/>
          <w:b/>
          <w:bCs/>
          <w:color w:val="auto"/>
          <w:highlight w:val="none"/>
          <w:lang w:eastAsia="zh-CN"/>
        </w:rPr>
      </w:pPr>
    </w:p>
    <w:p w14:paraId="24A5BF05">
      <w:pPr>
        <w:pStyle w:val="34"/>
        <w:rPr>
          <w:rFonts w:ascii="仿宋" w:hAnsi="仿宋" w:eastAsia="仿宋" w:cs="仿宋"/>
          <w:b/>
          <w:bCs/>
          <w:color w:val="auto"/>
          <w:highlight w:val="none"/>
          <w:lang w:eastAsia="zh-CN"/>
        </w:rPr>
      </w:pPr>
    </w:p>
    <w:p w14:paraId="6B3D8DA6">
      <w:pPr>
        <w:pStyle w:val="34"/>
        <w:rPr>
          <w:rFonts w:ascii="仿宋" w:hAnsi="仿宋" w:eastAsia="仿宋" w:cs="仿宋"/>
          <w:b/>
          <w:bCs/>
          <w:color w:val="auto"/>
          <w:highlight w:val="none"/>
          <w:lang w:eastAsia="zh-CN"/>
        </w:rPr>
      </w:pPr>
    </w:p>
    <w:p w14:paraId="53ADA522">
      <w:pPr>
        <w:pStyle w:val="34"/>
        <w:rPr>
          <w:rFonts w:ascii="仿宋" w:hAnsi="仿宋" w:eastAsia="仿宋" w:cs="仿宋"/>
          <w:b/>
          <w:bCs/>
          <w:color w:val="auto"/>
          <w:highlight w:val="none"/>
          <w:lang w:eastAsia="zh-CN"/>
        </w:rPr>
      </w:pPr>
    </w:p>
    <w:p w14:paraId="50135EDE">
      <w:pPr>
        <w:pStyle w:val="34"/>
        <w:rPr>
          <w:rFonts w:ascii="仿宋" w:hAnsi="仿宋" w:eastAsia="仿宋" w:cs="仿宋"/>
          <w:b/>
          <w:bCs/>
          <w:color w:val="auto"/>
          <w:highlight w:val="none"/>
          <w:lang w:eastAsia="zh-CN"/>
        </w:rPr>
      </w:pPr>
    </w:p>
    <w:p w14:paraId="671A5178">
      <w:pPr>
        <w:pStyle w:val="34"/>
        <w:rPr>
          <w:rFonts w:ascii="仿宋" w:hAnsi="仿宋" w:eastAsia="仿宋" w:cs="仿宋"/>
          <w:b/>
          <w:bCs/>
          <w:color w:val="auto"/>
          <w:highlight w:val="none"/>
          <w:lang w:eastAsia="zh-CN"/>
        </w:rPr>
      </w:pPr>
    </w:p>
    <w:p w14:paraId="4FB77649">
      <w:pPr>
        <w:pStyle w:val="34"/>
        <w:rPr>
          <w:rFonts w:ascii="仿宋" w:hAnsi="仿宋" w:eastAsia="仿宋" w:cs="仿宋"/>
          <w:b/>
          <w:bCs/>
          <w:color w:val="auto"/>
          <w:highlight w:val="none"/>
          <w:lang w:eastAsia="zh-CN"/>
        </w:rPr>
      </w:pPr>
    </w:p>
    <w:p w14:paraId="72E4B91E">
      <w:pPr>
        <w:pStyle w:val="34"/>
        <w:rPr>
          <w:rFonts w:ascii="仿宋" w:hAnsi="仿宋" w:eastAsia="仿宋" w:cs="仿宋"/>
          <w:b/>
          <w:bCs/>
          <w:color w:val="auto"/>
          <w:highlight w:val="none"/>
          <w:lang w:eastAsia="zh-CN"/>
        </w:rPr>
      </w:pPr>
    </w:p>
    <w:p w14:paraId="22B4C961">
      <w:pPr>
        <w:pStyle w:val="34"/>
        <w:rPr>
          <w:rFonts w:ascii="仿宋" w:hAnsi="仿宋" w:eastAsia="仿宋" w:cs="仿宋"/>
          <w:b/>
          <w:bCs/>
          <w:color w:val="auto"/>
          <w:highlight w:val="none"/>
          <w:lang w:eastAsia="zh-CN"/>
        </w:rPr>
      </w:pPr>
    </w:p>
    <w:p w14:paraId="630FCC02">
      <w:pPr>
        <w:pStyle w:val="34"/>
        <w:rPr>
          <w:rFonts w:ascii="仿宋" w:hAnsi="仿宋" w:eastAsia="仿宋" w:cs="仿宋"/>
          <w:b/>
          <w:bCs/>
          <w:color w:val="auto"/>
          <w:highlight w:val="none"/>
          <w:lang w:eastAsia="zh-CN"/>
        </w:rPr>
      </w:pPr>
    </w:p>
    <w:p w14:paraId="21C62AF1">
      <w:pPr>
        <w:pStyle w:val="34"/>
        <w:rPr>
          <w:rFonts w:ascii="仿宋" w:hAnsi="仿宋" w:eastAsia="仿宋" w:cs="仿宋"/>
          <w:b/>
          <w:bCs/>
          <w:color w:val="auto"/>
          <w:highlight w:val="none"/>
          <w:lang w:eastAsia="zh-CN"/>
        </w:rPr>
      </w:pPr>
    </w:p>
    <w:p w14:paraId="6D95417F">
      <w:pPr>
        <w:pStyle w:val="34"/>
        <w:rPr>
          <w:rFonts w:ascii="仿宋" w:hAnsi="仿宋" w:eastAsia="仿宋" w:cs="仿宋"/>
          <w:b/>
          <w:bCs/>
          <w:color w:val="auto"/>
          <w:highlight w:val="none"/>
          <w:lang w:eastAsia="zh-CN"/>
        </w:rPr>
      </w:pPr>
    </w:p>
    <w:p w14:paraId="2D6350AF">
      <w:pPr>
        <w:pStyle w:val="3"/>
        <w:numPr>
          <w:ilvl w:val="1"/>
          <w:numId w:val="0"/>
        </w:numPr>
        <w:spacing w:line="240" w:lineRule="atLeast"/>
        <w:jc w:val="left"/>
        <w:rPr>
          <w:rFonts w:ascii="仿宋" w:hAnsi="仿宋" w:eastAsia="仿宋" w:cs="仿宋"/>
          <w:bCs/>
          <w:color w:val="auto"/>
          <w:sz w:val="24"/>
          <w:highlight w:val="none"/>
          <w:lang w:eastAsia="zh-CN"/>
        </w:rPr>
      </w:pPr>
    </w:p>
    <w:p w14:paraId="1B2F0078">
      <w:pPr>
        <w:tabs>
          <w:tab w:val="left" w:pos="3600"/>
        </w:tabs>
        <w:adjustRightInd w:val="0"/>
        <w:snapToGrid w:val="0"/>
        <w:spacing w:line="440" w:lineRule="exact"/>
        <w:jc w:val="center"/>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val="en-US" w:eastAsia="zh-CN"/>
        </w:rPr>
        <w:t>12</w:t>
      </w:r>
      <w:r>
        <w:rPr>
          <w:rFonts w:hint="eastAsia" w:ascii="仿宋" w:hAnsi="仿宋" w:eastAsia="仿宋" w:cs="仿宋"/>
          <w:b/>
          <w:bCs/>
          <w:color w:val="auto"/>
          <w:sz w:val="32"/>
          <w:szCs w:val="32"/>
          <w:highlight w:val="none"/>
          <w:lang w:eastAsia="zh-CN"/>
        </w:rPr>
        <w:t>、评分标准和细则中技术、</w:t>
      </w:r>
      <w:r>
        <w:rPr>
          <w:rFonts w:hint="eastAsia" w:ascii="仿宋" w:hAnsi="仿宋" w:eastAsia="仿宋" w:cs="仿宋"/>
          <w:b/>
          <w:bCs/>
          <w:color w:val="auto"/>
          <w:sz w:val="32"/>
          <w:szCs w:val="32"/>
          <w:highlight w:val="none"/>
          <w:lang w:val="en-US" w:eastAsia="zh-CN"/>
        </w:rPr>
        <w:t>商务</w:t>
      </w:r>
      <w:r>
        <w:rPr>
          <w:rFonts w:hint="eastAsia" w:ascii="仿宋" w:hAnsi="仿宋" w:eastAsia="仿宋" w:cs="仿宋"/>
          <w:b/>
          <w:bCs/>
          <w:color w:val="auto"/>
          <w:sz w:val="32"/>
          <w:szCs w:val="32"/>
          <w:highlight w:val="none"/>
          <w:lang w:eastAsia="zh-CN"/>
        </w:rPr>
        <w:t>部分证明材料（格式自拟</w:t>
      </w:r>
      <w:r>
        <w:rPr>
          <w:rFonts w:hint="eastAsia" w:ascii="仿宋" w:hAnsi="仿宋" w:eastAsia="仿宋" w:cs="仿宋"/>
          <w:color w:val="auto"/>
          <w:sz w:val="32"/>
          <w:szCs w:val="32"/>
          <w:highlight w:val="none"/>
          <w:lang w:eastAsia="zh-CN"/>
        </w:rPr>
        <w:t>）</w:t>
      </w:r>
    </w:p>
    <w:p w14:paraId="30DA0506">
      <w:pPr>
        <w:pStyle w:val="3"/>
        <w:numPr>
          <w:ilvl w:val="1"/>
          <w:numId w:val="0"/>
        </w:numPr>
        <w:spacing w:line="240" w:lineRule="atLeast"/>
        <w:ind w:left="617" w:leftChars="257"/>
        <w:rPr>
          <w:rFonts w:ascii="仿宋" w:hAnsi="仿宋" w:eastAsia="仿宋" w:cs="仿宋"/>
          <w:color w:val="auto"/>
          <w:sz w:val="24"/>
          <w:highlight w:val="none"/>
          <w:lang w:eastAsia="zh-CN"/>
        </w:rPr>
      </w:pPr>
    </w:p>
    <w:p w14:paraId="58A45C5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14:paraId="080F43B7">
      <w:pPr>
        <w:pStyle w:val="13"/>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4D6B9A59">
      <w:pPr>
        <w:pStyle w:val="4"/>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p>
    <w:p w14:paraId="460624E9">
      <w:pPr>
        <w:rPr>
          <w:rFonts w:ascii="仿宋" w:hAnsi="仿宋" w:eastAsia="仿宋" w:cs="仿宋"/>
          <w:color w:val="auto"/>
          <w:highlight w:val="none"/>
          <w:lang w:eastAsia="zh-CN"/>
        </w:rPr>
      </w:pPr>
    </w:p>
    <w:p w14:paraId="45EC6827">
      <w:pPr>
        <w:pStyle w:val="3"/>
        <w:numPr>
          <w:ilvl w:val="1"/>
          <w:numId w:val="0"/>
        </w:numPr>
        <w:spacing w:line="240" w:lineRule="atLeast"/>
        <w:ind w:left="617" w:leftChars="257"/>
        <w:rPr>
          <w:rFonts w:ascii="仿宋" w:hAnsi="仿宋" w:eastAsia="仿宋" w:cs="仿宋"/>
          <w:color w:val="auto"/>
          <w:sz w:val="24"/>
          <w:highlight w:val="none"/>
          <w:lang w:eastAsia="zh-CN"/>
        </w:rPr>
      </w:pPr>
    </w:p>
    <w:p w14:paraId="6AF56020">
      <w:pPr>
        <w:tabs>
          <w:tab w:val="left" w:pos="3600"/>
        </w:tabs>
        <w:adjustRightInd w:val="0"/>
        <w:snapToGrid w:val="0"/>
        <w:spacing w:line="440" w:lineRule="exact"/>
        <w:jc w:val="center"/>
        <w:rPr>
          <w:rFonts w:ascii="仿宋" w:hAnsi="仿宋" w:eastAsia="仿宋" w:cs="仿宋"/>
          <w:b/>
          <w:bCs/>
          <w:color w:val="auto"/>
          <w:w w:val="90"/>
          <w:sz w:val="36"/>
          <w:szCs w:val="36"/>
          <w:highlight w:val="none"/>
          <w:lang w:eastAsia="zh-CN"/>
        </w:rPr>
      </w:pPr>
      <w:r>
        <w:rPr>
          <w:rFonts w:hint="eastAsia" w:ascii="仿宋" w:hAnsi="仿宋" w:eastAsia="仿宋" w:cs="仿宋"/>
          <w:b/>
          <w:bCs/>
          <w:color w:val="auto"/>
          <w:sz w:val="36"/>
          <w:szCs w:val="36"/>
          <w:highlight w:val="none"/>
          <w:lang w:val="en-US" w:eastAsia="zh-CN"/>
        </w:rPr>
        <w:t>13</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w w:val="90"/>
          <w:sz w:val="36"/>
          <w:szCs w:val="36"/>
          <w:highlight w:val="none"/>
          <w:lang w:eastAsia="zh-CN"/>
        </w:rPr>
        <w:t>供应商认为有必要提供的其他证明材料（格式自拟）</w:t>
      </w:r>
    </w:p>
    <w:p w14:paraId="6C537709">
      <w:pPr>
        <w:pStyle w:val="13"/>
        <w:tabs>
          <w:tab w:val="left" w:pos="5580"/>
        </w:tabs>
        <w:spacing w:line="240" w:lineRule="atLeast"/>
        <w:ind w:firstLine="480" w:firstLineChars="200"/>
        <w:rPr>
          <w:rFonts w:ascii="仿宋" w:hAnsi="仿宋" w:eastAsia="仿宋" w:cs="仿宋"/>
          <w:color w:val="auto"/>
          <w:highlight w:val="none"/>
          <w:lang w:eastAsia="zh-CN"/>
        </w:rPr>
      </w:pPr>
    </w:p>
    <w:p w14:paraId="4BBA3503">
      <w:pPr>
        <w:pStyle w:val="13"/>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说明：装修改造部分如有转包，双方均须提供承诺书。</w:t>
      </w:r>
    </w:p>
    <w:p w14:paraId="225FB08E">
      <w:pPr>
        <w:pStyle w:val="19"/>
        <w:ind w:left="2880"/>
        <w:rPr>
          <w:color w:val="auto"/>
          <w:highlight w:val="none"/>
          <w:lang w:eastAsia="zh-CN"/>
        </w:rPr>
      </w:pPr>
    </w:p>
    <w:p w14:paraId="1FFC103A">
      <w:pPr>
        <w:rPr>
          <w:color w:val="auto"/>
          <w:highlight w:val="none"/>
          <w:lang w:eastAsia="zh-CN"/>
        </w:rPr>
      </w:pPr>
    </w:p>
    <w:p w14:paraId="7A772C28">
      <w:pPr>
        <w:rPr>
          <w:color w:val="auto"/>
          <w:highlight w:val="none"/>
          <w:lang w:eastAsia="zh-CN"/>
        </w:rPr>
      </w:pPr>
    </w:p>
    <w:p w14:paraId="6822531B">
      <w:pPr>
        <w:rPr>
          <w:color w:val="auto"/>
          <w:highlight w:val="none"/>
          <w:lang w:eastAsia="zh-CN"/>
        </w:rPr>
      </w:pPr>
    </w:p>
    <w:p w14:paraId="4236D355">
      <w:pPr>
        <w:rPr>
          <w:color w:val="auto"/>
          <w:highlight w:val="none"/>
          <w:lang w:eastAsia="zh-CN"/>
        </w:rPr>
      </w:pPr>
    </w:p>
    <w:p w14:paraId="37D07EFF">
      <w:pPr>
        <w:rPr>
          <w:color w:val="auto"/>
          <w:highlight w:val="none"/>
          <w:lang w:eastAsia="zh-CN"/>
        </w:rPr>
      </w:pPr>
    </w:p>
    <w:p w14:paraId="6459433D">
      <w:pPr>
        <w:rPr>
          <w:color w:val="auto"/>
          <w:highlight w:val="none"/>
          <w:lang w:eastAsia="zh-CN"/>
        </w:rPr>
      </w:pPr>
    </w:p>
    <w:p w14:paraId="56F622CA">
      <w:pPr>
        <w:rPr>
          <w:color w:val="auto"/>
          <w:highlight w:val="none"/>
          <w:lang w:eastAsia="zh-CN"/>
        </w:rPr>
      </w:pPr>
    </w:p>
    <w:p w14:paraId="6C08F5CD">
      <w:pPr>
        <w:rPr>
          <w:color w:val="auto"/>
          <w:highlight w:val="none"/>
          <w:lang w:eastAsia="zh-CN"/>
        </w:rPr>
      </w:pPr>
    </w:p>
    <w:p w14:paraId="5A76C464">
      <w:pPr>
        <w:rPr>
          <w:color w:val="auto"/>
          <w:highlight w:val="none"/>
          <w:lang w:eastAsia="zh-CN"/>
        </w:rPr>
      </w:pPr>
    </w:p>
    <w:p w14:paraId="050D584F">
      <w:pPr>
        <w:rPr>
          <w:color w:val="auto"/>
          <w:highlight w:val="none"/>
          <w:lang w:eastAsia="zh-CN"/>
        </w:rPr>
      </w:pPr>
    </w:p>
    <w:p w14:paraId="6BC597FD">
      <w:pPr>
        <w:rPr>
          <w:color w:val="auto"/>
          <w:highlight w:val="none"/>
          <w:lang w:eastAsia="zh-CN"/>
        </w:rPr>
      </w:pPr>
    </w:p>
    <w:p w14:paraId="085EC00D">
      <w:pPr>
        <w:rPr>
          <w:color w:val="auto"/>
          <w:highlight w:val="none"/>
          <w:lang w:eastAsia="zh-CN"/>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C29A">
    <w:pPr>
      <w:pStyle w:val="16"/>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C175EF"/>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2FC175EF"/>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F081">
    <w:pPr>
      <w:pStyle w:val="16"/>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18E609">
                          <w:pPr>
                            <w:pStyle w:val="1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2D18E609">
                    <w:pPr>
                      <w:pStyle w:val="16"/>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6D367">
    <w:pPr>
      <w:pStyle w:val="16"/>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41D3E2">
                          <w:pPr>
                            <w:pStyle w:val="1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pxM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QenEzICAABjBAAADgAAAAAAAAABACAAAAAfAQAAZHJzL2Uyb0RvYy54bWxQSwUG&#10;AAAAAAYABgBZAQAAwwUAAAAA&#10;">
              <v:fill on="f" focussize="0,0"/>
              <v:stroke on="f" weight="0.5pt"/>
              <v:imagedata o:title=""/>
              <o:lock v:ext="edit" aspectratio="f"/>
              <v:textbox inset="0mm,0mm,0mm,0mm" style="mso-fit-shape-to-text:t;">
                <w:txbxContent>
                  <w:p w14:paraId="2041D3E2">
                    <w:pPr>
                      <w:pStyle w:val="16"/>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40D3DAAB">
    <w:pPr>
      <w:pStyle w:val="16"/>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62C56">
    <w:pPr>
      <w:pStyle w:val="16"/>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214003">
                          <w:pPr>
                            <w:pStyle w:val="16"/>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5D214003">
                    <w:pPr>
                      <w:pStyle w:val="16"/>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3EF108E1">
    <w:pPr>
      <w:pStyle w:val="16"/>
      <w:autoSpaceDE w:val="0"/>
      <w:autoSpaceDN w:val="0"/>
      <w:adjustRightInd w:val="0"/>
      <w:ind w:left="7200" w:hanging="7200" w:hangingChars="4000"/>
      <w:jc w:val="both"/>
    </w:pPr>
  </w:p>
  <w:p w14:paraId="4AB507FD">
    <w:pPr>
      <w:pStyle w:val="16"/>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10B89">
    <w:pPr>
      <w:pStyle w:val="16"/>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27D040">
                          <w:pPr>
                            <w:pStyle w:val="1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3927D040">
                    <w:pPr>
                      <w:pStyle w:val="1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FE194">
    <w:pPr>
      <w:pStyle w:val="17"/>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9DD78">
    <w:pPr>
      <w:pStyle w:val="17"/>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C9A7">
    <w:pPr>
      <w:pStyle w:val="17"/>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B416A"/>
    <w:multiLevelType w:val="singleLevel"/>
    <w:tmpl w:val="A24B416A"/>
    <w:lvl w:ilvl="0" w:tentative="0">
      <w:start w:val="1"/>
      <w:numFmt w:val="decimal"/>
      <w:suff w:val="nothing"/>
      <w:lvlText w:val="（%1）"/>
      <w:lvlJc w:val="left"/>
    </w:lvl>
  </w:abstractNum>
  <w:abstractNum w:abstractNumId="1">
    <w:nsid w:val="CF0DAD01"/>
    <w:multiLevelType w:val="singleLevel"/>
    <w:tmpl w:val="CF0DAD01"/>
    <w:lvl w:ilvl="0" w:tentative="0">
      <w:start w:val="1"/>
      <w:numFmt w:val="decimal"/>
      <w:suff w:val="space"/>
      <w:lvlText w:val="%1."/>
      <w:lvlJc w:val="left"/>
    </w:lvl>
  </w:abstractNum>
  <w:abstractNum w:abstractNumId="2">
    <w:nsid w:val="DC1872A4"/>
    <w:multiLevelType w:val="singleLevel"/>
    <w:tmpl w:val="DC1872A4"/>
    <w:lvl w:ilvl="0" w:tentative="0">
      <w:start w:val="8"/>
      <w:numFmt w:val="decimal"/>
      <w:suff w:val="nothing"/>
      <w:lvlText w:val="（%1）"/>
      <w:lvlJc w:val="left"/>
    </w:lvl>
  </w:abstractNum>
  <w:abstractNum w:abstractNumId="3">
    <w:nsid w:val="E643E0BB"/>
    <w:multiLevelType w:val="singleLevel"/>
    <w:tmpl w:val="E643E0BB"/>
    <w:lvl w:ilvl="0" w:tentative="0">
      <w:start w:val="6"/>
      <w:numFmt w:val="chineseCounting"/>
      <w:suff w:val="nothing"/>
      <w:lvlText w:val="%1、"/>
      <w:lvlJc w:val="left"/>
      <w:rPr>
        <w:rFonts w:hint="eastAsia"/>
      </w:rPr>
    </w:lvl>
  </w:abstractNum>
  <w:abstractNum w:abstractNumId="4">
    <w:nsid w:val="0000000D"/>
    <w:multiLevelType w:val="multilevel"/>
    <w:tmpl w:val="0000000D"/>
    <w:lvl w:ilvl="0" w:tentative="0">
      <w:start w:val="1"/>
      <w:numFmt w:val="decimal"/>
      <w:pStyle w:val="10"/>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5">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3EAC29FF"/>
    <w:multiLevelType w:val="singleLevel"/>
    <w:tmpl w:val="3EAC29FF"/>
    <w:lvl w:ilvl="0" w:tentative="0">
      <w:start w:val="1"/>
      <w:numFmt w:val="decimal"/>
      <w:pStyle w:val="14"/>
      <w:lvlText w:val="%1."/>
      <w:lvlJc w:val="left"/>
      <w:pPr>
        <w:tabs>
          <w:tab w:val="left" w:pos="2040"/>
        </w:tabs>
        <w:ind w:left="2040" w:hanging="360"/>
      </w:p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7"/>
  </w:num>
  <w:num w:numId="3">
    <w:abstractNumId w:val="3"/>
  </w:num>
  <w:num w:numId="4">
    <w:abstractNumId w:val="8"/>
  </w:num>
  <w:num w:numId="5">
    <w:abstractNumId w:val="6"/>
  </w:num>
  <w:num w:numId="6">
    <w:abstractNumId w:val="9"/>
  </w:num>
  <w:num w:numId="7">
    <w:abstractNumId w:val="2"/>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00A04"/>
    <w:rsid w:val="00036274"/>
    <w:rsid w:val="000E7277"/>
    <w:rsid w:val="00153D08"/>
    <w:rsid w:val="001909B2"/>
    <w:rsid w:val="00232113"/>
    <w:rsid w:val="00232484"/>
    <w:rsid w:val="00270BE1"/>
    <w:rsid w:val="004259D8"/>
    <w:rsid w:val="00461E17"/>
    <w:rsid w:val="00471CA4"/>
    <w:rsid w:val="00562077"/>
    <w:rsid w:val="00597163"/>
    <w:rsid w:val="005D4E0B"/>
    <w:rsid w:val="00643BE3"/>
    <w:rsid w:val="006761BB"/>
    <w:rsid w:val="006D00E3"/>
    <w:rsid w:val="0076445C"/>
    <w:rsid w:val="008276FA"/>
    <w:rsid w:val="008849F7"/>
    <w:rsid w:val="008D1783"/>
    <w:rsid w:val="008D4A14"/>
    <w:rsid w:val="009143D6"/>
    <w:rsid w:val="009E28DB"/>
    <w:rsid w:val="00A329DF"/>
    <w:rsid w:val="00A75CA8"/>
    <w:rsid w:val="00AA277B"/>
    <w:rsid w:val="00AB0B74"/>
    <w:rsid w:val="00AF420A"/>
    <w:rsid w:val="00B50D57"/>
    <w:rsid w:val="00BA4013"/>
    <w:rsid w:val="00C00EF7"/>
    <w:rsid w:val="00C26A7F"/>
    <w:rsid w:val="00C377E4"/>
    <w:rsid w:val="00C53164"/>
    <w:rsid w:val="00C57AF5"/>
    <w:rsid w:val="00C74FD6"/>
    <w:rsid w:val="00D00791"/>
    <w:rsid w:val="00D00D67"/>
    <w:rsid w:val="00D03DFD"/>
    <w:rsid w:val="00D0403D"/>
    <w:rsid w:val="00D84377"/>
    <w:rsid w:val="00DA3EA5"/>
    <w:rsid w:val="00DE0124"/>
    <w:rsid w:val="00E46AD2"/>
    <w:rsid w:val="00E56748"/>
    <w:rsid w:val="00EB29FB"/>
    <w:rsid w:val="00ED05CA"/>
    <w:rsid w:val="00F050C2"/>
    <w:rsid w:val="00F5767A"/>
    <w:rsid w:val="00F70359"/>
    <w:rsid w:val="00FB6C7A"/>
    <w:rsid w:val="01100FAB"/>
    <w:rsid w:val="0123584C"/>
    <w:rsid w:val="014631E4"/>
    <w:rsid w:val="014F6266"/>
    <w:rsid w:val="015E0ED4"/>
    <w:rsid w:val="016F1F36"/>
    <w:rsid w:val="018A1427"/>
    <w:rsid w:val="019F0F2F"/>
    <w:rsid w:val="01AF0E8E"/>
    <w:rsid w:val="01BA3FA8"/>
    <w:rsid w:val="01E44B68"/>
    <w:rsid w:val="01EF3980"/>
    <w:rsid w:val="02145195"/>
    <w:rsid w:val="02147DFC"/>
    <w:rsid w:val="02315CB3"/>
    <w:rsid w:val="02557C87"/>
    <w:rsid w:val="02614ACA"/>
    <w:rsid w:val="027D687D"/>
    <w:rsid w:val="028642E4"/>
    <w:rsid w:val="028F7AA8"/>
    <w:rsid w:val="02931780"/>
    <w:rsid w:val="02BF340E"/>
    <w:rsid w:val="02E7054D"/>
    <w:rsid w:val="02ED0A5A"/>
    <w:rsid w:val="02F96864"/>
    <w:rsid w:val="03120DC1"/>
    <w:rsid w:val="03152839"/>
    <w:rsid w:val="034354ED"/>
    <w:rsid w:val="03531E23"/>
    <w:rsid w:val="035508BA"/>
    <w:rsid w:val="03AA005B"/>
    <w:rsid w:val="03D270B5"/>
    <w:rsid w:val="03DF7ECE"/>
    <w:rsid w:val="04027F4A"/>
    <w:rsid w:val="041C2283"/>
    <w:rsid w:val="042A106A"/>
    <w:rsid w:val="04700DA8"/>
    <w:rsid w:val="04770389"/>
    <w:rsid w:val="04C64537"/>
    <w:rsid w:val="04D51446"/>
    <w:rsid w:val="04E11CA6"/>
    <w:rsid w:val="050F221F"/>
    <w:rsid w:val="051E7B81"/>
    <w:rsid w:val="052B11CF"/>
    <w:rsid w:val="054054C9"/>
    <w:rsid w:val="056F1060"/>
    <w:rsid w:val="0591547A"/>
    <w:rsid w:val="05A364E5"/>
    <w:rsid w:val="05CC1363"/>
    <w:rsid w:val="05CE725F"/>
    <w:rsid w:val="05D26519"/>
    <w:rsid w:val="05E43238"/>
    <w:rsid w:val="05F81344"/>
    <w:rsid w:val="06141E47"/>
    <w:rsid w:val="061E4834"/>
    <w:rsid w:val="062E44A1"/>
    <w:rsid w:val="062F2BDC"/>
    <w:rsid w:val="06385AA9"/>
    <w:rsid w:val="063B7194"/>
    <w:rsid w:val="06542070"/>
    <w:rsid w:val="067376C2"/>
    <w:rsid w:val="067D155B"/>
    <w:rsid w:val="068A122F"/>
    <w:rsid w:val="068F23C3"/>
    <w:rsid w:val="06A20D46"/>
    <w:rsid w:val="0712765B"/>
    <w:rsid w:val="07286AF1"/>
    <w:rsid w:val="072C60C0"/>
    <w:rsid w:val="073826E5"/>
    <w:rsid w:val="074F6B51"/>
    <w:rsid w:val="07F25E8F"/>
    <w:rsid w:val="08253C96"/>
    <w:rsid w:val="08323FEC"/>
    <w:rsid w:val="08515F3C"/>
    <w:rsid w:val="085D5AE7"/>
    <w:rsid w:val="086504F8"/>
    <w:rsid w:val="088C7521"/>
    <w:rsid w:val="08A74A42"/>
    <w:rsid w:val="08AE54C3"/>
    <w:rsid w:val="091D420B"/>
    <w:rsid w:val="09231976"/>
    <w:rsid w:val="093F2ABC"/>
    <w:rsid w:val="095073FA"/>
    <w:rsid w:val="096F4CEE"/>
    <w:rsid w:val="09881342"/>
    <w:rsid w:val="099723FA"/>
    <w:rsid w:val="09B17236"/>
    <w:rsid w:val="09B44D67"/>
    <w:rsid w:val="09BB7723"/>
    <w:rsid w:val="09CC5721"/>
    <w:rsid w:val="09DC47EA"/>
    <w:rsid w:val="09E92566"/>
    <w:rsid w:val="0A007485"/>
    <w:rsid w:val="0A226110"/>
    <w:rsid w:val="0A271261"/>
    <w:rsid w:val="0A622E54"/>
    <w:rsid w:val="0A8E01DA"/>
    <w:rsid w:val="0A982D0F"/>
    <w:rsid w:val="0AC17FB0"/>
    <w:rsid w:val="0AEC1713"/>
    <w:rsid w:val="0AFE7394"/>
    <w:rsid w:val="0B213EE8"/>
    <w:rsid w:val="0B2F3756"/>
    <w:rsid w:val="0B3D750A"/>
    <w:rsid w:val="0B416FFB"/>
    <w:rsid w:val="0B4660A3"/>
    <w:rsid w:val="0B472137"/>
    <w:rsid w:val="0B641CFB"/>
    <w:rsid w:val="0B81389B"/>
    <w:rsid w:val="0B941400"/>
    <w:rsid w:val="0B9E39F1"/>
    <w:rsid w:val="0BB54396"/>
    <w:rsid w:val="0BD7795F"/>
    <w:rsid w:val="0BF26C44"/>
    <w:rsid w:val="0C1429D4"/>
    <w:rsid w:val="0C6C454B"/>
    <w:rsid w:val="0CC0289C"/>
    <w:rsid w:val="0CE57E5A"/>
    <w:rsid w:val="0CF0387C"/>
    <w:rsid w:val="0D533015"/>
    <w:rsid w:val="0D625AD8"/>
    <w:rsid w:val="0D9030DE"/>
    <w:rsid w:val="0D9378B6"/>
    <w:rsid w:val="0DB6446C"/>
    <w:rsid w:val="0DC43F13"/>
    <w:rsid w:val="0DCC6BCA"/>
    <w:rsid w:val="0E0A2470"/>
    <w:rsid w:val="0E3E1813"/>
    <w:rsid w:val="0E4111B5"/>
    <w:rsid w:val="0E455CF9"/>
    <w:rsid w:val="0E4D5CB6"/>
    <w:rsid w:val="0E5704C1"/>
    <w:rsid w:val="0E8C1181"/>
    <w:rsid w:val="0E9B44CA"/>
    <w:rsid w:val="0EA0672E"/>
    <w:rsid w:val="0F152C78"/>
    <w:rsid w:val="0F192190"/>
    <w:rsid w:val="0F356E0A"/>
    <w:rsid w:val="0F9C5147"/>
    <w:rsid w:val="0FA22205"/>
    <w:rsid w:val="0FB767C5"/>
    <w:rsid w:val="0FBC1B20"/>
    <w:rsid w:val="0FF57A05"/>
    <w:rsid w:val="0FFE0D46"/>
    <w:rsid w:val="0FFF7484"/>
    <w:rsid w:val="10015291"/>
    <w:rsid w:val="104457BF"/>
    <w:rsid w:val="105A4EBB"/>
    <w:rsid w:val="105F7F23"/>
    <w:rsid w:val="10685029"/>
    <w:rsid w:val="10AC1C76"/>
    <w:rsid w:val="10B353ED"/>
    <w:rsid w:val="10C20BDE"/>
    <w:rsid w:val="10E02E12"/>
    <w:rsid w:val="10ED552F"/>
    <w:rsid w:val="10F67137"/>
    <w:rsid w:val="1105728B"/>
    <w:rsid w:val="11352510"/>
    <w:rsid w:val="114227C7"/>
    <w:rsid w:val="114535BD"/>
    <w:rsid w:val="11496C09"/>
    <w:rsid w:val="116457F1"/>
    <w:rsid w:val="11A43746"/>
    <w:rsid w:val="11AF5FA7"/>
    <w:rsid w:val="11B26E86"/>
    <w:rsid w:val="11E12A09"/>
    <w:rsid w:val="11FE2343"/>
    <w:rsid w:val="12326DC2"/>
    <w:rsid w:val="125F2024"/>
    <w:rsid w:val="128630FD"/>
    <w:rsid w:val="12891287"/>
    <w:rsid w:val="128A5956"/>
    <w:rsid w:val="1291653A"/>
    <w:rsid w:val="129526FC"/>
    <w:rsid w:val="12E23A01"/>
    <w:rsid w:val="12FB3C5D"/>
    <w:rsid w:val="13015F66"/>
    <w:rsid w:val="130308CA"/>
    <w:rsid w:val="1312560D"/>
    <w:rsid w:val="1326612C"/>
    <w:rsid w:val="132C218A"/>
    <w:rsid w:val="13651CF4"/>
    <w:rsid w:val="13B158DD"/>
    <w:rsid w:val="13D55805"/>
    <w:rsid w:val="13D82A74"/>
    <w:rsid w:val="13F84D28"/>
    <w:rsid w:val="13F87796"/>
    <w:rsid w:val="140A55A9"/>
    <w:rsid w:val="140E5EE8"/>
    <w:rsid w:val="142B46CE"/>
    <w:rsid w:val="143C794A"/>
    <w:rsid w:val="14602089"/>
    <w:rsid w:val="1468384A"/>
    <w:rsid w:val="14841E5F"/>
    <w:rsid w:val="14953EB8"/>
    <w:rsid w:val="14A52C86"/>
    <w:rsid w:val="14AA2FD3"/>
    <w:rsid w:val="14B46A8F"/>
    <w:rsid w:val="14CD6092"/>
    <w:rsid w:val="14DF08DB"/>
    <w:rsid w:val="1518225F"/>
    <w:rsid w:val="15200D24"/>
    <w:rsid w:val="1525173B"/>
    <w:rsid w:val="153C6A85"/>
    <w:rsid w:val="156959EB"/>
    <w:rsid w:val="156D1711"/>
    <w:rsid w:val="159F732A"/>
    <w:rsid w:val="15A00DC2"/>
    <w:rsid w:val="15C31338"/>
    <w:rsid w:val="15E839EB"/>
    <w:rsid w:val="16010E59"/>
    <w:rsid w:val="16105F47"/>
    <w:rsid w:val="161F618A"/>
    <w:rsid w:val="16305236"/>
    <w:rsid w:val="16533BFB"/>
    <w:rsid w:val="166C5148"/>
    <w:rsid w:val="167B61DA"/>
    <w:rsid w:val="16995913"/>
    <w:rsid w:val="16C61301"/>
    <w:rsid w:val="16DB47A7"/>
    <w:rsid w:val="16DD57C1"/>
    <w:rsid w:val="16EA2C3C"/>
    <w:rsid w:val="16F2389F"/>
    <w:rsid w:val="17021392"/>
    <w:rsid w:val="17061260"/>
    <w:rsid w:val="171F0B4E"/>
    <w:rsid w:val="17232F68"/>
    <w:rsid w:val="172577D0"/>
    <w:rsid w:val="172A7766"/>
    <w:rsid w:val="173C4B1A"/>
    <w:rsid w:val="1756362C"/>
    <w:rsid w:val="175E2CE2"/>
    <w:rsid w:val="178644DD"/>
    <w:rsid w:val="17881C02"/>
    <w:rsid w:val="178E694D"/>
    <w:rsid w:val="17A34B99"/>
    <w:rsid w:val="17EB3771"/>
    <w:rsid w:val="18251A52"/>
    <w:rsid w:val="18414ADE"/>
    <w:rsid w:val="18480584"/>
    <w:rsid w:val="1890511D"/>
    <w:rsid w:val="18CC2463"/>
    <w:rsid w:val="18DC4807"/>
    <w:rsid w:val="18DF7E53"/>
    <w:rsid w:val="18FE29CF"/>
    <w:rsid w:val="1910625E"/>
    <w:rsid w:val="19445F08"/>
    <w:rsid w:val="1956601D"/>
    <w:rsid w:val="19791440"/>
    <w:rsid w:val="198D3D53"/>
    <w:rsid w:val="19CA4189"/>
    <w:rsid w:val="19CC487B"/>
    <w:rsid w:val="19D24BCD"/>
    <w:rsid w:val="19DD1937"/>
    <w:rsid w:val="19F56A9C"/>
    <w:rsid w:val="19F91D19"/>
    <w:rsid w:val="19F93196"/>
    <w:rsid w:val="1A6819D6"/>
    <w:rsid w:val="1A6A7BF0"/>
    <w:rsid w:val="1A6C043C"/>
    <w:rsid w:val="1A7B0363"/>
    <w:rsid w:val="1A900251"/>
    <w:rsid w:val="1A9D7751"/>
    <w:rsid w:val="1AA14F3E"/>
    <w:rsid w:val="1ABB2559"/>
    <w:rsid w:val="1ACD57BB"/>
    <w:rsid w:val="1AE300CE"/>
    <w:rsid w:val="1AFE6CB6"/>
    <w:rsid w:val="1B2938B4"/>
    <w:rsid w:val="1B3867B7"/>
    <w:rsid w:val="1B3917D2"/>
    <w:rsid w:val="1B48007F"/>
    <w:rsid w:val="1B526E30"/>
    <w:rsid w:val="1B5A42F2"/>
    <w:rsid w:val="1B715D56"/>
    <w:rsid w:val="1B79633D"/>
    <w:rsid w:val="1B7D31F9"/>
    <w:rsid w:val="1B8F4956"/>
    <w:rsid w:val="1BA23AE5"/>
    <w:rsid w:val="1BA46EB4"/>
    <w:rsid w:val="1BB91CAC"/>
    <w:rsid w:val="1BE65325"/>
    <w:rsid w:val="1BEA2D97"/>
    <w:rsid w:val="1BF54431"/>
    <w:rsid w:val="1BF81957"/>
    <w:rsid w:val="1C5F19D6"/>
    <w:rsid w:val="1C770BAC"/>
    <w:rsid w:val="1C8812E8"/>
    <w:rsid w:val="1CA401E2"/>
    <w:rsid w:val="1CBF4223"/>
    <w:rsid w:val="1CC048D1"/>
    <w:rsid w:val="1CC41839"/>
    <w:rsid w:val="1CC47A8B"/>
    <w:rsid w:val="1CFF3DC8"/>
    <w:rsid w:val="1D086E56"/>
    <w:rsid w:val="1D087E57"/>
    <w:rsid w:val="1D28001A"/>
    <w:rsid w:val="1D4A4435"/>
    <w:rsid w:val="1D6F5759"/>
    <w:rsid w:val="1D8E3BF5"/>
    <w:rsid w:val="1DDE4B7D"/>
    <w:rsid w:val="1DF24C3B"/>
    <w:rsid w:val="1E122A78"/>
    <w:rsid w:val="1E210753"/>
    <w:rsid w:val="1E435DE1"/>
    <w:rsid w:val="1E4F61D8"/>
    <w:rsid w:val="1E6813A9"/>
    <w:rsid w:val="1E6D1634"/>
    <w:rsid w:val="1EAF658B"/>
    <w:rsid w:val="1ECE4F82"/>
    <w:rsid w:val="1EE5064C"/>
    <w:rsid w:val="1F000FFE"/>
    <w:rsid w:val="1F0321C6"/>
    <w:rsid w:val="1F0664F1"/>
    <w:rsid w:val="1F0E3240"/>
    <w:rsid w:val="1F5B26D6"/>
    <w:rsid w:val="1F6007D8"/>
    <w:rsid w:val="1F6410B2"/>
    <w:rsid w:val="1F6C3F34"/>
    <w:rsid w:val="1F7624BD"/>
    <w:rsid w:val="1F9C4CF0"/>
    <w:rsid w:val="1FB35455"/>
    <w:rsid w:val="1FB748C5"/>
    <w:rsid w:val="203828DD"/>
    <w:rsid w:val="20497A92"/>
    <w:rsid w:val="205D4216"/>
    <w:rsid w:val="20746CEC"/>
    <w:rsid w:val="207D13AB"/>
    <w:rsid w:val="209D4381"/>
    <w:rsid w:val="20C20786"/>
    <w:rsid w:val="20E00C0C"/>
    <w:rsid w:val="20F678CF"/>
    <w:rsid w:val="20FF5536"/>
    <w:rsid w:val="211A31D2"/>
    <w:rsid w:val="21725D08"/>
    <w:rsid w:val="218454A5"/>
    <w:rsid w:val="21B61B70"/>
    <w:rsid w:val="21F7470F"/>
    <w:rsid w:val="21FE11B6"/>
    <w:rsid w:val="21FF0FBD"/>
    <w:rsid w:val="22086693"/>
    <w:rsid w:val="22561186"/>
    <w:rsid w:val="226F70E5"/>
    <w:rsid w:val="228C7DBD"/>
    <w:rsid w:val="22965E6B"/>
    <w:rsid w:val="22AE28BF"/>
    <w:rsid w:val="22B21BEA"/>
    <w:rsid w:val="22B23533"/>
    <w:rsid w:val="22C578FC"/>
    <w:rsid w:val="22C81C07"/>
    <w:rsid w:val="22D64075"/>
    <w:rsid w:val="22D700DE"/>
    <w:rsid w:val="22DA10E6"/>
    <w:rsid w:val="22DB168B"/>
    <w:rsid w:val="22F917C9"/>
    <w:rsid w:val="23164DB9"/>
    <w:rsid w:val="23226B91"/>
    <w:rsid w:val="23463622"/>
    <w:rsid w:val="234C07FD"/>
    <w:rsid w:val="23503E27"/>
    <w:rsid w:val="235B1AD6"/>
    <w:rsid w:val="235B27CC"/>
    <w:rsid w:val="236C00BB"/>
    <w:rsid w:val="236D35CF"/>
    <w:rsid w:val="23762D4E"/>
    <w:rsid w:val="2379737D"/>
    <w:rsid w:val="23874BA3"/>
    <w:rsid w:val="238D7E59"/>
    <w:rsid w:val="23A64B10"/>
    <w:rsid w:val="23D74548"/>
    <w:rsid w:val="23E07E45"/>
    <w:rsid w:val="2426102C"/>
    <w:rsid w:val="2426737F"/>
    <w:rsid w:val="242C7FB7"/>
    <w:rsid w:val="24376D95"/>
    <w:rsid w:val="245B2E54"/>
    <w:rsid w:val="2461297E"/>
    <w:rsid w:val="24621D41"/>
    <w:rsid w:val="248D22F7"/>
    <w:rsid w:val="249661B1"/>
    <w:rsid w:val="249E6E14"/>
    <w:rsid w:val="24BE1C18"/>
    <w:rsid w:val="24D64800"/>
    <w:rsid w:val="24F609FE"/>
    <w:rsid w:val="25002F8D"/>
    <w:rsid w:val="254D79CF"/>
    <w:rsid w:val="254F617F"/>
    <w:rsid w:val="25546BA5"/>
    <w:rsid w:val="25550156"/>
    <w:rsid w:val="25555909"/>
    <w:rsid w:val="256D43FD"/>
    <w:rsid w:val="257A33DD"/>
    <w:rsid w:val="257B7624"/>
    <w:rsid w:val="25851C68"/>
    <w:rsid w:val="258D4BC1"/>
    <w:rsid w:val="25A24EBE"/>
    <w:rsid w:val="25E167D1"/>
    <w:rsid w:val="25FB512C"/>
    <w:rsid w:val="262B2929"/>
    <w:rsid w:val="266939BE"/>
    <w:rsid w:val="267D2FA7"/>
    <w:rsid w:val="268B6833"/>
    <w:rsid w:val="26AF4526"/>
    <w:rsid w:val="26B733C2"/>
    <w:rsid w:val="26D37563"/>
    <w:rsid w:val="26DC54DA"/>
    <w:rsid w:val="26F968F9"/>
    <w:rsid w:val="27427FEE"/>
    <w:rsid w:val="274B4345"/>
    <w:rsid w:val="27575CD7"/>
    <w:rsid w:val="2759752E"/>
    <w:rsid w:val="27641FEC"/>
    <w:rsid w:val="27655BA5"/>
    <w:rsid w:val="27870033"/>
    <w:rsid w:val="27882E57"/>
    <w:rsid w:val="2789562D"/>
    <w:rsid w:val="280B656E"/>
    <w:rsid w:val="281F2614"/>
    <w:rsid w:val="283D072F"/>
    <w:rsid w:val="286536CA"/>
    <w:rsid w:val="286B44D3"/>
    <w:rsid w:val="28BD5E37"/>
    <w:rsid w:val="28D412E8"/>
    <w:rsid w:val="290F6532"/>
    <w:rsid w:val="29114FDA"/>
    <w:rsid w:val="291C049E"/>
    <w:rsid w:val="291F0973"/>
    <w:rsid w:val="29384AB9"/>
    <w:rsid w:val="293D4896"/>
    <w:rsid w:val="294E1863"/>
    <w:rsid w:val="299B171F"/>
    <w:rsid w:val="29A45F2A"/>
    <w:rsid w:val="29BB3FC4"/>
    <w:rsid w:val="29E20226"/>
    <w:rsid w:val="29EC3DAC"/>
    <w:rsid w:val="29EF5342"/>
    <w:rsid w:val="29F20F87"/>
    <w:rsid w:val="29F85218"/>
    <w:rsid w:val="2A015314"/>
    <w:rsid w:val="2A2644A5"/>
    <w:rsid w:val="2A2953D2"/>
    <w:rsid w:val="2A433F21"/>
    <w:rsid w:val="2A5E151F"/>
    <w:rsid w:val="2A6F2C28"/>
    <w:rsid w:val="2A8F257B"/>
    <w:rsid w:val="2A996DDB"/>
    <w:rsid w:val="2AB303AA"/>
    <w:rsid w:val="2ADC5AFD"/>
    <w:rsid w:val="2AE56C24"/>
    <w:rsid w:val="2AF23A16"/>
    <w:rsid w:val="2AF552B4"/>
    <w:rsid w:val="2AF9470D"/>
    <w:rsid w:val="2B2A724C"/>
    <w:rsid w:val="2B3330A0"/>
    <w:rsid w:val="2B4125B5"/>
    <w:rsid w:val="2B4A3852"/>
    <w:rsid w:val="2B533179"/>
    <w:rsid w:val="2B762634"/>
    <w:rsid w:val="2B8925CC"/>
    <w:rsid w:val="2B97636B"/>
    <w:rsid w:val="2BA56D2B"/>
    <w:rsid w:val="2BCE4483"/>
    <w:rsid w:val="2BFF288E"/>
    <w:rsid w:val="2C2D1618"/>
    <w:rsid w:val="2C302A48"/>
    <w:rsid w:val="2C7538F6"/>
    <w:rsid w:val="2CB17636"/>
    <w:rsid w:val="2CB21DCF"/>
    <w:rsid w:val="2CCD238C"/>
    <w:rsid w:val="2CD70408"/>
    <w:rsid w:val="2CFB5024"/>
    <w:rsid w:val="2D0D130F"/>
    <w:rsid w:val="2D1B0C53"/>
    <w:rsid w:val="2D261D28"/>
    <w:rsid w:val="2D380A40"/>
    <w:rsid w:val="2D7E66F1"/>
    <w:rsid w:val="2D8F42CD"/>
    <w:rsid w:val="2D95546D"/>
    <w:rsid w:val="2DA570F4"/>
    <w:rsid w:val="2DB43A1E"/>
    <w:rsid w:val="2DB85DC1"/>
    <w:rsid w:val="2DC9254F"/>
    <w:rsid w:val="2DCA4758"/>
    <w:rsid w:val="2DDB2F86"/>
    <w:rsid w:val="2DF1140A"/>
    <w:rsid w:val="2DF53F49"/>
    <w:rsid w:val="2DFE26D1"/>
    <w:rsid w:val="2E022C3F"/>
    <w:rsid w:val="2E1B0C2F"/>
    <w:rsid w:val="2E2D19AE"/>
    <w:rsid w:val="2E2E33B6"/>
    <w:rsid w:val="2E3662A3"/>
    <w:rsid w:val="2E717347"/>
    <w:rsid w:val="2E764B34"/>
    <w:rsid w:val="2EA4771D"/>
    <w:rsid w:val="2EB85F02"/>
    <w:rsid w:val="2ECB148D"/>
    <w:rsid w:val="2ED0014B"/>
    <w:rsid w:val="2ED161A3"/>
    <w:rsid w:val="2F132CBF"/>
    <w:rsid w:val="2F141663"/>
    <w:rsid w:val="2F265E4E"/>
    <w:rsid w:val="2F4B5DEA"/>
    <w:rsid w:val="2F815AF6"/>
    <w:rsid w:val="2FA112D9"/>
    <w:rsid w:val="2FA50B1C"/>
    <w:rsid w:val="2FAD33C2"/>
    <w:rsid w:val="2FBD3431"/>
    <w:rsid w:val="2FCA4F61"/>
    <w:rsid w:val="2FD247AA"/>
    <w:rsid w:val="2FD815CC"/>
    <w:rsid w:val="2FDD2EE6"/>
    <w:rsid w:val="2FED31AB"/>
    <w:rsid w:val="300113DD"/>
    <w:rsid w:val="301A16BC"/>
    <w:rsid w:val="301B400C"/>
    <w:rsid w:val="30486A4B"/>
    <w:rsid w:val="305022CF"/>
    <w:rsid w:val="305F1B4D"/>
    <w:rsid w:val="307B5F9A"/>
    <w:rsid w:val="3094000D"/>
    <w:rsid w:val="30CE213E"/>
    <w:rsid w:val="310E0297"/>
    <w:rsid w:val="313A1B8F"/>
    <w:rsid w:val="31432160"/>
    <w:rsid w:val="31433DC9"/>
    <w:rsid w:val="314D5E4A"/>
    <w:rsid w:val="318702C1"/>
    <w:rsid w:val="318A7633"/>
    <w:rsid w:val="318C385D"/>
    <w:rsid w:val="31AF60BD"/>
    <w:rsid w:val="31C54436"/>
    <w:rsid w:val="31DE4CF4"/>
    <w:rsid w:val="32081D71"/>
    <w:rsid w:val="32387E25"/>
    <w:rsid w:val="325141C6"/>
    <w:rsid w:val="327E788B"/>
    <w:rsid w:val="328E4D5E"/>
    <w:rsid w:val="32AD108D"/>
    <w:rsid w:val="32B435BE"/>
    <w:rsid w:val="32C20171"/>
    <w:rsid w:val="32DB0F7C"/>
    <w:rsid w:val="32ED1692"/>
    <w:rsid w:val="32F15448"/>
    <w:rsid w:val="32F27011"/>
    <w:rsid w:val="32F67E2E"/>
    <w:rsid w:val="33204505"/>
    <w:rsid w:val="33380434"/>
    <w:rsid w:val="33462B51"/>
    <w:rsid w:val="335B1D88"/>
    <w:rsid w:val="335C76C1"/>
    <w:rsid w:val="33711F29"/>
    <w:rsid w:val="33776BD8"/>
    <w:rsid w:val="337B3536"/>
    <w:rsid w:val="33877982"/>
    <w:rsid w:val="33C33A4B"/>
    <w:rsid w:val="34180984"/>
    <w:rsid w:val="341C44FF"/>
    <w:rsid w:val="34476B80"/>
    <w:rsid w:val="3464452F"/>
    <w:rsid w:val="346930B3"/>
    <w:rsid w:val="34976726"/>
    <w:rsid w:val="34A15DE7"/>
    <w:rsid w:val="34AC63E7"/>
    <w:rsid w:val="34C401D1"/>
    <w:rsid w:val="34F63E6E"/>
    <w:rsid w:val="34F903B8"/>
    <w:rsid w:val="35031BD3"/>
    <w:rsid w:val="351A6043"/>
    <w:rsid w:val="35234BCB"/>
    <w:rsid w:val="3528436A"/>
    <w:rsid w:val="35427B0F"/>
    <w:rsid w:val="35561742"/>
    <w:rsid w:val="355F4D80"/>
    <w:rsid w:val="356A1FBE"/>
    <w:rsid w:val="356B5D1D"/>
    <w:rsid w:val="357F49FA"/>
    <w:rsid w:val="35890A18"/>
    <w:rsid w:val="358945DD"/>
    <w:rsid w:val="359758E5"/>
    <w:rsid w:val="35BE752A"/>
    <w:rsid w:val="362C0CE4"/>
    <w:rsid w:val="36394B26"/>
    <w:rsid w:val="36657792"/>
    <w:rsid w:val="36982718"/>
    <w:rsid w:val="36A4475E"/>
    <w:rsid w:val="36A45B26"/>
    <w:rsid w:val="36AA5E0A"/>
    <w:rsid w:val="36CA0C5E"/>
    <w:rsid w:val="36CF3A58"/>
    <w:rsid w:val="36D05553"/>
    <w:rsid w:val="36E45212"/>
    <w:rsid w:val="37066C5A"/>
    <w:rsid w:val="371C74DF"/>
    <w:rsid w:val="37217B5C"/>
    <w:rsid w:val="372E04CB"/>
    <w:rsid w:val="37323758"/>
    <w:rsid w:val="37491867"/>
    <w:rsid w:val="374E6478"/>
    <w:rsid w:val="37520F41"/>
    <w:rsid w:val="375D3AFF"/>
    <w:rsid w:val="3762161D"/>
    <w:rsid w:val="378679C0"/>
    <w:rsid w:val="37873738"/>
    <w:rsid w:val="378F65A8"/>
    <w:rsid w:val="379963C7"/>
    <w:rsid w:val="37A05DB8"/>
    <w:rsid w:val="37A12630"/>
    <w:rsid w:val="37A44F56"/>
    <w:rsid w:val="37AC319E"/>
    <w:rsid w:val="37D44BCF"/>
    <w:rsid w:val="37DE58F5"/>
    <w:rsid w:val="38083993"/>
    <w:rsid w:val="38715716"/>
    <w:rsid w:val="388760E5"/>
    <w:rsid w:val="38895400"/>
    <w:rsid w:val="38BA63FF"/>
    <w:rsid w:val="38BD4DB8"/>
    <w:rsid w:val="38C13A06"/>
    <w:rsid w:val="38C56C0D"/>
    <w:rsid w:val="38CC4411"/>
    <w:rsid w:val="38DE52AC"/>
    <w:rsid w:val="38ED70B3"/>
    <w:rsid w:val="393042D6"/>
    <w:rsid w:val="39733A7E"/>
    <w:rsid w:val="397F2B73"/>
    <w:rsid w:val="3995213C"/>
    <w:rsid w:val="399636F5"/>
    <w:rsid w:val="39A66F77"/>
    <w:rsid w:val="39A77BA6"/>
    <w:rsid w:val="39AB7BB1"/>
    <w:rsid w:val="39AF5DC9"/>
    <w:rsid w:val="39C07B4A"/>
    <w:rsid w:val="39D30AD0"/>
    <w:rsid w:val="39EF4699"/>
    <w:rsid w:val="39F71049"/>
    <w:rsid w:val="3A0B4EF8"/>
    <w:rsid w:val="3A1273C6"/>
    <w:rsid w:val="3A1A05AE"/>
    <w:rsid w:val="3A231E3E"/>
    <w:rsid w:val="3A463D87"/>
    <w:rsid w:val="3A5E1F81"/>
    <w:rsid w:val="3A5E2E76"/>
    <w:rsid w:val="3A6D6A80"/>
    <w:rsid w:val="3AE06945"/>
    <w:rsid w:val="3AFA401D"/>
    <w:rsid w:val="3B1339F6"/>
    <w:rsid w:val="3B1A3241"/>
    <w:rsid w:val="3B1B7C70"/>
    <w:rsid w:val="3B2A146C"/>
    <w:rsid w:val="3B2C07B3"/>
    <w:rsid w:val="3B2C231C"/>
    <w:rsid w:val="3B324D05"/>
    <w:rsid w:val="3B5B1163"/>
    <w:rsid w:val="3B7F7C46"/>
    <w:rsid w:val="3B941E1F"/>
    <w:rsid w:val="3BBC7C18"/>
    <w:rsid w:val="3BCC2061"/>
    <w:rsid w:val="3BDE19D1"/>
    <w:rsid w:val="3BEE1CB6"/>
    <w:rsid w:val="3BF53366"/>
    <w:rsid w:val="3C851CFB"/>
    <w:rsid w:val="3C872340"/>
    <w:rsid w:val="3C893FAF"/>
    <w:rsid w:val="3C946E63"/>
    <w:rsid w:val="3CA827C1"/>
    <w:rsid w:val="3CAD59EE"/>
    <w:rsid w:val="3CDA4418"/>
    <w:rsid w:val="3D38095E"/>
    <w:rsid w:val="3D421E06"/>
    <w:rsid w:val="3D6132CC"/>
    <w:rsid w:val="3D643600"/>
    <w:rsid w:val="3D7031B1"/>
    <w:rsid w:val="3D723DD3"/>
    <w:rsid w:val="3D751F42"/>
    <w:rsid w:val="3DA87F4F"/>
    <w:rsid w:val="3DBA0CBB"/>
    <w:rsid w:val="3DC2196D"/>
    <w:rsid w:val="3DE96EFA"/>
    <w:rsid w:val="3E0E754A"/>
    <w:rsid w:val="3E282B0C"/>
    <w:rsid w:val="3E703177"/>
    <w:rsid w:val="3E7C7D6E"/>
    <w:rsid w:val="3EA112F9"/>
    <w:rsid w:val="3F163D1F"/>
    <w:rsid w:val="3F385E8A"/>
    <w:rsid w:val="3F520BAD"/>
    <w:rsid w:val="3F5605BF"/>
    <w:rsid w:val="3F6A3151"/>
    <w:rsid w:val="3F874C1D"/>
    <w:rsid w:val="3F973103"/>
    <w:rsid w:val="3F9B1EFB"/>
    <w:rsid w:val="3FAE028E"/>
    <w:rsid w:val="3FBA7F38"/>
    <w:rsid w:val="3FD31C10"/>
    <w:rsid w:val="40131504"/>
    <w:rsid w:val="402B1A4C"/>
    <w:rsid w:val="403F2E01"/>
    <w:rsid w:val="4044666A"/>
    <w:rsid w:val="405014B2"/>
    <w:rsid w:val="40532DDA"/>
    <w:rsid w:val="40671A09"/>
    <w:rsid w:val="40814B23"/>
    <w:rsid w:val="408E72C3"/>
    <w:rsid w:val="408E7BCF"/>
    <w:rsid w:val="40A06D4D"/>
    <w:rsid w:val="40AB15B8"/>
    <w:rsid w:val="40B26236"/>
    <w:rsid w:val="40B51316"/>
    <w:rsid w:val="40BC6B48"/>
    <w:rsid w:val="40C14C05"/>
    <w:rsid w:val="40C764D4"/>
    <w:rsid w:val="40FA0058"/>
    <w:rsid w:val="41022FFD"/>
    <w:rsid w:val="41042A54"/>
    <w:rsid w:val="41067DC3"/>
    <w:rsid w:val="41126768"/>
    <w:rsid w:val="41320BB8"/>
    <w:rsid w:val="413B181B"/>
    <w:rsid w:val="4142704D"/>
    <w:rsid w:val="415005AE"/>
    <w:rsid w:val="416359C8"/>
    <w:rsid w:val="41681350"/>
    <w:rsid w:val="416F668A"/>
    <w:rsid w:val="419378A9"/>
    <w:rsid w:val="419F6662"/>
    <w:rsid w:val="41A72D03"/>
    <w:rsid w:val="41BC55E0"/>
    <w:rsid w:val="41BF069E"/>
    <w:rsid w:val="41D23693"/>
    <w:rsid w:val="420B7389"/>
    <w:rsid w:val="42132798"/>
    <w:rsid w:val="421901A8"/>
    <w:rsid w:val="423563C7"/>
    <w:rsid w:val="426F39D2"/>
    <w:rsid w:val="42C57370"/>
    <w:rsid w:val="42D8263E"/>
    <w:rsid w:val="42DD6902"/>
    <w:rsid w:val="42DF6B1E"/>
    <w:rsid w:val="42FF450A"/>
    <w:rsid w:val="430832B2"/>
    <w:rsid w:val="43144276"/>
    <w:rsid w:val="43264088"/>
    <w:rsid w:val="43326740"/>
    <w:rsid w:val="43333AFF"/>
    <w:rsid w:val="434966C0"/>
    <w:rsid w:val="43603D96"/>
    <w:rsid w:val="43660ED1"/>
    <w:rsid w:val="437C4518"/>
    <w:rsid w:val="4383063C"/>
    <w:rsid w:val="43900453"/>
    <w:rsid w:val="43AA4B1B"/>
    <w:rsid w:val="43C42B78"/>
    <w:rsid w:val="43CB7C06"/>
    <w:rsid w:val="43CC2BFE"/>
    <w:rsid w:val="43CE514A"/>
    <w:rsid w:val="43D2785E"/>
    <w:rsid w:val="43EB0B8A"/>
    <w:rsid w:val="43F26816"/>
    <w:rsid w:val="4409050C"/>
    <w:rsid w:val="441E0010"/>
    <w:rsid w:val="44352E99"/>
    <w:rsid w:val="443F1516"/>
    <w:rsid w:val="445769C9"/>
    <w:rsid w:val="446247CB"/>
    <w:rsid w:val="44637696"/>
    <w:rsid w:val="4467501D"/>
    <w:rsid w:val="446B7D9B"/>
    <w:rsid w:val="44740DA7"/>
    <w:rsid w:val="44881E95"/>
    <w:rsid w:val="44C10C1A"/>
    <w:rsid w:val="44C7578F"/>
    <w:rsid w:val="44CB55AC"/>
    <w:rsid w:val="44D31AB8"/>
    <w:rsid w:val="450F36EA"/>
    <w:rsid w:val="45111167"/>
    <w:rsid w:val="4517597F"/>
    <w:rsid w:val="4519374E"/>
    <w:rsid w:val="45442C68"/>
    <w:rsid w:val="454815E5"/>
    <w:rsid w:val="455D72FE"/>
    <w:rsid w:val="457C2033"/>
    <w:rsid w:val="45C6139C"/>
    <w:rsid w:val="45F70027"/>
    <w:rsid w:val="4609638B"/>
    <w:rsid w:val="461004EE"/>
    <w:rsid w:val="461D3BE5"/>
    <w:rsid w:val="46293840"/>
    <w:rsid w:val="462B6600"/>
    <w:rsid w:val="465C55EF"/>
    <w:rsid w:val="466A125B"/>
    <w:rsid w:val="46994235"/>
    <w:rsid w:val="46A2549B"/>
    <w:rsid w:val="46A95479"/>
    <w:rsid w:val="46B856BC"/>
    <w:rsid w:val="46BB5222"/>
    <w:rsid w:val="46F77B89"/>
    <w:rsid w:val="4743767B"/>
    <w:rsid w:val="47443EE7"/>
    <w:rsid w:val="47480CE9"/>
    <w:rsid w:val="4757256C"/>
    <w:rsid w:val="47633658"/>
    <w:rsid w:val="478A4765"/>
    <w:rsid w:val="47A4404E"/>
    <w:rsid w:val="47E50732"/>
    <w:rsid w:val="47E90CDF"/>
    <w:rsid w:val="47F15329"/>
    <w:rsid w:val="481728B6"/>
    <w:rsid w:val="482657E1"/>
    <w:rsid w:val="482A2A62"/>
    <w:rsid w:val="484E44B0"/>
    <w:rsid w:val="48622294"/>
    <w:rsid w:val="487A5402"/>
    <w:rsid w:val="487B3318"/>
    <w:rsid w:val="48872BF8"/>
    <w:rsid w:val="48887BC9"/>
    <w:rsid w:val="488A65AA"/>
    <w:rsid w:val="48B93029"/>
    <w:rsid w:val="48BF3D66"/>
    <w:rsid w:val="49317174"/>
    <w:rsid w:val="49726A4B"/>
    <w:rsid w:val="498868D5"/>
    <w:rsid w:val="49984EFD"/>
    <w:rsid w:val="49B00468"/>
    <w:rsid w:val="49B0569C"/>
    <w:rsid w:val="49E14F29"/>
    <w:rsid w:val="49F25ED2"/>
    <w:rsid w:val="4A076C56"/>
    <w:rsid w:val="4A08384B"/>
    <w:rsid w:val="4A431F7F"/>
    <w:rsid w:val="4A711501"/>
    <w:rsid w:val="4A937164"/>
    <w:rsid w:val="4AAE12AF"/>
    <w:rsid w:val="4AAF0341"/>
    <w:rsid w:val="4AB2113C"/>
    <w:rsid w:val="4ADB07DF"/>
    <w:rsid w:val="4ADE5F63"/>
    <w:rsid w:val="4AE253FD"/>
    <w:rsid w:val="4AFB1B32"/>
    <w:rsid w:val="4B097E96"/>
    <w:rsid w:val="4B105AC6"/>
    <w:rsid w:val="4B140ACE"/>
    <w:rsid w:val="4B54430C"/>
    <w:rsid w:val="4B667F8E"/>
    <w:rsid w:val="4B742573"/>
    <w:rsid w:val="4B7B64DF"/>
    <w:rsid w:val="4B91290A"/>
    <w:rsid w:val="4BA10E14"/>
    <w:rsid w:val="4BB73B85"/>
    <w:rsid w:val="4BF478AD"/>
    <w:rsid w:val="4C17384D"/>
    <w:rsid w:val="4C251A45"/>
    <w:rsid w:val="4C257A37"/>
    <w:rsid w:val="4C2D07B4"/>
    <w:rsid w:val="4C375436"/>
    <w:rsid w:val="4C395894"/>
    <w:rsid w:val="4C552A37"/>
    <w:rsid w:val="4C64712B"/>
    <w:rsid w:val="4C700EF1"/>
    <w:rsid w:val="4C760354"/>
    <w:rsid w:val="4C891B35"/>
    <w:rsid w:val="4C916103"/>
    <w:rsid w:val="4CBE3C31"/>
    <w:rsid w:val="4CE216E4"/>
    <w:rsid w:val="4CF75DCA"/>
    <w:rsid w:val="4CFA3A56"/>
    <w:rsid w:val="4D1878AA"/>
    <w:rsid w:val="4D1B24FA"/>
    <w:rsid w:val="4D34459C"/>
    <w:rsid w:val="4D48432B"/>
    <w:rsid w:val="4D7F6F33"/>
    <w:rsid w:val="4DA62A1D"/>
    <w:rsid w:val="4DA7388B"/>
    <w:rsid w:val="4DDE31B9"/>
    <w:rsid w:val="4DED20EF"/>
    <w:rsid w:val="4DF50B78"/>
    <w:rsid w:val="4E370904"/>
    <w:rsid w:val="4E4B5067"/>
    <w:rsid w:val="4E4F614D"/>
    <w:rsid w:val="4E6938E7"/>
    <w:rsid w:val="4E6A5759"/>
    <w:rsid w:val="4E6F0D56"/>
    <w:rsid w:val="4E701DC0"/>
    <w:rsid w:val="4E7E543D"/>
    <w:rsid w:val="4E93713A"/>
    <w:rsid w:val="4EB02E06"/>
    <w:rsid w:val="4EBB21ED"/>
    <w:rsid w:val="4ECA741E"/>
    <w:rsid w:val="4ECE7859"/>
    <w:rsid w:val="4EEF00E8"/>
    <w:rsid w:val="4F006719"/>
    <w:rsid w:val="4F2E489B"/>
    <w:rsid w:val="4F4246BC"/>
    <w:rsid w:val="4F4A049A"/>
    <w:rsid w:val="4F4C72E9"/>
    <w:rsid w:val="4F5166AD"/>
    <w:rsid w:val="4F57739B"/>
    <w:rsid w:val="4F5D25FD"/>
    <w:rsid w:val="4F5F0A3F"/>
    <w:rsid w:val="4F643265"/>
    <w:rsid w:val="4F691748"/>
    <w:rsid w:val="4F741231"/>
    <w:rsid w:val="4FB41D44"/>
    <w:rsid w:val="4FB93303"/>
    <w:rsid w:val="4FBC32D6"/>
    <w:rsid w:val="4FC60E49"/>
    <w:rsid w:val="4FE23058"/>
    <w:rsid w:val="5003209D"/>
    <w:rsid w:val="50105D76"/>
    <w:rsid w:val="501778F7"/>
    <w:rsid w:val="50203C86"/>
    <w:rsid w:val="502E6D09"/>
    <w:rsid w:val="50300C5A"/>
    <w:rsid w:val="503A35E5"/>
    <w:rsid w:val="50A86B66"/>
    <w:rsid w:val="50B8067E"/>
    <w:rsid w:val="50BF6E81"/>
    <w:rsid w:val="50FF0870"/>
    <w:rsid w:val="511C3DE5"/>
    <w:rsid w:val="513D513B"/>
    <w:rsid w:val="513F080C"/>
    <w:rsid w:val="5177467C"/>
    <w:rsid w:val="517E445F"/>
    <w:rsid w:val="518E2B89"/>
    <w:rsid w:val="51A206CC"/>
    <w:rsid w:val="51A86022"/>
    <w:rsid w:val="51CE4B40"/>
    <w:rsid w:val="51FE3FDB"/>
    <w:rsid w:val="52654DCD"/>
    <w:rsid w:val="5268268C"/>
    <w:rsid w:val="526E4B08"/>
    <w:rsid w:val="5272350A"/>
    <w:rsid w:val="528B1ED6"/>
    <w:rsid w:val="52993685"/>
    <w:rsid w:val="52B93254"/>
    <w:rsid w:val="52D719EE"/>
    <w:rsid w:val="52DA541F"/>
    <w:rsid w:val="52E91548"/>
    <w:rsid w:val="5306542C"/>
    <w:rsid w:val="530869B1"/>
    <w:rsid w:val="530A15C8"/>
    <w:rsid w:val="533662E6"/>
    <w:rsid w:val="53390376"/>
    <w:rsid w:val="533C1C56"/>
    <w:rsid w:val="53491EBD"/>
    <w:rsid w:val="53762D13"/>
    <w:rsid w:val="53796D79"/>
    <w:rsid w:val="53842532"/>
    <w:rsid w:val="53914B2C"/>
    <w:rsid w:val="53DC38BE"/>
    <w:rsid w:val="53E01E88"/>
    <w:rsid w:val="540A24A6"/>
    <w:rsid w:val="541D6439"/>
    <w:rsid w:val="543640EE"/>
    <w:rsid w:val="54461AA9"/>
    <w:rsid w:val="546A09A4"/>
    <w:rsid w:val="549E4143"/>
    <w:rsid w:val="54A77BD0"/>
    <w:rsid w:val="54DE52B7"/>
    <w:rsid w:val="54E87AB4"/>
    <w:rsid w:val="54EC75A4"/>
    <w:rsid w:val="551E5284"/>
    <w:rsid w:val="552535BC"/>
    <w:rsid w:val="553813F1"/>
    <w:rsid w:val="554A7ADE"/>
    <w:rsid w:val="55583B90"/>
    <w:rsid w:val="557E3F74"/>
    <w:rsid w:val="55821076"/>
    <w:rsid w:val="55AA0117"/>
    <w:rsid w:val="55B654BC"/>
    <w:rsid w:val="560262E9"/>
    <w:rsid w:val="56033425"/>
    <w:rsid w:val="5609381B"/>
    <w:rsid w:val="56140811"/>
    <w:rsid w:val="56292132"/>
    <w:rsid w:val="56493792"/>
    <w:rsid w:val="564D4072"/>
    <w:rsid w:val="56562A21"/>
    <w:rsid w:val="565A22EB"/>
    <w:rsid w:val="56706AE7"/>
    <w:rsid w:val="56777341"/>
    <w:rsid w:val="567E247E"/>
    <w:rsid w:val="56A9300A"/>
    <w:rsid w:val="56D402F0"/>
    <w:rsid w:val="56E215C2"/>
    <w:rsid w:val="570F757A"/>
    <w:rsid w:val="572F4B71"/>
    <w:rsid w:val="575329D5"/>
    <w:rsid w:val="5767596D"/>
    <w:rsid w:val="576E139F"/>
    <w:rsid w:val="57790E97"/>
    <w:rsid w:val="578C77B9"/>
    <w:rsid w:val="57B4461F"/>
    <w:rsid w:val="57FF1107"/>
    <w:rsid w:val="5837687D"/>
    <w:rsid w:val="583F5C3D"/>
    <w:rsid w:val="5849381E"/>
    <w:rsid w:val="589A5311"/>
    <w:rsid w:val="589F66DB"/>
    <w:rsid w:val="58A5065D"/>
    <w:rsid w:val="590855A4"/>
    <w:rsid w:val="5918680C"/>
    <w:rsid w:val="594015B1"/>
    <w:rsid w:val="59464DA9"/>
    <w:rsid w:val="5951436D"/>
    <w:rsid w:val="59526FF3"/>
    <w:rsid w:val="59554FEC"/>
    <w:rsid w:val="595A0DC1"/>
    <w:rsid w:val="596D4A2C"/>
    <w:rsid w:val="599B0EFC"/>
    <w:rsid w:val="599C2C1B"/>
    <w:rsid w:val="599C7120"/>
    <w:rsid w:val="59B85CA7"/>
    <w:rsid w:val="59B87DFF"/>
    <w:rsid w:val="59BD150F"/>
    <w:rsid w:val="59BD511F"/>
    <w:rsid w:val="59F2174F"/>
    <w:rsid w:val="59FC0431"/>
    <w:rsid w:val="5A130C2C"/>
    <w:rsid w:val="5A137381"/>
    <w:rsid w:val="5A392A01"/>
    <w:rsid w:val="5A39563D"/>
    <w:rsid w:val="5A3A2B60"/>
    <w:rsid w:val="5A427C66"/>
    <w:rsid w:val="5A6377F9"/>
    <w:rsid w:val="5AD52586"/>
    <w:rsid w:val="5AE0581C"/>
    <w:rsid w:val="5AE96334"/>
    <w:rsid w:val="5B073D10"/>
    <w:rsid w:val="5B27041B"/>
    <w:rsid w:val="5B2F3729"/>
    <w:rsid w:val="5B31213F"/>
    <w:rsid w:val="5B4672E2"/>
    <w:rsid w:val="5B5F738D"/>
    <w:rsid w:val="5B977B3E"/>
    <w:rsid w:val="5BA54009"/>
    <w:rsid w:val="5BDB3ECE"/>
    <w:rsid w:val="5BE43388"/>
    <w:rsid w:val="5C142F3C"/>
    <w:rsid w:val="5C166CB5"/>
    <w:rsid w:val="5C200247"/>
    <w:rsid w:val="5C38389A"/>
    <w:rsid w:val="5C643EC4"/>
    <w:rsid w:val="5C857737"/>
    <w:rsid w:val="5CA16EC6"/>
    <w:rsid w:val="5CCF1148"/>
    <w:rsid w:val="5CD53D28"/>
    <w:rsid w:val="5CE9389A"/>
    <w:rsid w:val="5CF718B7"/>
    <w:rsid w:val="5D0460DC"/>
    <w:rsid w:val="5D2366CB"/>
    <w:rsid w:val="5D3331A6"/>
    <w:rsid w:val="5D8834D9"/>
    <w:rsid w:val="5D8A153C"/>
    <w:rsid w:val="5D8F31C2"/>
    <w:rsid w:val="5DC305C3"/>
    <w:rsid w:val="5DCA25D8"/>
    <w:rsid w:val="5DE1497B"/>
    <w:rsid w:val="5E135BA1"/>
    <w:rsid w:val="5E1D1079"/>
    <w:rsid w:val="5E211941"/>
    <w:rsid w:val="5E486E92"/>
    <w:rsid w:val="5E565A8E"/>
    <w:rsid w:val="5E6D59C3"/>
    <w:rsid w:val="5E8537C2"/>
    <w:rsid w:val="5E9341CF"/>
    <w:rsid w:val="5E9C0CBE"/>
    <w:rsid w:val="5EAC1B52"/>
    <w:rsid w:val="5EDA6373"/>
    <w:rsid w:val="5EF46D8B"/>
    <w:rsid w:val="5F0453BF"/>
    <w:rsid w:val="5F182D44"/>
    <w:rsid w:val="5F1A6ABC"/>
    <w:rsid w:val="5F593A88"/>
    <w:rsid w:val="5F5A15AE"/>
    <w:rsid w:val="5F8F4324"/>
    <w:rsid w:val="5F9C1BC7"/>
    <w:rsid w:val="5FA34D03"/>
    <w:rsid w:val="5FA86D63"/>
    <w:rsid w:val="5FBD0C6B"/>
    <w:rsid w:val="5FC4513D"/>
    <w:rsid w:val="5FFB68ED"/>
    <w:rsid w:val="600A2FD4"/>
    <w:rsid w:val="601F4136"/>
    <w:rsid w:val="6022031E"/>
    <w:rsid w:val="606118B1"/>
    <w:rsid w:val="60703196"/>
    <w:rsid w:val="609B022F"/>
    <w:rsid w:val="60AA69DE"/>
    <w:rsid w:val="60C369A4"/>
    <w:rsid w:val="60D820D0"/>
    <w:rsid w:val="6102075D"/>
    <w:rsid w:val="61071F6F"/>
    <w:rsid w:val="61183C2B"/>
    <w:rsid w:val="611B6FAC"/>
    <w:rsid w:val="613C540F"/>
    <w:rsid w:val="613F0A5C"/>
    <w:rsid w:val="614150DB"/>
    <w:rsid w:val="61483DB4"/>
    <w:rsid w:val="6151078F"/>
    <w:rsid w:val="61695AD8"/>
    <w:rsid w:val="617D1400"/>
    <w:rsid w:val="61903A3C"/>
    <w:rsid w:val="619A3EE4"/>
    <w:rsid w:val="61C24BFD"/>
    <w:rsid w:val="61C471B3"/>
    <w:rsid w:val="61D560FA"/>
    <w:rsid w:val="61D76EE6"/>
    <w:rsid w:val="61DA0784"/>
    <w:rsid w:val="61E3018A"/>
    <w:rsid w:val="61F32904"/>
    <w:rsid w:val="620C34E0"/>
    <w:rsid w:val="620D46B6"/>
    <w:rsid w:val="62145A44"/>
    <w:rsid w:val="626004E0"/>
    <w:rsid w:val="62823AA8"/>
    <w:rsid w:val="62925DAC"/>
    <w:rsid w:val="62C17915"/>
    <w:rsid w:val="62DD16B7"/>
    <w:rsid w:val="62E742D1"/>
    <w:rsid w:val="631B72A6"/>
    <w:rsid w:val="634A483E"/>
    <w:rsid w:val="63576530"/>
    <w:rsid w:val="635D166D"/>
    <w:rsid w:val="637A3FCD"/>
    <w:rsid w:val="637B26BA"/>
    <w:rsid w:val="6386335A"/>
    <w:rsid w:val="63C51B85"/>
    <w:rsid w:val="63D21A5B"/>
    <w:rsid w:val="640A5D61"/>
    <w:rsid w:val="642B45E0"/>
    <w:rsid w:val="64366989"/>
    <w:rsid w:val="64393FE9"/>
    <w:rsid w:val="64540CC2"/>
    <w:rsid w:val="64604EAC"/>
    <w:rsid w:val="64740A1C"/>
    <w:rsid w:val="64805FF8"/>
    <w:rsid w:val="648F5856"/>
    <w:rsid w:val="64BE1A06"/>
    <w:rsid w:val="64C86FBA"/>
    <w:rsid w:val="64D7429C"/>
    <w:rsid w:val="64E4761A"/>
    <w:rsid w:val="64F37EDB"/>
    <w:rsid w:val="64F47DAF"/>
    <w:rsid w:val="65167D25"/>
    <w:rsid w:val="651C1AC7"/>
    <w:rsid w:val="65295CAB"/>
    <w:rsid w:val="653D443F"/>
    <w:rsid w:val="65434447"/>
    <w:rsid w:val="65515F6B"/>
    <w:rsid w:val="65677A9C"/>
    <w:rsid w:val="656F7113"/>
    <w:rsid w:val="65B0445B"/>
    <w:rsid w:val="65D200F0"/>
    <w:rsid w:val="65E85248"/>
    <w:rsid w:val="65EC7142"/>
    <w:rsid w:val="65F73581"/>
    <w:rsid w:val="65FA31A3"/>
    <w:rsid w:val="663168CC"/>
    <w:rsid w:val="66457796"/>
    <w:rsid w:val="664F6E0C"/>
    <w:rsid w:val="66A5387A"/>
    <w:rsid w:val="66AD290B"/>
    <w:rsid w:val="66C2621A"/>
    <w:rsid w:val="66C44767"/>
    <w:rsid w:val="66FE060F"/>
    <w:rsid w:val="67086645"/>
    <w:rsid w:val="67573E7B"/>
    <w:rsid w:val="6764746E"/>
    <w:rsid w:val="67656B1B"/>
    <w:rsid w:val="679542C8"/>
    <w:rsid w:val="67AE419D"/>
    <w:rsid w:val="67AF209E"/>
    <w:rsid w:val="67B22635"/>
    <w:rsid w:val="67B60664"/>
    <w:rsid w:val="67BE74C9"/>
    <w:rsid w:val="681C5653"/>
    <w:rsid w:val="683769EB"/>
    <w:rsid w:val="683C6122"/>
    <w:rsid w:val="683F0DF2"/>
    <w:rsid w:val="684F37DE"/>
    <w:rsid w:val="686A1914"/>
    <w:rsid w:val="68783716"/>
    <w:rsid w:val="68A1024E"/>
    <w:rsid w:val="68AE714D"/>
    <w:rsid w:val="68B2669E"/>
    <w:rsid w:val="68CB6160"/>
    <w:rsid w:val="68CD1043"/>
    <w:rsid w:val="68CD337D"/>
    <w:rsid w:val="68E22B52"/>
    <w:rsid w:val="68E87C2B"/>
    <w:rsid w:val="68EB131E"/>
    <w:rsid w:val="68F3373D"/>
    <w:rsid w:val="69182A19"/>
    <w:rsid w:val="691F0B40"/>
    <w:rsid w:val="69277887"/>
    <w:rsid w:val="694F1A58"/>
    <w:rsid w:val="695637FD"/>
    <w:rsid w:val="69680924"/>
    <w:rsid w:val="69764EE6"/>
    <w:rsid w:val="698C50B9"/>
    <w:rsid w:val="698E1753"/>
    <w:rsid w:val="69B40A30"/>
    <w:rsid w:val="69B642C0"/>
    <w:rsid w:val="69C75A92"/>
    <w:rsid w:val="69D47128"/>
    <w:rsid w:val="69F07ED0"/>
    <w:rsid w:val="69FE3890"/>
    <w:rsid w:val="6A026A5C"/>
    <w:rsid w:val="6A10379F"/>
    <w:rsid w:val="6A2B1653"/>
    <w:rsid w:val="6A3273AF"/>
    <w:rsid w:val="6A4F72AA"/>
    <w:rsid w:val="6A636242"/>
    <w:rsid w:val="6A7A0A2B"/>
    <w:rsid w:val="6A7F636D"/>
    <w:rsid w:val="6AB161D5"/>
    <w:rsid w:val="6AB75B07"/>
    <w:rsid w:val="6AC67AF8"/>
    <w:rsid w:val="6AC87D14"/>
    <w:rsid w:val="6ADE7537"/>
    <w:rsid w:val="6ADF6E0B"/>
    <w:rsid w:val="6AF26B3F"/>
    <w:rsid w:val="6B133F99"/>
    <w:rsid w:val="6B221B0E"/>
    <w:rsid w:val="6B2E14D6"/>
    <w:rsid w:val="6B3E1D26"/>
    <w:rsid w:val="6B426B13"/>
    <w:rsid w:val="6B9419A4"/>
    <w:rsid w:val="6B976B14"/>
    <w:rsid w:val="6BA20565"/>
    <w:rsid w:val="6BBE4C73"/>
    <w:rsid w:val="6BC4672D"/>
    <w:rsid w:val="6BFB7C75"/>
    <w:rsid w:val="6C1F1BB5"/>
    <w:rsid w:val="6C2D7C28"/>
    <w:rsid w:val="6C364F34"/>
    <w:rsid w:val="6C3A4520"/>
    <w:rsid w:val="6C6204DD"/>
    <w:rsid w:val="6C7543E1"/>
    <w:rsid w:val="6C7D42B4"/>
    <w:rsid w:val="6C8A3E98"/>
    <w:rsid w:val="6C963B87"/>
    <w:rsid w:val="6CA96079"/>
    <w:rsid w:val="6CAC1F8A"/>
    <w:rsid w:val="6CAD0F6F"/>
    <w:rsid w:val="6CB95D72"/>
    <w:rsid w:val="6CC81EA4"/>
    <w:rsid w:val="6D262AD0"/>
    <w:rsid w:val="6D2D5C52"/>
    <w:rsid w:val="6D37776E"/>
    <w:rsid w:val="6D69517B"/>
    <w:rsid w:val="6D895E36"/>
    <w:rsid w:val="6D8B46C2"/>
    <w:rsid w:val="6D936877"/>
    <w:rsid w:val="6DBC51E2"/>
    <w:rsid w:val="6DD644F6"/>
    <w:rsid w:val="6DDE3347"/>
    <w:rsid w:val="6E91791A"/>
    <w:rsid w:val="6EC6456A"/>
    <w:rsid w:val="6EC8214A"/>
    <w:rsid w:val="6EDE784E"/>
    <w:rsid w:val="6EDF73DA"/>
    <w:rsid w:val="6F1976C8"/>
    <w:rsid w:val="6F1D055D"/>
    <w:rsid w:val="6F4A0A27"/>
    <w:rsid w:val="6F634051"/>
    <w:rsid w:val="6F7264A0"/>
    <w:rsid w:val="6F926779"/>
    <w:rsid w:val="6F99134C"/>
    <w:rsid w:val="6F9D691F"/>
    <w:rsid w:val="6FAF4FFE"/>
    <w:rsid w:val="6FFC5967"/>
    <w:rsid w:val="70021CEB"/>
    <w:rsid w:val="701B3BD3"/>
    <w:rsid w:val="703412AA"/>
    <w:rsid w:val="704838FD"/>
    <w:rsid w:val="7066454C"/>
    <w:rsid w:val="7070428E"/>
    <w:rsid w:val="707F6878"/>
    <w:rsid w:val="709119F6"/>
    <w:rsid w:val="70AF7F0C"/>
    <w:rsid w:val="70B23642"/>
    <w:rsid w:val="70BC644D"/>
    <w:rsid w:val="70C42D2B"/>
    <w:rsid w:val="70CB230C"/>
    <w:rsid w:val="70D16063"/>
    <w:rsid w:val="70F562D7"/>
    <w:rsid w:val="711A294B"/>
    <w:rsid w:val="713D64DC"/>
    <w:rsid w:val="714A1292"/>
    <w:rsid w:val="717767B4"/>
    <w:rsid w:val="718720E0"/>
    <w:rsid w:val="71941D4C"/>
    <w:rsid w:val="71A3596F"/>
    <w:rsid w:val="71AA3CCF"/>
    <w:rsid w:val="71CE02A6"/>
    <w:rsid w:val="71E722EB"/>
    <w:rsid w:val="71F040F8"/>
    <w:rsid w:val="71F7318A"/>
    <w:rsid w:val="720634E7"/>
    <w:rsid w:val="72094B9E"/>
    <w:rsid w:val="721A3870"/>
    <w:rsid w:val="722367F3"/>
    <w:rsid w:val="724F3AC4"/>
    <w:rsid w:val="72587BCF"/>
    <w:rsid w:val="726475CA"/>
    <w:rsid w:val="72842F53"/>
    <w:rsid w:val="72873F22"/>
    <w:rsid w:val="728E35F1"/>
    <w:rsid w:val="72B575E3"/>
    <w:rsid w:val="72DB435C"/>
    <w:rsid w:val="72E7797E"/>
    <w:rsid w:val="72F31DD0"/>
    <w:rsid w:val="731750C1"/>
    <w:rsid w:val="7318110C"/>
    <w:rsid w:val="734C75A6"/>
    <w:rsid w:val="735C724B"/>
    <w:rsid w:val="737C6513"/>
    <w:rsid w:val="739641CD"/>
    <w:rsid w:val="73D23F34"/>
    <w:rsid w:val="73E84F83"/>
    <w:rsid w:val="73F76C73"/>
    <w:rsid w:val="740C0054"/>
    <w:rsid w:val="746135D3"/>
    <w:rsid w:val="74825670"/>
    <w:rsid w:val="74C104FD"/>
    <w:rsid w:val="750E0A19"/>
    <w:rsid w:val="753541F8"/>
    <w:rsid w:val="755443BE"/>
    <w:rsid w:val="755B467D"/>
    <w:rsid w:val="75781DD0"/>
    <w:rsid w:val="757F5473"/>
    <w:rsid w:val="75824D9D"/>
    <w:rsid w:val="75AB1C93"/>
    <w:rsid w:val="75BE211F"/>
    <w:rsid w:val="761B163F"/>
    <w:rsid w:val="761F3505"/>
    <w:rsid w:val="76486327"/>
    <w:rsid w:val="76695DFA"/>
    <w:rsid w:val="766C1E9B"/>
    <w:rsid w:val="76810114"/>
    <w:rsid w:val="76941E85"/>
    <w:rsid w:val="76C23869"/>
    <w:rsid w:val="76E25292"/>
    <w:rsid w:val="76E41762"/>
    <w:rsid w:val="76E46ECE"/>
    <w:rsid w:val="76E630A5"/>
    <w:rsid w:val="76F00AAF"/>
    <w:rsid w:val="77106DE5"/>
    <w:rsid w:val="77126B8A"/>
    <w:rsid w:val="7717316E"/>
    <w:rsid w:val="77603777"/>
    <w:rsid w:val="77786406"/>
    <w:rsid w:val="77901BB9"/>
    <w:rsid w:val="779B3C6B"/>
    <w:rsid w:val="77A40D34"/>
    <w:rsid w:val="77A71EF6"/>
    <w:rsid w:val="77AB5706"/>
    <w:rsid w:val="77BD3D54"/>
    <w:rsid w:val="77C7479C"/>
    <w:rsid w:val="77D411E4"/>
    <w:rsid w:val="77DE0ADE"/>
    <w:rsid w:val="77F71C38"/>
    <w:rsid w:val="78232A2D"/>
    <w:rsid w:val="78760DAF"/>
    <w:rsid w:val="787B3EF7"/>
    <w:rsid w:val="787D26D8"/>
    <w:rsid w:val="788E3223"/>
    <w:rsid w:val="78E06AB0"/>
    <w:rsid w:val="79112886"/>
    <w:rsid w:val="795805F1"/>
    <w:rsid w:val="795B1D53"/>
    <w:rsid w:val="798E0318"/>
    <w:rsid w:val="79AF62F8"/>
    <w:rsid w:val="79B16116"/>
    <w:rsid w:val="79F01427"/>
    <w:rsid w:val="7A0D2DBC"/>
    <w:rsid w:val="7A1D7E45"/>
    <w:rsid w:val="7A1F0FD2"/>
    <w:rsid w:val="7A326EC1"/>
    <w:rsid w:val="7A556F82"/>
    <w:rsid w:val="7A721678"/>
    <w:rsid w:val="7A941157"/>
    <w:rsid w:val="7AB11E33"/>
    <w:rsid w:val="7AC415A1"/>
    <w:rsid w:val="7AD93877"/>
    <w:rsid w:val="7ADB3C24"/>
    <w:rsid w:val="7B031C60"/>
    <w:rsid w:val="7B5209E2"/>
    <w:rsid w:val="7B6E3C82"/>
    <w:rsid w:val="7B7B5180"/>
    <w:rsid w:val="7BB65DCF"/>
    <w:rsid w:val="7BCE0F02"/>
    <w:rsid w:val="7BD0314B"/>
    <w:rsid w:val="7BDC584B"/>
    <w:rsid w:val="7BF02535"/>
    <w:rsid w:val="7BF53DED"/>
    <w:rsid w:val="7BFC0690"/>
    <w:rsid w:val="7C10112E"/>
    <w:rsid w:val="7C1D50F5"/>
    <w:rsid w:val="7C52568F"/>
    <w:rsid w:val="7C6106D5"/>
    <w:rsid w:val="7C6151AF"/>
    <w:rsid w:val="7C6A0C2B"/>
    <w:rsid w:val="7C867CD4"/>
    <w:rsid w:val="7C88704D"/>
    <w:rsid w:val="7CBD556F"/>
    <w:rsid w:val="7CC540BD"/>
    <w:rsid w:val="7CCF0A8E"/>
    <w:rsid w:val="7CED360A"/>
    <w:rsid w:val="7D0506AA"/>
    <w:rsid w:val="7D1E37C3"/>
    <w:rsid w:val="7D29419B"/>
    <w:rsid w:val="7D373771"/>
    <w:rsid w:val="7D423759"/>
    <w:rsid w:val="7D580A83"/>
    <w:rsid w:val="7D695F1A"/>
    <w:rsid w:val="7D712C70"/>
    <w:rsid w:val="7D816BD7"/>
    <w:rsid w:val="7D935B21"/>
    <w:rsid w:val="7DD956AA"/>
    <w:rsid w:val="7DDE272C"/>
    <w:rsid w:val="7DFA1A32"/>
    <w:rsid w:val="7E2D5B39"/>
    <w:rsid w:val="7E42351F"/>
    <w:rsid w:val="7E7E6C0F"/>
    <w:rsid w:val="7E7F6F09"/>
    <w:rsid w:val="7EC81FBE"/>
    <w:rsid w:val="7ECC1FA8"/>
    <w:rsid w:val="7ED15DB1"/>
    <w:rsid w:val="7ED160D1"/>
    <w:rsid w:val="7EDB5E10"/>
    <w:rsid w:val="7EEE3521"/>
    <w:rsid w:val="7F001E6A"/>
    <w:rsid w:val="7F0A2344"/>
    <w:rsid w:val="7F211349"/>
    <w:rsid w:val="7F2B4D67"/>
    <w:rsid w:val="7F405C73"/>
    <w:rsid w:val="7F5D4081"/>
    <w:rsid w:val="7F6738E7"/>
    <w:rsid w:val="7F8970D0"/>
    <w:rsid w:val="7F9F5AC1"/>
    <w:rsid w:val="7FAC5D5A"/>
    <w:rsid w:val="7FCB7C32"/>
    <w:rsid w:val="7FF5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5"/>
    <w:basedOn w:val="1"/>
    <w:next w:val="1"/>
    <w:qFormat/>
    <w:uiPriority w:val="0"/>
    <w:pPr>
      <w:widowControl/>
      <w:spacing w:before="100" w:beforeLines="0" w:beforeAutospacing="1" w:after="100" w:afterLines="0" w:afterAutospacing="1"/>
      <w:jc w:val="left"/>
      <w:outlineLvl w:val="4"/>
    </w:pPr>
    <w:rPr>
      <w:rFonts w:ascii="宋体" w:hAnsi="宋体"/>
      <w:b/>
      <w:kern w:val="0"/>
      <w:sz w:val="20"/>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8"/>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annotation text"/>
    <w:basedOn w:val="1"/>
    <w:qFormat/>
    <w:uiPriority w:val="0"/>
    <w:pPr>
      <w:jc w:val="left"/>
    </w:pPr>
  </w:style>
  <w:style w:type="paragraph" w:styleId="10">
    <w:name w:val="Body Text"/>
    <w:basedOn w:val="1"/>
    <w:next w:val="11"/>
    <w:qFormat/>
    <w:uiPriority w:val="99"/>
    <w:pPr>
      <w:numPr>
        <w:ilvl w:val="0"/>
        <w:numId w:val="1"/>
      </w:numPr>
      <w:tabs>
        <w:tab w:val="clear" w:pos="780"/>
      </w:tabs>
      <w:ind w:left="0" w:firstLine="0"/>
    </w:pPr>
    <w:rPr>
      <w:rFonts w:ascii="黑体" w:eastAsia="黑体"/>
      <w:sz w:val="22"/>
    </w:rPr>
  </w:style>
  <w:style w:type="paragraph" w:styleId="11">
    <w:name w:val="Date"/>
    <w:basedOn w:val="1"/>
    <w:next w:val="1"/>
    <w:qFormat/>
    <w:uiPriority w:val="0"/>
    <w:rPr>
      <w:rFonts w:ascii="Arial" w:hAnsi="Arial" w:eastAsia="仿宋_GB2312"/>
      <w:sz w:val="32"/>
      <w:szCs w:val="20"/>
      <w:u w:color="000000"/>
    </w:rPr>
  </w:style>
  <w:style w:type="paragraph" w:styleId="12">
    <w:name w:val="Body Text Indent"/>
    <w:basedOn w:val="1"/>
    <w:next w:val="10"/>
    <w:qFormat/>
    <w:uiPriority w:val="0"/>
    <w:pPr>
      <w:spacing w:after="120"/>
      <w:ind w:left="200" w:leftChars="200"/>
    </w:pPr>
  </w:style>
  <w:style w:type="paragraph" w:styleId="13">
    <w:name w:val="Plain Text"/>
    <w:basedOn w:val="1"/>
    <w:next w:val="14"/>
    <w:qFormat/>
    <w:uiPriority w:val="0"/>
    <w:rPr>
      <w:rFonts w:ascii="宋体"/>
      <w:szCs w:val="20"/>
      <w:u w:color="000000"/>
    </w:rPr>
  </w:style>
  <w:style w:type="paragraph" w:styleId="14">
    <w:name w:val="List Number 5"/>
    <w:basedOn w:val="1"/>
    <w:qFormat/>
    <w:uiPriority w:val="0"/>
    <w:pPr>
      <w:numPr>
        <w:ilvl w:val="0"/>
        <w:numId w:val="2"/>
      </w:numPr>
    </w:p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footnote text"/>
    <w:basedOn w:val="1"/>
    <w:semiHidden/>
    <w:unhideWhenUsed/>
    <w:qFormat/>
    <w:uiPriority w:val="99"/>
    <w:pPr>
      <w:snapToGrid w:val="0"/>
    </w:pPr>
    <w:rPr>
      <w:sz w:val="18"/>
      <w:szCs w:val="18"/>
    </w:rPr>
  </w:style>
  <w:style w:type="paragraph" w:styleId="19">
    <w:name w:val="index 7"/>
    <w:basedOn w:val="1"/>
    <w:next w:val="1"/>
    <w:qFormat/>
    <w:uiPriority w:val="0"/>
    <w:pPr>
      <w:ind w:left="1200" w:leftChars="1200"/>
    </w:pPr>
    <w:rPr>
      <w:color w:val="auto"/>
      <w:kern w:val="2"/>
    </w:rPr>
  </w:style>
  <w:style w:type="paragraph" w:styleId="20">
    <w:name w:val="Body Text 2"/>
    <w:basedOn w:val="1"/>
    <w:qFormat/>
    <w:uiPriority w:val="0"/>
    <w:pPr>
      <w:tabs>
        <w:tab w:val="left" w:pos="0"/>
      </w:tabs>
      <w:spacing w:line="400" w:lineRule="atLeast"/>
    </w:pPr>
    <w:rPr>
      <w:rFonts w:ascii="Arial" w:hAnsi="Arial"/>
    </w:rPr>
  </w:style>
  <w:style w:type="paragraph" w:styleId="21">
    <w:name w:val="Normal (Web)"/>
    <w:basedOn w:val="1"/>
    <w:qFormat/>
    <w:uiPriority w:val="99"/>
    <w:pPr>
      <w:widowControl/>
    </w:pPr>
    <w:rPr>
      <w:rFonts w:ascii="宋体" w:hAnsi="宋体" w:eastAsia="宋体" w:cs="宋体"/>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w:basedOn w:val="10"/>
    <w:qFormat/>
    <w:uiPriority w:val="0"/>
    <w:pPr>
      <w:tabs>
        <w:tab w:val="left" w:pos="780"/>
      </w:tabs>
      <w:spacing w:after="220" w:afterLines="0" w:line="220" w:lineRule="atLeast"/>
      <w:ind w:firstLine="420"/>
    </w:pPr>
    <w:rPr>
      <w:rFonts w:ascii="Times New Roman" w:hAnsi="Times New Roman" w:eastAsia="宋体" w:cs="Times New Roman"/>
      <w:sz w:val="21"/>
      <w:szCs w:val="20"/>
    </w:rPr>
  </w:style>
  <w:style w:type="paragraph" w:styleId="24">
    <w:name w:val="Body Text First Indent 2"/>
    <w:basedOn w:val="12"/>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qFormat/>
    <w:uiPriority w:val="99"/>
    <w:rPr>
      <w:color w:val="0000FF"/>
      <w:u w:val="single"/>
    </w:rPr>
  </w:style>
  <w:style w:type="character" w:styleId="30">
    <w:name w:val="footnote reference"/>
    <w:basedOn w:val="27"/>
    <w:semiHidden/>
    <w:unhideWhenUsed/>
    <w:qFormat/>
    <w:uiPriority w:val="99"/>
    <w:rPr>
      <w:vertAlign w:val="superscript"/>
    </w:rPr>
  </w:style>
  <w:style w:type="paragraph" w:customStyle="1" w:styleId="31">
    <w:name w:val="样式 样式 左侧:  2 字符 + 左侧:  0.85 厘米 首行缩进:  2 字符1"/>
    <w:basedOn w:val="1"/>
    <w:qFormat/>
    <w:uiPriority w:val="0"/>
    <w:pPr>
      <w:ind w:left="482" w:firstLine="200" w:firstLineChars="200"/>
    </w:pPr>
    <w:rPr>
      <w:rFonts w:cs="宋体"/>
      <w:szCs w:val="20"/>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34">
    <w:name w:val="正文格式"/>
    <w:basedOn w:val="1"/>
    <w:qFormat/>
    <w:uiPriority w:val="99"/>
    <w:pPr>
      <w:widowControl/>
      <w:adjustRightInd w:val="0"/>
      <w:snapToGrid w:val="0"/>
      <w:spacing w:line="400" w:lineRule="atLeast"/>
      <w:ind w:firstLine="482"/>
      <w:textAlignment w:val="baseline"/>
    </w:pPr>
  </w:style>
  <w:style w:type="paragraph" w:customStyle="1" w:styleId="35">
    <w:name w:val="文档正文"/>
    <w:basedOn w:val="7"/>
    <w:qFormat/>
    <w:uiPriority w:val="0"/>
    <w:pPr>
      <w:spacing w:line="360" w:lineRule="auto"/>
    </w:pPr>
    <w:rPr>
      <w:rFonts w:hAnsi="宋体"/>
      <w:b/>
      <w:bCs/>
    </w:rPr>
  </w:style>
  <w:style w:type="paragraph" w:customStyle="1" w:styleId="36">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7">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8">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9">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0">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Table caption|1"/>
    <w:basedOn w:val="1"/>
    <w:qFormat/>
    <w:uiPriority w:val="0"/>
    <w:rPr>
      <w:rFonts w:ascii="宋体" w:hAnsi="宋体" w:eastAsia="宋体" w:cs="宋体"/>
      <w:sz w:val="22"/>
      <w:szCs w:val="22"/>
      <w:lang w:val="zh-TW" w:eastAsia="zh-TW" w:bidi="zh-TW"/>
    </w:rPr>
  </w:style>
  <w:style w:type="paragraph" w:customStyle="1" w:styleId="42">
    <w:name w:val="Table Paragraph"/>
    <w:basedOn w:val="1"/>
    <w:qFormat/>
    <w:uiPriority w:val="1"/>
    <w:pPr>
      <w:autoSpaceDE w:val="0"/>
      <w:autoSpaceDN w:val="0"/>
      <w:adjustRightInd w:val="0"/>
    </w:pPr>
    <w:rPr>
      <w:rFonts w:eastAsia="宋体"/>
    </w:rPr>
  </w:style>
  <w:style w:type="paragraph" w:customStyle="1" w:styleId="43">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4">
    <w:name w:val="图例"/>
    <w:basedOn w:val="1"/>
    <w:qFormat/>
    <w:uiPriority w:val="0"/>
    <w:pPr>
      <w:spacing w:before="120" w:after="120" w:line="360" w:lineRule="auto"/>
      <w:jc w:val="center"/>
    </w:pPr>
    <w:rPr>
      <w:rFonts w:eastAsia="仿宋_GB2312"/>
      <w:b/>
    </w:rPr>
  </w:style>
  <w:style w:type="paragraph" w:customStyle="1" w:styleId="45">
    <w:name w:val="WPS Plain"/>
    <w:qFormat/>
    <w:uiPriority w:val="0"/>
    <w:rPr>
      <w:rFonts w:ascii="Times New Roman" w:hAnsi="Times New Roman" w:eastAsia="宋体" w:cs="Times New Roman"/>
      <w:lang w:val="en-US" w:eastAsia="zh-CN" w:bidi="ar-SA"/>
    </w:rPr>
  </w:style>
  <w:style w:type="paragraph" w:customStyle="1" w:styleId="46">
    <w:name w:val="样式 左侧:  0 厘米 悬挂缩进: 2.5 字符"/>
    <w:basedOn w:val="1"/>
    <w:qFormat/>
    <w:uiPriority w:val="0"/>
    <w:pPr>
      <w:ind w:left="525" w:hanging="525" w:hangingChars="250"/>
    </w:pPr>
    <w:rPr>
      <w:szCs w:val="20"/>
    </w:rPr>
  </w:style>
  <w:style w:type="character" w:customStyle="1" w:styleId="47">
    <w:name w:val="font11"/>
    <w:basedOn w:val="27"/>
    <w:qFormat/>
    <w:uiPriority w:val="0"/>
    <w:rPr>
      <w:rFonts w:ascii="Calibri" w:hAnsi="Calibri" w:cs="Calibri"/>
      <w:color w:val="000000"/>
      <w:sz w:val="20"/>
      <w:szCs w:val="20"/>
      <w:u w:val="none"/>
    </w:rPr>
  </w:style>
  <w:style w:type="paragraph" w:styleId="48">
    <w:name w:val="List Paragraph"/>
    <w:basedOn w:val="1"/>
    <w:qFormat/>
    <w:uiPriority w:val="0"/>
    <w:pPr>
      <w:widowControl/>
      <w:ind w:firstLine="420" w:firstLineChars="200"/>
    </w:pPr>
  </w:style>
  <w:style w:type="paragraph" w:customStyle="1" w:styleId="49">
    <w:name w:val="列出段落1"/>
    <w:basedOn w:val="1"/>
    <w:qFormat/>
    <w:uiPriority w:val="34"/>
    <w:pPr>
      <w:ind w:firstLine="420" w:firstLineChars="200"/>
    </w:pPr>
  </w:style>
  <w:style w:type="table" w:customStyle="1" w:styleId="50">
    <w:name w:val="Table Normal"/>
    <w:semiHidden/>
    <w:unhideWhenUsed/>
    <w:qFormat/>
    <w:uiPriority w:val="0"/>
    <w:tblPr>
      <w:tblCellMar>
        <w:top w:w="0" w:type="dxa"/>
        <w:left w:w="0" w:type="dxa"/>
        <w:bottom w:w="0" w:type="dxa"/>
        <w:right w:w="0" w:type="dxa"/>
      </w:tblCellMar>
    </w:tblPr>
  </w:style>
  <w:style w:type="paragraph" w:customStyle="1" w:styleId="51">
    <w:name w:val="p15"/>
    <w:basedOn w:val="1"/>
    <w:qFormat/>
    <w:uiPriority w:val="0"/>
    <w:pPr>
      <w:snapToGrid/>
      <w:spacing w:after="0"/>
    </w:pPr>
    <w:rPr>
      <w:rFonts w:ascii="Arial Unicode MS" w:hAnsi="Arial Unicode MS" w:eastAsia="宋体" w:cs="宋体"/>
      <w:color w:val="000000"/>
      <w:sz w:val="24"/>
      <w:szCs w:val="24"/>
    </w:rPr>
  </w:style>
  <w:style w:type="paragraph" w:customStyle="1" w:styleId="52">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53">
    <w:name w:val="font61"/>
    <w:basedOn w:val="27"/>
    <w:qFormat/>
    <w:uiPriority w:val="0"/>
    <w:rPr>
      <w:rFonts w:hint="default" w:ascii="方正仿宋_GBK" w:hAnsi="方正仿宋_GBK" w:eastAsia="方正仿宋_GBK" w:cs="方正仿宋_GBK"/>
      <w:color w:val="000000"/>
      <w:sz w:val="18"/>
      <w:szCs w:val="18"/>
      <w:u w:val="none"/>
    </w:rPr>
  </w:style>
  <w:style w:type="character" w:customStyle="1" w:styleId="54">
    <w:name w:val="font121"/>
    <w:basedOn w:val="27"/>
    <w:qFormat/>
    <w:uiPriority w:val="0"/>
    <w:rPr>
      <w:rFonts w:hint="eastAsia" w:ascii="宋体" w:hAnsi="宋体" w:eastAsia="宋体" w:cs="宋体"/>
      <w:color w:val="000000"/>
      <w:sz w:val="18"/>
      <w:szCs w:val="18"/>
      <w:u w:val="none"/>
    </w:rPr>
  </w:style>
  <w:style w:type="character" w:customStyle="1" w:styleId="55">
    <w:name w:val="font51"/>
    <w:basedOn w:val="27"/>
    <w:qFormat/>
    <w:uiPriority w:val="0"/>
    <w:rPr>
      <w:rFonts w:hint="default" w:ascii="Arial" w:hAnsi="Arial" w:cs="Arial"/>
      <w:color w:val="000000"/>
      <w:sz w:val="18"/>
      <w:szCs w:val="18"/>
      <w:u w:val="none"/>
    </w:rPr>
  </w:style>
  <w:style w:type="character" w:customStyle="1" w:styleId="56">
    <w:name w:val="font31"/>
    <w:basedOn w:val="27"/>
    <w:qFormat/>
    <w:uiPriority w:val="0"/>
    <w:rPr>
      <w:rFonts w:hint="eastAsia" w:ascii="宋体" w:hAnsi="宋体" w:eastAsia="宋体" w:cs="宋体"/>
      <w:color w:val="000000"/>
      <w:sz w:val="22"/>
      <w:szCs w:val="22"/>
      <w:u w:val="none"/>
    </w:rPr>
  </w:style>
  <w:style w:type="character" w:customStyle="1" w:styleId="57">
    <w:name w:val="font41"/>
    <w:basedOn w:val="27"/>
    <w:qFormat/>
    <w:uiPriority w:val="0"/>
    <w:rPr>
      <w:rFonts w:hint="eastAsia" w:ascii="宋体" w:hAnsi="宋体" w:eastAsia="宋体" w:cs="宋体"/>
      <w:color w:val="000000"/>
      <w:sz w:val="18"/>
      <w:szCs w:val="18"/>
      <w:u w:val="none"/>
    </w:rPr>
  </w:style>
  <w:style w:type="character" w:customStyle="1" w:styleId="58">
    <w:name w:val="font01"/>
    <w:basedOn w:val="27"/>
    <w:qFormat/>
    <w:uiPriority w:val="0"/>
    <w:rPr>
      <w:rFonts w:hint="eastAsia" w:ascii="宋体" w:hAnsi="宋体" w:eastAsia="宋体" w:cs="宋体"/>
      <w:color w:val="000000"/>
      <w:sz w:val="22"/>
      <w:szCs w:val="22"/>
      <w:u w:val="none"/>
    </w:rPr>
  </w:style>
  <w:style w:type="character" w:customStyle="1" w:styleId="59">
    <w:name w:val="font21"/>
    <w:basedOn w:val="27"/>
    <w:qFormat/>
    <w:uiPriority w:val="0"/>
    <w:rPr>
      <w:rFonts w:hint="eastAsia" w:ascii="宋体" w:hAnsi="宋体" w:eastAsia="宋体" w:cs="宋体"/>
      <w:color w:val="00B050"/>
      <w:sz w:val="20"/>
      <w:szCs w:val="20"/>
      <w:u w:val="none"/>
    </w:rPr>
  </w:style>
  <w:style w:type="character" w:customStyle="1" w:styleId="60">
    <w:name w:val="font131"/>
    <w:basedOn w:val="27"/>
    <w:qFormat/>
    <w:uiPriority w:val="0"/>
    <w:rPr>
      <w:rFonts w:hint="eastAsia" w:ascii="宋体" w:hAnsi="宋体" w:eastAsia="宋体" w:cs="宋体"/>
      <w:b/>
      <w:bCs/>
      <w:color w:val="000000"/>
      <w:sz w:val="18"/>
      <w:szCs w:val="18"/>
      <w:u w:val="none"/>
    </w:rPr>
  </w:style>
  <w:style w:type="character" w:customStyle="1" w:styleId="61">
    <w:name w:val="font141"/>
    <w:basedOn w:val="27"/>
    <w:qFormat/>
    <w:uiPriority w:val="0"/>
    <w:rPr>
      <w:rFonts w:hint="eastAsia" w:ascii="宋体" w:hAnsi="宋体" w:eastAsia="宋体" w:cs="宋体"/>
      <w:color w:val="E54C5E"/>
      <w:sz w:val="20"/>
      <w:szCs w:val="20"/>
      <w:u w:val="none"/>
    </w:rPr>
  </w:style>
  <w:style w:type="character" w:customStyle="1" w:styleId="62">
    <w:name w:val="font71"/>
    <w:basedOn w:val="27"/>
    <w:qFormat/>
    <w:uiPriority w:val="0"/>
    <w:rPr>
      <w:rFonts w:hint="eastAsia" w:ascii="宋体" w:hAnsi="宋体" w:eastAsia="宋体" w:cs="宋体"/>
      <w:color w:val="000000"/>
      <w:sz w:val="18"/>
      <w:szCs w:val="18"/>
      <w:u w:val="none"/>
    </w:rPr>
  </w:style>
  <w:style w:type="character" w:customStyle="1" w:styleId="63">
    <w:name w:val="font161"/>
    <w:basedOn w:val="27"/>
    <w:qFormat/>
    <w:uiPriority w:val="0"/>
    <w:rPr>
      <w:rFonts w:hint="eastAsia" w:ascii="宋体" w:hAnsi="宋体" w:eastAsia="宋体" w:cs="宋体"/>
      <w:color w:val="FF0000"/>
      <w:sz w:val="18"/>
      <w:szCs w:val="18"/>
      <w:u w:val="none"/>
    </w:rPr>
  </w:style>
  <w:style w:type="character" w:customStyle="1" w:styleId="64">
    <w:name w:val="font81"/>
    <w:basedOn w:val="27"/>
    <w:qFormat/>
    <w:uiPriority w:val="0"/>
    <w:rPr>
      <w:rFonts w:hint="eastAsia" w:ascii="宋体" w:hAnsi="宋体" w:eastAsia="宋体" w:cs="宋体"/>
      <w:color w:val="000000"/>
      <w:sz w:val="22"/>
      <w:szCs w:val="22"/>
      <w:u w:val="none"/>
    </w:rPr>
  </w:style>
  <w:style w:type="character" w:customStyle="1" w:styleId="65">
    <w:name w:val="font101"/>
    <w:basedOn w:val="27"/>
    <w:qFormat/>
    <w:uiPriority w:val="0"/>
    <w:rPr>
      <w:rFonts w:hint="default" w:ascii="Times New Roman" w:hAnsi="Times New Roman" w:cs="Times New Roman"/>
      <w:color w:val="000000"/>
      <w:sz w:val="20"/>
      <w:szCs w:val="20"/>
      <w:u w:val="none"/>
    </w:rPr>
  </w:style>
  <w:style w:type="character" w:customStyle="1" w:styleId="66">
    <w:name w:val="font112"/>
    <w:basedOn w:val="27"/>
    <w:qFormat/>
    <w:uiPriority w:val="0"/>
    <w:rPr>
      <w:rFonts w:hint="eastAsia" w:ascii="宋体" w:hAnsi="宋体" w:eastAsia="宋体" w:cs="宋体"/>
      <w:color w:val="000000"/>
      <w:sz w:val="20"/>
      <w:szCs w:val="20"/>
      <w:u w:val="none"/>
    </w:rPr>
  </w:style>
  <w:style w:type="character" w:customStyle="1" w:styleId="67">
    <w:name w:val="font181"/>
    <w:basedOn w:val="27"/>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87</Pages>
  <Words>2788</Words>
  <Characters>3249</Characters>
  <Lines>389</Lines>
  <Paragraphs>109</Paragraphs>
  <TotalTime>4</TotalTime>
  <ScaleCrop>false</ScaleCrop>
  <LinksUpToDate>false</LinksUpToDate>
  <CharactersWithSpaces>3492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顺其自然</cp:lastModifiedBy>
  <cp:lastPrinted>2025-05-16T09:35:00Z</cp:lastPrinted>
  <dcterms:modified xsi:type="dcterms:W3CDTF">2025-06-26T09:12:18Z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B787D3794E3B48B6A29F6888BC4E4F85_13</vt:lpwstr>
  </property>
  <property fmtid="{D5CDD505-2E9C-101B-9397-08002B2CF9AE}" pid="4" name="KSOTemplateDocerSaveRecord">
    <vt:lpwstr>eyJoZGlkIjoiZTJjMjUxMGNhODBjMWJhNGE5NzdiZWUyMzM4ZjljZGEiLCJ1c2VySWQiOiIzMDYxNDU1NjAifQ==</vt:lpwstr>
  </property>
</Properties>
</file>