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BFE99">
      <w:pPr>
        <w:keepNext w:val="0"/>
        <w:keepLines w:val="0"/>
        <w:pageBreakBefore w:val="0"/>
        <w:widowControl w:val="0"/>
        <w:tabs>
          <w:tab w:val="left" w:pos="63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48"/>
          <w:szCs w:val="56"/>
        </w:rPr>
      </w:pPr>
      <w:r>
        <w:rPr>
          <w:rFonts w:hint="eastAsia" w:ascii="宋体" w:hAnsi="宋体" w:eastAsia="宋体" w:cs="宋体"/>
          <w:b/>
          <w:bCs/>
          <w:sz w:val="48"/>
          <w:szCs w:val="56"/>
          <w:lang w:eastAsia="zh-CN"/>
        </w:rPr>
        <w:tab/>
      </w:r>
    </w:p>
    <w:p w14:paraId="2BCA96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8"/>
          <w:szCs w:val="56"/>
          <w:lang w:val="en-US" w:eastAsia="zh-CN"/>
        </w:rPr>
      </w:pPr>
      <w:r>
        <w:rPr>
          <w:rFonts w:hint="eastAsia" w:ascii="宋体" w:hAnsi="宋体" w:eastAsia="宋体" w:cs="宋体"/>
          <w:b/>
          <w:bCs/>
          <w:sz w:val="52"/>
          <w:szCs w:val="60"/>
          <w:lang w:val="en-US" w:eastAsia="zh-CN"/>
        </w:rPr>
        <w:t>阿图什市“道路照明合同能源托管+智慧化运维服务”项目</w:t>
      </w:r>
    </w:p>
    <w:p w14:paraId="106B41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lang w:val="en-US" w:eastAsia="zh-CN"/>
        </w:rPr>
      </w:pPr>
    </w:p>
    <w:p w14:paraId="66B6D9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项目编号：ATSCG-2025063</w:t>
      </w:r>
    </w:p>
    <w:p w14:paraId="76F616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lang w:val="en-US" w:eastAsia="zh-CN"/>
        </w:rPr>
      </w:pPr>
    </w:p>
    <w:p w14:paraId="60FFF1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52"/>
          <w:lang w:val="en-US" w:eastAsia="zh-CN"/>
        </w:rPr>
      </w:pPr>
    </w:p>
    <w:p w14:paraId="6F6FE1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144"/>
          <w:lang w:val="en-US" w:eastAsia="zh-CN"/>
        </w:rPr>
      </w:pPr>
      <w:r>
        <w:rPr>
          <w:rFonts w:hint="eastAsia" w:ascii="宋体" w:hAnsi="宋体" w:eastAsia="宋体" w:cs="宋体"/>
          <w:b/>
          <w:bCs/>
          <w:sz w:val="72"/>
          <w:szCs w:val="144"/>
          <w:lang w:val="en-US" w:eastAsia="zh-CN"/>
        </w:rPr>
        <w:t>招</w:t>
      </w:r>
    </w:p>
    <w:p w14:paraId="1B093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144"/>
          <w:lang w:val="en-US" w:eastAsia="zh-CN"/>
        </w:rPr>
      </w:pPr>
      <w:r>
        <w:rPr>
          <w:rFonts w:hint="eastAsia" w:ascii="宋体" w:hAnsi="宋体" w:eastAsia="宋体" w:cs="宋体"/>
          <w:b/>
          <w:bCs/>
          <w:sz w:val="72"/>
          <w:szCs w:val="144"/>
          <w:lang w:val="en-US" w:eastAsia="zh-CN"/>
        </w:rPr>
        <w:t>标</w:t>
      </w:r>
    </w:p>
    <w:p w14:paraId="4016CD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144"/>
          <w:lang w:val="en-US" w:eastAsia="zh-CN"/>
        </w:rPr>
      </w:pPr>
      <w:r>
        <w:rPr>
          <w:rFonts w:hint="eastAsia" w:ascii="宋体" w:hAnsi="宋体" w:eastAsia="宋体" w:cs="宋体"/>
          <w:b/>
          <w:bCs/>
          <w:sz w:val="72"/>
          <w:szCs w:val="144"/>
          <w:lang w:val="en-US" w:eastAsia="zh-CN"/>
        </w:rPr>
        <w:t>文</w:t>
      </w:r>
    </w:p>
    <w:p w14:paraId="2005F8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144"/>
          <w:lang w:val="en-US" w:eastAsia="zh-CN"/>
        </w:rPr>
      </w:pPr>
      <w:r>
        <w:rPr>
          <w:rFonts w:hint="eastAsia" w:ascii="宋体" w:hAnsi="宋体" w:eastAsia="宋体" w:cs="宋体"/>
          <w:b/>
          <w:bCs/>
          <w:sz w:val="72"/>
          <w:szCs w:val="144"/>
          <w:lang w:val="en-US" w:eastAsia="zh-CN"/>
        </w:rPr>
        <w:t>件</w:t>
      </w:r>
    </w:p>
    <w:p w14:paraId="5E412F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E753DA3">
      <w:pPr>
        <w:pStyle w:val="8"/>
        <w:rPr>
          <w:rFonts w:hint="eastAsia" w:ascii="宋体" w:hAnsi="宋体" w:eastAsia="宋体" w:cs="宋体"/>
          <w:lang w:val="en-US" w:eastAsia="zh-CN"/>
        </w:rPr>
      </w:pPr>
    </w:p>
    <w:p w14:paraId="329682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C6C7F2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采购单位：阿图什市市政公用事业服务中心（盖章） </w:t>
      </w:r>
    </w:p>
    <w:p w14:paraId="0EBE230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项目联系人：彭先生                联系电话：15709080261</w:t>
      </w:r>
    </w:p>
    <w:p w14:paraId="5DDB0D9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招标代理机构：新疆锦研建设工程项目管理有限公司（盖章）</w:t>
      </w:r>
    </w:p>
    <w:p w14:paraId="0263DB2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项目联系人：王先生                联系电话：18129181462</w:t>
      </w:r>
    </w:p>
    <w:p w14:paraId="42AAA18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40"/>
          <w:szCs w:val="40"/>
          <w:lang w:val="en-US" w:eastAsia="zh-CN"/>
        </w:rPr>
        <w:sectPr>
          <w:headerReference r:id="rId3" w:type="default"/>
          <w:footerReference r:id="rId4" w:type="default"/>
          <w:pgSz w:w="11906" w:h="16838"/>
          <w:pgMar w:top="1417" w:right="1417" w:bottom="1417" w:left="1417" w:header="1134" w:footer="992" w:gutter="0"/>
          <w:pgNumType w:fmt="decimal"/>
          <w:cols w:space="0" w:num="1"/>
          <w:rtlGutter w:val="0"/>
          <w:docGrid w:type="lines" w:linePitch="312" w:charSpace="0"/>
        </w:sectPr>
      </w:pPr>
      <w:r>
        <w:rPr>
          <w:rFonts w:hint="eastAsia" w:ascii="宋体" w:hAnsi="宋体" w:eastAsia="宋体" w:cs="宋体"/>
          <w:b/>
          <w:bCs/>
          <w:sz w:val="28"/>
          <w:szCs w:val="28"/>
          <w:lang w:val="en-US" w:eastAsia="zh-CN"/>
        </w:rPr>
        <w:t>日期：2025年7月</w:t>
      </w:r>
    </w:p>
    <w:p w14:paraId="2D34CAD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40"/>
          <w:szCs w:val="40"/>
          <w:lang w:val="en-US" w:eastAsia="zh-CN"/>
        </w:rPr>
      </w:pPr>
    </w:p>
    <w:sdt>
      <w:sdtPr>
        <w:rPr>
          <w:rFonts w:ascii="宋体" w:hAnsi="宋体" w:eastAsia="宋体" w:cstheme="minorBidi"/>
          <w:kern w:val="2"/>
          <w:sz w:val="21"/>
          <w:szCs w:val="24"/>
          <w:lang w:val="en-US" w:eastAsia="zh-CN" w:bidi="ar-SA"/>
        </w:rPr>
        <w:id w:val="147478409"/>
        <w15:color w:val="DBDBDB"/>
        <w:docPartObj>
          <w:docPartGallery w:val="Table of Contents"/>
          <w:docPartUnique/>
        </w:docPartObj>
      </w:sdtPr>
      <w:sdtEndPr>
        <w:rPr>
          <w:rFonts w:hint="eastAsia" w:ascii="宋体" w:hAnsi="宋体" w:eastAsia="宋体" w:cs="宋体"/>
          <w:bCs w:val="0"/>
          <w:kern w:val="2"/>
          <w:sz w:val="21"/>
          <w:szCs w:val="24"/>
          <w:lang w:val="en-US" w:eastAsia="zh-CN" w:bidi="ar-SA"/>
        </w:rPr>
      </w:sdtEndPr>
      <w:sdtContent>
        <w:p w14:paraId="4FCBBCC6">
          <w:pPr>
            <w:spacing w:before="0" w:beforeLines="0" w:after="0" w:afterLines="0" w:line="360" w:lineRule="auto"/>
            <w:ind w:left="0" w:leftChars="0" w:right="0" w:rightChars="0" w:firstLine="0" w:firstLineChars="0"/>
            <w:jc w:val="center"/>
            <w:rPr>
              <w:b/>
              <w:bCs/>
              <w:sz w:val="40"/>
              <w:szCs w:val="48"/>
            </w:rPr>
          </w:pPr>
          <w:r>
            <w:rPr>
              <w:rFonts w:ascii="宋体" w:hAnsi="宋体" w:eastAsia="宋体"/>
              <w:b/>
              <w:bCs/>
              <w:sz w:val="40"/>
              <w:szCs w:val="48"/>
            </w:rPr>
            <w:t>目</w:t>
          </w:r>
          <w:r>
            <w:rPr>
              <w:rFonts w:hint="eastAsia" w:ascii="宋体" w:hAnsi="宋体" w:eastAsia="宋体"/>
              <w:b/>
              <w:bCs/>
              <w:sz w:val="40"/>
              <w:szCs w:val="48"/>
              <w:lang w:val="en-US" w:eastAsia="zh-CN"/>
            </w:rPr>
            <w:t xml:space="preserve"> </w:t>
          </w:r>
          <w:r>
            <w:rPr>
              <w:rFonts w:ascii="宋体" w:hAnsi="宋体" w:eastAsia="宋体"/>
              <w:b/>
              <w:bCs/>
              <w:sz w:val="40"/>
              <w:szCs w:val="48"/>
            </w:rPr>
            <w:t>录</w:t>
          </w:r>
        </w:p>
        <w:p w14:paraId="053130A6">
          <w:pPr>
            <w:pStyle w:val="13"/>
            <w:tabs>
              <w:tab w:val="right" w:leader="dot" w:pos="9072"/>
            </w:tabs>
            <w:spacing w:line="360" w:lineRule="auto"/>
            <w:rPr>
              <w:sz w:val="32"/>
              <w:szCs w:val="40"/>
            </w:rPr>
          </w:pPr>
          <w:r>
            <w:rPr>
              <w:rFonts w:hint="eastAsia" w:ascii="宋体" w:hAnsi="宋体" w:eastAsia="宋体" w:cs="宋体"/>
              <w:bCs w:val="0"/>
              <w:kern w:val="2"/>
              <w:sz w:val="32"/>
              <w:szCs w:val="40"/>
              <w:lang w:val="en-US" w:eastAsia="zh-CN" w:bidi="ar-SA"/>
            </w:rPr>
            <w:fldChar w:fldCharType="begin"/>
          </w:r>
          <w:r>
            <w:rPr>
              <w:rFonts w:hint="eastAsia" w:ascii="宋体" w:hAnsi="宋体" w:eastAsia="宋体" w:cs="宋体"/>
              <w:bCs w:val="0"/>
              <w:kern w:val="2"/>
              <w:sz w:val="32"/>
              <w:szCs w:val="40"/>
              <w:lang w:val="en-US" w:eastAsia="zh-CN" w:bidi="ar-SA"/>
            </w:rPr>
            <w:instrText xml:space="preserve">TOC \o "1-1" \h \u </w:instrText>
          </w:r>
          <w:r>
            <w:rPr>
              <w:rFonts w:hint="eastAsia" w:ascii="宋体" w:hAnsi="宋体" w:eastAsia="宋体" w:cs="宋体"/>
              <w:bCs w:val="0"/>
              <w:kern w:val="2"/>
              <w:sz w:val="32"/>
              <w:szCs w:val="40"/>
              <w:lang w:val="en-US" w:eastAsia="zh-CN" w:bidi="ar-SA"/>
            </w:rPr>
            <w:fldChar w:fldCharType="separate"/>
          </w:r>
          <w:r>
            <w:rPr>
              <w:rFonts w:hint="eastAsia" w:ascii="宋体" w:hAnsi="宋体" w:eastAsia="宋体" w:cs="宋体"/>
              <w:bCs w:val="0"/>
              <w:kern w:val="2"/>
              <w:sz w:val="32"/>
              <w:szCs w:val="40"/>
              <w:lang w:val="en-US" w:eastAsia="zh-CN" w:bidi="ar-SA"/>
            </w:rPr>
            <w:fldChar w:fldCharType="begin"/>
          </w:r>
          <w:r>
            <w:rPr>
              <w:rFonts w:hint="eastAsia" w:ascii="宋体" w:hAnsi="宋体" w:eastAsia="宋体" w:cs="宋体"/>
              <w:bCs w:val="0"/>
              <w:kern w:val="2"/>
              <w:sz w:val="32"/>
              <w:szCs w:val="40"/>
              <w:lang w:val="en-US" w:eastAsia="zh-CN" w:bidi="ar-SA"/>
            </w:rPr>
            <w:instrText xml:space="preserve"> HYPERLINK \l _Toc4355 </w:instrText>
          </w:r>
          <w:r>
            <w:rPr>
              <w:rFonts w:hint="eastAsia" w:ascii="宋体" w:hAnsi="宋体" w:eastAsia="宋体" w:cs="宋体"/>
              <w:bCs w:val="0"/>
              <w:kern w:val="2"/>
              <w:sz w:val="32"/>
              <w:szCs w:val="40"/>
              <w:lang w:val="en-US" w:eastAsia="zh-CN" w:bidi="ar-SA"/>
            </w:rPr>
            <w:fldChar w:fldCharType="separate"/>
          </w:r>
          <w:r>
            <w:rPr>
              <w:rFonts w:hint="eastAsia"/>
              <w:sz w:val="32"/>
              <w:szCs w:val="40"/>
              <w:lang w:val="en-US" w:eastAsia="zh-CN"/>
            </w:rPr>
            <w:t>第一章 招标公告</w:t>
          </w:r>
          <w:r>
            <w:rPr>
              <w:sz w:val="32"/>
              <w:szCs w:val="40"/>
            </w:rPr>
            <w:tab/>
          </w:r>
          <w:r>
            <w:rPr>
              <w:sz w:val="32"/>
              <w:szCs w:val="40"/>
            </w:rPr>
            <w:fldChar w:fldCharType="begin"/>
          </w:r>
          <w:r>
            <w:rPr>
              <w:sz w:val="32"/>
              <w:szCs w:val="40"/>
            </w:rPr>
            <w:instrText xml:space="preserve"> PAGEREF _Toc4355 \h </w:instrText>
          </w:r>
          <w:r>
            <w:rPr>
              <w:sz w:val="32"/>
              <w:szCs w:val="40"/>
            </w:rPr>
            <w:fldChar w:fldCharType="separate"/>
          </w:r>
          <w:r>
            <w:rPr>
              <w:sz w:val="32"/>
              <w:szCs w:val="40"/>
            </w:rPr>
            <w:t>1</w:t>
          </w:r>
          <w:r>
            <w:rPr>
              <w:sz w:val="32"/>
              <w:szCs w:val="40"/>
            </w:rPr>
            <w:fldChar w:fldCharType="end"/>
          </w:r>
          <w:r>
            <w:rPr>
              <w:rFonts w:hint="eastAsia" w:ascii="宋体" w:hAnsi="宋体" w:eastAsia="宋体" w:cs="宋体"/>
              <w:bCs w:val="0"/>
              <w:kern w:val="2"/>
              <w:sz w:val="32"/>
              <w:szCs w:val="40"/>
              <w:lang w:val="en-US" w:eastAsia="zh-CN" w:bidi="ar-SA"/>
            </w:rPr>
            <w:fldChar w:fldCharType="end"/>
          </w:r>
        </w:p>
        <w:p w14:paraId="4540917D">
          <w:pPr>
            <w:pStyle w:val="13"/>
            <w:tabs>
              <w:tab w:val="right" w:leader="dot" w:pos="9072"/>
            </w:tabs>
            <w:spacing w:line="360" w:lineRule="auto"/>
            <w:rPr>
              <w:sz w:val="32"/>
              <w:szCs w:val="40"/>
            </w:rPr>
          </w:pPr>
          <w:r>
            <w:rPr>
              <w:rFonts w:hint="eastAsia" w:ascii="宋体" w:hAnsi="宋体" w:eastAsia="宋体" w:cs="宋体"/>
              <w:bCs w:val="0"/>
              <w:kern w:val="2"/>
              <w:sz w:val="32"/>
              <w:szCs w:val="40"/>
              <w:lang w:val="en-US" w:eastAsia="zh-CN" w:bidi="ar-SA"/>
            </w:rPr>
            <w:fldChar w:fldCharType="begin"/>
          </w:r>
          <w:r>
            <w:rPr>
              <w:rFonts w:hint="eastAsia" w:ascii="宋体" w:hAnsi="宋体" w:eastAsia="宋体" w:cs="宋体"/>
              <w:bCs w:val="0"/>
              <w:kern w:val="2"/>
              <w:sz w:val="32"/>
              <w:szCs w:val="40"/>
              <w:lang w:val="en-US" w:eastAsia="zh-CN" w:bidi="ar-SA"/>
            </w:rPr>
            <w:instrText xml:space="preserve"> HYPERLINK \l _Toc3035 </w:instrText>
          </w:r>
          <w:r>
            <w:rPr>
              <w:rFonts w:hint="eastAsia" w:ascii="宋体" w:hAnsi="宋体" w:eastAsia="宋体" w:cs="宋体"/>
              <w:bCs w:val="0"/>
              <w:kern w:val="2"/>
              <w:sz w:val="32"/>
              <w:szCs w:val="40"/>
              <w:lang w:val="en-US" w:eastAsia="zh-CN" w:bidi="ar-SA"/>
            </w:rPr>
            <w:fldChar w:fldCharType="separate"/>
          </w:r>
          <w:r>
            <w:rPr>
              <w:rFonts w:hint="eastAsia"/>
              <w:sz w:val="32"/>
              <w:szCs w:val="40"/>
              <w:lang w:val="en-US" w:eastAsia="zh-CN"/>
            </w:rPr>
            <w:t>第二章 投标人须知</w:t>
          </w:r>
          <w:r>
            <w:rPr>
              <w:sz w:val="32"/>
              <w:szCs w:val="40"/>
            </w:rPr>
            <w:tab/>
          </w:r>
          <w:r>
            <w:rPr>
              <w:sz w:val="32"/>
              <w:szCs w:val="40"/>
            </w:rPr>
            <w:fldChar w:fldCharType="begin"/>
          </w:r>
          <w:r>
            <w:rPr>
              <w:sz w:val="32"/>
              <w:szCs w:val="40"/>
            </w:rPr>
            <w:instrText xml:space="preserve"> PAGEREF _Toc3035 \h </w:instrText>
          </w:r>
          <w:r>
            <w:rPr>
              <w:sz w:val="32"/>
              <w:szCs w:val="40"/>
            </w:rPr>
            <w:fldChar w:fldCharType="separate"/>
          </w:r>
          <w:r>
            <w:rPr>
              <w:sz w:val="32"/>
              <w:szCs w:val="40"/>
            </w:rPr>
            <w:t>4</w:t>
          </w:r>
          <w:r>
            <w:rPr>
              <w:sz w:val="32"/>
              <w:szCs w:val="40"/>
            </w:rPr>
            <w:fldChar w:fldCharType="end"/>
          </w:r>
          <w:r>
            <w:rPr>
              <w:rFonts w:hint="eastAsia" w:ascii="宋体" w:hAnsi="宋体" w:eastAsia="宋体" w:cs="宋体"/>
              <w:bCs w:val="0"/>
              <w:kern w:val="2"/>
              <w:sz w:val="32"/>
              <w:szCs w:val="40"/>
              <w:lang w:val="en-US" w:eastAsia="zh-CN" w:bidi="ar-SA"/>
            </w:rPr>
            <w:fldChar w:fldCharType="end"/>
          </w:r>
        </w:p>
        <w:p w14:paraId="7E9BEAB8">
          <w:pPr>
            <w:pStyle w:val="13"/>
            <w:tabs>
              <w:tab w:val="right" w:leader="dot" w:pos="9072"/>
            </w:tabs>
            <w:spacing w:line="360" w:lineRule="auto"/>
            <w:rPr>
              <w:sz w:val="32"/>
              <w:szCs w:val="40"/>
            </w:rPr>
          </w:pPr>
          <w:r>
            <w:rPr>
              <w:rFonts w:hint="eastAsia" w:ascii="宋体" w:hAnsi="宋体" w:eastAsia="宋体" w:cs="宋体"/>
              <w:bCs w:val="0"/>
              <w:kern w:val="2"/>
              <w:sz w:val="32"/>
              <w:szCs w:val="40"/>
              <w:lang w:val="en-US" w:eastAsia="zh-CN" w:bidi="ar-SA"/>
            </w:rPr>
            <w:fldChar w:fldCharType="begin"/>
          </w:r>
          <w:r>
            <w:rPr>
              <w:rFonts w:hint="eastAsia" w:ascii="宋体" w:hAnsi="宋体" w:eastAsia="宋体" w:cs="宋体"/>
              <w:bCs w:val="0"/>
              <w:kern w:val="2"/>
              <w:sz w:val="32"/>
              <w:szCs w:val="40"/>
              <w:lang w:val="en-US" w:eastAsia="zh-CN" w:bidi="ar-SA"/>
            </w:rPr>
            <w:instrText xml:space="preserve"> HYPERLINK \l _Toc26364 </w:instrText>
          </w:r>
          <w:r>
            <w:rPr>
              <w:rFonts w:hint="eastAsia" w:ascii="宋体" w:hAnsi="宋体" w:eastAsia="宋体" w:cs="宋体"/>
              <w:bCs w:val="0"/>
              <w:kern w:val="2"/>
              <w:sz w:val="32"/>
              <w:szCs w:val="40"/>
              <w:lang w:val="en-US" w:eastAsia="zh-CN" w:bidi="ar-SA"/>
            </w:rPr>
            <w:fldChar w:fldCharType="separate"/>
          </w:r>
          <w:r>
            <w:rPr>
              <w:rFonts w:hint="eastAsia"/>
              <w:sz w:val="32"/>
              <w:szCs w:val="40"/>
              <w:lang w:val="en-US" w:eastAsia="zh-CN"/>
            </w:rPr>
            <w:t>第三章 评标办法</w:t>
          </w:r>
          <w:r>
            <w:rPr>
              <w:sz w:val="32"/>
              <w:szCs w:val="40"/>
            </w:rPr>
            <w:tab/>
          </w:r>
          <w:r>
            <w:rPr>
              <w:sz w:val="32"/>
              <w:szCs w:val="40"/>
            </w:rPr>
            <w:fldChar w:fldCharType="begin"/>
          </w:r>
          <w:r>
            <w:rPr>
              <w:sz w:val="32"/>
              <w:szCs w:val="40"/>
            </w:rPr>
            <w:instrText xml:space="preserve"> PAGEREF _Toc26364 \h </w:instrText>
          </w:r>
          <w:r>
            <w:rPr>
              <w:sz w:val="32"/>
              <w:szCs w:val="40"/>
            </w:rPr>
            <w:fldChar w:fldCharType="separate"/>
          </w:r>
          <w:r>
            <w:rPr>
              <w:sz w:val="32"/>
              <w:szCs w:val="40"/>
            </w:rPr>
            <w:t>36</w:t>
          </w:r>
          <w:r>
            <w:rPr>
              <w:sz w:val="32"/>
              <w:szCs w:val="40"/>
            </w:rPr>
            <w:fldChar w:fldCharType="end"/>
          </w:r>
          <w:r>
            <w:rPr>
              <w:rFonts w:hint="eastAsia" w:ascii="宋体" w:hAnsi="宋体" w:eastAsia="宋体" w:cs="宋体"/>
              <w:bCs w:val="0"/>
              <w:kern w:val="2"/>
              <w:sz w:val="32"/>
              <w:szCs w:val="40"/>
              <w:lang w:val="en-US" w:eastAsia="zh-CN" w:bidi="ar-SA"/>
            </w:rPr>
            <w:fldChar w:fldCharType="end"/>
          </w:r>
        </w:p>
        <w:p w14:paraId="12ACE448">
          <w:pPr>
            <w:pStyle w:val="13"/>
            <w:tabs>
              <w:tab w:val="right" w:leader="dot" w:pos="9072"/>
            </w:tabs>
            <w:spacing w:line="360" w:lineRule="auto"/>
            <w:rPr>
              <w:sz w:val="32"/>
              <w:szCs w:val="40"/>
            </w:rPr>
          </w:pPr>
          <w:r>
            <w:rPr>
              <w:rFonts w:hint="eastAsia" w:ascii="宋体" w:hAnsi="宋体" w:eastAsia="宋体" w:cs="宋体"/>
              <w:bCs w:val="0"/>
              <w:kern w:val="2"/>
              <w:sz w:val="32"/>
              <w:szCs w:val="40"/>
              <w:lang w:val="en-US" w:eastAsia="zh-CN" w:bidi="ar-SA"/>
            </w:rPr>
            <w:fldChar w:fldCharType="begin"/>
          </w:r>
          <w:r>
            <w:rPr>
              <w:rFonts w:hint="eastAsia" w:ascii="宋体" w:hAnsi="宋体" w:eastAsia="宋体" w:cs="宋体"/>
              <w:bCs w:val="0"/>
              <w:kern w:val="2"/>
              <w:sz w:val="32"/>
              <w:szCs w:val="40"/>
              <w:lang w:val="en-US" w:eastAsia="zh-CN" w:bidi="ar-SA"/>
            </w:rPr>
            <w:instrText xml:space="preserve"> HYPERLINK \l _Toc7743 </w:instrText>
          </w:r>
          <w:r>
            <w:rPr>
              <w:rFonts w:hint="eastAsia" w:ascii="宋体" w:hAnsi="宋体" w:eastAsia="宋体" w:cs="宋体"/>
              <w:bCs w:val="0"/>
              <w:kern w:val="2"/>
              <w:sz w:val="32"/>
              <w:szCs w:val="40"/>
              <w:lang w:val="en-US" w:eastAsia="zh-CN" w:bidi="ar-SA"/>
            </w:rPr>
            <w:fldChar w:fldCharType="separate"/>
          </w:r>
          <w:r>
            <w:rPr>
              <w:rFonts w:hint="eastAsia"/>
              <w:sz w:val="32"/>
              <w:szCs w:val="40"/>
              <w:lang w:val="en-US" w:eastAsia="zh-CN"/>
            </w:rPr>
            <w:t>第四章 采购需求及商务要求</w:t>
          </w:r>
          <w:r>
            <w:rPr>
              <w:sz w:val="32"/>
              <w:szCs w:val="40"/>
            </w:rPr>
            <w:tab/>
          </w:r>
          <w:r>
            <w:rPr>
              <w:sz w:val="32"/>
              <w:szCs w:val="40"/>
            </w:rPr>
            <w:fldChar w:fldCharType="begin"/>
          </w:r>
          <w:r>
            <w:rPr>
              <w:sz w:val="32"/>
              <w:szCs w:val="40"/>
            </w:rPr>
            <w:instrText xml:space="preserve"> PAGEREF _Toc7743 \h </w:instrText>
          </w:r>
          <w:r>
            <w:rPr>
              <w:sz w:val="32"/>
              <w:szCs w:val="40"/>
            </w:rPr>
            <w:fldChar w:fldCharType="separate"/>
          </w:r>
          <w:r>
            <w:rPr>
              <w:sz w:val="32"/>
              <w:szCs w:val="40"/>
            </w:rPr>
            <w:t>49</w:t>
          </w:r>
          <w:r>
            <w:rPr>
              <w:sz w:val="32"/>
              <w:szCs w:val="40"/>
            </w:rPr>
            <w:fldChar w:fldCharType="end"/>
          </w:r>
          <w:r>
            <w:rPr>
              <w:rFonts w:hint="eastAsia" w:ascii="宋体" w:hAnsi="宋体" w:eastAsia="宋体" w:cs="宋体"/>
              <w:bCs w:val="0"/>
              <w:kern w:val="2"/>
              <w:sz w:val="32"/>
              <w:szCs w:val="40"/>
              <w:lang w:val="en-US" w:eastAsia="zh-CN" w:bidi="ar-SA"/>
            </w:rPr>
            <w:fldChar w:fldCharType="end"/>
          </w:r>
        </w:p>
        <w:p w14:paraId="1355B2CB">
          <w:pPr>
            <w:pStyle w:val="13"/>
            <w:tabs>
              <w:tab w:val="right" w:leader="dot" w:pos="9072"/>
            </w:tabs>
            <w:spacing w:line="360" w:lineRule="auto"/>
            <w:rPr>
              <w:sz w:val="32"/>
              <w:szCs w:val="40"/>
            </w:rPr>
          </w:pPr>
          <w:r>
            <w:rPr>
              <w:rFonts w:hint="eastAsia" w:ascii="宋体" w:hAnsi="宋体" w:eastAsia="宋体" w:cs="宋体"/>
              <w:bCs w:val="0"/>
              <w:kern w:val="2"/>
              <w:sz w:val="32"/>
              <w:szCs w:val="40"/>
              <w:lang w:val="en-US" w:eastAsia="zh-CN" w:bidi="ar-SA"/>
            </w:rPr>
            <w:fldChar w:fldCharType="begin"/>
          </w:r>
          <w:r>
            <w:rPr>
              <w:rFonts w:hint="eastAsia" w:ascii="宋体" w:hAnsi="宋体" w:eastAsia="宋体" w:cs="宋体"/>
              <w:bCs w:val="0"/>
              <w:kern w:val="2"/>
              <w:sz w:val="32"/>
              <w:szCs w:val="40"/>
              <w:lang w:val="en-US" w:eastAsia="zh-CN" w:bidi="ar-SA"/>
            </w:rPr>
            <w:instrText xml:space="preserve"> HYPERLINK \l _Toc16752 </w:instrText>
          </w:r>
          <w:r>
            <w:rPr>
              <w:rFonts w:hint="eastAsia" w:ascii="宋体" w:hAnsi="宋体" w:eastAsia="宋体" w:cs="宋体"/>
              <w:bCs w:val="0"/>
              <w:kern w:val="2"/>
              <w:sz w:val="32"/>
              <w:szCs w:val="40"/>
              <w:lang w:val="en-US" w:eastAsia="zh-CN" w:bidi="ar-SA"/>
            </w:rPr>
            <w:fldChar w:fldCharType="separate"/>
          </w:r>
          <w:r>
            <w:rPr>
              <w:rFonts w:hint="eastAsia"/>
              <w:sz w:val="32"/>
              <w:szCs w:val="40"/>
              <w:lang w:val="en-US" w:eastAsia="zh-CN"/>
            </w:rPr>
            <w:t>第五章 合同条款及格式</w:t>
          </w:r>
          <w:r>
            <w:rPr>
              <w:sz w:val="32"/>
              <w:szCs w:val="40"/>
            </w:rPr>
            <w:tab/>
          </w:r>
          <w:r>
            <w:rPr>
              <w:sz w:val="32"/>
              <w:szCs w:val="40"/>
            </w:rPr>
            <w:fldChar w:fldCharType="begin"/>
          </w:r>
          <w:r>
            <w:rPr>
              <w:sz w:val="32"/>
              <w:szCs w:val="40"/>
            </w:rPr>
            <w:instrText xml:space="preserve"> PAGEREF _Toc16752 \h </w:instrText>
          </w:r>
          <w:r>
            <w:rPr>
              <w:sz w:val="32"/>
              <w:szCs w:val="40"/>
            </w:rPr>
            <w:fldChar w:fldCharType="separate"/>
          </w:r>
          <w:r>
            <w:rPr>
              <w:sz w:val="32"/>
              <w:szCs w:val="40"/>
            </w:rPr>
            <w:t>75</w:t>
          </w:r>
          <w:r>
            <w:rPr>
              <w:sz w:val="32"/>
              <w:szCs w:val="40"/>
            </w:rPr>
            <w:fldChar w:fldCharType="end"/>
          </w:r>
          <w:r>
            <w:rPr>
              <w:rFonts w:hint="eastAsia" w:ascii="宋体" w:hAnsi="宋体" w:eastAsia="宋体" w:cs="宋体"/>
              <w:bCs w:val="0"/>
              <w:kern w:val="2"/>
              <w:sz w:val="32"/>
              <w:szCs w:val="40"/>
              <w:lang w:val="en-US" w:eastAsia="zh-CN" w:bidi="ar-SA"/>
            </w:rPr>
            <w:fldChar w:fldCharType="end"/>
          </w:r>
        </w:p>
        <w:p w14:paraId="4F367E14">
          <w:pPr>
            <w:pStyle w:val="13"/>
            <w:tabs>
              <w:tab w:val="right" w:leader="dot" w:pos="9072"/>
            </w:tabs>
            <w:spacing w:line="360" w:lineRule="auto"/>
            <w:rPr>
              <w:sz w:val="32"/>
              <w:szCs w:val="40"/>
            </w:rPr>
          </w:pPr>
          <w:r>
            <w:rPr>
              <w:rFonts w:hint="eastAsia" w:ascii="宋体" w:hAnsi="宋体" w:eastAsia="宋体" w:cs="宋体"/>
              <w:bCs w:val="0"/>
              <w:kern w:val="2"/>
              <w:sz w:val="32"/>
              <w:szCs w:val="40"/>
              <w:lang w:val="en-US" w:eastAsia="zh-CN" w:bidi="ar-SA"/>
            </w:rPr>
            <w:fldChar w:fldCharType="begin"/>
          </w:r>
          <w:r>
            <w:rPr>
              <w:rFonts w:hint="eastAsia" w:ascii="宋体" w:hAnsi="宋体" w:eastAsia="宋体" w:cs="宋体"/>
              <w:bCs w:val="0"/>
              <w:kern w:val="2"/>
              <w:sz w:val="32"/>
              <w:szCs w:val="40"/>
              <w:lang w:val="en-US" w:eastAsia="zh-CN" w:bidi="ar-SA"/>
            </w:rPr>
            <w:instrText xml:space="preserve"> HYPERLINK \l _Toc8637 </w:instrText>
          </w:r>
          <w:r>
            <w:rPr>
              <w:rFonts w:hint="eastAsia" w:ascii="宋体" w:hAnsi="宋体" w:eastAsia="宋体" w:cs="宋体"/>
              <w:bCs w:val="0"/>
              <w:kern w:val="2"/>
              <w:sz w:val="32"/>
              <w:szCs w:val="40"/>
              <w:lang w:val="en-US" w:eastAsia="zh-CN" w:bidi="ar-SA"/>
            </w:rPr>
            <w:fldChar w:fldCharType="separate"/>
          </w:r>
          <w:r>
            <w:rPr>
              <w:rFonts w:hint="eastAsia"/>
              <w:sz w:val="32"/>
              <w:szCs w:val="40"/>
              <w:lang w:val="en-US" w:eastAsia="zh-CN"/>
            </w:rPr>
            <w:t>第六章 投标文件格式</w:t>
          </w:r>
          <w:r>
            <w:rPr>
              <w:sz w:val="32"/>
              <w:szCs w:val="40"/>
            </w:rPr>
            <w:tab/>
          </w:r>
          <w:r>
            <w:rPr>
              <w:sz w:val="32"/>
              <w:szCs w:val="40"/>
            </w:rPr>
            <w:fldChar w:fldCharType="begin"/>
          </w:r>
          <w:r>
            <w:rPr>
              <w:sz w:val="32"/>
              <w:szCs w:val="40"/>
            </w:rPr>
            <w:instrText xml:space="preserve"> PAGEREF _Toc8637 \h </w:instrText>
          </w:r>
          <w:r>
            <w:rPr>
              <w:sz w:val="32"/>
              <w:szCs w:val="40"/>
            </w:rPr>
            <w:fldChar w:fldCharType="separate"/>
          </w:r>
          <w:r>
            <w:rPr>
              <w:sz w:val="32"/>
              <w:szCs w:val="40"/>
            </w:rPr>
            <w:t>96</w:t>
          </w:r>
          <w:r>
            <w:rPr>
              <w:sz w:val="32"/>
              <w:szCs w:val="40"/>
            </w:rPr>
            <w:fldChar w:fldCharType="end"/>
          </w:r>
          <w:r>
            <w:rPr>
              <w:rFonts w:hint="eastAsia" w:ascii="宋体" w:hAnsi="宋体" w:eastAsia="宋体" w:cs="宋体"/>
              <w:bCs w:val="0"/>
              <w:kern w:val="2"/>
              <w:sz w:val="32"/>
              <w:szCs w:val="40"/>
              <w:lang w:val="en-US" w:eastAsia="zh-CN" w:bidi="ar-SA"/>
            </w:rPr>
            <w:fldChar w:fldCharType="end"/>
          </w:r>
        </w:p>
        <w:p w14:paraId="3075F7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val="0"/>
              <w:kern w:val="2"/>
              <w:sz w:val="21"/>
              <w:szCs w:val="24"/>
              <w:lang w:val="en-US" w:eastAsia="zh-CN" w:bidi="ar-SA"/>
            </w:rPr>
          </w:pPr>
          <w:r>
            <w:rPr>
              <w:rFonts w:hint="eastAsia" w:ascii="宋体" w:hAnsi="宋体" w:eastAsia="宋体" w:cs="宋体"/>
              <w:bCs w:val="0"/>
              <w:kern w:val="2"/>
              <w:sz w:val="32"/>
              <w:szCs w:val="40"/>
              <w:lang w:val="en-US" w:eastAsia="zh-CN" w:bidi="ar-SA"/>
            </w:rPr>
            <w:fldChar w:fldCharType="end"/>
          </w:r>
        </w:p>
      </w:sdtContent>
    </w:sdt>
    <w:p w14:paraId="000B43C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val="0"/>
          <w:kern w:val="2"/>
          <w:sz w:val="21"/>
          <w:szCs w:val="24"/>
          <w:lang w:val="en-US" w:eastAsia="zh-CN" w:bidi="ar-SA"/>
        </w:rPr>
      </w:pPr>
    </w:p>
    <w:p w14:paraId="3ECA773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p>
    <w:p w14:paraId="10126116">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p>
    <w:p w14:paraId="0AD2C7F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p>
    <w:p w14:paraId="7ACAF304">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8"/>
          <w:szCs w:val="28"/>
          <w:lang w:val="en-US" w:eastAsia="zh-CN"/>
        </w:rPr>
      </w:pPr>
    </w:p>
    <w:p w14:paraId="435F243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 w:val="36"/>
          <w:szCs w:val="36"/>
          <w:lang w:val="en-US" w:eastAsia="zh-CN"/>
        </w:rPr>
        <w:sectPr>
          <w:footerReference r:id="rId5" w:type="default"/>
          <w:pgSz w:w="11906" w:h="16838"/>
          <w:pgMar w:top="1417" w:right="1417" w:bottom="1417" w:left="1417" w:header="1134" w:footer="992" w:gutter="0"/>
          <w:pgNumType w:fmt="decimal" w:start="1"/>
          <w:cols w:space="425" w:num="1"/>
          <w:docGrid w:type="lines" w:linePitch="312" w:charSpace="0"/>
        </w:sectPr>
      </w:pPr>
    </w:p>
    <w:p w14:paraId="1EFF1866">
      <w:pPr>
        <w:pStyle w:val="2"/>
        <w:bidi w:val="0"/>
        <w:rPr>
          <w:rFonts w:hint="eastAsia"/>
          <w:lang w:val="en-US" w:eastAsia="zh-CN"/>
        </w:rPr>
      </w:pPr>
      <w:bookmarkStart w:id="0" w:name="_Toc4355"/>
      <w:r>
        <w:rPr>
          <w:rFonts w:hint="eastAsia"/>
          <w:lang w:val="en-US" w:eastAsia="zh-CN"/>
        </w:rPr>
        <w:t>第一章 招标公告</w:t>
      </w:r>
      <w:bookmarkEnd w:id="0"/>
    </w:p>
    <w:p w14:paraId="3EB961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阿图什市“道路照明合同能源托管+智慧化运维服务”项目招标公告</w:t>
      </w:r>
    </w:p>
    <w:tbl>
      <w:tblPr>
        <w:tblStyle w:val="16"/>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0"/>
      </w:tblGrid>
      <w:tr w14:paraId="2FB0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0" w:type="dxa"/>
          </w:tcPr>
          <w:p w14:paraId="604FA6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项目概况</w:t>
            </w:r>
          </w:p>
          <w:p w14:paraId="13D9B2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color w:val="000000"/>
                <w:kern w:val="0"/>
                <w:sz w:val="24"/>
                <w:szCs w:val="24"/>
                <w:lang w:val="en-US" w:eastAsia="zh-CN" w:bidi="ar"/>
              </w:rPr>
              <w:t>阿图什市“道路照明合同能源托管+智慧化运维服务”项目</w:t>
            </w:r>
            <w:r>
              <w:rPr>
                <w:rFonts w:hint="eastAsia" w:ascii="宋体" w:hAnsi="宋体" w:eastAsia="宋体" w:cs="宋体"/>
                <w:b w:val="0"/>
                <w:bCs w:val="0"/>
                <w:sz w:val="24"/>
                <w:szCs w:val="24"/>
                <w:vertAlign w:val="baseline"/>
                <w:lang w:val="en-US" w:eastAsia="zh-CN"/>
              </w:rPr>
              <w:t>的潜在投标人应在政采云平台线上获取招标文件，并于</w:t>
            </w:r>
            <w:r>
              <w:rPr>
                <w:rFonts w:hint="eastAsia" w:ascii="宋体" w:hAnsi="宋体" w:eastAsia="宋体" w:cs="宋体"/>
                <w:b w:val="0"/>
                <w:bCs w:val="0"/>
                <w:sz w:val="24"/>
                <w:szCs w:val="24"/>
                <w:highlight w:val="none"/>
                <w:vertAlign w:val="baseline"/>
                <w:lang w:val="en-US" w:eastAsia="zh-CN"/>
              </w:rPr>
              <w:t>2025年8月4日上午10:15（北京时间）</w:t>
            </w:r>
            <w:r>
              <w:rPr>
                <w:rFonts w:hint="eastAsia" w:ascii="宋体" w:hAnsi="宋体" w:eastAsia="宋体" w:cs="宋体"/>
                <w:b w:val="0"/>
                <w:bCs w:val="0"/>
                <w:sz w:val="24"/>
                <w:szCs w:val="24"/>
                <w:vertAlign w:val="baseline"/>
                <w:lang w:val="en-US" w:eastAsia="zh-CN"/>
              </w:rPr>
              <w:t>前递交投标文件。</w:t>
            </w:r>
          </w:p>
        </w:tc>
      </w:tr>
    </w:tbl>
    <w:p w14:paraId="7C881C6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一、项目基本情况</w:t>
      </w:r>
    </w:p>
    <w:p w14:paraId="4F043DC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项目编号：ATSCG-2025063</w:t>
      </w:r>
    </w:p>
    <w:p w14:paraId="5976BD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项目名称：阿图什市“道路照明合同能源托管+智慧化运维服务”项目</w:t>
      </w:r>
    </w:p>
    <w:p w14:paraId="6F39C3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采购方式：公开招标</w:t>
      </w:r>
    </w:p>
    <w:p w14:paraId="7E32D6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lang w:val="en-US" w:eastAsia="zh-CN"/>
        </w:rPr>
        <w:t>预算金额（元）：</w:t>
      </w:r>
      <w:r>
        <w:rPr>
          <w:rFonts w:hint="eastAsia" w:ascii="宋体" w:hAnsi="宋体" w:eastAsia="宋体" w:cs="宋体"/>
          <w:b w:val="0"/>
          <w:bCs w:val="0"/>
          <w:sz w:val="24"/>
          <w:szCs w:val="24"/>
          <w:highlight w:val="none"/>
          <w:lang w:val="en-US" w:eastAsia="zh-CN"/>
        </w:rPr>
        <w:t>5900000.00/年</w:t>
      </w:r>
    </w:p>
    <w:p w14:paraId="137E307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highlight w:val="none"/>
          <w:lang w:val="en-US" w:eastAsia="zh-CN"/>
        </w:rPr>
        <w:t xml:space="preserve">最高限价（元）：5900000.00/年  </w:t>
      </w:r>
      <w:r>
        <w:rPr>
          <w:rFonts w:hint="eastAsia" w:ascii="宋体" w:hAnsi="宋体" w:eastAsia="宋体" w:cs="宋体"/>
          <w:b w:val="0"/>
          <w:bCs w:val="0"/>
          <w:sz w:val="24"/>
          <w:szCs w:val="24"/>
          <w:lang w:val="en-US" w:eastAsia="zh-CN"/>
        </w:rPr>
        <w:t xml:space="preserve"> </w:t>
      </w:r>
    </w:p>
    <w:p w14:paraId="214D628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采购需求：</w:t>
      </w:r>
    </w:p>
    <w:p w14:paraId="3DC1321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标项名称:阿图什市“道路照明合同能源托管+智慧化运维服务”项目</w:t>
      </w:r>
    </w:p>
    <w:p w14:paraId="2CA4EC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数量:1</w:t>
      </w:r>
    </w:p>
    <w:p w14:paraId="5B4EA1D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预算金额（元）：5900000.00/年</w:t>
      </w:r>
    </w:p>
    <w:p w14:paraId="72F03D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单位：批</w:t>
      </w:r>
    </w:p>
    <w:p w14:paraId="5EF85E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FF"/>
          <w:sz w:val="24"/>
          <w:szCs w:val="24"/>
          <w:highlight w:val="none"/>
          <w:lang w:val="en-US" w:eastAsia="zh-CN"/>
        </w:rPr>
      </w:pPr>
      <w:r>
        <w:rPr>
          <w:rFonts w:hint="eastAsia" w:ascii="宋体" w:hAnsi="宋体" w:eastAsia="宋体" w:cs="宋体"/>
          <w:b w:val="0"/>
          <w:bCs w:val="0"/>
          <w:sz w:val="24"/>
          <w:szCs w:val="24"/>
          <w:lang w:val="en-US" w:eastAsia="zh-CN"/>
        </w:rPr>
        <w:t>简要规格描述或项目基本概况介绍、用途：对阿图什市辖区范围内所有城区（含新城区）路灯，楼宇亮化，公园广场景区、庭院灯，路灯灯箱，天桥、小游园、树上亮化等设施设备节能改造智慧化提升及管运维服务并负责运维区域照明设施的电费代缴采购一批。（具体详见采购需求及招标文件全部内容）。</w:t>
      </w:r>
    </w:p>
    <w:p w14:paraId="0E2F6AA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备注：具体详见采购需求及招标文件。</w:t>
      </w:r>
    </w:p>
    <w:p w14:paraId="0C52CC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合同履约期限：具体以甲乙双方签订合同为准。 </w:t>
      </w:r>
    </w:p>
    <w:p w14:paraId="530BC18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本项目（否） 接受联合体投标。</w:t>
      </w:r>
    </w:p>
    <w:p w14:paraId="5F009B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二、申请人的资格要求</w:t>
      </w:r>
    </w:p>
    <w:p w14:paraId="0FD313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1.满足《中华人民共和国政府采购法》第二十二条规定；</w:t>
      </w:r>
    </w:p>
    <w:p w14:paraId="2608E5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2.落实政府采购政策需满足的资格要求：</w:t>
      </w:r>
      <w:r>
        <w:rPr>
          <w:rFonts w:hint="eastAsia" w:ascii="宋体" w:hAnsi="宋体" w:eastAsia="宋体" w:cs="宋体"/>
          <w:spacing w:val="12"/>
          <w:sz w:val="24"/>
          <w:szCs w:val="24"/>
        </w:rPr>
        <w:t>标项</w:t>
      </w:r>
      <w:r>
        <w:rPr>
          <w:rFonts w:hint="eastAsia" w:ascii="宋体" w:hAnsi="宋体" w:eastAsia="宋体" w:cs="宋体"/>
          <w:spacing w:val="-19"/>
          <w:sz w:val="24"/>
          <w:szCs w:val="24"/>
        </w:rPr>
        <w:t xml:space="preserve"> </w:t>
      </w:r>
      <w:r>
        <w:rPr>
          <w:rFonts w:hint="eastAsia" w:ascii="宋体" w:hAnsi="宋体" w:eastAsia="宋体" w:cs="宋体"/>
          <w:spacing w:val="12"/>
          <w:sz w:val="24"/>
          <w:szCs w:val="24"/>
        </w:rPr>
        <w:t>1</w:t>
      </w:r>
      <w:r>
        <w:rPr>
          <w:rFonts w:hint="eastAsia" w:ascii="宋体" w:hAnsi="宋体" w:eastAsia="宋体" w:cs="宋体"/>
          <w:b w:val="0"/>
          <w:bCs w:val="0"/>
          <w:sz w:val="24"/>
          <w:szCs w:val="24"/>
          <w:lang w:val="en-US" w:eastAsia="zh-CN"/>
        </w:rPr>
        <w:t xml:space="preserve">：供应商为中小企业 </w:t>
      </w:r>
    </w:p>
    <w:p w14:paraId="03BAB4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3.本项目的特定资格要求：</w:t>
      </w:r>
      <w:r>
        <w:rPr>
          <w:rFonts w:hint="eastAsia" w:ascii="宋体" w:hAnsi="宋体" w:eastAsia="宋体" w:cs="宋体"/>
          <w:spacing w:val="3"/>
          <w:sz w:val="24"/>
          <w:szCs w:val="24"/>
        </w:rPr>
        <w:t>【标项</w:t>
      </w:r>
      <w:r>
        <w:rPr>
          <w:rFonts w:hint="eastAsia" w:ascii="宋体" w:hAnsi="宋体" w:eastAsia="宋体" w:cs="宋体"/>
          <w:spacing w:val="-25"/>
          <w:sz w:val="24"/>
          <w:szCs w:val="24"/>
        </w:rPr>
        <w:t xml:space="preserve"> </w:t>
      </w:r>
      <w:r>
        <w:rPr>
          <w:rFonts w:hint="eastAsia" w:ascii="宋体" w:hAnsi="宋体" w:eastAsia="宋体" w:cs="宋体"/>
          <w:spacing w:val="3"/>
          <w:sz w:val="24"/>
          <w:szCs w:val="24"/>
        </w:rPr>
        <w:t>1】</w:t>
      </w:r>
    </w:p>
    <w:p w14:paraId="65D347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（1）具有有效的三证合一营业执照副本；</w:t>
      </w:r>
    </w:p>
    <w:p w14:paraId="0D1883E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（2）法定代表人投标须提供法定代表人资格证明书，委托代理人投标须提供法定代表人授权委托书；</w:t>
      </w:r>
    </w:p>
    <w:p w14:paraId="630E634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（3）投标企业须提供投标人（被授权在职人员）近 6个月内任意 1 个月有效的社保证明；</w:t>
      </w:r>
    </w:p>
    <w:p w14:paraId="38DB7E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（4）参加政府采购活动前三年内，在经营活动中没有重大违法记录（自行承诺）；未被“信用中国”（www.creditchina.gov.cn）、中国政府采购网（www.ccgp.gov.cn）</w:t>
      </w:r>
    </w:p>
    <w:p w14:paraId="08459A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列入失信被执行人、税收违法黑名单、政府采购严重违法失信行为记录名单；</w:t>
      </w:r>
    </w:p>
    <w:p w14:paraId="2CE194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投标人须具备：①城市及道路照明工程专业承包壹级资质或市政公用工程施工总承包贰级及以上资质和有效的《安全生产许可证》；②照明工程设计专项甲级或工程设计综合设计甲级。项目负责人须具备：机电工程专业贰级注册建造师执业资质，并持有项目负责人安全生产考核合格证（B 类）；</w:t>
      </w:r>
    </w:p>
    <w:p w14:paraId="6783B6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（6）提供近半年内任意一个月财务报表或上年度财务审计报告（财务报表应至少包括资产负债表、利润表、现金流量表或财务状况变动表，当月新成立公司不需提供）。</w:t>
      </w:r>
    </w:p>
    <w:p w14:paraId="56FDBD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三、获取招标文件</w:t>
      </w:r>
    </w:p>
    <w:p w14:paraId="776B57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时间：</w:t>
      </w:r>
      <w:r>
        <w:rPr>
          <w:rFonts w:hint="eastAsia" w:ascii="宋体" w:hAnsi="宋体" w:eastAsia="宋体" w:cs="宋体"/>
          <w:b w:val="0"/>
          <w:bCs w:val="0"/>
          <w:sz w:val="24"/>
          <w:szCs w:val="24"/>
          <w:highlight w:val="none"/>
          <w:lang w:val="en-US" w:eastAsia="zh-CN"/>
        </w:rPr>
        <w:t>2025年7月14日至 2025年7月21日</w:t>
      </w:r>
      <w:r>
        <w:rPr>
          <w:rFonts w:hint="eastAsia" w:ascii="宋体" w:hAnsi="宋体" w:eastAsia="宋体" w:cs="宋体"/>
          <w:b w:val="0"/>
          <w:bCs w:val="0"/>
          <w:sz w:val="24"/>
          <w:szCs w:val="24"/>
          <w:lang w:val="en-US" w:eastAsia="zh-CN"/>
        </w:rPr>
        <w:t>，每天上午 10:00 至 14：00，下午 16:00 至 20：00（北京时间，法定节假日除外）</w:t>
      </w:r>
    </w:p>
    <w:p w14:paraId="430B15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地点：政采云平台线上</w:t>
      </w:r>
    </w:p>
    <w:p w14:paraId="62A2CE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6F3B7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售价（元）： 0</w:t>
      </w:r>
    </w:p>
    <w:p w14:paraId="1879B3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四、提交投标文件截止时间、开标时间和地点</w:t>
      </w:r>
    </w:p>
    <w:p w14:paraId="2FA98EE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提交投标文件截止时间：2025 年8月4日 上午10:15（北京时间）</w:t>
      </w:r>
    </w:p>
    <w:p w14:paraId="788C5D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投标地点：政府采购云平台（www.zcygov.cn）</w:t>
      </w:r>
    </w:p>
    <w:p w14:paraId="4C209D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开标时间：2025 年8月4日上午10:15 （北京时间） </w:t>
      </w:r>
    </w:p>
    <w:p w14:paraId="049FCD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开标地点：投标人登录政采云平台https://www.zcygov.cn/，进入“项目采购-开标评标-右边选择对应项目点击“进入项目”进入开标大厅。  </w:t>
      </w:r>
    </w:p>
    <w:p w14:paraId="64EEE7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五、公告期限</w:t>
      </w:r>
    </w:p>
    <w:p w14:paraId="0D68A0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自本公告发布之日起 5 个工作日。</w:t>
      </w:r>
    </w:p>
    <w:p w14:paraId="0F94ED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六、其他补充事宜</w:t>
      </w:r>
      <w:r>
        <w:rPr>
          <w:rFonts w:hint="eastAsia" w:ascii="宋体" w:hAnsi="宋体" w:eastAsia="宋体" w:cs="宋体"/>
          <w:b w:val="0"/>
          <w:bCs w:val="0"/>
          <w:sz w:val="24"/>
          <w:szCs w:val="24"/>
          <w:lang w:val="en-US" w:eastAsia="zh-CN"/>
        </w:rPr>
        <w:t xml:space="preserve"> </w:t>
      </w:r>
    </w:p>
    <w:p w14:paraId="2B72E2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1、本项目实行网上投标，采用电子投标文件。</w:t>
      </w:r>
    </w:p>
    <w:p w14:paraId="056865B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5CFA04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3、供应商将政采云电子交易客户端下载、安装完成后，可通过账号密码或CA登录客户端进行投标文件的制作。在使用政采云投标客户端时，建议使用WIN7及以上操作系统。</w:t>
      </w:r>
    </w:p>
    <w:p w14:paraId="30F420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4、其他事项：/ </w:t>
      </w:r>
    </w:p>
    <w:p w14:paraId="73D951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特别提示：</w:t>
      </w:r>
    </w:p>
    <w:p w14:paraId="187F201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1、采购限额标准以上，200 万元以下的货物和服务采购项目、400 万元以下的工程采</w:t>
      </w:r>
    </w:p>
    <w:p w14:paraId="648FD8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购项目，适宜由中小企业提供的，采购人应当专门面向中小企业采购。</w:t>
      </w:r>
    </w:p>
    <w:p w14:paraId="65A2FF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2、超过 200 万元的货物和服务采购项目，预留该部分采购项目预算总额的30%以上专门面向中小企业采购，其中预留给小微企业的比例不低于60%。</w:t>
      </w:r>
    </w:p>
    <w:p w14:paraId="777B2E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3、超过 400 万元的工程采购项目中适宜由中小企业提供的，预留该部分采购项目预算总额的40%以上专门面向中小企业采购，其中预留给小微企业的比例不低于60%。</w:t>
      </w:r>
    </w:p>
    <w:p w14:paraId="385156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4、对于未预留份额专门面向中小企业的采购项目，以及预留份额项目中的非预留部分采购包，采购人、采购代理机构应当对符合规定的小微企业报价给予 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00319E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5、接受大中型企业与小微企业组成联合体或者允许大中型企业向一家或者多家小微企业分包的采购项目，对于联合协议或者分包意向协议约定小微企业的合同份额占到</w:t>
      </w:r>
    </w:p>
    <w:p w14:paraId="376FF8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合同总金额 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6AB885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七、对本次采购提出询问，请按以下方式联系 </w:t>
      </w:r>
    </w:p>
    <w:p w14:paraId="077C8D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1.采购人信息</w:t>
      </w:r>
    </w:p>
    <w:p w14:paraId="737868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名  称：阿图什市市政公用事业服务中心</w:t>
      </w:r>
    </w:p>
    <w:p w14:paraId="47E25A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地  址：阿图什市松他克南路22院  </w:t>
      </w:r>
    </w:p>
    <w:p w14:paraId="499369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联系方式：15709080261</w:t>
      </w:r>
    </w:p>
    <w:p w14:paraId="636FAC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2.采购代理机构信息</w:t>
      </w:r>
    </w:p>
    <w:p w14:paraId="416FD0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名  称：新疆锦研建设工程项目管理有限公司  </w:t>
      </w:r>
    </w:p>
    <w:p w14:paraId="6A5057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地  址：新疆克州阿图什市幸福街道阿孜汗路27号二楼 </w:t>
      </w:r>
    </w:p>
    <w:p w14:paraId="06EE62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3.项目联系方式</w:t>
      </w:r>
    </w:p>
    <w:p w14:paraId="6A66A6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项目联系人：王先生  </w:t>
      </w:r>
    </w:p>
    <w:p w14:paraId="08AB12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  话：18129181462</w:t>
      </w:r>
    </w:p>
    <w:p w14:paraId="479BF22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09F3976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6E30818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1D8B685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1"/>
          <w:szCs w:val="21"/>
          <w:lang w:val="en-US" w:eastAsia="zh-CN"/>
        </w:rPr>
      </w:pPr>
    </w:p>
    <w:p w14:paraId="4D6BE2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6"/>
          <w:szCs w:val="36"/>
          <w:lang w:val="en-US" w:eastAsia="zh-CN"/>
        </w:rPr>
        <w:sectPr>
          <w:footerReference r:id="rId6" w:type="default"/>
          <w:pgSz w:w="11906" w:h="16840"/>
          <w:pgMar w:top="1417" w:right="1417" w:bottom="1417" w:left="1417" w:header="825" w:footer="1068" w:gutter="0"/>
          <w:pgNumType w:fmt="decimal" w:start="1"/>
          <w:cols w:space="720" w:num="1"/>
        </w:sectPr>
      </w:pPr>
    </w:p>
    <w:p w14:paraId="71329D76">
      <w:pPr>
        <w:pStyle w:val="2"/>
        <w:bidi w:val="0"/>
        <w:rPr>
          <w:rFonts w:hint="eastAsia"/>
          <w:lang w:val="en-US" w:eastAsia="zh-CN"/>
        </w:rPr>
      </w:pPr>
      <w:bookmarkStart w:id="1" w:name="_Toc3035"/>
      <w:r>
        <w:rPr>
          <w:rFonts w:hint="eastAsia"/>
          <w:lang w:val="en-US" w:eastAsia="zh-CN"/>
        </w:rPr>
        <w:t>第二章 投标人须知</w:t>
      </w:r>
      <w:bookmarkEnd w:id="1"/>
    </w:p>
    <w:p w14:paraId="688666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一、投标人须知前附表</w:t>
      </w:r>
    </w:p>
    <w:tbl>
      <w:tblPr>
        <w:tblStyle w:val="16"/>
        <w:tblW w:w="969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462"/>
        <w:gridCol w:w="7472"/>
      </w:tblGrid>
      <w:tr w14:paraId="2265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9" w:type="dxa"/>
            <w:vAlign w:val="center"/>
          </w:tcPr>
          <w:p w14:paraId="155D93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462" w:type="dxa"/>
            <w:vAlign w:val="center"/>
          </w:tcPr>
          <w:p w14:paraId="15C8B2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内容</w:t>
            </w:r>
          </w:p>
        </w:tc>
        <w:tc>
          <w:tcPr>
            <w:tcW w:w="7472" w:type="dxa"/>
            <w:vAlign w:val="center"/>
          </w:tcPr>
          <w:p w14:paraId="3C0AACC5">
            <w:pPr>
              <w:keepNext w:val="0"/>
              <w:keepLines w:val="0"/>
              <w:pageBreakBefore w:val="0"/>
              <w:widowControl w:val="0"/>
              <w:kinsoku/>
              <w:wordWrap/>
              <w:overflowPunct/>
              <w:topLinePunct w:val="0"/>
              <w:autoSpaceDE/>
              <w:autoSpaceDN/>
              <w:bidi w:val="0"/>
              <w:adjustRightInd/>
              <w:snapToGrid/>
              <w:spacing w:line="360" w:lineRule="auto"/>
              <w:ind w:firstLine="2160" w:firstLineChars="900"/>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说明与要求</w:t>
            </w:r>
          </w:p>
        </w:tc>
      </w:tr>
      <w:tr w14:paraId="08E9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E6B15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462" w:type="dxa"/>
            <w:vAlign w:val="center"/>
          </w:tcPr>
          <w:p w14:paraId="6BB0C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项目名称</w:t>
            </w:r>
          </w:p>
          <w:p w14:paraId="4B17AC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项目编号</w:t>
            </w:r>
          </w:p>
          <w:p w14:paraId="17820A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采购内容</w:t>
            </w:r>
          </w:p>
        </w:tc>
        <w:tc>
          <w:tcPr>
            <w:tcW w:w="7472" w:type="dxa"/>
            <w:vAlign w:val="center"/>
          </w:tcPr>
          <w:p w14:paraId="30FC87F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项目名称：阿图什市“道路照明合同能源托管+智慧化运维服务”项目</w:t>
            </w:r>
          </w:p>
          <w:p w14:paraId="76E352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vertAlign w:val="baseline"/>
                <w:lang w:val="en-US" w:eastAsia="zh-CN"/>
              </w:rPr>
              <w:t>项目编号：</w:t>
            </w:r>
            <w:r>
              <w:rPr>
                <w:rFonts w:hint="eastAsia" w:ascii="宋体" w:hAnsi="宋体" w:eastAsia="宋体" w:cs="宋体"/>
                <w:b w:val="0"/>
                <w:bCs w:val="0"/>
                <w:sz w:val="24"/>
                <w:szCs w:val="24"/>
                <w:highlight w:val="none"/>
                <w:vertAlign w:val="baseline"/>
                <w:lang w:val="en-US" w:eastAsia="zh-CN"/>
              </w:rPr>
              <w:t>ATSCG-2025063</w:t>
            </w:r>
          </w:p>
          <w:p w14:paraId="4FE674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采购内容：</w:t>
            </w:r>
            <w:r>
              <w:rPr>
                <w:rFonts w:hint="eastAsia" w:ascii="宋体" w:hAnsi="宋体" w:eastAsia="宋体" w:cs="宋体"/>
                <w:b w:val="0"/>
                <w:bCs w:val="0"/>
                <w:sz w:val="24"/>
                <w:szCs w:val="24"/>
                <w:vertAlign w:val="baseline"/>
                <w:lang w:val="en-US" w:eastAsia="zh-CN"/>
              </w:rPr>
              <w:t>对阿图什市辖区范围内所有城区（含新城区）路灯，楼宇亮化，公园广场景区、庭院灯，路灯灯箱，天桥、小游园、树上亮化等设施设备节能改造智慧化提升及管运维服务并负责运维区域照明设施的电费代缴采购一批。（具体详见采购需求及招标文件全部内容）。</w:t>
            </w:r>
          </w:p>
        </w:tc>
      </w:tr>
      <w:tr w14:paraId="0714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FE79A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462" w:type="dxa"/>
            <w:vAlign w:val="center"/>
          </w:tcPr>
          <w:p w14:paraId="6AF248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采购人信息</w:t>
            </w:r>
          </w:p>
        </w:tc>
        <w:tc>
          <w:tcPr>
            <w:tcW w:w="7472" w:type="dxa"/>
            <w:vAlign w:val="center"/>
          </w:tcPr>
          <w:p w14:paraId="3BC8E7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采购单位：阿图什市市政公用事业服务中心 </w:t>
            </w:r>
          </w:p>
          <w:p w14:paraId="5FC0B2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vertAlign w:val="baseline"/>
                <w:lang w:val="en-US" w:eastAsia="zh-CN"/>
              </w:rPr>
              <w:t>联系人：</w:t>
            </w:r>
            <w:r>
              <w:rPr>
                <w:rFonts w:hint="eastAsia" w:ascii="宋体" w:hAnsi="宋体" w:eastAsia="宋体" w:cs="宋体"/>
                <w:b w:val="0"/>
                <w:bCs w:val="0"/>
                <w:sz w:val="24"/>
                <w:szCs w:val="24"/>
                <w:highlight w:val="none"/>
                <w:vertAlign w:val="baseline"/>
                <w:lang w:val="en-US" w:eastAsia="zh-CN"/>
              </w:rPr>
              <w:t xml:space="preserve"> 彭先生     </w:t>
            </w:r>
          </w:p>
          <w:p w14:paraId="45D1DE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联系电话：15709080261</w:t>
            </w:r>
          </w:p>
        </w:tc>
      </w:tr>
      <w:tr w14:paraId="7CEA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65F28B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462" w:type="dxa"/>
            <w:vAlign w:val="center"/>
          </w:tcPr>
          <w:p w14:paraId="1245E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采购代理机构</w:t>
            </w:r>
          </w:p>
        </w:tc>
        <w:tc>
          <w:tcPr>
            <w:tcW w:w="7472" w:type="dxa"/>
            <w:vAlign w:val="center"/>
          </w:tcPr>
          <w:p w14:paraId="70E0B3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名称：新疆锦研建设工程项目管理有限公司  </w:t>
            </w:r>
          </w:p>
          <w:p w14:paraId="6732FF0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地址：新疆克州阿图什市幸福街道阿孜汗路27号二楼</w:t>
            </w:r>
          </w:p>
          <w:p w14:paraId="447B785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w:t>
            </w:r>
            <w:r>
              <w:rPr>
                <w:rFonts w:hint="eastAsia" w:ascii="宋体" w:hAnsi="宋体" w:eastAsia="宋体" w:cs="宋体"/>
                <w:b w:val="0"/>
                <w:bCs w:val="0"/>
                <w:sz w:val="24"/>
                <w:szCs w:val="24"/>
                <w:lang w:val="en-US" w:eastAsia="zh-CN"/>
              </w:rPr>
              <w:t>18129181462</w:t>
            </w:r>
          </w:p>
        </w:tc>
      </w:tr>
      <w:tr w14:paraId="6CA6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8CC2F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1462" w:type="dxa"/>
            <w:vAlign w:val="center"/>
          </w:tcPr>
          <w:p w14:paraId="13747F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采购预算价</w:t>
            </w:r>
          </w:p>
          <w:p w14:paraId="7591FB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最高限价</w:t>
            </w:r>
          </w:p>
        </w:tc>
        <w:tc>
          <w:tcPr>
            <w:tcW w:w="7472" w:type="dxa"/>
            <w:vAlign w:val="center"/>
          </w:tcPr>
          <w:p w14:paraId="7DCF1C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采购预算价：590.00万元/年</w:t>
            </w:r>
          </w:p>
          <w:p w14:paraId="3D5EAC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最高限价：590.00万元/年，</w:t>
            </w:r>
            <w:r>
              <w:rPr>
                <w:rFonts w:hint="eastAsia" w:ascii="宋体" w:hAnsi="宋体" w:eastAsia="宋体" w:cs="宋体"/>
                <w:b/>
                <w:bCs/>
                <w:sz w:val="24"/>
                <w:szCs w:val="24"/>
                <w:vertAlign w:val="baseline"/>
                <w:lang w:val="en-US" w:eastAsia="zh-CN"/>
              </w:rPr>
              <w:t>投标总报价超过最高限价的按废标处理。</w:t>
            </w:r>
          </w:p>
        </w:tc>
      </w:tr>
      <w:tr w14:paraId="5D5A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9B40C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462" w:type="dxa"/>
            <w:vAlign w:val="center"/>
          </w:tcPr>
          <w:p w14:paraId="20DD6F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资金来源金资金落实情况</w:t>
            </w:r>
          </w:p>
        </w:tc>
        <w:tc>
          <w:tcPr>
            <w:tcW w:w="7472" w:type="dxa"/>
            <w:vAlign w:val="center"/>
          </w:tcPr>
          <w:p w14:paraId="66F064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FF"/>
                <w:sz w:val="24"/>
                <w:szCs w:val="24"/>
                <w:vertAlign w:val="baseline"/>
                <w:lang w:val="en-US" w:eastAsia="zh-CN"/>
              </w:rPr>
            </w:pPr>
            <w:r>
              <w:rPr>
                <w:rFonts w:hint="eastAsia" w:ascii="宋体" w:hAnsi="宋体" w:eastAsia="宋体" w:cs="宋体"/>
                <w:b w:val="0"/>
                <w:bCs w:val="0"/>
                <w:sz w:val="24"/>
                <w:szCs w:val="24"/>
                <w:lang w:val="en-US" w:eastAsia="zh-CN"/>
              </w:rPr>
              <w:t>2025年部门预算资金，已经落实。</w:t>
            </w:r>
          </w:p>
        </w:tc>
      </w:tr>
      <w:tr w14:paraId="0E8F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93A46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1462" w:type="dxa"/>
            <w:vAlign w:val="center"/>
          </w:tcPr>
          <w:p w14:paraId="0D72E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auto"/>
                <w:sz w:val="24"/>
                <w:szCs w:val="24"/>
                <w:lang w:val="en-US" w:eastAsia="zh-CN"/>
              </w:rPr>
              <w:t>项目实施期限</w:t>
            </w:r>
          </w:p>
        </w:tc>
        <w:tc>
          <w:tcPr>
            <w:tcW w:w="7472" w:type="dxa"/>
            <w:vAlign w:val="center"/>
          </w:tcPr>
          <w:p w14:paraId="41EE8A4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0000FF"/>
                <w:sz w:val="24"/>
                <w:szCs w:val="24"/>
                <w:vertAlign w:val="baseline"/>
                <w:lang w:val="en-US" w:eastAsia="zh-CN"/>
              </w:rPr>
            </w:pPr>
            <w:r>
              <w:rPr>
                <w:rFonts w:hint="eastAsia" w:ascii="宋体" w:hAnsi="宋体" w:eastAsia="宋体" w:cs="宋体"/>
                <w:b w:val="0"/>
                <w:bCs w:val="0"/>
                <w:sz w:val="24"/>
                <w:szCs w:val="24"/>
                <w:lang w:val="en-US" w:eastAsia="zh-CN"/>
              </w:rPr>
              <w:t>节能改造智慧化提升期限为 4 个月，托管运维服务期自本项目合同签订之日起算，为期 10 年（含节能改造智慧化提升期限）。</w:t>
            </w:r>
          </w:p>
        </w:tc>
      </w:tr>
      <w:tr w14:paraId="0F5C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5EFD3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1462" w:type="dxa"/>
            <w:vAlign w:val="center"/>
          </w:tcPr>
          <w:p w14:paraId="55B56A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服务地点</w:t>
            </w:r>
          </w:p>
        </w:tc>
        <w:tc>
          <w:tcPr>
            <w:tcW w:w="7472" w:type="dxa"/>
            <w:vAlign w:val="center"/>
          </w:tcPr>
          <w:p w14:paraId="6A552FD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采购人指定地点</w:t>
            </w:r>
          </w:p>
        </w:tc>
      </w:tr>
      <w:tr w14:paraId="6BCB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64F43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1462" w:type="dxa"/>
            <w:vAlign w:val="center"/>
          </w:tcPr>
          <w:p w14:paraId="21DDCF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付款方式</w:t>
            </w:r>
          </w:p>
        </w:tc>
        <w:tc>
          <w:tcPr>
            <w:tcW w:w="7472" w:type="dxa"/>
            <w:vAlign w:val="center"/>
          </w:tcPr>
          <w:p w14:paraId="4CD22E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sz w:val="24"/>
                <w:szCs w:val="24"/>
                <w:lang w:val="en-US" w:eastAsia="zh-CN"/>
              </w:rPr>
              <w:t>最终付款方式以和甲方单位签订合同为准</w:t>
            </w:r>
          </w:p>
        </w:tc>
      </w:tr>
      <w:tr w14:paraId="05D2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2CE0A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1462" w:type="dxa"/>
            <w:vAlign w:val="center"/>
          </w:tcPr>
          <w:p w14:paraId="1C072E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采购方式</w:t>
            </w:r>
          </w:p>
        </w:tc>
        <w:tc>
          <w:tcPr>
            <w:tcW w:w="7472" w:type="dxa"/>
            <w:vAlign w:val="center"/>
          </w:tcPr>
          <w:p w14:paraId="536E8F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公开招标（本项目采用网上电子招投标）</w:t>
            </w:r>
          </w:p>
        </w:tc>
      </w:tr>
      <w:tr w14:paraId="49B1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8A33E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1462" w:type="dxa"/>
            <w:vAlign w:val="center"/>
          </w:tcPr>
          <w:p w14:paraId="6ABF88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评标办法</w:t>
            </w:r>
          </w:p>
        </w:tc>
        <w:tc>
          <w:tcPr>
            <w:tcW w:w="7472" w:type="dxa"/>
            <w:vAlign w:val="center"/>
          </w:tcPr>
          <w:p w14:paraId="408503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综合评分法</w:t>
            </w:r>
          </w:p>
        </w:tc>
      </w:tr>
      <w:tr w14:paraId="3E6E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ED973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1462" w:type="dxa"/>
            <w:vAlign w:val="center"/>
          </w:tcPr>
          <w:p w14:paraId="578D22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资格要求</w:t>
            </w:r>
          </w:p>
        </w:tc>
        <w:tc>
          <w:tcPr>
            <w:tcW w:w="7472" w:type="dxa"/>
            <w:vAlign w:val="center"/>
          </w:tcPr>
          <w:p w14:paraId="152CF7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1.满足《中华人民共和国政府采购法》第二十二条规定；</w:t>
            </w:r>
          </w:p>
          <w:p w14:paraId="2CB852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2.落实政府采购政策需满足的资格要求：标项 1：供应商为中小企业</w:t>
            </w:r>
          </w:p>
          <w:p w14:paraId="483789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3.本项目的特定资格要求：</w:t>
            </w:r>
          </w:p>
          <w:p w14:paraId="415961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（1）具有有效的三证合一营业执照副本；</w:t>
            </w:r>
          </w:p>
          <w:p w14:paraId="11FF5D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（2）法定代表人投标须提供法定代表人资格证明书，委托代理人投标须提供法定代表人授权委托书；</w:t>
            </w:r>
          </w:p>
          <w:p w14:paraId="7CDCA0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（3）投标企业须提供投标人（被授权在职人员）近 6个月内任意 1 个月有效的社保证明；</w:t>
            </w:r>
          </w:p>
          <w:p w14:paraId="25F976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eastAsia="zh-CN" w:bidi="ar"/>
              </w:rPr>
              <w:t>）投标</w:t>
            </w:r>
            <w:r>
              <w:rPr>
                <w:rFonts w:hint="eastAsia" w:ascii="宋体" w:hAnsi="宋体" w:eastAsia="宋体" w:cs="宋体"/>
                <w:color w:val="auto"/>
                <w:kern w:val="0"/>
                <w:sz w:val="24"/>
                <w:szCs w:val="24"/>
                <w:highlight w:val="none"/>
                <w:lang w:bidi="ar"/>
              </w:rPr>
              <w:t>保证金</w:t>
            </w:r>
            <w:r>
              <w:rPr>
                <w:rFonts w:hint="eastAsia" w:ascii="宋体" w:hAnsi="宋体" w:eastAsia="宋体" w:cs="宋体"/>
                <w:color w:val="auto"/>
                <w:kern w:val="0"/>
                <w:sz w:val="24"/>
                <w:szCs w:val="24"/>
                <w:highlight w:val="none"/>
                <w:lang w:eastAsia="zh-CN" w:bidi="ar"/>
              </w:rPr>
              <w:t>汇款凭证或</w:t>
            </w:r>
            <w:r>
              <w:rPr>
                <w:rFonts w:hint="eastAsia" w:ascii="宋体" w:hAnsi="宋体" w:eastAsia="宋体" w:cs="宋体"/>
                <w:color w:val="auto"/>
                <w:kern w:val="0"/>
                <w:sz w:val="24"/>
                <w:szCs w:val="24"/>
                <w:highlight w:val="none"/>
                <w:lang w:val="en-US" w:eastAsia="zh-CN" w:bidi="ar"/>
              </w:rPr>
              <w:t>投标担保函；</w:t>
            </w:r>
          </w:p>
          <w:p w14:paraId="4BC895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vertAlign w:val="baseline"/>
                <w:lang w:val="en-US" w:eastAsia="zh-CN"/>
              </w:rPr>
              <w:t>（5）</w:t>
            </w:r>
            <w:r>
              <w:rPr>
                <w:rFonts w:hint="eastAsia" w:ascii="宋体" w:hAnsi="宋体" w:eastAsia="宋体" w:cs="宋体"/>
                <w:b w:val="0"/>
                <w:bCs w:val="0"/>
                <w:sz w:val="24"/>
                <w:szCs w:val="24"/>
                <w:lang w:val="en-US" w:eastAsia="zh-CN"/>
              </w:rPr>
              <w:t>参加政府采购活动前三年内，在经营活动中没有重大违法记录（自行承诺）；未被“信用中国”（www.creditchina.gov.cn）、中国政府采购网（www.ccgp.gov.cn）列入失信被执行人、税收违法黑名单、政府采购严重违法失信行为记录名单；</w:t>
            </w:r>
          </w:p>
          <w:p w14:paraId="6DB18B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投标人须具备：①城市及道路照明工程专业承包壹级资质或市政公用工程施工总承包贰级资质及以上资质和有效的《安全生产许可证》；②照明工程设计专项甲级或工程设计综合设计甲级。项目负责人须具备：机电工程专业贰级注册建造师执业资质，并持有项目负责人安全生产考核合格证（B 类）；</w:t>
            </w:r>
          </w:p>
          <w:p w14:paraId="212A1E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FF"/>
                <w:sz w:val="24"/>
                <w:szCs w:val="24"/>
                <w:lang w:val="en-US" w:eastAsia="zh-CN"/>
              </w:rPr>
            </w:pPr>
            <w:r>
              <w:rPr>
                <w:rFonts w:hint="eastAsia" w:ascii="宋体" w:hAnsi="宋体" w:eastAsia="宋体" w:cs="宋体"/>
                <w:b w:val="0"/>
                <w:bCs w:val="0"/>
                <w:sz w:val="24"/>
                <w:szCs w:val="24"/>
                <w:lang w:val="en-US" w:eastAsia="zh-CN"/>
              </w:rPr>
              <w:t>（7）提供近半年内任意一个月财务报表或上年度财务审计报告（财务报表应至少包括资产负债表、利润表、现金流量表或财务状况变动表， 当月新成立公司不需提供）；</w:t>
            </w:r>
          </w:p>
          <w:p w14:paraId="1A521C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FF"/>
                <w:sz w:val="24"/>
                <w:szCs w:val="24"/>
                <w:vertAlign w:val="baseline"/>
                <w:lang w:val="en-US" w:eastAsia="zh-CN"/>
              </w:rPr>
            </w:pPr>
            <w:r>
              <w:rPr>
                <w:rFonts w:hint="eastAsia" w:ascii="宋体" w:hAnsi="宋体" w:eastAsia="宋体" w:cs="宋体"/>
                <w:b w:val="0"/>
                <w:bCs w:val="0"/>
                <w:sz w:val="24"/>
                <w:szCs w:val="24"/>
                <w:vertAlign w:val="baseline"/>
                <w:lang w:val="en-US" w:eastAsia="zh-CN"/>
              </w:rPr>
              <w:t>（8）中小企业声明函。</w:t>
            </w:r>
          </w:p>
          <w:p w14:paraId="0683E18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4.本项目不接受联合体投标</w:t>
            </w:r>
          </w:p>
        </w:tc>
      </w:tr>
      <w:tr w14:paraId="7451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A35AA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1462" w:type="dxa"/>
            <w:vAlign w:val="center"/>
          </w:tcPr>
          <w:p w14:paraId="175D49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供应商信用查询</w:t>
            </w:r>
          </w:p>
        </w:tc>
        <w:tc>
          <w:tcPr>
            <w:tcW w:w="7472" w:type="dxa"/>
            <w:vAlign w:val="center"/>
          </w:tcPr>
          <w:p w14:paraId="7196EA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1、查询渠道：信用中国（网址http://www.creditchina.gov.cn）、中国政府采购网(网址：http://www.ccgp.gov.cn）。</w:t>
            </w:r>
          </w:p>
          <w:p w14:paraId="0617B3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2、截止时点：开标后评标前。</w:t>
            </w:r>
          </w:p>
          <w:p w14:paraId="379244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3、信用信息查询记录和证据留存的具体方式：由采购组织机构在规定查询时间内打印信用信息查询记录并归入项目档案。</w:t>
            </w:r>
          </w:p>
          <w:p w14:paraId="784F50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333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984FD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1462" w:type="dxa"/>
            <w:vAlign w:val="center"/>
          </w:tcPr>
          <w:p w14:paraId="6086F8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踏勘现场</w:t>
            </w:r>
          </w:p>
        </w:tc>
        <w:tc>
          <w:tcPr>
            <w:tcW w:w="7472" w:type="dxa"/>
            <w:vAlign w:val="center"/>
          </w:tcPr>
          <w:p w14:paraId="3BEE4E9E">
            <w:pPr>
              <w:keepNext w:val="0"/>
              <w:keepLines w:val="0"/>
              <w:widowControl/>
              <w:suppressLineNumbers w:val="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不组织，如有需要经采购人同意后自行踏勘，费用自理。</w:t>
            </w:r>
          </w:p>
        </w:tc>
      </w:tr>
      <w:tr w14:paraId="54E4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43C11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1462" w:type="dxa"/>
            <w:vAlign w:val="center"/>
          </w:tcPr>
          <w:p w14:paraId="466211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投标预备会</w:t>
            </w:r>
          </w:p>
        </w:tc>
        <w:tc>
          <w:tcPr>
            <w:tcW w:w="7472" w:type="dxa"/>
            <w:vAlign w:val="center"/>
          </w:tcPr>
          <w:p w14:paraId="7A95CF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不召开</w:t>
            </w:r>
          </w:p>
        </w:tc>
      </w:tr>
      <w:tr w14:paraId="5A19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24DB3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1462" w:type="dxa"/>
            <w:vAlign w:val="center"/>
          </w:tcPr>
          <w:p w14:paraId="1E00D8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联合体投标</w:t>
            </w:r>
          </w:p>
        </w:tc>
        <w:tc>
          <w:tcPr>
            <w:tcW w:w="7472" w:type="dxa"/>
            <w:vAlign w:val="center"/>
          </w:tcPr>
          <w:p w14:paraId="15E058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☑不接受 </w:t>
            </w:r>
          </w:p>
          <w:p w14:paraId="706A20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□接受，联合体投标的须在投标文件中提供联合体协议书，联合体所有成员不得超过 2 家，联合体的任何一方均不得再与其他投标单位联合。</w:t>
            </w:r>
          </w:p>
        </w:tc>
      </w:tr>
      <w:tr w14:paraId="04A6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1AF950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462" w:type="dxa"/>
            <w:vAlign w:val="center"/>
          </w:tcPr>
          <w:p w14:paraId="36E950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投标有效期</w:t>
            </w:r>
          </w:p>
        </w:tc>
        <w:tc>
          <w:tcPr>
            <w:tcW w:w="7472" w:type="dxa"/>
            <w:vAlign w:val="center"/>
          </w:tcPr>
          <w:p w14:paraId="1BB07F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投标有效期为 60 日历天（从投标截止之日算起）。在此期限内，凡符合本采购文件要求的投标文件均保持有效。</w:t>
            </w:r>
          </w:p>
        </w:tc>
      </w:tr>
      <w:tr w14:paraId="6B3C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restart"/>
            <w:vAlign w:val="center"/>
          </w:tcPr>
          <w:p w14:paraId="793847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1462" w:type="dxa"/>
            <w:vMerge w:val="restart"/>
            <w:vAlign w:val="center"/>
          </w:tcPr>
          <w:p w14:paraId="5C7047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投标保证金</w:t>
            </w:r>
          </w:p>
        </w:tc>
        <w:tc>
          <w:tcPr>
            <w:tcW w:w="7472" w:type="dxa"/>
            <w:vAlign w:val="center"/>
          </w:tcPr>
          <w:p w14:paraId="61C74A6D">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rPr>
            </w:pPr>
            <w:r>
              <w:rPr>
                <w:rFonts w:hint="eastAsia" w:ascii="宋体" w:hAnsi="宋体" w:eastAsia="宋体" w:cs="宋体"/>
                <w:b/>
                <w:bCs/>
                <w:sz w:val="24"/>
                <w:szCs w:val="24"/>
                <w:vertAlign w:val="baseline"/>
                <w:lang w:val="en-US" w:eastAsia="zh-CN"/>
              </w:rPr>
              <w:t>投标保证金交纳要求：</w:t>
            </w:r>
            <w:r>
              <w:rPr>
                <w:rFonts w:hint="eastAsia" w:ascii="宋体" w:hAnsi="宋体" w:eastAsia="宋体" w:cs="宋体"/>
                <w:color w:val="000000"/>
                <w:kern w:val="0"/>
                <w:sz w:val="24"/>
                <w:szCs w:val="24"/>
                <w:lang w:val="en-US" w:eastAsia="zh-CN" w:bidi="ar"/>
              </w:rPr>
              <w:t xml:space="preserve">投标保证金应当以支票、汇票、本票、网 </w:t>
            </w:r>
          </w:p>
          <w:p w14:paraId="4299D9D6">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上银行支付或者金融机构、担保机构出具的保函等非现金形式交 </w:t>
            </w:r>
          </w:p>
          <w:p w14:paraId="43345F0D">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纳。 </w:t>
            </w:r>
          </w:p>
          <w:p w14:paraId="0CB81F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投标保证金金额：</w:t>
            </w:r>
            <w:r>
              <w:rPr>
                <w:rFonts w:hint="eastAsia" w:ascii="宋体" w:hAnsi="宋体" w:eastAsia="宋体" w:cs="宋体"/>
                <w:b/>
                <w:bCs/>
                <w:sz w:val="24"/>
                <w:szCs w:val="24"/>
                <w:u w:val="single"/>
                <w:vertAlign w:val="baseline"/>
                <w:lang w:val="en-US" w:eastAsia="zh-CN"/>
              </w:rPr>
              <w:t xml:space="preserve">100000.00 </w:t>
            </w:r>
            <w:r>
              <w:rPr>
                <w:rFonts w:hint="eastAsia" w:ascii="宋体" w:hAnsi="宋体" w:eastAsia="宋体" w:cs="宋体"/>
                <w:b/>
                <w:bCs/>
                <w:sz w:val="24"/>
                <w:szCs w:val="24"/>
                <w:vertAlign w:val="baseline"/>
                <w:lang w:val="en-US" w:eastAsia="zh-CN"/>
              </w:rPr>
              <w:t>（大写：壹拾万元整）</w:t>
            </w:r>
          </w:p>
        </w:tc>
      </w:tr>
      <w:tr w14:paraId="1322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7898EC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1462" w:type="dxa"/>
            <w:vMerge w:val="continue"/>
            <w:vAlign w:val="center"/>
          </w:tcPr>
          <w:p w14:paraId="4D94F9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472" w:type="dxa"/>
            <w:vAlign w:val="center"/>
          </w:tcPr>
          <w:p w14:paraId="6D58FA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一、投标保证金交纳要求：</w:t>
            </w:r>
            <w:r>
              <w:rPr>
                <w:rFonts w:hint="eastAsia" w:ascii="宋体" w:hAnsi="宋体" w:eastAsia="宋体" w:cs="宋体"/>
                <w:b w:val="0"/>
                <w:bCs w:val="0"/>
                <w:sz w:val="24"/>
                <w:szCs w:val="24"/>
                <w:highlight w:val="none"/>
                <w:vertAlign w:val="baseline"/>
                <w:lang w:val="en-US" w:eastAsia="zh-CN"/>
              </w:rPr>
              <w:t xml:space="preserve">   </w:t>
            </w:r>
          </w:p>
          <w:p w14:paraId="39AE9D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2577D3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2、其他特殊情况处理：有效投标保证金成功交纳后，截止开标时间，供应商无正当理由不参加该项目投标且不递交弃标函，投标保证金不予退还。</w:t>
            </w:r>
          </w:p>
          <w:p w14:paraId="2E6907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户名：阿图什市政务服务和公共资源交易中心</w:t>
            </w:r>
          </w:p>
          <w:p w14:paraId="5923FC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账号：30456301040005267</w:t>
            </w:r>
          </w:p>
          <w:p w14:paraId="093DA9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行名：中国农业银行阿图什市天山分理处</w:t>
            </w:r>
          </w:p>
          <w:p w14:paraId="5BDC1E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行号：103893045636</w:t>
            </w:r>
          </w:p>
          <w:p w14:paraId="1D55BB6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联系人：古女士</w:t>
            </w:r>
          </w:p>
          <w:p w14:paraId="54FA0E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 电话：0908-4222076    </w:t>
            </w:r>
          </w:p>
          <w:p w14:paraId="306B71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（备注：交易用途必须写清楚项目名称）</w:t>
            </w:r>
          </w:p>
          <w:p w14:paraId="468489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二、申请退还投标保证金资料（招投标结束中标结果公示后）：</w:t>
            </w:r>
          </w:p>
          <w:p w14:paraId="470EBA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1、投标企业：待开标完成后，未中标企业3-5个工作日内政资中心将收取的项目投标保证金按投标企业基本户退回。</w:t>
            </w:r>
          </w:p>
          <w:p w14:paraId="3D843F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2、中标企业：合同签订后携带打款凭证、中标（成交）通知书及合同（所有复印件需加盖鲜章）前往交易中心，由财务人员核对后退还。</w:t>
            </w:r>
          </w:p>
          <w:p w14:paraId="29CF33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三、其他特殊情况处理：</w:t>
            </w:r>
          </w:p>
          <w:p w14:paraId="07681A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highlight w:val="none"/>
                <w:vertAlign w:val="baseline"/>
                <w:lang w:val="en-US" w:eastAsia="zh-CN"/>
              </w:rPr>
              <w:t>1、按照招标文件要求规定：投标企业无正当理由不参加该项目投标且在规定开标时间前不递交弃标函，投标保证金不予退还。</w:t>
            </w:r>
          </w:p>
        </w:tc>
      </w:tr>
      <w:tr w14:paraId="734A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D6C82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1462" w:type="dxa"/>
            <w:vAlign w:val="center"/>
          </w:tcPr>
          <w:p w14:paraId="30994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投标文件形式</w:t>
            </w:r>
          </w:p>
        </w:tc>
        <w:tc>
          <w:tcPr>
            <w:tcW w:w="7472" w:type="dxa"/>
            <w:vAlign w:val="center"/>
          </w:tcPr>
          <w:p w14:paraId="093F52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电子投标文件包括“电子加密投标文件”，在投标文件编制完成后同时生成。</w:t>
            </w:r>
          </w:p>
          <w:p w14:paraId="7322BF5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sz w:val="24"/>
                <w:szCs w:val="24"/>
                <w:vertAlign w:val="baseline"/>
                <w:lang w:val="en-US" w:eastAsia="zh-CN"/>
              </w:rPr>
              <w:t>1、“电子加密投标文件”是指通过“政采云电子交易客户端”完成投标文件编制后生成并加密的数据电文形式的投标文件。</w:t>
            </w:r>
          </w:p>
        </w:tc>
      </w:tr>
      <w:tr w14:paraId="1020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55929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1462" w:type="dxa"/>
            <w:vAlign w:val="center"/>
          </w:tcPr>
          <w:p w14:paraId="45BC97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是否允许递交备选投标方案</w:t>
            </w:r>
          </w:p>
        </w:tc>
        <w:tc>
          <w:tcPr>
            <w:tcW w:w="7472" w:type="dxa"/>
            <w:vAlign w:val="center"/>
          </w:tcPr>
          <w:p w14:paraId="4901E264">
            <w:pPr>
              <w:keepNext w:val="0"/>
              <w:keepLines w:val="0"/>
              <w:widowControl/>
              <w:suppressLineNumbers w:val="0"/>
              <w:jc w:val="left"/>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不允许</w:t>
            </w:r>
          </w:p>
        </w:tc>
      </w:tr>
      <w:tr w14:paraId="7568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6CB86E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w:t>
            </w:r>
          </w:p>
        </w:tc>
        <w:tc>
          <w:tcPr>
            <w:tcW w:w="1462" w:type="dxa"/>
            <w:vAlign w:val="center"/>
          </w:tcPr>
          <w:p w14:paraId="7C2F91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投标文件份数及要求</w:t>
            </w:r>
          </w:p>
        </w:tc>
        <w:tc>
          <w:tcPr>
            <w:tcW w:w="7472" w:type="dxa"/>
            <w:vAlign w:val="center"/>
          </w:tcPr>
          <w:p w14:paraId="6F4173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1、一份电子加密标书（“.jmbs”格式）。</w:t>
            </w:r>
          </w:p>
          <w:p w14:paraId="6327AE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2、每份电子投标文件应包括资格证明文件和商务及技术文件两部分。</w:t>
            </w:r>
          </w:p>
        </w:tc>
      </w:tr>
      <w:tr w14:paraId="4BA3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543BE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462" w:type="dxa"/>
            <w:vAlign w:val="center"/>
          </w:tcPr>
          <w:p w14:paraId="2CC850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投标文件的上传和递交</w:t>
            </w:r>
          </w:p>
        </w:tc>
        <w:tc>
          <w:tcPr>
            <w:tcW w:w="7472" w:type="dxa"/>
            <w:vAlign w:val="center"/>
          </w:tcPr>
          <w:p w14:paraId="700FFC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1.电子加密投标文件：投标文件制作完成并生成加密标书，在投标截止时间前，供应商需将加密的投标文件上传至政采云平台，在开标时间开始后，待采购组织机构发出解密通知后 30 分钟内解密投标文件。</w:t>
            </w:r>
          </w:p>
          <w:p w14:paraId="7213B5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a.供应商未能在投标截止时间前成功上传电子加密投标文件的投标无效。</w:t>
            </w:r>
          </w:p>
          <w:p w14:paraId="3A997F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b.供应商成功上传电子加密投标文件后，可自行打印投标文件接收回执。</w:t>
            </w:r>
          </w:p>
        </w:tc>
      </w:tr>
      <w:tr w14:paraId="4E9D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73C780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w:t>
            </w:r>
          </w:p>
        </w:tc>
        <w:tc>
          <w:tcPr>
            <w:tcW w:w="1462" w:type="dxa"/>
            <w:vAlign w:val="center"/>
          </w:tcPr>
          <w:p w14:paraId="1E8241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投标截止时间及地点</w:t>
            </w:r>
          </w:p>
        </w:tc>
        <w:tc>
          <w:tcPr>
            <w:tcW w:w="7472" w:type="dxa"/>
            <w:vAlign w:val="center"/>
          </w:tcPr>
          <w:p w14:paraId="65D020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投标截止时间：2025 年8月4日 上午 10 时15 分（北京时间）</w:t>
            </w:r>
          </w:p>
          <w:p w14:paraId="61C519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投标地点：新疆政府采购云平台（www.zcygov.cn）</w:t>
            </w:r>
          </w:p>
        </w:tc>
      </w:tr>
      <w:tr w14:paraId="5E66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807EF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w:t>
            </w:r>
          </w:p>
        </w:tc>
        <w:tc>
          <w:tcPr>
            <w:tcW w:w="1462" w:type="dxa"/>
            <w:vAlign w:val="center"/>
          </w:tcPr>
          <w:p w14:paraId="2CCE4E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开标时间和地点</w:t>
            </w:r>
          </w:p>
        </w:tc>
        <w:tc>
          <w:tcPr>
            <w:tcW w:w="7472" w:type="dxa"/>
            <w:vAlign w:val="center"/>
          </w:tcPr>
          <w:p w14:paraId="505B55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开标时间：2025 年8月4日 上午 10 时 15分（北京时间）</w:t>
            </w:r>
          </w:p>
          <w:p w14:paraId="464BF23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开标地点：新疆政府采购云平台（www.zcygov.cn）</w:t>
            </w:r>
          </w:p>
        </w:tc>
      </w:tr>
      <w:tr w14:paraId="30E6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3912CF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23</w:t>
            </w:r>
          </w:p>
        </w:tc>
        <w:tc>
          <w:tcPr>
            <w:tcW w:w="1462" w:type="dxa"/>
            <w:vAlign w:val="center"/>
          </w:tcPr>
          <w:p w14:paraId="16593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中标候选人公示媒介</w:t>
            </w:r>
          </w:p>
        </w:tc>
        <w:tc>
          <w:tcPr>
            <w:tcW w:w="7472" w:type="dxa"/>
            <w:vAlign w:val="center"/>
          </w:tcPr>
          <w:p w14:paraId="210246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vertAlign w:val="baseline"/>
                <w:lang w:val="en-US" w:eastAsia="zh-CN"/>
              </w:rPr>
              <w:t>新疆政府采购网、克州公共资源交易网，公示期为一个工作日。</w:t>
            </w:r>
          </w:p>
        </w:tc>
      </w:tr>
      <w:tr w14:paraId="5F3F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6413C5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c>
          <w:tcPr>
            <w:tcW w:w="1462" w:type="dxa"/>
            <w:vAlign w:val="center"/>
          </w:tcPr>
          <w:p w14:paraId="39721F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评标委员会的组建</w:t>
            </w:r>
          </w:p>
        </w:tc>
        <w:tc>
          <w:tcPr>
            <w:tcW w:w="7472" w:type="dxa"/>
            <w:vAlign w:val="center"/>
          </w:tcPr>
          <w:p w14:paraId="4DFEA3FB">
            <w:pPr>
              <w:spacing w:before="86" w:line="301" w:lineRule="auto"/>
              <w:ind w:left="120" w:right="24" w:firstLine="1"/>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评标委员会由招标人依法组建；</w:t>
            </w:r>
            <w:r>
              <w:rPr>
                <w:rFonts w:hint="eastAsia" w:ascii="宋体" w:hAnsi="宋体" w:eastAsia="宋体" w:cs="宋体"/>
                <w:b w:val="0"/>
                <w:bCs w:val="0"/>
                <w:sz w:val="24"/>
                <w:szCs w:val="24"/>
                <w:vertAlign w:val="baseline"/>
                <w:lang w:val="zh-CN" w:eastAsia="zh-CN"/>
              </w:rPr>
              <w:t>由采购人代表1人，评审专家</w:t>
            </w:r>
            <w:r>
              <w:rPr>
                <w:rFonts w:hint="eastAsia" w:ascii="宋体" w:hAnsi="宋体" w:eastAsia="宋体" w:cs="宋体"/>
                <w:b w:val="0"/>
                <w:bCs w:val="0"/>
                <w:sz w:val="24"/>
                <w:szCs w:val="24"/>
                <w:vertAlign w:val="baseline"/>
                <w:lang w:val="en-US" w:eastAsia="zh-CN"/>
              </w:rPr>
              <w:t>4</w:t>
            </w:r>
            <w:r>
              <w:rPr>
                <w:rFonts w:hint="eastAsia" w:ascii="宋体" w:hAnsi="宋体" w:eastAsia="宋体" w:cs="宋体"/>
                <w:b w:val="0"/>
                <w:bCs w:val="0"/>
                <w:sz w:val="24"/>
                <w:szCs w:val="24"/>
                <w:vertAlign w:val="baseline"/>
                <w:lang w:val="zh-CN" w:eastAsia="zh-CN"/>
              </w:rPr>
              <w:t>人，共</w:t>
            </w:r>
            <w:r>
              <w:rPr>
                <w:rFonts w:hint="eastAsia" w:ascii="宋体" w:hAnsi="宋体" w:eastAsia="宋体" w:cs="宋体"/>
                <w:b w:val="0"/>
                <w:bCs w:val="0"/>
                <w:sz w:val="24"/>
                <w:szCs w:val="24"/>
                <w:vertAlign w:val="baseline"/>
                <w:lang w:val="en-US" w:eastAsia="zh-CN"/>
              </w:rPr>
              <w:t>5</w:t>
            </w:r>
            <w:r>
              <w:rPr>
                <w:rFonts w:hint="eastAsia" w:ascii="宋体" w:hAnsi="宋体" w:eastAsia="宋体" w:cs="宋体"/>
                <w:b w:val="0"/>
                <w:bCs w:val="0"/>
                <w:sz w:val="24"/>
                <w:szCs w:val="24"/>
                <w:vertAlign w:val="baseline"/>
                <w:lang w:val="zh-CN" w:eastAsia="zh-CN"/>
              </w:rPr>
              <w:t>人组成。</w:t>
            </w:r>
          </w:p>
          <w:p w14:paraId="74DCA5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vertAlign w:val="baseline"/>
                <w:lang w:val="en-US" w:eastAsia="zh-CN"/>
              </w:rPr>
              <w:t>评标专家确定方式：</w:t>
            </w:r>
            <w:r>
              <w:rPr>
                <w:rFonts w:hint="eastAsia" w:ascii="宋体" w:hAnsi="宋体" w:eastAsia="宋体" w:cs="宋体"/>
                <w:b w:val="0"/>
                <w:bCs w:val="0"/>
                <w:sz w:val="24"/>
                <w:szCs w:val="24"/>
                <w:vertAlign w:val="baseline"/>
                <w:lang w:val="zh-CN" w:eastAsia="zh-CN"/>
              </w:rPr>
              <w:t>评审专家由招标人在开标前从政采云专家库中随机抽取。</w:t>
            </w:r>
          </w:p>
        </w:tc>
      </w:tr>
      <w:tr w14:paraId="5BC4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84D09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w:t>
            </w:r>
          </w:p>
        </w:tc>
        <w:tc>
          <w:tcPr>
            <w:tcW w:w="1462" w:type="dxa"/>
            <w:vAlign w:val="center"/>
          </w:tcPr>
          <w:p w14:paraId="04588A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是否授权评标委员会确定中标候选人</w:t>
            </w:r>
          </w:p>
        </w:tc>
        <w:tc>
          <w:tcPr>
            <w:tcW w:w="7472" w:type="dxa"/>
            <w:vAlign w:val="center"/>
          </w:tcPr>
          <w:p w14:paraId="179EF3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vertAlign w:val="baseline"/>
                <w:lang w:val="en-US" w:eastAsia="zh-CN"/>
              </w:rPr>
              <w:t>是，评标委员会推荐3名中标候选人。</w:t>
            </w:r>
          </w:p>
        </w:tc>
      </w:tr>
      <w:tr w14:paraId="3446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FE558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26</w:t>
            </w:r>
          </w:p>
        </w:tc>
        <w:tc>
          <w:tcPr>
            <w:tcW w:w="1462" w:type="dxa"/>
            <w:vAlign w:val="center"/>
          </w:tcPr>
          <w:p w14:paraId="366D88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履约保证金</w:t>
            </w:r>
          </w:p>
        </w:tc>
        <w:tc>
          <w:tcPr>
            <w:tcW w:w="7472" w:type="dxa"/>
            <w:vAlign w:val="center"/>
          </w:tcPr>
          <w:p w14:paraId="5DA2F2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zh-CN" w:eastAsia="zh-CN"/>
              </w:rPr>
              <w:t>履约保证金金额：中标人应在领取《中标通知书》后的十个日历日内，办理履约保证金，</w:t>
            </w:r>
            <w:r>
              <w:rPr>
                <w:rFonts w:hint="eastAsia" w:ascii="宋体" w:hAnsi="宋体" w:eastAsia="宋体" w:cs="宋体"/>
                <w:b/>
                <w:bCs/>
                <w:sz w:val="24"/>
                <w:szCs w:val="24"/>
                <w:u w:val="single"/>
                <w:vertAlign w:val="baseline"/>
                <w:lang w:val="zh-CN" w:eastAsia="zh-CN"/>
              </w:rPr>
              <w:t>金额为合同总价的5%，</w:t>
            </w:r>
            <w:r>
              <w:rPr>
                <w:rFonts w:hint="eastAsia" w:ascii="宋体" w:hAnsi="宋体" w:eastAsia="宋体" w:cs="宋体"/>
                <w:b w:val="0"/>
                <w:bCs w:val="0"/>
                <w:sz w:val="24"/>
                <w:szCs w:val="24"/>
                <w:vertAlign w:val="baseline"/>
                <w:lang w:val="zh-CN" w:eastAsia="zh-CN"/>
              </w:rPr>
              <w:t>否则招标人可取消中标人的中标资格，</w:t>
            </w:r>
            <w:r>
              <w:rPr>
                <w:rFonts w:hint="eastAsia" w:ascii="宋体" w:hAnsi="宋体" w:eastAsia="宋体" w:cs="宋体"/>
                <w:b w:val="0"/>
                <w:bCs w:val="0"/>
                <w:sz w:val="24"/>
                <w:szCs w:val="24"/>
                <w:vertAlign w:val="baseline"/>
                <w:lang w:val="en-US" w:eastAsia="zh-CN"/>
              </w:rPr>
              <w:t>并没收其投标保证金</w:t>
            </w:r>
            <w:r>
              <w:rPr>
                <w:rFonts w:hint="eastAsia" w:ascii="宋体" w:hAnsi="宋体" w:eastAsia="宋体" w:cs="宋体"/>
                <w:b w:val="0"/>
                <w:bCs w:val="0"/>
                <w:sz w:val="24"/>
                <w:szCs w:val="24"/>
                <w:vertAlign w:val="baseline"/>
                <w:lang w:val="zh-CN" w:eastAsia="zh-CN"/>
              </w:rPr>
              <w:t>。</w:t>
            </w:r>
          </w:p>
        </w:tc>
      </w:tr>
      <w:tr w14:paraId="2F48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097844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27</w:t>
            </w:r>
          </w:p>
        </w:tc>
        <w:tc>
          <w:tcPr>
            <w:tcW w:w="1462" w:type="dxa"/>
            <w:vAlign w:val="center"/>
          </w:tcPr>
          <w:p w14:paraId="0D3897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招标文件领取</w:t>
            </w:r>
          </w:p>
        </w:tc>
        <w:tc>
          <w:tcPr>
            <w:tcW w:w="7472" w:type="dxa"/>
            <w:vAlign w:val="center"/>
          </w:tcPr>
          <w:p w14:paraId="304A3BB4">
            <w:pPr>
              <w:keepNext w:val="0"/>
              <w:keepLines w:val="0"/>
              <w:widowControl/>
              <w:suppressLineNumbers w:val="0"/>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时间：2025年7月14日至 2025年7月21日，每天上午 10:00 至 14：00，下午 16:00 至 20：00（北京时间，法定节假日除外）</w:t>
            </w:r>
          </w:p>
          <w:p w14:paraId="67F00323">
            <w:pPr>
              <w:keepNext w:val="0"/>
              <w:keepLines w:val="0"/>
              <w:widowControl/>
              <w:suppressLineNumbers w:val="0"/>
              <w:spacing w:line="36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地点：政采云平台线上</w:t>
            </w:r>
          </w:p>
          <w:p w14:paraId="451155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tc>
      </w:tr>
      <w:tr w14:paraId="7C4B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506F5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w:t>
            </w:r>
          </w:p>
        </w:tc>
        <w:tc>
          <w:tcPr>
            <w:tcW w:w="1462" w:type="dxa"/>
            <w:vAlign w:val="center"/>
          </w:tcPr>
          <w:p w14:paraId="3B12A2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招标代理服务费</w:t>
            </w:r>
          </w:p>
          <w:p w14:paraId="47AB55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472" w:type="dxa"/>
            <w:vAlign w:val="center"/>
          </w:tcPr>
          <w:p w14:paraId="2E63BF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招标代理报酬为人民币，在领取本项目中标通知书时，根据《国家发展改革委关于进一步放开建设项目专业服务价格的通知》（发改价格[2015]299 号）文件规定向招标代理机构支付本项目代理费。收费标准如下</w:t>
            </w:r>
          </w:p>
          <w:p w14:paraId="3EE0912D">
            <w:pPr>
              <w:keepNext w:val="0"/>
              <w:keepLines w:val="0"/>
              <w:pageBreakBefore w:val="0"/>
              <w:widowControl w:val="0"/>
              <w:kinsoku/>
              <w:wordWrap/>
              <w:overflowPunct/>
              <w:topLinePunct w:val="0"/>
              <w:autoSpaceDE/>
              <w:autoSpaceDN/>
              <w:bidi w:val="0"/>
              <w:adjustRightInd/>
              <w:snapToGrid/>
              <w:spacing w:line="240" w:lineRule="auto"/>
              <w:ind w:firstLine="1920" w:firstLineChars="8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vertAlign w:val="baseline"/>
                <w:lang w:val="en-US" w:eastAsia="zh-CN"/>
              </w:rPr>
              <w:t>招标代理服务收费标准( 费 率)</w:t>
            </w:r>
          </w:p>
          <w:tbl>
            <w:tblPr>
              <w:tblStyle w:val="15"/>
              <w:tblpPr w:leftFromText="180" w:rightFromText="180" w:vertAnchor="text" w:horzAnchor="page" w:tblpXSpec="center" w:tblpY="19"/>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1320"/>
              <w:gridCol w:w="1350"/>
              <w:gridCol w:w="1204"/>
              <w:gridCol w:w="1228"/>
            </w:tblGrid>
            <w:tr w14:paraId="5B26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7" w:type="pct"/>
                  <w:noWrap w:val="0"/>
                  <w:vAlign w:val="center"/>
                </w:tcPr>
                <w:p w14:paraId="542BC1AD">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中标金额</w:t>
                  </w:r>
                </w:p>
              </w:tc>
              <w:tc>
                <w:tcPr>
                  <w:tcW w:w="911" w:type="pct"/>
                  <w:noWrap w:val="0"/>
                  <w:vAlign w:val="center"/>
                </w:tcPr>
                <w:p w14:paraId="16529DA7">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货物招标</w:t>
                  </w:r>
                </w:p>
              </w:tc>
              <w:tc>
                <w:tcPr>
                  <w:tcW w:w="932" w:type="pct"/>
                  <w:noWrap w:val="0"/>
                  <w:vAlign w:val="center"/>
                </w:tcPr>
                <w:p w14:paraId="3BB375E6">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服务招标</w:t>
                  </w:r>
                </w:p>
              </w:tc>
              <w:tc>
                <w:tcPr>
                  <w:tcW w:w="831" w:type="pct"/>
                  <w:noWrap w:val="0"/>
                  <w:vAlign w:val="center"/>
                </w:tcPr>
                <w:p w14:paraId="01348F03">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工程招标</w:t>
                  </w:r>
                </w:p>
              </w:tc>
              <w:tc>
                <w:tcPr>
                  <w:tcW w:w="847" w:type="pct"/>
                  <w:noWrap w:val="0"/>
                  <w:vAlign w:val="center"/>
                </w:tcPr>
                <w:p w14:paraId="208530CB">
                  <w:pPr>
                    <w:shd w:val="clear" w:color="auto" w:fill="auto"/>
                    <w:tabs>
                      <w:tab w:val="left" w:pos="317"/>
                    </w:tabs>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14:paraId="352A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77" w:type="pct"/>
                  <w:noWrap w:val="0"/>
                  <w:vAlign w:val="center"/>
                </w:tcPr>
                <w:p w14:paraId="157A4FF1">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100万元以下</w:t>
                  </w:r>
                </w:p>
              </w:tc>
              <w:tc>
                <w:tcPr>
                  <w:tcW w:w="911" w:type="pct"/>
                  <w:noWrap w:val="0"/>
                  <w:vAlign w:val="center"/>
                </w:tcPr>
                <w:p w14:paraId="57F5D94C">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1.58%</w:t>
                  </w:r>
                </w:p>
              </w:tc>
              <w:tc>
                <w:tcPr>
                  <w:tcW w:w="932" w:type="pct"/>
                  <w:noWrap w:val="0"/>
                  <w:vAlign w:val="center"/>
                </w:tcPr>
                <w:p w14:paraId="251F1C8E">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1.58%</w:t>
                  </w:r>
                </w:p>
              </w:tc>
              <w:tc>
                <w:tcPr>
                  <w:tcW w:w="831" w:type="pct"/>
                  <w:noWrap w:val="0"/>
                  <w:vAlign w:val="center"/>
                </w:tcPr>
                <w:p w14:paraId="3F0A5ECE">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1.05%</w:t>
                  </w:r>
                </w:p>
              </w:tc>
              <w:tc>
                <w:tcPr>
                  <w:tcW w:w="847" w:type="pct"/>
                  <w:noWrap w:val="0"/>
                  <w:vAlign w:val="center"/>
                </w:tcPr>
                <w:p w14:paraId="53DE419D">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p>
              </w:tc>
            </w:tr>
            <w:tr w14:paraId="7498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77" w:type="pct"/>
                  <w:noWrap w:val="0"/>
                  <w:vAlign w:val="center"/>
                </w:tcPr>
                <w:p w14:paraId="1044A7F9">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100～500万元</w:t>
                  </w:r>
                </w:p>
              </w:tc>
              <w:tc>
                <w:tcPr>
                  <w:tcW w:w="911" w:type="pct"/>
                  <w:noWrap w:val="0"/>
                  <w:vAlign w:val="center"/>
                </w:tcPr>
                <w:p w14:paraId="50D407F5">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1.16%</w:t>
                  </w:r>
                </w:p>
              </w:tc>
              <w:tc>
                <w:tcPr>
                  <w:tcW w:w="932" w:type="pct"/>
                  <w:noWrap w:val="0"/>
                  <w:vAlign w:val="center"/>
                </w:tcPr>
                <w:p w14:paraId="3B02B341">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0.84%</w:t>
                  </w:r>
                </w:p>
              </w:tc>
              <w:tc>
                <w:tcPr>
                  <w:tcW w:w="831" w:type="pct"/>
                  <w:noWrap w:val="0"/>
                  <w:vAlign w:val="center"/>
                </w:tcPr>
                <w:p w14:paraId="62D16383">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0.80%</w:t>
                  </w:r>
                </w:p>
              </w:tc>
              <w:tc>
                <w:tcPr>
                  <w:tcW w:w="847" w:type="pct"/>
                  <w:noWrap w:val="0"/>
                  <w:vAlign w:val="center"/>
                </w:tcPr>
                <w:p w14:paraId="6F4F1E23">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p>
              </w:tc>
            </w:tr>
            <w:tr w14:paraId="5A4D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77" w:type="pct"/>
                  <w:noWrap w:val="0"/>
                  <w:vAlign w:val="center"/>
                </w:tcPr>
                <w:p w14:paraId="3397AD64">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500～1000万元</w:t>
                  </w:r>
                </w:p>
              </w:tc>
              <w:tc>
                <w:tcPr>
                  <w:tcW w:w="911" w:type="pct"/>
                  <w:noWrap w:val="0"/>
                  <w:vAlign w:val="center"/>
                </w:tcPr>
                <w:p w14:paraId="1F4C1988">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0.93%</w:t>
                  </w:r>
                </w:p>
              </w:tc>
              <w:tc>
                <w:tcPr>
                  <w:tcW w:w="932" w:type="pct"/>
                  <w:noWrap w:val="0"/>
                  <w:vAlign w:val="center"/>
                </w:tcPr>
                <w:p w14:paraId="7F1C8FAA">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0.62%</w:t>
                  </w:r>
                </w:p>
              </w:tc>
              <w:tc>
                <w:tcPr>
                  <w:tcW w:w="831" w:type="pct"/>
                  <w:noWrap w:val="0"/>
                  <w:vAlign w:val="center"/>
                </w:tcPr>
                <w:p w14:paraId="0338C4F0">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0.63%</w:t>
                  </w:r>
                </w:p>
              </w:tc>
              <w:tc>
                <w:tcPr>
                  <w:tcW w:w="847" w:type="pct"/>
                  <w:noWrap w:val="0"/>
                  <w:vAlign w:val="center"/>
                </w:tcPr>
                <w:p w14:paraId="765D402B">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p>
              </w:tc>
            </w:tr>
            <w:tr w14:paraId="5EC9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477" w:type="pct"/>
                  <w:noWrap w:val="0"/>
                  <w:vAlign w:val="center"/>
                </w:tcPr>
                <w:p w14:paraId="0CE0DA40">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1000～5000万元</w:t>
                  </w:r>
                </w:p>
              </w:tc>
              <w:tc>
                <w:tcPr>
                  <w:tcW w:w="911" w:type="pct"/>
                  <w:noWrap w:val="0"/>
                  <w:vAlign w:val="center"/>
                </w:tcPr>
                <w:p w14:paraId="11129B7D">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0.61%</w:t>
                  </w:r>
                </w:p>
              </w:tc>
              <w:tc>
                <w:tcPr>
                  <w:tcW w:w="932" w:type="pct"/>
                  <w:noWrap w:val="0"/>
                  <w:vAlign w:val="center"/>
                </w:tcPr>
                <w:p w14:paraId="5F64CD31">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0.35%</w:t>
                  </w:r>
                </w:p>
              </w:tc>
              <w:tc>
                <w:tcPr>
                  <w:tcW w:w="831" w:type="pct"/>
                  <w:noWrap w:val="0"/>
                  <w:vAlign w:val="center"/>
                </w:tcPr>
                <w:p w14:paraId="01170C94">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0.41%</w:t>
                  </w:r>
                </w:p>
              </w:tc>
              <w:tc>
                <w:tcPr>
                  <w:tcW w:w="847" w:type="pct"/>
                  <w:noWrap w:val="0"/>
                  <w:vAlign w:val="center"/>
                </w:tcPr>
                <w:p w14:paraId="2B4636F0">
                  <w:pPr>
                    <w:shd w:val="clear" w:color="auto" w:fill="auto"/>
                    <w:spacing w:line="240" w:lineRule="auto"/>
                    <w:jc w:val="both"/>
                    <w:outlineLvl w:val="9"/>
                    <w:rPr>
                      <w:rFonts w:hint="eastAsia" w:ascii="宋体" w:hAnsi="宋体" w:eastAsia="宋体" w:cs="宋体"/>
                      <w:b w:val="0"/>
                      <w:bCs w:val="0"/>
                      <w:color w:val="auto"/>
                      <w:sz w:val="24"/>
                      <w:szCs w:val="24"/>
                      <w:highlight w:val="none"/>
                      <w:lang w:val="en-US" w:eastAsia="zh-CN"/>
                    </w:rPr>
                  </w:pPr>
                </w:p>
              </w:tc>
            </w:tr>
          </w:tbl>
          <w:p w14:paraId="1D76F319">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p>
          <w:p w14:paraId="50C513CD">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注：招标代理服务收费按差额定率累进法计算。例如：某项目招标代理业务中标金额为2000万元，计算招标代理服务收费额如下：</w:t>
            </w:r>
          </w:p>
          <w:p w14:paraId="6DC30A9D">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100万元×1.58%=1.58（万元）；</w:t>
            </w:r>
          </w:p>
          <w:p w14:paraId="1694A9EC">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（100-500）万元×1.16%=4.64（万元）</w:t>
            </w:r>
          </w:p>
          <w:p w14:paraId="1E332361">
            <w:pPr>
              <w:shd w:val="clear" w:color="auto" w:fill="auto"/>
              <w:spacing w:line="240" w:lineRule="auto"/>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（500-1000）万元×0.93%=4.65（万元）</w:t>
            </w:r>
          </w:p>
          <w:p w14:paraId="487BC4E4">
            <w:pPr>
              <w:keepNext w:val="0"/>
              <w:keepLines w:val="0"/>
              <w:widowControl/>
              <w:suppressLineNumbers w:val="0"/>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auto"/>
                <w:sz w:val="24"/>
                <w:szCs w:val="24"/>
                <w:highlight w:val="none"/>
                <w:lang w:val="en-US" w:eastAsia="zh-CN"/>
              </w:rPr>
              <w:t>（1000-5000）万元×0.61%=24.4（万元）</w:t>
            </w:r>
          </w:p>
        </w:tc>
      </w:tr>
      <w:tr w14:paraId="3955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restart"/>
            <w:vAlign w:val="center"/>
          </w:tcPr>
          <w:p w14:paraId="1B62E8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AC68F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5C4B7B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D484B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03D6C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1C9FCD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261DA7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488FF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5F425E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134F66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50D966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31AF2D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4AE70E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36FF6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975D4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32</w:t>
            </w:r>
          </w:p>
        </w:tc>
        <w:tc>
          <w:tcPr>
            <w:tcW w:w="1462" w:type="dxa"/>
            <w:vMerge w:val="restart"/>
            <w:vAlign w:val="center"/>
          </w:tcPr>
          <w:p w14:paraId="256BFC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6F179A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148194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DFE03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47D78E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017FF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0AFFD8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546637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7F05DC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29A62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67E7F2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3EF313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515504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3A1048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p w14:paraId="05556B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重要说明</w:t>
            </w:r>
          </w:p>
          <w:p w14:paraId="4F5ECD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472" w:type="dxa"/>
            <w:vAlign w:val="center"/>
          </w:tcPr>
          <w:p w14:paraId="1BE103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1.本项目采用全流程不见面电子开评标，投标供应商需要使用 CA 加密设备,供应商可通过新疆数字证书认证中心官网（https://www.xjca.com.cn/）或 下载“新疆政务通”APP 自行进行申领。 </w:t>
            </w:r>
          </w:p>
          <w:p w14:paraId="7E76A8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2.本项目实行网上投标，采用加密电子投标文件(供应商须使用 CA 加密设备通过政采云电子投标客户端制作投标文件)。若供应商参与投标，自行承担投标一切费用。</w:t>
            </w:r>
          </w:p>
          <w:p w14:paraId="302B20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3.各供应商在开标前应确保成为新疆维吾尔自治区政府采购网正式注册入库供应商，（已在政采云平台其他省份入驻的供应商无须重复注册）并完成 CA数字证书申领。因未注册入库、未办理 CA 数字证书等原因造成无法投标或投标失败等后果由供应商自行承担。 </w:t>
            </w:r>
          </w:p>
          <w:p w14:paraId="3DAC6F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4.供应商将政采云电子交易客户端下载、安装完成后，可通过账号密码或 CA登录客户端进行投标文件制作。客户端请至新疆政府采购网（http://www.ccgp-xinjiang.gov.cn/）下载专区查看，如有问题可拨打政采云客户服务热线 95763 进行咨询。 </w:t>
            </w:r>
          </w:p>
          <w:p w14:paraId="64F395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5.供应商在开标时须使用制作加密电子投标文件所使用的 CA 锁及电脑，电脑须提前配置好浏览器（建议使用谷歌浏览器），以便开标时解锁。 </w:t>
            </w:r>
          </w:p>
          <w:p w14:paraId="3DEF4A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6.供应商对不见面开评标系统的技术操作咨询，可通过https://edu.zcygov.cn/luban/xinjiang-e-biding 自助查询，也可在政采云帮助中心常见问题解答和操作流程讲解视频中自助查询，网址为:https://service.zcygov.cn/#/help。 </w:t>
            </w:r>
          </w:p>
          <w:p w14:paraId="4BF0C7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7.为了保证开评标顺利进行，政采云线上开标功能完全实现，供应商开标所使用的电脑设备须具有视频及语音功能。</w:t>
            </w:r>
          </w:p>
        </w:tc>
      </w:tr>
      <w:tr w14:paraId="3DB0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73BAF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1462" w:type="dxa"/>
            <w:vMerge w:val="continue"/>
            <w:vAlign w:val="center"/>
          </w:tcPr>
          <w:p w14:paraId="6C0DC7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472" w:type="dxa"/>
            <w:vAlign w:val="center"/>
          </w:tcPr>
          <w:p w14:paraId="2687E1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 电 子 招 投 标 ： 本 项 目 以 数 据 电 文 形 式 ， 依 托 “ 政 府 采 购 云 平 台 （www.zcygov.cn）”进行招投标活动。</w:t>
            </w:r>
          </w:p>
          <w:p w14:paraId="1EA93C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 6 个工作日）起 7 个工作日内且应当在采购响应截止时间之前，以书面形式一次性向采购人和采购代理机构提出同一环节的质疑。否则，被质疑人可不予接受。质疑供应商对采购人、采购代理机构的答复不满意或者采购人、 采购代理机构未在规定的时间内作出答复的，可以在答复期满后十五个工作日内向同级政府采购监督管理部门投诉。质疑函范本、投诉书范本请到中国政府采购网下载专区下载。未按规定获取采购文件或逾期提出的不予受理、 答复。</w:t>
            </w:r>
          </w:p>
        </w:tc>
      </w:tr>
      <w:tr w14:paraId="22BB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9" w:type="dxa"/>
            <w:vMerge w:val="restart"/>
            <w:vAlign w:val="center"/>
          </w:tcPr>
          <w:p w14:paraId="10DDEB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w:t>
            </w:r>
          </w:p>
        </w:tc>
        <w:tc>
          <w:tcPr>
            <w:tcW w:w="1462" w:type="dxa"/>
            <w:vMerge w:val="restart"/>
            <w:vAlign w:val="center"/>
          </w:tcPr>
          <w:p w14:paraId="277FE1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中小微企业政策文件</w:t>
            </w:r>
          </w:p>
        </w:tc>
        <w:tc>
          <w:tcPr>
            <w:tcW w:w="7472" w:type="dxa"/>
            <w:vAlign w:val="center"/>
          </w:tcPr>
          <w:p w14:paraId="72297E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(1)根据财政部、工业和信息化部关于印发《政府采购促进中小企业发展管理办法》的通知（财库[2020]46 号）及（财库[2022]19 号），投标人及其所投产品的制造商均属于《工业和信息化部、国家统计局、国家发展和改革委员会、财政部关于印发中小企业划型标准规定的通知》（工信部联企业[2011]300 号）中规定的中型、小型、微型企业标准的，按招标文件格式提供《中小企业声明函》。</w:t>
            </w:r>
          </w:p>
        </w:tc>
      </w:tr>
      <w:tr w14:paraId="6214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6B9C6D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1462" w:type="dxa"/>
            <w:vMerge w:val="continue"/>
            <w:vAlign w:val="center"/>
          </w:tcPr>
          <w:p w14:paraId="439564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472" w:type="dxa"/>
            <w:vAlign w:val="center"/>
          </w:tcPr>
          <w:p w14:paraId="272C68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(2)据财政部、司令部《关于政府采购支持监狱企业发展有关问题》的通知财库[2014]68 号，监狱企业参加本项目投标时，应当提供由省级以上监狱管理局、戒毒管理局（新疆生产建设兵团）出具的属于监狱企业的证明文件。监狱企业视同小型、微型企业。（不属于不提供）</w:t>
            </w:r>
          </w:p>
        </w:tc>
      </w:tr>
      <w:tr w14:paraId="728F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51FC4A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1462" w:type="dxa"/>
            <w:vMerge w:val="continue"/>
            <w:vAlign w:val="center"/>
          </w:tcPr>
          <w:p w14:paraId="5EAD2B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p>
        </w:tc>
        <w:tc>
          <w:tcPr>
            <w:tcW w:w="7472" w:type="dxa"/>
            <w:vAlign w:val="center"/>
          </w:tcPr>
          <w:p w14:paraId="65BE1EA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(3)根据财政部、民政部、中国残疾人联合会《关于促进残疾人就业政府采购政策的通知》（财库[2017]141 号），在政府采购活动中，残疾人福利性单位视同小型、微型企业。投标人属于残疾人福利性单位的，按照招标文件格式提供残疾人福利性单位声明函。（不属于不提供）</w:t>
            </w:r>
          </w:p>
        </w:tc>
      </w:tr>
      <w:tr w14:paraId="4729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14:paraId="4ADF19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462" w:type="dxa"/>
            <w:vMerge w:val="continue"/>
            <w:vAlign w:val="center"/>
          </w:tcPr>
          <w:p w14:paraId="18764E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7472" w:type="dxa"/>
            <w:vAlign w:val="center"/>
          </w:tcPr>
          <w:p w14:paraId="68D963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(4)本项目采购物品属于：</w:t>
            </w:r>
            <w:r>
              <w:rPr>
                <w:rFonts w:hint="eastAsia" w:ascii="宋体" w:hAnsi="宋体" w:eastAsia="宋体" w:cs="宋体"/>
                <w:b w:val="0"/>
                <w:bCs w:val="0"/>
                <w:sz w:val="24"/>
                <w:szCs w:val="24"/>
                <w:u w:val="single"/>
                <w:vertAlign w:val="baseline"/>
                <w:lang w:val="en-US" w:eastAsia="zh-CN"/>
              </w:rPr>
              <w:t>工业</w:t>
            </w:r>
            <w:r>
              <w:rPr>
                <w:rFonts w:hint="eastAsia" w:ascii="宋体" w:hAnsi="宋体" w:eastAsia="宋体" w:cs="宋体"/>
                <w:b w:val="0"/>
                <w:bCs w:val="0"/>
                <w:sz w:val="24"/>
                <w:szCs w:val="24"/>
                <w:vertAlign w:val="baseline"/>
                <w:lang w:val="en-US" w:eastAsia="zh-CN"/>
              </w:rPr>
              <w:t>。</w:t>
            </w:r>
          </w:p>
          <w:p w14:paraId="225C76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项目为专门面向中小企业采购，不在对中小企业的价格进行扣除评审</w:t>
            </w:r>
          </w:p>
          <w:p w14:paraId="033D45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（5）供应商提供货品制造商为中小企业的《中小企业声明函》时，必须将“招标文件 第四章商务技术要求” 所列的采购标的物全部列入《中小企业声明函》，否则专门面向中小企业的项目做废标处理。 </w:t>
            </w:r>
          </w:p>
          <w:p w14:paraId="137F56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工业中小企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w:t>
            </w:r>
          </w:p>
          <w:p w14:paraId="706A627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业收入300万元以下的为微型企业。（注：本项目为专门面向中小企业采购）</w:t>
            </w:r>
          </w:p>
        </w:tc>
      </w:tr>
      <w:tr w14:paraId="3198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3" w:type="dxa"/>
            <w:gridSpan w:val="3"/>
            <w:vAlign w:val="center"/>
          </w:tcPr>
          <w:p w14:paraId="3CCD4CC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p w14:paraId="1F6EEB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1、着重提醒各供应商注意，并认真查看招标文件中的每一个条款及要求，因误读招标文件而造成的后果，招标人概不负责。</w:t>
            </w:r>
          </w:p>
          <w:p w14:paraId="639FA1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2、供应商使用相同 IP 地址的，一经发现，相关部门将进一步核实，查实后按串通投标处理。</w:t>
            </w:r>
          </w:p>
          <w:p w14:paraId="361EDF8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3、除法律、法规和规章规定外，招标文件中用“拒绝”、“不接受”、“无效”、“不得” 等文字规定，对其中任何一条的偏离，在评审时将其视为无效文件。未用上述文字规定或符备号标注的条款为非实质性要求条款(即一般条款)。</w:t>
            </w:r>
          </w:p>
          <w:p w14:paraId="41AA3A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4、采购人若发现中标候选供应商在投标过程中提供虚假证明文件，故意隐瞒公司不良信誉和财务状况，以及其他可能对合同圆满履行造成风险的因素等，则按规定取消其中标资格，监管部门依法进行处理。</w:t>
            </w:r>
          </w:p>
          <w:p w14:paraId="7A8BAC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5、不管投标结果如何，供应商均应自行承担投标所需一切费用。</w:t>
            </w:r>
          </w:p>
          <w:p w14:paraId="3122B0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6、中标人务必按照招标文件规定的服务时间提供服务，如出现不能按时提供服务的，采购人有权取消中标资格。</w:t>
            </w:r>
          </w:p>
          <w:p w14:paraId="6C8643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7、招标文件中如出现前后不一致情况，均以前附表内容为准。</w:t>
            </w:r>
          </w:p>
        </w:tc>
      </w:tr>
    </w:tbl>
    <w:p w14:paraId="061D4A1B">
      <w:pPr>
        <w:pStyle w:val="8"/>
        <w:rPr>
          <w:rFonts w:hint="eastAsia" w:ascii="宋体" w:hAnsi="宋体" w:eastAsia="宋体" w:cs="宋体"/>
          <w:b/>
          <w:bCs/>
          <w:sz w:val="28"/>
          <w:szCs w:val="28"/>
          <w:lang w:val="en-US" w:eastAsia="zh-CN"/>
        </w:rPr>
      </w:pPr>
    </w:p>
    <w:p w14:paraId="79259E66">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734E8870">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0242F480">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696BAC0C">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6564FD37">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4A851BF1">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10C63A4E">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323E9C63">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493519C7">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3519D0C5">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6B2B2B44">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1A2B9789">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0344ACD6">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7CE217AD">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78A9ACB1">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43026E3B">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66C3ABAB">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71F96CA7">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p>
    <w:p w14:paraId="40B4DBF9">
      <w:pPr>
        <w:pStyle w:val="8"/>
        <w:keepNext w:val="0"/>
        <w:keepLines w:val="0"/>
        <w:pageBreakBefore w:val="0"/>
        <w:widowControl w:val="0"/>
        <w:kinsoku/>
        <w:wordWrap/>
        <w:overflowPunct/>
        <w:topLinePunct w:val="0"/>
        <w:autoSpaceDE/>
        <w:autoSpaceDN/>
        <w:bidi w:val="0"/>
        <w:adjustRightInd/>
        <w:snapToGrid/>
        <w:spacing w:line="360" w:lineRule="auto"/>
        <w:ind w:firstLine="3654" w:firstLineChars="13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二、投标人须知</w:t>
      </w:r>
    </w:p>
    <w:p w14:paraId="5C0F6135">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（一）总  则</w:t>
      </w:r>
    </w:p>
    <w:p w14:paraId="2978CDC6">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1.项目概况</w:t>
      </w:r>
    </w:p>
    <w:p w14:paraId="42D22F8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 本次招标采购项目名称：见投标人须知前附表。</w:t>
      </w:r>
    </w:p>
    <w:p w14:paraId="1CA550BC">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项目编号：见投标人须知前附表。 </w:t>
      </w:r>
    </w:p>
    <w:p w14:paraId="50CB66F4">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招标人：见投标人须知前附表。</w:t>
      </w:r>
    </w:p>
    <w:p w14:paraId="744E5F45">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供货期（服务周期）：见投标人须知前附表。 </w:t>
      </w:r>
    </w:p>
    <w:p w14:paraId="7FBDED33">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供货地点：见投标人须知前附表。</w:t>
      </w:r>
    </w:p>
    <w:p w14:paraId="70D6F1C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1.2招标人及联系人:见投标人须知前附表。</w:t>
      </w:r>
    </w:p>
    <w:p w14:paraId="7D41BD08">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代理机构及联系人:见投标人须知前附表。</w:t>
      </w:r>
    </w:p>
    <w:p w14:paraId="2B66873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1.3资金来源：见投标人须知前附表。</w:t>
      </w:r>
    </w:p>
    <w:p w14:paraId="100EC94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1.4本项目预算：见投标人须知前附表。</w:t>
      </w:r>
    </w:p>
    <w:p w14:paraId="198E36B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1.5本项目控制价：见投标人须知前附表。</w:t>
      </w:r>
    </w:p>
    <w:p w14:paraId="1DD96BB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2.招标范围：</w:t>
      </w:r>
    </w:p>
    <w:p w14:paraId="731A153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2.1采购内容：见投标人须知前附表。</w:t>
      </w:r>
    </w:p>
    <w:p w14:paraId="12F26B2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2.2技术要求：详见采购文件商务技术要求。</w:t>
      </w:r>
    </w:p>
    <w:p w14:paraId="557B529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3.标包划分：</w:t>
      </w:r>
    </w:p>
    <w:p w14:paraId="5E75250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3.1本项目划分：</w:t>
      </w:r>
      <w:r>
        <w:rPr>
          <w:rFonts w:hint="eastAsia" w:ascii="宋体" w:hAnsi="宋体" w:eastAsia="宋体" w:cs="宋体"/>
          <w:b w:val="0"/>
          <w:bCs w:val="0"/>
          <w:sz w:val="24"/>
          <w:szCs w:val="24"/>
          <w:u w:val="single"/>
          <w:lang w:val="en-US" w:eastAsia="zh-CN"/>
        </w:rPr>
        <w:t xml:space="preserve">  1  </w:t>
      </w:r>
      <w:r>
        <w:rPr>
          <w:rFonts w:hint="eastAsia" w:ascii="宋体" w:hAnsi="宋体" w:eastAsia="宋体" w:cs="宋体"/>
          <w:b w:val="0"/>
          <w:bCs w:val="0"/>
          <w:sz w:val="24"/>
          <w:szCs w:val="24"/>
          <w:lang w:val="en-US" w:eastAsia="zh-CN"/>
        </w:rPr>
        <w:t>个标包。</w:t>
      </w:r>
    </w:p>
    <w:p w14:paraId="2BC513D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4.招标方式：</w:t>
      </w:r>
    </w:p>
    <w:p w14:paraId="2F26C3A6">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4.1本项目招标方式：见投标人须知前附表。</w:t>
      </w:r>
    </w:p>
    <w:p w14:paraId="47C8990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5.计价方式：</w:t>
      </w:r>
    </w:p>
    <w:p w14:paraId="4B2E8ED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5.1本次招标项目合同采用 </w:t>
      </w:r>
      <w:r>
        <w:rPr>
          <w:rFonts w:hint="eastAsia" w:ascii="宋体" w:hAnsi="宋体" w:eastAsia="宋体" w:cs="宋体"/>
          <w:b w:val="0"/>
          <w:bCs w:val="0"/>
          <w:sz w:val="24"/>
          <w:szCs w:val="24"/>
          <w:u w:val="single"/>
          <w:lang w:val="en-US" w:eastAsia="zh-CN"/>
        </w:rPr>
        <w:t xml:space="preserve">  固定总价合同 </w:t>
      </w:r>
      <w:r>
        <w:rPr>
          <w:rFonts w:hint="eastAsia" w:ascii="宋体" w:hAnsi="宋体" w:eastAsia="宋体" w:cs="宋体"/>
          <w:b w:val="0"/>
          <w:bCs w:val="0"/>
          <w:sz w:val="24"/>
          <w:szCs w:val="24"/>
          <w:lang w:val="en-US" w:eastAsia="zh-CN"/>
        </w:rPr>
        <w:t xml:space="preserve"> 。</w:t>
      </w:r>
    </w:p>
    <w:p w14:paraId="3ED755E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6.评标办法：</w:t>
      </w:r>
    </w:p>
    <w:p w14:paraId="358C09F2">
      <w:pPr>
        <w:keepNext w:val="0"/>
        <w:keepLines w:val="0"/>
        <w:widowControl/>
        <w:suppressLineNumbers w:val="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6.1本次招标评标采用</w:t>
      </w:r>
      <w:r>
        <w:rPr>
          <w:rFonts w:hint="eastAsia" w:ascii="宋体" w:hAnsi="宋体" w:eastAsia="宋体" w:cs="宋体"/>
          <w:b w:val="0"/>
          <w:bCs w:val="0"/>
          <w:sz w:val="24"/>
          <w:szCs w:val="24"/>
          <w:u w:val="single"/>
          <w:lang w:val="en-US" w:eastAsia="zh-CN"/>
        </w:rPr>
        <w:t xml:space="preserve"> 符合招标文件的综合评分法  </w:t>
      </w:r>
      <w:r>
        <w:rPr>
          <w:rFonts w:hint="eastAsia" w:ascii="宋体" w:hAnsi="宋体" w:eastAsia="宋体" w:cs="宋体"/>
          <w:b w:val="0"/>
          <w:bCs w:val="0"/>
          <w:sz w:val="24"/>
          <w:szCs w:val="24"/>
          <w:lang w:val="en-US" w:eastAsia="zh-CN"/>
        </w:rPr>
        <w:t xml:space="preserve">（详见第三章评标办法） </w:t>
      </w:r>
    </w:p>
    <w:p w14:paraId="1F55F8C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7.投标人资格：</w:t>
      </w:r>
    </w:p>
    <w:p w14:paraId="487B522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7.1参与采购活动的投标人必须是满足《中华人民共和国政府采购法》规定条件的法人、其他组织或者自然人：</w:t>
      </w:r>
    </w:p>
    <w:p w14:paraId="66E40F7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7.2由于政府采购项目的差异性，投标人在参与具体政府采购项目活动时，应仔细阅读该项目的资质要求，具体见投标人须知前附表。</w:t>
      </w:r>
    </w:p>
    <w:p w14:paraId="6345C43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7.3根据电子化政府采购的特点，各供应商在开标前应确保成为新疆维吾尔自治区政府采购网正式注册入库供应商，并完成 CA 数字证书申领。因未注册入库、未办理 CA 数字证书等原因造成无法投标或投标失败等后果由供应商自行承担。</w:t>
      </w:r>
    </w:p>
    <w:p w14:paraId="7605E3D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7.4投标人必须确保自己在信息库中注册的信息真实、准确，并保证投标文件中的有关信息与库中的信息相一致。否则，投标人因此蒙受损失，招标人概不负责。</w:t>
      </w:r>
    </w:p>
    <w:p w14:paraId="4CCEF9B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 投标费用</w:t>
      </w:r>
    </w:p>
    <w:p w14:paraId="7673A0E6">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8.1 投标人准备和参加投标活动发生的费用自理。</w:t>
      </w:r>
    </w:p>
    <w:p w14:paraId="4FD8DCC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 踏勘现场</w:t>
      </w:r>
    </w:p>
    <w:p w14:paraId="6BB1E6E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9.1投标人须知前附表规定组织踏勘现场的，招标人按投标人须知前附表规定的时间、地点组织投标人踏勘项目现场。如需踏勘现场，投标人自行踏勘现场的，可咨询本项目采购人或采购代理机构联系人。</w:t>
      </w:r>
      <w:r>
        <w:rPr>
          <w:rFonts w:hint="eastAsia" w:ascii="宋体" w:hAnsi="宋体" w:eastAsia="宋体" w:cs="宋体"/>
          <w:b/>
          <w:bCs/>
          <w:sz w:val="24"/>
          <w:szCs w:val="24"/>
          <w:lang w:val="en-US" w:eastAsia="zh-CN"/>
        </w:rPr>
        <w:t>投标人自行踏勘现场的，可咨询本项目采购人或采购代理机构联系人。</w:t>
      </w:r>
    </w:p>
    <w:p w14:paraId="3EA2238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9.2投标人踏勘现场发生的费用自理。</w:t>
      </w:r>
    </w:p>
    <w:p w14:paraId="394109C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9.3除招标人的原因外，投标人自行负责在踏勘现场中所发生的人员伤亡和财产损失。</w:t>
      </w:r>
    </w:p>
    <w:p w14:paraId="3C652A1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9.4招标人在踏勘现场中介绍的场地和相关的周边环境情况，供投标人在编制投标文件时参考，招标人不对投标人据此作出的判断和决策负责。</w:t>
      </w:r>
    </w:p>
    <w:p w14:paraId="6D50843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10.投标预备会</w:t>
      </w:r>
    </w:p>
    <w:p w14:paraId="4B0B901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10.1投标人须知前附表规定召开投标预备会的，招标人按投标人须知前附表规定的时间和地点召开投标预备会，澄清投标人提出的问题。</w:t>
      </w:r>
    </w:p>
    <w:p w14:paraId="39137E0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10.2投标人应在投标人须知前附表规定的时间前，将提出的问题送达招标人，以便招标人澄清。</w:t>
      </w:r>
    </w:p>
    <w:p w14:paraId="70B91E4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10.3招标人在投标人须知前附表规定的时间，将对投标人所提的问题进行澄清。该澄清内容为采购文件的组成部分。</w:t>
      </w:r>
    </w:p>
    <w:p w14:paraId="1546B5E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11.联合投标</w:t>
      </w:r>
    </w:p>
    <w:p w14:paraId="764BAA9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11.1两个以上投标人可以组成一个投标联合体，以一个投标人的身份投标。以联合体形式参加投标的， 联合体各方均应当符合《政府采购法》第二十二条规定的条件。招标人根据采购项目的特殊要求规定投标人特定条件的，联合体各方中至少应当有一方符合招标人规定的特定条件。</w:t>
      </w:r>
    </w:p>
    <w:p w14:paraId="7B73958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11.2联合体各方之间应当签订共同投标协议，明确约定联合体各方承担的工作和相应的责任，并将共 同投标协议连同投标文件一并提交招标人。联合体各方签订共同投标协议后，不得再以自己名义单独在同一项目中投标，也不得组成新的联合体参加同一项目投标。</w:t>
      </w:r>
    </w:p>
    <w:p w14:paraId="25DBBA8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11.3联合体应当确定其中一个单位为投标的全权代表，负责参加投标的一切事务，并承担投标及履约中应承担的全部责任与义务。</w:t>
      </w:r>
    </w:p>
    <w:p w14:paraId="01E250D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11.4联合体各方应当共同与招标人签订采购合同，就采购合同约定的事项对招标人承担连带责任。</w:t>
      </w:r>
    </w:p>
    <w:p w14:paraId="6701F24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12.招标代理费</w:t>
      </w:r>
    </w:p>
    <w:p w14:paraId="4FBCD56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见投标人须知前附表</w:t>
      </w:r>
    </w:p>
    <w:p w14:paraId="528EACD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13.投标人应注意的事项</w:t>
      </w:r>
    </w:p>
    <w:p w14:paraId="079CFC7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3255534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13.2投标人对采购内容中规定的技术参数、规格等要求必须完全响应或优于采购文件中的要求。 </w:t>
      </w:r>
    </w:p>
    <w:p w14:paraId="1AA2539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13.3所有投标人的投标保证金都应在采购文件规定的投标保证金缴纳截止日期前缴纳。</w:t>
      </w:r>
    </w:p>
    <w:p w14:paraId="6D784AE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3EF9E4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13.5本项目只接受成为新疆维吾尔自治区政府采购网正式注册入库并完成 CA 数字证书申领供应商参与投标。因未注册入库、未办理 CA 数字证书等原因造成无法投标或投标失败等后果由供应商自行承担。</w:t>
      </w:r>
    </w:p>
    <w:p w14:paraId="4F2AF23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13.6投标人被视为充分熟悉本招标项目所在地的与履行合同有关的各种情况，包括但不限于：</w:t>
      </w:r>
    </w:p>
    <w:p w14:paraId="6E7E6A2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（1）国家对本次投标货物和服务的生产、安装调试、验收、维修等有关法律、法规及行业管理标准；</w:t>
      </w:r>
    </w:p>
    <w:p w14:paraId="6F3DDC9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（2）本地区有关管理部门的相关规定；</w:t>
      </w:r>
    </w:p>
    <w:p w14:paraId="194162D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（3）招标人的相关场地情况、基础建设、电力供应情况及相关设计标准。 本采购文件不再对上述情况进行描述。</w:t>
      </w:r>
    </w:p>
    <w:p w14:paraId="3BA8F958">
      <w:pPr>
        <w:pStyle w:val="8"/>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（二）招标文件</w:t>
      </w:r>
    </w:p>
    <w:p w14:paraId="6B8AEB0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14.采购文件的编制依据</w:t>
      </w:r>
    </w:p>
    <w:p w14:paraId="034DF3B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根据《中华人民共和国政府采购法》、《政府采购货物和服务招标投标管理办法》和《中华人民共和国民法典》等相关法律法规和规章及部、省、市级规范性文件的规定，编制本采购文件。</w:t>
      </w:r>
    </w:p>
    <w:p w14:paraId="47C8A378">
      <w:pPr>
        <w:pStyle w:val="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15.采购文件的组成</w:t>
      </w:r>
    </w:p>
    <w:p w14:paraId="0F47884F">
      <w:pPr>
        <w:pStyle w:val="8"/>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highlight w:val="none"/>
          <w:lang w:val="en-US" w:eastAsia="zh-CN"/>
        </w:rPr>
        <w:t>1 采购文件包括内容：</w:t>
      </w:r>
    </w:p>
    <w:p w14:paraId="6EA1724D">
      <w:pPr>
        <w:pStyle w:val="8"/>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第一章  招标公告</w:t>
      </w:r>
    </w:p>
    <w:p w14:paraId="24F3121A">
      <w:pPr>
        <w:pStyle w:val="8"/>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第二章  投标人须知</w:t>
      </w:r>
    </w:p>
    <w:p w14:paraId="7BD524E9">
      <w:pPr>
        <w:pStyle w:val="8"/>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第三章  评标办法</w:t>
      </w:r>
    </w:p>
    <w:p w14:paraId="44DACF91">
      <w:pPr>
        <w:pStyle w:val="8"/>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第四章  采购需求及商务要求</w:t>
      </w:r>
    </w:p>
    <w:p w14:paraId="22F85575">
      <w:pPr>
        <w:pStyle w:val="8"/>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第五章  合同条款及格式</w:t>
      </w:r>
    </w:p>
    <w:p w14:paraId="0E19BF96">
      <w:pPr>
        <w:pStyle w:val="8"/>
        <w:keepNext w:val="0"/>
        <w:keepLines w:val="0"/>
        <w:pageBreakBefore w:val="0"/>
        <w:widowControl w:val="0"/>
        <w:kinsoku/>
        <w:wordWrap/>
        <w:overflowPunct/>
        <w:topLinePunct w:val="0"/>
        <w:autoSpaceDE/>
        <w:autoSpaceDN/>
        <w:bidi w:val="0"/>
        <w:adjustRightInd/>
        <w:snapToGrid/>
        <w:spacing w:line="240" w:lineRule="auto"/>
        <w:ind w:firstLine="960" w:firstLineChars="4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第六章  投标文件格式</w:t>
      </w:r>
    </w:p>
    <w:p w14:paraId="3862F0F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15.2除 15.1 内容外，招标答疑亦为采购文件的组成部分，对招标人和投标人起约束作用。</w:t>
      </w:r>
    </w:p>
    <w:p w14:paraId="0AC80BF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15.3投标人应仔细阅读和检查采购文件的全部内容。如发现缺页或附件不全，应及时向招标人提出，以便补齐。如有疑问，投标人应在以书面形式一次性向采购人和采购代理机构提出同一环节的质疑。</w:t>
      </w:r>
    </w:p>
    <w:p w14:paraId="1CB7D59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 6 个工作日）起 7 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采购文件的澄清将在政采云平台“更正公告 ”栏目予以公告，但不指明澄清问题的来源。如果澄清内容影响投标文件编制的，将相应延长投标截止时间。</w:t>
      </w:r>
    </w:p>
    <w:p w14:paraId="35DB5586">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16.采购文件的修改、补充、解释</w:t>
      </w:r>
    </w:p>
    <w:p w14:paraId="7EED19B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16.1 采购文件发出后，招标人在规定的投标截止时间前可对采购文件进行必要的修改和补充，并以更 正公告形式在政采云平台 “更正公告 ”栏目予以公告，请各位投标人注意查看有关澄清内容，如不及时查看造成后果由投标人自负。采购文件的修改、补充等内容作为采购文件的组成部分，具有约束作用。</w:t>
      </w:r>
    </w:p>
    <w:p w14:paraId="54A05B8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16.2采购代理机构可视采购具体情况对已发出的采购文件进行必要的澄清、修改或者补充。澄清、修改或者补充的内容可能影响投标文件编制的，应当在投标截止时间至少15 日前，在原公告发布媒体上发布澄清公告，澄清或者修改的内容为采购文件的组成部分；不足 15 日的，应当顺延提交投标文件的截止时间。</w:t>
      </w:r>
    </w:p>
    <w:p w14:paraId="4B3C116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16.3供应商在规定的时间内未对采购文件提出疑问、质疑或要求澄清的，将视其为无异议。</w:t>
      </w:r>
    </w:p>
    <w:p w14:paraId="63BCF7E6">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16.4 采购文件的解释</w:t>
      </w:r>
    </w:p>
    <w:p w14:paraId="5245A0B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本采购文件由招标人（或其委托的招标代理机构）负责解释。</w:t>
      </w:r>
    </w:p>
    <w:p w14:paraId="5904008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17.采购文件的发出</w:t>
      </w:r>
    </w:p>
    <w:p w14:paraId="726D2BC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17.1采购文件、采购文件的澄清、修改、补充及招标答疑等均应报相关部门备案后，方可发出。</w:t>
      </w:r>
    </w:p>
    <w:p w14:paraId="154B4E6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18.凡需要设置样品情形时，必须明确是否需要随样品提交检测报告，并明确检测机构的要求、检测内容、中标样品封存等事项。（评标委员会无法判断样品是否合格且样品需要提供给第三方权威检测机构检测的, 在投标人提供招标人认可的第三方权威检测机构检测报告后，评标委员会推荐的中标候选人方可生效，采购人或代理机构发布中标结果公告。</w:t>
      </w:r>
    </w:p>
    <w:p w14:paraId="38A2716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采购文件中应明确样品送检方式、检测费用支付方法、投标人在规定时间内无法提供第三方权威检测机构检测报告的处理方式。（采购人根据项目需求按上述要求自行描述）</w:t>
      </w:r>
    </w:p>
    <w:p w14:paraId="7FBBF598">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（三）投标文件的编制</w:t>
      </w:r>
    </w:p>
    <w:p w14:paraId="4A55155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19.投标的语言及度量衡单位</w:t>
      </w:r>
    </w:p>
    <w:p w14:paraId="7BD1631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19.1 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691AD50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19.2除采购文件中另有规定外，投标书所使用的度量衡均须采用法定计量单位。</w:t>
      </w:r>
    </w:p>
    <w:p w14:paraId="457FABB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20.投标文件的组成</w:t>
      </w:r>
    </w:p>
    <w:p w14:paraId="46E61BC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资格证明文件和商务及技术文件两部分。</w:t>
      </w:r>
    </w:p>
    <w:p w14:paraId="168E520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w:t>
      </w:r>
      <w:r>
        <w:rPr>
          <w:rFonts w:hint="eastAsia" w:ascii="宋体" w:hAnsi="宋体" w:eastAsia="宋体" w:cs="宋体"/>
          <w:b/>
          <w:bCs/>
          <w:sz w:val="24"/>
          <w:szCs w:val="24"/>
          <w:highlight w:val="none"/>
          <w:lang w:val="en-US" w:eastAsia="zh-CN"/>
        </w:rPr>
        <w:t>1资格证明文件（包括但不限于）</w:t>
      </w:r>
    </w:p>
    <w:p w14:paraId="1D5430E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资格证明文件是证明投标人有资格参加投标和中标后有能力履行合同的文件，这些文件应能满足招标的要求，否则作无效投标处理。</w:t>
      </w:r>
    </w:p>
    <w:p w14:paraId="79710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1、具有有效的三证合一营业执照副本；</w:t>
      </w:r>
    </w:p>
    <w:p w14:paraId="0AF632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2、法定代表人投标须提供法定代表人资格证明书，委托代理人投标须提供法定代表人授权委托书；</w:t>
      </w:r>
    </w:p>
    <w:p w14:paraId="672136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3、投标企业须提供投标人（被授权在职人员）近 6个月内任意 1 个月有效的社保证明；</w:t>
      </w:r>
    </w:p>
    <w:p w14:paraId="32D915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参加政府采购活动前三年内，在经营活动中没有重大违法记录（自行承诺）；未被“信用中国”（www.creditchina.gov.cn）、中国政府采购网（www.ccgp.gov.cn）列入失信被执行人、税收违法黑名单、政府采购严重违法失信行为记录名单；</w:t>
      </w:r>
    </w:p>
    <w:p w14:paraId="43426B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投标人须具备：①城市及道路照明工程专业承包壹级资质或市政公用工程施工总承包贰级资质及以上资质和有效的《安全生产许可证》；②照明工程设计专项甲级或工程设计综合设计甲级。项目负责人须具备：机电工程专业贰级注册建造师执业资，并持有项目负责人安全生产考核合格证（B 类）；</w:t>
      </w:r>
    </w:p>
    <w:p w14:paraId="4FC1E0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6、提供近半年内任意一个月财务报表或上年度财务审计报告（财务报表应至少包括资产负债表、利润表、现金流量表或财务状况变动表， 当月新成立公司不需提供）；</w:t>
      </w:r>
    </w:p>
    <w:p w14:paraId="285C88A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7、中小企业声明函；</w:t>
      </w:r>
    </w:p>
    <w:p w14:paraId="7A2A4D66">
      <w:pPr>
        <w:keepNext w:val="0"/>
        <w:keepLines w:val="0"/>
        <w:widowControl/>
        <w:suppressLineNumbers w:val="0"/>
        <w:spacing w:line="36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8、投标人关联单位的说明；</w:t>
      </w:r>
    </w:p>
    <w:p w14:paraId="2C6D091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9、投标人须知资料表要求的其他资格证明文件。</w:t>
      </w:r>
    </w:p>
    <w:p w14:paraId="5A07FFCA">
      <w:pPr>
        <w:keepNext w:val="0"/>
        <w:keepLines w:val="0"/>
        <w:widowControl/>
        <w:suppressLineNumbers w:val="0"/>
        <w:spacing w:line="360" w:lineRule="auto"/>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注：以上材料须逐页加盖单位公章。</w:t>
      </w:r>
    </w:p>
    <w:p w14:paraId="5AB7D06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20.2 </w:t>
      </w:r>
      <w:r>
        <w:rPr>
          <w:rFonts w:hint="eastAsia" w:ascii="宋体" w:hAnsi="宋体" w:eastAsia="宋体" w:cs="宋体"/>
          <w:b/>
          <w:bCs/>
          <w:sz w:val="24"/>
          <w:szCs w:val="24"/>
          <w:highlight w:val="none"/>
          <w:lang w:val="en-US" w:eastAsia="zh-CN"/>
        </w:rPr>
        <w:t>商务及技术文件（包括但不限于）</w:t>
      </w:r>
    </w:p>
    <w:p w14:paraId="68904D5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1、投标函</w:t>
      </w:r>
    </w:p>
    <w:p w14:paraId="12EE41E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2、开标一览表</w:t>
      </w:r>
    </w:p>
    <w:p w14:paraId="0AA9AB3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3、技术规格偏离表</w:t>
      </w:r>
    </w:p>
    <w:p w14:paraId="1F03646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4、商务条款偏离表</w:t>
      </w:r>
    </w:p>
    <w:p w14:paraId="3E2B0BE6">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5、投标人基本情况表</w:t>
      </w:r>
    </w:p>
    <w:p w14:paraId="5CF812E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6、评分标准和细则中技术部分证明材料（格式自拟）</w:t>
      </w:r>
    </w:p>
    <w:p w14:paraId="17683D0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7、评分标准和细则中商务部分证明材料（格式自拟）</w:t>
      </w:r>
    </w:p>
    <w:p w14:paraId="018544F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8、投标人认为有必要提供的其他证明材料（格式自拟）</w:t>
      </w:r>
    </w:p>
    <w:p w14:paraId="613755C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注： 以上材料须逐页加盖单位公章。</w:t>
      </w:r>
    </w:p>
    <w:p w14:paraId="394619A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20.3 投标文件的要求</w:t>
      </w:r>
    </w:p>
    <w:p w14:paraId="3AAB31AC">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07D66D0B">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（2）投标文件格式应按本采购文件格式要求编制，不得对采购文件格式进行增删更改，否则按无效标处理。</w:t>
      </w:r>
    </w:p>
    <w:p w14:paraId="79080972">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（3）投标文件为电子投标文件，电子投标文件按“政采云供应商项目采购-电子招投标操作指南 ”及本采购文件要求制作、加密传输。</w:t>
      </w:r>
    </w:p>
    <w:p w14:paraId="1C5FF5B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（4）投标文件未在投标截止时间前完成传输的，视为投标文件撤回；投标文件未按时解密也未提供备份投标文件的，亦视为投标文件撤回。</w:t>
      </w:r>
    </w:p>
    <w:p w14:paraId="4D8162D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21.投标报价</w:t>
      </w:r>
    </w:p>
    <w:p w14:paraId="4DC4503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21.1 投标报价文件中的单价和总价全部采用人民币表示。</w:t>
      </w:r>
    </w:p>
    <w:p w14:paraId="0461118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21.2 投标报价表上应清楚标明投标人拟提供货物（服务） 的名称、数量、单价和总价。 </w:t>
      </w:r>
    </w:p>
    <w:p w14:paraId="7E3AF46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21.3 投标人只允许有一个方案、一个报价。</w:t>
      </w:r>
    </w:p>
    <w:p w14:paraId="39993891">
      <w:pPr>
        <w:keepNext w:val="0"/>
        <w:keepLines w:val="0"/>
        <w:widowControl/>
        <w:suppressLineNumbers w:val="0"/>
        <w:spacing w:line="360" w:lineRule="auto"/>
        <w:jc w:val="left"/>
        <w:rPr>
          <w:rFonts w:hint="eastAsia" w:ascii="宋体" w:hAnsi="宋体" w:eastAsia="宋体" w:cs="宋体"/>
          <w:b w:val="0"/>
          <w:bCs w:val="0"/>
          <w:color w:val="0000FF"/>
          <w:kern w:val="2"/>
          <w:sz w:val="24"/>
          <w:szCs w:val="24"/>
          <w:lang w:val="en-US" w:eastAsia="zh-CN" w:bidi="ar-SA"/>
        </w:rPr>
      </w:pPr>
      <w:r>
        <w:rPr>
          <w:rFonts w:hint="eastAsia" w:ascii="宋体" w:hAnsi="宋体" w:eastAsia="宋体" w:cs="宋体"/>
          <w:b w:val="0"/>
          <w:bCs w:val="0"/>
          <w:sz w:val="24"/>
          <w:szCs w:val="24"/>
          <w:lang w:val="en-US" w:eastAsia="zh-CN"/>
        </w:rPr>
        <w:t xml:space="preserve">21.4 </w:t>
      </w:r>
      <w:r>
        <w:rPr>
          <w:rFonts w:hint="eastAsia" w:ascii="宋体" w:hAnsi="宋体" w:eastAsia="宋体" w:cs="宋体"/>
          <w:b w:val="0"/>
          <w:bCs w:val="0"/>
          <w:kern w:val="2"/>
          <w:sz w:val="24"/>
          <w:szCs w:val="24"/>
          <w:lang w:val="en-US" w:eastAsia="zh-CN" w:bidi="ar-SA"/>
        </w:rPr>
        <w:t>此报价为人民币报价，投标报价应包括：货物本身价格、包装费、运输费、二次搬运费、安装费、损耗、技术指导、培训费、税金费用、伴随产品备品备件费、专用工具费、伴随产品 资料费、技术服务费、技术考察费、人工及辅材费、代理费、自检费及验收合格前和质保期 内发生的一切费用、应当提供的伴随服务/售后服务费用。因中标供应商自身原因造成漏报、 少报皆由其自行承担责任，采购人不再补偿。</w:t>
      </w:r>
    </w:p>
    <w:p w14:paraId="3471FB1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21.5 投标报价的价格是货物及服务交货地验收价格，其总价即为履行合同的固定总价。</w:t>
      </w:r>
    </w:p>
    <w:p w14:paraId="689A780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21.6 技术要求中规定的安装、调试和培训费用应包括在投标价格中。投标文件报价为含税价，招标人不再为此次招标支付任何费用。</w:t>
      </w:r>
    </w:p>
    <w:p w14:paraId="21C862C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21.7 投标报价应由法定代表人或被授权人签署。</w:t>
      </w:r>
    </w:p>
    <w:p w14:paraId="5F71F0D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21.8</w:t>
      </w:r>
      <w:r>
        <w:rPr>
          <w:rFonts w:hint="eastAsia" w:ascii="宋体" w:hAnsi="宋体" w:eastAsia="宋体" w:cs="宋体"/>
          <w:b/>
          <w:bCs/>
          <w:sz w:val="24"/>
          <w:szCs w:val="24"/>
          <w:lang w:val="en-US" w:eastAsia="zh-CN"/>
        </w:rPr>
        <w:t xml:space="preserve"> 投标人投标总报价，不得高于本次招标设置的最高限价，否则将作为无效投标处理。</w:t>
      </w:r>
    </w:p>
    <w:p w14:paraId="75B9C93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21.9 如投标文件中未列明全面实现投标服务功能而必须配置的配套或辅助设施及相应技术措施的费用，这些费用将被视为已包含在总投标价中。</w:t>
      </w:r>
    </w:p>
    <w:p w14:paraId="42C7BA3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21.10 总投标价中不得包含采购文件要求以外的内容，否则，在评标时不予核减，但在授予合同时，招标人有权将这部分价格从其中标价格中扣除。</w:t>
      </w:r>
    </w:p>
    <w:p w14:paraId="20B3A9F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21.11 总投标价中不得缺漏采购文件所要求的内容，否则，评标时将有效投标中该项内容的最高价计入其评标总价，但在授予合同时，缺漏项目的报价视作已含在其他项目的报价中，这些项目将作为免费赠送而包含在合同内。</w:t>
      </w:r>
    </w:p>
    <w:p w14:paraId="418DD25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21.12 投标人不得对从第三方采购货物及服务的随机备品、备件另行收费，否则在计算评标价时这部分费用将不予扣除，在授予合同时将从中标价格中扣除该部分费用。</w:t>
      </w:r>
    </w:p>
    <w:p w14:paraId="38B2C50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21.13 投标人应根据货物及服务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19E5D23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22. </w:t>
      </w:r>
      <w:r>
        <w:rPr>
          <w:rFonts w:hint="eastAsia" w:ascii="宋体" w:hAnsi="宋体" w:eastAsia="宋体" w:cs="宋体"/>
          <w:b/>
          <w:bCs/>
          <w:sz w:val="24"/>
          <w:szCs w:val="24"/>
          <w:lang w:val="en-US" w:eastAsia="zh-CN"/>
        </w:rPr>
        <w:t>投标有效期</w:t>
      </w:r>
    </w:p>
    <w:p w14:paraId="536EFDE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22.1 除投标人须知前附表另有规定外，投标有效期为 60 天。</w:t>
      </w:r>
    </w:p>
    <w:p w14:paraId="514F7D0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22.2 在投标有效期内，投标人撤销或修改其投标文件的，应承担采购文件和法律规定的责任。</w:t>
      </w:r>
    </w:p>
    <w:p w14:paraId="091542F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9C3E98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23.</w:t>
      </w:r>
      <w:r>
        <w:rPr>
          <w:rFonts w:hint="eastAsia" w:ascii="宋体" w:hAnsi="宋体" w:eastAsia="宋体" w:cs="宋体"/>
          <w:b/>
          <w:bCs/>
          <w:sz w:val="24"/>
          <w:szCs w:val="24"/>
          <w:lang w:val="en-US" w:eastAsia="zh-CN"/>
        </w:rPr>
        <w:t xml:space="preserve"> 投标保证金</w:t>
      </w:r>
    </w:p>
    <w:p w14:paraId="36A28DB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23.1 投标人须知前附表规定递交投标保证金的，投标人在递交投标文件的同时，应按投标人须知前附表规定的金额、担保形式和“投标文件格式 ”规定的投标保证金格式递交投标保证金，并作为其投标文件的组成部分。投标人不按要求提交投标保证金的，评标委员会将否决其投标。</w:t>
      </w:r>
    </w:p>
    <w:p w14:paraId="794C7E6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23.2 自中标通知书发出之日起 5 个工作日内退还未中标投标人的投标保证金，自政府采购合同签订之日起 5 个工作日内退还中标人的投标保证金。</w:t>
      </w:r>
    </w:p>
    <w:p w14:paraId="7DB7EA8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23.3 有下列情形之一的，投标保证金将不予退还：</w:t>
      </w:r>
    </w:p>
    <w:p w14:paraId="560F0A92">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（1）投标人在规定的投标有效期内撤回或修改其投标文件；</w:t>
      </w:r>
    </w:p>
    <w:p w14:paraId="07AA6EDA">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（2）中标通知书发出后三十天内，中标人无正当理由拒签合同协议书或未按采购文件规定提交履约担保。</w:t>
      </w:r>
    </w:p>
    <w:p w14:paraId="6F40832B">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（3）提供虚假材料谋取中标的；</w:t>
      </w:r>
    </w:p>
    <w:p w14:paraId="70C357AE">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（4）经查实属于陪标、串通投标的等。</w:t>
      </w:r>
    </w:p>
    <w:p w14:paraId="3053151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23.4 投标保证金按投标人须知前附表第 24 条规定执行。</w:t>
      </w:r>
    </w:p>
    <w:p w14:paraId="799D5E98">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26E911B">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（四）投标文件的制作、上传及递交要求</w:t>
      </w:r>
    </w:p>
    <w:p w14:paraId="3344677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24.投标文件的制作要求</w:t>
      </w:r>
    </w:p>
    <w:p w14:paraId="441BA2C2">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3A10FE9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电子投标文件部分：供应商应根据“政采云供应商项目采购-电子招投标操作指南 ”及本采购文件规定的格式和顺序编制电子投标文件并进行关联定位。本文件《投标文件格式》中有提供格式的，供应商应按照格式进行编制（格式中要求提供相关证明材料的还需后附相关证明材料），并按格式要求在指定位置根据要求进行签章，否则视为未提供；本文件《投标文件格式》未提供格式的，请供应商自行拟定格式，并加盖单位公章，否则视为未提供。</w:t>
      </w:r>
    </w:p>
    <w:p w14:paraId="3B85C677">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（2）供应商应对所提供的全部资料的真实性、有效性承担法律责任，电子投标文件中所须加盖公章部分均采用 CA 签章。</w:t>
      </w:r>
    </w:p>
    <w:p w14:paraId="145DA2E4">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（3）投标文件以及供应商与采购组织机构就有关投标事宜的所有来往函电，均应以中文汉语书写。除签字、盖章、专用名称等特殊情形外，以中文汉语以外的文字表述的投标文件视同未提供。</w:t>
      </w:r>
    </w:p>
    <w:p w14:paraId="44089D52">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（4）投标计量单位，采购文件已有明确规定的，使用采购文件规定的计量单位；采购文件没有规定的，应采用中华人民共和国法定计量单位（货币单位：人民币元）。</w:t>
      </w:r>
    </w:p>
    <w:p w14:paraId="48EB36C8">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（5）若供应商不按采购文件的要求提供资格审查材料，其风险由供应商自行承担。</w:t>
      </w:r>
    </w:p>
    <w:p w14:paraId="50045832">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（6）与本次投标无关的内容请不要制作在内，确保投标文件有针对性、简洁明了。</w:t>
      </w:r>
    </w:p>
    <w:p w14:paraId="186E7AC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25.投标文件的上传</w:t>
      </w:r>
    </w:p>
    <w:p w14:paraId="683796D3">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 电子加密投标文件（ “.jmbs ”格式）：</w:t>
      </w:r>
    </w:p>
    <w:p w14:paraId="2D38184B">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 供应商应在投标截止时间前将电子加密投标文件成功上传递交至新疆政府采购云平台，否则投标无效；</w:t>
      </w:r>
    </w:p>
    <w:p w14:paraId="7F43E65E">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b.供应商成功上传电子加密投标文件后，可自行打印投标文件接收回执。</w:t>
      </w:r>
    </w:p>
    <w:p w14:paraId="64EFD20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26.投标文件的递交要求</w:t>
      </w:r>
    </w:p>
    <w:p w14:paraId="2B9D6E60">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（1）供应商须按照采购文件和政采云平台的要求编制并加密投标文件。在投标文件递交截止时间以前完成投标文件的传输递交，截止时间后递交的投标文件，将被拒收。</w:t>
      </w:r>
    </w:p>
    <w:p w14:paraId="660B0B6B">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（2）如有特殊情况，采购组织机构延长截止时间和开标时间，采购组织机构和供应商的权利和义务将受到新的截止时间和开标时间的约束。</w:t>
      </w:r>
    </w:p>
    <w:p w14:paraId="335AADD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27．投标文件的补充、修改与撤回</w:t>
      </w:r>
    </w:p>
    <w:p w14:paraId="79251EF4">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 ”将予以拒收。投标截止时间后，供应商不得修改（补充）或撤回其投标文件。</w:t>
      </w:r>
    </w:p>
    <w:p w14:paraId="4A264F70">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（五）开 标、评标和定标</w:t>
      </w:r>
    </w:p>
    <w:p w14:paraId="1D709396">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 开标</w:t>
      </w:r>
    </w:p>
    <w:p w14:paraId="681ED61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28.1 开标邀请</w:t>
      </w:r>
    </w:p>
    <w:p w14:paraId="4381C4D7">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（1）开标准备：本项目开标的准备工作由采购组织机构负责落实，开标过程由采购组织机构负责记录；</w:t>
      </w:r>
    </w:p>
    <w:p w14:paraId="106F4C94">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（2）开标主持：本项目开标由采购人或者采购代理机构主持；</w:t>
      </w:r>
    </w:p>
    <w:p w14:paraId="2191CF30">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（3）开标邀请：本项目采用电子交易，采购组织机构将按照采购文件规定的时间通过“新疆政府采购云平台， 网址：www.zcygov.cn ”组织开标、开启投标投标文件，所有供应商均应当准时在线参加。</w:t>
      </w:r>
    </w:p>
    <w:p w14:paraId="00D0ABF1">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7D25437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28.2 开标程序（先资格、商务技术后报价）</w:t>
      </w:r>
    </w:p>
    <w:p w14:paraId="7626C82B">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（1）开标时间到后，主持人宣布开标会议开始。</w:t>
      </w:r>
    </w:p>
    <w:p w14:paraId="1FCD3CF4">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（2）投标文件解密（解密规定见《供应商须知前附表》 ）。</w:t>
      </w:r>
    </w:p>
    <w:p w14:paraId="4BFAD8A8">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（3）投标文件解密异常情况处理（处理办法见《供应商须知前附表》 ）。</w:t>
      </w:r>
    </w:p>
    <w:p w14:paraId="27B76154">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（4）公布投标文件解密情况（投标文件成功解密的供应商名单等信息）。</w:t>
      </w:r>
    </w:p>
    <w:p w14:paraId="203F73D5">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开启标书信息（资格证明文件、商务技术文件）。标书信息开启后，首先由采购人或采购代理机构或评审小组依法对投标供应商的资格证明文件进行审查，审查结束公布投标供应商的资格符合情况。资格审查未获通过的供应商，其商务技术文件及报价文件不再进入评审。</w:t>
      </w:r>
    </w:p>
    <w:p w14:paraId="14474861">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（6）商务技术评审结束后，主持人公布商务技术评审无效投标供应商名单和商务技术评审有效投标供应商名单及其商务技术得分情况。商务技术评审无效的供应商，其报价不再进入评审。</w:t>
      </w:r>
    </w:p>
    <w:p w14:paraId="529F09D6">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14:paraId="45700100">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（8）评审结束后，采购代理机构在系统上公布评审结果。</w:t>
      </w:r>
    </w:p>
    <w:p w14:paraId="3C0B3C8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特别情况说明：</w:t>
      </w:r>
    </w:p>
    <w:p w14:paraId="25187022">
      <w:pPr>
        <w:pStyle w:val="8"/>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（1）本项目采用电子交易，如遇“新疆政府采购云平台 ”电子化开标或评审程序调整的，按调整后程序执行。</w:t>
      </w:r>
    </w:p>
    <w:p w14:paraId="21BCA433">
      <w:pPr>
        <w:pStyle w:val="8"/>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（2）开标过程中需要相关当事人进行签字或盖章确认的材料将通过“政府采购云平台 ”进行，若因“政府采购云平台 ”技术问题无法进行签字或盖章确认的，采购组织机构将通过电子邮件等形式予以确认，请供应商保证办理投标事宜人员电话畅通、网络在线，签字或盖章确认的时间为 20 分钟。如未及时签字或盖章确认的，视为无异议。</w:t>
      </w:r>
    </w:p>
    <w:p w14:paraId="1164854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28.3 投标供应商资格审查：</w:t>
      </w:r>
    </w:p>
    <w:p w14:paraId="14D86D2A">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（1）开标（标书信息开启）后，采购人或采购代理机构或评审小组首先依法对投标供应商的资格文件进行审查， 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1AC9026A">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（2）投标供应商提交的资格证明材料无法证明其符合采购文件规定的“投标供应商资格要求”的，采购人或采购代理机构将对其作“资格审查不合格 ”处理（无效投标），并不再将其投标提交评标委员会进行后续评审。</w:t>
      </w:r>
    </w:p>
    <w:p w14:paraId="723EE12F">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（3）供应商信用记录查询与使用：见《投标人须知前附表》。</w:t>
      </w:r>
    </w:p>
    <w:p w14:paraId="666B44E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29.评审工作的组织</w:t>
      </w:r>
    </w:p>
    <w:p w14:paraId="408477E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采购人或采购代理机构负责组织本项目的评审工作，并依据《政府采购货物和服务招标投标管理办法（财政部第 87 号令）》第四十五条的相关规定履行职责。</w:t>
      </w:r>
    </w:p>
    <w:p w14:paraId="0D7A375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 评标委员会的组建</w:t>
      </w:r>
    </w:p>
    <w:p w14:paraId="2FB5645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30.1 </w:t>
      </w:r>
      <w:r>
        <w:rPr>
          <w:rFonts w:hint="eastAsia" w:ascii="宋体" w:hAnsi="宋体" w:eastAsia="宋体" w:cs="宋体"/>
          <w:b/>
          <w:bCs/>
          <w:sz w:val="24"/>
          <w:szCs w:val="24"/>
          <w:lang w:val="en-US" w:eastAsia="zh-CN"/>
        </w:rPr>
        <w:t>评标委员会由采购人或采购代理机构依法组建，成员由采购人代表和评审专家组成，成员人数为5人，其中评审专家不少于成员总数的三分之二。</w:t>
      </w:r>
    </w:p>
    <w:p w14:paraId="53F9332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30.2 评审专家从新疆政府采购云平台专家库中通过随机方式抽取产生。评标委员会成员名单在采购结果公告前保密。</w:t>
      </w:r>
    </w:p>
    <w:p w14:paraId="7651CBF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31.评标委员会的职责</w:t>
      </w:r>
    </w:p>
    <w:p w14:paraId="21FC7D8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31.1 审查、评价投标文件是否符合采购文件的商务、技术等实质性要求。</w:t>
      </w:r>
    </w:p>
    <w:p w14:paraId="76D2EEE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31.2 要求供应商对投标文件有关事项作出澄清或者说明。</w:t>
      </w:r>
    </w:p>
    <w:p w14:paraId="2F9AD79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31.3 对投标文件进行比较和评价。</w:t>
      </w:r>
    </w:p>
    <w:p w14:paraId="43744C3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31.4 确定中标候选人名单，以及根据采购人委托直接确定中标人。</w:t>
      </w:r>
    </w:p>
    <w:p w14:paraId="58441A0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31.5 向采购人、采购代理机构或者有关部门报告评审中发现的违法行为。</w:t>
      </w:r>
    </w:p>
    <w:p w14:paraId="328E8E7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 评标原则</w:t>
      </w:r>
    </w:p>
    <w:p w14:paraId="634F2DF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32.1 评标委员会将遵循公平、公正、科学的原则，对供应商提交的投标文件进行综合评审，评标委员会按照采购文件规定的评标细则进行评分。</w:t>
      </w:r>
    </w:p>
    <w:p w14:paraId="48ADCD6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32.2 客观公正对待所有供应商，对所有投标评价均采用相同的程序和标准。</w:t>
      </w:r>
    </w:p>
    <w:p w14:paraId="2E95A3C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32.3 评标委员会成员对需要共同认定的事项存在争议的，按照少数服从多数的原则作出结论。持不同意见的评标委员会成员应当在评审报告上签署不同意见及理由，否则视为同意评审报告。</w:t>
      </w:r>
    </w:p>
    <w:p w14:paraId="646DE80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32.4 财政部令第 87 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非单一产品采购项目，采购人应当根据采购项目技术构成、产品价格比重等合理确定核心产品，并在采购文件中载明。多家供应商提供的核心产品品牌相同的，按前款规定处理。</w:t>
      </w:r>
    </w:p>
    <w:p w14:paraId="6D0A904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 评委纪律</w:t>
      </w:r>
    </w:p>
    <w:p w14:paraId="28A5DD5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评标委员会成员必须严格遵守保密规定，不得泄露评审的有关情况，任何单位和个人不得干扰、影响评标的正常进行，评标委员会成员不得私下与投标供应商接触。</w:t>
      </w:r>
    </w:p>
    <w:p w14:paraId="22D3CF2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34.评标程序</w:t>
      </w:r>
    </w:p>
    <w:p w14:paraId="78CC470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34.1 在评审专家中推选评标委员会组长，采购人代表不得担任评标委员会组长。</w:t>
      </w:r>
    </w:p>
    <w:p w14:paraId="1A5ED24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4A18159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34.3 评审人员对符合资格的供应商的投标文件的有效性、符合性、完整性和响应程度进行审查，确定是否对采购文件作出实质性响应。</w:t>
      </w:r>
    </w:p>
    <w:p w14:paraId="23D2B84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34.4 评审人员按采购文件规定的评审方法和评审标准，依法独立对供应商投标文件进行评估、比较，并给予评价或打分，不受任何单位和个人的干预。</w:t>
      </w:r>
    </w:p>
    <w:p w14:paraId="3FA8C65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综合评分法货物项目的价格分值占总分值的比重不得低于30%；服务项目的价格分值占总分值的比重不得低于10%。执行国家统一定价标准和采用固定价格采购的项目，其价格不列为评审因素。采购项目中含不同采购对象的，以占项目资金比例最高的采购对象确定其项目属性。有特殊情况需要在上述规定范围外设定价格分权重的。</w:t>
      </w:r>
    </w:p>
    <w:p w14:paraId="4AE89C1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综合评分法中的价格分统一采用低价优先法计算，即满足招标文件要求且最后报价最低的供应商的价格为招标基准价，其价格分为满分。其他供应商的价格分统一按照下列公式计算：</w:t>
      </w:r>
    </w:p>
    <w:p w14:paraId="5F5DE6A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投标报价得分=（基准价/投标报价） ×价格权值×100</w:t>
      </w:r>
    </w:p>
    <w:p w14:paraId="2A032D9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项目评审过程中，不得去掉最后报价中的最高报价和最低报价。</w:t>
      </w:r>
    </w:p>
    <w:p w14:paraId="7781E6A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29C8B7B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34.6 评审人员需对采购方工作人员唱票或统计的评审结果进行确认，现场监督员应对评审结果签署监督意见。如发现分值汇总计算错误、分项评分超出评分标准范围、客观评分不一致以及存在评分畸高、畸低 （其总评分偏离平均分30%以上的）情形的，应由相关人员当场改正或作出书面说明；拒不改正又不作书面说明的，由现场监督员如实记载后存入项目档案资料。</w:t>
      </w:r>
    </w:p>
    <w:p w14:paraId="4343EBC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34.7 评标委员会根据评审汇总情况和采购文件规定确定中标候选供应商排序名单。</w:t>
      </w:r>
    </w:p>
    <w:p w14:paraId="027342C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34.8 起草评审报告，所有评审人员须在评审报告上签字确认，对自己的评审意见承担法律责任。 </w:t>
      </w:r>
    </w:p>
    <w:p w14:paraId="2CA023D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34.9 采购组织机构对评标委员会评审专家进行评价。</w:t>
      </w:r>
    </w:p>
    <w:p w14:paraId="7A730E5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34.10 修改评审结果</w:t>
      </w:r>
    </w:p>
    <w:p w14:paraId="66918A8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评标结果汇总完成后，除下列情形外，任何人不得修改评标结果：</w:t>
      </w:r>
    </w:p>
    <w:p w14:paraId="21B22D46">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（1）分值汇总计算错误的；</w:t>
      </w:r>
    </w:p>
    <w:p w14:paraId="5AEE37C3">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（2）分项评分超出评分标准范围的；</w:t>
      </w:r>
    </w:p>
    <w:p w14:paraId="0ACC65E3">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（3）评标委员会成员对客观评审因素评分不一致的；</w:t>
      </w:r>
    </w:p>
    <w:p w14:paraId="3883B9D2">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（4）经评标委员会认定评分畸高、畸低的。</w:t>
      </w:r>
    </w:p>
    <w:p w14:paraId="36C0C3F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D30C0B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35．澄清、说明或补正的形式</w:t>
      </w:r>
    </w:p>
    <w:p w14:paraId="4AC21F2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35.1 对于投标文件中含义不明确、同类问题表述不一致或者有明显文字和计算错误的内容，评标委员会 将通过“政府采购云平台 ”在线询标的方式要求投标供应商在规定的时间内作出必要的澄清、说明或者补正</w:t>
      </w:r>
      <w:r>
        <w:rPr>
          <w:rFonts w:hint="eastAsia" w:ascii="宋体" w:hAnsi="宋体" w:eastAsia="宋体" w:cs="宋体"/>
          <w:b/>
          <w:bCs/>
          <w:sz w:val="24"/>
          <w:szCs w:val="24"/>
          <w:lang w:val="en-US" w:eastAsia="zh-CN"/>
        </w:rPr>
        <w:t>，投标供应商澄清、说明或补正时间为20分钟。</w:t>
      </w:r>
    </w:p>
    <w:p w14:paraId="35B9A96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35.2 投标供应商的澄清、说明或者补正应当通过“政府采购云平台 ”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1BB19A4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35.3 上述询标、澄清、说明和补正工作如因客观原因无法通过“政府采购云平台 ”在线进行的，将采用电子邮件等形式进行，请供应商保证办理投标事宜人员电话畅通、网络在线。如未及时进行澄清、说明或者补正的，视为放弃澄清、说明或者补正的权利。</w:t>
      </w:r>
    </w:p>
    <w:p w14:paraId="3108036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36．错误修正的原则</w:t>
      </w:r>
    </w:p>
    <w:p w14:paraId="2FBDDC1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电子交易平台客户端里开标一览表录入的投标报价或优惠率与扫描上传的报价文件信息不一致的，以扫描上传的报价文件信息为准进行修正。</w:t>
      </w:r>
    </w:p>
    <w:p w14:paraId="7FE9359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投标文件报价出现前后不一致的，除采购文件另有规定外，按照下列规定修正：</w:t>
      </w:r>
    </w:p>
    <w:p w14:paraId="217EBFF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36.1 投标函中表述的内容与报价表中不一致的，以报价表为准；报价表中的内容与报价明细表不一致的，以报价表为准；</w:t>
      </w:r>
    </w:p>
    <w:p w14:paraId="7C1AB43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36.2 投标文件中的大写金额和小写金额不一致的，以大写金额为准；</w:t>
      </w:r>
    </w:p>
    <w:p w14:paraId="3AF2C88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36.3 单价金额小数点或者百分比有明显错位的，以开标一览表的总价为准，并修改单价；</w:t>
      </w:r>
    </w:p>
    <w:p w14:paraId="7E05155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36.4 总价金额与按单价汇总金额不一致的，以单价金额计算结果为准；</w:t>
      </w:r>
    </w:p>
    <w:p w14:paraId="33F1D9F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36.5 若用文字表示的数值与用数字表示的数值不一致，以文字表示的数值为准；</w:t>
      </w:r>
    </w:p>
    <w:p w14:paraId="7E1DB80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36.6 如有多报（指数量超出采购文件需求）、重报（指同一货物重复报价），其投标总价在评标过程中不予调整，如其中标，其合同价按其投标单价予以调整；</w:t>
      </w:r>
    </w:p>
    <w:p w14:paraId="5B7850E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36.7 对不同文字文本投标文件的解释发生异议的，以中文文本为准；</w:t>
      </w:r>
    </w:p>
    <w:p w14:paraId="6DBE964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0F67CB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37．无效投标文件</w:t>
      </w:r>
    </w:p>
    <w:p w14:paraId="58413FF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有下列情形之一的，投标文件按无效标处理：</w:t>
      </w:r>
    </w:p>
    <w:p w14:paraId="0F55EB16">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37.1 报名的投标人与参加投标的投标人发生实质性变更的且未提供有效证明的； </w:t>
      </w:r>
    </w:p>
    <w:p w14:paraId="4A34539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37.2 投标人提交两份或两份以上内容不同的投标文件，未声明哪一份有效的；</w:t>
      </w:r>
    </w:p>
    <w:p w14:paraId="5B87C8D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37.3 投标文件非投标人法定代表人签署的，未提供或提供无效的法定代表人授权书； </w:t>
      </w:r>
    </w:p>
    <w:p w14:paraId="2E7DD3A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37.4 投标文件内容未按招标文件规定签字或盖章的；</w:t>
      </w:r>
    </w:p>
    <w:p w14:paraId="406D4A7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37.5 投标文件组成漏项或未按规定的格式编制或内容不全或内容字迹模糊辨认不清的等而导致评标活动无法正常进行；</w:t>
      </w:r>
    </w:p>
    <w:p w14:paraId="572E750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37.6 投标人未按招标文件变更通知更改投标文件的；</w:t>
      </w:r>
    </w:p>
    <w:p w14:paraId="2377D80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37.7</w:t>
      </w:r>
      <w:r>
        <w:rPr>
          <w:rFonts w:hint="eastAsia" w:ascii="宋体" w:hAnsi="宋体" w:eastAsia="宋体" w:cs="宋体"/>
          <w:b w:val="0"/>
          <w:bCs w:val="0"/>
          <w:sz w:val="24"/>
          <w:szCs w:val="24"/>
          <w:highlight w:val="none"/>
          <w:lang w:val="en-US" w:eastAsia="zh-CN"/>
        </w:rPr>
        <w:t>《开标一览表》</w:t>
      </w:r>
      <w:r>
        <w:rPr>
          <w:rFonts w:hint="eastAsia" w:ascii="宋体" w:hAnsi="宋体" w:eastAsia="宋体" w:cs="宋体"/>
          <w:b w:val="0"/>
          <w:bCs w:val="0"/>
          <w:sz w:val="24"/>
          <w:szCs w:val="24"/>
          <w:lang w:val="en-US" w:eastAsia="zh-CN"/>
        </w:rPr>
        <w:t xml:space="preserve">内容不完整且不接受修正意见或字迹不能辨认的或未提供； </w:t>
      </w:r>
    </w:p>
    <w:p w14:paraId="225B795F">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37.8 标项投标报价超过招标文件规定的预算金额或最高限价；</w:t>
      </w:r>
    </w:p>
    <w:p w14:paraId="4D4DEDC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37.9 因投标人原因编制错误造成经评标委员会修正后的报价达到或超过投标报的0.5%；</w:t>
      </w:r>
    </w:p>
    <w:p w14:paraId="7FE0C87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37.10 投标人的报价明显低于其他通过符合性审查投标人的报价，有可能影响产品质量或者不能诚信履约的，且在规定时间内不能合理说明原因并提供证明材料的；</w:t>
      </w:r>
    </w:p>
    <w:p w14:paraId="3C11CFC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37.11 未实质性响应招标文件中条款要求的投标文件；</w:t>
      </w:r>
    </w:p>
    <w:p w14:paraId="24FD6EE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37.12 不符合招标范围、技术规格、技术标准的要求无法满足采购人使用要求； </w:t>
      </w:r>
    </w:p>
    <w:p w14:paraId="17B3F43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37.13 投标文件附有采购人不能接受的条款；</w:t>
      </w:r>
    </w:p>
    <w:p w14:paraId="3FF850A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37.14 投标文件中提供了赠品或者与本项目采购无关的其他商品、服务； </w:t>
      </w:r>
    </w:p>
    <w:p w14:paraId="16B78FF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37.15 投标文件中承诺的投标有效期少于招标文件中载明的投标有效期；</w:t>
      </w:r>
    </w:p>
    <w:p w14:paraId="668199E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37.16 投标人串通投标，妨碍其他投标人的竞争行为，损害采购人或者其他投标人的合法权益；</w:t>
      </w:r>
    </w:p>
    <w:p w14:paraId="3D1BFD6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37.17 违反国家及政府部门相关法律、法规、文件规定或经评标委员会认定的其他属于重大偏离；</w:t>
      </w:r>
    </w:p>
    <w:p w14:paraId="2B119D3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38．废标</w:t>
      </w:r>
    </w:p>
    <w:p w14:paraId="4E390D74">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38.1 符合招标文件规定废标情形的；</w:t>
      </w:r>
    </w:p>
    <w:p w14:paraId="6660D0F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38.2 符合专业条件的供应商或者对招标文件作实质响应的供应商不足三家的； </w:t>
      </w:r>
    </w:p>
    <w:p w14:paraId="535DA85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38.2 出现影响采购公正的违法、违规行为的；</w:t>
      </w:r>
    </w:p>
    <w:p w14:paraId="5E7C1A5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38.3 供应商的报价均超过了采购预算（或最高限价），采购人不能支付的；</w:t>
      </w:r>
    </w:p>
    <w:p w14:paraId="27C3750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38.4 因重大变故，采购任务取消的。</w:t>
      </w:r>
    </w:p>
    <w:p w14:paraId="56EBCB5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39．突发情况处理</w:t>
      </w:r>
    </w:p>
    <w:p w14:paraId="6DAA042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39.1 采购过程中出现以下情形，导致电子交易平台无法正常运行，或者无法保证电子交易的公平、公正和安全时，采购组织机构可中止电子交易活动：</w:t>
      </w:r>
    </w:p>
    <w:p w14:paraId="18E7B689">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（1）电子交易平台发生故障而无法登录访问的；</w:t>
      </w:r>
    </w:p>
    <w:p w14:paraId="3CA7D86D">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（2）电子交易平台应用或数据库出现错误，不能进行正常操作的；</w:t>
      </w:r>
    </w:p>
    <w:p w14:paraId="5E9FF75D">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（3）电子交易平台发现严重安全漏洞，有潜在泄密危险的；</w:t>
      </w:r>
    </w:p>
    <w:p w14:paraId="46917BF9">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（4）病毒发作导致不能进行正常操作的；</w:t>
      </w:r>
    </w:p>
    <w:p w14:paraId="21F61809">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（5）其他无法保证电子交易的公平、公正和安全的情况。</w:t>
      </w:r>
    </w:p>
    <w:p w14:paraId="72418EA6">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42C55F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39.2 采购代理机构或评审小组因不可抗力（不可抗力包括但不限于自然灾害、断电、传播疫病等）原因造成电子交易活动无法正常运行的，将采取以下措施：</w:t>
      </w:r>
    </w:p>
    <w:p w14:paraId="6C0031F7">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（1）短时间内能消除不可抗力因素的，采购代理机构或评审小组在消除不可抗力因素后继续组织电子交易活动；</w:t>
      </w:r>
    </w:p>
    <w:p w14:paraId="241087A2">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（2）长时间内无法消除不可抗力因素的，采购代理机构或评审小组将中止电子交易活动。中止电子交易活动的，采购人应当重新组织政府采购活动。</w:t>
      </w:r>
    </w:p>
    <w:p w14:paraId="1D43FE8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40.定标</w:t>
      </w:r>
    </w:p>
    <w:p w14:paraId="37D1B6C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40.1 采购结果确认（确定中标供应商）</w:t>
      </w:r>
    </w:p>
    <w:p w14:paraId="1E212B6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采购结果确认（确定中标供应商）：本项目由采购人根据评标委员会提交的《评审报告》，通过“政府采购云平台 ”依法确认采购结果、确定中标供应商。具体流程如下：</w:t>
      </w:r>
    </w:p>
    <w:p w14:paraId="3892EB5F">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（1）采购代理机构将在评审结束后 2 个工作日内将评审报告送采购人。</w:t>
      </w:r>
    </w:p>
    <w:p w14:paraId="08871EC4">
      <w:pPr>
        <w:pStyle w:val="8"/>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（2）采购人将在收到评审报告之日起 5 个工作日内，在评审报告推荐的中标候选供应商名单中按顺序确定中标供应商，并将确认意见以书面形式回复采购代理机构。</w:t>
      </w:r>
    </w:p>
    <w:p w14:paraId="4677D98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40.2 </w:t>
      </w:r>
      <w:r>
        <w:rPr>
          <w:rFonts w:hint="eastAsia" w:ascii="宋体" w:hAnsi="宋体" w:eastAsia="宋体" w:cs="宋体"/>
          <w:b/>
          <w:bCs/>
          <w:sz w:val="24"/>
          <w:szCs w:val="24"/>
          <w:lang w:val="en-US" w:eastAsia="zh-CN"/>
        </w:rPr>
        <w:t>采购结果经采购人确认后 2个工作日内，采购代理机构将在新疆政府采购网（www.zcygov.cn）、克州公共资源交易网上公告采购结果， 中标公告期限为 1 个工作日。</w:t>
      </w:r>
    </w:p>
    <w:p w14:paraId="6AB1077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41. 中标通知书</w:t>
      </w:r>
    </w:p>
    <w:p w14:paraId="72C8683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41.1 在中标通知书发出前，招标人将中标侯选人的情况在新疆政府采购网、克州公共资源交易中心网予以公示，</w:t>
      </w:r>
      <w:r>
        <w:rPr>
          <w:rFonts w:hint="eastAsia" w:ascii="宋体" w:hAnsi="宋体" w:eastAsia="宋体" w:cs="宋体"/>
          <w:b/>
          <w:bCs/>
          <w:sz w:val="24"/>
          <w:szCs w:val="24"/>
          <w:lang w:val="en-US" w:eastAsia="zh-CN"/>
        </w:rPr>
        <w:t>公示期为一个工作日。待公示期结束后，采购组织机构向中标人发出中标通知书。</w:t>
      </w:r>
    </w:p>
    <w:p w14:paraId="3BDD2E0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41.2 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7EAC2011">
      <w:pPr>
        <w:pStyle w:val="8"/>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（六）合同的授予</w:t>
      </w:r>
    </w:p>
    <w:p w14:paraId="4FE7D7D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42．履约保证金</w:t>
      </w:r>
    </w:p>
    <w:p w14:paraId="2EA07EB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42.1 中标供应商在签订合同后 5 个工作日内向采购人交纳中标价 5%的履约保证金（本项目履约保证金接收保函形式；若以电汇、银行转账方式提交的，必须转到采购人的指定账户）。</w:t>
      </w:r>
    </w:p>
    <w:p w14:paraId="37AA65F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42.2 签订合同后，如中标供应商不按合同约定履约的，履约保证金不予退还，履约保证金不足以赔偿损失的，按实际损失赔偿。</w:t>
      </w:r>
    </w:p>
    <w:p w14:paraId="4EEBFF9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42.3 如果中标供应商在供货期内没有涉及采购人的应付而未付金额或违约行为，采购人在项目验收合格后或提前终止合同后全额无息退还履约保证金。</w:t>
      </w:r>
    </w:p>
    <w:p w14:paraId="345B0FC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43．签订合同及公告</w:t>
      </w:r>
    </w:p>
    <w:p w14:paraId="615D91D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43.1 采购人在中标通知书发出之日起 30 日内与中标供应商签订合同。</w:t>
      </w:r>
    </w:p>
    <w:p w14:paraId="0A43A04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43.2 中标供应商拖延、拒签合同的,取消中标资格。</w:t>
      </w:r>
    </w:p>
    <w:p w14:paraId="1AC4ED7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43.3 采购文件、中标供应商的投标文件及评标过程中有关澄清文件等均作为签订合同的依据。所签订的合同不得对采购文件和中标供应商的投标文件的内容作实质性修改。</w:t>
      </w:r>
    </w:p>
    <w:p w14:paraId="1F7D146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43.4 采购人应当自政府采购合同签订之日起 2 个工作日内，在省级以上财政部门指定的政府采购信息发布媒体及相关网站上公告。</w:t>
      </w:r>
    </w:p>
    <w:p w14:paraId="195D213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43.5 采购人应当自政府采购合同签订之日起 7 个工作日内，将政府采购合同副本报同级人民政府财政部门备案以及采购代理机构存档。</w:t>
      </w:r>
    </w:p>
    <w:p w14:paraId="5AFBD3C4">
      <w:pPr>
        <w:pStyle w:val="8"/>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（七）纪律和监督</w:t>
      </w:r>
    </w:p>
    <w:p w14:paraId="694A9D5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44. 对招标人的纪律要求</w:t>
      </w:r>
    </w:p>
    <w:p w14:paraId="7406011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44.1 招标人不得泄漏招标投标活动中应当保密的情况和资料，不得与投标人串通损害国家利益，社会公共利益或者他人合法权益。</w:t>
      </w:r>
    </w:p>
    <w:p w14:paraId="572AE24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45. 对投标人的纪律要求</w:t>
      </w:r>
    </w:p>
    <w:p w14:paraId="0D17252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45.1 投标人不得相互串通投标或者与招标人串通投标，不得向招标人或者评标委员会成员行贿谋取中标，不得以他人名义投标或者以其他方式弄虚作假骗取中标；投标人不得以任何方式干扰、影响评标工作。</w:t>
      </w:r>
    </w:p>
    <w:p w14:paraId="66B82BD0">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46. 对评标委员会成员的纪律要求</w:t>
      </w:r>
    </w:p>
    <w:p w14:paraId="0B49C15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46.1 评标委员会成员不得收受他人的财物或者其他好处，不得向他人透漏对投标文件的评审和比较、中标候选人的推荐情况以及评标有关的其他情况。</w:t>
      </w:r>
    </w:p>
    <w:p w14:paraId="79F64919">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46.2 在评标活动中，评标委员会成员不得擅离职守，影响评标程序正常进行，不得使用“评标办法 ”没有规定的评审因素和标准进行评标。</w:t>
      </w:r>
    </w:p>
    <w:p w14:paraId="4764EF3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47. 对与评标活动有关的工作人员的纪律要求</w:t>
      </w:r>
    </w:p>
    <w:p w14:paraId="61CFAC71">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47.1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EE8F289">
      <w:pPr>
        <w:pStyle w:val="8"/>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（八）质疑与投诉</w:t>
      </w:r>
    </w:p>
    <w:p w14:paraId="459CFD6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48．质疑和投诉</w:t>
      </w:r>
    </w:p>
    <w:p w14:paraId="1E40637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59281E2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（一）对可以质疑的采购文件提出质疑的，为收到采购文件之日或者采购文件公告期限届满之日；</w:t>
      </w:r>
    </w:p>
    <w:p w14:paraId="1EE2858A">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（二）对采购过程提出质疑的，为各采购程序环节结束之日；</w:t>
      </w:r>
    </w:p>
    <w:p w14:paraId="09D0196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（三）对中标结果提出质疑的，为中标结果公告期限届满之日。</w:t>
      </w:r>
    </w:p>
    <w:p w14:paraId="44BE2F8C">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48.2 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4A07B10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供应商为自然人的，应当由本人签字；供应商为法人或者其他组织的，应当由法定代表人、主要负责人，或者其授权代表签字或者盖章，并加盖公章。</w:t>
      </w:r>
    </w:p>
    <w:p w14:paraId="6EE8E71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48.3 供应商质疑、投诉应当有明确的请求和必要的证明材料。供应商投诉的事项不得超出已质疑事项的范围。采购人及采购代理机构按《政府采购质疑和投诉办法》进行处理供应商质疑事项。</w:t>
      </w:r>
    </w:p>
    <w:p w14:paraId="77C981C2">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48.4 质疑供应商对采购人、采购代理机构的质疑答复不满意，或者采购人、采购代理机构未在规定期限内作出答复的，供应商可以在答复期满后 15 个工作日内向同级财政部门提起投诉。</w:t>
      </w:r>
    </w:p>
    <w:p w14:paraId="570E31B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48.5 供应商有下列情形之一的，采购代理机构上报至财政部门，将其列入不良行为记录名单：</w:t>
      </w:r>
    </w:p>
    <w:p w14:paraId="4917A3D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（一）一年内三次以上质疑均查无实据的；</w:t>
      </w:r>
    </w:p>
    <w:p w14:paraId="6481CAA3">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（二）捏造事实或者提供虚假质疑材料的。</w:t>
      </w:r>
    </w:p>
    <w:p w14:paraId="452B9A9E">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（三）以非法手段取得证明材料。证据来源的合法性存在明显疑问，质疑人无法证明其取得方式合法的，视为以非法手段取得证明材料。</w:t>
      </w:r>
    </w:p>
    <w:p w14:paraId="39D45ED6">
      <w:pPr>
        <w:shd w:val="clear" w:color="auto" w:fill="auto"/>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附件：</w:t>
      </w:r>
    </w:p>
    <w:p w14:paraId="05076D46">
      <w:pPr>
        <w:shd w:val="clear" w:color="auto" w:fill="auto"/>
        <w:jc w:val="center"/>
        <w:rPr>
          <w:rFonts w:hint="eastAsia" w:ascii="宋体" w:hAnsi="宋体" w:eastAsia="宋体" w:cs="宋体"/>
          <w:b/>
          <w:bCs/>
          <w:color w:val="auto"/>
          <w:sz w:val="28"/>
          <w:szCs w:val="28"/>
          <w:highlight w:val="none"/>
          <w:lang w:eastAsia="zh-CN"/>
        </w:rPr>
      </w:pPr>
    </w:p>
    <w:p w14:paraId="67516D8A">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政府采购投诉书（范本）、质疑函范本</w:t>
      </w:r>
    </w:p>
    <w:p w14:paraId="40C30E9C">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rPr>
        <w:t>政府采购投诉书（范本）</w:t>
      </w:r>
    </w:p>
    <w:p w14:paraId="3DCFDA4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9315B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BDEE332">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0A98DFF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60DF7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p>
    <w:p w14:paraId="184CF44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14B73E4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p>
    <w:p w14:paraId="7737FBC6">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我公司参加了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日被投诉人组织的</w:t>
      </w:r>
      <w:r>
        <w:rPr>
          <w:rFonts w:hint="eastAsia" w:ascii="宋体" w:hAnsi="宋体" w:eastAsia="宋体" w:cs="宋体"/>
          <w:color w:val="auto"/>
          <w:sz w:val="24"/>
          <w:szCs w:val="24"/>
          <w:highlight w:val="none"/>
          <w:u w:val="single"/>
        </w:rPr>
        <w:t>（采购人）（项目名称）（项目编号）</w:t>
      </w:r>
      <w:r>
        <w:rPr>
          <w:rFonts w:hint="eastAsia" w:ascii="宋体" w:hAnsi="宋体" w:eastAsia="宋体" w:cs="宋体"/>
          <w:color w:val="auto"/>
          <w:sz w:val="24"/>
          <w:szCs w:val="24"/>
          <w:highlight w:val="none"/>
        </w:rPr>
        <w:t>的采购活动，我公司认为该项目的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招标文件</w:t>
      </w:r>
      <w:r>
        <w:rPr>
          <w:rFonts w:hint="eastAsia" w:ascii="宋体" w:hAnsi="宋体" w:eastAsia="宋体" w:cs="宋体"/>
          <w:color w:val="auto"/>
          <w:sz w:val="24"/>
          <w:szCs w:val="24"/>
          <w:highlight w:val="none"/>
          <w:u w:val="single"/>
        </w:rPr>
        <w:t>/采购过程/中标（</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）结果）</w:t>
      </w:r>
      <w:r>
        <w:rPr>
          <w:rFonts w:hint="eastAsia" w:ascii="宋体" w:hAnsi="宋体" w:eastAsia="宋体" w:cs="宋体"/>
          <w:color w:val="auto"/>
          <w:sz w:val="24"/>
          <w:szCs w:val="24"/>
          <w:highlight w:val="none"/>
        </w:rPr>
        <w:t>损害了我公司权益，对此，我公司于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（采购人或者政府采购代理机构）</w:t>
      </w:r>
      <w:r>
        <w:rPr>
          <w:rFonts w:hint="eastAsia" w:ascii="宋体" w:hAnsi="宋体" w:eastAsia="宋体" w:cs="宋体"/>
          <w:color w:val="auto"/>
          <w:sz w:val="24"/>
          <w:szCs w:val="24"/>
          <w:highlight w:val="none"/>
        </w:rPr>
        <w:t>提出了质疑，</w:t>
      </w:r>
      <w:r>
        <w:rPr>
          <w:rFonts w:hint="eastAsia" w:ascii="宋体" w:hAnsi="宋体" w:eastAsia="宋体" w:cs="宋体"/>
          <w:color w:val="auto"/>
          <w:sz w:val="24"/>
          <w:szCs w:val="24"/>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4"/>
          <w:szCs w:val="24"/>
          <w:highlight w:val="none"/>
        </w:rPr>
        <w:t>，现向贵机关提起投诉：</w:t>
      </w:r>
    </w:p>
    <w:p w14:paraId="612AC05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具体的投诉事项及事实依据；</w:t>
      </w:r>
    </w:p>
    <w:p w14:paraId="5E8105B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质疑和质疑答复情况简要描述；</w:t>
      </w:r>
    </w:p>
    <w:p w14:paraId="07E767F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投诉请求。</w:t>
      </w:r>
    </w:p>
    <w:p w14:paraId="208D1C0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p>
    <w:p w14:paraId="5E237E4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1.质疑书和质疑答复书；</w:t>
      </w:r>
    </w:p>
    <w:p w14:paraId="6DB85C7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2.证据材料（需注明证据来源），证人的姓名、住址和联系方式等；</w:t>
      </w:r>
    </w:p>
    <w:p w14:paraId="5A30C82B">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3.营业执照；</w:t>
      </w:r>
    </w:p>
    <w:p w14:paraId="6AA9608E">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4.法定代表人身份证明函</w:t>
      </w:r>
    </w:p>
    <w:p w14:paraId="666CEDD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5.法定代表人授权委托书（包含法定代表人和委托代理人的身份证复印件）；</w:t>
      </w:r>
    </w:p>
    <w:p w14:paraId="7067FEB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6.政府采购监管部门认为应当提供的其它材料。</w:t>
      </w:r>
    </w:p>
    <w:p w14:paraId="611E1C55">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投诉供应商：（盖章）</w:t>
      </w:r>
    </w:p>
    <w:p w14:paraId="27E2738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法定代表人（或主要负责人）：（签字）</w:t>
      </w:r>
    </w:p>
    <w:p w14:paraId="560B6C0C">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840" w:firstLineChars="1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8AF52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505136E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本投诉书正本叁份，副本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份并附电子文档。</w:t>
      </w:r>
    </w:p>
    <w:p w14:paraId="5308E278">
      <w:pPr>
        <w:shd w:val="clear" w:color="auto" w:fill="auto"/>
        <w:jc w:val="both"/>
        <w:outlineLvl w:val="0"/>
        <w:rPr>
          <w:rFonts w:hint="eastAsia" w:ascii="宋体" w:hAnsi="宋体" w:eastAsia="宋体" w:cs="宋体"/>
          <w:b/>
          <w:bCs/>
          <w:color w:val="auto"/>
          <w:sz w:val="24"/>
          <w:szCs w:val="24"/>
          <w:highlight w:val="none"/>
        </w:rPr>
      </w:pPr>
      <w:bookmarkStart w:id="2" w:name="_Toc23682"/>
      <w:bookmarkStart w:id="3" w:name="_Toc17515"/>
      <w:bookmarkStart w:id="4" w:name="_Toc27114"/>
      <w:bookmarkStart w:id="5" w:name="_Toc2638"/>
    </w:p>
    <w:p w14:paraId="228EC81A">
      <w:pPr>
        <w:shd w:val="clear" w:color="auto" w:fill="auto"/>
        <w:ind w:left="7951" w:hanging="4337" w:hangingChars="1800"/>
        <w:jc w:val="center"/>
        <w:outlineLvl w:val="0"/>
        <w:rPr>
          <w:rFonts w:hint="eastAsia" w:ascii="宋体" w:hAnsi="宋体" w:eastAsia="宋体" w:cs="宋体"/>
          <w:b/>
          <w:bCs/>
          <w:color w:val="auto"/>
          <w:sz w:val="24"/>
          <w:szCs w:val="24"/>
          <w:highlight w:val="none"/>
        </w:rPr>
      </w:pPr>
    </w:p>
    <w:p w14:paraId="4AE456A1">
      <w:pPr>
        <w:shd w:val="clear" w:color="auto" w:fill="auto"/>
        <w:ind w:left="7951" w:hanging="5783" w:hangingChars="1800"/>
        <w:jc w:val="center"/>
        <w:outlineLvl w:val="0"/>
        <w:rPr>
          <w:rFonts w:hint="eastAsia" w:ascii="宋体" w:hAnsi="宋体" w:eastAsia="宋体" w:cs="宋体"/>
          <w:b/>
          <w:bCs/>
          <w:color w:val="auto"/>
          <w:sz w:val="32"/>
          <w:szCs w:val="32"/>
          <w:highlight w:val="none"/>
        </w:rPr>
      </w:pPr>
    </w:p>
    <w:p w14:paraId="4FEB490D">
      <w:pPr>
        <w:shd w:val="clear" w:color="auto" w:fill="auto"/>
        <w:ind w:left="7951" w:hanging="5783" w:hangingChars="1800"/>
        <w:jc w:val="center"/>
        <w:outlineLvl w:val="0"/>
        <w:rPr>
          <w:rFonts w:hint="eastAsia" w:ascii="宋体" w:hAnsi="宋体" w:eastAsia="宋体" w:cs="宋体"/>
          <w:b/>
          <w:bCs/>
          <w:color w:val="auto"/>
          <w:sz w:val="32"/>
          <w:szCs w:val="32"/>
          <w:highlight w:val="none"/>
        </w:rPr>
      </w:pPr>
    </w:p>
    <w:p w14:paraId="68D7CB90">
      <w:pPr>
        <w:shd w:val="clear" w:color="auto" w:fill="auto"/>
        <w:ind w:left="7951" w:hanging="5783" w:hangingChars="1800"/>
        <w:jc w:val="center"/>
        <w:outlineLvl w:val="0"/>
        <w:rPr>
          <w:rFonts w:hint="eastAsia" w:ascii="宋体" w:hAnsi="宋体" w:eastAsia="宋体" w:cs="宋体"/>
          <w:color w:val="auto"/>
          <w:sz w:val="32"/>
          <w:szCs w:val="32"/>
          <w:highlight w:val="none"/>
        </w:rPr>
      </w:pPr>
      <w:bookmarkStart w:id="6" w:name="_Toc12030"/>
      <w:r>
        <w:rPr>
          <w:rFonts w:hint="eastAsia" w:ascii="宋体" w:hAnsi="宋体" w:eastAsia="宋体" w:cs="宋体"/>
          <w:b/>
          <w:bCs/>
          <w:color w:val="auto"/>
          <w:sz w:val="32"/>
          <w:szCs w:val="32"/>
          <w:highlight w:val="none"/>
        </w:rPr>
        <w:t>投诉相关说明</w:t>
      </w:r>
      <w:bookmarkEnd w:id="2"/>
      <w:bookmarkEnd w:id="3"/>
      <w:bookmarkEnd w:id="4"/>
      <w:bookmarkEnd w:id="5"/>
      <w:bookmarkEnd w:id="6"/>
    </w:p>
    <w:p w14:paraId="3E38C5F3">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投诉人应当满足《政府采购法》、《政府采购法实施条例》和《政府采购供应商投诉处理办法》的相关规定。</w:t>
      </w:r>
    </w:p>
    <w:p w14:paraId="1C09A4D0">
      <w:pPr>
        <w:keepNext w:val="0"/>
        <w:keepLines w:val="0"/>
        <w:pageBreakBefore w:val="0"/>
        <w:numPr>
          <w:ilvl w:val="0"/>
          <w:numId w:val="1"/>
        </w:numPr>
        <w:shd w:val="clear" w:color="auto" w:fill="auto"/>
        <w:kinsoku/>
        <w:wordWrap/>
        <w:overflowPunct/>
        <w:topLinePunct w:val="0"/>
        <w:autoSpaceDE/>
        <w:autoSpaceDN/>
        <w:bidi w:val="0"/>
        <w:adjustRightInd/>
        <w:snapToGrid/>
        <w:spacing w:line="400" w:lineRule="exact"/>
        <w:ind w:left="4493" w:leftChars="304" w:hanging="3855" w:hangingChars="1600"/>
        <w:textAlignment w:val="auto"/>
        <w:outlineLvl w:val="0"/>
        <w:rPr>
          <w:rFonts w:hint="eastAsia" w:ascii="宋体" w:hAnsi="宋体" w:eastAsia="宋体" w:cs="宋体"/>
          <w:b/>
          <w:bCs/>
          <w:color w:val="auto"/>
          <w:sz w:val="24"/>
          <w:szCs w:val="24"/>
          <w:highlight w:val="none"/>
        </w:rPr>
      </w:pPr>
      <w:bookmarkStart w:id="7" w:name="_Toc19974"/>
      <w:bookmarkStart w:id="8" w:name="_Toc11499"/>
      <w:bookmarkStart w:id="9" w:name="_Toc9329"/>
      <w:bookmarkStart w:id="10" w:name="_Toc29699"/>
      <w:bookmarkStart w:id="11" w:name="_Toc5241"/>
      <w:r>
        <w:rPr>
          <w:rFonts w:hint="eastAsia" w:ascii="宋体" w:hAnsi="宋体" w:eastAsia="宋体" w:cs="宋体"/>
          <w:b/>
          <w:bCs/>
          <w:color w:val="auto"/>
          <w:sz w:val="24"/>
          <w:szCs w:val="24"/>
          <w:highlight w:val="none"/>
        </w:rPr>
        <w:t>质疑前置及时间要求</w:t>
      </w:r>
      <w:bookmarkEnd w:id="7"/>
      <w:bookmarkEnd w:id="8"/>
      <w:bookmarkEnd w:id="9"/>
      <w:bookmarkEnd w:id="10"/>
      <w:bookmarkEnd w:id="11"/>
    </w:p>
    <w:p w14:paraId="1EBAA31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kern w:val="0"/>
          <w:sz w:val="24"/>
          <w:szCs w:val="24"/>
          <w:highlight w:val="none"/>
          <w:shd w:val="clear" w:color="auto" w:fill="FFFFFF"/>
        </w:rPr>
        <w:t>第五十一条：供应商对政府采购活动事项有疑问的，可以向采购人提出询问，采购人应当及时作出答复，但答复的内容不得涉及商业秘密。</w:t>
      </w:r>
    </w:p>
    <w:p w14:paraId="2D4D2DA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第五十二条：供应商认为</w:t>
      </w:r>
      <w:r>
        <w:rPr>
          <w:rFonts w:hint="eastAsia" w:ascii="宋体" w:hAnsi="宋体" w:eastAsia="宋体" w:cs="宋体"/>
          <w:color w:val="auto"/>
          <w:kern w:val="0"/>
          <w:sz w:val="24"/>
          <w:szCs w:val="24"/>
          <w:highlight w:val="none"/>
          <w:shd w:val="clear" w:color="auto" w:fill="FFFFFF"/>
          <w:lang w:eastAsia="zh-CN"/>
        </w:rPr>
        <w:t>招标文件</w:t>
      </w:r>
      <w:r>
        <w:rPr>
          <w:rFonts w:hint="eastAsia" w:ascii="宋体" w:hAnsi="宋体" w:eastAsia="宋体" w:cs="宋体"/>
          <w:color w:val="auto"/>
          <w:kern w:val="0"/>
          <w:sz w:val="24"/>
          <w:szCs w:val="24"/>
          <w:highlight w:val="none"/>
          <w:shd w:val="clear" w:color="auto" w:fill="FFFFFF"/>
        </w:rPr>
        <w:t>、采购过程和中标、</w:t>
      </w:r>
      <w:r>
        <w:rPr>
          <w:rFonts w:hint="eastAsia" w:ascii="宋体" w:hAnsi="宋体" w:eastAsia="宋体" w:cs="宋体"/>
          <w:color w:val="auto"/>
          <w:kern w:val="0"/>
          <w:sz w:val="24"/>
          <w:szCs w:val="24"/>
          <w:highlight w:val="none"/>
          <w:shd w:val="clear" w:color="auto" w:fill="FFFFFF"/>
          <w:lang w:eastAsia="zh-CN"/>
        </w:rPr>
        <w:t>中标</w:t>
      </w:r>
      <w:r>
        <w:rPr>
          <w:rFonts w:hint="eastAsia" w:ascii="宋体" w:hAnsi="宋体" w:eastAsia="宋体" w:cs="宋体"/>
          <w:color w:val="auto"/>
          <w:kern w:val="0"/>
          <w:sz w:val="24"/>
          <w:szCs w:val="24"/>
          <w:highlight w:val="none"/>
          <w:shd w:val="clear" w:color="auto" w:fill="FFFFFF"/>
        </w:rPr>
        <w:t>结果使自己的权益受到损害的，可以在知道或者应知其权益受到损害之日起七个工作日内，以书面形式向采购人提出质疑。</w:t>
      </w:r>
    </w:p>
    <w:p w14:paraId="6504493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0D5C13E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790353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rPr>
        <w:t xml:space="preserve">  《政府采购实施条例》第五十五条：供应商质疑、投诉应当有明确的请求和必要的证明材料。供应商投诉的事项不得超出质疑事项的范围。</w:t>
      </w:r>
    </w:p>
    <w:p w14:paraId="749B2F04">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12" w:name="_Toc9543"/>
      <w:bookmarkStart w:id="13" w:name="_Toc7515"/>
      <w:bookmarkStart w:id="14" w:name="_Toc13508"/>
      <w:bookmarkStart w:id="15" w:name="_Toc15224"/>
      <w:bookmarkStart w:id="16" w:name="_Toc6704"/>
      <w:r>
        <w:rPr>
          <w:rFonts w:hint="eastAsia" w:ascii="宋体" w:hAnsi="宋体" w:eastAsia="宋体" w:cs="宋体"/>
          <w:b/>
          <w:bCs/>
          <w:color w:val="auto"/>
          <w:sz w:val="24"/>
          <w:szCs w:val="24"/>
          <w:highlight w:val="none"/>
        </w:rPr>
        <w:t>二、书面方式</w:t>
      </w:r>
      <w:bookmarkEnd w:id="12"/>
      <w:bookmarkEnd w:id="13"/>
      <w:bookmarkEnd w:id="14"/>
      <w:bookmarkEnd w:id="15"/>
      <w:bookmarkEnd w:id="16"/>
    </w:p>
    <w:p w14:paraId="63C007D2">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《政府采购供应商投诉处理办法》第八条：投诉人投诉</w:t>
      </w:r>
    </w:p>
    <w:p w14:paraId="793010BD">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时，应当提交投诉书，并按照被投诉人以及与投诉事项有关的供应商数量提供投诉书的副本。</w:t>
      </w:r>
    </w:p>
    <w:p w14:paraId="61D81F0E">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投诉书应当包括下列主要内容：</w:t>
      </w:r>
    </w:p>
    <w:p w14:paraId="73F4601E">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投诉人和被投诉人的名称、地址、电话等；</w:t>
      </w:r>
    </w:p>
    <w:p w14:paraId="2C56E1D2">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具体的投诉事项及事实依据；</w:t>
      </w:r>
    </w:p>
    <w:p w14:paraId="786EBB2C">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质疑和质疑答复情况及相关证明材料；</w:t>
      </w:r>
    </w:p>
    <w:p w14:paraId="34C57F31">
      <w:pPr>
        <w:keepNext w:val="0"/>
        <w:keepLines w:val="0"/>
        <w:pageBreakBefore w:val="0"/>
        <w:numPr>
          <w:ilvl w:val="0"/>
          <w:numId w:val="2"/>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提起投诉的日期。</w:t>
      </w:r>
    </w:p>
    <w:p w14:paraId="7DF32EA4">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投诉书应当署名。投诉人为自然人，应当由本人签字；投诉人为法人或者其他组织的，应当由法定代表人或者主要负责人签字并加盖公章。</w:t>
      </w:r>
    </w:p>
    <w:p w14:paraId="22F48ECF">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19A3DCA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《政府采购供应商投诉处理办法》第十条：投诉人提起投诉应当符合下列条件：</w:t>
      </w:r>
    </w:p>
    <w:p w14:paraId="4236EBED">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投诉人是参与所投诉政府采购活动的供应商；</w:t>
      </w:r>
    </w:p>
    <w:p w14:paraId="7A817A71">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提起投诉诉前已依法进行质疑；</w:t>
      </w:r>
    </w:p>
    <w:p w14:paraId="2777AAC1">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投诉书内容符合本办法的规定；</w:t>
      </w:r>
    </w:p>
    <w:p w14:paraId="18AA65FE">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在投诉有效期内提起投诉；</w:t>
      </w:r>
    </w:p>
    <w:p w14:paraId="1D69F89D">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属于本级财政部门管辖；</w:t>
      </w:r>
    </w:p>
    <w:p w14:paraId="02C2F51C">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同一投诉事项未经财政部门投诉处理；</w:t>
      </w:r>
    </w:p>
    <w:p w14:paraId="73CE341C">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1725" w:hanging="10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国务院财政部门规定的其他条件。</w:t>
      </w:r>
    </w:p>
    <w:p w14:paraId="5A5C8D7F">
      <w:pPr>
        <w:keepNext w:val="0"/>
        <w:keepLines w:val="0"/>
        <w:pageBreakBefore w:val="0"/>
        <w:shd w:val="clear" w:color="auto" w:fill="auto"/>
        <w:kinsoku/>
        <w:wordWrap/>
        <w:overflowPunct/>
        <w:topLinePunct w:val="0"/>
        <w:autoSpaceDE/>
        <w:autoSpaceDN/>
        <w:bidi w:val="0"/>
        <w:adjustRightInd/>
        <w:snapToGrid/>
        <w:spacing w:line="400" w:lineRule="exact"/>
        <w:ind w:left="5760" w:hanging="4320" w:hanging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C8D3902">
      <w:pPr>
        <w:shd w:val="clear" w:color="auto" w:fil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bookmarkStart w:id="17" w:name="_Toc10437"/>
      <w:bookmarkStart w:id="18" w:name="_Toc27915"/>
      <w:bookmarkStart w:id="19" w:name="_Toc5978"/>
      <w:bookmarkStart w:id="20" w:name="_Toc6108"/>
      <w:bookmarkStart w:id="21" w:name="_Toc24831"/>
      <w:r>
        <w:rPr>
          <w:rFonts w:hint="eastAsia" w:ascii="宋体" w:hAnsi="宋体" w:eastAsia="宋体" w:cs="宋体"/>
          <w:b/>
          <w:bCs/>
          <w:color w:val="auto"/>
          <w:sz w:val="24"/>
          <w:szCs w:val="24"/>
          <w:highlight w:val="none"/>
        </w:rPr>
        <w:t>三、虚假、恶意投诉法律责任</w:t>
      </w:r>
      <w:bookmarkEnd w:id="17"/>
      <w:bookmarkEnd w:id="18"/>
      <w:bookmarkEnd w:id="19"/>
      <w:bookmarkEnd w:id="20"/>
      <w:bookmarkEnd w:id="21"/>
    </w:p>
    <w:p w14:paraId="3138D13D">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第七十三条：供应商捏造实施、提供虚假材料或者以非法手段取得证明材料进行投诉的，由财政部门列入不良行为记录名单，禁止其1至3年内参加政府采购活动。</w:t>
      </w:r>
    </w:p>
    <w:p w14:paraId="25FC38FE">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《政府采购供应商投诉处理办法》第二十六条：投诉人有下列情形之一的，属于虚假、恶意投诉，财政部门应当驳回投诉，将其列入不良行为记录名单，并依法予以处罚：</w:t>
      </w:r>
    </w:p>
    <w:p w14:paraId="6CF35B61">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（一）1年内3次以上投诉均查无实据的；</w:t>
      </w:r>
    </w:p>
    <w:p w14:paraId="5D88CAAC">
      <w:pPr>
        <w:keepNext w:val="0"/>
        <w:keepLines w:val="0"/>
        <w:pageBreakBefore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（二）捏造事实或者提供虚假投诉材料的。</w:t>
      </w:r>
    </w:p>
    <w:p w14:paraId="517B26F9">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2D87FA75">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14:paraId="1C37B6F3">
      <w:pPr>
        <w:shd w:val="clear" w:color="auto" w:fill="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递交投诉书地址：</w:t>
      </w:r>
      <w:r>
        <w:rPr>
          <w:rFonts w:hint="eastAsia" w:ascii="宋体" w:hAnsi="宋体" w:eastAsia="宋体" w:cs="宋体"/>
          <w:color w:val="auto"/>
          <w:sz w:val="24"/>
          <w:szCs w:val="24"/>
          <w:highlight w:val="none"/>
          <w:lang w:val="en-US" w:eastAsia="zh-CN"/>
        </w:rPr>
        <w:t>阿图什市财政局政府采购办监管办公室</w:t>
      </w:r>
    </w:p>
    <w:p w14:paraId="2248C066">
      <w:pPr>
        <w:shd w:val="clear" w:color="auto" w:fill="auto"/>
        <w:jc w:val="right"/>
        <w:rPr>
          <w:rFonts w:hint="eastAsia" w:ascii="宋体" w:hAnsi="宋体" w:eastAsia="宋体" w:cs="宋体"/>
          <w:color w:val="auto"/>
          <w:sz w:val="24"/>
          <w:szCs w:val="24"/>
          <w:highlight w:val="none"/>
        </w:rPr>
      </w:pPr>
    </w:p>
    <w:p w14:paraId="3955BBF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2E4AE9A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3955894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275EE82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24"/>
          <w:szCs w:val="24"/>
          <w:highlight w:val="none"/>
        </w:rPr>
      </w:pPr>
    </w:p>
    <w:p w14:paraId="6028FD5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bookmarkStart w:id="22" w:name="_Toc1697"/>
    </w:p>
    <w:p w14:paraId="373AB65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2D2F381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4C4A6B5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6249178D">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45CB0D47">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17E205E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53896477">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612B015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9"/>
        <w:rPr>
          <w:rFonts w:hint="eastAsia" w:ascii="宋体" w:hAnsi="宋体" w:eastAsia="宋体" w:cs="宋体"/>
          <w:b/>
          <w:bCs/>
          <w:color w:val="auto"/>
          <w:sz w:val="24"/>
          <w:szCs w:val="24"/>
          <w:highlight w:val="none"/>
        </w:rPr>
      </w:pPr>
    </w:p>
    <w:p w14:paraId="303CD632">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9"/>
        <w:rPr>
          <w:rFonts w:hint="eastAsia" w:ascii="宋体" w:hAnsi="宋体" w:eastAsia="宋体" w:cs="宋体"/>
          <w:b/>
          <w:bCs/>
          <w:color w:val="auto"/>
          <w:sz w:val="24"/>
          <w:szCs w:val="24"/>
          <w:highlight w:val="none"/>
        </w:rPr>
      </w:pPr>
    </w:p>
    <w:p w14:paraId="6B8DE5D5">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9"/>
        <w:rPr>
          <w:rFonts w:hint="eastAsia" w:ascii="宋体" w:hAnsi="宋体" w:eastAsia="宋体" w:cs="宋体"/>
          <w:b/>
          <w:bCs/>
          <w:color w:val="auto"/>
          <w:sz w:val="24"/>
          <w:szCs w:val="24"/>
          <w:highlight w:val="none"/>
        </w:rPr>
      </w:pPr>
    </w:p>
    <w:p w14:paraId="4FED50F3">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9"/>
        <w:rPr>
          <w:rFonts w:hint="eastAsia" w:ascii="宋体" w:hAnsi="宋体" w:eastAsia="宋体" w:cs="宋体"/>
          <w:b/>
          <w:bCs/>
          <w:color w:val="auto"/>
          <w:sz w:val="24"/>
          <w:szCs w:val="24"/>
          <w:highlight w:val="none"/>
        </w:rPr>
      </w:pPr>
    </w:p>
    <w:p w14:paraId="563F33B0">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bookmarkStart w:id="23" w:name="_Toc30496"/>
      <w:bookmarkStart w:id="24" w:name="_Toc30797"/>
      <w:bookmarkStart w:id="25" w:name="_Toc8802"/>
      <w:bookmarkStart w:id="26" w:name="_Toc15367"/>
      <w:r>
        <w:rPr>
          <w:rFonts w:hint="eastAsia" w:ascii="宋体" w:hAnsi="宋体" w:eastAsia="宋体" w:cs="宋体"/>
          <w:b/>
          <w:bCs/>
          <w:color w:val="auto"/>
          <w:sz w:val="32"/>
          <w:szCs w:val="32"/>
          <w:highlight w:val="none"/>
        </w:rPr>
        <w:t>质疑函范本</w:t>
      </w:r>
      <w:bookmarkEnd w:id="22"/>
      <w:bookmarkEnd w:id="23"/>
      <w:bookmarkEnd w:id="24"/>
      <w:bookmarkEnd w:id="25"/>
      <w:bookmarkEnd w:id="26"/>
    </w:p>
    <w:p w14:paraId="0DF8B526">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80" w:firstLineChars="200"/>
        <w:textAlignment w:val="auto"/>
        <w:outlineLvl w:val="0"/>
        <w:rPr>
          <w:rFonts w:hint="eastAsia" w:ascii="宋体" w:hAnsi="宋体" w:eastAsia="宋体" w:cs="宋体"/>
          <w:bCs/>
          <w:color w:val="auto"/>
          <w:sz w:val="24"/>
          <w:szCs w:val="24"/>
          <w:highlight w:val="none"/>
        </w:rPr>
      </w:pPr>
      <w:bookmarkStart w:id="27" w:name="_Toc25524"/>
      <w:bookmarkStart w:id="28" w:name="_Toc30940"/>
      <w:bookmarkStart w:id="29" w:name="_Toc13048"/>
      <w:bookmarkStart w:id="30" w:name="_Toc29021"/>
      <w:bookmarkStart w:id="31" w:name="_Toc9061"/>
      <w:r>
        <w:rPr>
          <w:rFonts w:hint="eastAsia" w:ascii="宋体" w:hAnsi="宋体" w:eastAsia="宋体" w:cs="宋体"/>
          <w:bCs/>
          <w:color w:val="auto"/>
          <w:sz w:val="24"/>
          <w:szCs w:val="24"/>
          <w:highlight w:val="none"/>
        </w:rPr>
        <w:t>一、质疑供应商基本信息</w:t>
      </w:r>
      <w:bookmarkEnd w:id="27"/>
      <w:bookmarkEnd w:id="28"/>
      <w:bookmarkEnd w:id="29"/>
      <w:bookmarkEnd w:id="30"/>
      <w:bookmarkEnd w:id="31"/>
    </w:p>
    <w:p w14:paraId="45BA778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2D42A9C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9243C7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E89810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56D4C07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68E864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493B2B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32" w:name="_Toc19533"/>
      <w:bookmarkStart w:id="33" w:name="_Toc29244"/>
      <w:bookmarkStart w:id="34" w:name="_Toc5419"/>
      <w:bookmarkStart w:id="35" w:name="_Toc15938"/>
      <w:bookmarkStart w:id="36" w:name="_Toc101"/>
      <w:r>
        <w:rPr>
          <w:rFonts w:hint="eastAsia" w:ascii="宋体" w:hAnsi="宋体" w:eastAsia="宋体" w:cs="宋体"/>
          <w:bCs/>
          <w:color w:val="auto"/>
          <w:sz w:val="24"/>
          <w:szCs w:val="24"/>
          <w:highlight w:val="none"/>
        </w:rPr>
        <w:t>二、质疑项目基本情况</w:t>
      </w:r>
      <w:bookmarkEnd w:id="32"/>
      <w:bookmarkEnd w:id="33"/>
      <w:bookmarkEnd w:id="34"/>
      <w:bookmarkEnd w:id="35"/>
      <w:bookmarkEnd w:id="36"/>
    </w:p>
    <w:p w14:paraId="3BA06DD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24CDA18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A01ED7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E6EF41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获取日期：</w:t>
      </w:r>
      <w:r>
        <w:rPr>
          <w:rFonts w:hint="eastAsia" w:ascii="宋体" w:hAnsi="宋体" w:eastAsia="宋体" w:cs="宋体"/>
          <w:color w:val="auto"/>
          <w:sz w:val="24"/>
          <w:szCs w:val="24"/>
          <w:highlight w:val="none"/>
          <w:u w:val="dotted"/>
        </w:rPr>
        <w:t xml:space="preserve">                                   </w:t>
      </w:r>
    </w:p>
    <w:p w14:paraId="5878B55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37" w:name="_Toc13024"/>
      <w:bookmarkStart w:id="38" w:name="_Toc7748"/>
      <w:bookmarkStart w:id="39" w:name="_Toc18271"/>
      <w:bookmarkStart w:id="40" w:name="_Toc25155"/>
      <w:bookmarkStart w:id="41" w:name="_Toc25298"/>
      <w:r>
        <w:rPr>
          <w:rFonts w:hint="eastAsia" w:ascii="宋体" w:hAnsi="宋体" w:eastAsia="宋体" w:cs="宋体"/>
          <w:bCs/>
          <w:color w:val="auto"/>
          <w:sz w:val="24"/>
          <w:szCs w:val="24"/>
          <w:highlight w:val="none"/>
        </w:rPr>
        <w:t>三、质疑事项具体内容</w:t>
      </w:r>
      <w:bookmarkEnd w:id="37"/>
      <w:bookmarkEnd w:id="38"/>
      <w:bookmarkEnd w:id="39"/>
      <w:bookmarkEnd w:id="40"/>
      <w:bookmarkEnd w:id="41"/>
    </w:p>
    <w:p w14:paraId="38B4FAA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109B752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CDE1C5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7619D66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E3DD7D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FA962D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outlineLvl w:val="0"/>
        <w:rPr>
          <w:rFonts w:hint="eastAsia" w:ascii="宋体" w:hAnsi="宋体" w:eastAsia="宋体" w:cs="宋体"/>
          <w:bCs/>
          <w:color w:val="auto"/>
          <w:sz w:val="24"/>
          <w:szCs w:val="24"/>
          <w:highlight w:val="none"/>
        </w:rPr>
      </w:pPr>
      <w:bookmarkStart w:id="42" w:name="_Toc20697"/>
      <w:bookmarkStart w:id="43" w:name="_Toc9634"/>
      <w:bookmarkStart w:id="44" w:name="_Toc18215"/>
      <w:bookmarkStart w:id="45" w:name="_Toc20488"/>
      <w:bookmarkStart w:id="46" w:name="_Toc22365"/>
      <w:r>
        <w:rPr>
          <w:rFonts w:hint="eastAsia" w:ascii="宋体" w:hAnsi="宋体" w:eastAsia="宋体" w:cs="宋体"/>
          <w:bCs/>
          <w:color w:val="auto"/>
          <w:sz w:val="24"/>
          <w:szCs w:val="24"/>
          <w:highlight w:val="none"/>
        </w:rPr>
        <w:t>四、与质疑事项相关的质疑请求</w:t>
      </w:r>
      <w:bookmarkEnd w:id="42"/>
      <w:bookmarkEnd w:id="43"/>
      <w:bookmarkEnd w:id="44"/>
      <w:bookmarkEnd w:id="45"/>
      <w:bookmarkEnd w:id="46"/>
    </w:p>
    <w:p w14:paraId="636EE11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3A565D1">
      <w:pPr>
        <w:keepNext w:val="0"/>
        <w:keepLines w:val="0"/>
        <w:pageBreakBefore w:val="0"/>
        <w:widowControl w:val="0"/>
        <w:shd w:val="clear" w:color="auto" w:fill="auto"/>
        <w:kinsoku/>
        <w:wordWrap/>
        <w:overflowPunct/>
        <w:topLinePunct w:val="0"/>
        <w:autoSpaceDE/>
        <w:autoSpaceDN/>
        <w:bidi w:val="0"/>
        <w:spacing w:line="540" w:lineRule="exact"/>
        <w:ind w:firstLine="48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rPr>
        <w:t xml:space="preserve">签字(签章)：                   公章：                 日期：   </w:t>
      </w:r>
      <w:r>
        <w:rPr>
          <w:rFonts w:hint="eastAsia" w:ascii="宋体" w:hAnsi="宋体" w:eastAsia="宋体" w:cs="宋体"/>
          <w:color w:val="auto"/>
          <w:sz w:val="21"/>
          <w:szCs w:val="21"/>
          <w:highlight w:val="none"/>
        </w:rPr>
        <w:t xml:space="preserve"> </w:t>
      </w:r>
    </w:p>
    <w:p w14:paraId="0B487E6D">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CBBF06B">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3C99365">
      <w:pPr>
        <w:rPr>
          <w:rFonts w:hint="eastAsia" w:ascii="宋体" w:hAnsi="宋体" w:eastAsia="宋体" w:cs="宋体"/>
          <w:b w:val="0"/>
          <w:bCs w:val="0"/>
          <w:sz w:val="24"/>
          <w:szCs w:val="24"/>
          <w:lang w:val="en-US" w:eastAsia="zh-CN"/>
        </w:rPr>
      </w:pPr>
    </w:p>
    <w:p w14:paraId="47776EBD">
      <w:pPr>
        <w:rPr>
          <w:rFonts w:hint="eastAsia" w:ascii="宋体" w:hAnsi="宋体" w:eastAsia="宋体" w:cs="宋体"/>
          <w:b w:val="0"/>
          <w:bCs w:val="0"/>
          <w:sz w:val="24"/>
          <w:szCs w:val="24"/>
          <w:lang w:val="en-US" w:eastAsia="zh-CN"/>
        </w:rPr>
      </w:pPr>
    </w:p>
    <w:p w14:paraId="4FF19F61">
      <w:pPr>
        <w:pStyle w:val="2"/>
        <w:bidi w:val="0"/>
        <w:rPr>
          <w:rFonts w:hint="eastAsia" w:ascii="宋体" w:hAnsi="宋体" w:eastAsia="宋体" w:cs="宋体"/>
          <w:b w:val="0"/>
          <w:bCs w:val="0"/>
          <w:szCs w:val="24"/>
          <w:lang w:val="en-US" w:eastAsia="zh-CN"/>
        </w:rPr>
      </w:pPr>
      <w:bookmarkStart w:id="47" w:name="_Toc26364"/>
      <w:r>
        <w:rPr>
          <w:rFonts w:hint="eastAsia"/>
          <w:lang w:val="en-US" w:eastAsia="zh-CN"/>
        </w:rPr>
        <w:t>第三章 评标办法</w:t>
      </w:r>
      <w:bookmarkEnd w:id="47"/>
    </w:p>
    <w:p w14:paraId="2C54B2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  总  则</w:t>
      </w:r>
    </w:p>
    <w:p w14:paraId="2F351D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1、一般规定</w:t>
      </w:r>
    </w:p>
    <w:p w14:paraId="6B9DE6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 本项目的招标按照《中华人民共和国政府采购法》、《政府采购货物和服务招标投标管理办法》及政府采购的有关规定进行。</w:t>
      </w:r>
    </w:p>
    <w:p w14:paraId="5C5B85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 评标必须遵循邀请、公平、公正、诚实信用的原则。</w:t>
      </w:r>
    </w:p>
    <w:p w14:paraId="45F33DE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 招标代理机构组织招标、开标、评标工作，全过程接受政府采购有关部门的监督、管理和指导。</w:t>
      </w:r>
    </w:p>
    <w:p w14:paraId="140C67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 评标按照招标文件规定的内容进行，采取符合招标文件要求的综合评分法；</w:t>
      </w:r>
    </w:p>
    <w:p w14:paraId="1B4429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 本办法的评标对象是指投标人按照招标文件要求提供的有效投标文件，包括投标人应评标委员会要求对原投标文件作出的正式书面澄清文件。</w:t>
      </w:r>
    </w:p>
    <w:p w14:paraId="0FC8A2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2、评标组织机构的组成</w:t>
      </w:r>
    </w:p>
    <w:p w14:paraId="32BB73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2.1 </w:t>
      </w:r>
      <w:r>
        <w:rPr>
          <w:rFonts w:hint="eastAsia" w:ascii="宋体" w:hAnsi="宋体" w:eastAsia="宋体" w:cs="宋体"/>
          <w:b/>
          <w:bCs/>
          <w:sz w:val="24"/>
          <w:szCs w:val="24"/>
          <w:lang w:val="en-US" w:eastAsia="zh-CN"/>
        </w:rPr>
        <w:t>评标委员会由采购人代表 1 人和有关技术、经济等方面的专家 4 人组成，成员人数为 5 人</w:t>
      </w:r>
      <w:r>
        <w:rPr>
          <w:rFonts w:hint="eastAsia" w:ascii="宋体" w:hAnsi="宋体" w:eastAsia="宋体" w:cs="宋体"/>
          <w:b w:val="0"/>
          <w:bCs w:val="0"/>
          <w:sz w:val="24"/>
          <w:szCs w:val="24"/>
          <w:lang w:val="en-US" w:eastAsia="zh-CN"/>
        </w:rPr>
        <w:t>。其中，技术、经济等方面的专家不得少于成员总数的三分之二。采购数额在 1000 万元以上、技术复杂的项目，评标委员会中技术、经济方面的专家人数应当为 7 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64E964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 评标工作组由招标人及有关专家组成，由评标委员会确认，并接受其领导。</w:t>
      </w:r>
    </w:p>
    <w:p w14:paraId="4D5FE7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 评标委员会应相对独立工作，负责评标、撰写技术、商务评标报告。采购代理机构负责评标过程中资料的保管、发放、回收，整理、汇总评标资料。</w:t>
      </w:r>
    </w:p>
    <w:p w14:paraId="4F4893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3、评标委员会职责</w:t>
      </w:r>
    </w:p>
    <w:p w14:paraId="5566459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3.1 审查投标文件是否符合招标文件要求，并作出评价； </w:t>
      </w:r>
    </w:p>
    <w:p w14:paraId="66C999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3.2 要求投标人对投标文件有关事项作出解释或者澄清； </w:t>
      </w:r>
    </w:p>
    <w:p w14:paraId="13D312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 推荐中标候选人名单；</w:t>
      </w:r>
    </w:p>
    <w:p w14:paraId="46FB2B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 向招标人、招标代理机构或者有关部门报告非法干预评标工作的行为。</w:t>
      </w:r>
    </w:p>
    <w:p w14:paraId="0907F8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4、评标委员会义务</w:t>
      </w:r>
    </w:p>
    <w:p w14:paraId="4446C5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 遵纪守法，客观、公正、廉洁地履行职责；</w:t>
      </w:r>
    </w:p>
    <w:p w14:paraId="71E217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 按照招标文件规定的评标方法和评标标准进行评标，对评审意见承担个人责任；4.3 对评标过程和结果，以及投标人的商业秘密保密；</w:t>
      </w:r>
    </w:p>
    <w:p w14:paraId="6A244D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4.4 参与评标报告的起草；</w:t>
      </w:r>
    </w:p>
    <w:p w14:paraId="32001C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 配合有关部门的投诉处理工作；</w:t>
      </w:r>
    </w:p>
    <w:p w14:paraId="6D4CDB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 配合招标人、招标代理机构答复投标供应商提出的质疑。</w:t>
      </w:r>
    </w:p>
    <w:p w14:paraId="13463F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 评标程序</w:t>
      </w:r>
    </w:p>
    <w:p w14:paraId="45B3BC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 本次评标首先由评标委员会对投标人的投标文件进行初审，对未能通过初审的投标文件作无效标处理；</w:t>
      </w:r>
    </w:p>
    <w:p w14:paraId="738D65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5.2 对通过初审的投标人的投标文件进行详细的比较和评价。如需要，进行必要的澄清工作； </w:t>
      </w:r>
    </w:p>
    <w:p w14:paraId="7502AF63">
      <w:pPr>
        <w:pStyle w:val="8"/>
        <w:spacing w:before="93" w:line="277" w:lineRule="auto"/>
        <w:rPr>
          <w:rFonts w:hint="eastAsia" w:ascii="宋体" w:hAnsi="宋体" w:eastAsia="宋体" w:cs="宋体"/>
          <w:sz w:val="23"/>
          <w:szCs w:val="23"/>
        </w:rPr>
      </w:pPr>
      <w:r>
        <w:rPr>
          <w:rFonts w:hint="eastAsia" w:ascii="宋体" w:hAnsi="宋体" w:eastAsia="宋体" w:cs="宋体"/>
          <w:b w:val="0"/>
          <w:bCs w:val="0"/>
          <w:sz w:val="24"/>
          <w:szCs w:val="24"/>
          <w:lang w:val="en-US" w:eastAsia="zh-CN"/>
        </w:rPr>
        <w:t xml:space="preserve">5.3 </w:t>
      </w:r>
      <w:r>
        <w:rPr>
          <w:rFonts w:hint="eastAsia" w:ascii="宋体" w:hAnsi="宋体" w:eastAsia="宋体" w:cs="宋体"/>
          <w:b w:val="0"/>
          <w:bCs w:val="0"/>
          <w:kern w:val="2"/>
          <w:sz w:val="24"/>
          <w:szCs w:val="24"/>
          <w:lang w:val="en-US" w:eastAsia="zh-CN" w:bidi="ar-SA"/>
        </w:rPr>
        <w:t>依据评分标准以及各项权值，各位评委单独就每个供应商的投标文件进行价格、技 术、</w:t>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"http://zhidao.baidu.com/search?word=%E8%B4%A2%E5%8A%A1%E7%8A%B6%E5%86%B5&amp;fr=qb_search_exp&amp;ie=utf8&amp;eid_gfrom=151" </w:instrText>
      </w:r>
      <w:r>
        <w:rPr>
          <w:rFonts w:hint="eastAsia" w:ascii="宋体" w:hAnsi="宋体" w:eastAsia="宋体" w:cs="宋体"/>
          <w:b w:val="0"/>
          <w:bCs w:val="0"/>
          <w:kern w:val="2"/>
          <w:sz w:val="24"/>
          <w:szCs w:val="24"/>
          <w:lang w:val="en-US" w:eastAsia="zh-CN" w:bidi="ar-SA"/>
        </w:rPr>
        <w:fldChar w:fldCharType="separate"/>
      </w:r>
      <w:r>
        <w:rPr>
          <w:rFonts w:hint="eastAsia" w:ascii="宋体" w:hAnsi="宋体" w:eastAsia="宋体" w:cs="宋体"/>
          <w:b w:val="0"/>
          <w:bCs w:val="0"/>
          <w:kern w:val="2"/>
          <w:sz w:val="24"/>
          <w:szCs w:val="24"/>
          <w:lang w:val="en-US" w:eastAsia="zh-CN" w:bidi="ar-SA"/>
        </w:rPr>
        <w:t>财务状况</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kern w:val="2"/>
          <w:sz w:val="24"/>
          <w:szCs w:val="24"/>
          <w:lang w:val="en-US" w:eastAsia="zh-CN" w:bidi="ar-SA"/>
        </w:rPr>
        <w:t>、信誉、业绩、服务、对招标文件的响应程度，以及相应的比重或者权值等各 项因素进行综合评审后，按最终综合得分由高向低排序，由评标委员会推荐综合得分最高的 供应商为第一中标候选人，综合得分第二名的供应商为第二中标候选人，综合得分第三名的供应商为第三中标候选人。</w:t>
      </w:r>
    </w:p>
    <w:p w14:paraId="3C9B69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sz w:val="24"/>
          <w:szCs w:val="24"/>
          <w:lang w:val="en-US" w:eastAsia="zh-CN"/>
        </w:rPr>
      </w:pPr>
    </w:p>
    <w:p w14:paraId="272908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4DCAD4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1BFEAE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3A8C00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5BBB03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3DD18C3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5D9E55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5F92BB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08E6DB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284363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3FA876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6EFBC5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0A08A2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71A3F2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455F77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54250CA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435A74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4BED17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5EECA0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38FB27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7930ED0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318878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21A0A4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1D5BC1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7D3C73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16DF2F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5601E49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二  </w:t>
      </w:r>
      <w:r>
        <w:rPr>
          <w:rFonts w:hint="eastAsia" w:ascii="宋体" w:hAnsi="宋体" w:eastAsia="宋体" w:cs="宋体"/>
          <w:b/>
          <w:bCs w:val="0"/>
          <w:color w:val="auto"/>
          <w:sz w:val="24"/>
          <w:szCs w:val="24"/>
          <w:highlight w:val="none"/>
          <w:lang w:val="en-US" w:eastAsia="zh-CN"/>
        </w:rPr>
        <w:t>投标文件</w:t>
      </w:r>
      <w:r>
        <w:rPr>
          <w:rFonts w:hint="eastAsia" w:ascii="宋体" w:hAnsi="宋体" w:eastAsia="宋体" w:cs="宋体"/>
          <w:b/>
          <w:bCs w:val="0"/>
          <w:color w:val="auto"/>
          <w:sz w:val="24"/>
          <w:szCs w:val="24"/>
          <w:highlight w:val="none"/>
        </w:rPr>
        <w:t>初审</w:t>
      </w:r>
    </w:p>
    <w:p w14:paraId="41A5C8C4">
      <w:pPr>
        <w:shd w:val="clear" w:color="auto" w:fill="auto"/>
        <w:spacing w:line="400" w:lineRule="exact"/>
        <w:ind w:firstLine="354" w:firstLineChars="147"/>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资格性审查:</w:t>
      </w:r>
    </w:p>
    <w:p w14:paraId="3250CB83">
      <w:pPr>
        <w:shd w:val="clear" w:color="auto" w:fill="auto"/>
        <w:spacing w:line="400" w:lineRule="exact"/>
        <w:ind w:firstLine="352" w:firstLineChars="1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评审细则</w:t>
      </w:r>
    </w:p>
    <w:tbl>
      <w:tblPr>
        <w:tblStyle w:val="15"/>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478"/>
        <w:gridCol w:w="870"/>
        <w:gridCol w:w="840"/>
      </w:tblGrid>
      <w:tr w14:paraId="45D8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14:paraId="4214DEBD">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025" w:type="dxa"/>
            <w:gridSpan w:val="2"/>
            <w:vMerge w:val="restart"/>
            <w:noWrap w:val="0"/>
            <w:vAlign w:val="center"/>
          </w:tcPr>
          <w:p w14:paraId="7ADFF3D1">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c>
          <w:tcPr>
            <w:tcW w:w="1710" w:type="dxa"/>
            <w:gridSpan w:val="2"/>
            <w:noWrap w:val="0"/>
            <w:vAlign w:val="center"/>
          </w:tcPr>
          <w:p w14:paraId="2590E55A">
            <w:pPr>
              <w:shd w:val="clear" w:color="auto" w:fill="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评审意见</w:t>
            </w:r>
          </w:p>
        </w:tc>
      </w:tr>
      <w:tr w14:paraId="47B3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14:paraId="4752F2FB">
            <w:pPr>
              <w:shd w:val="clear" w:color="auto" w:fill="auto"/>
              <w:rPr>
                <w:rFonts w:hint="eastAsia" w:ascii="宋体" w:hAnsi="宋体" w:eastAsia="宋体" w:cs="宋体"/>
                <w:color w:val="auto"/>
                <w:sz w:val="24"/>
                <w:szCs w:val="24"/>
                <w:highlight w:val="none"/>
              </w:rPr>
            </w:pPr>
          </w:p>
        </w:tc>
        <w:tc>
          <w:tcPr>
            <w:tcW w:w="7025" w:type="dxa"/>
            <w:gridSpan w:val="2"/>
            <w:vMerge w:val="continue"/>
            <w:noWrap w:val="0"/>
            <w:vAlign w:val="top"/>
          </w:tcPr>
          <w:p w14:paraId="2C117CBB">
            <w:pPr>
              <w:shd w:val="clear" w:color="auto" w:fill="auto"/>
              <w:rPr>
                <w:rFonts w:hint="eastAsia" w:ascii="宋体" w:hAnsi="宋体" w:eastAsia="宋体" w:cs="宋体"/>
                <w:color w:val="auto"/>
                <w:sz w:val="24"/>
                <w:szCs w:val="24"/>
                <w:highlight w:val="none"/>
              </w:rPr>
            </w:pPr>
          </w:p>
        </w:tc>
        <w:tc>
          <w:tcPr>
            <w:tcW w:w="870" w:type="dxa"/>
            <w:noWrap w:val="0"/>
            <w:vAlign w:val="center"/>
          </w:tcPr>
          <w:p w14:paraId="07A6DD10">
            <w:pPr>
              <w:widowControl/>
              <w:shd w:val="clear" w:color="auto" w:fill="auto"/>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是否合格</w:t>
            </w:r>
          </w:p>
        </w:tc>
        <w:tc>
          <w:tcPr>
            <w:tcW w:w="840" w:type="dxa"/>
            <w:noWrap w:val="0"/>
            <w:vAlign w:val="center"/>
          </w:tcPr>
          <w:p w14:paraId="646B8F1C">
            <w:pPr>
              <w:widowControl/>
              <w:shd w:val="clear" w:color="auto" w:fill="auto"/>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是否合格</w:t>
            </w:r>
          </w:p>
        </w:tc>
      </w:tr>
      <w:tr w14:paraId="42CF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1" w:type="dxa"/>
            <w:vMerge w:val="restart"/>
            <w:noWrap w:val="0"/>
            <w:vAlign w:val="center"/>
          </w:tcPr>
          <w:p w14:paraId="760DC1E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7B99941A">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p w14:paraId="49A808F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w:t>
            </w:r>
          </w:p>
          <w:p w14:paraId="4AC26CAE">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w:t>
            </w:r>
          </w:p>
          <w:p w14:paraId="203CF26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w:t>
            </w:r>
          </w:p>
          <w:p w14:paraId="7F8DBC4C">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w:t>
            </w:r>
          </w:p>
          <w:p w14:paraId="7B4CA1F3">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p>
          <w:p w14:paraId="6DD350C6">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14:paraId="3B21C2AF">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14:paraId="11338304">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w:t>
            </w:r>
          </w:p>
          <w:p w14:paraId="153B0E51">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tc>
        <w:tc>
          <w:tcPr>
            <w:tcW w:w="547" w:type="dxa"/>
            <w:noWrap w:val="0"/>
            <w:vAlign w:val="center"/>
          </w:tcPr>
          <w:p w14:paraId="0A4B4217">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78" w:type="dxa"/>
            <w:noWrap w:val="0"/>
            <w:vAlign w:val="center"/>
          </w:tcPr>
          <w:p w14:paraId="7527B768">
            <w:pPr>
              <w:widowControl/>
              <w:shd w:val="clear" w:color="auto" w:fill="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具备三证合一营业执照副本</w:t>
            </w:r>
          </w:p>
        </w:tc>
        <w:tc>
          <w:tcPr>
            <w:tcW w:w="870" w:type="dxa"/>
            <w:noWrap w:val="0"/>
            <w:vAlign w:val="top"/>
          </w:tcPr>
          <w:p w14:paraId="71D4987E">
            <w:pPr>
              <w:shd w:val="clear" w:color="auto" w:fill="auto"/>
              <w:rPr>
                <w:rFonts w:hint="eastAsia" w:ascii="宋体" w:hAnsi="宋体" w:eastAsia="宋体" w:cs="宋体"/>
                <w:color w:val="auto"/>
                <w:sz w:val="24"/>
                <w:szCs w:val="24"/>
                <w:highlight w:val="none"/>
              </w:rPr>
            </w:pPr>
          </w:p>
        </w:tc>
        <w:tc>
          <w:tcPr>
            <w:tcW w:w="840" w:type="dxa"/>
            <w:noWrap w:val="0"/>
            <w:vAlign w:val="top"/>
          </w:tcPr>
          <w:p w14:paraId="6A4938DA">
            <w:pPr>
              <w:shd w:val="clear" w:color="auto" w:fill="auto"/>
              <w:rPr>
                <w:rFonts w:hint="eastAsia" w:ascii="宋体" w:hAnsi="宋体" w:eastAsia="宋体" w:cs="宋体"/>
                <w:color w:val="auto"/>
                <w:sz w:val="24"/>
                <w:szCs w:val="24"/>
                <w:highlight w:val="none"/>
              </w:rPr>
            </w:pPr>
          </w:p>
        </w:tc>
      </w:tr>
      <w:tr w14:paraId="4DFD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1" w:type="dxa"/>
            <w:vMerge w:val="continue"/>
            <w:noWrap w:val="0"/>
            <w:vAlign w:val="center"/>
          </w:tcPr>
          <w:p w14:paraId="33A49DE2">
            <w:pPr>
              <w:shd w:val="clear" w:color="auto" w:fill="auto"/>
              <w:jc w:val="center"/>
              <w:rPr>
                <w:rFonts w:hint="eastAsia" w:ascii="宋体" w:hAnsi="宋体" w:eastAsia="宋体" w:cs="宋体"/>
                <w:color w:val="auto"/>
                <w:sz w:val="24"/>
                <w:szCs w:val="24"/>
                <w:highlight w:val="none"/>
              </w:rPr>
            </w:pPr>
          </w:p>
        </w:tc>
        <w:tc>
          <w:tcPr>
            <w:tcW w:w="547" w:type="dxa"/>
            <w:noWrap w:val="0"/>
            <w:vAlign w:val="center"/>
          </w:tcPr>
          <w:p w14:paraId="7EF874CC">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478" w:type="dxa"/>
            <w:noWrap w:val="0"/>
            <w:vAlign w:val="center"/>
          </w:tcPr>
          <w:p w14:paraId="78957E50">
            <w:pPr>
              <w:widowControl/>
              <w:shd w:val="clear" w:color="auto" w:fill="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lang w:val="en-US" w:eastAsia="zh-CN"/>
              </w:rPr>
              <w:t>法定代表人投标须提供法定代表人资格证明书，委托代理人投标须提供法定代表人授权委托书</w:t>
            </w:r>
          </w:p>
        </w:tc>
        <w:tc>
          <w:tcPr>
            <w:tcW w:w="870" w:type="dxa"/>
            <w:noWrap w:val="0"/>
            <w:vAlign w:val="top"/>
          </w:tcPr>
          <w:p w14:paraId="256C0ACC">
            <w:pPr>
              <w:shd w:val="clear" w:color="auto" w:fill="auto"/>
              <w:rPr>
                <w:rFonts w:hint="eastAsia" w:ascii="宋体" w:hAnsi="宋体" w:eastAsia="宋体" w:cs="宋体"/>
                <w:color w:val="auto"/>
                <w:sz w:val="24"/>
                <w:szCs w:val="24"/>
                <w:highlight w:val="none"/>
              </w:rPr>
            </w:pPr>
          </w:p>
        </w:tc>
        <w:tc>
          <w:tcPr>
            <w:tcW w:w="840" w:type="dxa"/>
            <w:noWrap w:val="0"/>
            <w:vAlign w:val="top"/>
          </w:tcPr>
          <w:p w14:paraId="79FADF8E">
            <w:pPr>
              <w:shd w:val="clear" w:color="auto" w:fill="auto"/>
              <w:rPr>
                <w:rFonts w:hint="eastAsia" w:ascii="宋体" w:hAnsi="宋体" w:eastAsia="宋体" w:cs="宋体"/>
                <w:color w:val="auto"/>
                <w:sz w:val="24"/>
                <w:szCs w:val="24"/>
                <w:highlight w:val="none"/>
              </w:rPr>
            </w:pPr>
          </w:p>
        </w:tc>
      </w:tr>
      <w:tr w14:paraId="32BD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1" w:type="dxa"/>
            <w:vMerge w:val="continue"/>
            <w:noWrap w:val="0"/>
            <w:vAlign w:val="center"/>
          </w:tcPr>
          <w:p w14:paraId="6AAE007C">
            <w:pPr>
              <w:shd w:val="clear" w:color="auto" w:fill="auto"/>
              <w:rPr>
                <w:rFonts w:hint="eastAsia" w:ascii="宋体" w:hAnsi="宋体" w:eastAsia="宋体" w:cs="宋体"/>
                <w:color w:val="auto"/>
                <w:sz w:val="24"/>
                <w:szCs w:val="24"/>
                <w:highlight w:val="none"/>
              </w:rPr>
            </w:pPr>
          </w:p>
        </w:tc>
        <w:tc>
          <w:tcPr>
            <w:tcW w:w="547" w:type="dxa"/>
            <w:noWrap w:val="0"/>
            <w:vAlign w:val="center"/>
          </w:tcPr>
          <w:p w14:paraId="73E004E0">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478" w:type="dxa"/>
            <w:noWrap w:val="0"/>
            <w:vAlign w:val="center"/>
          </w:tcPr>
          <w:p w14:paraId="1EF21CBD">
            <w:pPr>
              <w:widowControl/>
              <w:shd w:val="clear" w:color="auto" w:fill="auto"/>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投标</w:t>
            </w:r>
            <w:r>
              <w:rPr>
                <w:rFonts w:hint="eastAsia" w:ascii="宋体" w:hAnsi="宋体" w:eastAsia="宋体" w:cs="宋体"/>
                <w:color w:val="auto"/>
                <w:kern w:val="0"/>
                <w:sz w:val="24"/>
                <w:szCs w:val="24"/>
                <w:highlight w:val="none"/>
                <w:lang w:bidi="ar"/>
              </w:rPr>
              <w:t>保证金</w:t>
            </w:r>
            <w:r>
              <w:rPr>
                <w:rFonts w:hint="eastAsia" w:ascii="宋体" w:hAnsi="宋体" w:eastAsia="宋体" w:cs="宋体"/>
                <w:color w:val="auto"/>
                <w:kern w:val="0"/>
                <w:sz w:val="24"/>
                <w:szCs w:val="24"/>
                <w:highlight w:val="none"/>
                <w:lang w:eastAsia="zh-CN" w:bidi="ar"/>
              </w:rPr>
              <w:t>汇款凭证或</w:t>
            </w:r>
            <w:r>
              <w:rPr>
                <w:rFonts w:hint="eastAsia" w:ascii="宋体" w:hAnsi="宋体" w:eastAsia="宋体" w:cs="宋体"/>
                <w:color w:val="auto"/>
                <w:kern w:val="0"/>
                <w:sz w:val="24"/>
                <w:szCs w:val="24"/>
                <w:highlight w:val="none"/>
                <w:lang w:val="en-US" w:eastAsia="zh-CN" w:bidi="ar"/>
              </w:rPr>
              <w:t>投标担保函</w:t>
            </w:r>
          </w:p>
        </w:tc>
        <w:tc>
          <w:tcPr>
            <w:tcW w:w="870" w:type="dxa"/>
            <w:noWrap w:val="0"/>
            <w:vAlign w:val="top"/>
          </w:tcPr>
          <w:p w14:paraId="0427F1A3">
            <w:pPr>
              <w:shd w:val="clear" w:color="auto" w:fill="auto"/>
              <w:rPr>
                <w:rFonts w:hint="eastAsia" w:ascii="宋体" w:hAnsi="宋体" w:eastAsia="宋体" w:cs="宋体"/>
                <w:color w:val="auto"/>
                <w:sz w:val="24"/>
                <w:szCs w:val="24"/>
                <w:highlight w:val="none"/>
              </w:rPr>
            </w:pPr>
          </w:p>
        </w:tc>
        <w:tc>
          <w:tcPr>
            <w:tcW w:w="840" w:type="dxa"/>
            <w:noWrap w:val="0"/>
            <w:vAlign w:val="top"/>
          </w:tcPr>
          <w:p w14:paraId="76864711">
            <w:pPr>
              <w:shd w:val="clear" w:color="auto" w:fill="auto"/>
              <w:rPr>
                <w:rFonts w:hint="eastAsia" w:ascii="宋体" w:hAnsi="宋体" w:eastAsia="宋体" w:cs="宋体"/>
                <w:color w:val="auto"/>
                <w:sz w:val="24"/>
                <w:szCs w:val="24"/>
                <w:highlight w:val="none"/>
              </w:rPr>
            </w:pPr>
          </w:p>
        </w:tc>
      </w:tr>
      <w:tr w14:paraId="5442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81" w:type="dxa"/>
            <w:vMerge w:val="continue"/>
            <w:noWrap w:val="0"/>
            <w:vAlign w:val="center"/>
          </w:tcPr>
          <w:p w14:paraId="118C7913">
            <w:pPr>
              <w:shd w:val="clear" w:color="auto" w:fill="auto"/>
              <w:rPr>
                <w:rFonts w:hint="eastAsia" w:ascii="宋体" w:hAnsi="宋体" w:eastAsia="宋体" w:cs="宋体"/>
                <w:color w:val="auto"/>
                <w:sz w:val="24"/>
                <w:szCs w:val="24"/>
                <w:highlight w:val="none"/>
              </w:rPr>
            </w:pPr>
          </w:p>
        </w:tc>
        <w:tc>
          <w:tcPr>
            <w:tcW w:w="547" w:type="dxa"/>
            <w:noWrap w:val="0"/>
            <w:vAlign w:val="center"/>
          </w:tcPr>
          <w:p w14:paraId="0401A204">
            <w:pPr>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478" w:type="dxa"/>
            <w:noWrap w:val="0"/>
            <w:vAlign w:val="center"/>
          </w:tcPr>
          <w:p w14:paraId="48DF58EE">
            <w:pPr>
              <w:widowControl/>
              <w:shd w:val="clear" w:color="auto" w:fill="auto"/>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kern w:val="2"/>
                <w:sz w:val="24"/>
                <w:szCs w:val="24"/>
                <w:highlight w:val="none"/>
                <w:lang w:val="en-US" w:eastAsia="zh-CN" w:bidi="ar-SA"/>
              </w:rPr>
              <w:t>投标企业须提供投标人（被授权在职人员）近六个月内任意一个月社保证明</w:t>
            </w:r>
          </w:p>
        </w:tc>
        <w:tc>
          <w:tcPr>
            <w:tcW w:w="870" w:type="dxa"/>
            <w:noWrap w:val="0"/>
            <w:vAlign w:val="top"/>
          </w:tcPr>
          <w:p w14:paraId="0F7B055F">
            <w:pPr>
              <w:shd w:val="clear" w:color="auto" w:fill="auto"/>
              <w:rPr>
                <w:rFonts w:hint="eastAsia" w:ascii="宋体" w:hAnsi="宋体" w:eastAsia="宋体" w:cs="宋体"/>
                <w:color w:val="auto"/>
                <w:sz w:val="24"/>
                <w:szCs w:val="24"/>
                <w:highlight w:val="none"/>
              </w:rPr>
            </w:pPr>
          </w:p>
        </w:tc>
        <w:tc>
          <w:tcPr>
            <w:tcW w:w="840" w:type="dxa"/>
            <w:noWrap w:val="0"/>
            <w:vAlign w:val="top"/>
          </w:tcPr>
          <w:p w14:paraId="66744E78">
            <w:pPr>
              <w:shd w:val="clear" w:color="auto" w:fill="auto"/>
              <w:rPr>
                <w:rFonts w:hint="eastAsia" w:ascii="宋体" w:hAnsi="宋体" w:eastAsia="宋体" w:cs="宋体"/>
                <w:color w:val="auto"/>
                <w:sz w:val="24"/>
                <w:szCs w:val="24"/>
                <w:highlight w:val="none"/>
              </w:rPr>
            </w:pPr>
          </w:p>
        </w:tc>
      </w:tr>
      <w:tr w14:paraId="3B51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881" w:type="dxa"/>
            <w:vMerge w:val="continue"/>
            <w:noWrap w:val="0"/>
            <w:vAlign w:val="center"/>
          </w:tcPr>
          <w:p w14:paraId="3B7B1B8B">
            <w:pPr>
              <w:shd w:val="clear" w:color="auto" w:fill="auto"/>
              <w:rPr>
                <w:rFonts w:hint="eastAsia" w:ascii="宋体" w:hAnsi="宋体" w:eastAsia="宋体" w:cs="宋体"/>
                <w:color w:val="auto"/>
                <w:sz w:val="24"/>
                <w:szCs w:val="24"/>
                <w:highlight w:val="none"/>
              </w:rPr>
            </w:pPr>
          </w:p>
        </w:tc>
        <w:tc>
          <w:tcPr>
            <w:tcW w:w="547" w:type="dxa"/>
            <w:noWrap w:val="0"/>
            <w:vAlign w:val="center"/>
          </w:tcPr>
          <w:p w14:paraId="686DFC35">
            <w:pPr>
              <w:widowControl/>
              <w:shd w:val="clear" w:color="auto" w:fill="auto"/>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p w14:paraId="7D18CC96">
            <w:pPr>
              <w:widowControl/>
              <w:shd w:val="clear" w:color="auto" w:fill="auto"/>
              <w:jc w:val="center"/>
              <w:textAlignment w:val="center"/>
              <w:rPr>
                <w:rFonts w:hint="eastAsia" w:ascii="宋体" w:hAnsi="宋体" w:eastAsia="宋体" w:cs="宋体"/>
                <w:b w:val="0"/>
                <w:bCs w:val="0"/>
                <w:sz w:val="24"/>
                <w:szCs w:val="24"/>
                <w:lang w:val="en-US" w:eastAsia="zh-CN"/>
              </w:rPr>
            </w:pPr>
          </w:p>
        </w:tc>
        <w:tc>
          <w:tcPr>
            <w:tcW w:w="6478" w:type="dxa"/>
            <w:noWrap w:val="0"/>
            <w:vAlign w:val="center"/>
          </w:tcPr>
          <w:p w14:paraId="62538852">
            <w:pPr>
              <w:widowControl/>
              <w:shd w:val="clear" w:color="auto" w:fill="auto"/>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加政府采购活动前三年内，在经营活动中没有重大违法记录（自行承诺）；未被“信用中国”（www.creditchina.gov.cn）、中国政府采购网（www.ccgp.gov.cn）列入失信被执行人、税收违法黑名单、政府采购严重违法失信行为记录名单</w:t>
            </w:r>
          </w:p>
        </w:tc>
        <w:tc>
          <w:tcPr>
            <w:tcW w:w="870" w:type="dxa"/>
            <w:noWrap w:val="0"/>
            <w:vAlign w:val="top"/>
          </w:tcPr>
          <w:p w14:paraId="30725CE6">
            <w:pPr>
              <w:shd w:val="clear" w:color="auto" w:fill="auto"/>
              <w:rPr>
                <w:rFonts w:hint="eastAsia" w:ascii="宋体" w:hAnsi="宋体" w:eastAsia="宋体" w:cs="宋体"/>
                <w:color w:val="auto"/>
                <w:sz w:val="24"/>
                <w:szCs w:val="24"/>
                <w:highlight w:val="none"/>
              </w:rPr>
            </w:pPr>
          </w:p>
        </w:tc>
        <w:tc>
          <w:tcPr>
            <w:tcW w:w="840" w:type="dxa"/>
            <w:noWrap w:val="0"/>
            <w:vAlign w:val="top"/>
          </w:tcPr>
          <w:p w14:paraId="704B349E">
            <w:pPr>
              <w:shd w:val="clear" w:color="auto" w:fill="auto"/>
              <w:rPr>
                <w:rFonts w:hint="eastAsia" w:ascii="宋体" w:hAnsi="宋体" w:eastAsia="宋体" w:cs="宋体"/>
                <w:color w:val="auto"/>
                <w:sz w:val="24"/>
                <w:szCs w:val="24"/>
                <w:highlight w:val="none"/>
              </w:rPr>
            </w:pPr>
          </w:p>
        </w:tc>
      </w:tr>
      <w:tr w14:paraId="25F3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81" w:type="dxa"/>
            <w:vMerge w:val="continue"/>
            <w:noWrap w:val="0"/>
            <w:vAlign w:val="center"/>
          </w:tcPr>
          <w:p w14:paraId="3700A079">
            <w:pPr>
              <w:shd w:val="clear" w:color="auto" w:fill="auto"/>
              <w:rPr>
                <w:rFonts w:hint="eastAsia" w:ascii="宋体" w:hAnsi="宋体" w:eastAsia="宋体" w:cs="宋体"/>
                <w:color w:val="auto"/>
                <w:sz w:val="24"/>
                <w:szCs w:val="24"/>
                <w:highlight w:val="none"/>
              </w:rPr>
            </w:pPr>
          </w:p>
        </w:tc>
        <w:tc>
          <w:tcPr>
            <w:tcW w:w="547" w:type="dxa"/>
            <w:noWrap w:val="0"/>
            <w:vAlign w:val="center"/>
          </w:tcPr>
          <w:p w14:paraId="1DCD24AB">
            <w:pPr>
              <w:widowControl/>
              <w:shd w:val="clear" w:color="auto" w:fill="auto"/>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6478" w:type="dxa"/>
            <w:noWrap w:val="0"/>
            <w:vAlign w:val="center"/>
          </w:tcPr>
          <w:p w14:paraId="3FB108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投标人须具备：①城市及道路照明工程专业承包壹级资质或市政公用工程施工总承包贰级资质及以上资质和有效的《安全生产许可证》；②照明工程设计专项甲级或工程设计综合设计甲级</w:t>
            </w:r>
          </w:p>
          <w:p w14:paraId="6E3658D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highlight w:val="none"/>
                <w:lang w:val="en-US" w:eastAsia="zh-CN" w:bidi="ar-SA"/>
              </w:rPr>
              <w:t>项目负责人须具备：机电工程专业贰级注册建造师执业资，并持有项目负责人安全生产考核合格证（B 类）</w:t>
            </w:r>
          </w:p>
        </w:tc>
        <w:tc>
          <w:tcPr>
            <w:tcW w:w="870" w:type="dxa"/>
            <w:noWrap w:val="0"/>
            <w:vAlign w:val="top"/>
          </w:tcPr>
          <w:p w14:paraId="64BD8488">
            <w:pPr>
              <w:shd w:val="clear" w:color="auto" w:fill="auto"/>
              <w:rPr>
                <w:rFonts w:hint="eastAsia" w:ascii="宋体" w:hAnsi="宋体" w:eastAsia="宋体" w:cs="宋体"/>
                <w:color w:val="auto"/>
                <w:sz w:val="24"/>
                <w:szCs w:val="24"/>
                <w:highlight w:val="none"/>
              </w:rPr>
            </w:pPr>
          </w:p>
        </w:tc>
        <w:tc>
          <w:tcPr>
            <w:tcW w:w="840" w:type="dxa"/>
            <w:noWrap w:val="0"/>
            <w:vAlign w:val="top"/>
          </w:tcPr>
          <w:p w14:paraId="7805A3E6">
            <w:pPr>
              <w:shd w:val="clear" w:color="auto" w:fill="auto"/>
              <w:rPr>
                <w:rFonts w:hint="eastAsia" w:ascii="宋体" w:hAnsi="宋体" w:eastAsia="宋体" w:cs="宋体"/>
                <w:color w:val="auto"/>
                <w:sz w:val="24"/>
                <w:szCs w:val="24"/>
                <w:highlight w:val="none"/>
              </w:rPr>
            </w:pPr>
          </w:p>
        </w:tc>
      </w:tr>
      <w:tr w14:paraId="2A37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1" w:type="dxa"/>
            <w:vMerge w:val="continue"/>
            <w:noWrap w:val="0"/>
            <w:vAlign w:val="center"/>
          </w:tcPr>
          <w:p w14:paraId="7E4FF85A">
            <w:pPr>
              <w:shd w:val="clear" w:color="auto" w:fill="auto"/>
              <w:rPr>
                <w:rFonts w:hint="eastAsia" w:ascii="宋体" w:hAnsi="宋体" w:eastAsia="宋体" w:cs="宋体"/>
                <w:color w:val="auto"/>
                <w:sz w:val="24"/>
                <w:szCs w:val="24"/>
                <w:highlight w:val="none"/>
              </w:rPr>
            </w:pPr>
          </w:p>
        </w:tc>
        <w:tc>
          <w:tcPr>
            <w:tcW w:w="547" w:type="dxa"/>
            <w:noWrap w:val="0"/>
            <w:vAlign w:val="center"/>
          </w:tcPr>
          <w:p w14:paraId="3D715D03">
            <w:pPr>
              <w:widowControl/>
              <w:shd w:val="clear" w:color="auto" w:fill="auto"/>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6478" w:type="dxa"/>
            <w:noWrap w:val="0"/>
            <w:vAlign w:val="center"/>
          </w:tcPr>
          <w:p w14:paraId="4BF0D7C3">
            <w:pPr>
              <w:widowControl/>
              <w:shd w:val="clear" w:color="auto" w:fill="auto"/>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中小企业声明函</w:t>
            </w:r>
          </w:p>
        </w:tc>
        <w:tc>
          <w:tcPr>
            <w:tcW w:w="870" w:type="dxa"/>
            <w:noWrap w:val="0"/>
            <w:vAlign w:val="top"/>
          </w:tcPr>
          <w:p w14:paraId="6A5578F6">
            <w:pPr>
              <w:shd w:val="clear" w:color="auto" w:fill="auto"/>
              <w:rPr>
                <w:rFonts w:hint="eastAsia" w:ascii="宋体" w:hAnsi="宋体" w:eastAsia="宋体" w:cs="宋体"/>
                <w:color w:val="auto"/>
                <w:sz w:val="24"/>
                <w:szCs w:val="24"/>
                <w:highlight w:val="none"/>
              </w:rPr>
            </w:pPr>
          </w:p>
        </w:tc>
        <w:tc>
          <w:tcPr>
            <w:tcW w:w="840" w:type="dxa"/>
            <w:noWrap w:val="0"/>
            <w:vAlign w:val="top"/>
          </w:tcPr>
          <w:p w14:paraId="7E76319E">
            <w:pPr>
              <w:shd w:val="clear" w:color="auto" w:fill="auto"/>
              <w:rPr>
                <w:rFonts w:hint="eastAsia" w:ascii="宋体" w:hAnsi="宋体" w:eastAsia="宋体" w:cs="宋体"/>
                <w:color w:val="auto"/>
                <w:sz w:val="24"/>
                <w:szCs w:val="24"/>
                <w:highlight w:val="none"/>
              </w:rPr>
            </w:pPr>
          </w:p>
        </w:tc>
      </w:tr>
      <w:tr w14:paraId="7480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1" w:type="dxa"/>
            <w:noWrap w:val="0"/>
            <w:vAlign w:val="center"/>
          </w:tcPr>
          <w:p w14:paraId="77B3FCE0">
            <w:pPr>
              <w:shd w:val="clear" w:color="auto" w:fill="auto"/>
              <w:rPr>
                <w:rFonts w:hint="eastAsia" w:ascii="宋体" w:hAnsi="宋体" w:eastAsia="宋体" w:cs="宋体"/>
                <w:color w:val="auto"/>
                <w:sz w:val="24"/>
                <w:szCs w:val="24"/>
                <w:highlight w:val="none"/>
              </w:rPr>
            </w:pPr>
          </w:p>
        </w:tc>
        <w:tc>
          <w:tcPr>
            <w:tcW w:w="547" w:type="dxa"/>
            <w:noWrap w:val="0"/>
            <w:vAlign w:val="center"/>
          </w:tcPr>
          <w:p w14:paraId="20F664CD">
            <w:pPr>
              <w:widowControl/>
              <w:shd w:val="clear" w:color="auto" w:fill="auto"/>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6478" w:type="dxa"/>
            <w:noWrap w:val="0"/>
            <w:vAlign w:val="center"/>
          </w:tcPr>
          <w:p w14:paraId="79A111A0">
            <w:pPr>
              <w:widowControl/>
              <w:shd w:val="clear" w:color="auto" w:fill="auto"/>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提供近半年内任意一个月财务报表或上年度财务审计报告（财务报表应至少包括资产负债表、利润表、现金流量表或财务状况变动表， 当月新成立公司不需提供）</w:t>
            </w:r>
          </w:p>
        </w:tc>
        <w:tc>
          <w:tcPr>
            <w:tcW w:w="870" w:type="dxa"/>
            <w:noWrap w:val="0"/>
            <w:vAlign w:val="top"/>
          </w:tcPr>
          <w:p w14:paraId="1291D012">
            <w:pPr>
              <w:shd w:val="clear" w:color="auto" w:fill="auto"/>
              <w:rPr>
                <w:rFonts w:hint="eastAsia" w:ascii="宋体" w:hAnsi="宋体" w:eastAsia="宋体" w:cs="宋体"/>
                <w:color w:val="auto"/>
                <w:sz w:val="24"/>
                <w:szCs w:val="24"/>
                <w:highlight w:val="none"/>
              </w:rPr>
            </w:pPr>
          </w:p>
        </w:tc>
        <w:tc>
          <w:tcPr>
            <w:tcW w:w="840" w:type="dxa"/>
            <w:noWrap w:val="0"/>
            <w:vAlign w:val="top"/>
          </w:tcPr>
          <w:p w14:paraId="37F9BF80">
            <w:pPr>
              <w:shd w:val="clear" w:color="auto" w:fill="auto"/>
              <w:rPr>
                <w:rFonts w:hint="eastAsia" w:ascii="宋体" w:hAnsi="宋体" w:eastAsia="宋体" w:cs="宋体"/>
                <w:color w:val="auto"/>
                <w:sz w:val="24"/>
                <w:szCs w:val="24"/>
                <w:highlight w:val="none"/>
              </w:rPr>
            </w:pPr>
          </w:p>
        </w:tc>
      </w:tr>
      <w:tr w14:paraId="3F72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14:paraId="274FD733">
            <w:pPr>
              <w:widowControl/>
              <w:shd w:val="clear" w:color="auto" w:fill="auto"/>
              <w:jc w:val="left"/>
              <w:textAlignment w:val="center"/>
              <w:rPr>
                <w:rFonts w:hint="eastAsia" w:ascii="宋体" w:hAnsi="宋体" w:eastAsia="宋体" w:cs="宋体"/>
                <w:b w:val="0"/>
                <w:bCs w:val="0"/>
                <w:sz w:val="24"/>
                <w:szCs w:val="24"/>
                <w:lang w:val="en-US" w:eastAsia="zh-CN"/>
              </w:rPr>
            </w:pPr>
          </w:p>
        </w:tc>
        <w:tc>
          <w:tcPr>
            <w:tcW w:w="7025" w:type="dxa"/>
            <w:gridSpan w:val="2"/>
            <w:noWrap w:val="0"/>
            <w:vAlign w:val="top"/>
          </w:tcPr>
          <w:p w14:paraId="195B4F14">
            <w:pPr>
              <w:widowControl/>
              <w:shd w:val="clear" w:color="auto" w:fill="auto"/>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结论：是否通过评审（须填写通过或不通过）</w:t>
            </w:r>
          </w:p>
          <w:p w14:paraId="6FE175E0">
            <w:pPr>
              <w:widowControl/>
              <w:shd w:val="clear" w:color="auto" w:fill="auto"/>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注：如有一项不合格，作废标处理。</w:t>
            </w:r>
          </w:p>
        </w:tc>
        <w:tc>
          <w:tcPr>
            <w:tcW w:w="1710" w:type="dxa"/>
            <w:gridSpan w:val="2"/>
            <w:noWrap w:val="0"/>
            <w:vAlign w:val="top"/>
          </w:tcPr>
          <w:p w14:paraId="2D6E2662">
            <w:pPr>
              <w:shd w:val="clear" w:color="auto" w:fill="auto"/>
              <w:rPr>
                <w:rFonts w:hint="eastAsia" w:ascii="宋体" w:hAnsi="宋体" w:eastAsia="宋体" w:cs="宋体"/>
                <w:b w:val="0"/>
                <w:bCs w:val="0"/>
                <w:sz w:val="24"/>
                <w:szCs w:val="24"/>
                <w:lang w:val="en-US" w:eastAsia="zh-CN"/>
              </w:rPr>
            </w:pPr>
          </w:p>
        </w:tc>
      </w:tr>
    </w:tbl>
    <w:p w14:paraId="1F266B31">
      <w:pPr>
        <w:shd w:val="clear" w:color="auto" w:fill="auto"/>
        <w:spacing w:line="400" w:lineRule="exact"/>
        <w:rPr>
          <w:rFonts w:hint="eastAsia" w:ascii="宋体" w:hAnsi="宋体" w:eastAsia="宋体" w:cs="宋体"/>
          <w:b/>
          <w:color w:val="auto"/>
          <w:sz w:val="24"/>
          <w:szCs w:val="24"/>
          <w:highlight w:val="none"/>
          <w:lang w:val="en-US" w:eastAsia="zh-CN"/>
        </w:rPr>
      </w:pPr>
    </w:p>
    <w:p w14:paraId="6585B4F0">
      <w:pPr>
        <w:shd w:val="clear" w:color="auto" w:fill="auto"/>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6.2</w:t>
      </w:r>
      <w:r>
        <w:rPr>
          <w:rFonts w:hint="eastAsia" w:ascii="宋体" w:hAnsi="宋体" w:eastAsia="宋体" w:cs="宋体"/>
          <w:b/>
          <w:color w:val="auto"/>
          <w:sz w:val="24"/>
          <w:szCs w:val="24"/>
          <w:highlight w:val="none"/>
        </w:rPr>
        <w:t>如评标专家在检验电子标书过程中，如果由于投标人自身原因导致评标专家无法查看并检验电子标书中以上相关资料的，否决其投标。即使投标单位将原件携带至现场的，同样按无效投标处理。</w:t>
      </w:r>
    </w:p>
    <w:p w14:paraId="441E8722">
      <w:pPr>
        <w:shd w:val="clear" w:color="auto" w:fill="auto"/>
        <w:spacing w:before="156" w:beforeLines="50" w:line="440" w:lineRule="exact"/>
        <w:ind w:firstLine="310" w:firstLineChars="147"/>
        <w:rPr>
          <w:rFonts w:hint="eastAsia" w:ascii="宋体" w:hAnsi="宋体" w:eastAsia="宋体" w:cs="宋体"/>
          <w:b/>
          <w:color w:val="auto"/>
          <w:szCs w:val="21"/>
          <w:highlight w:val="none"/>
          <w:lang w:val="en-US" w:eastAsia="zh-CN"/>
        </w:rPr>
      </w:pPr>
    </w:p>
    <w:p w14:paraId="7DCB8187">
      <w:pPr>
        <w:rPr>
          <w:rFonts w:hint="eastAsia" w:ascii="宋体" w:hAnsi="宋体" w:eastAsia="宋体" w:cs="宋体"/>
          <w:b/>
          <w:color w:val="auto"/>
          <w:szCs w:val="21"/>
          <w:highlight w:val="none"/>
          <w:lang w:val="en-US" w:eastAsia="zh-CN"/>
        </w:rPr>
      </w:pPr>
    </w:p>
    <w:p w14:paraId="0D7A1022">
      <w:pPr>
        <w:rPr>
          <w:rFonts w:hint="eastAsia" w:ascii="宋体" w:hAnsi="宋体" w:eastAsia="宋体" w:cs="宋体"/>
          <w:b/>
          <w:color w:val="auto"/>
          <w:szCs w:val="21"/>
          <w:highlight w:val="none"/>
          <w:lang w:val="en-US" w:eastAsia="zh-CN"/>
        </w:rPr>
      </w:pPr>
    </w:p>
    <w:p w14:paraId="610267EA">
      <w:pPr>
        <w:rPr>
          <w:rFonts w:hint="eastAsia" w:ascii="宋体" w:hAnsi="宋体" w:eastAsia="宋体" w:cs="宋体"/>
          <w:b/>
          <w:color w:val="auto"/>
          <w:szCs w:val="21"/>
          <w:highlight w:val="none"/>
          <w:lang w:val="en-US" w:eastAsia="zh-CN"/>
        </w:rPr>
      </w:pPr>
    </w:p>
    <w:p w14:paraId="1FA80D90">
      <w:pPr>
        <w:shd w:val="clear" w:color="auto" w:fill="auto"/>
        <w:spacing w:before="156" w:beforeLines="50" w:line="440" w:lineRule="exact"/>
        <w:rPr>
          <w:rFonts w:hint="eastAsia" w:ascii="宋体" w:hAnsi="宋体" w:eastAsia="宋体" w:cs="宋体"/>
          <w:b/>
          <w:bCs w:val="0"/>
          <w:color w:val="auto"/>
          <w:sz w:val="24"/>
          <w:szCs w:val="24"/>
          <w:highlight w:val="none"/>
          <w:lang w:val="en-US" w:eastAsia="zh-CN"/>
        </w:rPr>
      </w:pPr>
    </w:p>
    <w:p w14:paraId="6F5AF186">
      <w:pPr>
        <w:shd w:val="clear" w:color="auto" w:fill="auto"/>
        <w:spacing w:before="156" w:beforeLines="50" w:line="440" w:lineRule="exac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rPr>
        <w:t>符合性审查</w:t>
      </w:r>
    </w:p>
    <w:p w14:paraId="28537CE6">
      <w:pPr>
        <w:shd w:val="clear" w:color="auto" w:fill="auto"/>
        <w:spacing w:before="156" w:beforeLines="5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rPr>
        <w:t>评审细则</w:t>
      </w:r>
    </w:p>
    <w:tbl>
      <w:tblPr>
        <w:tblStyle w:val="15"/>
        <w:tblpPr w:leftFromText="180" w:rightFromText="180" w:vertAnchor="text" w:horzAnchor="page" w:tblpX="1230" w:tblpY="128"/>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3"/>
        <w:gridCol w:w="720"/>
        <w:gridCol w:w="6516"/>
        <w:gridCol w:w="626"/>
        <w:gridCol w:w="740"/>
      </w:tblGrid>
      <w:tr w14:paraId="3A906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833" w:type="dxa"/>
            <w:tcBorders>
              <w:top w:val="single" w:color="auto" w:sz="4" w:space="0"/>
              <w:left w:val="single" w:color="auto" w:sz="4" w:space="0"/>
            </w:tcBorders>
            <w:noWrap w:val="0"/>
            <w:vAlign w:val="center"/>
          </w:tcPr>
          <w:p w14:paraId="57BBFAE3">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7236" w:type="dxa"/>
            <w:gridSpan w:val="2"/>
            <w:tcBorders>
              <w:top w:val="single" w:color="auto" w:sz="4" w:space="0"/>
            </w:tcBorders>
            <w:noWrap w:val="0"/>
            <w:vAlign w:val="center"/>
          </w:tcPr>
          <w:p w14:paraId="2FBE9B38">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评审内容</w:t>
            </w:r>
          </w:p>
        </w:tc>
        <w:tc>
          <w:tcPr>
            <w:tcW w:w="1366" w:type="dxa"/>
            <w:gridSpan w:val="2"/>
            <w:tcBorders>
              <w:top w:val="single" w:color="auto" w:sz="4" w:space="0"/>
              <w:right w:val="single" w:color="auto" w:sz="4" w:space="0"/>
            </w:tcBorders>
            <w:noWrap w:val="0"/>
            <w:vAlign w:val="center"/>
          </w:tcPr>
          <w:p w14:paraId="2EA00125">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评审意见</w:t>
            </w:r>
          </w:p>
        </w:tc>
      </w:tr>
      <w:tr w14:paraId="1D4FD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33" w:type="dxa"/>
            <w:tcBorders>
              <w:left w:val="single" w:color="auto" w:sz="4" w:space="0"/>
              <w:bottom w:val="single" w:color="auto" w:sz="4" w:space="0"/>
            </w:tcBorders>
            <w:noWrap w:val="0"/>
            <w:vAlign w:val="center"/>
          </w:tcPr>
          <w:p w14:paraId="4EC79DF4">
            <w:pPr>
              <w:shd w:val="clear" w:color="auto" w:fill="auto"/>
              <w:rPr>
                <w:rFonts w:hint="eastAsia" w:ascii="宋体" w:hAnsi="宋体" w:eastAsia="宋体" w:cs="宋体"/>
                <w:b w:val="0"/>
                <w:bCs/>
                <w:color w:val="auto"/>
                <w:sz w:val="24"/>
                <w:szCs w:val="24"/>
                <w:highlight w:val="none"/>
              </w:rPr>
            </w:pPr>
          </w:p>
        </w:tc>
        <w:tc>
          <w:tcPr>
            <w:tcW w:w="7236" w:type="dxa"/>
            <w:gridSpan w:val="2"/>
            <w:tcBorders>
              <w:bottom w:val="single" w:color="auto" w:sz="4" w:space="0"/>
            </w:tcBorders>
            <w:noWrap w:val="0"/>
            <w:vAlign w:val="top"/>
          </w:tcPr>
          <w:p w14:paraId="0D4D2D57">
            <w:pPr>
              <w:shd w:val="clear" w:color="auto" w:fill="auto"/>
              <w:rPr>
                <w:rFonts w:hint="eastAsia" w:ascii="宋体" w:hAnsi="宋体" w:eastAsia="宋体" w:cs="宋体"/>
                <w:b w:val="0"/>
                <w:bCs/>
                <w:color w:val="auto"/>
                <w:sz w:val="24"/>
                <w:szCs w:val="24"/>
                <w:highlight w:val="none"/>
              </w:rPr>
            </w:pPr>
          </w:p>
        </w:tc>
        <w:tc>
          <w:tcPr>
            <w:tcW w:w="626" w:type="dxa"/>
            <w:noWrap w:val="0"/>
            <w:vAlign w:val="center"/>
          </w:tcPr>
          <w:p w14:paraId="661AF624">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40" w:type="dxa"/>
            <w:tcBorders>
              <w:right w:val="single" w:color="auto" w:sz="4" w:space="0"/>
            </w:tcBorders>
            <w:noWrap w:val="0"/>
            <w:vAlign w:val="center"/>
          </w:tcPr>
          <w:p w14:paraId="6104FDD1">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13BD8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833" w:type="dxa"/>
            <w:vMerge w:val="restart"/>
            <w:tcBorders>
              <w:top w:val="single" w:color="auto" w:sz="4" w:space="0"/>
              <w:left w:val="single" w:color="auto" w:sz="4" w:space="0"/>
              <w:right w:val="single" w:color="auto" w:sz="4" w:space="0"/>
            </w:tcBorders>
            <w:noWrap w:val="0"/>
            <w:vAlign w:val="center"/>
          </w:tcPr>
          <w:p w14:paraId="3C3A5C37">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审</w:t>
            </w:r>
          </w:p>
          <w:p w14:paraId="13D67E45">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查</w:t>
            </w:r>
          </w:p>
          <w:p w14:paraId="21FF8767">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标</w:t>
            </w:r>
          </w:p>
          <w:p w14:paraId="4445B6A7">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准</w:t>
            </w:r>
          </w:p>
        </w:tc>
        <w:tc>
          <w:tcPr>
            <w:tcW w:w="720" w:type="dxa"/>
            <w:tcBorders>
              <w:top w:val="single" w:color="auto" w:sz="4" w:space="0"/>
              <w:left w:val="single" w:color="auto" w:sz="4" w:space="0"/>
              <w:right w:val="single" w:color="auto" w:sz="4" w:space="0"/>
            </w:tcBorders>
            <w:noWrap w:val="0"/>
            <w:vAlign w:val="center"/>
          </w:tcPr>
          <w:p w14:paraId="2670F363">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6516" w:type="dxa"/>
            <w:tcBorders>
              <w:top w:val="single" w:color="auto" w:sz="4" w:space="0"/>
              <w:left w:val="single" w:color="auto" w:sz="4" w:space="0"/>
              <w:right w:val="single" w:color="auto" w:sz="4" w:space="0"/>
            </w:tcBorders>
            <w:noWrap w:val="0"/>
            <w:vAlign w:val="center"/>
          </w:tcPr>
          <w:p w14:paraId="0DFBA9FA">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sz w:val="24"/>
                <w:szCs w:val="24"/>
              </w:rPr>
              <w:t>由政府立项核准、审批的采购项目,</w:t>
            </w:r>
            <w:r>
              <w:rPr>
                <w:rFonts w:hint="eastAsia" w:ascii="宋体" w:hAnsi="宋体" w:eastAsia="宋体" w:cs="宋体"/>
                <w:sz w:val="24"/>
                <w:szCs w:val="24"/>
                <w:lang w:val="en-US" w:eastAsia="zh-CN"/>
              </w:rPr>
              <w:t>投标报价未高于设定的采购最高限价的</w:t>
            </w:r>
          </w:p>
        </w:tc>
        <w:tc>
          <w:tcPr>
            <w:tcW w:w="626" w:type="dxa"/>
            <w:tcBorders>
              <w:left w:val="single" w:color="auto" w:sz="4" w:space="0"/>
              <w:right w:val="single" w:color="auto" w:sz="4" w:space="0"/>
            </w:tcBorders>
            <w:noWrap w:val="0"/>
            <w:vAlign w:val="top"/>
          </w:tcPr>
          <w:p w14:paraId="224172C8">
            <w:pPr>
              <w:shd w:val="clear" w:color="auto" w:fill="auto"/>
              <w:jc w:val="center"/>
              <w:rPr>
                <w:rFonts w:hint="eastAsia" w:ascii="宋体" w:hAnsi="宋体" w:eastAsia="宋体" w:cs="宋体"/>
                <w:b w:val="0"/>
                <w:bCs/>
                <w:color w:val="auto"/>
                <w:sz w:val="24"/>
                <w:szCs w:val="24"/>
                <w:highlight w:val="none"/>
              </w:rPr>
            </w:pPr>
          </w:p>
        </w:tc>
        <w:tc>
          <w:tcPr>
            <w:tcW w:w="740" w:type="dxa"/>
            <w:tcBorders>
              <w:left w:val="single" w:color="auto" w:sz="4" w:space="0"/>
              <w:right w:val="single" w:color="auto" w:sz="4" w:space="0"/>
            </w:tcBorders>
            <w:noWrap w:val="0"/>
            <w:vAlign w:val="top"/>
          </w:tcPr>
          <w:p w14:paraId="2272F2DC">
            <w:pPr>
              <w:shd w:val="clear" w:color="auto" w:fill="auto"/>
              <w:jc w:val="center"/>
              <w:rPr>
                <w:rFonts w:hint="eastAsia" w:ascii="宋体" w:hAnsi="宋体" w:eastAsia="宋体" w:cs="宋体"/>
                <w:b w:val="0"/>
                <w:bCs/>
                <w:color w:val="auto"/>
                <w:sz w:val="24"/>
                <w:szCs w:val="24"/>
                <w:highlight w:val="none"/>
              </w:rPr>
            </w:pPr>
          </w:p>
        </w:tc>
      </w:tr>
      <w:tr w14:paraId="7E98F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33" w:type="dxa"/>
            <w:vMerge w:val="continue"/>
            <w:tcBorders>
              <w:left w:val="single" w:color="auto" w:sz="4" w:space="0"/>
              <w:right w:val="single" w:color="auto" w:sz="4" w:space="0"/>
            </w:tcBorders>
            <w:noWrap w:val="0"/>
            <w:vAlign w:val="center"/>
          </w:tcPr>
          <w:p w14:paraId="4904B2C2">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BECA241">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516" w:type="dxa"/>
            <w:tcBorders>
              <w:top w:val="single" w:color="auto" w:sz="4" w:space="0"/>
              <w:left w:val="single" w:color="auto" w:sz="4" w:space="0"/>
              <w:bottom w:val="single" w:color="auto" w:sz="4" w:space="0"/>
              <w:right w:val="single" w:color="auto" w:sz="4" w:space="0"/>
            </w:tcBorders>
            <w:noWrap w:val="0"/>
            <w:vAlign w:val="center"/>
          </w:tcPr>
          <w:p w14:paraId="0A5098EB">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法定代表人身份证明及授权委托书有效，且符合</w:t>
            </w:r>
            <w:r>
              <w:rPr>
                <w:rFonts w:hint="eastAsia" w:ascii="宋体" w:hAnsi="宋体" w:eastAsia="宋体" w:cs="宋体"/>
                <w:b w:val="0"/>
                <w:bCs/>
                <w:color w:val="auto"/>
                <w:kern w:val="0"/>
                <w:sz w:val="24"/>
                <w:szCs w:val="24"/>
                <w:highlight w:val="none"/>
                <w:lang w:eastAsia="zh-CN" w:bidi="ar"/>
              </w:rPr>
              <w:t>招标文件</w:t>
            </w:r>
            <w:r>
              <w:rPr>
                <w:rFonts w:hint="eastAsia" w:ascii="宋体" w:hAnsi="宋体" w:eastAsia="宋体" w:cs="宋体"/>
                <w:b w:val="0"/>
                <w:bCs/>
                <w:color w:val="auto"/>
                <w:kern w:val="0"/>
                <w:sz w:val="24"/>
                <w:szCs w:val="24"/>
                <w:highlight w:val="none"/>
                <w:lang w:bidi="ar"/>
              </w:rPr>
              <w:t>规定的格式</w:t>
            </w:r>
          </w:p>
        </w:tc>
        <w:tc>
          <w:tcPr>
            <w:tcW w:w="626" w:type="dxa"/>
            <w:tcBorders>
              <w:left w:val="single" w:color="auto" w:sz="4" w:space="0"/>
            </w:tcBorders>
            <w:noWrap w:val="0"/>
            <w:vAlign w:val="top"/>
          </w:tcPr>
          <w:p w14:paraId="07CE3E0D">
            <w:pPr>
              <w:shd w:val="clear" w:color="auto" w:fill="auto"/>
              <w:rPr>
                <w:rFonts w:hint="eastAsia" w:ascii="宋体" w:hAnsi="宋体" w:eastAsia="宋体" w:cs="宋体"/>
                <w:b w:val="0"/>
                <w:bCs/>
                <w:color w:val="auto"/>
                <w:sz w:val="24"/>
                <w:szCs w:val="24"/>
                <w:highlight w:val="none"/>
              </w:rPr>
            </w:pPr>
          </w:p>
        </w:tc>
        <w:tc>
          <w:tcPr>
            <w:tcW w:w="740" w:type="dxa"/>
            <w:tcBorders>
              <w:right w:val="single" w:color="auto" w:sz="4" w:space="0"/>
            </w:tcBorders>
            <w:noWrap w:val="0"/>
            <w:vAlign w:val="top"/>
          </w:tcPr>
          <w:p w14:paraId="585365B4">
            <w:pPr>
              <w:shd w:val="clear" w:color="auto" w:fill="auto"/>
              <w:rPr>
                <w:rFonts w:hint="eastAsia" w:ascii="宋体" w:hAnsi="宋体" w:eastAsia="宋体" w:cs="宋体"/>
                <w:b w:val="0"/>
                <w:bCs/>
                <w:color w:val="auto"/>
                <w:sz w:val="24"/>
                <w:szCs w:val="24"/>
                <w:highlight w:val="none"/>
              </w:rPr>
            </w:pPr>
          </w:p>
        </w:tc>
      </w:tr>
      <w:tr w14:paraId="5B0DE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33" w:type="dxa"/>
            <w:vMerge w:val="continue"/>
            <w:tcBorders>
              <w:left w:val="single" w:color="auto" w:sz="4" w:space="0"/>
              <w:right w:val="single" w:color="auto" w:sz="4" w:space="0"/>
            </w:tcBorders>
            <w:noWrap w:val="0"/>
            <w:vAlign w:val="center"/>
          </w:tcPr>
          <w:p w14:paraId="0823B1E4">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right w:val="single" w:color="auto" w:sz="4" w:space="0"/>
            </w:tcBorders>
            <w:noWrap w:val="0"/>
            <w:vAlign w:val="center"/>
          </w:tcPr>
          <w:p w14:paraId="65357D46">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6516" w:type="dxa"/>
            <w:tcBorders>
              <w:top w:val="single" w:color="auto" w:sz="4" w:space="0"/>
              <w:left w:val="single" w:color="auto" w:sz="4" w:space="0"/>
              <w:right w:val="single" w:color="auto" w:sz="4" w:space="0"/>
            </w:tcBorders>
            <w:noWrap w:val="0"/>
            <w:vAlign w:val="center"/>
          </w:tcPr>
          <w:p w14:paraId="72730665">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只有一个方案投标</w:t>
            </w:r>
          </w:p>
        </w:tc>
        <w:tc>
          <w:tcPr>
            <w:tcW w:w="626" w:type="dxa"/>
            <w:tcBorders>
              <w:left w:val="single" w:color="auto" w:sz="4" w:space="0"/>
            </w:tcBorders>
            <w:noWrap w:val="0"/>
            <w:vAlign w:val="top"/>
          </w:tcPr>
          <w:p w14:paraId="605754EC">
            <w:pPr>
              <w:shd w:val="clear" w:color="auto" w:fill="auto"/>
              <w:rPr>
                <w:rFonts w:hint="eastAsia" w:ascii="宋体" w:hAnsi="宋体" w:eastAsia="宋体" w:cs="宋体"/>
                <w:b w:val="0"/>
                <w:bCs/>
                <w:color w:val="auto"/>
                <w:sz w:val="24"/>
                <w:szCs w:val="24"/>
                <w:highlight w:val="none"/>
              </w:rPr>
            </w:pPr>
          </w:p>
        </w:tc>
        <w:tc>
          <w:tcPr>
            <w:tcW w:w="740" w:type="dxa"/>
            <w:tcBorders>
              <w:right w:val="single" w:color="auto" w:sz="4" w:space="0"/>
            </w:tcBorders>
            <w:noWrap w:val="0"/>
            <w:vAlign w:val="top"/>
          </w:tcPr>
          <w:p w14:paraId="02131407">
            <w:pPr>
              <w:shd w:val="clear" w:color="auto" w:fill="auto"/>
              <w:rPr>
                <w:rFonts w:hint="eastAsia" w:ascii="宋体" w:hAnsi="宋体" w:eastAsia="宋体" w:cs="宋体"/>
                <w:b w:val="0"/>
                <w:bCs/>
                <w:color w:val="auto"/>
                <w:sz w:val="24"/>
                <w:szCs w:val="24"/>
                <w:highlight w:val="none"/>
              </w:rPr>
            </w:pPr>
          </w:p>
        </w:tc>
      </w:tr>
      <w:tr w14:paraId="229F4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33" w:type="dxa"/>
            <w:vMerge w:val="continue"/>
            <w:tcBorders>
              <w:left w:val="single" w:color="auto" w:sz="4" w:space="0"/>
              <w:right w:val="single" w:color="auto" w:sz="4" w:space="0"/>
            </w:tcBorders>
            <w:noWrap w:val="0"/>
            <w:vAlign w:val="center"/>
          </w:tcPr>
          <w:p w14:paraId="5C06858C">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noWrap w:val="0"/>
            <w:vAlign w:val="center"/>
          </w:tcPr>
          <w:p w14:paraId="05FA7801">
            <w:pPr>
              <w:shd w:val="clear" w:color="auto" w:fill="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p>
        </w:tc>
        <w:tc>
          <w:tcPr>
            <w:tcW w:w="6516" w:type="dxa"/>
            <w:tcBorders>
              <w:right w:val="single" w:color="auto" w:sz="4" w:space="0"/>
            </w:tcBorders>
            <w:noWrap w:val="0"/>
            <w:vAlign w:val="center"/>
          </w:tcPr>
          <w:p w14:paraId="11E6CC0A">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bidi="ar"/>
              </w:rPr>
              <w:t>投标文件</w:t>
            </w:r>
            <w:r>
              <w:rPr>
                <w:rFonts w:hint="eastAsia" w:ascii="宋体" w:hAnsi="宋体" w:eastAsia="宋体" w:cs="宋体"/>
                <w:b w:val="0"/>
                <w:bCs/>
                <w:color w:val="auto"/>
                <w:kern w:val="0"/>
                <w:sz w:val="24"/>
                <w:szCs w:val="24"/>
                <w:highlight w:val="none"/>
                <w:lang w:bidi="ar"/>
              </w:rPr>
              <w:t>内容齐全、无遗漏</w:t>
            </w:r>
          </w:p>
        </w:tc>
        <w:tc>
          <w:tcPr>
            <w:tcW w:w="626" w:type="dxa"/>
            <w:tcBorders>
              <w:left w:val="single" w:color="auto" w:sz="4" w:space="0"/>
            </w:tcBorders>
            <w:noWrap w:val="0"/>
            <w:vAlign w:val="top"/>
          </w:tcPr>
          <w:p w14:paraId="1BCD5053">
            <w:pPr>
              <w:shd w:val="clear" w:color="auto" w:fill="auto"/>
              <w:rPr>
                <w:rFonts w:hint="eastAsia" w:ascii="宋体" w:hAnsi="宋体" w:eastAsia="宋体" w:cs="宋体"/>
                <w:b w:val="0"/>
                <w:bCs/>
                <w:color w:val="auto"/>
                <w:sz w:val="24"/>
                <w:szCs w:val="24"/>
                <w:highlight w:val="none"/>
              </w:rPr>
            </w:pPr>
          </w:p>
        </w:tc>
        <w:tc>
          <w:tcPr>
            <w:tcW w:w="740" w:type="dxa"/>
            <w:tcBorders>
              <w:right w:val="single" w:color="auto" w:sz="4" w:space="0"/>
            </w:tcBorders>
            <w:noWrap w:val="0"/>
            <w:vAlign w:val="top"/>
          </w:tcPr>
          <w:p w14:paraId="44E27D02">
            <w:pPr>
              <w:shd w:val="clear" w:color="auto" w:fill="auto"/>
              <w:rPr>
                <w:rFonts w:hint="eastAsia" w:ascii="宋体" w:hAnsi="宋体" w:eastAsia="宋体" w:cs="宋体"/>
                <w:b w:val="0"/>
                <w:bCs/>
                <w:color w:val="auto"/>
                <w:sz w:val="24"/>
                <w:szCs w:val="24"/>
                <w:highlight w:val="none"/>
              </w:rPr>
            </w:pPr>
          </w:p>
        </w:tc>
      </w:tr>
      <w:tr w14:paraId="20E61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833" w:type="dxa"/>
            <w:vMerge w:val="continue"/>
            <w:tcBorders>
              <w:left w:val="single" w:color="auto" w:sz="4" w:space="0"/>
              <w:right w:val="single" w:color="auto" w:sz="4" w:space="0"/>
            </w:tcBorders>
            <w:noWrap w:val="0"/>
            <w:vAlign w:val="center"/>
          </w:tcPr>
          <w:p w14:paraId="15EB2E6C">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bottom w:val="single" w:color="auto" w:sz="4" w:space="0"/>
            </w:tcBorders>
            <w:noWrap w:val="0"/>
            <w:vAlign w:val="center"/>
          </w:tcPr>
          <w:p w14:paraId="3154BB47">
            <w:pPr>
              <w:shd w:val="clear" w:color="auto" w:fill="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6516" w:type="dxa"/>
            <w:tcBorders>
              <w:bottom w:val="single" w:color="auto" w:sz="4" w:space="0"/>
              <w:right w:val="single" w:color="auto" w:sz="4" w:space="0"/>
            </w:tcBorders>
            <w:noWrap w:val="0"/>
            <w:vAlign w:val="center"/>
          </w:tcPr>
          <w:p w14:paraId="628F12A8">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对</w:t>
            </w:r>
            <w:r>
              <w:rPr>
                <w:rFonts w:hint="eastAsia" w:ascii="宋体" w:hAnsi="宋体" w:eastAsia="宋体" w:cs="宋体"/>
                <w:b w:val="0"/>
                <w:bCs/>
                <w:color w:val="auto"/>
                <w:kern w:val="0"/>
                <w:sz w:val="24"/>
                <w:szCs w:val="24"/>
                <w:highlight w:val="none"/>
                <w:lang w:eastAsia="zh-CN" w:bidi="ar"/>
              </w:rPr>
              <w:t>招标文件</w:t>
            </w:r>
            <w:r>
              <w:rPr>
                <w:rFonts w:hint="eastAsia" w:ascii="宋体" w:hAnsi="宋体" w:eastAsia="宋体" w:cs="宋体"/>
                <w:b w:val="0"/>
                <w:bCs/>
                <w:color w:val="auto"/>
                <w:kern w:val="0"/>
                <w:sz w:val="24"/>
                <w:szCs w:val="24"/>
                <w:highlight w:val="none"/>
                <w:lang w:bidi="ar"/>
              </w:rPr>
              <w:t>规定的招标内容全部作出响应</w:t>
            </w:r>
          </w:p>
        </w:tc>
        <w:tc>
          <w:tcPr>
            <w:tcW w:w="626" w:type="dxa"/>
            <w:tcBorders>
              <w:left w:val="single" w:color="auto" w:sz="4" w:space="0"/>
              <w:bottom w:val="single" w:color="auto" w:sz="4" w:space="0"/>
            </w:tcBorders>
            <w:noWrap w:val="0"/>
            <w:vAlign w:val="top"/>
          </w:tcPr>
          <w:p w14:paraId="24428068">
            <w:pPr>
              <w:shd w:val="clear" w:color="auto" w:fill="auto"/>
              <w:rPr>
                <w:rFonts w:hint="eastAsia" w:ascii="宋体" w:hAnsi="宋体" w:eastAsia="宋体" w:cs="宋体"/>
                <w:b w:val="0"/>
                <w:bCs/>
                <w:color w:val="auto"/>
                <w:sz w:val="24"/>
                <w:szCs w:val="24"/>
                <w:highlight w:val="none"/>
              </w:rPr>
            </w:pPr>
          </w:p>
        </w:tc>
        <w:tc>
          <w:tcPr>
            <w:tcW w:w="740" w:type="dxa"/>
            <w:tcBorders>
              <w:bottom w:val="single" w:color="auto" w:sz="4" w:space="0"/>
              <w:right w:val="single" w:color="auto" w:sz="4" w:space="0"/>
            </w:tcBorders>
            <w:noWrap w:val="0"/>
            <w:vAlign w:val="top"/>
          </w:tcPr>
          <w:p w14:paraId="4720AECB">
            <w:pPr>
              <w:shd w:val="clear" w:color="auto" w:fill="auto"/>
              <w:rPr>
                <w:rFonts w:hint="eastAsia" w:ascii="宋体" w:hAnsi="宋体" w:eastAsia="宋体" w:cs="宋体"/>
                <w:b w:val="0"/>
                <w:bCs/>
                <w:color w:val="auto"/>
                <w:sz w:val="24"/>
                <w:szCs w:val="24"/>
                <w:highlight w:val="none"/>
              </w:rPr>
            </w:pPr>
          </w:p>
        </w:tc>
      </w:tr>
      <w:tr w14:paraId="34EDA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833" w:type="dxa"/>
            <w:vMerge w:val="continue"/>
            <w:tcBorders>
              <w:left w:val="single" w:color="auto" w:sz="4" w:space="0"/>
              <w:right w:val="single" w:color="auto" w:sz="4" w:space="0"/>
            </w:tcBorders>
            <w:noWrap w:val="0"/>
            <w:vAlign w:val="center"/>
          </w:tcPr>
          <w:p w14:paraId="31849458">
            <w:pPr>
              <w:shd w:val="clear" w:color="auto" w:fill="auto"/>
              <w:rPr>
                <w:rFonts w:hint="eastAsia" w:ascii="宋体" w:hAnsi="宋体" w:eastAsia="宋体" w:cs="宋体"/>
                <w:b w:val="0"/>
                <w:bCs/>
                <w:color w:val="auto"/>
                <w:sz w:val="24"/>
                <w:szCs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C454BF3">
            <w:pPr>
              <w:shd w:val="clear" w:color="auto" w:fill="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p>
        </w:tc>
        <w:tc>
          <w:tcPr>
            <w:tcW w:w="6516" w:type="dxa"/>
            <w:tcBorders>
              <w:top w:val="single" w:color="auto" w:sz="4" w:space="0"/>
              <w:left w:val="single" w:color="auto" w:sz="4" w:space="0"/>
              <w:bottom w:val="single" w:color="auto" w:sz="4" w:space="0"/>
              <w:right w:val="single" w:color="auto" w:sz="4" w:space="0"/>
            </w:tcBorders>
            <w:noWrap w:val="0"/>
            <w:vAlign w:val="center"/>
          </w:tcPr>
          <w:p w14:paraId="4242D4D1">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满足</w:t>
            </w:r>
            <w:r>
              <w:rPr>
                <w:rFonts w:hint="eastAsia" w:ascii="宋体" w:hAnsi="宋体" w:eastAsia="宋体" w:cs="宋体"/>
                <w:b w:val="0"/>
                <w:bCs/>
                <w:color w:val="auto"/>
                <w:kern w:val="0"/>
                <w:sz w:val="24"/>
                <w:szCs w:val="24"/>
                <w:highlight w:val="none"/>
                <w:lang w:eastAsia="zh-CN" w:bidi="ar"/>
              </w:rPr>
              <w:t>招标文件</w:t>
            </w:r>
            <w:r>
              <w:rPr>
                <w:rFonts w:hint="eastAsia" w:ascii="宋体" w:hAnsi="宋体" w:eastAsia="宋体" w:cs="宋体"/>
                <w:b w:val="0"/>
                <w:bCs/>
                <w:color w:val="auto"/>
                <w:kern w:val="0"/>
                <w:sz w:val="24"/>
                <w:szCs w:val="24"/>
                <w:highlight w:val="none"/>
                <w:lang w:bidi="ar"/>
              </w:rPr>
              <w:t>提出的技术和质量要求</w:t>
            </w:r>
          </w:p>
        </w:tc>
        <w:tc>
          <w:tcPr>
            <w:tcW w:w="626" w:type="dxa"/>
            <w:tcBorders>
              <w:top w:val="single" w:color="auto" w:sz="4" w:space="0"/>
              <w:left w:val="single" w:color="auto" w:sz="4" w:space="0"/>
              <w:bottom w:val="single" w:color="auto" w:sz="4" w:space="0"/>
              <w:right w:val="single" w:color="auto" w:sz="4" w:space="0"/>
            </w:tcBorders>
            <w:noWrap w:val="0"/>
            <w:vAlign w:val="top"/>
          </w:tcPr>
          <w:p w14:paraId="1B0F7BF7">
            <w:pPr>
              <w:shd w:val="clear" w:color="auto" w:fill="auto"/>
              <w:rPr>
                <w:rFonts w:hint="eastAsia" w:ascii="宋体" w:hAnsi="宋体" w:eastAsia="宋体" w:cs="宋体"/>
                <w:b w:val="0"/>
                <w:bCs/>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64CF7AFC">
            <w:pPr>
              <w:shd w:val="clear" w:color="auto" w:fill="auto"/>
              <w:rPr>
                <w:rFonts w:hint="eastAsia" w:ascii="宋体" w:hAnsi="宋体" w:eastAsia="宋体" w:cs="宋体"/>
                <w:b w:val="0"/>
                <w:bCs/>
                <w:color w:val="auto"/>
                <w:sz w:val="24"/>
                <w:szCs w:val="24"/>
                <w:highlight w:val="none"/>
              </w:rPr>
            </w:pPr>
          </w:p>
        </w:tc>
      </w:tr>
      <w:tr w14:paraId="2A61F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833" w:type="dxa"/>
            <w:vMerge w:val="continue"/>
            <w:tcBorders>
              <w:left w:val="single" w:color="auto" w:sz="4" w:space="0"/>
              <w:right w:val="single" w:color="auto" w:sz="4" w:space="0"/>
            </w:tcBorders>
            <w:noWrap w:val="0"/>
            <w:vAlign w:val="center"/>
          </w:tcPr>
          <w:p w14:paraId="5BB1158F">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noWrap w:val="0"/>
            <w:vAlign w:val="center"/>
          </w:tcPr>
          <w:p w14:paraId="3750BF02">
            <w:pPr>
              <w:shd w:val="clear" w:color="auto" w:fill="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6516" w:type="dxa"/>
            <w:tcBorders>
              <w:right w:val="single" w:color="auto" w:sz="4" w:space="0"/>
            </w:tcBorders>
            <w:noWrap w:val="0"/>
            <w:vAlign w:val="center"/>
          </w:tcPr>
          <w:p w14:paraId="390A6035">
            <w:pPr>
              <w:widowControl/>
              <w:shd w:val="clear" w:color="auto" w:fill="auto"/>
              <w:jc w:val="left"/>
              <w:textAlignment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投标文件未含有采购人不能接受的附加条件</w:t>
            </w:r>
          </w:p>
        </w:tc>
        <w:tc>
          <w:tcPr>
            <w:tcW w:w="626" w:type="dxa"/>
            <w:tcBorders>
              <w:left w:val="single" w:color="auto" w:sz="4" w:space="0"/>
            </w:tcBorders>
            <w:noWrap w:val="0"/>
            <w:vAlign w:val="top"/>
          </w:tcPr>
          <w:p w14:paraId="77204E25">
            <w:pPr>
              <w:shd w:val="clear" w:color="auto" w:fill="auto"/>
              <w:rPr>
                <w:rFonts w:hint="eastAsia" w:ascii="宋体" w:hAnsi="宋体" w:eastAsia="宋体" w:cs="宋体"/>
                <w:b w:val="0"/>
                <w:bCs/>
                <w:color w:val="auto"/>
                <w:sz w:val="24"/>
                <w:szCs w:val="24"/>
                <w:highlight w:val="none"/>
              </w:rPr>
            </w:pPr>
          </w:p>
        </w:tc>
        <w:tc>
          <w:tcPr>
            <w:tcW w:w="740" w:type="dxa"/>
            <w:tcBorders>
              <w:right w:val="single" w:color="auto" w:sz="4" w:space="0"/>
            </w:tcBorders>
            <w:noWrap w:val="0"/>
            <w:vAlign w:val="top"/>
          </w:tcPr>
          <w:p w14:paraId="58AC85FE">
            <w:pPr>
              <w:shd w:val="clear" w:color="auto" w:fill="auto"/>
              <w:rPr>
                <w:rFonts w:hint="eastAsia" w:ascii="宋体" w:hAnsi="宋体" w:eastAsia="宋体" w:cs="宋体"/>
                <w:b w:val="0"/>
                <w:bCs/>
                <w:color w:val="auto"/>
                <w:sz w:val="24"/>
                <w:szCs w:val="24"/>
                <w:highlight w:val="none"/>
              </w:rPr>
            </w:pPr>
          </w:p>
        </w:tc>
      </w:tr>
      <w:tr w14:paraId="19821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33" w:type="dxa"/>
            <w:vMerge w:val="continue"/>
            <w:tcBorders>
              <w:left w:val="single" w:color="auto" w:sz="4" w:space="0"/>
              <w:right w:val="single" w:color="auto" w:sz="4" w:space="0"/>
            </w:tcBorders>
            <w:noWrap w:val="0"/>
            <w:vAlign w:val="center"/>
          </w:tcPr>
          <w:p w14:paraId="01830F47">
            <w:pPr>
              <w:shd w:val="clear" w:color="auto" w:fill="auto"/>
              <w:rPr>
                <w:rFonts w:hint="eastAsia" w:ascii="宋体" w:hAnsi="宋体" w:eastAsia="宋体" w:cs="宋体"/>
                <w:b w:val="0"/>
                <w:bCs/>
                <w:color w:val="auto"/>
                <w:sz w:val="24"/>
                <w:szCs w:val="24"/>
                <w:highlight w:val="none"/>
              </w:rPr>
            </w:pPr>
          </w:p>
        </w:tc>
        <w:tc>
          <w:tcPr>
            <w:tcW w:w="720" w:type="dxa"/>
            <w:tcBorders>
              <w:left w:val="single" w:color="auto" w:sz="4" w:space="0"/>
            </w:tcBorders>
            <w:noWrap w:val="0"/>
            <w:vAlign w:val="center"/>
          </w:tcPr>
          <w:p w14:paraId="7D0D0800">
            <w:pPr>
              <w:shd w:val="clear" w:color="auto" w:fill="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6516" w:type="dxa"/>
            <w:tcBorders>
              <w:right w:val="single" w:color="auto" w:sz="4" w:space="0"/>
            </w:tcBorders>
            <w:noWrap w:val="0"/>
            <w:vAlign w:val="center"/>
          </w:tcPr>
          <w:p w14:paraId="78601AC1">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bidi="ar"/>
              </w:rPr>
              <w:t>投标人详细地址、联系人、电话</w:t>
            </w:r>
          </w:p>
        </w:tc>
        <w:tc>
          <w:tcPr>
            <w:tcW w:w="626" w:type="dxa"/>
            <w:tcBorders>
              <w:left w:val="single" w:color="auto" w:sz="4" w:space="0"/>
            </w:tcBorders>
            <w:noWrap w:val="0"/>
            <w:vAlign w:val="top"/>
          </w:tcPr>
          <w:p w14:paraId="50B4D20A">
            <w:pPr>
              <w:shd w:val="clear" w:color="auto" w:fill="auto"/>
              <w:rPr>
                <w:rFonts w:hint="eastAsia" w:ascii="宋体" w:hAnsi="宋体" w:eastAsia="宋体" w:cs="宋体"/>
                <w:b w:val="0"/>
                <w:bCs/>
                <w:color w:val="auto"/>
                <w:sz w:val="24"/>
                <w:szCs w:val="24"/>
                <w:highlight w:val="none"/>
              </w:rPr>
            </w:pPr>
          </w:p>
        </w:tc>
        <w:tc>
          <w:tcPr>
            <w:tcW w:w="740" w:type="dxa"/>
            <w:tcBorders>
              <w:right w:val="single" w:color="auto" w:sz="4" w:space="0"/>
            </w:tcBorders>
            <w:noWrap w:val="0"/>
            <w:vAlign w:val="top"/>
          </w:tcPr>
          <w:p w14:paraId="36BBC51F">
            <w:pPr>
              <w:shd w:val="clear" w:color="auto" w:fill="auto"/>
              <w:rPr>
                <w:rFonts w:hint="eastAsia" w:ascii="宋体" w:hAnsi="宋体" w:eastAsia="宋体" w:cs="宋体"/>
                <w:b w:val="0"/>
                <w:bCs/>
                <w:color w:val="auto"/>
                <w:sz w:val="24"/>
                <w:szCs w:val="24"/>
                <w:highlight w:val="none"/>
              </w:rPr>
            </w:pPr>
          </w:p>
        </w:tc>
      </w:tr>
      <w:tr w14:paraId="5960B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33" w:type="dxa"/>
            <w:tcBorders>
              <w:left w:val="single" w:color="auto" w:sz="4" w:space="0"/>
              <w:right w:val="single" w:color="auto" w:sz="4" w:space="0"/>
            </w:tcBorders>
            <w:noWrap w:val="0"/>
            <w:vAlign w:val="center"/>
          </w:tcPr>
          <w:p w14:paraId="04732B1E">
            <w:pPr>
              <w:shd w:val="clear" w:color="auto" w:fill="auto"/>
              <w:rPr>
                <w:rFonts w:hint="eastAsia" w:ascii="宋体" w:hAnsi="宋体" w:eastAsia="宋体" w:cs="宋体"/>
                <w:b w:val="0"/>
                <w:bCs/>
                <w:color w:val="auto"/>
                <w:sz w:val="24"/>
                <w:szCs w:val="24"/>
                <w:highlight w:val="none"/>
              </w:rPr>
            </w:pPr>
          </w:p>
        </w:tc>
        <w:tc>
          <w:tcPr>
            <w:tcW w:w="7236" w:type="dxa"/>
            <w:gridSpan w:val="2"/>
            <w:tcBorders>
              <w:left w:val="single" w:color="auto" w:sz="4" w:space="0"/>
              <w:right w:val="single" w:color="auto" w:sz="4" w:space="0"/>
            </w:tcBorders>
            <w:noWrap w:val="0"/>
            <w:vAlign w:val="center"/>
          </w:tcPr>
          <w:p w14:paraId="6CA6F34D">
            <w:pPr>
              <w:keepNext w:val="0"/>
              <w:keepLines w:val="0"/>
              <w:widowControl/>
              <w:suppressLineNumbers w:val="0"/>
              <w:jc w:val="center"/>
              <w:rPr>
                <w:rFonts w:hint="eastAsia" w:ascii="宋体" w:hAnsi="宋体" w:eastAsia="宋体" w:cs="宋体"/>
                <w:b w:val="0"/>
                <w:bCs/>
                <w:color w:val="auto"/>
                <w:kern w:val="0"/>
                <w:sz w:val="24"/>
                <w:szCs w:val="24"/>
                <w:highlight w:val="none"/>
                <w:lang w:bidi="ar"/>
              </w:rPr>
            </w:pPr>
            <w:r>
              <w:rPr>
                <w:rFonts w:hint="eastAsia" w:ascii="宋体" w:hAnsi="宋体" w:eastAsia="宋体" w:cs="宋体"/>
                <w:b w:val="0"/>
                <w:bCs/>
                <w:color w:val="auto"/>
                <w:kern w:val="0"/>
                <w:sz w:val="24"/>
                <w:szCs w:val="24"/>
                <w:highlight w:val="none"/>
                <w:lang w:val="en-US" w:eastAsia="zh-CN" w:bidi="ar"/>
              </w:rPr>
              <w:t>评审结果：须写通过或者不通过</w:t>
            </w:r>
          </w:p>
        </w:tc>
        <w:tc>
          <w:tcPr>
            <w:tcW w:w="1366" w:type="dxa"/>
            <w:gridSpan w:val="2"/>
            <w:tcBorders>
              <w:left w:val="single" w:color="auto" w:sz="4" w:space="0"/>
              <w:right w:val="single" w:color="auto" w:sz="4" w:space="0"/>
            </w:tcBorders>
            <w:noWrap w:val="0"/>
            <w:vAlign w:val="top"/>
          </w:tcPr>
          <w:p w14:paraId="20C34C0E">
            <w:pPr>
              <w:shd w:val="clear" w:color="auto" w:fill="auto"/>
              <w:rPr>
                <w:rFonts w:hint="eastAsia" w:ascii="宋体" w:hAnsi="宋体" w:eastAsia="宋体" w:cs="宋体"/>
                <w:b w:val="0"/>
                <w:bCs/>
                <w:color w:val="auto"/>
                <w:sz w:val="24"/>
                <w:szCs w:val="24"/>
                <w:highlight w:val="none"/>
              </w:rPr>
            </w:pPr>
          </w:p>
        </w:tc>
      </w:tr>
      <w:tr w14:paraId="44E57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9435" w:type="dxa"/>
            <w:gridSpan w:val="5"/>
            <w:tcBorders>
              <w:left w:val="single" w:color="auto" w:sz="4" w:space="0"/>
              <w:bottom w:val="single" w:color="auto" w:sz="4" w:space="0"/>
              <w:right w:val="single" w:color="auto" w:sz="4" w:space="0"/>
            </w:tcBorders>
            <w:noWrap w:val="0"/>
            <w:vAlign w:val="center"/>
          </w:tcPr>
          <w:p w14:paraId="30200849">
            <w:pPr>
              <w:widowControl/>
              <w:shd w:val="clear" w:color="auto" w:fill="auto"/>
              <w:jc w:val="left"/>
              <w:textAlignment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lang w:val="en-US" w:eastAsia="zh-CN" w:bidi="ar"/>
              </w:rPr>
              <w:t>结论：通过评审打“√”，未通过评审打“×” 注：如有一项不合格，作废标处理。</w:t>
            </w:r>
          </w:p>
        </w:tc>
      </w:tr>
    </w:tbl>
    <w:p w14:paraId="5FA6F58F">
      <w:pPr>
        <w:shd w:val="clear" w:color="auto" w:fill="auto"/>
        <w:bidi w:val="0"/>
        <w:rPr>
          <w:rFonts w:hint="eastAsia" w:ascii="宋体" w:hAnsi="宋体" w:eastAsia="宋体" w:cs="宋体"/>
          <w:color w:val="auto"/>
          <w:sz w:val="24"/>
          <w:szCs w:val="24"/>
          <w:highlight w:val="none"/>
        </w:rPr>
      </w:pPr>
    </w:p>
    <w:p w14:paraId="3B9E6DF6">
      <w:pPr>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.2评委会判定</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的响应性只根据</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本身的内容，而不寻求外部的证据，但投标有不真实不正确的内容时除外。</w:t>
      </w:r>
    </w:p>
    <w:p w14:paraId="3D0EAE9D">
      <w:pPr>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.3如果</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实质上没有响应</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的要求，评委会将予以拒绝，投标人不得通过修正或撤销不符合要求的偏离或保留，而使其投标成为实质上响应的投标。</w:t>
      </w:r>
    </w:p>
    <w:p w14:paraId="5BC6377B">
      <w:pPr>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.4投标人可在现场20分钟内对评标委员会的评审结论提出异议，评标委员会根据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及有关规定对投标人的异议进行复议</w:t>
      </w:r>
    </w:p>
    <w:p w14:paraId="045CC9CE">
      <w:pPr>
        <w:shd w:val="clear" w:color="auto" w:fill="auto"/>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.5只有通过初审的投标人才能进入下一步评标程序。</w:t>
      </w:r>
    </w:p>
    <w:p w14:paraId="04AC23CD">
      <w:pPr>
        <w:shd w:val="clear" w:color="auto" w:fill="auto"/>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温馨提示：</w:t>
      </w:r>
      <w:r>
        <w:rPr>
          <w:rFonts w:hint="eastAsia" w:ascii="宋体" w:hAnsi="宋体" w:eastAsia="宋体" w:cs="宋体"/>
          <w:b/>
          <w:color w:val="auto"/>
          <w:sz w:val="24"/>
          <w:szCs w:val="24"/>
          <w:highlight w:val="none"/>
          <w:lang w:eastAsia="zh-CN"/>
        </w:rPr>
        <w:t>投标文件</w:t>
      </w:r>
      <w:r>
        <w:rPr>
          <w:rFonts w:hint="eastAsia" w:ascii="宋体" w:hAnsi="宋体" w:eastAsia="宋体" w:cs="宋体"/>
          <w:b/>
          <w:color w:val="auto"/>
          <w:sz w:val="24"/>
          <w:szCs w:val="24"/>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72A31B72">
      <w:pPr>
        <w:shd w:val="clear" w:color="auto" w:fill="auto"/>
        <w:spacing w:before="156" w:beforeLines="50" w:line="400" w:lineRule="exact"/>
        <w:jc w:val="center"/>
        <w:outlineLvl w:val="1"/>
        <w:rPr>
          <w:rFonts w:hint="eastAsia" w:ascii="宋体" w:hAnsi="宋体" w:eastAsia="宋体" w:cs="宋体"/>
          <w:b/>
          <w:bCs w:val="0"/>
          <w:color w:val="auto"/>
          <w:sz w:val="24"/>
          <w:szCs w:val="24"/>
          <w:highlight w:val="none"/>
        </w:rPr>
      </w:pPr>
      <w:bookmarkStart w:id="48" w:name="_Toc19366"/>
      <w:bookmarkStart w:id="49" w:name="_Toc362983803"/>
      <w:bookmarkStart w:id="50" w:name="_Toc15982"/>
      <w:r>
        <w:rPr>
          <w:rFonts w:hint="eastAsia" w:ascii="宋体" w:hAnsi="宋体" w:eastAsia="宋体" w:cs="宋体"/>
          <w:b/>
          <w:bCs w:val="0"/>
          <w:color w:val="auto"/>
          <w:sz w:val="24"/>
          <w:szCs w:val="24"/>
          <w:highlight w:val="none"/>
        </w:rPr>
        <w:t xml:space="preserve">三  </w:t>
      </w:r>
      <w:r>
        <w:rPr>
          <w:rFonts w:hint="eastAsia" w:ascii="宋体" w:hAnsi="宋体" w:eastAsia="宋体" w:cs="宋体"/>
          <w:b/>
          <w:bCs w:val="0"/>
          <w:color w:val="auto"/>
          <w:sz w:val="24"/>
          <w:szCs w:val="24"/>
          <w:highlight w:val="none"/>
          <w:lang w:val="en-US" w:eastAsia="zh-CN"/>
        </w:rPr>
        <w:t>投标文件</w:t>
      </w:r>
      <w:r>
        <w:rPr>
          <w:rFonts w:hint="eastAsia" w:ascii="宋体" w:hAnsi="宋体" w:eastAsia="宋体" w:cs="宋体"/>
          <w:b/>
          <w:bCs w:val="0"/>
          <w:color w:val="auto"/>
          <w:sz w:val="24"/>
          <w:szCs w:val="24"/>
          <w:highlight w:val="none"/>
        </w:rPr>
        <w:t>的澄清和补正</w:t>
      </w:r>
      <w:bookmarkEnd w:id="48"/>
      <w:bookmarkEnd w:id="49"/>
      <w:bookmarkEnd w:id="50"/>
    </w:p>
    <w:p w14:paraId="7A36AA9D">
      <w:pPr>
        <w:shd w:val="clear" w:color="auto" w:fill="auto"/>
        <w:spacing w:line="44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8．澄清、说明或补正的形式</w:t>
      </w:r>
    </w:p>
    <w:p w14:paraId="0CA2DBD3">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B3F8CD0">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7D23E57">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02C4A83">
      <w:pPr>
        <w:shd w:val="clear" w:color="auto" w:fill="auto"/>
        <w:spacing w:line="44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9．错误修正的原则</w:t>
      </w:r>
    </w:p>
    <w:p w14:paraId="6A3AEC80">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320E61F6">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投标文件报价出现前后不一致的，除招标文件另有规定外，按照下列规定修正：</w:t>
      </w:r>
    </w:p>
    <w:p w14:paraId="0345CC56">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9.1 投标函中表述的内容与报价表中不一致的，以报价表为准；报价表中的内容与报价明细表不一致的，以报价表为准；</w:t>
      </w:r>
    </w:p>
    <w:p w14:paraId="3D181D48">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 投标文件中的大写金额和小写金额不一致的，以大写金额为准；</w:t>
      </w:r>
    </w:p>
    <w:p w14:paraId="3752FECD">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9.3 单价金额小数点或者百分比有明显错位的，以开标一览表的总价为准，并修改单价；</w:t>
      </w:r>
    </w:p>
    <w:p w14:paraId="5DE69DEC">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9.4 总价金额与按单价汇总金额不一致的，以单价金额计算结果为准；</w:t>
      </w:r>
    </w:p>
    <w:p w14:paraId="17E8A6AB">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9.5 若用文字表示的数值与用数字表示的数值不一致，以文字表示的数值为准；</w:t>
      </w:r>
    </w:p>
    <w:p w14:paraId="316D146B">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9.6 如有多报（指数量超出招标文件需求）、重报（指同一货物重复报价），其投标总价在评标过程中不予调整，如其中标，其合同价按其投标单价予以调整；</w:t>
      </w:r>
    </w:p>
    <w:p w14:paraId="395B9E8A">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9.7 对不同文字文本投标文件的解释发生异议的，以中文文本为准；</w:t>
      </w:r>
    </w:p>
    <w:p w14:paraId="04E2E432">
      <w:pPr>
        <w:shd w:val="clear" w:color="auto" w:fill="auto"/>
        <w:spacing w:line="44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2C93A05">
      <w:pPr>
        <w:shd w:val="clear" w:color="auto" w:fill="auto"/>
        <w:spacing w:line="400" w:lineRule="exact"/>
        <w:jc w:val="center"/>
        <w:outlineLvl w:val="1"/>
        <w:rPr>
          <w:rFonts w:hint="eastAsia" w:ascii="宋体" w:hAnsi="宋体" w:eastAsia="宋体" w:cs="宋体"/>
          <w:b/>
          <w:bCs w:val="0"/>
          <w:color w:val="auto"/>
          <w:sz w:val="24"/>
          <w:szCs w:val="24"/>
          <w:highlight w:val="none"/>
        </w:rPr>
      </w:pPr>
      <w:bookmarkStart w:id="51" w:name="_Toc16928"/>
      <w:bookmarkStart w:id="52" w:name="_Toc18469"/>
      <w:r>
        <w:rPr>
          <w:rFonts w:hint="eastAsia" w:ascii="宋体" w:hAnsi="宋体" w:eastAsia="宋体" w:cs="宋体"/>
          <w:b/>
          <w:bCs w:val="0"/>
          <w:color w:val="auto"/>
          <w:sz w:val="24"/>
          <w:szCs w:val="24"/>
          <w:highlight w:val="none"/>
        </w:rPr>
        <w:t>四 比较与评价</w:t>
      </w:r>
      <w:bookmarkEnd w:id="51"/>
      <w:bookmarkEnd w:id="52"/>
    </w:p>
    <w:p w14:paraId="69AF9B1F">
      <w:pPr>
        <w:shd w:val="clear" w:color="auto" w:fill="auto"/>
        <w:tabs>
          <w:tab w:val="left" w:pos="720"/>
        </w:tabs>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10.1</w:t>
      </w:r>
      <w:r>
        <w:rPr>
          <w:rFonts w:hint="eastAsia" w:ascii="宋体" w:hAnsi="宋体" w:eastAsia="宋体" w:cs="宋体"/>
          <w:color w:val="auto"/>
          <w:sz w:val="24"/>
          <w:szCs w:val="24"/>
          <w:highlight w:val="none"/>
          <w:lang w:bidi="ar-SA"/>
        </w:rPr>
        <w:t>评标委员会按</w:t>
      </w:r>
      <w:r>
        <w:rPr>
          <w:rFonts w:hint="eastAsia" w:ascii="宋体" w:hAnsi="宋体" w:eastAsia="宋体" w:cs="宋体"/>
          <w:color w:val="auto"/>
          <w:sz w:val="24"/>
          <w:szCs w:val="24"/>
          <w:highlight w:val="none"/>
          <w:lang w:eastAsia="zh-CN" w:bidi="ar-SA"/>
        </w:rPr>
        <w:t>招标文件</w:t>
      </w:r>
      <w:r>
        <w:rPr>
          <w:rFonts w:hint="eastAsia" w:ascii="宋体" w:hAnsi="宋体" w:eastAsia="宋体" w:cs="宋体"/>
          <w:color w:val="auto"/>
          <w:sz w:val="24"/>
          <w:szCs w:val="24"/>
          <w:highlight w:val="none"/>
          <w:lang w:bidi="ar-SA"/>
        </w:rPr>
        <w:t>中规定的评标方法和标准，对资格性检查和符合性检查合格的</w:t>
      </w:r>
      <w:r>
        <w:rPr>
          <w:rFonts w:hint="eastAsia" w:ascii="宋体" w:hAnsi="宋体" w:eastAsia="宋体" w:cs="宋体"/>
          <w:color w:val="auto"/>
          <w:sz w:val="24"/>
          <w:szCs w:val="24"/>
          <w:highlight w:val="none"/>
          <w:lang w:eastAsia="zh-CN" w:bidi="ar-SA"/>
        </w:rPr>
        <w:t>投标文件</w:t>
      </w:r>
      <w:r>
        <w:rPr>
          <w:rFonts w:hint="eastAsia" w:ascii="宋体" w:hAnsi="宋体" w:eastAsia="宋体" w:cs="宋体"/>
          <w:color w:val="auto"/>
          <w:sz w:val="24"/>
          <w:szCs w:val="24"/>
          <w:highlight w:val="none"/>
          <w:lang w:bidi="ar-SA"/>
        </w:rPr>
        <w:t>进行商务和技术评估、综合比较与评价。</w:t>
      </w:r>
    </w:p>
    <w:p w14:paraId="30C5BB8B">
      <w:pPr>
        <w:shd w:val="clear" w:color="auto" w:fill="auto"/>
        <w:spacing w:line="44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10.2</w:t>
      </w:r>
      <w:r>
        <w:rPr>
          <w:rFonts w:hint="eastAsia" w:ascii="宋体" w:hAnsi="宋体" w:eastAsia="宋体" w:cs="宋体"/>
          <w:color w:val="auto"/>
          <w:sz w:val="24"/>
          <w:szCs w:val="24"/>
          <w:highlight w:val="none"/>
          <w:lang w:bidi="ar-SA"/>
        </w:rPr>
        <w:t>评标委员会根据商务和技术评估的结果，采用综合评分法，分别对</w:t>
      </w:r>
      <w:r>
        <w:rPr>
          <w:rFonts w:hint="eastAsia" w:ascii="宋体" w:hAnsi="宋体" w:eastAsia="宋体" w:cs="宋体"/>
          <w:color w:val="auto"/>
          <w:sz w:val="24"/>
          <w:szCs w:val="24"/>
          <w:highlight w:val="none"/>
          <w:lang w:eastAsia="zh-CN" w:bidi="ar-SA"/>
        </w:rPr>
        <w:t>投标文件</w:t>
      </w:r>
      <w:r>
        <w:rPr>
          <w:rFonts w:hint="eastAsia" w:ascii="宋体" w:hAnsi="宋体" w:eastAsia="宋体" w:cs="宋体"/>
          <w:color w:val="auto"/>
          <w:sz w:val="24"/>
          <w:szCs w:val="24"/>
          <w:highlight w:val="none"/>
          <w:lang w:bidi="ar-SA"/>
        </w:rPr>
        <w:t>的商务、技术、价格等内容进行打分。其中，商务评估、技术评估、价格评估的评分权值（详见评分标准和细则）。</w:t>
      </w:r>
    </w:p>
    <w:p w14:paraId="13E184CC">
      <w:pPr>
        <w:shd w:val="clear" w:color="auto" w:fill="auto"/>
        <w:spacing w:line="440" w:lineRule="exact"/>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lang w:val="en-US" w:eastAsia="zh-CN" w:bidi="ar-SA"/>
        </w:rPr>
        <w:t>10.</w:t>
      </w:r>
      <w:r>
        <w:rPr>
          <w:rFonts w:hint="eastAsia" w:ascii="宋体" w:hAnsi="宋体" w:eastAsia="宋体" w:cs="宋体"/>
          <w:bCs/>
          <w:color w:val="auto"/>
          <w:sz w:val="24"/>
          <w:szCs w:val="24"/>
          <w:highlight w:val="none"/>
          <w:lang w:val="en-US" w:eastAsia="zh-CN" w:bidi="ar-SA"/>
        </w:rPr>
        <w:t>2.1</w:t>
      </w:r>
      <w:r>
        <w:rPr>
          <w:rFonts w:hint="eastAsia" w:ascii="宋体" w:hAnsi="宋体" w:eastAsia="宋体" w:cs="宋体"/>
          <w:bCs/>
          <w:color w:val="auto"/>
          <w:sz w:val="24"/>
          <w:szCs w:val="24"/>
          <w:highlight w:val="none"/>
          <w:lang w:bidi="ar-SA"/>
        </w:rPr>
        <w:t>评委打分办法</w:t>
      </w:r>
    </w:p>
    <w:p w14:paraId="11AE11CB">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bCs/>
          <w:color w:val="auto"/>
          <w:sz w:val="24"/>
          <w:szCs w:val="24"/>
          <w:highlight w:val="none"/>
          <w:lang w:bidi="ar-SA"/>
        </w:rPr>
        <w:t>（1）</w:t>
      </w:r>
      <w:r>
        <w:rPr>
          <w:rFonts w:hint="eastAsia" w:ascii="宋体" w:hAnsi="宋体" w:eastAsia="宋体" w:cs="宋体"/>
          <w:color w:val="auto"/>
          <w:sz w:val="24"/>
          <w:szCs w:val="24"/>
          <w:highlight w:val="none"/>
          <w:lang w:bidi="ar-SA"/>
        </w:rPr>
        <w:t>参加评分的评委应尽力体现客观、实事求是，避免学派偏见和个人偏好。</w:t>
      </w:r>
    </w:p>
    <w:p w14:paraId="26BF35E8">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（2）衡量、对比的依据，应以</w:t>
      </w:r>
      <w:r>
        <w:rPr>
          <w:rFonts w:hint="eastAsia" w:ascii="宋体" w:hAnsi="宋体" w:eastAsia="宋体" w:cs="宋体"/>
          <w:color w:val="auto"/>
          <w:sz w:val="24"/>
          <w:szCs w:val="24"/>
          <w:highlight w:val="none"/>
          <w:lang w:eastAsia="zh-CN" w:bidi="ar-SA"/>
        </w:rPr>
        <w:t>招标文件</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投标文件</w:t>
      </w:r>
      <w:r>
        <w:rPr>
          <w:rFonts w:hint="eastAsia" w:ascii="宋体" w:hAnsi="宋体" w:eastAsia="宋体" w:cs="宋体"/>
          <w:color w:val="auto"/>
          <w:sz w:val="24"/>
          <w:szCs w:val="24"/>
          <w:highlight w:val="none"/>
          <w:lang w:bidi="ar-SA"/>
        </w:rPr>
        <w:t>、提供的正式试验数据、质询澄清中的文字为准，口头回答和收集的资料只作为参考。</w:t>
      </w:r>
    </w:p>
    <w:p w14:paraId="16321837">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（3）评分主要是为比较各投标人的价格、商务和技术综合排序。</w:t>
      </w:r>
    </w:p>
    <w:p w14:paraId="584D17D6">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（4）评委打分采取记名形式。</w:t>
      </w:r>
    </w:p>
    <w:p w14:paraId="2278AC29">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（5）各评委根据提供的技术打分表独立自主打分，任何人不得要求评委统一打分或统一确定等次顺序。</w:t>
      </w:r>
    </w:p>
    <w:p w14:paraId="4CB9A517">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（6）对打分表中的每项条款，各评委应根据</w:t>
      </w:r>
      <w:r>
        <w:rPr>
          <w:rFonts w:hint="eastAsia" w:ascii="宋体" w:hAnsi="宋体" w:eastAsia="宋体" w:cs="宋体"/>
          <w:color w:val="auto"/>
          <w:sz w:val="24"/>
          <w:szCs w:val="24"/>
          <w:highlight w:val="none"/>
          <w:lang w:eastAsia="zh-CN" w:bidi="ar-SA"/>
        </w:rPr>
        <w:t>投标文件</w:t>
      </w:r>
      <w:r>
        <w:rPr>
          <w:rFonts w:hint="eastAsia" w:ascii="宋体" w:hAnsi="宋体" w:eastAsia="宋体" w:cs="宋体"/>
          <w:color w:val="auto"/>
          <w:sz w:val="24"/>
          <w:szCs w:val="24"/>
          <w:highlight w:val="none"/>
          <w:lang w:bidi="ar-SA"/>
        </w:rPr>
        <w:t>、澄清材料、</w:t>
      </w:r>
      <w:r>
        <w:rPr>
          <w:rFonts w:hint="eastAsia" w:ascii="宋体" w:hAnsi="宋体" w:eastAsia="宋体" w:cs="宋体"/>
          <w:color w:val="auto"/>
          <w:sz w:val="24"/>
          <w:szCs w:val="24"/>
          <w:highlight w:val="none"/>
          <w:lang w:eastAsia="zh-CN" w:bidi="ar-SA"/>
        </w:rPr>
        <w:t>招标文件</w:t>
      </w:r>
      <w:r>
        <w:rPr>
          <w:rFonts w:hint="eastAsia" w:ascii="宋体" w:hAnsi="宋体" w:eastAsia="宋体" w:cs="宋体"/>
          <w:color w:val="auto"/>
          <w:sz w:val="24"/>
          <w:szCs w:val="24"/>
          <w:highlight w:val="none"/>
          <w:lang w:bidi="ar-SA"/>
        </w:rPr>
        <w:t>要求，按满足的程度给投标人打分。</w:t>
      </w:r>
    </w:p>
    <w:p w14:paraId="32159691">
      <w:pPr>
        <w:shd w:val="clear" w:color="auto" w:fill="auto"/>
        <w:spacing w:line="440" w:lineRule="exact"/>
        <w:ind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（7）评分程序</w:t>
      </w:r>
    </w:p>
    <w:p w14:paraId="58277191">
      <w:pPr>
        <w:shd w:val="clear" w:color="auto" w:fill="auto"/>
        <w:spacing w:line="440" w:lineRule="exact"/>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1)就投标人的</w:t>
      </w:r>
      <w:r>
        <w:rPr>
          <w:rFonts w:hint="eastAsia" w:ascii="宋体" w:hAnsi="宋体" w:eastAsia="宋体" w:cs="宋体"/>
          <w:color w:val="auto"/>
          <w:sz w:val="24"/>
          <w:szCs w:val="24"/>
          <w:highlight w:val="none"/>
          <w:lang w:eastAsia="zh-CN" w:bidi="ar-SA"/>
        </w:rPr>
        <w:t>投标文件</w:t>
      </w:r>
      <w:r>
        <w:rPr>
          <w:rFonts w:hint="eastAsia" w:ascii="宋体" w:hAnsi="宋体" w:eastAsia="宋体" w:cs="宋体"/>
          <w:color w:val="auto"/>
          <w:sz w:val="24"/>
          <w:szCs w:val="24"/>
          <w:highlight w:val="none"/>
          <w:lang w:bidi="ar-SA"/>
        </w:rPr>
        <w:t>对照整理出商务、技术评标因素对比表、偏差表，并在经过校核的基础上逐项打分。</w:t>
      </w:r>
    </w:p>
    <w:p w14:paraId="254C7B64">
      <w:pPr>
        <w:shd w:val="clear" w:color="auto" w:fill="auto"/>
        <w:spacing w:line="440" w:lineRule="exact"/>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2)各评委独立完成打分后，将评分表交给代理机构，由代理机构组织进行分数统计。</w:t>
      </w:r>
    </w:p>
    <w:p w14:paraId="2C536245">
      <w:pPr>
        <w:shd w:val="clear" w:color="auto" w:fill="auto"/>
        <w:spacing w:line="440" w:lineRule="exact"/>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3)最终汇总表中各投标人得分应为评委打分的算术平均值。</w:t>
      </w:r>
    </w:p>
    <w:p w14:paraId="6FA87083">
      <w:pPr>
        <w:shd w:val="clear" w:color="auto" w:fill="auto"/>
        <w:spacing w:line="440" w:lineRule="exact"/>
        <w:rPr>
          <w:rFonts w:hint="eastAsia" w:ascii="宋体" w:hAnsi="宋体" w:eastAsia="宋体" w:cs="宋体"/>
          <w:color w:val="auto"/>
          <w:sz w:val="24"/>
          <w:szCs w:val="24"/>
          <w:highlight w:val="none"/>
          <w:lang w:bidi="ar-SA"/>
        </w:rPr>
      </w:pPr>
    </w:p>
    <w:p w14:paraId="0639715A">
      <w:pPr>
        <w:shd w:val="clear" w:color="auto" w:fill="auto"/>
        <w:spacing w:line="440" w:lineRule="exact"/>
        <w:rPr>
          <w:rFonts w:hint="eastAsia" w:ascii="宋体" w:hAnsi="宋体" w:eastAsia="宋体" w:cs="宋体"/>
          <w:color w:val="auto"/>
          <w:sz w:val="24"/>
          <w:szCs w:val="24"/>
          <w:highlight w:val="none"/>
          <w:lang w:bidi="ar-SA"/>
        </w:rPr>
      </w:pPr>
    </w:p>
    <w:p w14:paraId="4F54CE1F">
      <w:pPr>
        <w:shd w:val="clear" w:color="auto" w:fill="auto"/>
        <w:spacing w:line="440" w:lineRule="exact"/>
        <w:rPr>
          <w:rFonts w:hint="eastAsia" w:ascii="宋体" w:hAnsi="宋体" w:eastAsia="宋体" w:cs="宋体"/>
          <w:color w:val="auto"/>
          <w:sz w:val="24"/>
          <w:szCs w:val="24"/>
          <w:highlight w:val="none"/>
          <w:lang w:bidi="ar-SA"/>
        </w:rPr>
      </w:pPr>
    </w:p>
    <w:p w14:paraId="0E5855AE">
      <w:pPr>
        <w:shd w:val="clear" w:color="auto" w:fill="auto"/>
        <w:spacing w:line="440" w:lineRule="exact"/>
        <w:rPr>
          <w:rFonts w:hint="eastAsia" w:ascii="宋体" w:hAnsi="宋体" w:eastAsia="宋体" w:cs="宋体"/>
          <w:color w:val="auto"/>
          <w:sz w:val="24"/>
          <w:szCs w:val="24"/>
          <w:highlight w:val="none"/>
          <w:lang w:bidi="ar-SA"/>
        </w:rPr>
      </w:pPr>
    </w:p>
    <w:p w14:paraId="6565DDCB">
      <w:pPr>
        <w:shd w:val="clear" w:color="auto" w:fill="auto"/>
        <w:spacing w:line="440" w:lineRule="exact"/>
        <w:rPr>
          <w:rFonts w:hint="eastAsia" w:ascii="宋体" w:hAnsi="宋体" w:eastAsia="宋体" w:cs="宋体"/>
          <w:color w:val="auto"/>
          <w:sz w:val="24"/>
          <w:szCs w:val="24"/>
          <w:highlight w:val="none"/>
          <w:lang w:bidi="ar-SA"/>
        </w:rPr>
      </w:pPr>
    </w:p>
    <w:p w14:paraId="64A67F80">
      <w:pPr>
        <w:shd w:val="clear" w:color="auto" w:fill="auto"/>
        <w:spacing w:line="440" w:lineRule="exact"/>
        <w:rPr>
          <w:rFonts w:hint="eastAsia" w:ascii="宋体" w:hAnsi="宋体" w:eastAsia="宋体" w:cs="宋体"/>
          <w:color w:val="auto"/>
          <w:sz w:val="24"/>
          <w:szCs w:val="24"/>
          <w:highlight w:val="none"/>
          <w:lang w:bidi="ar-SA"/>
        </w:rPr>
      </w:pPr>
    </w:p>
    <w:p w14:paraId="7230FA85">
      <w:pPr>
        <w:shd w:val="clear" w:color="auto" w:fill="auto"/>
        <w:spacing w:line="440" w:lineRule="exact"/>
        <w:rPr>
          <w:rFonts w:hint="eastAsia" w:ascii="宋体" w:hAnsi="宋体" w:eastAsia="宋体" w:cs="宋体"/>
          <w:color w:val="auto"/>
          <w:sz w:val="24"/>
          <w:szCs w:val="24"/>
          <w:highlight w:val="none"/>
          <w:lang w:bidi="ar-SA"/>
        </w:rPr>
      </w:pPr>
    </w:p>
    <w:p w14:paraId="388EB343">
      <w:pPr>
        <w:shd w:val="clear" w:color="auto" w:fill="auto"/>
        <w:spacing w:line="440" w:lineRule="exact"/>
        <w:rPr>
          <w:rFonts w:hint="eastAsia" w:ascii="宋体" w:hAnsi="宋体" w:eastAsia="宋体" w:cs="宋体"/>
          <w:color w:val="auto"/>
          <w:sz w:val="24"/>
          <w:szCs w:val="24"/>
          <w:highlight w:val="none"/>
          <w:lang w:bidi="ar-SA"/>
        </w:rPr>
      </w:pPr>
    </w:p>
    <w:p w14:paraId="74D0E567">
      <w:pPr>
        <w:shd w:val="clear" w:color="auto" w:fill="auto"/>
        <w:spacing w:line="440" w:lineRule="exact"/>
        <w:rPr>
          <w:rFonts w:hint="eastAsia" w:ascii="宋体" w:hAnsi="宋体" w:eastAsia="宋体" w:cs="宋体"/>
          <w:color w:val="auto"/>
          <w:sz w:val="24"/>
          <w:szCs w:val="24"/>
          <w:highlight w:val="none"/>
          <w:lang w:bidi="ar-SA"/>
        </w:rPr>
      </w:pPr>
    </w:p>
    <w:p w14:paraId="6A6CAAF7">
      <w:pPr>
        <w:shd w:val="clear" w:color="auto" w:fill="auto"/>
        <w:spacing w:line="440" w:lineRule="exact"/>
        <w:rPr>
          <w:rFonts w:hint="eastAsia" w:ascii="宋体" w:hAnsi="宋体" w:eastAsia="宋体" w:cs="宋体"/>
          <w:color w:val="auto"/>
          <w:sz w:val="24"/>
          <w:szCs w:val="24"/>
          <w:highlight w:val="none"/>
          <w:lang w:bidi="ar-SA"/>
        </w:rPr>
      </w:pPr>
    </w:p>
    <w:p w14:paraId="7C04FDFA">
      <w:pPr>
        <w:shd w:val="clear" w:color="auto" w:fill="auto"/>
        <w:spacing w:line="440" w:lineRule="exact"/>
        <w:rPr>
          <w:rFonts w:hint="eastAsia" w:ascii="宋体" w:hAnsi="宋体" w:eastAsia="宋体" w:cs="宋体"/>
          <w:color w:val="auto"/>
          <w:sz w:val="24"/>
          <w:szCs w:val="24"/>
          <w:highlight w:val="none"/>
          <w:lang w:bidi="ar-SA"/>
        </w:rPr>
      </w:pPr>
    </w:p>
    <w:p w14:paraId="549F6B1A">
      <w:pPr>
        <w:shd w:val="clear" w:color="auto" w:fill="auto"/>
        <w:spacing w:line="440" w:lineRule="exact"/>
        <w:rPr>
          <w:rFonts w:hint="eastAsia" w:ascii="宋体" w:hAnsi="宋体" w:eastAsia="宋体" w:cs="宋体"/>
          <w:color w:val="auto"/>
          <w:sz w:val="24"/>
          <w:szCs w:val="24"/>
          <w:highlight w:val="none"/>
          <w:lang w:bidi="ar-SA"/>
        </w:rPr>
      </w:pPr>
    </w:p>
    <w:p w14:paraId="0C5DB612">
      <w:pPr>
        <w:shd w:val="clear" w:color="auto" w:fill="auto"/>
        <w:spacing w:line="440" w:lineRule="exact"/>
        <w:rPr>
          <w:rFonts w:hint="eastAsia" w:ascii="宋体" w:hAnsi="宋体" w:eastAsia="宋体" w:cs="宋体"/>
          <w:color w:val="auto"/>
          <w:sz w:val="24"/>
          <w:szCs w:val="24"/>
          <w:highlight w:val="none"/>
          <w:lang w:bidi="ar-SA"/>
        </w:rPr>
      </w:pPr>
    </w:p>
    <w:p w14:paraId="3855C63F">
      <w:pPr>
        <w:shd w:val="clear" w:color="auto" w:fill="auto"/>
        <w:spacing w:line="440" w:lineRule="exact"/>
        <w:rPr>
          <w:rFonts w:hint="eastAsia" w:ascii="宋体" w:hAnsi="宋体" w:eastAsia="宋体" w:cs="宋体"/>
          <w:color w:val="auto"/>
          <w:sz w:val="24"/>
          <w:szCs w:val="24"/>
          <w:highlight w:val="none"/>
          <w:lang w:bidi="ar-SA"/>
        </w:rPr>
      </w:pPr>
    </w:p>
    <w:p w14:paraId="4567F89F">
      <w:pPr>
        <w:shd w:val="clear" w:color="auto" w:fill="auto"/>
        <w:spacing w:line="440" w:lineRule="exact"/>
        <w:rPr>
          <w:rFonts w:hint="eastAsia" w:ascii="宋体" w:hAnsi="宋体" w:eastAsia="宋体" w:cs="宋体"/>
          <w:color w:val="auto"/>
          <w:sz w:val="24"/>
          <w:szCs w:val="24"/>
          <w:highlight w:val="none"/>
          <w:lang w:bidi="ar-SA"/>
        </w:rPr>
      </w:pPr>
    </w:p>
    <w:p w14:paraId="6031B51F">
      <w:pPr>
        <w:shd w:val="clear" w:color="auto" w:fill="auto"/>
        <w:spacing w:line="440" w:lineRule="exact"/>
        <w:rPr>
          <w:rFonts w:hint="eastAsia" w:ascii="宋体" w:hAnsi="宋体" w:eastAsia="宋体" w:cs="宋体"/>
          <w:color w:val="auto"/>
          <w:sz w:val="24"/>
          <w:szCs w:val="24"/>
          <w:highlight w:val="none"/>
          <w:lang w:bidi="ar-SA"/>
        </w:rPr>
      </w:pPr>
    </w:p>
    <w:p w14:paraId="74F3C30B">
      <w:pPr>
        <w:shd w:val="clear" w:color="auto" w:fill="auto"/>
        <w:spacing w:line="440" w:lineRule="exact"/>
        <w:rPr>
          <w:rFonts w:hint="eastAsia" w:ascii="宋体" w:hAnsi="宋体" w:eastAsia="宋体" w:cs="宋体"/>
          <w:color w:val="auto"/>
          <w:sz w:val="24"/>
          <w:szCs w:val="24"/>
          <w:highlight w:val="none"/>
          <w:lang w:bidi="ar-SA"/>
        </w:rPr>
      </w:pPr>
    </w:p>
    <w:p w14:paraId="2DCF42D1">
      <w:pPr>
        <w:shd w:val="clear" w:color="auto" w:fill="auto"/>
        <w:spacing w:line="440" w:lineRule="exact"/>
        <w:rPr>
          <w:rFonts w:hint="eastAsia" w:ascii="宋体" w:hAnsi="宋体" w:eastAsia="宋体" w:cs="宋体"/>
          <w:color w:val="auto"/>
          <w:sz w:val="24"/>
          <w:szCs w:val="24"/>
          <w:highlight w:val="none"/>
          <w:lang w:bidi="ar-SA"/>
        </w:rPr>
      </w:pPr>
    </w:p>
    <w:p w14:paraId="03402CD4">
      <w:pPr>
        <w:shd w:val="clear" w:color="auto" w:fill="auto"/>
        <w:spacing w:line="440" w:lineRule="exact"/>
        <w:rPr>
          <w:rFonts w:hint="eastAsia" w:ascii="宋体" w:hAnsi="宋体" w:eastAsia="宋体" w:cs="宋体"/>
          <w:color w:val="auto"/>
          <w:sz w:val="24"/>
          <w:szCs w:val="24"/>
          <w:highlight w:val="none"/>
          <w:lang w:bidi="ar-SA"/>
        </w:rPr>
      </w:pPr>
    </w:p>
    <w:p w14:paraId="1A27E801">
      <w:pPr>
        <w:shd w:val="clear" w:color="auto" w:fill="auto"/>
        <w:spacing w:line="440" w:lineRule="exact"/>
        <w:rPr>
          <w:rFonts w:hint="eastAsia" w:ascii="宋体" w:hAnsi="宋体" w:eastAsia="宋体" w:cs="宋体"/>
          <w:color w:val="auto"/>
          <w:sz w:val="24"/>
          <w:szCs w:val="24"/>
          <w:highlight w:val="none"/>
          <w:lang w:bidi="ar-SA"/>
        </w:rPr>
      </w:pPr>
    </w:p>
    <w:p w14:paraId="0E73D227">
      <w:pPr>
        <w:shd w:val="clear" w:color="auto" w:fill="auto"/>
        <w:spacing w:line="440" w:lineRule="exact"/>
        <w:rPr>
          <w:rFonts w:hint="eastAsia" w:ascii="宋体" w:hAnsi="宋体" w:eastAsia="宋体" w:cs="宋体"/>
          <w:b/>
          <w:bCs/>
          <w:color w:val="000000" w:themeColor="text1"/>
          <w:sz w:val="24"/>
          <w:szCs w:val="24"/>
          <w:highlight w:val="none"/>
          <w:lang w:bidi="ar-SA"/>
          <w14:textFill>
            <w14:solidFill>
              <w14:schemeClr w14:val="tx1"/>
            </w14:solidFill>
          </w14:textFill>
        </w:rPr>
      </w:pPr>
      <w:r>
        <w:rPr>
          <w:rFonts w:hint="eastAsia" w:ascii="宋体" w:hAnsi="宋体" w:eastAsia="宋体" w:cs="宋体"/>
          <w:b/>
          <w:bCs/>
          <w:color w:val="000000" w:themeColor="text1"/>
          <w:sz w:val="24"/>
          <w:szCs w:val="24"/>
          <w:highlight w:val="none"/>
          <w:lang w:bidi="ar-SA"/>
          <w14:textFill>
            <w14:solidFill>
              <w14:schemeClr w14:val="tx1"/>
            </w14:solidFill>
          </w14:textFill>
        </w:rPr>
        <w:t>（8）评分标准和细则（综合评分法评分标准）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6"/>
        <w:gridCol w:w="6725"/>
      </w:tblGrid>
      <w:tr w14:paraId="6A16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Align w:val="center"/>
          </w:tcPr>
          <w:p w14:paraId="4BFBC4C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评审因素</w:t>
            </w:r>
          </w:p>
        </w:tc>
        <w:tc>
          <w:tcPr>
            <w:tcW w:w="1256" w:type="dxa"/>
            <w:vAlign w:val="center"/>
          </w:tcPr>
          <w:p w14:paraId="4018C26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分值</w:t>
            </w:r>
          </w:p>
        </w:tc>
        <w:tc>
          <w:tcPr>
            <w:tcW w:w="6725" w:type="dxa"/>
            <w:vAlign w:val="center"/>
          </w:tcPr>
          <w:p w14:paraId="036349E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分 值 内 容</w:t>
            </w:r>
          </w:p>
        </w:tc>
      </w:tr>
      <w:tr w14:paraId="6A73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Align w:val="center"/>
          </w:tcPr>
          <w:p w14:paraId="299FDC0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报价部分（10分）</w:t>
            </w:r>
          </w:p>
        </w:tc>
        <w:tc>
          <w:tcPr>
            <w:tcW w:w="1256" w:type="dxa"/>
            <w:vAlign w:val="center"/>
          </w:tcPr>
          <w:p w14:paraId="320F917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报价</w:t>
            </w:r>
          </w:p>
          <w:p w14:paraId="4661034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（10分）</w:t>
            </w:r>
          </w:p>
        </w:tc>
        <w:tc>
          <w:tcPr>
            <w:tcW w:w="6725" w:type="dxa"/>
            <w:vAlign w:val="center"/>
          </w:tcPr>
          <w:p w14:paraId="61725BE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投标人有效最低报价为评标基准价，其价格分为满分，满足文件要求，且最低价格为基准价，其价格分为满分，各投标人价格得分应保留两位小数。其他供应商的价格分按公式计算</w:t>
            </w:r>
          </w:p>
          <w:p w14:paraId="3A0378A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bidi="ar-SA"/>
                <w14:textFill>
                  <w14:solidFill>
                    <w14:schemeClr w14:val="tx1"/>
                  </w14:solidFill>
                </w14:textFill>
              </w:rPr>
              <w:t>投标报价得分=（评标基准价/投标报价）×价格权值*100；有效投标报价为通过初步审查的供应商报价。</w:t>
            </w:r>
          </w:p>
          <w:p w14:paraId="2BA0768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vertAlign w:val="baseline"/>
                <w:lang w:val="en-US" w:eastAsia="zh-CN" w:bidi="ar-SA"/>
                <w14:textFill>
                  <w14:solidFill>
                    <w14:schemeClr w14:val="tx1"/>
                  </w14:solidFill>
                </w14:textFill>
              </w:rPr>
              <w:t>注：评标委员会认为投标人的报价过低，可能影响产品质量或不能诚信履约的，应当要求其在评标现场合理的时间内提供书面说明，必要时提交相关证明材料，投标人不能证明其报价合理性的，评标小组应当将其做无效标处理。</w:t>
            </w:r>
          </w:p>
        </w:tc>
      </w:tr>
      <w:tr w14:paraId="5293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vAlign w:val="center"/>
          </w:tcPr>
          <w:p w14:paraId="064692E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pacing w:val="1"/>
                <w:sz w:val="24"/>
                <w:szCs w:val="24"/>
                <w:lang w:val="en-US" w:eastAsia="zh-CN"/>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技术部分（46分）</w:t>
            </w:r>
          </w:p>
        </w:tc>
        <w:tc>
          <w:tcPr>
            <w:tcW w:w="1256" w:type="dxa"/>
            <w:vAlign w:val="center"/>
          </w:tcPr>
          <w:p w14:paraId="3D24EC2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FF0000"/>
                <w:sz w:val="24"/>
                <w:szCs w:val="24"/>
                <w:highlight w:val="none"/>
                <w:vertAlign w:val="baseline"/>
                <w:lang w:val="en-US" w:eastAsia="zh-CN" w:bidi="ar-SA"/>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运营方案（6分）</w:t>
            </w:r>
          </w:p>
        </w:tc>
        <w:tc>
          <w:tcPr>
            <w:tcW w:w="6725" w:type="dxa"/>
            <w:vAlign w:val="center"/>
          </w:tcPr>
          <w:p w14:paraId="41C4C7B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投标人根据本项目需求提供详细智慧路灯管理平台功能描述及运营组织管理方案，内容包含但不限于：</w:t>
            </w:r>
          </w:p>
          <w:p w14:paraId="602C62F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 xml:space="preserve">1.智慧路灯管理平台功能描述； </w:t>
            </w:r>
          </w:p>
          <w:p w14:paraId="4907ACB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2.项目运行组织管理方案；</w:t>
            </w:r>
          </w:p>
          <w:p w14:paraId="605BF8F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评审标准：</w:t>
            </w:r>
          </w:p>
          <w:p w14:paraId="64AD8BE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（1）对投标人提供以上2项内容的得3分，未提供齐全的，每缺一项扣1.5分，扣完为止。</w:t>
            </w:r>
          </w:p>
          <w:p w14:paraId="2E52CCD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（2）在此基础上，由评审委员会对具体响应内容进一步评审：</w:t>
            </w:r>
          </w:p>
          <w:p w14:paraId="49C2581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 xml:space="preserve">①方案内容完整、方案科学合理、针对性强、与本项目的具体特点和实际需要适应度高、利于项目实施的，得3分； </w:t>
            </w:r>
          </w:p>
          <w:p w14:paraId="002D658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 xml:space="preserve">②方案较完整、较科学合理、针对性较强，与本项目的具体特点和实际需要相适应程度较高，符合项目实施要求的，得2 分； </w:t>
            </w:r>
          </w:p>
          <w:p w14:paraId="6DF4691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 xml:space="preserve">③方案内容一般，科学合理性一般，针对性一般，与本项目的具体特点以及项目实际需要适应程度不够，基本满足实施要求的，得1分； </w:t>
            </w:r>
          </w:p>
          <w:p w14:paraId="0C986A4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FF0000"/>
                <w:sz w:val="24"/>
                <w:szCs w:val="24"/>
                <w:highlight w:val="none"/>
                <w:vertAlign w:val="baseline"/>
                <w:lang w:val="en-US" w:eastAsia="zh-CN" w:bidi="ar-SA"/>
              </w:rPr>
            </w:pPr>
            <w:r>
              <w:rPr>
                <w:rFonts w:hint="eastAsia" w:ascii="宋体" w:hAnsi="宋体" w:eastAsia="宋体" w:cs="宋体"/>
                <w:color w:val="000000" w:themeColor="text1"/>
                <w:sz w:val="24"/>
                <w:szCs w:val="24"/>
                <w:highlight w:val="none"/>
                <w:vertAlign w:val="baseline"/>
                <w:lang w:val="en-US" w:eastAsia="zh-CN" w:bidi="ar-SA"/>
                <w14:textFill>
                  <w14:solidFill>
                    <w14:schemeClr w14:val="tx1"/>
                  </w14:solidFill>
                </w14:textFill>
              </w:rPr>
              <w:t>④未提供的不得分。</w:t>
            </w:r>
          </w:p>
        </w:tc>
      </w:tr>
      <w:tr w14:paraId="73B5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vAlign w:val="center"/>
          </w:tcPr>
          <w:p w14:paraId="068707D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pacing w:val="1"/>
                <w:sz w:val="20"/>
                <w:szCs w:val="20"/>
              </w:rPr>
            </w:pPr>
          </w:p>
        </w:tc>
        <w:tc>
          <w:tcPr>
            <w:tcW w:w="1256" w:type="dxa"/>
            <w:vAlign w:val="center"/>
          </w:tcPr>
          <w:p w14:paraId="065D19E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节能改造</w:t>
            </w:r>
          </w:p>
          <w:p w14:paraId="3D90E77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方案      （14分）</w:t>
            </w:r>
          </w:p>
          <w:p w14:paraId="72EF7EE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pacing w:val="1"/>
                <w:sz w:val="20"/>
                <w:szCs w:val="20"/>
              </w:rPr>
            </w:pPr>
          </w:p>
        </w:tc>
        <w:tc>
          <w:tcPr>
            <w:tcW w:w="6725" w:type="dxa"/>
            <w:vAlign w:val="center"/>
          </w:tcPr>
          <w:p w14:paraId="7664A24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投标人根据本项目需求提供详细的节能改造方案，项目质量管理及保障措施、项目进度计划及保障措施、项目安全管理方案及保障措施服务方案需结合项目的实际情况进行编制， 内容包括但不限于：</w:t>
            </w:r>
          </w:p>
          <w:p w14:paraId="0212246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1.现状分析；</w:t>
            </w:r>
          </w:p>
          <w:p w14:paraId="36DD3D0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2.节能改造分析；</w:t>
            </w:r>
          </w:p>
          <w:p w14:paraId="0D5EFF1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3.节能改造服务内容；</w:t>
            </w:r>
          </w:p>
          <w:p w14:paraId="07E0F42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4.节能改造专项技术方案；</w:t>
            </w:r>
          </w:p>
          <w:p w14:paraId="5DD0E79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5.项目质量管理方案及保障措施；</w:t>
            </w:r>
          </w:p>
          <w:p w14:paraId="137DEEA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6.项目进度计划及保障措施；</w:t>
            </w:r>
          </w:p>
          <w:p w14:paraId="4EA7BFF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7.项目安全管理方案及保障措施；</w:t>
            </w:r>
          </w:p>
          <w:p w14:paraId="2A90442F">
            <w:pPr>
              <w:adjustRightInd w:val="0"/>
              <w:snapToGrid w:val="0"/>
              <w:rPr>
                <w:rFonts w:hint="eastAsia" w:ascii="宋体" w:hAnsi="宋体" w:eastAsia="宋体" w:cs="宋体"/>
                <w:b/>
                <w:bCs/>
                <w:kern w:val="0"/>
                <w:sz w:val="24"/>
                <w:szCs w:val="24"/>
              </w:rPr>
            </w:pPr>
            <w:r>
              <w:rPr>
                <w:rFonts w:hint="eastAsia" w:ascii="宋体" w:hAnsi="宋体" w:eastAsia="宋体" w:cs="宋体"/>
                <w:b/>
                <w:bCs/>
                <w:kern w:val="0"/>
                <w:sz w:val="24"/>
                <w:szCs w:val="24"/>
              </w:rPr>
              <w:t>评审标准：</w:t>
            </w:r>
          </w:p>
          <w:p w14:paraId="7B947937">
            <w:pPr>
              <w:spacing w:before="34" w:line="276" w:lineRule="auto"/>
              <w:rPr>
                <w:rFonts w:hint="eastAsia" w:ascii="宋体" w:hAnsi="宋体" w:eastAsia="宋体" w:cs="宋体"/>
                <w:spacing w:val="7"/>
                <w:kern w:val="0"/>
                <w:sz w:val="24"/>
                <w:szCs w:val="24"/>
              </w:rPr>
            </w:pPr>
            <w:r>
              <w:rPr>
                <w:rFonts w:hint="eastAsia" w:ascii="宋体" w:hAnsi="宋体" w:eastAsia="宋体" w:cs="宋体"/>
                <w:spacing w:val="7"/>
                <w:kern w:val="0"/>
                <w:sz w:val="24"/>
                <w:szCs w:val="24"/>
              </w:rPr>
              <w:t>（1）对投标人提供以上7项内容的得7分，未提供齐全的，每缺一项扣1分，扣完为止。</w:t>
            </w:r>
          </w:p>
          <w:p w14:paraId="7E47C8CE">
            <w:pPr>
              <w:spacing w:before="34" w:line="276" w:lineRule="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spacing w:val="7"/>
                <w:kern w:val="0"/>
                <w:sz w:val="24"/>
                <w:szCs w:val="24"/>
              </w:rPr>
              <w:t>（2）在此基础上，由评审委员会对具体响应内容进一步评审：</w:t>
            </w:r>
          </w:p>
          <w:p w14:paraId="5F271AA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①方案内容完整、方案科学合理、针对性强、与本项目的具体特点和实际需要适应度高、利于项目实施的，得7分； </w:t>
            </w:r>
          </w:p>
          <w:p w14:paraId="7A01654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②方案较完整、较科学合理、针对性较强，与本项目的具体特点和实际需要相适应程度较高，符合项目实施要求的，得4 分； </w:t>
            </w:r>
          </w:p>
          <w:p w14:paraId="46D3141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③方案内容一般，科学合理性一般，针对性一般，与本项目的具体特点以及项目实际需要适应程度不够，基本满足实施要求的，得2分； </w:t>
            </w:r>
          </w:p>
          <w:p w14:paraId="14C3BA8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pacing w:val="9"/>
                <w:sz w:val="20"/>
                <w:szCs w:val="20"/>
              </w:rPr>
            </w:pPr>
            <w:r>
              <w:rPr>
                <w:rFonts w:hint="eastAsia" w:ascii="宋体" w:hAnsi="宋体" w:eastAsia="宋体" w:cs="宋体"/>
                <w:color w:val="auto"/>
                <w:sz w:val="24"/>
                <w:szCs w:val="24"/>
                <w:highlight w:val="none"/>
                <w:vertAlign w:val="baseline"/>
                <w:lang w:val="en-US" w:eastAsia="zh-CN" w:bidi="ar-SA"/>
              </w:rPr>
              <w:t>④未提供的不得分。</w:t>
            </w:r>
          </w:p>
        </w:tc>
      </w:tr>
      <w:tr w14:paraId="2FCD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vAlign w:val="center"/>
          </w:tcPr>
          <w:p w14:paraId="5F7B80B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p>
        </w:tc>
        <w:tc>
          <w:tcPr>
            <w:tcW w:w="1256" w:type="dxa"/>
            <w:vAlign w:val="center"/>
          </w:tcPr>
          <w:p w14:paraId="7BFFA46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维护管理</w:t>
            </w:r>
          </w:p>
          <w:p w14:paraId="35AB723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方案</w:t>
            </w:r>
          </w:p>
          <w:p w14:paraId="5595890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（14分）</w:t>
            </w:r>
          </w:p>
          <w:p w14:paraId="472B0B1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p>
        </w:tc>
        <w:tc>
          <w:tcPr>
            <w:tcW w:w="6725" w:type="dxa"/>
            <w:vAlign w:val="center"/>
          </w:tcPr>
          <w:p w14:paraId="0A9C62C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kern w:val="0"/>
                <w:sz w:val="24"/>
                <w:szCs w:val="20"/>
              </w:rPr>
              <w:t>针对本</w:t>
            </w:r>
            <w:r>
              <w:rPr>
                <w:rFonts w:hint="eastAsia" w:ascii="宋体" w:hAnsi="宋体" w:eastAsia="宋体" w:cs="宋体"/>
                <w:color w:val="auto"/>
                <w:sz w:val="24"/>
                <w:szCs w:val="24"/>
                <w:highlight w:val="none"/>
                <w:vertAlign w:val="baseline"/>
                <w:lang w:val="en-US" w:eastAsia="zh-CN" w:bidi="ar-SA"/>
              </w:rPr>
              <w:t>项目的维护、巡查、检修、抢修、防盗、安全管理及台账管理方案需结合项目的实际情况进行编制，内容包括但不限于：</w:t>
            </w:r>
          </w:p>
          <w:p w14:paraId="69F327F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1.维护人员管理架构</w:t>
            </w:r>
          </w:p>
          <w:p w14:paraId="6C890C2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2.日常巡查方案；</w:t>
            </w:r>
          </w:p>
          <w:p w14:paraId="52C49B4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3.日常检修方案</w:t>
            </w:r>
          </w:p>
          <w:p w14:paraId="570AB54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4.应急抢修方案；</w:t>
            </w:r>
          </w:p>
          <w:p w14:paraId="4CCB5E8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5.设施防盗方案；</w:t>
            </w:r>
          </w:p>
          <w:p w14:paraId="1BAE51E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6.安全管理方案及保障措施；</w:t>
            </w:r>
          </w:p>
          <w:p w14:paraId="5A37EA6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7.台账及管理方案。</w:t>
            </w:r>
          </w:p>
          <w:p w14:paraId="1F720257">
            <w:pPr>
              <w:adjustRightInd w:val="0"/>
              <w:snapToGrid w:val="0"/>
              <w:rPr>
                <w:rFonts w:hint="eastAsia" w:ascii="宋体" w:hAnsi="宋体" w:eastAsia="宋体" w:cs="宋体"/>
                <w:b/>
                <w:bCs/>
                <w:kern w:val="0"/>
                <w:sz w:val="24"/>
                <w:szCs w:val="24"/>
              </w:rPr>
            </w:pPr>
            <w:r>
              <w:rPr>
                <w:rFonts w:hint="eastAsia" w:ascii="宋体" w:hAnsi="宋体" w:eastAsia="宋体" w:cs="宋体"/>
                <w:b/>
                <w:bCs/>
                <w:kern w:val="0"/>
                <w:sz w:val="24"/>
                <w:szCs w:val="24"/>
              </w:rPr>
              <w:t>评审标准：</w:t>
            </w:r>
          </w:p>
          <w:p w14:paraId="1471EA06">
            <w:pPr>
              <w:spacing w:before="34" w:line="276" w:lineRule="auto"/>
              <w:rPr>
                <w:rFonts w:hint="eastAsia" w:ascii="宋体" w:hAnsi="宋体" w:eastAsia="宋体" w:cs="宋体"/>
                <w:spacing w:val="7"/>
                <w:kern w:val="0"/>
                <w:sz w:val="24"/>
                <w:szCs w:val="24"/>
              </w:rPr>
            </w:pPr>
            <w:r>
              <w:rPr>
                <w:rFonts w:hint="eastAsia" w:ascii="宋体" w:hAnsi="宋体" w:eastAsia="宋体" w:cs="宋体"/>
                <w:spacing w:val="7"/>
                <w:kern w:val="0"/>
                <w:sz w:val="24"/>
                <w:szCs w:val="24"/>
              </w:rPr>
              <w:t>（1）对投标人提供以上</w:t>
            </w:r>
            <w:r>
              <w:rPr>
                <w:rFonts w:hint="eastAsia" w:ascii="宋体" w:hAnsi="宋体" w:eastAsia="宋体" w:cs="宋体"/>
                <w:spacing w:val="7"/>
                <w:kern w:val="0"/>
                <w:sz w:val="24"/>
                <w:szCs w:val="24"/>
                <w:lang w:val="en-US" w:eastAsia="zh-CN"/>
              </w:rPr>
              <w:t>7</w:t>
            </w:r>
            <w:r>
              <w:rPr>
                <w:rFonts w:hint="eastAsia" w:ascii="宋体" w:hAnsi="宋体" w:eastAsia="宋体" w:cs="宋体"/>
                <w:spacing w:val="7"/>
                <w:kern w:val="0"/>
                <w:sz w:val="24"/>
                <w:szCs w:val="24"/>
              </w:rPr>
              <w:t>项内容的得7分，未提供齐全的，每缺一项扣1分，扣完为止。</w:t>
            </w:r>
          </w:p>
          <w:p w14:paraId="0F3F58DD">
            <w:pPr>
              <w:spacing w:before="34" w:line="276" w:lineRule="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spacing w:val="7"/>
                <w:kern w:val="0"/>
                <w:sz w:val="24"/>
                <w:szCs w:val="24"/>
              </w:rPr>
              <w:t>（2）在此基础上，由评审委员会对具体响应内容进一步评审：</w:t>
            </w:r>
          </w:p>
          <w:p w14:paraId="1D769F2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①方案内容完整、方案科学合理、针对性强、与本项目的具体特点和实际需要适应度高、利于项目实施的，得7分； </w:t>
            </w:r>
          </w:p>
          <w:p w14:paraId="739F932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②方案较完整、较科学合理、针对性较强，与本项目的具体特点和实际需要相适应程度较高，符合项目实施要求的，得4分； </w:t>
            </w:r>
          </w:p>
          <w:p w14:paraId="236158D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③方案内容一般，科学合理性一般，针对性一般，与本项目的具体特点以及项目实际需要适应程度不够，基本满足实施要求的，得2分； </w:t>
            </w:r>
          </w:p>
          <w:p w14:paraId="12B430C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④未提供的不得分。</w:t>
            </w:r>
          </w:p>
        </w:tc>
      </w:tr>
      <w:tr w14:paraId="5DC9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Align w:val="center"/>
          </w:tcPr>
          <w:p w14:paraId="3D02C8D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p>
        </w:tc>
        <w:tc>
          <w:tcPr>
            <w:tcW w:w="1256" w:type="dxa"/>
            <w:vAlign w:val="center"/>
          </w:tcPr>
          <w:p w14:paraId="600E5F05">
            <w:pPr>
              <w:spacing w:line="276" w:lineRule="auto"/>
              <w:jc w:val="center"/>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kern w:val="0"/>
                <w:sz w:val="24"/>
                <w:szCs w:val="20"/>
              </w:rPr>
              <w:t>投诉受理及应急预案</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val="en-US" w:eastAsia="zh-CN"/>
              </w:rPr>
              <w:t>12</w:t>
            </w:r>
            <w:r>
              <w:rPr>
                <w:rFonts w:hint="eastAsia" w:ascii="宋体" w:hAnsi="宋体" w:eastAsia="宋体" w:cs="宋体"/>
                <w:color w:val="auto"/>
                <w:kern w:val="0"/>
                <w:sz w:val="24"/>
                <w:szCs w:val="20"/>
                <w:highlight w:val="none"/>
              </w:rPr>
              <w:t>分）</w:t>
            </w:r>
          </w:p>
        </w:tc>
        <w:tc>
          <w:tcPr>
            <w:tcW w:w="6725" w:type="dxa"/>
            <w:vAlign w:val="center"/>
          </w:tcPr>
          <w:p w14:paraId="4D6D3EA1">
            <w:pPr>
              <w:spacing w:line="276" w:lineRule="auto"/>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针对本项目维护运营期间制定有针对性的投诉受理及应急预案，</w:t>
            </w:r>
            <w:r>
              <w:rPr>
                <w:rFonts w:hint="eastAsia" w:ascii="宋体" w:hAnsi="宋体" w:eastAsia="宋体" w:cs="宋体"/>
                <w:color w:val="auto"/>
                <w:sz w:val="24"/>
                <w:szCs w:val="24"/>
                <w:highlight w:val="none"/>
                <w:vertAlign w:val="baseline"/>
                <w:lang w:val="en-US" w:eastAsia="zh-CN" w:bidi="ar-SA"/>
              </w:rPr>
              <w:t>内容包括但不限于：</w:t>
            </w:r>
            <w:r>
              <w:rPr>
                <w:rFonts w:hint="eastAsia" w:ascii="宋体" w:hAnsi="宋体" w:eastAsia="宋体" w:cs="宋体"/>
                <w:color w:val="auto"/>
                <w:kern w:val="0"/>
                <w:sz w:val="24"/>
                <w:szCs w:val="20"/>
              </w:rPr>
              <w:t>：</w:t>
            </w:r>
          </w:p>
          <w:p w14:paraId="661EC9C7">
            <w:pPr>
              <w:pStyle w:val="23"/>
              <w:numPr>
                <w:ilvl w:val="0"/>
                <w:numId w:val="0"/>
              </w:numPr>
              <w:spacing w:line="276" w:lineRule="auto"/>
              <w:ind w:leftChars="0"/>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1.</w:t>
            </w:r>
            <w:r>
              <w:rPr>
                <w:rFonts w:hint="eastAsia" w:ascii="宋体" w:hAnsi="宋体" w:eastAsia="宋体" w:cs="宋体"/>
                <w:color w:val="auto"/>
                <w:kern w:val="0"/>
                <w:sz w:val="24"/>
                <w:szCs w:val="20"/>
              </w:rPr>
              <w:t>市民、市长热线投诉、网络媒体曝光等受理处置方案；</w:t>
            </w:r>
          </w:p>
          <w:p w14:paraId="489C8B93">
            <w:pPr>
              <w:pStyle w:val="23"/>
              <w:numPr>
                <w:ilvl w:val="0"/>
                <w:numId w:val="0"/>
              </w:numPr>
              <w:spacing w:line="276" w:lineRule="auto"/>
              <w:ind w:leftChars="0"/>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2.</w:t>
            </w:r>
            <w:r>
              <w:rPr>
                <w:rFonts w:hint="eastAsia" w:ascii="宋体" w:hAnsi="宋体" w:eastAsia="宋体" w:cs="宋体"/>
                <w:color w:val="auto"/>
                <w:kern w:val="0"/>
                <w:sz w:val="24"/>
                <w:szCs w:val="20"/>
              </w:rPr>
              <w:t>路灯大面积灭灯理处置方案；</w:t>
            </w:r>
          </w:p>
          <w:p w14:paraId="52AD0155">
            <w:pPr>
              <w:pStyle w:val="23"/>
              <w:numPr>
                <w:ilvl w:val="0"/>
                <w:numId w:val="0"/>
              </w:numPr>
              <w:spacing w:line="276" w:lineRule="auto"/>
              <w:ind w:leftChars="0"/>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3.</w:t>
            </w:r>
            <w:r>
              <w:rPr>
                <w:rFonts w:hint="eastAsia" w:ascii="宋体" w:hAnsi="宋体" w:eastAsia="宋体" w:cs="宋体"/>
                <w:color w:val="auto"/>
                <w:kern w:val="0"/>
                <w:sz w:val="24"/>
                <w:szCs w:val="20"/>
              </w:rPr>
              <w:t>漏电伤人等路灯突发事件处置方案；</w:t>
            </w:r>
          </w:p>
          <w:p w14:paraId="2A1EFDF9">
            <w:pPr>
              <w:pStyle w:val="23"/>
              <w:numPr>
                <w:ilvl w:val="0"/>
                <w:numId w:val="0"/>
              </w:numPr>
              <w:spacing w:line="276" w:lineRule="auto"/>
              <w:ind w:leftChars="0"/>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4.</w:t>
            </w:r>
            <w:r>
              <w:rPr>
                <w:rFonts w:hint="eastAsia" w:ascii="宋体" w:hAnsi="宋体" w:eastAsia="宋体" w:cs="宋体"/>
                <w:color w:val="auto"/>
                <w:kern w:val="0"/>
                <w:sz w:val="24"/>
                <w:szCs w:val="20"/>
              </w:rPr>
              <w:t>自然灾害应急预案；</w:t>
            </w:r>
          </w:p>
          <w:p w14:paraId="55938E0F">
            <w:pPr>
              <w:pStyle w:val="23"/>
              <w:numPr>
                <w:ilvl w:val="0"/>
                <w:numId w:val="0"/>
              </w:numPr>
              <w:spacing w:line="276" w:lineRule="auto"/>
              <w:ind w:leftChars="0"/>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5.</w:t>
            </w:r>
            <w:r>
              <w:rPr>
                <w:rFonts w:hint="eastAsia" w:ascii="宋体" w:hAnsi="宋体" w:eastAsia="宋体" w:cs="宋体"/>
                <w:color w:val="auto"/>
                <w:kern w:val="0"/>
                <w:sz w:val="24"/>
                <w:szCs w:val="20"/>
              </w:rPr>
              <w:t>重要检查及大型活动等应急预案。</w:t>
            </w:r>
          </w:p>
          <w:p w14:paraId="199F2870">
            <w:pPr>
              <w:adjustRightInd w:val="0"/>
              <w:snapToGrid w:val="0"/>
              <w:rPr>
                <w:rFonts w:hint="eastAsia" w:ascii="宋体" w:hAnsi="宋体" w:eastAsia="宋体" w:cs="宋体"/>
                <w:b/>
                <w:bCs/>
                <w:kern w:val="0"/>
                <w:sz w:val="24"/>
                <w:szCs w:val="24"/>
              </w:rPr>
            </w:pPr>
            <w:r>
              <w:rPr>
                <w:rFonts w:hint="eastAsia" w:ascii="宋体" w:hAnsi="宋体" w:eastAsia="宋体" w:cs="宋体"/>
                <w:b/>
                <w:bCs/>
                <w:kern w:val="0"/>
                <w:sz w:val="24"/>
                <w:szCs w:val="24"/>
              </w:rPr>
              <w:t>评审标准：</w:t>
            </w:r>
          </w:p>
          <w:p w14:paraId="7A2B2BD6">
            <w:pPr>
              <w:spacing w:before="34" w:line="276" w:lineRule="auto"/>
              <w:rPr>
                <w:rFonts w:hint="eastAsia" w:ascii="宋体" w:hAnsi="宋体" w:eastAsia="宋体" w:cs="宋体"/>
                <w:spacing w:val="7"/>
                <w:kern w:val="0"/>
                <w:sz w:val="24"/>
                <w:szCs w:val="24"/>
              </w:rPr>
            </w:pPr>
            <w:r>
              <w:rPr>
                <w:rFonts w:hint="eastAsia" w:ascii="宋体" w:hAnsi="宋体" w:eastAsia="宋体" w:cs="宋体"/>
                <w:spacing w:val="7"/>
                <w:kern w:val="0"/>
                <w:sz w:val="24"/>
                <w:szCs w:val="24"/>
              </w:rPr>
              <w:t>（1）对投标人提供以上</w:t>
            </w:r>
            <w:r>
              <w:rPr>
                <w:rFonts w:hint="eastAsia" w:ascii="宋体" w:hAnsi="宋体" w:eastAsia="宋体" w:cs="宋体"/>
                <w:spacing w:val="7"/>
                <w:kern w:val="0"/>
                <w:sz w:val="24"/>
                <w:szCs w:val="24"/>
                <w:lang w:val="en-US" w:eastAsia="zh-CN"/>
              </w:rPr>
              <w:t>5</w:t>
            </w:r>
            <w:r>
              <w:rPr>
                <w:rFonts w:hint="eastAsia" w:ascii="宋体" w:hAnsi="宋体" w:eastAsia="宋体" w:cs="宋体"/>
                <w:spacing w:val="7"/>
                <w:kern w:val="0"/>
                <w:sz w:val="24"/>
                <w:szCs w:val="24"/>
              </w:rPr>
              <w:t>项内容的得</w:t>
            </w:r>
            <w:r>
              <w:rPr>
                <w:rFonts w:hint="eastAsia" w:ascii="宋体" w:hAnsi="宋体" w:eastAsia="宋体" w:cs="宋体"/>
                <w:spacing w:val="7"/>
                <w:kern w:val="0"/>
                <w:sz w:val="24"/>
                <w:szCs w:val="24"/>
                <w:lang w:val="en-US" w:eastAsia="zh-CN"/>
              </w:rPr>
              <w:t>5</w:t>
            </w:r>
            <w:r>
              <w:rPr>
                <w:rFonts w:hint="eastAsia" w:ascii="宋体" w:hAnsi="宋体" w:eastAsia="宋体" w:cs="宋体"/>
                <w:spacing w:val="7"/>
                <w:kern w:val="0"/>
                <w:sz w:val="24"/>
                <w:szCs w:val="24"/>
              </w:rPr>
              <w:t>分，未提供齐全的，每缺一项扣1分，扣完为止。</w:t>
            </w:r>
          </w:p>
          <w:p w14:paraId="59E0A882">
            <w:pPr>
              <w:spacing w:before="34" w:line="276" w:lineRule="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spacing w:val="7"/>
                <w:kern w:val="0"/>
                <w:sz w:val="24"/>
                <w:szCs w:val="24"/>
              </w:rPr>
              <w:t>（2）在此基础上，由评审委员会对具体响应内容进一步评审：</w:t>
            </w:r>
          </w:p>
          <w:p w14:paraId="3F888BFD">
            <w:pPr>
              <w:spacing w:line="276" w:lineRule="auto"/>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 xml:space="preserve">①方案内容完整、方案科学合理、针对性强、与本项目的具体特点和实际需要适应度高、利于项目实施的，得7分； </w:t>
            </w:r>
          </w:p>
          <w:p w14:paraId="6A1CBD4F">
            <w:pPr>
              <w:spacing w:line="276" w:lineRule="auto"/>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 xml:space="preserve">②方案较完整、较科学合理、针对性较强，与本项目的具体特点和实际需要相适应程度较高，符合项目实施要求的，得4分； </w:t>
            </w:r>
          </w:p>
          <w:p w14:paraId="2025574F">
            <w:pPr>
              <w:spacing w:line="276" w:lineRule="auto"/>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 xml:space="preserve">③方案内容一般，科学合理性一般，针对性一般，与本项目的具体特点以及项目实际需要适应程度不够，基本满足实施要求的，得2分； </w:t>
            </w:r>
          </w:p>
          <w:p w14:paraId="7B1BDA22">
            <w:pPr>
              <w:spacing w:line="276" w:lineRule="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kern w:val="0"/>
                <w:sz w:val="24"/>
                <w:szCs w:val="20"/>
                <w:lang w:val="en-US" w:eastAsia="zh-CN" w:bidi="ar-SA"/>
              </w:rPr>
              <w:t>④未提供的不得分。</w:t>
            </w:r>
          </w:p>
        </w:tc>
      </w:tr>
      <w:tr w14:paraId="5086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vAlign w:val="center"/>
          </w:tcPr>
          <w:p w14:paraId="1034533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商务部分（44分）</w:t>
            </w:r>
          </w:p>
        </w:tc>
        <w:tc>
          <w:tcPr>
            <w:tcW w:w="1256" w:type="dxa"/>
            <w:vMerge w:val="restart"/>
            <w:vAlign w:val="center"/>
          </w:tcPr>
          <w:p w14:paraId="28CA8F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管理人员</w:t>
            </w:r>
          </w:p>
          <w:p w14:paraId="07AEF5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（6分）</w:t>
            </w:r>
          </w:p>
          <w:p w14:paraId="59C7AF5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p>
        </w:tc>
        <w:tc>
          <w:tcPr>
            <w:tcW w:w="6725" w:type="dxa"/>
            <w:vAlign w:val="center"/>
          </w:tcPr>
          <w:p w14:paraId="16C9B7B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拟投入项目负责人（1 人）： </w:t>
            </w:r>
          </w:p>
          <w:p w14:paraId="4FC35C9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（1）具有机电工程一级注册建造师证且具有机电（电气）专业副高级或以上工程师得 2分，本小项最高得2分； </w:t>
            </w:r>
          </w:p>
          <w:p w14:paraId="6096DBF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注：须提供以上人员的相关证书，以上证书人员须为投标企业在职人员；并提供近3个月的有效缴纳社保证明材料。未提供证明材料或模糊不清无法辨识的，资料不全不得分</w:t>
            </w:r>
          </w:p>
        </w:tc>
      </w:tr>
      <w:tr w14:paraId="6435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vAlign w:val="center"/>
          </w:tcPr>
          <w:p w14:paraId="7C2AECB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p>
        </w:tc>
        <w:tc>
          <w:tcPr>
            <w:tcW w:w="1256" w:type="dxa"/>
            <w:vMerge w:val="continue"/>
            <w:vAlign w:val="center"/>
          </w:tcPr>
          <w:p w14:paraId="25D551D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p>
        </w:tc>
        <w:tc>
          <w:tcPr>
            <w:tcW w:w="6725" w:type="dxa"/>
            <w:vAlign w:val="center"/>
          </w:tcPr>
          <w:p w14:paraId="1BAAED1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拟投入改造技术负责人（1 人）： </w:t>
            </w:r>
          </w:p>
          <w:p w14:paraId="3131DE6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具有注册电气工程师（供配电）证得 2 分。 </w:t>
            </w:r>
          </w:p>
          <w:p w14:paraId="752C9CD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注：须提供以上人员的相关证书，以上证书人员须为投标企业在职人员；并提供近3个月的有效缴纳社保证明材料。未提供证明材料或模糊不清无法辨识的，资料不全不得分</w:t>
            </w:r>
          </w:p>
        </w:tc>
      </w:tr>
      <w:tr w14:paraId="01C4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vAlign w:val="center"/>
          </w:tcPr>
          <w:p w14:paraId="1ACA21F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p>
        </w:tc>
        <w:tc>
          <w:tcPr>
            <w:tcW w:w="1256" w:type="dxa"/>
            <w:vMerge w:val="continue"/>
            <w:vAlign w:val="center"/>
          </w:tcPr>
          <w:p w14:paraId="33C1F8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p>
        </w:tc>
        <w:tc>
          <w:tcPr>
            <w:tcW w:w="6725" w:type="dxa"/>
            <w:vAlign w:val="center"/>
          </w:tcPr>
          <w:p w14:paraId="13966FB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拟投入安全负责人（1 人）： </w:t>
            </w:r>
          </w:p>
          <w:p w14:paraId="0339210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具有安全工程类本科（或以上）学历的基础上： </w:t>
            </w:r>
          </w:p>
          <w:p w14:paraId="2D7671B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同时具有中级或以上注册安全工程师证得 2 分。 </w:t>
            </w:r>
          </w:p>
          <w:p w14:paraId="7C4841A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注：须提供以上人员的相关证书，以上证书人员须为投标企业在职人员；并提供近3个月的有效缴纳社保证明材料。未提供证明材料或模糊不清无法辨识的，资料不全不得分</w:t>
            </w:r>
          </w:p>
        </w:tc>
      </w:tr>
      <w:tr w14:paraId="2594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vAlign w:val="center"/>
          </w:tcPr>
          <w:p w14:paraId="53DBDB7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p>
        </w:tc>
        <w:tc>
          <w:tcPr>
            <w:tcW w:w="1256" w:type="dxa"/>
            <w:vAlign w:val="center"/>
          </w:tcPr>
          <w:p w14:paraId="2A9CC0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改造施工</w:t>
            </w:r>
          </w:p>
          <w:p w14:paraId="192B46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人员</w:t>
            </w:r>
          </w:p>
          <w:p w14:paraId="7AEA38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（6分）</w:t>
            </w:r>
          </w:p>
          <w:p w14:paraId="68BD9E9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p>
        </w:tc>
        <w:tc>
          <w:tcPr>
            <w:tcW w:w="6725" w:type="dxa"/>
            <w:vAlign w:val="center"/>
          </w:tcPr>
          <w:p w14:paraId="6E4828F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拟投入改造施工人员：具有中华人民共和国特种作业操作证：（低压电工作业）和中华人民共和国特种作业操作证：（高处安装、维护、拆除作业）的基础上，同时具有电工或维修电工四级（中级）及以上职业技能等级（职业资格）证书的每人得 1 分，最多得6分。 </w:t>
            </w:r>
          </w:p>
          <w:p w14:paraId="621B648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注：须提供以上人员的相关证书，以上证书人员须为投标企业在职人员；并提供近3个月的有效缴纳社保证明材料。未提供证明材料或模糊不清无法辨识的，资料不全不得分</w:t>
            </w:r>
          </w:p>
          <w:p w14:paraId="7AF2C2B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职业技能等级（职业资格）证书查询网址： </w:t>
            </w:r>
          </w:p>
          <w:p w14:paraId="5D4C13E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http://zscx.osta.org.cn/ </w:t>
            </w:r>
          </w:p>
          <w:p w14:paraId="26CF736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中华人民共和国特种作业操作证查询网址： </w:t>
            </w:r>
          </w:p>
          <w:p w14:paraId="6069633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https://cx.mem.gov.cn/</w:t>
            </w:r>
          </w:p>
        </w:tc>
      </w:tr>
      <w:tr w14:paraId="574C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vAlign w:val="center"/>
          </w:tcPr>
          <w:p w14:paraId="795B3A4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p>
        </w:tc>
        <w:tc>
          <w:tcPr>
            <w:tcW w:w="1256" w:type="dxa"/>
            <w:vMerge w:val="restart"/>
            <w:vAlign w:val="center"/>
          </w:tcPr>
          <w:p w14:paraId="50A6CB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lang w:val="en-US" w:eastAsia="zh-CN" w:bidi="ar"/>
              </w:rPr>
            </w:pPr>
          </w:p>
          <w:p w14:paraId="6B2B8C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lang w:val="en-US" w:eastAsia="zh-CN" w:bidi="ar"/>
              </w:rPr>
            </w:pPr>
          </w:p>
          <w:p w14:paraId="693B01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lang w:val="en-US" w:eastAsia="zh-CN" w:bidi="ar"/>
              </w:rPr>
            </w:pPr>
          </w:p>
          <w:p w14:paraId="06C740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lang w:val="en-US" w:eastAsia="zh-CN" w:bidi="ar"/>
              </w:rPr>
            </w:pPr>
          </w:p>
          <w:p w14:paraId="3F0A1C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运维人员</w:t>
            </w:r>
          </w:p>
          <w:p w14:paraId="3FDF68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（16分）</w:t>
            </w:r>
          </w:p>
          <w:p w14:paraId="10A4633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p>
        </w:tc>
        <w:tc>
          <w:tcPr>
            <w:tcW w:w="6725" w:type="dxa"/>
            <w:vAlign w:val="center"/>
          </w:tcPr>
          <w:p w14:paraId="700F1D9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拟投入运维技术主管（1 人）： </w:t>
            </w:r>
          </w:p>
          <w:p w14:paraId="2A237E7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具有电工一级（高级技师）职业技能等级（职业资格）证书的基础上； </w:t>
            </w:r>
          </w:p>
          <w:p w14:paraId="20B2EFD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（1）具有中华人民共和国特种作业操作证（操作项目：低压电工作业）的得2分；</w:t>
            </w:r>
          </w:p>
          <w:p w14:paraId="6D79B62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（2）具有中华人民共和国特种作业操作证（操作项目：高压电工作业）的得2分；</w:t>
            </w:r>
          </w:p>
          <w:p w14:paraId="096B4FA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（3）具有中华人民共和国特种作业操作证：（高处安装、维护、拆除作业）的得2 分；  </w:t>
            </w:r>
          </w:p>
          <w:p w14:paraId="281E581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注：须提供以上人员的相关证书，以上证书人员须为投标企业在职人员；并提供近3个月的有效缴纳社保证明材料。未提供证明材料或模糊不清无法辨识的，资料不全不得分</w:t>
            </w:r>
          </w:p>
          <w:p w14:paraId="7F41BB8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职业技能等级（职业资格）证书查询网址： </w:t>
            </w:r>
          </w:p>
          <w:p w14:paraId="3C13342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http://zscx.osta.org.cn/ </w:t>
            </w:r>
          </w:p>
          <w:p w14:paraId="20334DF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中华人民共和国特种作业操作证查询网址： </w:t>
            </w:r>
          </w:p>
          <w:p w14:paraId="4F91624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https://cx.mem.gov.cn/</w:t>
            </w:r>
          </w:p>
        </w:tc>
      </w:tr>
      <w:tr w14:paraId="564F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vAlign w:val="center"/>
          </w:tcPr>
          <w:p w14:paraId="3DBD21C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p>
        </w:tc>
        <w:tc>
          <w:tcPr>
            <w:tcW w:w="1256" w:type="dxa"/>
            <w:vMerge w:val="continue"/>
            <w:vAlign w:val="center"/>
          </w:tcPr>
          <w:p w14:paraId="22342FF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p>
        </w:tc>
        <w:tc>
          <w:tcPr>
            <w:tcW w:w="6725" w:type="dxa"/>
            <w:vAlign w:val="center"/>
          </w:tcPr>
          <w:p w14:paraId="7703CB0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拟投入运维人员： </w:t>
            </w:r>
          </w:p>
          <w:p w14:paraId="23D3489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在具有中华人民共和国特种作业操作证（操作项目：低压电工作业）和中华人民共和国特种作业操作证（操作项目：高处安装、维护、拆除作业）的基础上，同时具有电工或维修电工三级（高级）及以上职业技能等级（职业资格）证书的每人得2分，最多得10分。 </w:t>
            </w:r>
          </w:p>
          <w:p w14:paraId="74853BF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注：须提供以上人员的相关证书，以上证书人员须为投标企业在职人员；并提供近3个月的有效缴纳社保证明材料。未提供证明材料或模糊不清无法辨识的，资料不全不得分</w:t>
            </w:r>
          </w:p>
          <w:p w14:paraId="4CD5332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职业技能等级（职业资格）证书查询网址： </w:t>
            </w:r>
          </w:p>
          <w:p w14:paraId="702445E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http://zscx.osta.org.cn/ </w:t>
            </w:r>
          </w:p>
          <w:p w14:paraId="6991DD4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中华人民共和国特种作业操作证查询网址： </w:t>
            </w:r>
          </w:p>
          <w:p w14:paraId="06A2383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https://cx.mem.gov.cn/</w:t>
            </w:r>
          </w:p>
        </w:tc>
      </w:tr>
      <w:tr w14:paraId="5138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98" w:type="dxa"/>
            <w:vMerge w:val="continue"/>
            <w:vAlign w:val="center"/>
          </w:tcPr>
          <w:p w14:paraId="7CC2314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p>
        </w:tc>
        <w:tc>
          <w:tcPr>
            <w:tcW w:w="1256" w:type="dxa"/>
            <w:vAlign w:val="center"/>
          </w:tcPr>
          <w:p w14:paraId="0548ED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拟投入的</w:t>
            </w:r>
          </w:p>
          <w:p w14:paraId="1CE003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车辆    （3分）</w:t>
            </w:r>
          </w:p>
          <w:p w14:paraId="7B955F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p>
        </w:tc>
        <w:tc>
          <w:tcPr>
            <w:tcW w:w="6725" w:type="dxa"/>
            <w:vAlign w:val="center"/>
          </w:tcPr>
          <w:p w14:paraId="619E63A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①投标人自有或租赁高空升降作业车（作业高度≥17 米）， 提供 1 辆服务于本项目的得1分，最多得1分； </w:t>
            </w:r>
          </w:p>
          <w:p w14:paraId="680DD2E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②投标人自有或租赁货车（轻型或中型），提供1 辆服务于本项目的得1分，最多得1分； </w:t>
            </w:r>
          </w:p>
          <w:p w14:paraId="5CAD39C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③投标人每自有或租赁防撞导向缓冲车（轻型专项作业车）， </w:t>
            </w:r>
          </w:p>
          <w:p w14:paraId="4490389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提供 1 辆服务于本项目的得1分，最多得1分。 </w:t>
            </w:r>
          </w:p>
          <w:p w14:paraId="2EE5CD8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自有车辆须同时提供车辆清晰图片、投标企业所属车辆行驶证、车辆登记证及购买发票或合同扫描件；租赁车辆须同时提供车辆清晰图片、车辆行驶证、车辆登记证、租赁合同及租赁费用发票扫描件，未按要求提供证明材料或模糊不清无法辨识的，本项不得分。</w:t>
            </w:r>
          </w:p>
        </w:tc>
      </w:tr>
      <w:tr w14:paraId="673C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vAlign w:val="center"/>
          </w:tcPr>
          <w:p w14:paraId="2755804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p>
        </w:tc>
        <w:tc>
          <w:tcPr>
            <w:tcW w:w="1256" w:type="dxa"/>
            <w:vAlign w:val="center"/>
          </w:tcPr>
          <w:p w14:paraId="3B0368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拟投入的</w:t>
            </w:r>
          </w:p>
          <w:p w14:paraId="741547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检测设备</w:t>
            </w:r>
          </w:p>
          <w:p w14:paraId="7723F6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（3分）</w:t>
            </w:r>
          </w:p>
          <w:p w14:paraId="4DB4633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p>
        </w:tc>
        <w:tc>
          <w:tcPr>
            <w:tcW w:w="6725" w:type="dxa"/>
            <w:vAlign w:val="center"/>
          </w:tcPr>
          <w:p w14:paraId="30B0D10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（1）提供电缆绝缘测试仪，每台得 1 分，最多得 1 分； </w:t>
            </w:r>
          </w:p>
          <w:p w14:paraId="71A43A5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（2）提供电缆故障仪，每台得 1 分，最多得 1 分； </w:t>
            </w:r>
          </w:p>
          <w:p w14:paraId="5DB565B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（3）提供耐高压试验检测仪，每台得 1 分，最多得 1 分。 </w:t>
            </w:r>
          </w:p>
          <w:p w14:paraId="752F6F6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注：须同时提供设备清晰图片及设备购买发票，未按要求提供证明材料或模糊不清无法辨识的，本项不得分。</w:t>
            </w:r>
          </w:p>
        </w:tc>
      </w:tr>
      <w:tr w14:paraId="7EA2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vAlign w:val="center"/>
          </w:tcPr>
          <w:p w14:paraId="63A6C9E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p>
        </w:tc>
        <w:tc>
          <w:tcPr>
            <w:tcW w:w="1256" w:type="dxa"/>
            <w:vAlign w:val="center"/>
          </w:tcPr>
          <w:p w14:paraId="4BC1F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投标企业类似业绩（6分）</w:t>
            </w:r>
          </w:p>
          <w:p w14:paraId="29621BE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FF"/>
                <w:sz w:val="24"/>
                <w:szCs w:val="24"/>
                <w:highlight w:val="none"/>
                <w:vertAlign w:val="baseline"/>
                <w:lang w:val="en-US" w:eastAsia="zh-CN" w:bidi="ar-SA"/>
              </w:rPr>
            </w:pPr>
          </w:p>
        </w:tc>
        <w:tc>
          <w:tcPr>
            <w:tcW w:w="6725" w:type="dxa"/>
            <w:vAlign w:val="center"/>
          </w:tcPr>
          <w:p w14:paraId="3357451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kern w:val="0"/>
                <w:sz w:val="24"/>
                <w:szCs w:val="20"/>
              </w:rPr>
              <w:t>投标人近三年内</w:t>
            </w:r>
            <w:r>
              <w:rPr>
                <w:rFonts w:hint="eastAsia" w:ascii="宋体" w:hAnsi="宋体" w:eastAsia="宋体" w:cs="宋体"/>
                <w:color w:val="auto"/>
                <w:kern w:val="0"/>
                <w:sz w:val="24"/>
                <w:szCs w:val="20"/>
                <w:lang w:bidi="ar"/>
              </w:rPr>
              <w:t>（2022年6月1日起至今，以合同签订日期为准。）</w:t>
            </w:r>
            <w:r>
              <w:rPr>
                <w:rFonts w:hint="eastAsia" w:ascii="宋体" w:hAnsi="宋体" w:eastAsia="宋体" w:cs="宋体"/>
                <w:color w:val="auto"/>
                <w:kern w:val="0"/>
                <w:sz w:val="24"/>
                <w:szCs w:val="20"/>
              </w:rPr>
              <w:t>承接的类似业绩（路灯合同能源管理</w:t>
            </w:r>
            <w:r>
              <w:rPr>
                <w:rFonts w:hint="eastAsia" w:ascii="宋体" w:hAnsi="宋体" w:eastAsia="宋体" w:cs="宋体"/>
                <w:color w:val="auto"/>
                <w:kern w:val="0"/>
                <w:sz w:val="24"/>
                <w:szCs w:val="20"/>
                <w:lang w:eastAsia="zh-CN"/>
              </w:rPr>
              <w:t>：</w:t>
            </w:r>
            <w:r>
              <w:rPr>
                <w:rFonts w:hint="eastAsia" w:ascii="宋体" w:hAnsi="宋体" w:eastAsia="宋体" w:cs="宋体"/>
                <w:color w:val="auto"/>
                <w:kern w:val="0"/>
                <w:sz w:val="24"/>
                <w:szCs w:val="20"/>
              </w:rPr>
              <w:t>能源费用托管型），</w:t>
            </w:r>
            <w:r>
              <w:rPr>
                <w:rFonts w:hint="eastAsia" w:ascii="宋体" w:hAnsi="宋体" w:eastAsia="宋体" w:cs="宋体"/>
                <w:color w:val="auto"/>
                <w:sz w:val="24"/>
                <w:szCs w:val="24"/>
                <w:highlight w:val="none"/>
                <w:vertAlign w:val="baseline"/>
                <w:lang w:val="en-US" w:eastAsia="zh-CN" w:bidi="ar-SA"/>
              </w:rPr>
              <w:t>每提供一份完整的业绩得 2分，最多得6分。未提供类似业绩证明材料或模糊不清无法辨识的，视为无效业绩。</w:t>
            </w:r>
          </w:p>
          <w:p w14:paraId="37CBDEA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FF"/>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注：须提供中标（成交）通知书、合同关键页、履约评价的原件扫描件，缺一项不得分</w:t>
            </w:r>
          </w:p>
        </w:tc>
      </w:tr>
      <w:tr w14:paraId="5587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vAlign w:val="center"/>
          </w:tcPr>
          <w:p w14:paraId="41C8E35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p>
        </w:tc>
        <w:tc>
          <w:tcPr>
            <w:tcW w:w="1256" w:type="dxa"/>
            <w:vAlign w:val="center"/>
          </w:tcPr>
          <w:p w14:paraId="64F1B0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企业实力及管理体系 （4分）</w:t>
            </w:r>
          </w:p>
          <w:p w14:paraId="59CA51F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vertAlign w:val="baseline"/>
                <w:lang w:val="en-US" w:eastAsia="zh-CN" w:bidi="ar-SA"/>
              </w:rPr>
            </w:pPr>
          </w:p>
        </w:tc>
        <w:tc>
          <w:tcPr>
            <w:tcW w:w="6725" w:type="dxa"/>
            <w:vAlign w:val="center"/>
          </w:tcPr>
          <w:p w14:paraId="72B7207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投标人具有有效的： </w:t>
            </w:r>
          </w:p>
          <w:p w14:paraId="1B8A510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（1）合同能源管理服务认证证书的得 1 分； </w:t>
            </w:r>
          </w:p>
          <w:p w14:paraId="486FA24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（2）节能技术服务认证证书的得 1 分； </w:t>
            </w:r>
          </w:p>
          <w:p w14:paraId="695C6D7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（3）能源管理体系认证证书的得 1 分； </w:t>
            </w:r>
          </w:p>
          <w:p w14:paraId="780CEA8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（4）绿色照明服务认证证书的得 1 分。 </w:t>
            </w:r>
          </w:p>
          <w:p w14:paraId="39E1D1D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（以上认证证书的（认证范围需覆盖（适用）范围同时包含： </w:t>
            </w:r>
          </w:p>
          <w:p w14:paraId="6967306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bidi="ar-SA"/>
              </w:rPr>
              <w:t xml:space="preserve">“城市及道路照明工程专业承包施工（或工程）、管养（或维护）、照明节能改造（或合同能源管理）”相关内容，同时提供认证证书及网站备案登记） </w:t>
            </w:r>
          </w:p>
          <w:p w14:paraId="35FEDA8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 xml:space="preserve">注：提供相关证书和全国认证认可信息公共服务平台 </w:t>
            </w:r>
          </w:p>
          <w:p w14:paraId="1806DB5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sz w:val="24"/>
                <w:szCs w:val="24"/>
                <w:highlight w:val="none"/>
                <w:vertAlign w:val="baseline"/>
                <w:lang w:val="en-US" w:eastAsia="zh-CN" w:bidi="ar-SA"/>
              </w:rPr>
              <w:t>（http://cx.cnca.cn/CertECloud/index/index/page）的证书查询。未按要求提供证明材料或模糊不清无法辨识的，本项不得分</w:t>
            </w:r>
          </w:p>
        </w:tc>
      </w:tr>
      <w:tr w14:paraId="5CB3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9" w:type="dxa"/>
            <w:gridSpan w:val="3"/>
            <w:vAlign w:val="center"/>
          </w:tcPr>
          <w:p w14:paraId="54B0D07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bidi="ar-SA"/>
              </w:rPr>
              <w:t>注：以上人员证件每证只计分一次</w:t>
            </w:r>
          </w:p>
        </w:tc>
      </w:tr>
    </w:tbl>
    <w:p w14:paraId="50C012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w:t>
      </w:r>
    </w:p>
    <w:p w14:paraId="349650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1、根据《政府采购服务和服务招投标管理办法》第 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6B69D4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2、供应商在评标过程中，所进行的力图影响评标结果的不符合招标规则的活动，可能导致其被取消中标资格。 </w:t>
      </w:r>
    </w:p>
    <w:p w14:paraId="7F9CB79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3、与招标文件有重大偏离的投标文件将被拒绝。 </w:t>
      </w:r>
    </w:p>
    <w:p w14:paraId="3C7546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附：对于商务部分（投标报价）的评分，按以下方法进行：价格分统一采用低价优先法计算，即满足招标文件要求且评标价格最低的报价为评标基准价，其价格分为满分。其他投标人的价格分统一按照下列公式计算：报价得分=(评标基准价／评标价格)×100×价格权重 </w:t>
      </w:r>
    </w:p>
    <w:p w14:paraId="26E6A7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4、各评标委员会成员对每个投标人的上述指标的打分（除报价外）的算术平均分，加上经计算的 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中标候选人。 </w:t>
      </w:r>
    </w:p>
    <w:p w14:paraId="0F7166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5、最低报价不作为评标的唯一依据。采购人不承诺将合同授予报价最低的投标人。 </w:t>
      </w:r>
    </w:p>
    <w:p w14:paraId="3B0368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6、经评标委员会评议，认为投标报价过高、超出采购人预算的项目，可以不确立中标人，做为废标处理。 </w:t>
      </w:r>
    </w:p>
    <w:p w14:paraId="2790DA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7、如评标专家在检验电子标书过程中，如果由于投标人自身原因导致评标专家无法查看并检验电子标书中以上相关资料的，否决其投标。即使投标单位将原件携带至现场的，同样按无效投标处理。</w:t>
      </w:r>
    </w:p>
    <w:p w14:paraId="7DF3E34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 推荐中标候选人</w:t>
      </w:r>
    </w:p>
    <w:p w14:paraId="0048C8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11.评标委员会推荐 3 名中标候选人，并标明排序。</w:t>
      </w:r>
    </w:p>
    <w:p w14:paraId="3AC4DE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12.无效投标条款</w:t>
      </w:r>
    </w:p>
    <w:p w14:paraId="5EE26C1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12.1 投标文件有下列情形之一的,其投标文件拒收 :</w:t>
      </w:r>
    </w:p>
    <w:p w14:paraId="61523A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（1）未在开标截止时间前通过网上招标投标系统递交有效电子投标文件的，开标系统不予接收。</w:t>
      </w:r>
    </w:p>
    <w:p w14:paraId="193F80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（2）所有投标人应在规定时间里完成投标文件的解密工作【投标人使用其有效加密锁（CA 锁）进行解密（因投标人原因未能提供有效 CA 锁对其投标文件进行解密的，其投标文件按无效标处理）， 以网上招投标系统解密倒计时为准】，因系统原因未能成功解密的投标文件，可导入备份投标文件。备份投标文件也无法导入的，则投标文件被否决。</w:t>
      </w:r>
    </w:p>
    <w:p w14:paraId="56A4432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12.2 投标人有下列情形之一的,资格审查后其投标作无效投标处理：</w:t>
      </w:r>
    </w:p>
    <w:p w14:paraId="113BCB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(1)投标人为本项目提供招标代理服务的；</w:t>
      </w:r>
    </w:p>
    <w:p w14:paraId="4895A5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(2)投标人与在本项目代理机构存在相互任职或工作的；</w:t>
      </w:r>
    </w:p>
    <w:p w14:paraId="21E04E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(3)投标保证金未按规定要求缴纳的；</w:t>
      </w:r>
    </w:p>
    <w:p w14:paraId="7EC4A1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(4)评标专家无法查看并检验电子标书中相关资料的；</w:t>
      </w:r>
    </w:p>
    <w:p w14:paraId="72BC8F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(5)投标人超出营业范围投标的；</w:t>
      </w:r>
    </w:p>
    <w:p w14:paraId="1B8BED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(6)联合体投标未提交联合体协议的；</w:t>
      </w:r>
    </w:p>
    <w:p w14:paraId="4B75F0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(7)被暂停营业的；</w:t>
      </w:r>
    </w:p>
    <w:p w14:paraId="066724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(8)被暂停或取消投标资格的；</w:t>
      </w:r>
    </w:p>
    <w:p w14:paraId="0E0814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(9)财产被接管或冻结的；</w:t>
      </w:r>
    </w:p>
    <w:p w14:paraId="48C6A4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(10)投标人单位负责人为同一人或者存在控股、管理关系的不同单位的；</w:t>
      </w:r>
    </w:p>
    <w:p w14:paraId="47666B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（11）投标人基本资格条件和特定资格条件中有一项及以上不符合要求的；</w:t>
      </w:r>
    </w:p>
    <w:p w14:paraId="2A2FA12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（12）投标人使用相同的 MAC 地址进行报名的；</w:t>
      </w:r>
    </w:p>
    <w:p w14:paraId="66FA30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（13）其它情形，经评标委员会委提出按无效投标处理，并经公共资源交易监督部门核准的；</w:t>
      </w:r>
    </w:p>
    <w:p w14:paraId="330781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（14）投标人使用相同 IP 地址报名的，一经发现，监管部门将进一步核实，查实后按串通投标处理；</w:t>
      </w:r>
    </w:p>
    <w:p w14:paraId="53CAEE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（15）采购文件规定的其它无效投标情形。</w:t>
      </w:r>
    </w:p>
    <w:p w14:paraId="09977D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12.3 投标人有下列情形之一的,符合性审查后其投标按无效投标处理：</w:t>
      </w:r>
    </w:p>
    <w:p w14:paraId="7832B1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(1)投标文件签字、盖章不全，经评标委员会一致认定对开评标内容有实质性影响并经监督部门核准的；</w:t>
      </w:r>
    </w:p>
    <w:p w14:paraId="229BCB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(2)未按规定的格式填写，实质性内容不全或关键字迹模糊、无法辨认; 经监督部门核准的；</w:t>
      </w:r>
    </w:p>
    <w:p w14:paraId="0AA146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(3)同一投标人提交两个以上不同的投标文件或者投标报价，但采购文件规定提交备选方案的除外；</w:t>
      </w:r>
    </w:p>
    <w:p w14:paraId="2B78F6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(4)投标文件没有对采购文件的实质性要求和条件作出响应;</w:t>
      </w:r>
    </w:p>
    <w:p w14:paraId="0C431F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(5)投标报价超出规定的投标限价或公布的采购预算的，否则，其投标文件将按无效投标处理。</w:t>
      </w:r>
    </w:p>
    <w:p w14:paraId="798788E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(6)不按评标委员会要求澄清、说明或补正的，或者评标委员会根据采购文件的规定对采购文件的计算错误进行修正后，投标人不接受修正的投标报价的。</w:t>
      </w:r>
    </w:p>
    <w:p w14:paraId="54764E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（7）其它情形，经评标委员会委提出按无效投标处理，并经公共资源交易监督部门核准的；</w:t>
      </w:r>
    </w:p>
    <w:p w14:paraId="0D7590D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（8）未按照招标文件的规定提交投标保证金的；</w:t>
      </w:r>
    </w:p>
    <w:p w14:paraId="4ED201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（9）投标文件含有采购人不能接受的附加条件的 ;</w:t>
      </w:r>
    </w:p>
    <w:p w14:paraId="584ABE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（10）采购文件规定的其它无效投标情形。</w:t>
      </w:r>
    </w:p>
    <w:p w14:paraId="24D328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12.4 投标人有下列情形之一的, 详细评审后其投标按无效投标处理：</w:t>
      </w:r>
    </w:p>
    <w:p w14:paraId="18F795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（1）投标产品不符合必须强制执行的国家标准的；</w:t>
      </w:r>
    </w:p>
    <w:p w14:paraId="7437F99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（2）投标人有串通投标、弄虚作假、行贿等违法行为；</w:t>
      </w:r>
    </w:p>
    <w:p w14:paraId="1462F6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（3）投标文件含有违反国家法律、法规的内容，或附有招标人不能接受的条件的；</w:t>
      </w:r>
    </w:p>
    <w:p w14:paraId="2CA236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（4）在同一项目（或同一标段）中有多个投标人有效投标报价接近最高限价，且评标委员会认为报价 出现异常的，可以宣布其投标无效；</w:t>
      </w:r>
    </w:p>
    <w:p w14:paraId="0502F8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（5）报价明显低于其他投标人，且不能证明报价合理性的投标无效；</w:t>
      </w:r>
    </w:p>
    <w:p w14:paraId="5B0E83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（6）拒不确认评标委员会评审修正的投标无效；</w:t>
      </w:r>
    </w:p>
    <w:p w14:paraId="3123ED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（7）其它情形，经评标委员会委提出按无效投标处理，并经公共资源交易监督部门核准的；</w:t>
      </w:r>
    </w:p>
    <w:p w14:paraId="2F27ECA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（8）采购文件规定的其它无效投标情形。</w:t>
      </w:r>
    </w:p>
    <w:p w14:paraId="6191929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sz w:val="36"/>
          <w:szCs w:val="36"/>
          <w:lang w:val="en-US" w:eastAsia="zh-CN"/>
        </w:rPr>
      </w:pPr>
    </w:p>
    <w:p w14:paraId="6480DF17">
      <w:pPr>
        <w:keepNext w:val="0"/>
        <w:keepLines w:val="0"/>
        <w:pageBreakBefore w:val="0"/>
        <w:widowControl/>
        <w:kinsoku/>
        <w:wordWrap/>
        <w:overflowPunct/>
        <w:topLinePunct w:val="0"/>
        <w:autoSpaceDE/>
        <w:autoSpaceDN/>
        <w:bidi w:val="0"/>
        <w:adjustRightInd/>
        <w:snapToGrid/>
        <w:spacing w:line="400" w:lineRule="atLeast"/>
        <w:jc w:val="both"/>
        <w:textAlignment w:val="center"/>
        <w:rPr>
          <w:rFonts w:hint="eastAsia" w:ascii="宋体" w:hAnsi="宋体" w:eastAsia="宋体" w:cs="宋体"/>
          <w:b/>
          <w:bCs w:val="0"/>
          <w:color w:val="auto"/>
          <w:kern w:val="0"/>
          <w:sz w:val="28"/>
          <w:szCs w:val="28"/>
          <w:lang w:val="en-US" w:eastAsia="zh-CN"/>
        </w:rPr>
      </w:pPr>
    </w:p>
    <w:p w14:paraId="20F2EF70">
      <w:pPr>
        <w:pStyle w:val="2"/>
        <w:bidi w:val="0"/>
        <w:rPr>
          <w:rFonts w:hint="eastAsia"/>
          <w:lang w:val="en-US" w:eastAsia="zh-CN"/>
        </w:rPr>
      </w:pPr>
      <w:bookmarkStart w:id="53" w:name="_Toc7743"/>
      <w:r>
        <w:rPr>
          <w:rFonts w:hint="eastAsia"/>
          <w:lang w:val="en-US" w:eastAsia="zh-CN"/>
        </w:rPr>
        <w:t>第四章 采购需求及商务要求</w:t>
      </w:r>
      <w:bookmarkEnd w:id="53"/>
    </w:p>
    <w:p w14:paraId="041B8E4D">
      <w:pPr>
        <w:pStyle w:val="3"/>
        <w:kinsoku/>
        <w:spacing w:before="0" w:after="0" w:line="360" w:lineRule="auto"/>
        <w:rPr>
          <w:rFonts w:hint="eastAsia" w:ascii="宋体" w:hAnsi="宋体" w:eastAsia="宋体" w:cs="宋体"/>
          <w:color w:val="auto"/>
          <w:sz w:val="24"/>
          <w:szCs w:val="24"/>
          <w:lang w:val="en-US" w:eastAsia="zh-CN"/>
        </w:rPr>
      </w:pPr>
      <w:bookmarkStart w:id="54" w:name="bookmark16"/>
      <w:bookmarkEnd w:id="54"/>
      <w:bookmarkStart w:id="55" w:name="_Toc172714883"/>
      <w:r>
        <w:rPr>
          <w:rFonts w:hint="eastAsia" w:ascii="宋体" w:hAnsi="宋体" w:eastAsia="宋体" w:cs="宋体"/>
          <w:color w:val="auto"/>
          <w:sz w:val="28"/>
          <w:szCs w:val="28"/>
          <w:lang w:val="en-US" w:eastAsia="zh-CN"/>
        </w:rPr>
        <w:t>一、采购需求</w:t>
      </w:r>
    </w:p>
    <w:bookmarkEnd w:id="55"/>
    <w:p w14:paraId="160A31AD">
      <w:pPr>
        <w:pStyle w:val="3"/>
        <w:kinsoku/>
        <w:spacing w:before="0" w:after="0"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）项目概况及招标范围</w:t>
      </w:r>
    </w:p>
    <w:p w14:paraId="36017BE0">
      <w:pPr>
        <w:kinsoku/>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1.项目名称：阿图什市“道路照明合同能源托管+智慧化运维服务”项目</w:t>
      </w:r>
    </w:p>
    <w:p w14:paraId="5E04B977">
      <w:pPr>
        <w:kinsoku/>
        <w:spacing w:line="360" w:lineRule="auto"/>
        <w:ind w:firstLine="240" w:firstLineChars="100"/>
        <w:rPr>
          <w:rFonts w:hint="eastAsia" w:ascii="宋体" w:hAnsi="宋体" w:eastAsia="宋体" w:cs="宋体"/>
          <w:color w:val="auto"/>
          <w:sz w:val="24"/>
          <w:szCs w:val="24"/>
          <w:lang w:eastAsia="zh-CN"/>
        </w:rPr>
      </w:pPr>
      <w:bookmarkStart w:id="56" w:name="_Toc172714884"/>
      <w:r>
        <w:rPr>
          <w:rFonts w:hint="eastAsia" w:ascii="宋体" w:hAnsi="宋体" w:eastAsia="宋体" w:cs="宋体"/>
          <w:color w:val="auto"/>
          <w:sz w:val="24"/>
          <w:szCs w:val="24"/>
          <w:lang w:eastAsia="zh-CN"/>
        </w:rPr>
        <w:t>2.项目地点</w:t>
      </w:r>
      <w:bookmarkEnd w:id="56"/>
      <w:r>
        <w:rPr>
          <w:rFonts w:hint="eastAsia" w:ascii="宋体" w:hAnsi="宋体" w:eastAsia="宋体" w:cs="宋体"/>
          <w:color w:val="auto"/>
          <w:sz w:val="24"/>
          <w:szCs w:val="24"/>
          <w:lang w:eastAsia="zh-CN"/>
        </w:rPr>
        <w:t>：克州阿图什市</w:t>
      </w:r>
    </w:p>
    <w:p w14:paraId="128C5A2F">
      <w:pPr>
        <w:kinsoku/>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3.路灯提升改造周期：</w:t>
      </w:r>
      <w:r>
        <w:rPr>
          <w:rFonts w:hint="eastAsia" w:ascii="宋体" w:hAnsi="宋体" w:eastAsia="宋体" w:cs="宋体"/>
          <w:color w:val="auto"/>
          <w:sz w:val="24"/>
          <w:szCs w:val="24"/>
          <w:highlight w:val="none"/>
          <w:lang w:eastAsia="zh-CN"/>
        </w:rPr>
        <w:t xml:space="preserve"> 4 个月</w:t>
      </w:r>
    </w:p>
    <w:p w14:paraId="3B7A972A">
      <w:pPr>
        <w:kinsoku/>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4.合同期（托管期）：10年（自本项目合同签订之日起）</w:t>
      </w:r>
    </w:p>
    <w:p w14:paraId="22F84CA8">
      <w:pPr>
        <w:kinsoku/>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5.服务方式：合同能源管理（能源费用托管型模式）</w:t>
      </w:r>
    </w:p>
    <w:p w14:paraId="41E9CE97">
      <w:pPr>
        <w:kinsoku/>
        <w:spacing w:line="360" w:lineRule="auto"/>
        <w:ind w:firstLine="240" w:firstLineChars="100"/>
        <w:rPr>
          <w:rFonts w:hint="eastAsia" w:ascii="宋体" w:hAnsi="宋体" w:eastAsia="宋体" w:cs="宋体"/>
          <w:color w:val="auto"/>
          <w:sz w:val="24"/>
          <w:szCs w:val="24"/>
          <w:highlight w:val="none"/>
          <w:lang w:eastAsia="zh-CN"/>
        </w:rPr>
      </w:pPr>
      <w:bookmarkStart w:id="57" w:name="_Toc172714885"/>
      <w:r>
        <w:rPr>
          <w:rFonts w:hint="eastAsia" w:ascii="宋体" w:hAnsi="宋体" w:eastAsia="宋体" w:cs="宋体"/>
          <w:color w:val="auto"/>
          <w:sz w:val="24"/>
          <w:szCs w:val="24"/>
          <w:highlight w:val="none"/>
          <w:lang w:eastAsia="zh-CN"/>
        </w:rPr>
        <w:t>6.本项目</w:t>
      </w:r>
      <w:bookmarkEnd w:id="57"/>
      <w:r>
        <w:rPr>
          <w:rFonts w:hint="eastAsia" w:ascii="宋体" w:hAnsi="宋体" w:eastAsia="宋体" w:cs="宋体"/>
          <w:color w:val="auto"/>
          <w:sz w:val="24"/>
          <w:szCs w:val="24"/>
          <w:highlight w:val="none"/>
          <w:lang w:eastAsia="zh-CN"/>
        </w:rPr>
        <w:t>服务范围：采购人管辖路灯范围内的照明设施。</w:t>
      </w:r>
    </w:p>
    <w:p w14:paraId="292AE0B1">
      <w:pPr>
        <w:kinsoku/>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7.项目实施内容：</w:t>
      </w:r>
    </w:p>
    <w:p w14:paraId="40513060">
      <w:pPr>
        <w:kinsoku/>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本项目采用合同能源管理（EMC）中的能源费用托管</w:t>
      </w:r>
      <w:bookmarkStart w:id="58" w:name="_Hlk199340404"/>
      <w:r>
        <w:rPr>
          <w:rFonts w:hint="eastAsia" w:ascii="宋体" w:hAnsi="宋体" w:eastAsia="宋体" w:cs="宋体"/>
          <w:color w:val="auto"/>
          <w:sz w:val="24"/>
          <w:szCs w:val="24"/>
          <w:lang w:eastAsia="zh-CN"/>
        </w:rPr>
        <w:t>型</w:t>
      </w:r>
      <w:bookmarkEnd w:id="58"/>
      <w:r>
        <w:rPr>
          <w:rFonts w:hint="eastAsia" w:ascii="宋体" w:hAnsi="宋体" w:eastAsia="宋体" w:cs="宋体"/>
          <w:color w:val="auto"/>
          <w:sz w:val="24"/>
          <w:szCs w:val="24"/>
          <w:lang w:eastAsia="zh-CN"/>
        </w:rPr>
        <w:t>模式。项目资产所有权归业主方所有，运营合作期内由项目公司负责投融资、节能改造技术升级、运营、移交等工作。</w:t>
      </w:r>
    </w:p>
    <w:p w14:paraId="2B4163B5">
      <w:pPr>
        <w:pStyle w:val="4"/>
        <w:kinsoku/>
        <w:spacing w:before="0" w:after="0" w:line="360" w:lineRule="auto"/>
        <w:ind w:firstLine="48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（1）节能改造技术升级</w:t>
      </w:r>
    </w:p>
    <w:p w14:paraId="041421BC">
      <w:pPr>
        <w:kinsoku/>
        <w:spacing w:line="360" w:lineRule="auto"/>
        <w:ind w:firstLine="480"/>
        <w:rPr>
          <w:rFonts w:hint="eastAsia" w:ascii="宋体" w:hAnsi="宋体" w:eastAsia="宋体" w:cs="宋体"/>
          <w:color w:val="auto"/>
          <w:sz w:val="24"/>
          <w:szCs w:val="24"/>
          <w:lang w:eastAsia="zh-CN"/>
        </w:rPr>
      </w:pPr>
      <w:bookmarkStart w:id="59" w:name="_Hlk199320041"/>
      <w:r>
        <w:rPr>
          <w:rFonts w:hint="eastAsia" w:ascii="宋体" w:hAnsi="宋体" w:eastAsia="宋体" w:cs="宋体"/>
          <w:color w:val="auto"/>
          <w:sz w:val="24"/>
          <w:szCs w:val="24"/>
          <w:lang w:eastAsia="zh-CN"/>
        </w:rPr>
        <w:t>采购人管辖路灯范围内</w:t>
      </w:r>
      <w:bookmarkEnd w:id="59"/>
      <w:r>
        <w:rPr>
          <w:rFonts w:hint="eastAsia" w:ascii="宋体" w:hAnsi="宋体" w:eastAsia="宋体" w:cs="宋体"/>
          <w:color w:val="auto"/>
          <w:sz w:val="24"/>
          <w:szCs w:val="24"/>
          <w:lang w:eastAsia="zh-CN"/>
        </w:rPr>
        <w:t>节能改造智慧化提升：阿图什市路灯、公园广场景观灯总基数：9256基。其中：城区路灯：2677基，高杆灯：71基，路灯盏数：5868盏；新城区路灯：814基，高杆灯：75基，路灯盏数：1829盏；公园、广场景观灯：5590基，高杆灯：29基。配电箱（</w:t>
      </w:r>
      <w:r>
        <w:rPr>
          <w:rFonts w:hint="eastAsia" w:ascii="宋体" w:hAnsi="宋体" w:eastAsia="宋体" w:cs="宋体"/>
          <w:color w:val="auto"/>
          <w:sz w:val="24"/>
          <w:szCs w:val="24"/>
          <w:lang w:val="en-US" w:eastAsia="zh-CN"/>
        </w:rPr>
        <w:t>包含变压器</w:t>
      </w:r>
      <w:r>
        <w:rPr>
          <w:rFonts w:hint="eastAsia" w:ascii="宋体" w:hAnsi="宋体" w:eastAsia="宋体" w:cs="宋体"/>
          <w:color w:val="auto"/>
          <w:sz w:val="24"/>
          <w:szCs w:val="24"/>
          <w:lang w:eastAsia="zh-CN"/>
        </w:rPr>
        <w:t>）：396台（路灯、公园广场55台；楼宇亮化341台）。将部分老旧、灯头产品年限久接近淘汰、现有灯头不具备调光功能、低光效LED灯整灯更换成高光效、暧白光、智能型LED灯（或更换为高光效LED模组）。</w:t>
      </w:r>
      <w:bookmarkStart w:id="60" w:name="_Hlk199320719"/>
      <w:r>
        <w:rPr>
          <w:rFonts w:hint="eastAsia" w:ascii="宋体" w:hAnsi="宋体" w:eastAsia="宋体" w:cs="宋体"/>
          <w:color w:val="auto"/>
          <w:sz w:val="24"/>
          <w:szCs w:val="24"/>
          <w:lang w:eastAsia="zh-CN"/>
        </w:rPr>
        <w:t>公园、广场景观灯、城区、新城区楼宇亮化的配电柜增加智慧化集中控制器</w:t>
      </w:r>
      <w:bookmarkEnd w:id="60"/>
      <w:r>
        <w:rPr>
          <w:rFonts w:hint="eastAsia" w:ascii="宋体" w:hAnsi="宋体" w:eastAsia="宋体" w:cs="宋体"/>
          <w:color w:val="auto"/>
          <w:sz w:val="24"/>
          <w:szCs w:val="24"/>
          <w:lang w:eastAsia="zh-CN"/>
        </w:rPr>
        <w:t>；搭建智慧化路灯控制系统平台（增加：数智驱动电源、单灯控制器 、双灯控制器、三灯控制器、集中控制器；智慧化控制系统平台及智慧化监控中心）实现路灯一网统管智能化控制。并</w:t>
      </w:r>
      <w:bookmarkStart w:id="61" w:name="_Hlk199320859"/>
      <w:r>
        <w:rPr>
          <w:rFonts w:hint="eastAsia" w:ascii="宋体" w:hAnsi="宋体" w:eastAsia="宋体" w:cs="宋体"/>
          <w:color w:val="auto"/>
          <w:sz w:val="24"/>
          <w:szCs w:val="24"/>
          <w:lang w:eastAsia="zh-CN"/>
        </w:rPr>
        <w:t>负责灯具的10年</w:t>
      </w:r>
      <w:r>
        <w:rPr>
          <w:rFonts w:hint="eastAsia" w:ascii="宋体" w:hAnsi="宋体" w:eastAsia="宋体" w:cs="宋体"/>
          <w:color w:val="auto"/>
          <w:sz w:val="24"/>
          <w:szCs w:val="24"/>
          <w:lang w:val="en-US" w:eastAsia="zh-CN"/>
        </w:rPr>
        <w:t>托管维护服务</w:t>
      </w:r>
      <w:r>
        <w:rPr>
          <w:rFonts w:hint="eastAsia" w:ascii="宋体" w:hAnsi="宋体" w:eastAsia="宋体" w:cs="宋体"/>
          <w:color w:val="auto"/>
          <w:sz w:val="24"/>
          <w:szCs w:val="24"/>
          <w:lang w:eastAsia="zh-CN"/>
        </w:rPr>
        <w:t>(如因光衰减或损坏造成路面照度达不到相关标准的，由中标方及时给予无偿更换)</w:t>
      </w:r>
      <w:bookmarkEnd w:id="61"/>
      <w:bookmarkStart w:id="62" w:name="_Hlk199320895"/>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对新老城区部分老化、破损电缆进行维修或更换。</w:t>
      </w:r>
      <w:bookmarkEnd w:id="62"/>
      <w:r>
        <w:rPr>
          <w:rFonts w:hint="eastAsia" w:ascii="宋体" w:hAnsi="宋体" w:eastAsia="宋体" w:cs="宋体"/>
          <w:color w:val="auto"/>
          <w:sz w:val="24"/>
          <w:szCs w:val="24"/>
          <w:lang w:eastAsia="zh-CN"/>
        </w:rPr>
        <w:t>(具体以实际数量为准)。</w:t>
      </w:r>
    </w:p>
    <w:p w14:paraId="06AB1D12">
      <w:pPr>
        <w:pStyle w:val="4"/>
        <w:kinsoku/>
        <w:spacing w:before="0" w:after="0" w:line="360" w:lineRule="auto"/>
        <w:ind w:firstLine="48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（2）托管运维服务期</w:t>
      </w:r>
    </w:p>
    <w:p w14:paraId="7CE83E09">
      <w:pPr>
        <w:kinsoku/>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年托管运营维护期内（自项目合同签订之日起算），中标单位负责招标辖区范围内所有城区、新城区路灯灯具、灯杆、灯杆挂载灯笼国旗、市政道路沿线节日氛围照明、配电箱部分，以及公园与广场景观灯、城区楼宇亮化的照明设备、配电箱，新增路灯、景观灯设施的日常维护。</w:t>
      </w:r>
    </w:p>
    <w:p w14:paraId="72755B7C">
      <w:pPr>
        <w:pStyle w:val="3"/>
        <w:spacing w:before="0" w:after="0"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）招标预算价：</w:t>
      </w:r>
    </w:p>
    <w:tbl>
      <w:tblPr>
        <w:tblStyle w:val="16"/>
        <w:tblW w:w="5249" w:type="pct"/>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492"/>
        <w:gridCol w:w="6637"/>
        <w:gridCol w:w="840"/>
      </w:tblGrid>
      <w:tr w14:paraId="6552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65" w:type="pct"/>
            <w:vAlign w:val="center"/>
          </w:tcPr>
          <w:p w14:paraId="5F25CB93">
            <w:pPr>
              <w:kinsoku/>
              <w:spacing w:line="360" w:lineRule="auto"/>
              <w:ind w:firstLine="0" w:firstLineChars="0"/>
              <w:jc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年份</w:t>
            </w:r>
          </w:p>
        </w:tc>
        <w:tc>
          <w:tcPr>
            <w:tcW w:w="721" w:type="pct"/>
            <w:vAlign w:val="center"/>
          </w:tcPr>
          <w:p w14:paraId="2F03705E">
            <w:pPr>
              <w:kinsoku/>
              <w:spacing w:line="360" w:lineRule="auto"/>
              <w:ind w:firstLine="0" w:firstLineChars="0"/>
              <w:jc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支付费用（</w:t>
            </w:r>
            <w:r>
              <w:rPr>
                <w:rFonts w:hint="eastAsia" w:ascii="宋体" w:hAnsi="宋体" w:eastAsia="宋体" w:cs="宋体"/>
                <w:b/>
                <w:bCs/>
                <w:color w:val="auto"/>
                <w:kern w:val="2"/>
                <w:sz w:val="24"/>
                <w:szCs w:val="24"/>
                <w:lang w:val="en-US" w:eastAsia="zh-CN"/>
              </w:rPr>
              <w:t>万元/年</w:t>
            </w:r>
            <w:r>
              <w:rPr>
                <w:rFonts w:hint="eastAsia" w:ascii="宋体" w:hAnsi="宋体" w:eastAsia="宋体" w:cs="宋体"/>
                <w:b/>
                <w:bCs/>
                <w:color w:val="auto"/>
                <w:kern w:val="2"/>
                <w:sz w:val="24"/>
                <w:szCs w:val="24"/>
                <w:lang w:eastAsia="zh-CN"/>
              </w:rPr>
              <w:t>）</w:t>
            </w:r>
          </w:p>
        </w:tc>
        <w:tc>
          <w:tcPr>
            <w:tcW w:w="3207" w:type="pct"/>
            <w:vAlign w:val="center"/>
          </w:tcPr>
          <w:p w14:paraId="2AC63947">
            <w:pPr>
              <w:kinsoku/>
              <w:spacing w:line="360" w:lineRule="auto"/>
              <w:ind w:firstLine="0" w:firstLineChars="0"/>
              <w:jc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服务内容</w:t>
            </w:r>
          </w:p>
        </w:tc>
        <w:tc>
          <w:tcPr>
            <w:tcW w:w="406" w:type="pct"/>
            <w:vAlign w:val="center"/>
          </w:tcPr>
          <w:p w14:paraId="449D066A">
            <w:pPr>
              <w:kinsoku/>
              <w:spacing w:line="360" w:lineRule="auto"/>
              <w:ind w:firstLine="0" w:firstLineChars="0"/>
              <w:jc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备注</w:t>
            </w:r>
          </w:p>
        </w:tc>
      </w:tr>
      <w:tr w14:paraId="6C1C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65" w:type="pct"/>
            <w:vAlign w:val="center"/>
          </w:tcPr>
          <w:p w14:paraId="103AA9AB">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第1-10年</w:t>
            </w:r>
          </w:p>
        </w:tc>
        <w:tc>
          <w:tcPr>
            <w:tcW w:w="721" w:type="pct"/>
            <w:vAlign w:val="center"/>
          </w:tcPr>
          <w:p w14:paraId="3BCA2DEF">
            <w:pPr>
              <w:kinsoku/>
              <w:spacing w:line="360" w:lineRule="auto"/>
              <w:ind w:firstLine="0" w:firstLineChars="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590万元/年</w:t>
            </w:r>
          </w:p>
        </w:tc>
        <w:tc>
          <w:tcPr>
            <w:tcW w:w="3207" w:type="pct"/>
            <w:vAlign w:val="center"/>
          </w:tcPr>
          <w:p w14:paraId="25D70D66">
            <w:pPr>
              <w:pStyle w:val="22"/>
              <w:spacing w:line="360" w:lineRule="auto"/>
              <w:ind w:firstLine="0" w:firstLineChars="0"/>
              <w:rPr>
                <w:rFonts w:hint="eastAsia"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kern w:val="2"/>
                <w:sz w:val="24"/>
                <w:szCs w:val="24"/>
                <w:lang w:val="en-US" w:eastAsia="zh-CN" w:bidi="ar-SA"/>
              </w:rPr>
              <w:t>1 、采购范围内的路灯、亮化设备等服务内容产生的电费缴纳；</w:t>
            </w:r>
          </w:p>
          <w:p w14:paraId="6F9537FC">
            <w:pPr>
              <w:pStyle w:val="22"/>
              <w:spacing w:line="360" w:lineRule="auto"/>
              <w:ind w:firstLine="0" w:firstLineChars="0"/>
              <w:rPr>
                <w:rFonts w:hint="eastAsia"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kern w:val="2"/>
                <w:sz w:val="24"/>
                <w:szCs w:val="24"/>
                <w:lang w:val="en-US" w:eastAsia="zh-CN" w:bidi="ar-SA"/>
              </w:rPr>
              <w:t>2 、采购范围内的节能改造智慧化提升；</w:t>
            </w:r>
          </w:p>
          <w:p w14:paraId="183E8962">
            <w:pPr>
              <w:pStyle w:val="22"/>
              <w:spacing w:line="360" w:lineRule="auto"/>
              <w:ind w:firstLine="0" w:firstLineChars="0"/>
              <w:rPr>
                <w:rFonts w:hint="eastAsia" w:ascii="宋体" w:hAnsi="宋体" w:eastAsia="宋体" w:cs="宋体"/>
                <w:color w:val="auto"/>
                <w:spacing w:val="-1"/>
                <w:kern w:val="2"/>
                <w:sz w:val="24"/>
                <w:szCs w:val="24"/>
                <w:lang w:val="en-US" w:eastAsia="zh-CN" w:bidi="ar-SA"/>
              </w:rPr>
            </w:pPr>
            <w:r>
              <w:rPr>
                <w:rFonts w:hint="eastAsia" w:ascii="宋体" w:hAnsi="宋体" w:eastAsia="宋体" w:cs="宋体"/>
                <w:color w:val="auto"/>
                <w:spacing w:val="-1"/>
                <w:kern w:val="2"/>
                <w:sz w:val="24"/>
                <w:szCs w:val="24"/>
                <w:lang w:val="en-US" w:eastAsia="zh-CN" w:bidi="ar-SA"/>
              </w:rPr>
              <w:t>3 、采购范围内的照明设施维护；</w:t>
            </w:r>
          </w:p>
          <w:p w14:paraId="2854E8C6">
            <w:pPr>
              <w:kinsoku/>
              <w:spacing w:line="360" w:lineRule="auto"/>
              <w:ind w:firstLine="0" w:firstLineChars="0"/>
              <w:rPr>
                <w:rFonts w:hint="eastAsia" w:ascii="宋体" w:hAnsi="宋体" w:eastAsia="宋体" w:cs="宋体"/>
                <w:color w:val="auto"/>
                <w:kern w:val="2"/>
                <w:sz w:val="24"/>
                <w:szCs w:val="24"/>
                <w:lang w:eastAsia="zh-CN"/>
              </w:rPr>
            </w:pPr>
            <w:r>
              <w:rPr>
                <w:rFonts w:hint="eastAsia" w:ascii="宋体" w:hAnsi="宋体" w:eastAsia="宋体" w:cs="宋体"/>
                <w:color w:val="auto"/>
                <w:spacing w:val="-3"/>
                <w:kern w:val="2"/>
                <w:sz w:val="24"/>
                <w:szCs w:val="24"/>
                <w:lang w:eastAsia="zh-CN"/>
              </w:rPr>
              <w:t>4</w:t>
            </w:r>
            <w:r>
              <w:rPr>
                <w:rFonts w:hint="eastAsia" w:ascii="宋体" w:hAnsi="宋体" w:eastAsia="宋体" w:cs="宋体"/>
                <w:color w:val="auto"/>
                <w:spacing w:val="-12"/>
                <w:kern w:val="2"/>
                <w:sz w:val="24"/>
                <w:szCs w:val="24"/>
                <w:lang w:eastAsia="zh-CN"/>
              </w:rPr>
              <w:t xml:space="preserve"> </w:t>
            </w:r>
            <w:r>
              <w:rPr>
                <w:rFonts w:hint="eastAsia" w:ascii="宋体" w:hAnsi="宋体" w:eastAsia="宋体" w:cs="宋体"/>
                <w:color w:val="auto"/>
                <w:spacing w:val="-3"/>
                <w:kern w:val="2"/>
                <w:sz w:val="24"/>
                <w:szCs w:val="24"/>
                <w:lang w:eastAsia="zh-CN"/>
              </w:rPr>
              <w:t>、</w:t>
            </w:r>
            <w:r>
              <w:rPr>
                <w:rFonts w:hint="eastAsia" w:ascii="宋体" w:hAnsi="宋体" w:eastAsia="宋体" w:cs="宋体"/>
                <w:color w:val="auto"/>
                <w:spacing w:val="-1"/>
                <w:kern w:val="2"/>
                <w:sz w:val="24"/>
                <w:szCs w:val="24"/>
                <w:lang w:val="en-US" w:eastAsia="zh-CN" w:bidi="ar-SA"/>
              </w:rPr>
              <w:t>包含但不局限于节能改造及智慧化提升（灯具采购、安装、调试)、 人员培训、智慧路灯管理平台、运行管理（负责安装 后产品质量保修)等相关服务的全部费用。</w:t>
            </w:r>
          </w:p>
        </w:tc>
        <w:tc>
          <w:tcPr>
            <w:tcW w:w="406" w:type="pct"/>
            <w:vAlign w:val="center"/>
          </w:tcPr>
          <w:p w14:paraId="0B703638">
            <w:pPr>
              <w:kinsoku/>
              <w:spacing w:line="360" w:lineRule="auto"/>
              <w:ind w:firstLine="0" w:firstLineChars="0"/>
              <w:jc w:val="center"/>
              <w:rPr>
                <w:rFonts w:hint="eastAsia" w:ascii="宋体" w:hAnsi="宋体" w:eastAsia="宋体" w:cs="宋体"/>
                <w:color w:val="auto"/>
                <w:kern w:val="2"/>
                <w:sz w:val="24"/>
                <w:szCs w:val="24"/>
                <w:lang w:eastAsia="zh-CN"/>
              </w:rPr>
            </w:pPr>
          </w:p>
        </w:tc>
      </w:tr>
    </w:tbl>
    <w:p w14:paraId="777C78A8">
      <w:pPr>
        <w:pStyle w:val="3"/>
        <w:spacing w:before="0" w:after="0"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）节能改造：</w:t>
      </w:r>
    </w:p>
    <w:p w14:paraId="3127A9C1">
      <w:pPr>
        <w:pStyle w:val="4"/>
        <w:spacing w:before="0" w:after="0" w:line="360" w:lineRule="auto"/>
        <w:ind w:firstLine="241" w:firstLineChars="1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节能改造内容</w:t>
      </w:r>
    </w:p>
    <w:p w14:paraId="639D3855">
      <w:pPr>
        <w:kinsoku/>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）将部分老旧、灯头产品年限久接近淘汰、现有灯头不具备调光功能、低光效LED灯整灯更换成高光效、暧白光、智能型LED灯（或更换为高光效LED模组）；</w:t>
      </w:r>
    </w:p>
    <w:p w14:paraId="34D81929">
      <w:pPr>
        <w:kinsoku/>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 公园、广场景观灯、城区、新城区楼宇亮化的配电柜增加智慧化集中控制器；</w:t>
      </w:r>
    </w:p>
    <w:p w14:paraId="00E87DEE">
      <w:pPr>
        <w:kinsoku/>
        <w:spacing w:line="360" w:lineRule="auto"/>
        <w:ind w:firstLine="240" w:firstLine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 搭建</w:t>
      </w:r>
      <w:bookmarkStart w:id="63" w:name="_Hlk199325340"/>
      <w:r>
        <w:rPr>
          <w:rFonts w:hint="eastAsia" w:ascii="宋体" w:hAnsi="宋体" w:eastAsia="宋体" w:cs="宋体"/>
          <w:b w:val="0"/>
          <w:bCs w:val="0"/>
          <w:color w:val="auto"/>
          <w:sz w:val="24"/>
          <w:szCs w:val="24"/>
          <w:highlight w:val="none"/>
          <w:lang w:eastAsia="zh-CN"/>
        </w:rPr>
        <w:t>智慧化路灯控制系统平台</w:t>
      </w:r>
      <w:bookmarkEnd w:id="63"/>
      <w:r>
        <w:rPr>
          <w:rFonts w:hint="eastAsia" w:ascii="宋体" w:hAnsi="宋体" w:eastAsia="宋体" w:cs="宋体"/>
          <w:b w:val="0"/>
          <w:bCs w:val="0"/>
          <w:color w:val="auto"/>
          <w:sz w:val="24"/>
          <w:szCs w:val="24"/>
          <w:highlight w:val="none"/>
          <w:lang w:eastAsia="zh-CN"/>
        </w:rPr>
        <w:t>（增加：数智驱动电源、单灯控制器 、双灯控制器、三灯控制器、集中控制器；智慧化控制系统平台及智慧化监控中心）实现路灯一网统管智能化控制；</w:t>
      </w:r>
    </w:p>
    <w:p w14:paraId="3D587B2E">
      <w:pPr>
        <w:kinsoku/>
        <w:spacing w:line="360" w:lineRule="auto"/>
        <w:ind w:firstLine="240" w:firstLine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）负责灯具的10年质保(如因光衰减或损坏造成路面照度达不到相关标准的，由中标方及时给予无偿更换)；</w:t>
      </w:r>
    </w:p>
    <w:p w14:paraId="0CC22D6F">
      <w:pPr>
        <w:kinsoku/>
        <w:spacing w:line="360" w:lineRule="auto"/>
        <w:ind w:firstLine="240" w:firstLine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）新增智慧路灯控制平台系统的建设，建设平台控制终端</w:t>
      </w:r>
      <w:r>
        <w:rPr>
          <w:rFonts w:hint="eastAsia" w:ascii="宋体" w:hAnsi="宋体" w:eastAsia="宋体" w:cs="宋体"/>
          <w:b w:val="0"/>
          <w:bCs w:val="0"/>
          <w:color w:val="auto"/>
          <w:sz w:val="24"/>
          <w:szCs w:val="24"/>
          <w:highlight w:val="none"/>
          <w:lang w:val="en-US" w:eastAsia="zh-CN"/>
        </w:rPr>
        <w:t>后期</w:t>
      </w:r>
      <w:r>
        <w:rPr>
          <w:rFonts w:hint="eastAsia" w:ascii="宋体" w:hAnsi="宋体" w:eastAsia="宋体" w:cs="宋体"/>
          <w:b w:val="0"/>
          <w:bCs w:val="0"/>
          <w:color w:val="auto"/>
          <w:sz w:val="24"/>
          <w:szCs w:val="24"/>
          <w:highlight w:val="none"/>
          <w:lang w:eastAsia="zh-CN"/>
        </w:rPr>
        <w:t>纳入城市运行管理中心，所需硬  件设备及运行软件，由投标人配套提供平台建设连接运维并网。</w:t>
      </w:r>
    </w:p>
    <w:p w14:paraId="7AE47593">
      <w:pPr>
        <w:kinsoku/>
        <w:spacing w:line="360" w:lineRule="auto"/>
        <w:ind w:firstLine="240" w:firstLineChars="1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）十年运营期内智慧路灯管理平台的使用期间及移交后确保</w:t>
      </w:r>
      <w:r>
        <w:rPr>
          <w:rFonts w:hint="eastAsia" w:ascii="宋体" w:hAnsi="宋体" w:eastAsia="宋体" w:cs="宋体"/>
          <w:b w:val="0"/>
          <w:bCs w:val="0"/>
          <w:color w:val="auto"/>
          <w:sz w:val="24"/>
          <w:szCs w:val="24"/>
          <w:highlight w:val="none"/>
          <w:lang w:val="en-US" w:eastAsia="zh-CN"/>
        </w:rPr>
        <w:t>软件系统</w:t>
      </w:r>
      <w:r>
        <w:rPr>
          <w:rFonts w:hint="eastAsia" w:ascii="宋体" w:hAnsi="宋体" w:eastAsia="宋体" w:cs="宋体"/>
          <w:b w:val="0"/>
          <w:bCs w:val="0"/>
          <w:color w:val="auto"/>
          <w:sz w:val="24"/>
          <w:szCs w:val="24"/>
          <w:highlight w:val="none"/>
          <w:lang w:eastAsia="zh-CN"/>
        </w:rPr>
        <w:t>正常运行且</w:t>
      </w:r>
      <w:r>
        <w:rPr>
          <w:rFonts w:hint="eastAsia" w:ascii="宋体" w:hAnsi="宋体" w:eastAsia="宋体" w:cs="宋体"/>
          <w:b w:val="0"/>
          <w:bCs w:val="0"/>
          <w:color w:val="auto"/>
          <w:sz w:val="24"/>
          <w:szCs w:val="24"/>
          <w:highlight w:val="none"/>
          <w:lang w:val="en-US" w:eastAsia="zh-CN"/>
        </w:rPr>
        <w:t>系统升级及改造等</w:t>
      </w:r>
      <w:r>
        <w:rPr>
          <w:rFonts w:hint="eastAsia" w:ascii="宋体" w:hAnsi="宋体" w:eastAsia="宋体" w:cs="宋体"/>
          <w:b w:val="0"/>
          <w:bCs w:val="0"/>
          <w:color w:val="auto"/>
          <w:sz w:val="24"/>
          <w:szCs w:val="24"/>
          <w:highlight w:val="none"/>
          <w:lang w:eastAsia="zh-CN"/>
        </w:rPr>
        <w:t>不收取任何费用。 合同期满后，中标单位按照合同约定向业主方移交项目得所有设备、系统及相关技术档案资料 所有权均无偿移交招标人。</w:t>
      </w:r>
    </w:p>
    <w:p w14:paraId="12756C61">
      <w:pPr>
        <w:kinsoku/>
        <w:spacing w:line="360" w:lineRule="auto"/>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）十年运营期内，中标单位所提供的设备及平台，若有损坏的，由中标单位负</w:t>
      </w:r>
      <w:r>
        <w:rPr>
          <w:rFonts w:hint="eastAsia" w:ascii="宋体" w:hAnsi="宋体" w:eastAsia="宋体" w:cs="宋体"/>
          <w:b w:val="0"/>
          <w:bCs w:val="0"/>
          <w:color w:val="auto"/>
          <w:sz w:val="24"/>
          <w:szCs w:val="24"/>
          <w:highlight w:val="none"/>
          <w:lang w:val="en-US" w:eastAsia="zh-CN"/>
        </w:rPr>
        <w:t>维修或更换。</w:t>
      </w:r>
    </w:p>
    <w:p w14:paraId="5D5B8008">
      <w:pPr>
        <w:pStyle w:val="4"/>
        <w:spacing w:before="0" w:after="0"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改造技术要求：</w:t>
      </w:r>
    </w:p>
    <w:p w14:paraId="423CA203">
      <w:pPr>
        <w:pStyle w:val="5"/>
        <w:spacing w:before="0" w:after="0" w:line="360" w:lineRule="auto"/>
        <w:ind w:firstLine="241"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改造技术标准</w:t>
      </w:r>
    </w:p>
    <w:p w14:paraId="217CE53D">
      <w:pPr>
        <w:kinsoku/>
        <w:spacing w:line="360" w:lineRule="auto"/>
        <w:ind w:firstLine="787" w:firstLineChars="32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①《灯具 第1部分：一般要求与试验》GB 7000.1-2023</w:t>
      </w:r>
    </w:p>
    <w:p w14:paraId="236847A9">
      <w:pPr>
        <w:kinsoku/>
        <w:spacing w:line="360" w:lineRule="auto"/>
        <w:ind w:firstLine="787" w:firstLineChars="32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②《灯具 第2-1部分：固定式通用灯具》GB 7000.201-2023</w:t>
      </w:r>
    </w:p>
    <w:p w14:paraId="2D28F577">
      <w:pPr>
        <w:kinsoku/>
        <w:spacing w:line="360" w:lineRule="auto"/>
        <w:ind w:firstLine="787" w:firstLineChars="32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③《灯具分布光度测量的一般要求》GB/T 9468-2008</w:t>
      </w:r>
    </w:p>
    <w:p w14:paraId="71DA9EB9">
      <w:pPr>
        <w:kinsoku/>
        <w:spacing w:line="360" w:lineRule="auto"/>
        <w:ind w:firstLine="787" w:firstLineChars="32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④《光源显色性评价方法》GB/T 5702-2019</w:t>
      </w:r>
    </w:p>
    <w:p w14:paraId="39F28404">
      <w:pPr>
        <w:kinsoku/>
        <w:spacing w:line="360" w:lineRule="auto"/>
        <w:ind w:left="480"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⑤《城市照明合同能源管理技术规程》CJJ/T 261-2017</w:t>
      </w:r>
    </w:p>
    <w:p w14:paraId="38DD4F33">
      <w:pPr>
        <w:kinsoku/>
        <w:spacing w:line="360" w:lineRule="auto"/>
        <w:ind w:firstLine="787" w:firstLineChars="32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⑥《城市道路照明工程施工及验收规范》CJJ89-2012</w:t>
      </w:r>
    </w:p>
    <w:p w14:paraId="193244F8">
      <w:pPr>
        <w:kinsoku/>
        <w:spacing w:line="360" w:lineRule="auto"/>
        <w:ind w:firstLine="787" w:firstLineChars="32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⑦《城市道路照明设计标准》CJJ45-2015</w:t>
      </w:r>
    </w:p>
    <w:p w14:paraId="3D6DF2BD">
      <w:pPr>
        <w:pStyle w:val="5"/>
        <w:spacing w:before="0" w:after="0"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）质量要求</w:t>
      </w:r>
    </w:p>
    <w:p w14:paraId="00E2C212">
      <w:pPr>
        <w:kinsoku/>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质量标准满足国家现行技术标准和技术规范验收达到合格等级标准。</w:t>
      </w:r>
    </w:p>
    <w:p w14:paraId="56791DF8">
      <w:pPr>
        <w:kinsoku/>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别说明：本项目只对照明光源部分进行改造，不涉及灯杆的调整或改造，故如因部分路段原有灯杆的杆间距、高度、挑臂仰角或在运营期城市建设需要致使路面扩宽或功能变化等技术指标不符合《国家城市道路照明设计标准》（现行标准版本）的要求，则此部分路段道路照明平均亮度检测值可能受较大影响，故此部分路段平均亮度检测值不作为验收、运营合格与否的评定标准。</w:t>
      </w:r>
    </w:p>
    <w:p w14:paraId="5C8853E2">
      <w:pPr>
        <w:pStyle w:val="4"/>
        <w:spacing w:before="0" w:after="0"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（3）照明改造设备要求</w:t>
      </w:r>
    </w:p>
    <w:tbl>
      <w:tblPr>
        <w:tblStyle w:val="16"/>
        <w:tblW w:w="4856"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825"/>
        <w:gridCol w:w="1559"/>
        <w:gridCol w:w="6362"/>
      </w:tblGrid>
      <w:tr w14:paraId="4B68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2C7C32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eastAsia="zh-CN"/>
              </w:rPr>
              <w:t>序号</w:t>
            </w:r>
          </w:p>
        </w:tc>
        <w:tc>
          <w:tcPr>
            <w:tcW w:w="431" w:type="pct"/>
            <w:vAlign w:val="center"/>
          </w:tcPr>
          <w:p w14:paraId="2E3448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val="en-US" w:eastAsia="zh-CN"/>
              </w:rPr>
              <w:t>名称</w:t>
            </w:r>
          </w:p>
        </w:tc>
        <w:tc>
          <w:tcPr>
            <w:tcW w:w="814" w:type="pct"/>
            <w:vAlign w:val="center"/>
          </w:tcPr>
          <w:p w14:paraId="7F223A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参数</w:t>
            </w:r>
          </w:p>
        </w:tc>
        <w:tc>
          <w:tcPr>
            <w:tcW w:w="3322" w:type="pct"/>
            <w:vAlign w:val="center"/>
          </w:tcPr>
          <w:p w14:paraId="1D9252B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技术要求</w:t>
            </w:r>
          </w:p>
        </w:tc>
      </w:tr>
      <w:tr w14:paraId="7C61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restart"/>
            <w:vAlign w:val="center"/>
          </w:tcPr>
          <w:p w14:paraId="181DE42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p>
        </w:tc>
        <w:tc>
          <w:tcPr>
            <w:tcW w:w="431" w:type="pct"/>
            <w:vMerge w:val="restart"/>
            <w:vAlign w:val="center"/>
          </w:tcPr>
          <w:p w14:paraId="2A2828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LED照明灯具</w:t>
            </w:r>
          </w:p>
        </w:tc>
        <w:tc>
          <w:tcPr>
            <w:tcW w:w="814" w:type="pct"/>
            <w:vAlign w:val="center"/>
          </w:tcPr>
          <w:p w14:paraId="081689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材质</w:t>
            </w:r>
          </w:p>
        </w:tc>
        <w:tc>
          <w:tcPr>
            <w:tcW w:w="3322" w:type="pct"/>
            <w:vAlign w:val="center"/>
          </w:tcPr>
          <w:p w14:paraId="5E0B1CE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灯具外壳要求：铝合金或性能更好的材料。</w:t>
            </w:r>
          </w:p>
          <w:p w14:paraId="2E13077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光学部件满足阻燃达到V2级以上。</w:t>
            </w:r>
          </w:p>
        </w:tc>
      </w:tr>
      <w:tr w14:paraId="55ED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6B9E6CC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6A372AD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5EC0CA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结构耐</w:t>
            </w:r>
          </w:p>
          <w:p w14:paraId="07C2EC6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候性</w:t>
            </w:r>
          </w:p>
        </w:tc>
        <w:tc>
          <w:tcPr>
            <w:tcW w:w="3322" w:type="pct"/>
            <w:vAlign w:val="center"/>
          </w:tcPr>
          <w:p w14:paraId="3DE9DF3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1）灯具内与外界接触的金属材料均应进行防腐处理，应宜为WF2类，涂层吸附性强，应具有良好的耐受紫外线、高温和冷热交替等性能。</w:t>
            </w:r>
          </w:p>
          <w:p w14:paraId="238BCA5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2）灯具内透镜、接插件等塑料件应具有良好的耐受紫外线、高温和冷热交替等性能。</w:t>
            </w:r>
          </w:p>
        </w:tc>
      </w:tr>
      <w:tr w14:paraId="70DB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2A65164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5AB32BC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44C404F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额定色温（K）</w:t>
            </w:r>
          </w:p>
        </w:tc>
        <w:tc>
          <w:tcPr>
            <w:tcW w:w="3322" w:type="pct"/>
            <w:vAlign w:val="center"/>
          </w:tcPr>
          <w:p w14:paraId="754FEDF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30</w:t>
            </w:r>
            <w:r>
              <w:rPr>
                <w:rFonts w:hint="eastAsia" w:ascii="宋体" w:hAnsi="宋体" w:eastAsia="宋体" w:cs="宋体"/>
                <w:color w:val="auto"/>
                <w:kern w:val="2"/>
                <w:sz w:val="24"/>
                <w:szCs w:val="24"/>
              </w:rPr>
              <w:t>00K-</w:t>
            </w:r>
            <w:r>
              <w:rPr>
                <w:rFonts w:hint="eastAsia" w:ascii="宋体" w:hAnsi="宋体" w:eastAsia="宋体" w:cs="宋体"/>
                <w:color w:val="auto"/>
                <w:kern w:val="2"/>
                <w:sz w:val="24"/>
                <w:szCs w:val="24"/>
                <w:lang w:eastAsia="zh-CN"/>
              </w:rPr>
              <w:t>40</w:t>
            </w:r>
            <w:r>
              <w:rPr>
                <w:rFonts w:hint="eastAsia" w:ascii="宋体" w:hAnsi="宋体" w:eastAsia="宋体" w:cs="宋体"/>
                <w:color w:val="auto"/>
                <w:kern w:val="2"/>
                <w:sz w:val="24"/>
                <w:szCs w:val="24"/>
              </w:rPr>
              <w:t>00K</w:t>
            </w:r>
          </w:p>
        </w:tc>
      </w:tr>
      <w:tr w14:paraId="32CB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039238C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p>
        </w:tc>
        <w:tc>
          <w:tcPr>
            <w:tcW w:w="431" w:type="pct"/>
            <w:vMerge w:val="continue"/>
            <w:vAlign w:val="center"/>
          </w:tcPr>
          <w:p w14:paraId="319745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p>
        </w:tc>
        <w:tc>
          <w:tcPr>
            <w:tcW w:w="814" w:type="pct"/>
            <w:vAlign w:val="center"/>
          </w:tcPr>
          <w:p w14:paraId="4B569F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色容差</w:t>
            </w:r>
          </w:p>
        </w:tc>
        <w:tc>
          <w:tcPr>
            <w:tcW w:w="3322" w:type="pct"/>
            <w:vAlign w:val="center"/>
          </w:tcPr>
          <w:p w14:paraId="25A72EE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色容≤5 SDCM</w:t>
            </w:r>
          </w:p>
        </w:tc>
      </w:tr>
      <w:tr w14:paraId="039A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998E50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p>
        </w:tc>
        <w:tc>
          <w:tcPr>
            <w:tcW w:w="431" w:type="pct"/>
            <w:vMerge w:val="continue"/>
            <w:vAlign w:val="center"/>
          </w:tcPr>
          <w:p w14:paraId="4CD6D0D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p>
        </w:tc>
        <w:tc>
          <w:tcPr>
            <w:tcW w:w="814" w:type="pct"/>
            <w:vAlign w:val="center"/>
          </w:tcPr>
          <w:p w14:paraId="3D952EF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颜色维持特新</w:t>
            </w:r>
          </w:p>
        </w:tc>
        <w:tc>
          <w:tcPr>
            <w:tcW w:w="3322" w:type="pct"/>
            <w:vAlign w:val="center"/>
          </w:tcPr>
          <w:p w14:paraId="2FABA81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3000小时的色品坐标与初始值的偏差在国家标准《均匀色空间和色差公式》GB/T 7921规定的CIF 1976 均匀色度标尺图中，不应超过0.010</w:t>
            </w:r>
          </w:p>
        </w:tc>
      </w:tr>
      <w:tr w14:paraId="6590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A45C05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310162B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79D33B0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一般显色指数</w:t>
            </w:r>
          </w:p>
        </w:tc>
        <w:tc>
          <w:tcPr>
            <w:tcW w:w="3322" w:type="pct"/>
            <w:vAlign w:val="center"/>
          </w:tcPr>
          <w:p w14:paraId="4CC1099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≥70</w:t>
            </w:r>
          </w:p>
        </w:tc>
      </w:tr>
      <w:tr w14:paraId="1686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25E2FA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p>
        </w:tc>
        <w:tc>
          <w:tcPr>
            <w:tcW w:w="431" w:type="pct"/>
            <w:vMerge w:val="continue"/>
            <w:vAlign w:val="center"/>
          </w:tcPr>
          <w:p w14:paraId="339274D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p>
        </w:tc>
        <w:tc>
          <w:tcPr>
            <w:tcW w:w="814" w:type="pct"/>
            <w:vAlign w:val="center"/>
          </w:tcPr>
          <w:p w14:paraId="6238CDC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光效</w:t>
            </w:r>
          </w:p>
        </w:tc>
        <w:tc>
          <w:tcPr>
            <w:tcW w:w="3322" w:type="pct"/>
            <w:vAlign w:val="center"/>
          </w:tcPr>
          <w:p w14:paraId="1829A05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eastAsia="zh-CN"/>
              </w:rPr>
              <w:t>7</w:t>
            </w:r>
            <w:r>
              <w:rPr>
                <w:rFonts w:hint="eastAsia" w:ascii="宋体" w:hAnsi="宋体" w:eastAsia="宋体" w:cs="宋体"/>
                <w:color w:val="auto"/>
                <w:kern w:val="2"/>
                <w:sz w:val="24"/>
                <w:szCs w:val="24"/>
              </w:rPr>
              <w:t>0lm/</w:t>
            </w:r>
            <w:r>
              <w:rPr>
                <w:rFonts w:hint="eastAsia" w:ascii="宋体" w:hAnsi="宋体" w:eastAsia="宋体" w:cs="宋体"/>
                <w:color w:val="auto"/>
                <w:kern w:val="2"/>
                <w:sz w:val="24"/>
                <w:szCs w:val="24"/>
                <w:lang w:eastAsia="zh-CN"/>
              </w:rPr>
              <w:t>W</w:t>
            </w:r>
          </w:p>
        </w:tc>
      </w:tr>
      <w:tr w14:paraId="4BD1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41CE2B1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p>
        </w:tc>
        <w:tc>
          <w:tcPr>
            <w:tcW w:w="431" w:type="pct"/>
            <w:vMerge w:val="continue"/>
            <w:vAlign w:val="center"/>
          </w:tcPr>
          <w:p w14:paraId="27F76CD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p>
        </w:tc>
        <w:tc>
          <w:tcPr>
            <w:tcW w:w="814" w:type="pct"/>
            <w:vAlign w:val="center"/>
          </w:tcPr>
          <w:p w14:paraId="0928872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配光类型</w:t>
            </w:r>
          </w:p>
        </w:tc>
        <w:tc>
          <w:tcPr>
            <w:tcW w:w="3322" w:type="pct"/>
            <w:vAlign w:val="center"/>
          </w:tcPr>
          <w:p w14:paraId="10F8332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纵向配光类型：短配光、中配光、长配光</w:t>
            </w:r>
          </w:p>
          <w:p w14:paraId="6B25598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横向配光类型：窄配光、中配光、宽配光</w:t>
            </w:r>
          </w:p>
        </w:tc>
      </w:tr>
      <w:tr w14:paraId="3E79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12D257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17D30B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7D04CB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光通维持率</w:t>
            </w:r>
          </w:p>
        </w:tc>
        <w:tc>
          <w:tcPr>
            <w:tcW w:w="3322" w:type="pct"/>
            <w:vAlign w:val="center"/>
          </w:tcPr>
          <w:p w14:paraId="4EA3124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在燃点6000h时，其光通维持率应不低于99%。</w:t>
            </w:r>
          </w:p>
        </w:tc>
      </w:tr>
      <w:tr w14:paraId="28BB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2DBB1D6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08AECB5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7FDE4C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输入电压</w:t>
            </w:r>
          </w:p>
        </w:tc>
        <w:tc>
          <w:tcPr>
            <w:tcW w:w="3322" w:type="pct"/>
            <w:vAlign w:val="center"/>
          </w:tcPr>
          <w:p w14:paraId="6F79B69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AC220V（50Hz）±15%，单相三线制输入（含地线）</w:t>
            </w:r>
          </w:p>
        </w:tc>
      </w:tr>
      <w:tr w14:paraId="4F2B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4F6589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317ABC5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0F52CE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标称功率（W）</w:t>
            </w:r>
          </w:p>
        </w:tc>
        <w:tc>
          <w:tcPr>
            <w:tcW w:w="3322" w:type="pct"/>
            <w:vAlign w:val="center"/>
          </w:tcPr>
          <w:p w14:paraId="512A665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20/30/</w:t>
            </w:r>
            <w:r>
              <w:rPr>
                <w:rFonts w:hint="eastAsia" w:ascii="宋体" w:hAnsi="宋体" w:eastAsia="宋体" w:cs="宋体"/>
                <w:color w:val="auto"/>
                <w:kern w:val="2"/>
                <w:sz w:val="24"/>
                <w:szCs w:val="24"/>
                <w:lang w:eastAsia="zh-CN"/>
              </w:rPr>
              <w:t>50</w:t>
            </w:r>
            <w:r>
              <w:rPr>
                <w:rFonts w:hint="eastAsia" w:ascii="宋体" w:hAnsi="宋体" w:eastAsia="宋体" w:cs="宋体"/>
                <w:color w:val="auto"/>
                <w:kern w:val="2"/>
                <w:sz w:val="24"/>
                <w:szCs w:val="24"/>
              </w:rPr>
              <w:t>/60/80/</w:t>
            </w:r>
            <w:r>
              <w:rPr>
                <w:rFonts w:hint="eastAsia" w:ascii="宋体" w:hAnsi="宋体" w:eastAsia="宋体" w:cs="宋体"/>
                <w:color w:val="auto"/>
                <w:kern w:val="2"/>
                <w:sz w:val="24"/>
                <w:szCs w:val="24"/>
                <w:lang w:eastAsia="zh-CN"/>
              </w:rPr>
              <w:t>10</w:t>
            </w:r>
            <w:r>
              <w:rPr>
                <w:rFonts w:hint="eastAsia" w:ascii="宋体" w:hAnsi="宋体" w:eastAsia="宋体" w:cs="宋体"/>
                <w:color w:val="auto"/>
                <w:kern w:val="2"/>
                <w:sz w:val="24"/>
                <w:szCs w:val="24"/>
              </w:rPr>
              <w:t>0/120/</w:t>
            </w:r>
            <w:r>
              <w:rPr>
                <w:rFonts w:hint="eastAsia" w:ascii="宋体" w:hAnsi="宋体" w:eastAsia="宋体" w:cs="宋体"/>
                <w:color w:val="auto"/>
                <w:kern w:val="2"/>
                <w:sz w:val="24"/>
                <w:szCs w:val="24"/>
                <w:lang w:eastAsia="zh-CN"/>
              </w:rPr>
              <w:t>150</w:t>
            </w:r>
            <w:r>
              <w:rPr>
                <w:rFonts w:hint="eastAsia" w:ascii="宋体" w:hAnsi="宋体" w:eastAsia="宋体" w:cs="宋体"/>
                <w:color w:val="auto"/>
                <w:kern w:val="2"/>
                <w:sz w:val="24"/>
                <w:szCs w:val="24"/>
              </w:rPr>
              <w:t>/160/180</w:t>
            </w:r>
          </w:p>
        </w:tc>
      </w:tr>
      <w:tr w14:paraId="7955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E1B5FD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4E623B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5EE2869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输入功率容差</w:t>
            </w:r>
          </w:p>
        </w:tc>
        <w:tc>
          <w:tcPr>
            <w:tcW w:w="3322" w:type="pct"/>
            <w:vAlign w:val="center"/>
          </w:tcPr>
          <w:p w14:paraId="173A166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不应超过标称功率的10%，不应小于标称功率的90%</w:t>
            </w:r>
          </w:p>
        </w:tc>
      </w:tr>
      <w:tr w14:paraId="6198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0994F5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122FB2F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5D576A8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功率因数</w:t>
            </w:r>
          </w:p>
        </w:tc>
        <w:tc>
          <w:tcPr>
            <w:tcW w:w="3322" w:type="pct"/>
            <w:vAlign w:val="center"/>
          </w:tcPr>
          <w:p w14:paraId="566F8A4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不小于0.9</w:t>
            </w:r>
            <w:r>
              <w:rPr>
                <w:rFonts w:hint="eastAsia" w:ascii="宋体" w:hAnsi="宋体" w:eastAsia="宋体" w:cs="宋体"/>
                <w:color w:val="auto"/>
                <w:kern w:val="2"/>
                <w:sz w:val="24"/>
                <w:szCs w:val="24"/>
                <w:lang w:eastAsia="zh-CN"/>
              </w:rPr>
              <w:t>2</w:t>
            </w:r>
          </w:p>
        </w:tc>
      </w:tr>
      <w:tr w14:paraId="7937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6666DB7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3BE4E34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6ED840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驱动效率</w:t>
            </w:r>
          </w:p>
        </w:tc>
        <w:tc>
          <w:tcPr>
            <w:tcW w:w="3322" w:type="pct"/>
            <w:vAlign w:val="center"/>
          </w:tcPr>
          <w:p w14:paraId="6C4099E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≥85%</w:t>
            </w:r>
            <w:r>
              <w:rPr>
                <w:rFonts w:hint="eastAsia" w:ascii="宋体" w:hAnsi="宋体" w:eastAsia="宋体" w:cs="宋体"/>
                <w:color w:val="auto"/>
                <w:kern w:val="2"/>
                <w:sz w:val="24"/>
                <w:szCs w:val="24"/>
                <w:lang w:eastAsia="zh-CN"/>
              </w:rPr>
              <w:t>,</w:t>
            </w:r>
          </w:p>
        </w:tc>
      </w:tr>
      <w:tr w14:paraId="17D7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41A9DD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175DBC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64A1E0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电磁兼容</w:t>
            </w:r>
          </w:p>
        </w:tc>
        <w:tc>
          <w:tcPr>
            <w:tcW w:w="3322" w:type="pct"/>
            <w:vAlign w:val="center"/>
          </w:tcPr>
          <w:p w14:paraId="065E21B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1）灯具的骚扰电塔限值应符合GB/T 17743的要求。</w:t>
            </w:r>
          </w:p>
          <w:p w14:paraId="2689649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2）灯具的谐波电流限值应符合GB 17623.1的要求。</w:t>
            </w:r>
          </w:p>
          <w:p w14:paraId="428465B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3）浪涌抗扰度应符合GB/T 17626.5-2008的要求。</w:t>
            </w:r>
          </w:p>
        </w:tc>
      </w:tr>
      <w:tr w14:paraId="751E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CC8167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3A81C34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71911CC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寿命</w:t>
            </w:r>
          </w:p>
        </w:tc>
        <w:tc>
          <w:tcPr>
            <w:tcW w:w="3322" w:type="pct"/>
            <w:vAlign w:val="center"/>
          </w:tcPr>
          <w:p w14:paraId="702AACE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≥50000h</w:t>
            </w:r>
          </w:p>
        </w:tc>
      </w:tr>
      <w:tr w14:paraId="7961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16E4DAD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1C0511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68596F6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安全设计</w:t>
            </w:r>
          </w:p>
        </w:tc>
        <w:tc>
          <w:tcPr>
            <w:tcW w:w="3322" w:type="pct"/>
            <w:vAlign w:val="center"/>
          </w:tcPr>
          <w:p w14:paraId="36FEC7B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灯具的安全要求应符合GB 7000.203-2023的要求。</w:t>
            </w:r>
          </w:p>
          <w:p w14:paraId="68FCA47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灯具的防护等级达到IP65及以上。</w:t>
            </w:r>
          </w:p>
          <w:p w14:paraId="2EC009D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灯具应具有防雷、防腐、防冻设计。</w:t>
            </w:r>
          </w:p>
          <w:p w14:paraId="5A8E711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常温下，结温不高于65℃。</w:t>
            </w:r>
          </w:p>
        </w:tc>
      </w:tr>
      <w:tr w14:paraId="7376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21449D7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331748E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1E6A9FA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环境适应性</w:t>
            </w:r>
          </w:p>
        </w:tc>
        <w:tc>
          <w:tcPr>
            <w:tcW w:w="3322" w:type="pct"/>
            <w:vAlign w:val="center"/>
          </w:tcPr>
          <w:p w14:paraId="2C6052D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环境温度-40℃~50℃。</w:t>
            </w:r>
          </w:p>
        </w:tc>
      </w:tr>
      <w:tr w14:paraId="5F2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38ED8F2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75637A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6C7E8A4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LED模块</w:t>
            </w:r>
          </w:p>
        </w:tc>
        <w:tc>
          <w:tcPr>
            <w:tcW w:w="3322" w:type="pct"/>
            <w:vAlign w:val="center"/>
          </w:tcPr>
          <w:p w14:paraId="7CD6D68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1）应符合GB/T 24907的要求。</w:t>
            </w:r>
          </w:p>
          <w:p w14:paraId="097B967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应符合条款5.4的规定。</w:t>
            </w:r>
          </w:p>
        </w:tc>
      </w:tr>
      <w:tr w14:paraId="2B47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4411EA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77BD05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147D841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LED驱动装置</w:t>
            </w:r>
          </w:p>
        </w:tc>
        <w:tc>
          <w:tcPr>
            <w:tcW w:w="3322" w:type="pct"/>
            <w:vAlign w:val="center"/>
          </w:tcPr>
          <w:p w14:paraId="68024EE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1）应符合GB/T 24825的要求。</w:t>
            </w:r>
          </w:p>
          <w:p w14:paraId="6B880EF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2）应符合条款3的规定。</w:t>
            </w:r>
          </w:p>
        </w:tc>
      </w:tr>
      <w:tr w14:paraId="2371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restart"/>
            <w:vAlign w:val="center"/>
          </w:tcPr>
          <w:p w14:paraId="6BA0128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p>
        </w:tc>
        <w:tc>
          <w:tcPr>
            <w:tcW w:w="431" w:type="pct"/>
            <w:vMerge w:val="restart"/>
            <w:vAlign w:val="center"/>
          </w:tcPr>
          <w:p w14:paraId="315356F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LED照明灯具驱动装置</w:t>
            </w:r>
          </w:p>
        </w:tc>
        <w:tc>
          <w:tcPr>
            <w:tcW w:w="814" w:type="pct"/>
            <w:vAlign w:val="center"/>
          </w:tcPr>
          <w:p w14:paraId="754ECE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电压</w:t>
            </w:r>
          </w:p>
        </w:tc>
        <w:tc>
          <w:tcPr>
            <w:tcW w:w="3322" w:type="pct"/>
            <w:vAlign w:val="center"/>
          </w:tcPr>
          <w:p w14:paraId="59FA1E5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AC220V±15%（50-60Hz）</w:t>
            </w:r>
          </w:p>
        </w:tc>
      </w:tr>
      <w:tr w14:paraId="62C1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6D8E065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253706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05A0A7E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输出</w:t>
            </w:r>
          </w:p>
        </w:tc>
        <w:tc>
          <w:tcPr>
            <w:tcW w:w="3322" w:type="pct"/>
            <w:vAlign w:val="center"/>
          </w:tcPr>
          <w:p w14:paraId="47B7F2F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输出类型：输出范围</w:t>
            </w:r>
          </w:p>
          <w:p w14:paraId="0E7932E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电压输出：24V/36V/48V</w:t>
            </w:r>
          </w:p>
          <w:p w14:paraId="32108AA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恒流输出</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350mA/700mA/1050mA</w:t>
            </w:r>
          </w:p>
        </w:tc>
      </w:tr>
      <w:tr w14:paraId="05C5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690B3C9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4A0B0A5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6EFCABE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输出功率</w:t>
            </w:r>
          </w:p>
        </w:tc>
        <w:tc>
          <w:tcPr>
            <w:tcW w:w="3322" w:type="pct"/>
            <w:vAlign w:val="center"/>
          </w:tcPr>
          <w:p w14:paraId="4F3A067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30W/40W/50W/</w:t>
            </w:r>
            <w:r>
              <w:rPr>
                <w:rFonts w:hint="eastAsia" w:ascii="宋体" w:hAnsi="宋体" w:eastAsia="宋体" w:cs="宋体"/>
                <w:color w:val="auto"/>
                <w:kern w:val="2"/>
                <w:sz w:val="24"/>
                <w:szCs w:val="24"/>
                <w:lang w:eastAsia="zh-CN"/>
              </w:rPr>
              <w:t>60W/80W/</w:t>
            </w:r>
            <w:r>
              <w:rPr>
                <w:rFonts w:hint="eastAsia" w:ascii="宋体" w:hAnsi="宋体" w:eastAsia="宋体" w:cs="宋体"/>
                <w:color w:val="auto"/>
                <w:kern w:val="2"/>
                <w:sz w:val="24"/>
                <w:szCs w:val="24"/>
              </w:rPr>
              <w:t>100W/</w:t>
            </w:r>
            <w:r>
              <w:rPr>
                <w:rFonts w:hint="eastAsia" w:ascii="宋体" w:hAnsi="宋体" w:eastAsia="宋体" w:cs="宋体"/>
                <w:color w:val="auto"/>
                <w:kern w:val="2"/>
                <w:sz w:val="24"/>
                <w:szCs w:val="24"/>
                <w:lang w:eastAsia="zh-CN"/>
              </w:rPr>
              <w:t>120W/</w:t>
            </w:r>
            <w:r>
              <w:rPr>
                <w:rFonts w:hint="eastAsia" w:ascii="宋体" w:hAnsi="宋体" w:eastAsia="宋体" w:cs="宋体"/>
                <w:color w:val="auto"/>
                <w:kern w:val="2"/>
                <w:sz w:val="24"/>
                <w:szCs w:val="24"/>
              </w:rPr>
              <w:t>150W/</w:t>
            </w:r>
            <w:r>
              <w:rPr>
                <w:rFonts w:hint="eastAsia" w:ascii="宋体" w:hAnsi="宋体" w:eastAsia="宋体" w:cs="宋体"/>
                <w:color w:val="auto"/>
                <w:kern w:val="2"/>
                <w:sz w:val="24"/>
                <w:szCs w:val="24"/>
                <w:lang w:eastAsia="zh-CN"/>
              </w:rPr>
              <w:t>180W/</w:t>
            </w:r>
            <w:r>
              <w:rPr>
                <w:rFonts w:hint="eastAsia" w:ascii="宋体" w:hAnsi="宋体" w:eastAsia="宋体" w:cs="宋体"/>
                <w:color w:val="auto"/>
                <w:kern w:val="2"/>
                <w:sz w:val="24"/>
                <w:szCs w:val="24"/>
              </w:rPr>
              <w:t>200W</w:t>
            </w:r>
          </w:p>
        </w:tc>
      </w:tr>
      <w:tr w14:paraId="3726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50137B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0B5241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6217BC7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功率因数</w:t>
            </w:r>
          </w:p>
        </w:tc>
        <w:tc>
          <w:tcPr>
            <w:tcW w:w="3322" w:type="pct"/>
            <w:vAlign w:val="center"/>
          </w:tcPr>
          <w:p w14:paraId="055F3EE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不应低于0.95</w:t>
            </w:r>
          </w:p>
        </w:tc>
      </w:tr>
      <w:tr w14:paraId="6F76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4F31742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056223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0A17F79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驱动因数</w:t>
            </w:r>
          </w:p>
        </w:tc>
        <w:tc>
          <w:tcPr>
            <w:tcW w:w="3322" w:type="pct"/>
            <w:vAlign w:val="center"/>
          </w:tcPr>
          <w:p w14:paraId="6C8C563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不应低于85%</w:t>
            </w:r>
          </w:p>
        </w:tc>
      </w:tr>
      <w:tr w14:paraId="64B5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21AC8E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72260E7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091671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输出路数</w:t>
            </w:r>
          </w:p>
        </w:tc>
        <w:tc>
          <w:tcPr>
            <w:tcW w:w="3322" w:type="pct"/>
            <w:vAlign w:val="center"/>
          </w:tcPr>
          <w:p w14:paraId="68582FA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多路</w:t>
            </w:r>
          </w:p>
        </w:tc>
      </w:tr>
      <w:tr w14:paraId="6714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5109B62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781B7A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1475A4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连接方式</w:t>
            </w:r>
          </w:p>
        </w:tc>
        <w:tc>
          <w:tcPr>
            <w:tcW w:w="3322" w:type="pct"/>
            <w:vAlign w:val="center"/>
          </w:tcPr>
          <w:p w14:paraId="5E1A2BF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串联/并联</w:t>
            </w:r>
          </w:p>
        </w:tc>
      </w:tr>
      <w:tr w14:paraId="6C5F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ACEC3D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2C8CA9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19A8E18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安全设计</w:t>
            </w:r>
          </w:p>
        </w:tc>
        <w:tc>
          <w:tcPr>
            <w:tcW w:w="3322" w:type="pct"/>
            <w:vAlign w:val="center"/>
          </w:tcPr>
          <w:p w14:paraId="7DB07EE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应包含电磁兼容性设计。</w:t>
            </w:r>
          </w:p>
          <w:p w14:paraId="52D4DDB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电路应包含保护设计（涌浪、短路、过流保护等）。</w:t>
            </w:r>
          </w:p>
          <w:p w14:paraId="6C7F397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防护设计应达到IP65以上。</w:t>
            </w:r>
          </w:p>
          <w:p w14:paraId="5A7511C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应具有温度散热设计。</w:t>
            </w:r>
          </w:p>
          <w:p w14:paraId="2C2DBFA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抗浪涌保护器应符合《低压电涌保护器（SPD）第一部分：低压配电系统的电涌保护器性能要求和实验方式》GB 18802.1的规定，使用III类试验方法进行试验。</w:t>
            </w:r>
          </w:p>
        </w:tc>
      </w:tr>
      <w:tr w14:paraId="1E16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5DB247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4E24B3C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0C8AA4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环境要求</w:t>
            </w:r>
          </w:p>
        </w:tc>
        <w:tc>
          <w:tcPr>
            <w:tcW w:w="3322" w:type="pct"/>
            <w:vAlign w:val="center"/>
          </w:tcPr>
          <w:p w14:paraId="49F101C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工作温度：-40℃~50℃</w:t>
            </w:r>
          </w:p>
          <w:p w14:paraId="09DAABD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相对湿度：≤95%</w:t>
            </w:r>
          </w:p>
        </w:tc>
      </w:tr>
      <w:tr w14:paraId="20CD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6B30E2E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2DA3B2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1C12E8D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重量</w:t>
            </w:r>
          </w:p>
        </w:tc>
        <w:tc>
          <w:tcPr>
            <w:tcW w:w="3322" w:type="pct"/>
            <w:vAlign w:val="center"/>
          </w:tcPr>
          <w:p w14:paraId="49430EC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≤5kg</w:t>
            </w:r>
          </w:p>
        </w:tc>
      </w:tr>
      <w:tr w14:paraId="3BBB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874C1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697144E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5284C77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控制接口</w:t>
            </w:r>
          </w:p>
        </w:tc>
        <w:tc>
          <w:tcPr>
            <w:tcW w:w="3322" w:type="pct"/>
            <w:vAlign w:val="center"/>
          </w:tcPr>
          <w:p w14:paraId="7EED3EB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1）应包含调光或调色温等功能的控制接口。</w:t>
            </w:r>
          </w:p>
          <w:p w14:paraId="1C5485E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2）应具有模拟量信号采集功能接口。</w:t>
            </w:r>
          </w:p>
          <w:p w14:paraId="7504E4E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应具有通讯接口，包括有线或无线通讯（即产品具3）有GPRS、internet、局域网、光纤、RS-485、RS-232，电力线载波接口。</w:t>
            </w:r>
            <w:r>
              <w:rPr>
                <w:rFonts w:hint="eastAsia" w:ascii="宋体" w:hAnsi="宋体" w:eastAsia="宋体" w:cs="宋体"/>
                <w:color w:val="auto"/>
                <w:kern w:val="2"/>
                <w:sz w:val="24"/>
                <w:szCs w:val="24"/>
              </w:rPr>
              <w:t>）</w:t>
            </w:r>
          </w:p>
        </w:tc>
      </w:tr>
      <w:tr w14:paraId="0E95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restart"/>
            <w:vAlign w:val="center"/>
          </w:tcPr>
          <w:p w14:paraId="4FDB93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w:t>
            </w:r>
          </w:p>
        </w:tc>
        <w:tc>
          <w:tcPr>
            <w:tcW w:w="431" w:type="pct"/>
            <w:vMerge w:val="restart"/>
            <w:vAlign w:val="center"/>
          </w:tcPr>
          <w:p w14:paraId="261E6EE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sz w:val="24"/>
                <w:szCs w:val="24"/>
              </w:rPr>
              <w:t>单灯控制器</w:t>
            </w:r>
          </w:p>
        </w:tc>
        <w:tc>
          <w:tcPr>
            <w:tcW w:w="814" w:type="pct"/>
            <w:vAlign w:val="center"/>
          </w:tcPr>
          <w:p w14:paraId="6E6C223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spacing w:val="6"/>
                <w:sz w:val="24"/>
                <w:szCs w:val="24"/>
              </w:rPr>
              <w:t>通信方式</w:t>
            </w:r>
          </w:p>
        </w:tc>
        <w:tc>
          <w:tcPr>
            <w:tcW w:w="3322" w:type="pct"/>
            <w:vAlign w:val="center"/>
          </w:tcPr>
          <w:p w14:paraId="20913224">
            <w:pPr>
              <w:keepNext w:val="0"/>
              <w:keepLines w:val="0"/>
              <w:pageBreakBefore w:val="0"/>
              <w:widowControl w:val="0"/>
              <w:kinsoku/>
              <w:wordWrap/>
              <w:overflowPunct/>
              <w:topLinePunct w:val="0"/>
              <w:autoSpaceDE/>
              <w:autoSpaceDN/>
              <w:bidi w:val="0"/>
              <w:adjustRightInd/>
              <w:snapToGrid/>
              <w:spacing w:before="36" w:line="360" w:lineRule="auto"/>
              <w:ind w:left="108" w:right="4051" w:firstLine="15"/>
              <w:jc w:val="left"/>
              <w:textAlignment w:val="auto"/>
              <w:rPr>
                <w:rFonts w:hint="eastAsia" w:ascii="宋体" w:hAnsi="宋体" w:eastAsia="宋体" w:cs="宋体"/>
                <w:sz w:val="24"/>
                <w:szCs w:val="24"/>
              </w:rPr>
            </w:pPr>
            <w:r>
              <w:rPr>
                <w:rFonts w:hint="eastAsia" w:ascii="宋体" w:hAnsi="宋体" w:eastAsia="宋体" w:cs="宋体"/>
                <w:sz w:val="24"/>
                <w:szCs w:val="24"/>
              </w:rPr>
              <w:t>4G</w:t>
            </w:r>
            <w:r>
              <w:rPr>
                <w:rFonts w:hint="eastAsia" w:ascii="宋体" w:hAnsi="宋体" w:eastAsia="宋体" w:cs="宋体"/>
                <w:spacing w:val="14"/>
                <w:w w:val="101"/>
                <w:sz w:val="24"/>
                <w:szCs w:val="24"/>
              </w:rPr>
              <w:t xml:space="preserve"> </w:t>
            </w:r>
            <w:r>
              <w:rPr>
                <w:rFonts w:hint="eastAsia" w:ascii="宋体" w:hAnsi="宋体" w:eastAsia="宋体" w:cs="宋体"/>
                <w:sz w:val="24"/>
                <w:szCs w:val="24"/>
              </w:rPr>
              <w:t>Cat</w:t>
            </w:r>
            <w:r>
              <w:rPr>
                <w:rFonts w:hint="eastAsia" w:ascii="宋体" w:hAnsi="宋体" w:eastAsia="宋体" w:cs="宋体"/>
                <w:spacing w:val="-31"/>
                <w:sz w:val="24"/>
                <w:szCs w:val="24"/>
              </w:rPr>
              <w:t xml:space="preserve"> </w:t>
            </w:r>
            <w:r>
              <w:rPr>
                <w:rFonts w:hint="eastAsia" w:ascii="宋体" w:hAnsi="宋体" w:eastAsia="宋体" w:cs="宋体"/>
                <w:sz w:val="24"/>
                <w:szCs w:val="24"/>
              </w:rPr>
              <w:t>1</w:t>
            </w:r>
            <w:r>
              <w:rPr>
                <w:rFonts w:hint="eastAsia" w:ascii="宋体" w:hAnsi="宋体" w:eastAsia="宋体" w:cs="宋体"/>
                <w:spacing w:val="14"/>
                <w:w w:val="101"/>
                <w:sz w:val="24"/>
                <w:szCs w:val="24"/>
              </w:rPr>
              <w:t xml:space="preserve"> </w:t>
            </w:r>
            <w:r>
              <w:rPr>
                <w:rFonts w:hint="eastAsia" w:ascii="宋体" w:hAnsi="宋体" w:eastAsia="宋体" w:cs="宋体"/>
                <w:sz w:val="24"/>
                <w:szCs w:val="24"/>
              </w:rPr>
              <w:t>通信</w:t>
            </w:r>
          </w:p>
          <w:p w14:paraId="67A2AE5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spacing w:val="10"/>
                <w:sz w:val="24"/>
                <w:szCs w:val="24"/>
              </w:rPr>
              <w:t>采用</w:t>
            </w:r>
            <w:r>
              <w:rPr>
                <w:rFonts w:hint="eastAsia" w:ascii="宋体" w:hAnsi="宋体" w:eastAsia="宋体" w:cs="宋体"/>
                <w:sz w:val="24"/>
                <w:szCs w:val="24"/>
              </w:rPr>
              <w:t>Cat</w:t>
            </w:r>
            <w:r>
              <w:rPr>
                <w:rFonts w:hint="eastAsia" w:ascii="宋体" w:hAnsi="宋体" w:eastAsia="宋体" w:cs="宋体"/>
                <w:spacing w:val="-33"/>
                <w:sz w:val="24"/>
                <w:szCs w:val="24"/>
              </w:rPr>
              <w:t xml:space="preserve"> </w:t>
            </w:r>
            <w:r>
              <w:rPr>
                <w:rFonts w:hint="eastAsia" w:ascii="宋体" w:hAnsi="宋体" w:eastAsia="宋体" w:cs="宋体"/>
                <w:spacing w:val="10"/>
                <w:sz w:val="24"/>
                <w:szCs w:val="24"/>
              </w:rPr>
              <w:t>1通信方式直接与目标服务器建立</w:t>
            </w:r>
            <w:r>
              <w:rPr>
                <w:rFonts w:hint="eastAsia" w:ascii="宋体" w:hAnsi="宋体" w:eastAsia="宋体" w:cs="宋体"/>
                <w:sz w:val="24"/>
                <w:szCs w:val="24"/>
              </w:rPr>
              <w:t>TCP</w:t>
            </w:r>
            <w:r>
              <w:rPr>
                <w:rFonts w:hint="eastAsia" w:ascii="宋体" w:hAnsi="宋体" w:eastAsia="宋体" w:cs="宋体"/>
                <w:spacing w:val="10"/>
                <w:sz w:val="24"/>
                <w:szCs w:val="24"/>
              </w:rPr>
              <w:t>链接</w:t>
            </w:r>
            <w:r>
              <w:rPr>
                <w:rFonts w:hint="eastAsia" w:ascii="宋体" w:hAnsi="宋体" w:eastAsia="宋体" w:cs="宋体"/>
                <w:spacing w:val="9"/>
                <w:sz w:val="24"/>
                <w:szCs w:val="24"/>
              </w:rPr>
              <w:t>，基于</w:t>
            </w:r>
            <w:r>
              <w:rPr>
                <w:rFonts w:hint="eastAsia" w:ascii="宋体" w:hAnsi="宋体" w:eastAsia="宋体" w:cs="宋体"/>
                <w:sz w:val="24"/>
                <w:szCs w:val="24"/>
              </w:rPr>
              <w:t xml:space="preserve"> </w:t>
            </w:r>
            <w:r>
              <w:rPr>
                <w:rFonts w:hint="eastAsia" w:ascii="宋体" w:hAnsi="宋体" w:eastAsia="宋体" w:cs="宋体"/>
                <w:spacing w:val="8"/>
                <w:sz w:val="24"/>
                <w:szCs w:val="24"/>
              </w:rPr>
              <w:t>要求格式进行数据交互</w:t>
            </w:r>
          </w:p>
        </w:tc>
      </w:tr>
      <w:tr w14:paraId="3947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A3634C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38934D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814" w:type="pct"/>
            <w:vAlign w:val="center"/>
          </w:tcPr>
          <w:p w14:paraId="318ECE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模拟量采集</w:t>
            </w:r>
          </w:p>
        </w:tc>
        <w:tc>
          <w:tcPr>
            <w:tcW w:w="3322" w:type="pct"/>
            <w:vAlign w:val="center"/>
          </w:tcPr>
          <w:p w14:paraId="2D55B7E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电压采集：输入电压实时采集功能。</w:t>
            </w:r>
          </w:p>
          <w:p w14:paraId="0E2EFC5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电流采集： 电流采集功能，可实时采集输入电流。</w:t>
            </w:r>
          </w:p>
          <w:p w14:paraId="3CE49F8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功率采集：功率采集功能，可实时采集有功功率。</w:t>
            </w:r>
          </w:p>
          <w:p w14:paraId="6EA6B95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10"/>
                <w:sz w:val="24"/>
                <w:szCs w:val="24"/>
              </w:rPr>
            </w:pPr>
            <w:r>
              <w:rPr>
                <w:rFonts w:hint="eastAsia" w:ascii="宋体" w:hAnsi="宋体" w:eastAsia="宋体" w:cs="宋体"/>
                <w:color w:val="auto"/>
                <w:kern w:val="2"/>
                <w:sz w:val="24"/>
                <w:szCs w:val="24"/>
                <w:lang w:eastAsia="zh-CN"/>
              </w:rPr>
              <w:t>电量采集： 电量采集功能，可实时采集有功电量。</w:t>
            </w:r>
          </w:p>
        </w:tc>
      </w:tr>
      <w:tr w14:paraId="4E5B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01CB85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555EC92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814" w:type="pct"/>
            <w:vAlign w:val="center"/>
          </w:tcPr>
          <w:p w14:paraId="00FAF6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sz w:val="24"/>
                <w:szCs w:val="24"/>
              </w:rPr>
            </w:pPr>
            <w:r>
              <w:rPr>
                <w:rFonts w:hint="eastAsia" w:ascii="宋体" w:hAnsi="宋体" w:eastAsia="宋体" w:cs="宋体"/>
                <w:spacing w:val="6"/>
                <w:position w:val="1"/>
                <w:sz w:val="24"/>
                <w:szCs w:val="24"/>
              </w:rPr>
              <w:t>开关量控制</w:t>
            </w:r>
          </w:p>
        </w:tc>
        <w:tc>
          <w:tcPr>
            <w:tcW w:w="3322" w:type="pct"/>
            <w:vAlign w:val="center"/>
          </w:tcPr>
          <w:p w14:paraId="0445377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控制输出：控制开关量输出。</w:t>
            </w:r>
          </w:p>
          <w:p w14:paraId="6752A01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6"/>
                <w:sz w:val="24"/>
                <w:szCs w:val="24"/>
              </w:rPr>
            </w:pPr>
            <w:r>
              <w:rPr>
                <w:rFonts w:hint="eastAsia" w:ascii="宋体" w:hAnsi="宋体" w:eastAsia="宋体" w:cs="宋体"/>
                <w:color w:val="auto"/>
                <w:kern w:val="2"/>
                <w:sz w:val="24"/>
                <w:szCs w:val="24"/>
                <w:lang w:eastAsia="zh-CN"/>
              </w:rPr>
              <w:t>可响应主站下发的遥控开关灯命令。</w:t>
            </w:r>
          </w:p>
        </w:tc>
      </w:tr>
      <w:tr w14:paraId="0D6A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3CCEBB8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14383B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814" w:type="pct"/>
            <w:vAlign w:val="center"/>
          </w:tcPr>
          <w:p w14:paraId="007F3F7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position w:val="1"/>
                <w:sz w:val="24"/>
                <w:szCs w:val="24"/>
              </w:rPr>
            </w:pPr>
            <w:r>
              <w:rPr>
                <w:rFonts w:hint="eastAsia" w:ascii="宋体" w:hAnsi="宋体" w:eastAsia="宋体" w:cs="宋体"/>
                <w:spacing w:val="6"/>
                <w:sz w:val="24"/>
                <w:szCs w:val="24"/>
              </w:rPr>
              <w:t>调光控制</w:t>
            </w:r>
          </w:p>
        </w:tc>
        <w:tc>
          <w:tcPr>
            <w:tcW w:w="3322" w:type="pct"/>
            <w:vAlign w:val="center"/>
          </w:tcPr>
          <w:p w14:paraId="001040F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0-10V调光：需外接具有0-10V调光接口的电子镇流器或 LED电源。</w:t>
            </w:r>
          </w:p>
          <w:p w14:paraId="5CFC7F9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8"/>
                <w:sz w:val="24"/>
                <w:szCs w:val="24"/>
              </w:rPr>
            </w:pPr>
            <w:r>
              <w:rPr>
                <w:rFonts w:hint="eastAsia" w:ascii="宋体" w:hAnsi="宋体" w:eastAsia="宋体" w:cs="宋体"/>
                <w:color w:val="auto"/>
                <w:kern w:val="2"/>
                <w:sz w:val="24"/>
                <w:szCs w:val="24"/>
                <w:lang w:eastAsia="zh-CN"/>
              </w:rPr>
              <w:t>可响应主站下发的遥控调光命令。</w:t>
            </w:r>
          </w:p>
        </w:tc>
      </w:tr>
      <w:tr w14:paraId="4FED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8A429F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62B600B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814" w:type="pct"/>
            <w:vAlign w:val="center"/>
          </w:tcPr>
          <w:p w14:paraId="3CAB388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sz w:val="24"/>
                <w:szCs w:val="24"/>
              </w:rPr>
            </w:pPr>
            <w:r>
              <w:rPr>
                <w:rFonts w:hint="eastAsia" w:ascii="宋体" w:hAnsi="宋体" w:eastAsia="宋体" w:cs="宋体"/>
                <w:spacing w:val="6"/>
                <w:position w:val="1"/>
                <w:sz w:val="24"/>
                <w:szCs w:val="24"/>
              </w:rPr>
              <w:t>故障报警</w:t>
            </w:r>
          </w:p>
        </w:tc>
        <w:tc>
          <w:tcPr>
            <w:tcW w:w="3322" w:type="pct"/>
            <w:vAlign w:val="center"/>
          </w:tcPr>
          <w:p w14:paraId="6866339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8"/>
                <w:sz w:val="24"/>
                <w:szCs w:val="24"/>
              </w:rPr>
            </w:pPr>
            <w:r>
              <w:rPr>
                <w:rFonts w:hint="eastAsia" w:ascii="宋体" w:hAnsi="宋体" w:eastAsia="宋体" w:cs="宋体"/>
                <w:color w:val="auto"/>
                <w:kern w:val="2"/>
                <w:sz w:val="24"/>
                <w:szCs w:val="24"/>
                <w:lang w:eastAsia="zh-CN"/>
              </w:rPr>
              <w:t>灯具出现意外亮灯、意外灭灯、光源故障（即有功功率持 续小于意外灭灯上限功率而无功功率持续大于意外亮灯下 限功率）、频闪故障情况时自主检测并报警，灯具恢复正 常后自主消警。</w:t>
            </w:r>
          </w:p>
        </w:tc>
      </w:tr>
      <w:tr w14:paraId="0F50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29B075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4CA216A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814" w:type="pct"/>
            <w:vAlign w:val="center"/>
          </w:tcPr>
          <w:p w14:paraId="2D87114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position w:val="1"/>
                <w:sz w:val="24"/>
                <w:szCs w:val="24"/>
              </w:rPr>
            </w:pPr>
            <w:r>
              <w:rPr>
                <w:rFonts w:hint="eastAsia" w:ascii="宋体" w:hAnsi="宋体" w:eastAsia="宋体" w:cs="宋体"/>
                <w:spacing w:val="7"/>
                <w:position w:val="1"/>
                <w:sz w:val="24"/>
                <w:szCs w:val="24"/>
              </w:rPr>
              <w:t>数据自主上报</w:t>
            </w:r>
          </w:p>
        </w:tc>
        <w:tc>
          <w:tcPr>
            <w:tcW w:w="3322" w:type="pct"/>
            <w:vAlign w:val="center"/>
          </w:tcPr>
          <w:p w14:paraId="1E4F1B9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支持控制器出现故障或控制状态发生更改等情况下相关信 息主动上报至平台功能，可通过设置对该功能进行启动与 禁止，上报间隔时间可设置；有补发机制，超时未收到平 台应答，则补发主报信息。</w:t>
            </w:r>
          </w:p>
          <w:p w14:paraId="724CE1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9"/>
                <w:sz w:val="24"/>
                <w:szCs w:val="24"/>
              </w:rPr>
            </w:pPr>
            <w:r>
              <w:rPr>
                <w:rFonts w:hint="eastAsia" w:ascii="宋体" w:hAnsi="宋体" w:eastAsia="宋体" w:cs="宋体"/>
                <w:color w:val="auto"/>
                <w:kern w:val="2"/>
                <w:sz w:val="24"/>
                <w:szCs w:val="24"/>
                <w:lang w:eastAsia="zh-CN"/>
              </w:rPr>
              <w:t>主报信息中包含实时的模拟量采集数据，灯具状态，控制 状态及无线信号质量数据。</w:t>
            </w:r>
          </w:p>
        </w:tc>
      </w:tr>
      <w:tr w14:paraId="66CA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014BC0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7A4131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814" w:type="pct"/>
            <w:vAlign w:val="center"/>
          </w:tcPr>
          <w:p w14:paraId="5FA818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7"/>
                <w:position w:val="1"/>
                <w:sz w:val="24"/>
                <w:szCs w:val="24"/>
              </w:rPr>
            </w:pPr>
            <w:r>
              <w:rPr>
                <w:rFonts w:hint="eastAsia" w:ascii="宋体" w:hAnsi="宋体" w:eastAsia="宋体" w:cs="宋体"/>
                <w:spacing w:val="7"/>
                <w:position w:val="1"/>
                <w:sz w:val="24"/>
                <w:szCs w:val="24"/>
              </w:rPr>
              <w:t>防水等级</w:t>
            </w:r>
          </w:p>
        </w:tc>
        <w:tc>
          <w:tcPr>
            <w:tcW w:w="3322" w:type="pct"/>
            <w:vAlign w:val="center"/>
          </w:tcPr>
          <w:p w14:paraId="784E59F0">
            <w:pPr>
              <w:keepNext w:val="0"/>
              <w:keepLines w:val="0"/>
              <w:pageBreakBefore w:val="0"/>
              <w:widowControl w:val="0"/>
              <w:kinsoku/>
              <w:wordWrap/>
              <w:overflowPunct/>
              <w:topLinePunct w:val="0"/>
              <w:autoSpaceDE/>
              <w:autoSpaceDN/>
              <w:bidi w:val="0"/>
              <w:adjustRightInd/>
              <w:snapToGrid/>
              <w:spacing w:before="104" w:line="360" w:lineRule="auto"/>
              <w:ind w:left="115" w:right="175" w:hanging="3"/>
              <w:jc w:val="left"/>
              <w:textAlignment w:val="auto"/>
              <w:rPr>
                <w:rFonts w:hint="eastAsia" w:ascii="宋体" w:hAnsi="宋体" w:eastAsia="宋体" w:cs="宋体"/>
                <w:spacing w:val="9"/>
                <w:sz w:val="24"/>
                <w:szCs w:val="24"/>
              </w:rPr>
            </w:pPr>
            <w:r>
              <w:rPr>
                <w:rFonts w:hint="eastAsia" w:ascii="宋体" w:hAnsi="宋体" w:eastAsia="宋体" w:cs="宋体"/>
                <w:position w:val="1"/>
                <w:sz w:val="24"/>
                <w:szCs w:val="24"/>
              </w:rPr>
              <w:t>IP</w:t>
            </w:r>
            <w:r>
              <w:rPr>
                <w:rFonts w:hint="eastAsia" w:ascii="宋体" w:hAnsi="宋体" w:eastAsia="宋体" w:cs="宋体"/>
                <w:spacing w:val="7"/>
                <w:position w:val="1"/>
                <w:sz w:val="24"/>
                <w:szCs w:val="24"/>
                <w:lang w:val="en-US" w:eastAsia="zh-CN"/>
              </w:rPr>
              <w:t>65</w:t>
            </w:r>
            <w:r>
              <w:rPr>
                <w:rFonts w:hint="eastAsia" w:ascii="宋体" w:hAnsi="宋体" w:eastAsia="宋体" w:cs="宋体"/>
                <w:spacing w:val="7"/>
                <w:position w:val="1"/>
                <w:sz w:val="24"/>
                <w:szCs w:val="24"/>
              </w:rPr>
              <w:t>及以上</w:t>
            </w:r>
          </w:p>
        </w:tc>
      </w:tr>
      <w:tr w14:paraId="2600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41F682F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65B3423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814" w:type="pct"/>
            <w:vAlign w:val="center"/>
          </w:tcPr>
          <w:p w14:paraId="4A18106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7"/>
                <w:position w:val="1"/>
                <w:sz w:val="24"/>
                <w:szCs w:val="24"/>
              </w:rPr>
            </w:pPr>
            <w:r>
              <w:rPr>
                <w:rFonts w:hint="eastAsia" w:ascii="宋体" w:hAnsi="宋体" w:eastAsia="宋体" w:cs="宋体"/>
                <w:spacing w:val="6"/>
                <w:position w:val="1"/>
                <w:sz w:val="24"/>
                <w:szCs w:val="24"/>
              </w:rPr>
              <w:t>工作温度</w:t>
            </w:r>
          </w:p>
        </w:tc>
        <w:tc>
          <w:tcPr>
            <w:tcW w:w="3322" w:type="pct"/>
            <w:vAlign w:val="center"/>
          </w:tcPr>
          <w:p w14:paraId="17F59EAF">
            <w:pPr>
              <w:keepNext w:val="0"/>
              <w:keepLines w:val="0"/>
              <w:pageBreakBefore w:val="0"/>
              <w:widowControl w:val="0"/>
              <w:kinsoku/>
              <w:wordWrap/>
              <w:overflowPunct/>
              <w:topLinePunct w:val="0"/>
              <w:autoSpaceDE/>
              <w:autoSpaceDN/>
              <w:bidi w:val="0"/>
              <w:adjustRightInd/>
              <w:snapToGrid/>
              <w:spacing w:before="104" w:line="360" w:lineRule="auto"/>
              <w:ind w:left="115" w:right="175" w:hanging="3"/>
              <w:jc w:val="left"/>
              <w:textAlignment w:val="auto"/>
              <w:rPr>
                <w:rFonts w:hint="eastAsia" w:ascii="宋体" w:hAnsi="宋体" w:eastAsia="宋体" w:cs="宋体"/>
                <w:position w:val="1"/>
                <w:sz w:val="24"/>
                <w:szCs w:val="24"/>
              </w:rPr>
            </w:pPr>
            <w:r>
              <w:rPr>
                <w:rFonts w:hint="eastAsia" w:ascii="宋体" w:hAnsi="宋体" w:eastAsia="宋体" w:cs="宋体"/>
                <w:spacing w:val="6"/>
                <w:position w:val="1"/>
                <w:sz w:val="24"/>
                <w:szCs w:val="24"/>
                <w:lang w:val="en-US" w:eastAsia="zh-CN"/>
              </w:rPr>
              <w:t>-</w:t>
            </w:r>
            <w:r>
              <w:rPr>
                <w:rFonts w:hint="eastAsia" w:ascii="宋体" w:hAnsi="宋体" w:eastAsia="宋体" w:cs="宋体"/>
                <w:spacing w:val="6"/>
                <w:position w:val="1"/>
                <w:sz w:val="24"/>
                <w:szCs w:val="24"/>
              </w:rPr>
              <w:t>40℃</w:t>
            </w:r>
            <w:r>
              <w:rPr>
                <w:rFonts w:hint="eastAsia" w:ascii="宋体" w:hAnsi="宋体" w:eastAsia="宋体" w:cs="宋体"/>
                <w:spacing w:val="6"/>
                <w:position w:val="1"/>
                <w:sz w:val="24"/>
                <w:szCs w:val="24"/>
                <w:lang w:eastAsia="zh-CN"/>
              </w:rPr>
              <w:t>—</w:t>
            </w:r>
            <w:r>
              <w:rPr>
                <w:rFonts w:hint="eastAsia" w:ascii="宋体" w:hAnsi="宋体" w:eastAsia="宋体" w:cs="宋体"/>
                <w:spacing w:val="6"/>
                <w:position w:val="1"/>
                <w:sz w:val="24"/>
                <w:szCs w:val="24"/>
              </w:rPr>
              <w:t>+70℃</w:t>
            </w:r>
          </w:p>
        </w:tc>
      </w:tr>
      <w:tr w14:paraId="70E5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514F05D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03F5ABD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814" w:type="pct"/>
            <w:vAlign w:val="center"/>
          </w:tcPr>
          <w:p w14:paraId="3712FE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position w:val="1"/>
                <w:sz w:val="24"/>
                <w:szCs w:val="24"/>
              </w:rPr>
            </w:pPr>
            <w:r>
              <w:rPr>
                <w:rFonts w:hint="eastAsia" w:ascii="宋体" w:hAnsi="宋体" w:eastAsia="宋体" w:cs="宋体"/>
                <w:spacing w:val="8"/>
                <w:sz w:val="24"/>
                <w:szCs w:val="24"/>
              </w:rPr>
              <w:t>实时时钟</w:t>
            </w:r>
          </w:p>
        </w:tc>
        <w:tc>
          <w:tcPr>
            <w:tcW w:w="3322" w:type="pct"/>
            <w:vAlign w:val="center"/>
          </w:tcPr>
          <w:p w14:paraId="3D1CB070">
            <w:pPr>
              <w:keepNext w:val="0"/>
              <w:keepLines w:val="0"/>
              <w:pageBreakBefore w:val="0"/>
              <w:widowControl w:val="0"/>
              <w:kinsoku/>
              <w:wordWrap/>
              <w:overflowPunct/>
              <w:topLinePunct w:val="0"/>
              <w:autoSpaceDE/>
              <w:autoSpaceDN/>
              <w:bidi w:val="0"/>
              <w:adjustRightInd/>
              <w:snapToGrid/>
              <w:spacing w:before="104" w:line="360" w:lineRule="auto"/>
              <w:ind w:left="115" w:right="175" w:hanging="3"/>
              <w:jc w:val="left"/>
              <w:textAlignment w:val="auto"/>
              <w:rPr>
                <w:rFonts w:hint="eastAsia" w:ascii="宋体" w:hAnsi="宋体" w:eastAsia="宋体" w:cs="宋体"/>
                <w:spacing w:val="6"/>
                <w:position w:val="1"/>
                <w:sz w:val="24"/>
                <w:szCs w:val="24"/>
                <w:lang w:val="en-US" w:eastAsia="zh-CN"/>
              </w:rPr>
            </w:pPr>
            <w:r>
              <w:rPr>
                <w:rFonts w:hint="eastAsia" w:ascii="宋体" w:hAnsi="宋体" w:eastAsia="宋体" w:cs="宋体"/>
                <w:spacing w:val="8"/>
                <w:sz w:val="24"/>
                <w:szCs w:val="24"/>
              </w:rPr>
              <w:t>72小时内断电恢复时钟, 或者可通过远程平台和手机蓝牙，进行时间校准</w:t>
            </w:r>
          </w:p>
        </w:tc>
      </w:tr>
      <w:tr w14:paraId="3192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245F72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76250EA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814" w:type="pct"/>
            <w:vAlign w:val="center"/>
          </w:tcPr>
          <w:p w14:paraId="2516C1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8"/>
                <w:sz w:val="24"/>
                <w:szCs w:val="24"/>
              </w:rPr>
            </w:pPr>
            <w:r>
              <w:rPr>
                <w:rFonts w:hint="eastAsia" w:ascii="宋体" w:hAnsi="宋体" w:eastAsia="宋体" w:cs="宋体"/>
                <w:spacing w:val="7"/>
                <w:position w:val="1"/>
                <w:sz w:val="24"/>
                <w:szCs w:val="24"/>
              </w:rPr>
              <w:t>远程升级</w:t>
            </w:r>
          </w:p>
        </w:tc>
        <w:tc>
          <w:tcPr>
            <w:tcW w:w="3322" w:type="pct"/>
            <w:vAlign w:val="center"/>
          </w:tcPr>
          <w:p w14:paraId="687BFC9D">
            <w:pPr>
              <w:keepNext w:val="0"/>
              <w:keepLines w:val="0"/>
              <w:pageBreakBefore w:val="0"/>
              <w:widowControl w:val="0"/>
              <w:kinsoku/>
              <w:wordWrap/>
              <w:overflowPunct/>
              <w:topLinePunct w:val="0"/>
              <w:autoSpaceDE/>
              <w:autoSpaceDN/>
              <w:bidi w:val="0"/>
              <w:adjustRightInd/>
              <w:snapToGrid/>
              <w:spacing w:before="104" w:line="360" w:lineRule="auto"/>
              <w:ind w:left="115" w:right="175" w:hanging="3"/>
              <w:jc w:val="left"/>
              <w:textAlignment w:val="auto"/>
              <w:rPr>
                <w:rFonts w:hint="eastAsia" w:ascii="宋体" w:hAnsi="宋体" w:eastAsia="宋体" w:cs="宋体"/>
                <w:spacing w:val="8"/>
                <w:sz w:val="24"/>
                <w:szCs w:val="24"/>
              </w:rPr>
            </w:pPr>
            <w:r>
              <w:rPr>
                <w:rFonts w:hint="eastAsia" w:ascii="宋体" w:hAnsi="宋体" w:eastAsia="宋体" w:cs="宋体"/>
                <w:spacing w:val="7"/>
                <w:position w:val="1"/>
                <w:sz w:val="24"/>
                <w:szCs w:val="24"/>
              </w:rPr>
              <w:t>支持远程升级</w:t>
            </w:r>
          </w:p>
        </w:tc>
      </w:tr>
      <w:tr w14:paraId="2E8F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957168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272B8C5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814" w:type="pct"/>
            <w:vAlign w:val="center"/>
          </w:tcPr>
          <w:p w14:paraId="01D0F90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7"/>
                <w:position w:val="1"/>
                <w:sz w:val="24"/>
                <w:szCs w:val="24"/>
              </w:rPr>
            </w:pPr>
            <w:r>
              <w:rPr>
                <w:rFonts w:hint="eastAsia" w:ascii="宋体" w:hAnsi="宋体" w:eastAsia="宋体" w:cs="宋体"/>
                <w:spacing w:val="7"/>
                <w:sz w:val="24"/>
                <w:szCs w:val="24"/>
              </w:rPr>
              <w:t>天线</w:t>
            </w:r>
          </w:p>
        </w:tc>
        <w:tc>
          <w:tcPr>
            <w:tcW w:w="3322" w:type="pct"/>
            <w:vAlign w:val="center"/>
          </w:tcPr>
          <w:p w14:paraId="750268AB">
            <w:pPr>
              <w:keepNext w:val="0"/>
              <w:keepLines w:val="0"/>
              <w:pageBreakBefore w:val="0"/>
              <w:widowControl w:val="0"/>
              <w:kinsoku/>
              <w:wordWrap/>
              <w:overflowPunct/>
              <w:topLinePunct w:val="0"/>
              <w:autoSpaceDE/>
              <w:autoSpaceDN/>
              <w:bidi w:val="0"/>
              <w:adjustRightInd/>
              <w:snapToGrid/>
              <w:spacing w:before="104" w:line="360" w:lineRule="auto"/>
              <w:ind w:left="115" w:right="175" w:hanging="3"/>
              <w:jc w:val="left"/>
              <w:textAlignment w:val="auto"/>
              <w:rPr>
                <w:rFonts w:hint="eastAsia" w:ascii="宋体" w:hAnsi="宋体" w:eastAsia="宋体" w:cs="宋体"/>
                <w:spacing w:val="7"/>
                <w:position w:val="1"/>
                <w:sz w:val="24"/>
                <w:szCs w:val="24"/>
              </w:rPr>
            </w:pPr>
            <w:r>
              <w:rPr>
                <w:rFonts w:hint="eastAsia" w:ascii="宋体" w:hAnsi="宋体" w:eastAsia="宋体" w:cs="宋体"/>
                <w:spacing w:val="7"/>
                <w:sz w:val="24"/>
                <w:szCs w:val="24"/>
              </w:rPr>
              <w:t>根据现场安装环境，可选择内置或外置天线的单灯控制设备</w:t>
            </w:r>
          </w:p>
        </w:tc>
      </w:tr>
      <w:tr w14:paraId="7BE4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3E0AC60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4118E61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814" w:type="pct"/>
            <w:vAlign w:val="center"/>
          </w:tcPr>
          <w:p w14:paraId="49EAA46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7"/>
                <w:sz w:val="24"/>
                <w:szCs w:val="24"/>
              </w:rPr>
            </w:pPr>
            <w:r>
              <w:rPr>
                <w:rFonts w:hint="eastAsia" w:ascii="宋体" w:hAnsi="宋体" w:eastAsia="宋体" w:cs="宋体"/>
                <w:spacing w:val="9"/>
                <w:sz w:val="24"/>
                <w:szCs w:val="24"/>
              </w:rPr>
              <w:t>调光功能</w:t>
            </w:r>
          </w:p>
        </w:tc>
        <w:tc>
          <w:tcPr>
            <w:tcW w:w="3322" w:type="pct"/>
            <w:vAlign w:val="center"/>
          </w:tcPr>
          <w:p w14:paraId="22370BA8">
            <w:pPr>
              <w:keepNext w:val="0"/>
              <w:keepLines w:val="0"/>
              <w:pageBreakBefore w:val="0"/>
              <w:widowControl w:val="0"/>
              <w:kinsoku/>
              <w:wordWrap/>
              <w:overflowPunct/>
              <w:topLinePunct w:val="0"/>
              <w:autoSpaceDE/>
              <w:autoSpaceDN/>
              <w:bidi w:val="0"/>
              <w:adjustRightInd/>
              <w:snapToGrid/>
              <w:spacing w:before="104" w:line="360" w:lineRule="auto"/>
              <w:ind w:left="115" w:right="175" w:hanging="3"/>
              <w:jc w:val="left"/>
              <w:textAlignment w:val="auto"/>
              <w:rPr>
                <w:rFonts w:hint="eastAsia" w:ascii="宋体" w:hAnsi="宋体" w:eastAsia="宋体" w:cs="宋体"/>
                <w:spacing w:val="7"/>
                <w:sz w:val="24"/>
                <w:szCs w:val="24"/>
              </w:rPr>
            </w:pPr>
            <w:r>
              <w:rPr>
                <w:rFonts w:hint="eastAsia" w:ascii="宋体" w:hAnsi="宋体" w:eastAsia="宋体" w:cs="宋体"/>
                <w:spacing w:val="9"/>
                <w:sz w:val="24"/>
                <w:szCs w:val="24"/>
              </w:rPr>
              <w:t>具有调光功能，可通过远程平台进行</w:t>
            </w:r>
            <w:r>
              <w:rPr>
                <w:rFonts w:hint="eastAsia" w:ascii="宋体" w:hAnsi="宋体" w:eastAsia="宋体" w:cs="宋体"/>
                <w:spacing w:val="8"/>
                <w:sz w:val="24"/>
                <w:szCs w:val="24"/>
              </w:rPr>
              <w:t>开关灯及调光</w:t>
            </w:r>
          </w:p>
        </w:tc>
      </w:tr>
      <w:tr w14:paraId="39E8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restart"/>
            <w:vAlign w:val="center"/>
          </w:tcPr>
          <w:p w14:paraId="7D3E11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4</w:t>
            </w:r>
          </w:p>
        </w:tc>
        <w:tc>
          <w:tcPr>
            <w:tcW w:w="431" w:type="pct"/>
            <w:vMerge w:val="restart"/>
            <w:vAlign w:val="center"/>
          </w:tcPr>
          <w:p w14:paraId="6AC0283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灯具LED模块</w:t>
            </w:r>
          </w:p>
        </w:tc>
        <w:tc>
          <w:tcPr>
            <w:tcW w:w="814" w:type="pct"/>
            <w:vAlign w:val="center"/>
          </w:tcPr>
          <w:p w14:paraId="42A47BE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额定色温（k）</w:t>
            </w:r>
          </w:p>
        </w:tc>
        <w:tc>
          <w:tcPr>
            <w:tcW w:w="3322" w:type="pct"/>
            <w:vAlign w:val="center"/>
          </w:tcPr>
          <w:p w14:paraId="3A7A572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30</w:t>
            </w:r>
            <w:r>
              <w:rPr>
                <w:rFonts w:hint="eastAsia" w:ascii="宋体" w:hAnsi="宋体" w:eastAsia="宋体" w:cs="宋体"/>
                <w:color w:val="auto"/>
                <w:kern w:val="2"/>
                <w:sz w:val="24"/>
                <w:szCs w:val="24"/>
              </w:rPr>
              <w:t>00K-</w:t>
            </w:r>
            <w:r>
              <w:rPr>
                <w:rFonts w:hint="eastAsia" w:ascii="宋体" w:hAnsi="宋体" w:eastAsia="宋体" w:cs="宋体"/>
                <w:color w:val="auto"/>
                <w:kern w:val="2"/>
                <w:sz w:val="24"/>
                <w:szCs w:val="24"/>
                <w:lang w:eastAsia="zh-CN"/>
              </w:rPr>
              <w:t>40</w:t>
            </w:r>
            <w:r>
              <w:rPr>
                <w:rFonts w:hint="eastAsia" w:ascii="宋体" w:hAnsi="宋体" w:eastAsia="宋体" w:cs="宋体"/>
                <w:color w:val="auto"/>
                <w:kern w:val="2"/>
                <w:sz w:val="24"/>
                <w:szCs w:val="24"/>
              </w:rPr>
              <w:t>00K</w:t>
            </w:r>
          </w:p>
        </w:tc>
      </w:tr>
      <w:tr w14:paraId="6FA7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2C73EF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657C6EF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0F703C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工作电源</w:t>
            </w:r>
          </w:p>
        </w:tc>
        <w:tc>
          <w:tcPr>
            <w:tcW w:w="3322" w:type="pct"/>
            <w:vAlign w:val="center"/>
          </w:tcPr>
          <w:p w14:paraId="0695DC1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应与驱动模块的输出相匹配</w:t>
            </w:r>
          </w:p>
        </w:tc>
      </w:tr>
      <w:tr w14:paraId="25E3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BCCF6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7957420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651B2A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芯片</w:t>
            </w:r>
          </w:p>
        </w:tc>
        <w:tc>
          <w:tcPr>
            <w:tcW w:w="3322" w:type="pct"/>
            <w:vAlign w:val="center"/>
          </w:tcPr>
          <w:p w14:paraId="7C61F2F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芯片类型：采用单颗大功率光源，不接受集成式光源</w:t>
            </w:r>
          </w:p>
          <w:p w14:paraId="5296C90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电气连接：串联/并联</w:t>
            </w:r>
          </w:p>
        </w:tc>
      </w:tr>
      <w:tr w14:paraId="3C4F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52F4ED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702F94F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5DFFE5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光学特性</w:t>
            </w:r>
          </w:p>
        </w:tc>
        <w:tc>
          <w:tcPr>
            <w:tcW w:w="3322" w:type="pct"/>
            <w:vAlign w:val="center"/>
          </w:tcPr>
          <w:p w14:paraId="051FEFF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色温：与灯具一致</w:t>
            </w:r>
          </w:p>
          <w:p w14:paraId="59570E2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显色指数：与灯具一致</w:t>
            </w:r>
          </w:p>
          <w:p w14:paraId="26C8BB2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发光角度：与配光类型相关</w:t>
            </w:r>
          </w:p>
          <w:p w14:paraId="5EAC2D2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光强分部：与配光类型相关</w:t>
            </w:r>
          </w:p>
          <w:p w14:paraId="303166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光亮度：与灯具要求一致</w:t>
            </w:r>
          </w:p>
          <w:p w14:paraId="071E0A2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透光率：≥98%</w:t>
            </w:r>
          </w:p>
        </w:tc>
      </w:tr>
      <w:tr w14:paraId="19C9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6A9BF07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0D278EC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6C69F60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环境适应性</w:t>
            </w:r>
          </w:p>
        </w:tc>
        <w:tc>
          <w:tcPr>
            <w:tcW w:w="3322" w:type="pct"/>
            <w:vAlign w:val="center"/>
          </w:tcPr>
          <w:p w14:paraId="026D56D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工作温度：-40℃~50℃</w:t>
            </w:r>
          </w:p>
          <w:p w14:paraId="00F78BE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相对湿度：≤98%</w:t>
            </w:r>
          </w:p>
        </w:tc>
      </w:tr>
      <w:tr w14:paraId="5878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A497E5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18FFA0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6E55FA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使用寿命</w:t>
            </w:r>
          </w:p>
        </w:tc>
        <w:tc>
          <w:tcPr>
            <w:tcW w:w="3322" w:type="pct"/>
            <w:vAlign w:val="center"/>
          </w:tcPr>
          <w:p w14:paraId="16E216F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≥50000h</w:t>
            </w:r>
          </w:p>
        </w:tc>
      </w:tr>
      <w:tr w14:paraId="610B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3C7802B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431" w:type="pct"/>
            <w:vMerge w:val="continue"/>
            <w:vAlign w:val="center"/>
          </w:tcPr>
          <w:p w14:paraId="20D4ECC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p>
        </w:tc>
        <w:tc>
          <w:tcPr>
            <w:tcW w:w="814" w:type="pct"/>
            <w:vAlign w:val="center"/>
          </w:tcPr>
          <w:p w14:paraId="7EAE09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防护等级</w:t>
            </w:r>
          </w:p>
        </w:tc>
        <w:tc>
          <w:tcPr>
            <w:tcW w:w="3322" w:type="pct"/>
            <w:vAlign w:val="center"/>
          </w:tcPr>
          <w:p w14:paraId="706A398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≥IP6</w:t>
            </w:r>
            <w:r>
              <w:rPr>
                <w:rFonts w:hint="eastAsia" w:ascii="宋体" w:hAnsi="宋体" w:eastAsia="宋体" w:cs="宋体"/>
                <w:color w:val="auto"/>
                <w:kern w:val="2"/>
                <w:sz w:val="24"/>
                <w:szCs w:val="24"/>
                <w:lang w:eastAsia="zh-CN"/>
              </w:rPr>
              <w:t>5</w:t>
            </w:r>
          </w:p>
        </w:tc>
      </w:tr>
      <w:tr w14:paraId="5DF3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restart"/>
            <w:vAlign w:val="center"/>
          </w:tcPr>
          <w:p w14:paraId="50F2317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5</w:t>
            </w:r>
          </w:p>
        </w:tc>
        <w:tc>
          <w:tcPr>
            <w:tcW w:w="431" w:type="pct"/>
            <w:vMerge w:val="restart"/>
            <w:vAlign w:val="center"/>
          </w:tcPr>
          <w:p w14:paraId="21F213E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4"/>
                <w:szCs w:val="24"/>
                <w:lang w:val="en-US" w:eastAsia="zh-CN"/>
              </w:rPr>
            </w:pPr>
            <w:r>
              <w:rPr>
                <w:rFonts w:hint="eastAsia" w:ascii="宋体" w:hAnsi="宋体" w:eastAsia="宋体" w:cs="宋体"/>
                <w:spacing w:val="8"/>
                <w:sz w:val="24"/>
                <w:szCs w:val="24"/>
                <w:lang w:val="en-US" w:eastAsia="zh-CN"/>
              </w:rPr>
              <w:t>漏电监测终端设备</w:t>
            </w:r>
          </w:p>
        </w:tc>
        <w:tc>
          <w:tcPr>
            <w:tcW w:w="814" w:type="pct"/>
            <w:vAlign w:val="center"/>
          </w:tcPr>
          <w:p w14:paraId="3538503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rPr>
            </w:pPr>
            <w:r>
              <w:rPr>
                <w:rFonts w:hint="eastAsia" w:ascii="宋体" w:hAnsi="宋体" w:eastAsia="宋体" w:cs="宋体"/>
                <w:spacing w:val="6"/>
                <w:position w:val="1"/>
                <w:sz w:val="24"/>
                <w:szCs w:val="24"/>
              </w:rPr>
              <w:t>工作电源</w:t>
            </w:r>
          </w:p>
        </w:tc>
        <w:tc>
          <w:tcPr>
            <w:tcW w:w="3322" w:type="pct"/>
            <w:vAlign w:val="center"/>
          </w:tcPr>
          <w:p w14:paraId="039E9506">
            <w:pPr>
              <w:keepNext w:val="0"/>
              <w:keepLines w:val="0"/>
              <w:pageBreakBefore w:val="0"/>
              <w:widowControl w:val="0"/>
              <w:kinsoku/>
              <w:wordWrap/>
              <w:overflowPunct/>
              <w:topLinePunct w:val="0"/>
              <w:autoSpaceDE/>
              <w:autoSpaceDN/>
              <w:bidi w:val="0"/>
              <w:adjustRightInd/>
              <w:snapToGrid/>
              <w:spacing w:before="5" w:line="360" w:lineRule="auto"/>
              <w:ind w:left="123"/>
              <w:jc w:val="left"/>
              <w:textAlignment w:val="auto"/>
              <w:rPr>
                <w:rFonts w:hint="eastAsia" w:ascii="宋体" w:hAnsi="宋体" w:eastAsia="宋体" w:cs="宋体"/>
                <w:color w:val="auto"/>
                <w:kern w:val="2"/>
                <w:sz w:val="24"/>
                <w:szCs w:val="24"/>
              </w:rPr>
            </w:pPr>
            <w:r>
              <w:rPr>
                <w:rFonts w:hint="eastAsia" w:ascii="宋体" w:hAnsi="宋体" w:eastAsia="宋体" w:cs="宋体"/>
                <w:spacing w:val="6"/>
                <w:position w:val="1"/>
                <w:sz w:val="24"/>
                <w:szCs w:val="24"/>
              </w:rPr>
              <w:t>220V</w:t>
            </w:r>
          </w:p>
        </w:tc>
      </w:tr>
      <w:tr w14:paraId="69CF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32FC485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2A29862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sz w:val="24"/>
                <w:szCs w:val="24"/>
              </w:rPr>
            </w:pPr>
          </w:p>
        </w:tc>
        <w:tc>
          <w:tcPr>
            <w:tcW w:w="814" w:type="pct"/>
            <w:vAlign w:val="center"/>
          </w:tcPr>
          <w:p w14:paraId="377ECC6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position w:val="1"/>
                <w:sz w:val="24"/>
                <w:szCs w:val="24"/>
              </w:rPr>
            </w:pPr>
            <w:r>
              <w:rPr>
                <w:rFonts w:hint="eastAsia" w:ascii="宋体" w:hAnsi="宋体" w:eastAsia="宋体" w:cs="宋体"/>
                <w:spacing w:val="7"/>
                <w:position w:val="1"/>
                <w:sz w:val="24"/>
                <w:szCs w:val="24"/>
              </w:rPr>
              <w:t>漏电流测量范围</w:t>
            </w:r>
          </w:p>
        </w:tc>
        <w:tc>
          <w:tcPr>
            <w:tcW w:w="3322" w:type="pct"/>
            <w:vAlign w:val="center"/>
          </w:tcPr>
          <w:p w14:paraId="5DEFD5C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rPr>
            </w:pPr>
            <w:r>
              <w:rPr>
                <w:rFonts w:hint="eastAsia" w:ascii="宋体" w:hAnsi="宋体" w:eastAsia="宋体" w:cs="宋体"/>
                <w:spacing w:val="7"/>
                <w:position w:val="1"/>
                <w:sz w:val="24"/>
                <w:szCs w:val="24"/>
              </w:rPr>
              <w:t>10～30000</w:t>
            </w:r>
            <w:r>
              <w:rPr>
                <w:rFonts w:hint="eastAsia" w:ascii="宋体" w:hAnsi="宋体" w:eastAsia="宋体" w:cs="宋体"/>
                <w:position w:val="1"/>
                <w:sz w:val="24"/>
                <w:szCs w:val="24"/>
              </w:rPr>
              <w:t>mA</w:t>
            </w:r>
          </w:p>
        </w:tc>
      </w:tr>
      <w:tr w14:paraId="5635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0DB014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4380F1D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sz w:val="24"/>
                <w:szCs w:val="24"/>
              </w:rPr>
            </w:pPr>
          </w:p>
        </w:tc>
        <w:tc>
          <w:tcPr>
            <w:tcW w:w="814" w:type="pct"/>
            <w:vAlign w:val="center"/>
          </w:tcPr>
          <w:p w14:paraId="1C503CF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7"/>
                <w:position w:val="1"/>
                <w:sz w:val="24"/>
                <w:szCs w:val="24"/>
              </w:rPr>
            </w:pPr>
            <w:r>
              <w:rPr>
                <w:rFonts w:hint="eastAsia" w:ascii="宋体" w:hAnsi="宋体" w:eastAsia="宋体" w:cs="宋体"/>
                <w:spacing w:val="7"/>
                <w:sz w:val="24"/>
                <w:szCs w:val="24"/>
              </w:rPr>
              <w:t>漏电流测量精度</w:t>
            </w:r>
          </w:p>
        </w:tc>
        <w:tc>
          <w:tcPr>
            <w:tcW w:w="3322" w:type="pct"/>
            <w:vAlign w:val="center"/>
          </w:tcPr>
          <w:p w14:paraId="1D5D114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7"/>
                <w:position w:val="1"/>
                <w:sz w:val="24"/>
                <w:szCs w:val="24"/>
              </w:rPr>
            </w:pPr>
            <w:r>
              <w:rPr>
                <w:rFonts w:hint="eastAsia" w:ascii="宋体" w:hAnsi="宋体" w:eastAsia="宋体" w:cs="宋体"/>
                <w:spacing w:val="7"/>
                <w:sz w:val="24"/>
                <w:szCs w:val="24"/>
              </w:rPr>
              <w:t>10～500</w:t>
            </w:r>
            <w:r>
              <w:rPr>
                <w:rFonts w:hint="eastAsia" w:ascii="宋体" w:hAnsi="宋体" w:eastAsia="宋体" w:cs="宋体"/>
                <w:sz w:val="24"/>
                <w:szCs w:val="24"/>
              </w:rPr>
              <w:t>mA</w:t>
            </w:r>
            <w:r>
              <w:rPr>
                <w:rFonts w:hint="eastAsia" w:ascii="宋体" w:hAnsi="宋体" w:eastAsia="宋体" w:cs="宋体"/>
                <w:spacing w:val="7"/>
                <w:sz w:val="24"/>
                <w:szCs w:val="24"/>
              </w:rPr>
              <w:t>允许误差±5</w:t>
            </w:r>
            <w:r>
              <w:rPr>
                <w:rFonts w:hint="eastAsia" w:ascii="宋体" w:hAnsi="宋体" w:eastAsia="宋体" w:cs="宋体"/>
                <w:sz w:val="24"/>
                <w:szCs w:val="24"/>
              </w:rPr>
              <w:t>mA</w:t>
            </w:r>
            <w:r>
              <w:rPr>
                <w:rFonts w:hint="eastAsia" w:ascii="宋体" w:hAnsi="宋体" w:eastAsia="宋体" w:cs="宋体"/>
                <w:spacing w:val="-17"/>
                <w:sz w:val="24"/>
                <w:szCs w:val="24"/>
              </w:rPr>
              <w:t xml:space="preserve"> </w:t>
            </w:r>
            <w:r>
              <w:rPr>
                <w:rFonts w:hint="eastAsia" w:ascii="宋体" w:hAnsi="宋体" w:eastAsia="宋体" w:cs="宋体"/>
                <w:spacing w:val="7"/>
                <w:sz w:val="24"/>
                <w:szCs w:val="24"/>
              </w:rPr>
              <w:t>，500</w:t>
            </w:r>
            <w:r>
              <w:rPr>
                <w:rFonts w:hint="eastAsia" w:ascii="宋体" w:hAnsi="宋体" w:eastAsia="宋体" w:cs="宋体"/>
                <w:sz w:val="24"/>
                <w:szCs w:val="24"/>
              </w:rPr>
              <w:t xml:space="preserve"> </w:t>
            </w:r>
            <w:r>
              <w:rPr>
                <w:rFonts w:hint="eastAsia" w:ascii="宋体" w:hAnsi="宋体" w:eastAsia="宋体" w:cs="宋体"/>
                <w:spacing w:val="13"/>
                <w:sz w:val="24"/>
                <w:szCs w:val="24"/>
              </w:rPr>
              <w:t>~30000</w:t>
            </w:r>
            <w:r>
              <w:rPr>
                <w:rFonts w:hint="eastAsia" w:ascii="宋体" w:hAnsi="宋体" w:eastAsia="宋体" w:cs="宋体"/>
                <w:sz w:val="24"/>
                <w:szCs w:val="24"/>
              </w:rPr>
              <w:t>mA</w:t>
            </w:r>
            <w:r>
              <w:rPr>
                <w:rFonts w:hint="eastAsia" w:ascii="宋体" w:hAnsi="宋体" w:eastAsia="宋体" w:cs="宋体"/>
                <w:spacing w:val="13"/>
                <w:sz w:val="24"/>
                <w:szCs w:val="24"/>
              </w:rPr>
              <w:t>允许误差±1%</w:t>
            </w:r>
          </w:p>
        </w:tc>
      </w:tr>
      <w:tr w14:paraId="643F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6602CCE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584EC9A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sz w:val="24"/>
                <w:szCs w:val="24"/>
              </w:rPr>
            </w:pPr>
          </w:p>
        </w:tc>
        <w:tc>
          <w:tcPr>
            <w:tcW w:w="814" w:type="pct"/>
            <w:vAlign w:val="center"/>
          </w:tcPr>
          <w:p w14:paraId="282CB7F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7"/>
                <w:sz w:val="24"/>
                <w:szCs w:val="24"/>
              </w:rPr>
            </w:pPr>
            <w:r>
              <w:rPr>
                <w:rFonts w:hint="eastAsia" w:ascii="宋体" w:hAnsi="宋体" w:eastAsia="宋体" w:cs="宋体"/>
                <w:spacing w:val="6"/>
                <w:sz w:val="24"/>
                <w:szCs w:val="24"/>
              </w:rPr>
              <w:t>通信参数</w:t>
            </w:r>
          </w:p>
        </w:tc>
        <w:tc>
          <w:tcPr>
            <w:tcW w:w="3322" w:type="pct"/>
            <w:vAlign w:val="center"/>
          </w:tcPr>
          <w:p w14:paraId="2A1B5BB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7"/>
                <w:sz w:val="24"/>
                <w:szCs w:val="24"/>
              </w:rPr>
            </w:pPr>
            <w:r>
              <w:rPr>
                <w:rFonts w:hint="eastAsia" w:ascii="宋体" w:hAnsi="宋体" w:eastAsia="宋体" w:cs="宋体"/>
                <w:spacing w:val="6"/>
                <w:sz w:val="24"/>
                <w:szCs w:val="24"/>
              </w:rPr>
              <w:t>默认波特率</w:t>
            </w:r>
            <w:r>
              <w:rPr>
                <w:rFonts w:hint="eastAsia" w:ascii="宋体" w:hAnsi="宋体" w:eastAsia="宋体" w:cs="宋体"/>
                <w:spacing w:val="-7"/>
                <w:sz w:val="24"/>
                <w:szCs w:val="24"/>
              </w:rPr>
              <w:t xml:space="preserve"> </w:t>
            </w:r>
            <w:r>
              <w:rPr>
                <w:rFonts w:hint="eastAsia" w:ascii="宋体" w:hAnsi="宋体" w:eastAsia="宋体" w:cs="宋体"/>
                <w:spacing w:val="6"/>
                <w:sz w:val="24"/>
                <w:szCs w:val="24"/>
              </w:rPr>
              <w:t>115200</w:t>
            </w:r>
            <w:r>
              <w:rPr>
                <w:rFonts w:hint="eastAsia" w:ascii="宋体" w:hAnsi="宋体" w:eastAsia="宋体" w:cs="宋体"/>
                <w:sz w:val="24"/>
                <w:szCs w:val="24"/>
              </w:rPr>
              <w:t>bps</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，1 位起始位，8</w:t>
            </w:r>
            <w:r>
              <w:rPr>
                <w:rFonts w:hint="eastAsia" w:ascii="宋体" w:hAnsi="宋体" w:eastAsia="宋体" w:cs="宋体"/>
                <w:sz w:val="24"/>
                <w:szCs w:val="24"/>
              </w:rPr>
              <w:t xml:space="preserve"> </w:t>
            </w:r>
            <w:r>
              <w:rPr>
                <w:rFonts w:hint="eastAsia" w:ascii="宋体" w:hAnsi="宋体" w:eastAsia="宋体" w:cs="宋体"/>
                <w:spacing w:val="7"/>
                <w:sz w:val="24"/>
                <w:szCs w:val="24"/>
              </w:rPr>
              <w:t>位数据位，1 位停止位，无校验</w:t>
            </w:r>
          </w:p>
        </w:tc>
      </w:tr>
      <w:tr w14:paraId="0B15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47173B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20F330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sz w:val="24"/>
                <w:szCs w:val="24"/>
              </w:rPr>
            </w:pPr>
          </w:p>
        </w:tc>
        <w:tc>
          <w:tcPr>
            <w:tcW w:w="814" w:type="pct"/>
            <w:vAlign w:val="center"/>
          </w:tcPr>
          <w:p w14:paraId="2C95136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sz w:val="24"/>
                <w:szCs w:val="24"/>
              </w:rPr>
            </w:pPr>
            <w:r>
              <w:rPr>
                <w:rFonts w:hint="eastAsia" w:ascii="宋体" w:hAnsi="宋体" w:eastAsia="宋体" w:cs="宋体"/>
                <w:spacing w:val="6"/>
                <w:position w:val="2"/>
                <w:sz w:val="24"/>
                <w:szCs w:val="24"/>
              </w:rPr>
              <w:t>通讯接口</w:t>
            </w:r>
          </w:p>
        </w:tc>
        <w:tc>
          <w:tcPr>
            <w:tcW w:w="3322" w:type="pct"/>
            <w:vAlign w:val="center"/>
          </w:tcPr>
          <w:p w14:paraId="0323976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6"/>
                <w:sz w:val="24"/>
                <w:szCs w:val="24"/>
              </w:rPr>
            </w:pPr>
            <w:r>
              <w:rPr>
                <w:rFonts w:hint="eastAsia" w:ascii="宋体" w:hAnsi="宋体" w:eastAsia="宋体" w:cs="宋体"/>
                <w:position w:val="2"/>
                <w:sz w:val="24"/>
                <w:szCs w:val="24"/>
              </w:rPr>
              <w:t>RS</w:t>
            </w:r>
            <w:r>
              <w:rPr>
                <w:rFonts w:hint="eastAsia" w:ascii="宋体" w:hAnsi="宋体" w:eastAsia="宋体" w:cs="宋体"/>
                <w:spacing w:val="6"/>
                <w:position w:val="2"/>
                <w:sz w:val="24"/>
                <w:szCs w:val="24"/>
              </w:rPr>
              <w:t>485</w:t>
            </w:r>
            <w:r>
              <w:rPr>
                <w:rFonts w:hint="eastAsia" w:ascii="宋体" w:hAnsi="宋体" w:eastAsia="宋体" w:cs="宋体"/>
                <w:spacing w:val="6"/>
                <w:position w:val="2"/>
                <w:sz w:val="24"/>
                <w:szCs w:val="24"/>
                <w:lang w:eastAsia="zh-CN"/>
              </w:rPr>
              <w:t>，</w:t>
            </w:r>
            <w:r>
              <w:rPr>
                <w:rFonts w:hint="eastAsia" w:ascii="宋体" w:hAnsi="宋体" w:eastAsia="宋体" w:cs="宋体"/>
                <w:spacing w:val="6"/>
                <w:position w:val="2"/>
                <w:sz w:val="24"/>
                <w:szCs w:val="24"/>
              </w:rPr>
              <w:t>2线方式</w:t>
            </w:r>
          </w:p>
        </w:tc>
      </w:tr>
      <w:tr w14:paraId="39E5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68F24C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6A46F1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sz w:val="24"/>
                <w:szCs w:val="24"/>
              </w:rPr>
            </w:pPr>
          </w:p>
        </w:tc>
        <w:tc>
          <w:tcPr>
            <w:tcW w:w="814" w:type="pct"/>
            <w:vAlign w:val="center"/>
          </w:tcPr>
          <w:p w14:paraId="5DE981D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position w:val="2"/>
                <w:sz w:val="24"/>
                <w:szCs w:val="24"/>
              </w:rPr>
            </w:pPr>
            <w:r>
              <w:rPr>
                <w:rFonts w:hint="eastAsia" w:ascii="宋体" w:hAnsi="宋体" w:eastAsia="宋体" w:cs="宋体"/>
                <w:spacing w:val="6"/>
                <w:position w:val="1"/>
                <w:sz w:val="24"/>
                <w:szCs w:val="24"/>
              </w:rPr>
              <w:t>工作方式</w:t>
            </w:r>
          </w:p>
        </w:tc>
        <w:tc>
          <w:tcPr>
            <w:tcW w:w="3322" w:type="pct"/>
            <w:vAlign w:val="center"/>
          </w:tcPr>
          <w:p w14:paraId="4B99C44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position w:val="2"/>
                <w:sz w:val="24"/>
                <w:szCs w:val="24"/>
              </w:rPr>
            </w:pPr>
            <w:r>
              <w:rPr>
                <w:rFonts w:hint="eastAsia" w:ascii="宋体" w:hAnsi="宋体" w:eastAsia="宋体" w:cs="宋体"/>
                <w:spacing w:val="6"/>
                <w:position w:val="1"/>
                <w:sz w:val="24"/>
                <w:szCs w:val="24"/>
              </w:rPr>
              <w:t>半双工</w:t>
            </w:r>
          </w:p>
        </w:tc>
      </w:tr>
      <w:tr w14:paraId="2313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7BC4ADC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197BFC2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sz w:val="24"/>
                <w:szCs w:val="24"/>
              </w:rPr>
            </w:pPr>
          </w:p>
        </w:tc>
        <w:tc>
          <w:tcPr>
            <w:tcW w:w="814" w:type="pct"/>
            <w:vAlign w:val="center"/>
          </w:tcPr>
          <w:p w14:paraId="06C024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position w:val="1"/>
                <w:sz w:val="24"/>
                <w:szCs w:val="24"/>
              </w:rPr>
            </w:pPr>
            <w:r>
              <w:rPr>
                <w:rFonts w:hint="eastAsia" w:ascii="宋体" w:hAnsi="宋体" w:eastAsia="宋体" w:cs="宋体"/>
                <w:spacing w:val="8"/>
                <w:sz w:val="24"/>
                <w:szCs w:val="24"/>
              </w:rPr>
              <w:t>通信方式</w:t>
            </w:r>
          </w:p>
        </w:tc>
        <w:tc>
          <w:tcPr>
            <w:tcW w:w="3322" w:type="pct"/>
            <w:vAlign w:val="center"/>
          </w:tcPr>
          <w:p w14:paraId="3B76F2A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6"/>
                <w:position w:val="1"/>
                <w:sz w:val="24"/>
                <w:szCs w:val="24"/>
              </w:rPr>
            </w:pPr>
            <w:r>
              <w:rPr>
                <w:rFonts w:hint="eastAsia" w:ascii="宋体" w:hAnsi="宋体" w:eastAsia="宋体" w:cs="宋体"/>
                <w:spacing w:val="8"/>
                <w:sz w:val="24"/>
                <w:szCs w:val="24"/>
              </w:rPr>
              <w:t>通过现有路灯照明监控终端设备4G 模块与主站（系统）进行通信</w:t>
            </w:r>
          </w:p>
        </w:tc>
      </w:tr>
      <w:tr w14:paraId="057B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Merge w:val="continue"/>
            <w:vAlign w:val="center"/>
          </w:tcPr>
          <w:p w14:paraId="619FF4C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4"/>
                <w:szCs w:val="24"/>
                <w:lang w:val="en-US" w:eastAsia="zh-CN"/>
              </w:rPr>
            </w:pPr>
          </w:p>
        </w:tc>
        <w:tc>
          <w:tcPr>
            <w:tcW w:w="431" w:type="pct"/>
            <w:vMerge w:val="continue"/>
            <w:vAlign w:val="center"/>
          </w:tcPr>
          <w:p w14:paraId="21C6D81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6"/>
                <w:sz w:val="24"/>
                <w:szCs w:val="24"/>
              </w:rPr>
            </w:pPr>
          </w:p>
        </w:tc>
        <w:tc>
          <w:tcPr>
            <w:tcW w:w="814" w:type="pct"/>
            <w:vAlign w:val="center"/>
          </w:tcPr>
          <w:p w14:paraId="5D48DF9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8"/>
                <w:sz w:val="24"/>
                <w:szCs w:val="24"/>
                <w:lang w:val="en-US" w:eastAsia="zh-CN"/>
              </w:rPr>
            </w:pPr>
            <w:r>
              <w:rPr>
                <w:rFonts w:hint="eastAsia" w:ascii="宋体" w:hAnsi="宋体" w:eastAsia="宋体" w:cs="宋体"/>
                <w:spacing w:val="9"/>
                <w:position w:val="1"/>
                <w:sz w:val="24"/>
                <w:szCs w:val="24"/>
                <w:lang w:val="en-US" w:eastAsia="zh-CN"/>
              </w:rPr>
              <w:t>远程功能</w:t>
            </w:r>
          </w:p>
        </w:tc>
        <w:tc>
          <w:tcPr>
            <w:tcW w:w="3322" w:type="pct"/>
            <w:vAlign w:val="center"/>
          </w:tcPr>
          <w:p w14:paraId="75594C5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pacing w:val="8"/>
                <w:sz w:val="24"/>
                <w:szCs w:val="24"/>
              </w:rPr>
            </w:pPr>
            <w:r>
              <w:rPr>
                <w:rFonts w:hint="eastAsia" w:ascii="宋体" w:hAnsi="宋体" w:eastAsia="宋体" w:cs="宋体"/>
                <w:spacing w:val="9"/>
                <w:position w:val="1"/>
                <w:sz w:val="24"/>
                <w:szCs w:val="24"/>
              </w:rPr>
              <w:t>支持远程数据和功能设置操作，可设</w:t>
            </w:r>
            <w:r>
              <w:rPr>
                <w:rFonts w:hint="eastAsia" w:ascii="宋体" w:hAnsi="宋体" w:eastAsia="宋体" w:cs="宋体"/>
                <w:spacing w:val="8"/>
                <w:position w:val="1"/>
                <w:sz w:val="24"/>
                <w:szCs w:val="24"/>
              </w:rPr>
              <w:t>置漏电阀值</w:t>
            </w:r>
          </w:p>
        </w:tc>
      </w:tr>
    </w:tbl>
    <w:p w14:paraId="0DC49D6E">
      <w:pPr>
        <w:keepNext w:val="0"/>
        <w:keepLines w:val="0"/>
        <w:widowControl/>
        <w:suppressLineNumbers w:val="0"/>
        <w:spacing w:line="360" w:lineRule="auto"/>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（4）照明功能要求：</w:t>
      </w:r>
    </w:p>
    <w:p w14:paraId="3678BA21">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路灯单灯远程控制系统采用先进的数字信号处理技术、 电源管理技术、2.4G无线组网技术或 Cat.1无线通信技术、数据库管理技术等，实现城市路灯照明系统的遥测遥控和路灯节能功能 ,  是现代意义的城市路灯综合管理系统。在通信和软件处理方式上，系统通过Cat.1无线通信技术或2.4G无线组网技术完成数据采集、传输、处理的功能。通过对道路照明设备的分布式控制和数字化管理，可以实时监控路灯照明设备实时在线控制， 降低管理成本，做到无人值守。</w:t>
      </w:r>
    </w:p>
    <w:p w14:paraId="6C44D36B">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1）监控中心集中数据管理和监控，实现目标锁定、快速查找等操作，支持中心监控分级管理，可设立多个分控中心， 网络可分区分片管理，组建大型路灯控制系统；及时发现问题并第 一时间解决问题，彻底解决路灯巡检不到、灯不亮情况，保证亮灯率达到98%；满足路灯精细 化管理需求；</w:t>
      </w:r>
    </w:p>
    <w:p w14:paraId="40684842">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2）采用Cat.1无线通信，实现远程分布式远程控制， B/S架构设计体系，支持网页随时随地 登录， 同时在线，并保证数据同步；</w:t>
      </w:r>
    </w:p>
    <w:p w14:paraId="10FD7C0C">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 自由设定路灯集中控制方案，支持经纬度日出日落控制策略和照度自适应控制策略，支 持4回路独立控制功能，开关触点继电器支持220V/10A；</w:t>
      </w:r>
    </w:p>
    <w:p w14:paraId="311F4472">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 自定义单灯控制策略，每杆灯应实现分时间段控制道路两侧路灯全亮、全关、 隔杆亮灯 ,  以及自由分组控制，并且每杆灯能实现支持 0～10V的无极调光，达到节能的目的；</w:t>
      </w:r>
    </w:p>
    <w:p w14:paraId="0077410B">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（5）远程电量采集和记录功能，周期性采集各集中器终端的三相电流、三相电压、三相功率 、功率因数；</w:t>
      </w:r>
    </w:p>
    <w:p w14:paraId="2AE8BB7A">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6）支持路灯单灯故障检测功能，通过检测单灯回路的电流值，判断路灯工作状态，主动上 报故障路灯位置，无需人工巡检 。</w:t>
      </w:r>
    </w:p>
    <w:p w14:paraId="7A0E7B8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7）LED照明灯具、驱动装置和LED模块应含有产品的相关标志，且其标志应符合国家相对应产品的标志要求。例如：产品标志使用的汉字、数字和字母等。 </w:t>
      </w:r>
    </w:p>
    <w:p w14:paraId="435034BA">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8）标志的正确性和清晰度用目视法检查，标志的耐久性要求可参阅《灯具第一 </w:t>
      </w:r>
    </w:p>
    <w:p w14:paraId="3FB4D08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部分：一般要求和试验》GB7000.1。 </w:t>
      </w:r>
    </w:p>
    <w:p w14:paraId="6E0C2289">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（5）照明灯具标志： </w:t>
      </w:r>
    </w:p>
    <w:p w14:paraId="166D13C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1）单个LED照明灯具应有下列清晰而牢固的标志： </w:t>
      </w:r>
    </w:p>
    <w:p w14:paraId="431AA67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1.制造厂商信息； </w:t>
      </w:r>
    </w:p>
    <w:p w14:paraId="06F3481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2.LED照明灯具型号、电源电压、频率和标称功率； </w:t>
      </w:r>
    </w:p>
    <w:p w14:paraId="78DB3A8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3.灯具光学性能参数等； </w:t>
      </w:r>
    </w:p>
    <w:p w14:paraId="3914B8B9">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4.灯具最大工作环境温度； </w:t>
      </w:r>
    </w:p>
    <w:p w14:paraId="1995995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5.浪涌保护器标志； </w:t>
      </w:r>
    </w:p>
    <w:p w14:paraId="0B3B9C8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6.适用LED模块类型和数量，应至少包含LED模块的额定功率、模块的光通 </w:t>
      </w:r>
    </w:p>
    <w:p w14:paraId="3E47FB55">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量、模块的额定色温、模块的配光类型等； </w:t>
      </w:r>
    </w:p>
    <w:p w14:paraId="1F692DA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7.适用驱动装置规格，应至少包含驱动器的输出电流值、输出电压范围、输 </w:t>
      </w:r>
    </w:p>
    <w:p w14:paraId="703C5175">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出功率等； </w:t>
      </w:r>
    </w:p>
    <w:p w14:paraId="49705663">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8.其他标志。 </w:t>
      </w:r>
    </w:p>
    <w:p w14:paraId="1723238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2）LED照明灯具产品附加信息（应在产品包装或说明书上需要标识的信息）： </w:t>
      </w:r>
    </w:p>
    <w:p w14:paraId="39A99E4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1.LED模块配光曲线； </w:t>
      </w:r>
    </w:p>
    <w:p w14:paraId="64195F89">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2.LED灯具使用说明书中应标明LED模块及驱动装置的机械尺寸范围、额定电流等参数，便于用户选择合适的LED模块进行替换； </w:t>
      </w:r>
    </w:p>
    <w:p w14:paraId="4007EC7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3.其他信息。 </w:t>
      </w:r>
    </w:p>
    <w:p w14:paraId="48D3C7E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（6）LED照明灯具驱动装置标志： </w:t>
      </w:r>
    </w:p>
    <w:p w14:paraId="32EB69E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1.驱动装置来源标志，制作厂商信息； </w:t>
      </w:r>
    </w:p>
    <w:p w14:paraId="235D6BD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2.浪涌保护标志； </w:t>
      </w:r>
    </w:p>
    <w:p w14:paraId="6168FCC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3.驱动装置性能参数，如输出功率、输出电流、输出电压范围等； </w:t>
      </w:r>
    </w:p>
    <w:p w14:paraId="5C6FE30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4.其他标志。 </w:t>
      </w:r>
    </w:p>
    <w:p w14:paraId="49566CD0">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（7）LED模块标志： </w:t>
      </w:r>
    </w:p>
    <w:p w14:paraId="77D3F488">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1.LED模块来源标志，制造厂商信息； </w:t>
      </w:r>
    </w:p>
    <w:p w14:paraId="25A44CBA">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2.适用LED照明灯具类型，如路灯等； </w:t>
      </w:r>
    </w:p>
    <w:p w14:paraId="49A4004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3.额定电流，如350mA、700mA； </w:t>
      </w:r>
    </w:p>
    <w:p w14:paraId="49307051">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4.模块光通量，如3000lm； </w:t>
      </w:r>
    </w:p>
    <w:p w14:paraId="02619D0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5.模块额定色温，如3500K； </w:t>
      </w:r>
    </w:p>
    <w:p w14:paraId="17C91C4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6.模块配光类型，如“短-窄”等分类； </w:t>
      </w:r>
    </w:p>
    <w:p w14:paraId="02F24311">
      <w:pPr>
        <w:keepNext w:val="0"/>
        <w:keepLines w:val="0"/>
        <w:widowControl/>
        <w:suppressLineNumbers w:val="0"/>
        <w:spacing w:line="360" w:lineRule="auto"/>
        <w:ind w:firstLine="480" w:firstLineChars="200"/>
        <w:jc w:val="left"/>
        <w:rPr>
          <w:rFonts w:hint="eastAsia" w:ascii="宋体" w:hAnsi="宋体" w:eastAsia="宋体" w:cs="宋体"/>
          <w:b/>
          <w:bCs/>
          <w:color w:val="auto"/>
          <w:sz w:val="24"/>
          <w:szCs w:val="24"/>
          <w:lang w:eastAsia="zh-CN"/>
        </w:rPr>
      </w:pPr>
      <w:r>
        <w:rPr>
          <w:rFonts w:hint="eastAsia" w:ascii="宋体" w:hAnsi="宋体" w:eastAsia="宋体" w:cs="宋体"/>
          <w:color w:val="auto"/>
          <w:kern w:val="0"/>
          <w:sz w:val="24"/>
          <w:szCs w:val="24"/>
          <w:lang w:val="en-US" w:eastAsia="zh-CN" w:bidi="ar"/>
        </w:rPr>
        <w:t>7.其他标志。</w:t>
      </w:r>
    </w:p>
    <w:p w14:paraId="20B2DA31">
      <w:pPr>
        <w:pStyle w:val="4"/>
        <w:spacing w:before="0" w:after="0" w:line="360" w:lineRule="auto"/>
        <w:ind w:firstLine="241" w:firstLineChars="1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智慧路灯</w:t>
      </w:r>
      <w:bookmarkStart w:id="64" w:name="_Hlk199325113"/>
      <w:r>
        <w:rPr>
          <w:rFonts w:hint="eastAsia" w:ascii="宋体" w:hAnsi="宋体" w:eastAsia="宋体" w:cs="宋体"/>
          <w:b/>
          <w:bCs/>
          <w:color w:val="auto"/>
          <w:sz w:val="24"/>
          <w:szCs w:val="24"/>
          <w:lang w:eastAsia="zh-CN"/>
        </w:rPr>
        <w:t>智能</w:t>
      </w:r>
      <w:bookmarkEnd w:id="64"/>
      <w:r>
        <w:rPr>
          <w:rFonts w:hint="eastAsia" w:ascii="宋体" w:hAnsi="宋体" w:eastAsia="宋体" w:cs="宋体"/>
          <w:b/>
          <w:bCs/>
          <w:color w:val="auto"/>
          <w:sz w:val="24"/>
          <w:szCs w:val="24"/>
          <w:lang w:eastAsia="zh-CN"/>
        </w:rPr>
        <w:t>控制中心建设要求</w:t>
      </w:r>
    </w:p>
    <w:p w14:paraId="2732B9A9">
      <w:pPr>
        <w:pStyle w:val="5"/>
        <w:spacing w:before="0" w:after="0" w:line="360" w:lineRule="auto"/>
        <w:ind w:firstLine="48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）控制中心建设</w:t>
      </w:r>
    </w:p>
    <w:p w14:paraId="71B07239">
      <w:pPr>
        <w:kinsoku/>
        <w:autoSpaceDE/>
        <w:autoSpaceDN/>
        <w:adjustRightInd/>
        <w:spacing w:line="360" w:lineRule="auto"/>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智慧路灯智能控制中心建设，包括服务器、监控中心通讯模块、监控计算机、交换机、监控音响系统、监控移动终端、机房简易装修等。控制中心场地由采购人无偿提供。</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808"/>
        <w:gridCol w:w="5585"/>
        <w:gridCol w:w="990"/>
        <w:gridCol w:w="747"/>
      </w:tblGrid>
      <w:tr w14:paraId="039F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67" w:type="pct"/>
            <w:vAlign w:val="center"/>
          </w:tcPr>
          <w:p w14:paraId="77F0F20D">
            <w:pPr>
              <w:kinsoku/>
              <w:spacing w:line="360" w:lineRule="auto"/>
              <w:ind w:firstLine="0" w:firstLineChars="0"/>
              <w:jc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序号</w:t>
            </w:r>
          </w:p>
        </w:tc>
        <w:tc>
          <w:tcPr>
            <w:tcW w:w="917" w:type="pct"/>
            <w:vAlign w:val="center"/>
          </w:tcPr>
          <w:p w14:paraId="0F1780B4">
            <w:pPr>
              <w:kinsoku/>
              <w:spacing w:line="360" w:lineRule="auto"/>
              <w:ind w:firstLine="0" w:firstLineChars="0"/>
              <w:jc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名称</w:t>
            </w:r>
          </w:p>
        </w:tc>
        <w:tc>
          <w:tcPr>
            <w:tcW w:w="2832" w:type="pct"/>
            <w:vAlign w:val="center"/>
          </w:tcPr>
          <w:p w14:paraId="68073883">
            <w:pPr>
              <w:kinsoku/>
              <w:spacing w:line="360" w:lineRule="auto"/>
              <w:ind w:firstLine="0" w:firstLineChars="0"/>
              <w:jc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内容</w:t>
            </w:r>
          </w:p>
        </w:tc>
        <w:tc>
          <w:tcPr>
            <w:tcW w:w="502" w:type="pct"/>
            <w:vAlign w:val="center"/>
          </w:tcPr>
          <w:p w14:paraId="26C8674B">
            <w:pPr>
              <w:kinsoku/>
              <w:spacing w:line="360" w:lineRule="auto"/>
              <w:ind w:firstLine="0" w:firstLineChars="0"/>
              <w:jc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数量</w:t>
            </w:r>
          </w:p>
        </w:tc>
        <w:tc>
          <w:tcPr>
            <w:tcW w:w="379" w:type="pct"/>
            <w:vAlign w:val="center"/>
          </w:tcPr>
          <w:p w14:paraId="3B5B26D3">
            <w:pPr>
              <w:kinsoku/>
              <w:spacing w:line="360" w:lineRule="auto"/>
              <w:ind w:firstLine="0" w:firstLineChars="0"/>
              <w:jc w:val="center"/>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备注</w:t>
            </w:r>
          </w:p>
        </w:tc>
      </w:tr>
      <w:tr w14:paraId="1700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67" w:type="pct"/>
            <w:vAlign w:val="center"/>
          </w:tcPr>
          <w:p w14:paraId="2EDE6980">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w:t>
            </w:r>
          </w:p>
        </w:tc>
        <w:tc>
          <w:tcPr>
            <w:tcW w:w="917" w:type="pct"/>
            <w:vAlign w:val="center"/>
          </w:tcPr>
          <w:p w14:paraId="524D8C3D">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智慧照明控制系统平台</w:t>
            </w:r>
          </w:p>
        </w:tc>
        <w:tc>
          <w:tcPr>
            <w:tcW w:w="2832" w:type="pct"/>
            <w:vAlign w:val="center"/>
          </w:tcPr>
          <w:p w14:paraId="602E5FB4">
            <w:pPr>
              <w:spacing w:before="36" w:line="228" w:lineRule="auto"/>
              <w:ind w:left="116"/>
              <w:rPr>
                <w:rFonts w:ascii="宋体" w:hAnsi="宋体" w:eastAsia="宋体" w:cs="宋体"/>
                <w:color w:val="auto"/>
                <w:sz w:val="24"/>
                <w:szCs w:val="24"/>
              </w:rPr>
            </w:pPr>
            <w:r>
              <w:rPr>
                <w:rFonts w:ascii="宋体" w:hAnsi="宋体" w:eastAsia="宋体" w:cs="宋体"/>
                <w:b/>
                <w:bCs/>
                <w:color w:val="auto"/>
                <w:spacing w:val="6"/>
                <w:sz w:val="24"/>
                <w:szCs w:val="24"/>
              </w:rPr>
              <w:t>总体技术要求</w:t>
            </w:r>
          </w:p>
          <w:p w14:paraId="2BFDCAB8">
            <w:pPr>
              <w:spacing w:before="161" w:line="327" w:lineRule="auto"/>
              <w:ind w:left="113" w:right="175" w:firstLine="5"/>
              <w:jc w:val="both"/>
              <w:rPr>
                <w:rFonts w:hint="eastAsia" w:ascii="宋体" w:hAnsi="宋体" w:eastAsia="宋体" w:cs="宋体"/>
                <w:color w:val="auto"/>
                <w:sz w:val="24"/>
                <w:szCs w:val="24"/>
                <w:lang w:eastAsia="zh-CN"/>
              </w:rPr>
            </w:pPr>
            <w:r>
              <w:rPr>
                <w:rFonts w:ascii="宋体" w:hAnsi="宋体" w:eastAsia="宋体" w:cs="宋体"/>
                <w:color w:val="auto"/>
                <w:spacing w:val="9"/>
                <w:sz w:val="24"/>
                <w:szCs w:val="24"/>
              </w:rPr>
              <w:t>智慧照明管理平台运行服务器操作系统采用开源化操作系 统或国产化操作系统。在数据存储服务方面使用开源数据</w:t>
            </w:r>
            <w:r>
              <w:rPr>
                <w:rFonts w:ascii="宋体" w:hAnsi="宋体" w:eastAsia="宋体" w:cs="宋体"/>
                <w:color w:val="auto"/>
                <w:spacing w:val="14"/>
                <w:sz w:val="24"/>
                <w:szCs w:val="24"/>
              </w:rPr>
              <w:t xml:space="preserve"> </w:t>
            </w:r>
            <w:r>
              <w:rPr>
                <w:rFonts w:ascii="宋体" w:hAnsi="宋体" w:eastAsia="宋体" w:cs="宋体"/>
                <w:color w:val="auto"/>
                <w:spacing w:val="9"/>
                <w:sz w:val="24"/>
                <w:szCs w:val="24"/>
              </w:rPr>
              <w:t>库；平台提供统一的登录门户，用户登录后根据不同的权</w:t>
            </w:r>
            <w:r>
              <w:rPr>
                <w:rFonts w:ascii="宋体" w:hAnsi="宋体" w:eastAsia="宋体" w:cs="宋体"/>
                <w:color w:val="auto"/>
                <w:spacing w:val="14"/>
                <w:sz w:val="24"/>
                <w:szCs w:val="24"/>
              </w:rPr>
              <w:t xml:space="preserve"> </w:t>
            </w:r>
            <w:r>
              <w:rPr>
                <w:rFonts w:ascii="宋体" w:hAnsi="宋体" w:eastAsia="宋体" w:cs="宋体"/>
                <w:color w:val="auto"/>
                <w:spacing w:val="9"/>
                <w:sz w:val="24"/>
                <w:szCs w:val="24"/>
              </w:rPr>
              <w:t>限来进行不同的操作，及时发现问题，及时维护，遇紧急</w:t>
            </w:r>
            <w:r>
              <w:rPr>
                <w:rFonts w:ascii="宋体" w:hAnsi="宋体" w:eastAsia="宋体" w:cs="宋体"/>
                <w:color w:val="auto"/>
                <w:spacing w:val="14"/>
                <w:sz w:val="24"/>
                <w:szCs w:val="24"/>
              </w:rPr>
              <w:t xml:space="preserve"> </w:t>
            </w:r>
            <w:r>
              <w:rPr>
                <w:rFonts w:ascii="宋体" w:hAnsi="宋体" w:eastAsia="宋体" w:cs="宋体"/>
                <w:color w:val="auto"/>
                <w:spacing w:val="9"/>
                <w:sz w:val="24"/>
                <w:szCs w:val="24"/>
              </w:rPr>
              <w:t>事件快速响应，实现数据的智能化分析，为决策提供参考</w:t>
            </w:r>
            <w:r>
              <w:rPr>
                <w:rFonts w:hint="eastAsia" w:ascii="宋体" w:hAnsi="宋体" w:eastAsia="宋体" w:cs="宋体"/>
                <w:color w:val="auto"/>
                <w:spacing w:val="9"/>
                <w:sz w:val="24"/>
                <w:szCs w:val="24"/>
                <w:lang w:eastAsia="zh-CN"/>
              </w:rPr>
              <w:t>。</w:t>
            </w:r>
          </w:p>
          <w:p w14:paraId="66A94D43">
            <w:pPr>
              <w:spacing w:after="0" w:line="360" w:lineRule="auto"/>
              <w:ind w:firstLine="200"/>
              <w:rPr>
                <w:rFonts w:hint="eastAsia" w:ascii="宋体" w:hAnsi="宋体" w:eastAsia="宋体" w:cs="宋体"/>
                <w:b/>
                <w:bCs/>
                <w:color w:val="auto"/>
                <w:sz w:val="24"/>
                <w14:ligatures w14:val="none"/>
              </w:rPr>
            </w:pPr>
            <w:r>
              <w:rPr>
                <w:rFonts w:ascii="宋体" w:hAnsi="宋体" w:eastAsia="宋体" w:cs="宋体"/>
                <w:b/>
                <w:bCs/>
                <w:color w:val="auto"/>
                <w:sz w:val="24"/>
                <w14:ligatures w14:val="none"/>
              </w:rPr>
              <w:t>总体需求</w:t>
            </w:r>
          </w:p>
          <w:p w14:paraId="272DF907">
            <w:pPr>
              <w:numPr>
                <w:ilvl w:val="0"/>
                <w:numId w:val="0"/>
              </w:numPr>
              <w:kinsoku/>
              <w:spacing w:line="360" w:lineRule="auto"/>
              <w:ind w:firstLine="0" w:firstLineChars="0"/>
              <w:rPr>
                <w:rFonts w:ascii="宋体" w:hAnsi="宋体" w:eastAsia="宋体" w:cs="宋体"/>
                <w:color w:val="auto"/>
                <w:sz w:val="24"/>
                <w14:ligatures w14:val="none"/>
              </w:rPr>
            </w:pPr>
            <w:r>
              <w:rPr>
                <w:rFonts w:ascii="宋体" w:hAnsi="宋体" w:eastAsia="宋体" w:cs="宋体"/>
                <w:color w:val="auto"/>
                <w:sz w:val="24"/>
                <w14:ligatures w14:val="none"/>
              </w:rPr>
              <w:t>本项目采用</w:t>
            </w:r>
            <w:r>
              <w:rPr>
                <w:rFonts w:ascii="宋体" w:hAnsi="宋体" w:eastAsia="宋体" w:cs="Arial"/>
                <w:color w:val="auto"/>
                <w:sz w:val="24"/>
                <w14:ligatures w14:val="none"/>
              </w:rPr>
              <w:t>“</w:t>
            </w:r>
            <w:r>
              <w:rPr>
                <w:rFonts w:ascii="宋体" w:hAnsi="宋体" w:eastAsia="宋体" w:cs="宋体"/>
                <w:color w:val="auto"/>
                <w:sz w:val="24"/>
                <w14:ligatures w14:val="none"/>
              </w:rPr>
              <w:t>一体两翼</w:t>
            </w:r>
            <w:r>
              <w:rPr>
                <w:rFonts w:ascii="宋体" w:hAnsi="宋体" w:eastAsia="宋体" w:cs="Arial"/>
                <w:color w:val="auto"/>
                <w:sz w:val="24"/>
                <w14:ligatures w14:val="none"/>
              </w:rPr>
              <w:t>”</w:t>
            </w:r>
            <w:r>
              <w:rPr>
                <w:rFonts w:ascii="宋体" w:hAnsi="宋体" w:eastAsia="宋体" w:cs="宋体"/>
                <w:color w:val="auto"/>
                <w:sz w:val="24"/>
                <w14:ligatures w14:val="none"/>
              </w:rPr>
              <w:t>架构布局建设，智慧照明总体布局设计如下：智慧照明项目建设可以概括为：一中心、一张图、一平台、两类库、多种专业应用，以及两大标准体系。系统采用</w:t>
            </w:r>
            <w:r>
              <w:rPr>
                <w:rFonts w:ascii="宋体" w:hAnsi="宋体" w:eastAsia="宋体" w:cs="Arial"/>
                <w:color w:val="auto"/>
                <w:sz w:val="24"/>
                <w14:ligatures w14:val="none"/>
              </w:rPr>
              <w:t>“</w:t>
            </w:r>
            <w:r>
              <w:rPr>
                <w:rFonts w:ascii="宋体" w:hAnsi="宋体" w:eastAsia="宋体" w:cs="宋体"/>
                <w:color w:val="auto"/>
                <w:sz w:val="24"/>
                <w14:ligatures w14:val="none"/>
              </w:rPr>
              <w:t>总体设计、分步建设</w:t>
            </w:r>
            <w:r>
              <w:rPr>
                <w:rFonts w:ascii="宋体" w:hAnsi="宋体" w:eastAsia="宋体" w:cs="Arial"/>
                <w:color w:val="auto"/>
                <w:sz w:val="24"/>
                <w14:ligatures w14:val="none"/>
              </w:rPr>
              <w:t>”</w:t>
            </w:r>
            <w:r>
              <w:rPr>
                <w:rFonts w:ascii="宋体" w:hAnsi="宋体" w:eastAsia="宋体" w:cs="宋体"/>
                <w:color w:val="auto"/>
                <w:sz w:val="24"/>
                <w14:ligatures w14:val="none"/>
              </w:rPr>
              <w:t>的原则，按照实际应用情况，分期开展系统建设。</w:t>
            </w:r>
          </w:p>
          <w:p w14:paraId="2A1EB9DA">
            <w:pPr>
              <w:spacing w:after="0" w:line="360" w:lineRule="auto"/>
              <w:ind w:firstLine="200"/>
              <w:rPr>
                <w:rFonts w:hint="eastAsia" w:ascii="宋体" w:hAnsi="宋体" w:eastAsia="宋体" w:cs="宋体"/>
                <w:color w:val="auto"/>
                <w:sz w:val="24"/>
                <w14:ligatures w14:val="none"/>
              </w:rPr>
            </w:pPr>
            <w:r>
              <w:rPr>
                <w:rFonts w:ascii="宋体" w:hAnsi="宋体" w:eastAsia="宋体" w:cs="宋体"/>
                <w:b/>
                <w:bCs/>
                <w:color w:val="auto"/>
                <w:sz w:val="24"/>
                <w14:ligatures w14:val="none"/>
              </w:rPr>
              <w:t>（一）智慧照明管理中心建设（一中心）</w:t>
            </w:r>
          </w:p>
          <w:p w14:paraId="77CCB310">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一中心作为展示</w:t>
            </w:r>
            <w:r>
              <w:rPr>
                <w:rFonts w:ascii="宋体" w:hAnsi="宋体" w:eastAsia="宋体" w:cs="Arial"/>
                <w:color w:val="auto"/>
                <w:sz w:val="24"/>
                <w14:ligatures w14:val="none"/>
              </w:rPr>
              <w:t>“</w:t>
            </w:r>
            <w:r>
              <w:rPr>
                <w:rFonts w:ascii="宋体" w:hAnsi="宋体" w:eastAsia="宋体" w:cs="宋体"/>
                <w:color w:val="auto"/>
                <w:sz w:val="24"/>
                <w14:ligatures w14:val="none"/>
              </w:rPr>
              <w:t>智慧照明</w:t>
            </w:r>
            <w:r>
              <w:rPr>
                <w:rFonts w:ascii="宋体" w:hAnsi="宋体" w:eastAsia="宋体" w:cs="Arial"/>
                <w:color w:val="auto"/>
                <w:sz w:val="24"/>
                <w14:ligatures w14:val="none"/>
              </w:rPr>
              <w:t>”</w:t>
            </w:r>
            <w:r>
              <w:rPr>
                <w:rFonts w:ascii="宋体" w:hAnsi="宋体" w:eastAsia="宋体" w:cs="宋体"/>
                <w:color w:val="auto"/>
                <w:sz w:val="24"/>
                <w14:ligatures w14:val="none"/>
              </w:rPr>
              <w:t>建设管理的窗口。</w:t>
            </w:r>
          </w:p>
          <w:p w14:paraId="02FE68F9">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本次项目将新建一个控制中心，负责整个统一的照明平台的管理、运营维护和展示。</w:t>
            </w:r>
          </w:p>
          <w:p w14:paraId="750DCB2E">
            <w:pPr>
              <w:spacing w:after="0" w:line="360" w:lineRule="auto"/>
              <w:ind w:firstLine="200"/>
              <w:rPr>
                <w:rFonts w:hint="eastAsia" w:ascii="宋体" w:hAnsi="宋体" w:eastAsia="宋体" w:cs="宋体"/>
                <w:color w:val="auto"/>
                <w:sz w:val="24"/>
                <w14:ligatures w14:val="none"/>
              </w:rPr>
            </w:pPr>
            <w:r>
              <w:rPr>
                <w:rFonts w:ascii="宋体" w:hAnsi="宋体" w:eastAsia="宋体" w:cs="宋体"/>
                <w:b/>
                <w:bCs/>
                <w:color w:val="auto"/>
                <w:sz w:val="24"/>
                <w14:ligatures w14:val="none"/>
              </w:rPr>
              <w:t>（二）地理信息管理（一张图）</w:t>
            </w:r>
          </w:p>
          <w:p w14:paraId="2D38A2CB">
            <w:pPr>
              <w:spacing w:after="0" w:line="360" w:lineRule="auto"/>
              <w:ind w:firstLine="200"/>
              <w:rPr>
                <w:rFonts w:hint="eastAsia" w:ascii="宋体" w:hAnsi="宋体" w:eastAsia="宋体" w:cs="宋体"/>
                <w:color w:val="auto"/>
                <w:sz w:val="24"/>
                <w14:ligatures w14:val="none"/>
              </w:rPr>
            </w:pPr>
            <w:r>
              <w:rPr>
                <w:rFonts w:ascii="宋体" w:hAnsi="宋体" w:eastAsia="宋体" w:cs="宋体"/>
                <w:color w:val="auto"/>
                <w:sz w:val="24"/>
                <w14:ligatures w14:val="none"/>
              </w:rPr>
              <w:t>（</w:t>
            </w:r>
            <w:r>
              <w:rPr>
                <w:rFonts w:ascii="宋体" w:hAnsi="宋体" w:eastAsia="宋体" w:cs="Arial"/>
                <w:color w:val="auto"/>
                <w:sz w:val="24"/>
                <w14:ligatures w14:val="none"/>
              </w:rPr>
              <w:t>1</w:t>
            </w:r>
            <w:r>
              <w:rPr>
                <w:rFonts w:ascii="宋体" w:hAnsi="宋体" w:eastAsia="宋体" w:cs="宋体"/>
                <w:color w:val="auto"/>
                <w:sz w:val="24"/>
                <w14:ligatures w14:val="none"/>
              </w:rPr>
              <w:t>）第一步</w:t>
            </w:r>
            <w:r>
              <w:rPr>
                <w:rFonts w:hint="eastAsia" w:ascii="宋体" w:hAnsi="宋体" w:eastAsia="宋体" w:cs="Arial"/>
                <w:color w:val="auto"/>
                <w:sz w:val="24"/>
                <w14:ligatures w14:val="none"/>
              </w:rPr>
              <w:t>—</w:t>
            </w:r>
            <w:r>
              <w:rPr>
                <w:rFonts w:ascii="宋体" w:hAnsi="宋体" w:eastAsia="宋体" w:cs="宋体"/>
                <w:color w:val="auto"/>
                <w:sz w:val="24"/>
                <w14:ligatures w14:val="none"/>
              </w:rPr>
              <w:t>资产数据普查</w:t>
            </w:r>
          </w:p>
          <w:p w14:paraId="70CA12B2">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智慧照明升级的基础是设施资产信息，而设施资产的精细化管理尤为重要，本次将对照明设施进行全面、科学的精细化数据普查。设施普查即是摸清现有照明资产家底的过程，通过规范的普查内容与流程，实现照明资产的坐标采集、属性采集，并建立统一的资产信息数据库，通过数据后台处理软件对所采集的各类数据进行录入存储，为地理信息系统奠定扎实的数据基础。</w:t>
            </w:r>
          </w:p>
          <w:p w14:paraId="133C2569">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基本普查流程包括：普查前期组织、设施编号与标签完善、确立基本普查单元、普查具体实施工作、数据资产录入。</w:t>
            </w:r>
          </w:p>
          <w:p w14:paraId="0573F29B">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具体普查对象包括：</w:t>
            </w:r>
            <w:r>
              <w:rPr>
                <w:rFonts w:hint="eastAsia" w:ascii="宋体" w:hAnsi="宋体" w:eastAsia="宋体" w:cs="宋体"/>
                <w:color w:val="auto"/>
                <w:sz w:val="24"/>
                <w14:ligatures w14:val="none"/>
              </w:rPr>
              <w:t>阿图什市</w:t>
            </w:r>
            <w:r>
              <w:rPr>
                <w:rFonts w:ascii="宋体" w:hAnsi="宋体" w:eastAsia="宋体" w:cs="宋体"/>
                <w:color w:val="auto"/>
                <w:sz w:val="24"/>
                <w14:ligatures w14:val="none"/>
              </w:rPr>
              <w:t>管辖区范围内的全部路灯、灯具、控制箱、关联关系等。</w:t>
            </w:r>
          </w:p>
          <w:p w14:paraId="4C2EE665">
            <w:pPr>
              <w:spacing w:after="0" w:line="360" w:lineRule="auto"/>
              <w:ind w:firstLine="200"/>
              <w:rPr>
                <w:rFonts w:hint="eastAsia" w:ascii="宋体" w:hAnsi="宋体" w:eastAsia="宋体" w:cs="宋体"/>
                <w:color w:val="auto"/>
                <w:sz w:val="24"/>
                <w14:ligatures w14:val="none"/>
              </w:rPr>
            </w:pPr>
            <w:r>
              <w:rPr>
                <w:rFonts w:ascii="宋体" w:hAnsi="宋体" w:eastAsia="宋体" w:cs="宋体"/>
                <w:color w:val="auto"/>
                <w:sz w:val="24"/>
                <w14:ligatures w14:val="none"/>
              </w:rPr>
              <w:t>（</w:t>
            </w:r>
            <w:r>
              <w:rPr>
                <w:rFonts w:ascii="宋体" w:hAnsi="宋体" w:eastAsia="宋体" w:cs="Arial"/>
                <w:color w:val="auto"/>
                <w:sz w:val="24"/>
                <w14:ligatures w14:val="none"/>
              </w:rPr>
              <w:t>2</w:t>
            </w:r>
            <w:r>
              <w:rPr>
                <w:rFonts w:ascii="宋体" w:hAnsi="宋体" w:eastAsia="宋体" w:cs="宋体"/>
                <w:color w:val="auto"/>
                <w:sz w:val="24"/>
                <w14:ligatures w14:val="none"/>
              </w:rPr>
              <w:t>）第二步</w:t>
            </w:r>
            <w:r>
              <w:rPr>
                <w:rFonts w:ascii="宋体" w:hAnsi="宋体" w:eastAsia="宋体" w:cs="Arial"/>
                <w:color w:val="auto"/>
                <w:sz w:val="24"/>
                <w14:ligatures w14:val="none"/>
              </w:rPr>
              <w:t>—</w:t>
            </w:r>
            <w:r>
              <w:rPr>
                <w:rFonts w:ascii="宋体" w:hAnsi="宋体" w:eastAsia="宋体" w:cs="宋体"/>
                <w:color w:val="auto"/>
                <w:sz w:val="24"/>
                <w14:ligatures w14:val="none"/>
              </w:rPr>
              <w:t>地理信息管理（</w:t>
            </w:r>
            <w:r>
              <w:rPr>
                <w:rFonts w:ascii="宋体" w:hAnsi="宋体" w:eastAsia="宋体" w:cs="Arial"/>
                <w:color w:val="auto"/>
                <w:sz w:val="24"/>
                <w14:ligatures w14:val="none"/>
              </w:rPr>
              <w:t>GIS</w:t>
            </w:r>
            <w:r>
              <w:rPr>
                <w:rFonts w:ascii="宋体" w:hAnsi="宋体" w:eastAsia="宋体" w:cs="宋体"/>
                <w:color w:val="auto"/>
                <w:sz w:val="24"/>
                <w14:ligatures w14:val="none"/>
              </w:rPr>
              <w:t>）</w:t>
            </w:r>
          </w:p>
          <w:p w14:paraId="3E499279">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资产数据普查后进行导入并作为地理信息管理的数据基础，地理信息管理（</w:t>
            </w:r>
            <w:r>
              <w:rPr>
                <w:rFonts w:ascii="宋体" w:hAnsi="宋体" w:eastAsia="宋体" w:cs="Arial"/>
                <w:color w:val="auto"/>
                <w:sz w:val="24"/>
                <w14:ligatures w14:val="none"/>
              </w:rPr>
              <w:t>GIS</w:t>
            </w:r>
            <w:r>
              <w:rPr>
                <w:rFonts w:ascii="宋体" w:hAnsi="宋体" w:eastAsia="宋体" w:cs="宋体"/>
                <w:color w:val="auto"/>
                <w:sz w:val="24"/>
                <w14:ligatures w14:val="none"/>
              </w:rPr>
              <w:t>）是运用计算机硬件、软件和网络技术，对各种空间、非空间数据进行采集、输入、存储、查询、处理、检索、分析和显示的系统，担负着整个城市综合信息的存储、分析、交换和服务的功能，为规划、管理和建设的定量化、科学化提供了先进的技术手段和方法，并为管理者制定方针提供辅助依据。</w:t>
            </w:r>
          </w:p>
          <w:p w14:paraId="2785075F">
            <w:pPr>
              <w:spacing w:after="0" w:line="360" w:lineRule="auto"/>
              <w:ind w:firstLine="200"/>
              <w:rPr>
                <w:rFonts w:hint="eastAsia" w:ascii="宋体" w:hAnsi="宋体" w:eastAsia="宋体" w:cs="宋体"/>
                <w:color w:val="auto"/>
                <w:sz w:val="24"/>
                <w14:ligatures w14:val="none"/>
              </w:rPr>
            </w:pPr>
            <w:r>
              <w:rPr>
                <w:rFonts w:ascii="宋体" w:hAnsi="宋体" w:eastAsia="宋体" w:cs="宋体"/>
                <w:b/>
                <w:bCs/>
                <w:color w:val="auto"/>
                <w:sz w:val="24"/>
                <w14:ligatures w14:val="none"/>
              </w:rPr>
              <w:t>（三）智慧照明综合管理平台（一平台）</w:t>
            </w:r>
          </w:p>
          <w:p w14:paraId="35789211">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智慧照明综合管理平台的应用中枢，将多种应用子系统纳入智慧照明管理平台统一管控，形成一套功能完善、技术先进的交互式信息显示及管理平台，实现各个子系统之间无缝结合、数据统一集中管理、系统联动、资源共享。打造一把闸刀式管理模式。</w:t>
            </w:r>
          </w:p>
          <w:p w14:paraId="6D8865BF">
            <w:pPr>
              <w:spacing w:after="0" w:line="360" w:lineRule="auto"/>
              <w:ind w:firstLine="200"/>
              <w:rPr>
                <w:rFonts w:hint="eastAsia" w:ascii="宋体" w:hAnsi="宋体" w:eastAsia="宋体" w:cs="宋体"/>
                <w:b/>
                <w:bCs/>
                <w:color w:val="auto"/>
                <w:sz w:val="24"/>
                <w14:ligatures w14:val="none"/>
              </w:rPr>
            </w:pPr>
            <w:r>
              <w:rPr>
                <w:rFonts w:ascii="宋体" w:hAnsi="宋体" w:eastAsia="宋体" w:cs="宋体"/>
                <w:b/>
                <w:bCs/>
                <w:color w:val="auto"/>
                <w:sz w:val="24"/>
                <w14:ligatures w14:val="none"/>
              </w:rPr>
              <w:t>（四）两类库（地理信息、业务管理）</w:t>
            </w:r>
          </w:p>
          <w:p w14:paraId="24B44CD8">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通过对</w:t>
            </w:r>
            <w:r>
              <w:rPr>
                <w:rFonts w:hint="eastAsia" w:ascii="宋体" w:hAnsi="宋体" w:eastAsia="宋体" w:cs="宋体"/>
                <w:color w:val="auto"/>
                <w:sz w:val="24"/>
                <w14:ligatures w14:val="none"/>
              </w:rPr>
              <w:t>阿图什市</w:t>
            </w:r>
            <w:r>
              <w:rPr>
                <w:rFonts w:ascii="宋体" w:hAnsi="宋体" w:eastAsia="宋体" w:cs="宋体"/>
                <w:color w:val="auto"/>
                <w:sz w:val="24"/>
                <w14:ligatures w14:val="none"/>
              </w:rPr>
              <w:t>基础地理空间数据、各类照明设施部件数据、业务管理数据等的采集、加工、建库，建成照明行业地理信息数据库和业务管理数据库两大支持数据库，全面摸清照明</w:t>
            </w:r>
            <w:r>
              <w:rPr>
                <w:rFonts w:ascii="宋体" w:hAnsi="宋体" w:eastAsia="宋体" w:cs="Arial"/>
                <w:color w:val="auto"/>
                <w:sz w:val="24"/>
                <w14:ligatures w14:val="none"/>
              </w:rPr>
              <w:t>“</w:t>
            </w:r>
            <w:r>
              <w:rPr>
                <w:rFonts w:ascii="宋体" w:hAnsi="宋体" w:eastAsia="宋体" w:cs="宋体"/>
                <w:color w:val="auto"/>
                <w:sz w:val="24"/>
                <w14:ligatures w14:val="none"/>
              </w:rPr>
              <w:t>家底信息</w:t>
            </w:r>
            <w:r>
              <w:rPr>
                <w:rFonts w:ascii="宋体" w:hAnsi="宋体" w:eastAsia="宋体" w:cs="Arial"/>
                <w:color w:val="auto"/>
                <w:sz w:val="24"/>
                <w14:ligatures w14:val="none"/>
              </w:rPr>
              <w:t>”</w:t>
            </w:r>
            <w:r>
              <w:rPr>
                <w:rFonts w:ascii="宋体" w:hAnsi="宋体" w:eastAsia="宋体" w:cs="宋体"/>
                <w:color w:val="auto"/>
                <w:sz w:val="24"/>
                <w14:ligatures w14:val="none"/>
              </w:rPr>
              <w:t>，为开展各项数字化、智能化管理业务提供数据支撑。</w:t>
            </w:r>
          </w:p>
          <w:p w14:paraId="33F4C912">
            <w:pPr>
              <w:spacing w:after="0" w:line="360" w:lineRule="auto"/>
              <w:ind w:firstLine="200"/>
              <w:rPr>
                <w:rFonts w:hint="eastAsia" w:ascii="宋体" w:hAnsi="宋体" w:eastAsia="宋体" w:cs="宋体"/>
                <w:color w:val="auto"/>
                <w:sz w:val="24"/>
                <w14:ligatures w14:val="none"/>
              </w:rPr>
            </w:pPr>
            <w:r>
              <w:rPr>
                <w:rFonts w:ascii="宋体" w:hAnsi="宋体" w:eastAsia="宋体" w:cs="宋体"/>
                <w:b/>
                <w:bCs/>
                <w:color w:val="auto"/>
                <w:sz w:val="24"/>
                <w14:ligatures w14:val="none"/>
              </w:rPr>
              <w:t>（五）多类应用系统建设</w:t>
            </w:r>
          </w:p>
          <w:p w14:paraId="50D27FC5">
            <w:pPr>
              <w:spacing w:after="0" w:line="360" w:lineRule="auto"/>
              <w:ind w:firstLine="480" w:firstLineChars="200"/>
              <w:rPr>
                <w:rFonts w:ascii="宋体" w:hAnsi="宋体" w:eastAsia="宋体" w:cs="宋体"/>
                <w:color w:val="auto"/>
                <w:sz w:val="24"/>
                <w14:ligatures w14:val="none"/>
              </w:rPr>
            </w:pPr>
            <w:r>
              <w:rPr>
                <w:rFonts w:ascii="宋体" w:hAnsi="宋体" w:eastAsia="宋体" w:cs="宋体"/>
                <w:color w:val="auto"/>
                <w:sz w:val="24"/>
                <w14:ligatures w14:val="none"/>
              </w:rPr>
              <w:t>城市照明多种专业应用，本次项目应用主要涉及城市照明监控、单灯管理系统、资产管理系统、运维管理系统、移动应用APP、漏电检测系统、能耗管理系统、线缆监测系统等。</w:t>
            </w:r>
          </w:p>
          <w:p w14:paraId="6C130C2F">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照明监控系统——基于照明控制终端，对照明回路通断状态、回路电流、回路电压、照明配电箱用电量等相关数据的采集，实现城市功能照明的统一开关灯控制。</w:t>
            </w:r>
          </w:p>
          <w:p w14:paraId="31C75B2D">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单灯管理系统——基于物联网的智能单灯控制管理模块，可实现单灯GIS、单灯亮灯率、单灯电气图、开关灯及调光、数据分析、时间管理、能耗管理等。</w:t>
            </w:r>
          </w:p>
          <w:p w14:paraId="4801A563">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资产管理系统——实现照明相关资产的源头控制与动态管理，实现资产整生命周期中各个环节的动态跟踪与管理。投运中的设备可实时精准定位以及联动可视化展示等,通过信息化的手段“管好、用好”各类资产，降低管理成本，实现资产收益的最大化。</w:t>
            </w:r>
          </w:p>
          <w:p w14:paraId="0232B138">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运维管理系统——可以有效解决照明类事件处理标准化，包括：工单管理，台账管理，内部办公管理电子化的问题，借助强大的运维工单模块为市政设施服务中心的信息化发展奠定基础。其主要建设内容如下：建立城市照明管理内部巡查、维修工单管理、维修任务流转、工单查询、台账管理、人员管理、维修情况分析等功能，实现流程化管理、协同办公，提高管理效率和资源共享程度。</w:t>
            </w:r>
          </w:p>
          <w:p w14:paraId="6DC5542F">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漏电监测系统——漏电监测系统旨在对城市照明智能监控系统漏电现象进行智能检测管理，保障系统正常照明供电，保障行人生命安全。漏电监测管理系统可在城市照明智能监控系统的基础上升级实现，充分利用监控终端的远程传输功能和照明监控软件的故障报警功能，通过在现场加装智能漏电检测断路器设备，实现市政设施服务中心对整体漏电的监测和控制。</w:t>
            </w:r>
          </w:p>
          <w:p w14:paraId="463B7AAC">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线缆防盗系统——线缆检测子系统用于路灯电缆的断线或是盗割报警，通过系统可实现实时远程监测，并能在第一时间发现电缆断线情况从而作出相应的处理，全天候24小时的断线报警。</w:t>
            </w:r>
          </w:p>
          <w:p w14:paraId="4A2A0EDB">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能耗辅助系统——实现照明设施的实时电能量管理，对电能实时数据包括正反向有功、电压、电流、有功功率、无功率、功率因数数据进行分析，自定义时间对电能消耗总量、电能按谷峰平消耗电能进行计算电能量和电费，设置电能日消耗预警上线值，根据设定预警上限值进行报警日消耗超标电能。</w:t>
            </w:r>
          </w:p>
          <w:p w14:paraId="4A88BEB3">
            <w:pPr>
              <w:spacing w:after="0" w:line="360" w:lineRule="auto"/>
              <w:ind w:firstLine="480" w:firstLineChars="200"/>
              <w:rPr>
                <w:rFonts w:hint="eastAsia" w:ascii="宋体" w:hAnsi="宋体" w:eastAsia="宋体" w:cs="宋体"/>
                <w:color w:val="auto"/>
                <w:sz w:val="24"/>
                <w14:ligatures w14:val="none"/>
              </w:rPr>
            </w:pPr>
            <w:r>
              <w:rPr>
                <w:rFonts w:ascii="宋体" w:hAnsi="宋体" w:eastAsia="宋体" w:cs="宋体"/>
                <w:color w:val="auto"/>
                <w:sz w:val="24"/>
                <w14:ligatures w14:val="none"/>
              </w:rPr>
              <w:t>移动应用APP——运用先进的信息处理技术以实现信息推送、移动端处理等目标。提高外业人员综合响应速度,缩短维护及维修时间，提高设施运行可靠性，提高照明管理服务水平，达到将信息系统延伸到工作现场的目的。本系统具有设施遥测、地图浏览、照明设施故障上报、工单管理、工单查询、资产信息管理等主要功能，并可通过网络与其他系统进行数据交换。</w:t>
            </w:r>
          </w:p>
          <w:p w14:paraId="7B08BC61">
            <w:pPr>
              <w:spacing w:after="0" w:line="360" w:lineRule="auto"/>
              <w:ind w:firstLine="200"/>
              <w:rPr>
                <w:rFonts w:hint="eastAsia" w:ascii="宋体" w:hAnsi="宋体" w:eastAsia="宋体" w:cs="宋体"/>
                <w:color w:val="auto"/>
                <w:sz w:val="24"/>
              </w:rPr>
            </w:pPr>
            <w:r>
              <w:rPr>
                <w:rFonts w:ascii="宋体" w:hAnsi="宋体" w:eastAsia="宋体" w:cs="宋体"/>
                <w:b/>
                <w:bCs/>
                <w:color w:val="auto"/>
                <w:spacing w:val="6"/>
                <w:sz w:val="24"/>
              </w:rPr>
              <w:t>（六）两大标准体系</w:t>
            </w:r>
          </w:p>
          <w:p w14:paraId="20AAFF60">
            <w:pPr>
              <w:spacing w:after="0" w:line="360" w:lineRule="auto"/>
              <w:ind w:firstLine="480" w:firstLineChars="200"/>
              <w:rPr>
                <w:rFonts w:ascii="宋体" w:hAnsi="宋体" w:eastAsia="宋体" w:cs="宋体"/>
                <w:color w:val="auto"/>
                <w:sz w:val="24"/>
                <w14:ligatures w14:val="none"/>
              </w:rPr>
            </w:pPr>
            <w:r>
              <w:rPr>
                <w:rFonts w:ascii="宋体" w:hAnsi="宋体" w:eastAsia="宋体" w:cs="宋体"/>
                <w:color w:val="auto"/>
                <w:sz w:val="24"/>
                <w14:ligatures w14:val="none"/>
              </w:rPr>
              <w:t>主要是指研究建立统一的数据标准体系以及管理规范和信息安全机制。两类服务主要是在本期项目建设成果基础上，不断深化和扩展照明管理的全面应用，并且逐步推广到整个智慧城市的建设应用中。</w:t>
            </w:r>
          </w:p>
          <w:p w14:paraId="24BC56CD">
            <w:pPr>
              <w:spacing w:after="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sz w:val="24"/>
                <w14:ligatures w14:val="none"/>
              </w:rPr>
              <w:t>软件管理平台和监控终端通信协议支持国标和主流标准化通信协议，具有开放性，即可兼容其他照明平台，也可以接入上级智慧城市平台。</w:t>
            </w:r>
          </w:p>
        </w:tc>
        <w:tc>
          <w:tcPr>
            <w:tcW w:w="502" w:type="pct"/>
            <w:vAlign w:val="center"/>
          </w:tcPr>
          <w:p w14:paraId="797EE1F3">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1套</w:t>
            </w:r>
          </w:p>
        </w:tc>
        <w:tc>
          <w:tcPr>
            <w:tcW w:w="379" w:type="pct"/>
            <w:vAlign w:val="center"/>
          </w:tcPr>
          <w:p w14:paraId="00A3AA41">
            <w:pPr>
              <w:kinsoku/>
              <w:spacing w:line="360" w:lineRule="auto"/>
              <w:ind w:firstLine="0" w:firstLineChars="0"/>
              <w:jc w:val="center"/>
              <w:rPr>
                <w:rFonts w:hint="eastAsia" w:ascii="宋体" w:hAnsi="宋体" w:eastAsia="宋体" w:cs="宋体"/>
                <w:color w:val="auto"/>
                <w:kern w:val="2"/>
                <w:sz w:val="24"/>
                <w:szCs w:val="24"/>
                <w:lang w:eastAsia="zh-CN"/>
              </w:rPr>
            </w:pPr>
          </w:p>
        </w:tc>
      </w:tr>
      <w:tr w14:paraId="1B84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67" w:type="pct"/>
            <w:vAlign w:val="center"/>
          </w:tcPr>
          <w:p w14:paraId="7199926B">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w:t>
            </w:r>
          </w:p>
        </w:tc>
        <w:tc>
          <w:tcPr>
            <w:tcW w:w="917" w:type="pct"/>
            <w:vAlign w:val="center"/>
          </w:tcPr>
          <w:p w14:paraId="3C77491B">
            <w:pPr>
              <w:kinsoku/>
              <w:spacing w:line="360" w:lineRule="auto"/>
              <w:ind w:firstLine="0" w:firstLineChars="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智慧照明监控中心大屏</w:t>
            </w:r>
          </w:p>
        </w:tc>
        <w:tc>
          <w:tcPr>
            <w:tcW w:w="2832" w:type="pct"/>
            <w:vAlign w:val="center"/>
          </w:tcPr>
          <w:p w14:paraId="3E17C49C">
            <w:pPr>
              <w:kinsoku/>
              <w:spacing w:line="360" w:lineRule="auto"/>
              <w:ind w:firstLine="0" w:firstLineChars="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根据业主方提供场地，数字大屏面积不小于（不低于6㎡）</w:t>
            </w:r>
          </w:p>
        </w:tc>
        <w:tc>
          <w:tcPr>
            <w:tcW w:w="502" w:type="pct"/>
            <w:vAlign w:val="center"/>
          </w:tcPr>
          <w:p w14:paraId="53CC3DAE">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1套</w:t>
            </w:r>
          </w:p>
        </w:tc>
        <w:tc>
          <w:tcPr>
            <w:tcW w:w="379" w:type="pct"/>
            <w:vAlign w:val="center"/>
          </w:tcPr>
          <w:p w14:paraId="19AD34C0">
            <w:pPr>
              <w:kinsoku/>
              <w:spacing w:line="360" w:lineRule="auto"/>
              <w:ind w:firstLine="0" w:firstLineChars="0"/>
              <w:jc w:val="center"/>
              <w:rPr>
                <w:rFonts w:hint="eastAsia" w:ascii="宋体" w:hAnsi="宋体" w:eastAsia="宋体" w:cs="宋体"/>
                <w:color w:val="auto"/>
                <w:kern w:val="2"/>
                <w:sz w:val="24"/>
                <w:szCs w:val="24"/>
                <w:lang w:eastAsia="zh-CN"/>
              </w:rPr>
            </w:pPr>
          </w:p>
        </w:tc>
      </w:tr>
      <w:tr w14:paraId="54D4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67" w:type="pct"/>
            <w:vAlign w:val="center"/>
          </w:tcPr>
          <w:p w14:paraId="3D91D4F5">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3</w:t>
            </w:r>
          </w:p>
        </w:tc>
        <w:tc>
          <w:tcPr>
            <w:tcW w:w="917" w:type="pct"/>
            <w:vAlign w:val="center"/>
          </w:tcPr>
          <w:p w14:paraId="01FD512C">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智慧照明监控中心控制设备</w:t>
            </w:r>
          </w:p>
        </w:tc>
        <w:tc>
          <w:tcPr>
            <w:tcW w:w="2832" w:type="pct"/>
            <w:vAlign w:val="center"/>
          </w:tcPr>
          <w:p w14:paraId="2E5893EF">
            <w:pPr>
              <w:kinsoku/>
              <w:spacing w:line="360" w:lineRule="auto"/>
              <w:ind w:firstLine="0" w:firstLineChars="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计算机（台式、便携式）酷睿i5处理器、8G内存、1T硬盘</w:t>
            </w:r>
          </w:p>
        </w:tc>
        <w:tc>
          <w:tcPr>
            <w:tcW w:w="502" w:type="pct"/>
            <w:vAlign w:val="center"/>
          </w:tcPr>
          <w:p w14:paraId="7A0BA395">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2套</w:t>
            </w:r>
          </w:p>
        </w:tc>
        <w:tc>
          <w:tcPr>
            <w:tcW w:w="379" w:type="pct"/>
            <w:vAlign w:val="center"/>
          </w:tcPr>
          <w:p w14:paraId="12FFD73B">
            <w:pPr>
              <w:kinsoku/>
              <w:spacing w:line="360" w:lineRule="auto"/>
              <w:ind w:firstLine="0" w:firstLineChars="0"/>
              <w:jc w:val="center"/>
              <w:rPr>
                <w:rFonts w:hint="eastAsia" w:ascii="宋体" w:hAnsi="宋体" w:eastAsia="宋体" w:cs="宋体"/>
                <w:color w:val="auto"/>
                <w:kern w:val="2"/>
                <w:sz w:val="24"/>
                <w:szCs w:val="24"/>
                <w:lang w:eastAsia="zh-CN"/>
              </w:rPr>
            </w:pPr>
          </w:p>
        </w:tc>
      </w:tr>
      <w:tr w14:paraId="1BED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7" w:type="pct"/>
            <w:vAlign w:val="center"/>
          </w:tcPr>
          <w:p w14:paraId="77358701">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4</w:t>
            </w:r>
          </w:p>
        </w:tc>
        <w:tc>
          <w:tcPr>
            <w:tcW w:w="917" w:type="pct"/>
            <w:vAlign w:val="center"/>
          </w:tcPr>
          <w:p w14:paraId="60D3FCF7">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交换机</w:t>
            </w:r>
          </w:p>
        </w:tc>
        <w:tc>
          <w:tcPr>
            <w:tcW w:w="2832" w:type="pct"/>
            <w:vAlign w:val="center"/>
          </w:tcPr>
          <w:p w14:paraId="4D25322F">
            <w:pPr>
              <w:kinsoku/>
              <w:spacing w:line="360" w:lineRule="auto"/>
              <w:ind w:firstLine="0" w:firstLineChars="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多口交换机，满足智慧化架设需求</w:t>
            </w:r>
          </w:p>
        </w:tc>
        <w:tc>
          <w:tcPr>
            <w:tcW w:w="502" w:type="pct"/>
            <w:vAlign w:val="center"/>
          </w:tcPr>
          <w:p w14:paraId="6C72A34D">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1台</w:t>
            </w:r>
          </w:p>
        </w:tc>
        <w:tc>
          <w:tcPr>
            <w:tcW w:w="379" w:type="pct"/>
            <w:vAlign w:val="center"/>
          </w:tcPr>
          <w:p w14:paraId="240557F3">
            <w:pPr>
              <w:kinsoku/>
              <w:spacing w:line="360" w:lineRule="auto"/>
              <w:ind w:firstLine="0" w:firstLineChars="0"/>
              <w:jc w:val="center"/>
              <w:rPr>
                <w:rFonts w:hint="eastAsia" w:ascii="宋体" w:hAnsi="宋体" w:eastAsia="宋体" w:cs="宋体"/>
                <w:color w:val="auto"/>
                <w:kern w:val="2"/>
                <w:sz w:val="24"/>
                <w:szCs w:val="24"/>
                <w:lang w:eastAsia="zh-CN"/>
              </w:rPr>
            </w:pPr>
          </w:p>
        </w:tc>
      </w:tr>
      <w:tr w14:paraId="0AC6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67" w:type="pct"/>
            <w:vAlign w:val="center"/>
          </w:tcPr>
          <w:p w14:paraId="67436B08">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w:t>
            </w:r>
          </w:p>
        </w:tc>
        <w:tc>
          <w:tcPr>
            <w:tcW w:w="917" w:type="pct"/>
            <w:vAlign w:val="center"/>
          </w:tcPr>
          <w:p w14:paraId="62AA6E98">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通信网关、服务器等</w:t>
            </w:r>
          </w:p>
        </w:tc>
        <w:tc>
          <w:tcPr>
            <w:tcW w:w="2832" w:type="pct"/>
            <w:vAlign w:val="center"/>
          </w:tcPr>
          <w:p w14:paraId="504B8FAA">
            <w:pPr>
              <w:kinsoku/>
              <w:spacing w:line="360" w:lineRule="auto"/>
              <w:ind w:firstLine="0" w:firstLineChars="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根据智能控制中心按需定制</w:t>
            </w:r>
          </w:p>
        </w:tc>
        <w:tc>
          <w:tcPr>
            <w:tcW w:w="502" w:type="pct"/>
            <w:vAlign w:val="center"/>
          </w:tcPr>
          <w:p w14:paraId="09FE51E8">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1项</w:t>
            </w:r>
          </w:p>
        </w:tc>
        <w:tc>
          <w:tcPr>
            <w:tcW w:w="379" w:type="pct"/>
            <w:vAlign w:val="center"/>
          </w:tcPr>
          <w:p w14:paraId="12123999">
            <w:pPr>
              <w:kinsoku/>
              <w:spacing w:line="360" w:lineRule="auto"/>
              <w:ind w:firstLine="0" w:firstLineChars="0"/>
              <w:jc w:val="center"/>
              <w:rPr>
                <w:rFonts w:hint="eastAsia" w:ascii="宋体" w:hAnsi="宋体" w:eastAsia="宋体" w:cs="宋体"/>
                <w:color w:val="auto"/>
                <w:kern w:val="2"/>
                <w:sz w:val="24"/>
                <w:szCs w:val="24"/>
                <w:lang w:eastAsia="zh-CN"/>
              </w:rPr>
            </w:pPr>
          </w:p>
        </w:tc>
      </w:tr>
      <w:tr w14:paraId="377E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67" w:type="pct"/>
            <w:vAlign w:val="center"/>
          </w:tcPr>
          <w:p w14:paraId="440694D0">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6</w:t>
            </w:r>
          </w:p>
        </w:tc>
        <w:tc>
          <w:tcPr>
            <w:tcW w:w="917" w:type="pct"/>
            <w:vAlign w:val="center"/>
          </w:tcPr>
          <w:p w14:paraId="3F7759C1">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机房装修</w:t>
            </w:r>
          </w:p>
        </w:tc>
        <w:tc>
          <w:tcPr>
            <w:tcW w:w="2832" w:type="pct"/>
            <w:vAlign w:val="center"/>
          </w:tcPr>
          <w:p w14:paraId="7142E4ED">
            <w:pPr>
              <w:kinsoku/>
              <w:spacing w:line="360" w:lineRule="auto"/>
              <w:ind w:firstLine="0" w:firstLineChars="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根据现场简单装修</w:t>
            </w:r>
          </w:p>
        </w:tc>
        <w:tc>
          <w:tcPr>
            <w:tcW w:w="502" w:type="pct"/>
            <w:vAlign w:val="center"/>
          </w:tcPr>
          <w:p w14:paraId="5844FA0C">
            <w:pPr>
              <w:kinsoku/>
              <w:spacing w:line="360" w:lineRule="auto"/>
              <w:ind w:firstLine="0" w:firstLineChars="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1项</w:t>
            </w:r>
          </w:p>
        </w:tc>
        <w:tc>
          <w:tcPr>
            <w:tcW w:w="379" w:type="pct"/>
            <w:vAlign w:val="center"/>
          </w:tcPr>
          <w:p w14:paraId="0BA4C8B2">
            <w:pPr>
              <w:kinsoku/>
              <w:spacing w:line="360" w:lineRule="auto"/>
              <w:ind w:firstLine="0" w:firstLineChars="0"/>
              <w:jc w:val="center"/>
              <w:rPr>
                <w:rFonts w:hint="eastAsia" w:ascii="宋体" w:hAnsi="宋体" w:eastAsia="宋体" w:cs="宋体"/>
                <w:color w:val="auto"/>
                <w:kern w:val="2"/>
                <w:sz w:val="24"/>
                <w:szCs w:val="24"/>
                <w:lang w:eastAsia="zh-CN"/>
              </w:rPr>
            </w:pPr>
          </w:p>
        </w:tc>
      </w:tr>
    </w:tbl>
    <w:p w14:paraId="742A35CD">
      <w:pPr>
        <w:kinsoku/>
        <w:spacing w:line="360" w:lineRule="auto"/>
        <w:ind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（2）运营服务期技术要求 </w:t>
      </w:r>
    </w:p>
    <w:p w14:paraId="2FD21FDC">
      <w:pPr>
        <w:kinsoku/>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本项目服务的质量标准详见《城市道路照明设计标准CJJ45-2015》、《城市道 </w:t>
      </w:r>
    </w:p>
    <w:p w14:paraId="2215103E">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路照明工程施工及验收规程》CJJ89-2012、《城市道路照明设施运行维护技术标 </w:t>
      </w:r>
    </w:p>
    <w:p w14:paraId="5D177927">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准》T/CMEA21-2021等的规定要求。</w:t>
      </w:r>
    </w:p>
    <w:p w14:paraId="710CA3E2">
      <w:pPr>
        <w:pStyle w:val="5"/>
        <w:spacing w:before="0" w:after="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智慧化路灯控制系统平台功能要求：</w:t>
      </w:r>
    </w:p>
    <w:p w14:paraId="53A7DC6F">
      <w:pPr>
        <w:kinsoku/>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）系统支持照明控制系统、地理信息系统、运维管理系统、智慧灯杆管理系统、照明资产 GIS 管理系统、照明能耗辅助决策系统、智慧照明移动 APP 系统、微信端系统等内容；</w:t>
      </w:r>
    </w:p>
    <w:p w14:paraId="735E8F23">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）系统驾驶舱包要求包含本次照明改造的基本要素信息，包括资产数据、能耗数据、现存故障数据、工单数据、告警信息等数据；</w:t>
      </w:r>
    </w:p>
    <w:p w14:paraId="3B637B4E">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开关和无极调光功能，根据光照度强弱程度自动统一开关灯，自动控制任意单灯的开、关灯、调光；状态查询功能，可查询任意路灯开关状态，异常状态主动上报；时间方案设置，可自由设定路灯控制设备的开关的时间方案，并支持光控自动启闭；能耗分析统计功能，可对路灯设备能耗数据进行统计分析；</w:t>
      </w:r>
    </w:p>
    <w:p w14:paraId="68A326EA">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）手机移动端功能：支持APP或微信小程序登录路灯智慧管理系统，实现对所有路灯进行智能管理。</w:t>
      </w:r>
    </w:p>
    <w:p w14:paraId="3E1F86FC">
      <w:pPr>
        <w:kinsoku/>
        <w:spacing w:line="360" w:lineRule="auto"/>
        <w:ind w:firstLine="0" w:firstLineChars="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（5）路灯智慧管理云平台系统及手机移动端系统（含系统端口、代码等核心关键信息）在能源托管期满后无偿交由采购人。</w:t>
      </w:r>
    </w:p>
    <w:p w14:paraId="6A49B235">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lang w:eastAsia="zh-CN"/>
        </w:rPr>
        <w:t>（6）定制，含云平台部署服务器。</w:t>
      </w:r>
    </w:p>
    <w:p w14:paraId="0609DDA8">
      <w:pPr>
        <w:pStyle w:val="3"/>
        <w:spacing w:before="0" w:after="0" w:line="360" w:lineRule="auto"/>
        <w:rPr>
          <w:rFonts w:hint="eastAsia" w:ascii="宋体" w:hAnsi="宋体" w:eastAsia="宋体" w:cs="宋体"/>
          <w:color w:val="auto"/>
          <w:spacing w:val="-1"/>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）维护服务要求：</w:t>
      </w:r>
    </w:p>
    <w:p w14:paraId="3FF5C1C3">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在托管运营服务期内，中标单位负责招标辖区范围内所有城区、新城区路灯灯具、灯杆、灯杆挂载灯笼国旗、市政道路沿线节日氛围照明、配电箱部分，以及公园与广场景观灯、城区楼宇亮化的照明设备、配电箱，新增路灯、景观灯设施的日常维护，确保招标范围内照明设施亮灯率达98%及以上；</w:t>
      </w:r>
    </w:p>
    <w:p w14:paraId="6282483B">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）制定合理的岗位责任制度、维护计划、巡视计划、安全操作规程、安全培训计划、制定应急工作预案等规章制度；</w:t>
      </w:r>
    </w:p>
    <w:p w14:paraId="472D20F3">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）做好巡查台账、维修保养台账、安全教育台账等台账的记录；</w:t>
      </w:r>
    </w:p>
    <w:p w14:paraId="76498AD3">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）维护工人着装规范、持证上岗。维护工人上班时必须穿戴安全帽，高空作业人员， 电气安装人员须持证上岗。自行解决安全作业问题并购买意外保险。在进行养护作业时必须认真负责， 并注意安全操作，如发生任 何意外，中标单位负责事故处理，一切费用都与采购人无关。</w:t>
      </w:r>
    </w:p>
    <w:p w14:paraId="479A70F0">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0000FF"/>
          <w:sz w:val="24"/>
          <w:szCs w:val="24"/>
          <w:highlight w:val="none"/>
          <w:lang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）因故障需要中标单位到现场处理的，接到管理单位通知后及时到达现场，一般故障处理 时间不超过24小时 。</w:t>
      </w:r>
    </w:p>
    <w:p w14:paraId="3ED2B62D">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）维护作业区间必须文明施工作业，严格按相关施工规范进行操作，设置明显的安全标志，警示灯等，采取措施、保证安全并减少对交通和住户等的干扰， 维护作业结 束后须保持现场的整洁，做到工完、料清、场清。</w:t>
      </w:r>
    </w:p>
    <w:p w14:paraId="18408573">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）配合管理单位做好投诉处理和回复工作。</w:t>
      </w:r>
    </w:p>
    <w:p w14:paraId="2444CDD9">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）完成与本项目有关的重大突击性、抢修性的工作任务。</w:t>
      </w:r>
    </w:p>
    <w:p w14:paraId="7261E39B">
      <w:pPr>
        <w:kinsoku/>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其他相关要求：</w:t>
      </w:r>
    </w:p>
    <w:p w14:paraId="756FF85B">
      <w:pPr>
        <w:kinsoku/>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）运维期内智慧路灯管理平台的使用期间及移交后确保正常运行且不收取任何费用。 合  同期满后，中标单位按照合同约定向业主方移交项目得所有设备、 系统及相关技术档案资料所 有权均无偿移交招标人</w:t>
      </w:r>
      <w:r>
        <w:rPr>
          <w:rFonts w:hint="eastAsia" w:ascii="宋体" w:hAnsi="宋体" w:eastAsia="宋体" w:cs="宋体"/>
          <w:color w:val="auto"/>
          <w:sz w:val="24"/>
          <w:szCs w:val="24"/>
          <w:highlight w:val="none"/>
          <w:lang w:val="en-US" w:eastAsia="zh-CN"/>
        </w:rPr>
        <w:t>.</w:t>
      </w:r>
    </w:p>
    <w:p w14:paraId="14BBF81A">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运维期内，负责改造范围内的灯若有损坏的，由中标单位负责更换。</w:t>
      </w:r>
    </w:p>
    <w:p w14:paraId="3BF93674">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）运维期内， 负责改造范围内的单灯控制器及相对应的通信设备若有损坏由中标单位负 。</w:t>
      </w:r>
    </w:p>
    <w:p w14:paraId="1EA1A180">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）项目托管期限届满前1个月，节能服务公司要按照合同约定，对能源资源系统进行全面   检修，保证用能设备设施完整且正常运行。公共机构宜委托第三方机构开展托管项目整体效果评 估，并出具评估报告。合同能源管理服务期满后, 自采购人和中标人双方确认运维期满后正式移交之日起，延续产品免费质保期12 个月，期间凡出现质量问题的设备由中标人负责免费更换。</w:t>
      </w:r>
    </w:p>
    <w:p w14:paraId="534C1ACD">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）道路照明节能改造均应符合《城市道路照明设计标准》（CJJ45-2015）《道路与街路 照明灯具安全要求》 （GB 7000.5-2016） 等标准规定要求；选用的节能控制装置必须符合国 家有关安全、 技术性能标准。</w:t>
      </w:r>
    </w:p>
    <w:p w14:paraId="2E204D63">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）合同能源管理运行期间，路灯缴纳电费价格调整，在现行电价基础上±</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%以内， 不予 增减合同能源管理经费，电费价格调整大于等于±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%，按照实际电价进行调整。（即：</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%电费一并计算）。</w:t>
      </w:r>
    </w:p>
    <w:p w14:paraId="75010129">
      <w:pPr>
        <w:kinsoku/>
        <w:spacing w:line="360" w:lineRule="auto"/>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）中标企业需每年定期负责现场路灯的绝缘电阻测试，对不达标的及时更换，最终达到国标要求。</w:t>
      </w:r>
    </w:p>
    <w:p w14:paraId="2CA4E1FE">
      <w:pPr>
        <w:kinsoku/>
        <w:spacing w:line="360" w:lineRule="auto"/>
        <w:ind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（六）人员及岗位</w:t>
      </w:r>
      <w:r>
        <w:rPr>
          <w:rFonts w:hint="eastAsia" w:ascii="宋体" w:hAnsi="宋体" w:eastAsia="宋体" w:cs="宋体"/>
          <w:b/>
          <w:bCs/>
          <w:color w:val="auto"/>
          <w:sz w:val="24"/>
          <w:szCs w:val="24"/>
          <w:lang w:eastAsia="zh-CN"/>
        </w:rPr>
        <w:t>要求:</w:t>
      </w:r>
    </w:p>
    <w:p w14:paraId="32613805">
      <w:pPr>
        <w:kinsoku/>
        <w:spacing w:line="360" w:lineRule="auto"/>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根据本项目路灯管养情况</w:t>
      </w:r>
      <w:r>
        <w:rPr>
          <w:rFonts w:hint="eastAsia" w:ascii="宋体" w:hAnsi="宋体" w:eastAsia="宋体" w:cs="宋体"/>
          <w:color w:val="auto"/>
          <w:sz w:val="24"/>
          <w:szCs w:val="24"/>
          <w:lang w:val="en-US" w:eastAsia="zh-CN"/>
        </w:rPr>
        <w:t>及质量</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eastAsia="zh-CN"/>
        </w:rPr>
        <w:t>位应结合实际情况合理安排作业岗位、人员。</w:t>
      </w:r>
    </w:p>
    <w:p w14:paraId="23AD7E27">
      <w:pPr>
        <w:kinsoku/>
        <w:spacing w:line="360" w:lineRule="auto"/>
        <w:ind w:firstLine="576" w:firstLineChars="24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具体岗位人员配备见下表：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2944"/>
        <w:gridCol w:w="2877"/>
        <w:gridCol w:w="2797"/>
      </w:tblGrid>
      <w:tr w14:paraId="1FA2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14:paraId="637EC758">
            <w:pPr>
              <w:kinsoku/>
              <w:spacing w:line="360" w:lineRule="auto"/>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494" w:type="pct"/>
            <w:tcBorders>
              <w:top w:val="single" w:color="auto" w:sz="4" w:space="0"/>
              <w:left w:val="single" w:color="auto" w:sz="4" w:space="0"/>
              <w:bottom w:val="single" w:color="auto" w:sz="4" w:space="0"/>
              <w:right w:val="single" w:color="auto" w:sz="4" w:space="0"/>
            </w:tcBorders>
            <w:vAlign w:val="center"/>
          </w:tcPr>
          <w:p w14:paraId="6CA00DCE">
            <w:pPr>
              <w:kinsoku/>
              <w:spacing w:line="360" w:lineRule="auto"/>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岗位名称</w:t>
            </w:r>
          </w:p>
        </w:tc>
        <w:tc>
          <w:tcPr>
            <w:tcW w:w="1460" w:type="pct"/>
            <w:tcBorders>
              <w:top w:val="single" w:color="auto" w:sz="4" w:space="0"/>
              <w:left w:val="single" w:color="auto" w:sz="4" w:space="0"/>
              <w:bottom w:val="single" w:color="auto" w:sz="4" w:space="0"/>
              <w:right w:val="single" w:color="auto" w:sz="4" w:space="0"/>
            </w:tcBorders>
            <w:vAlign w:val="center"/>
          </w:tcPr>
          <w:p w14:paraId="529E9064">
            <w:pPr>
              <w:kinsoku/>
              <w:spacing w:line="360" w:lineRule="auto"/>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人员数量</w:t>
            </w:r>
            <w:r>
              <w:rPr>
                <w:rFonts w:hint="eastAsia" w:ascii="宋体" w:hAnsi="宋体" w:eastAsia="宋体" w:cs="宋体"/>
                <w:b w:val="0"/>
                <w:bCs/>
                <w:color w:val="auto"/>
                <w:sz w:val="24"/>
                <w:szCs w:val="24"/>
                <w:lang w:eastAsia="zh-CN"/>
              </w:rPr>
              <w:t>（人）</w:t>
            </w:r>
          </w:p>
        </w:tc>
        <w:tc>
          <w:tcPr>
            <w:tcW w:w="1419" w:type="pct"/>
            <w:tcBorders>
              <w:top w:val="single" w:color="auto" w:sz="4" w:space="0"/>
              <w:left w:val="single" w:color="auto" w:sz="4" w:space="0"/>
              <w:bottom w:val="single" w:color="auto" w:sz="4" w:space="0"/>
              <w:right w:val="single" w:color="auto" w:sz="4" w:space="0"/>
            </w:tcBorders>
            <w:vAlign w:val="center"/>
          </w:tcPr>
          <w:p w14:paraId="2A54DACE">
            <w:pPr>
              <w:kinsoku/>
              <w:spacing w:line="360" w:lineRule="auto"/>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备注</w:t>
            </w:r>
          </w:p>
        </w:tc>
      </w:tr>
      <w:tr w14:paraId="362D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14:paraId="655DF691">
            <w:pPr>
              <w:kinsoku/>
              <w:spacing w:line="360" w:lineRule="auto"/>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p>
        </w:tc>
        <w:tc>
          <w:tcPr>
            <w:tcW w:w="1494" w:type="pct"/>
            <w:tcBorders>
              <w:top w:val="single" w:color="auto" w:sz="4" w:space="0"/>
              <w:left w:val="single" w:color="auto" w:sz="4" w:space="0"/>
              <w:bottom w:val="single" w:color="auto" w:sz="4" w:space="0"/>
              <w:right w:val="single" w:color="auto" w:sz="4" w:space="0"/>
            </w:tcBorders>
            <w:vAlign w:val="center"/>
          </w:tcPr>
          <w:p w14:paraId="4D361330">
            <w:pPr>
              <w:kinsoku/>
              <w:spacing w:line="360" w:lineRule="auto"/>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项目负责人</w:t>
            </w:r>
          </w:p>
        </w:tc>
        <w:tc>
          <w:tcPr>
            <w:tcW w:w="1460" w:type="pct"/>
            <w:tcBorders>
              <w:top w:val="single" w:color="auto" w:sz="4" w:space="0"/>
              <w:left w:val="single" w:color="auto" w:sz="4" w:space="0"/>
              <w:bottom w:val="single" w:color="auto" w:sz="4" w:space="0"/>
              <w:right w:val="single" w:color="auto" w:sz="4" w:space="0"/>
            </w:tcBorders>
            <w:vAlign w:val="center"/>
          </w:tcPr>
          <w:p w14:paraId="5ABDE0F0">
            <w:pPr>
              <w:kinsoku/>
              <w:spacing w:line="360" w:lineRule="auto"/>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1</w:t>
            </w:r>
          </w:p>
        </w:tc>
        <w:tc>
          <w:tcPr>
            <w:tcW w:w="1419" w:type="pct"/>
            <w:tcBorders>
              <w:top w:val="single" w:color="auto" w:sz="4" w:space="0"/>
              <w:left w:val="single" w:color="auto" w:sz="4" w:space="0"/>
              <w:bottom w:val="single" w:color="auto" w:sz="4" w:space="0"/>
              <w:right w:val="single" w:color="auto" w:sz="4" w:space="0"/>
            </w:tcBorders>
            <w:vAlign w:val="center"/>
          </w:tcPr>
          <w:p w14:paraId="78BAA205">
            <w:pPr>
              <w:kinsoku/>
              <w:spacing w:line="360" w:lineRule="auto"/>
              <w:ind w:firstLine="0" w:firstLineChars="0"/>
              <w:jc w:val="center"/>
              <w:rPr>
                <w:rFonts w:hint="eastAsia" w:ascii="宋体" w:hAnsi="宋体" w:eastAsia="宋体" w:cs="宋体"/>
                <w:b w:val="0"/>
                <w:bCs/>
                <w:strike/>
                <w:color w:val="auto"/>
                <w:sz w:val="24"/>
                <w:szCs w:val="24"/>
                <w:lang w:eastAsia="zh-CN"/>
              </w:rPr>
            </w:pPr>
            <w:r>
              <w:rPr>
                <w:rFonts w:hint="eastAsia" w:ascii="宋体" w:hAnsi="宋体" w:eastAsia="宋体" w:cs="宋体"/>
                <w:b w:val="0"/>
                <w:bCs/>
                <w:color w:val="auto"/>
                <w:sz w:val="24"/>
                <w:szCs w:val="24"/>
                <w:lang w:val="en-US" w:eastAsia="zh-CN"/>
              </w:rPr>
              <w:t>项目建设期配备</w:t>
            </w:r>
          </w:p>
        </w:tc>
      </w:tr>
      <w:tr w14:paraId="69AE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14:paraId="7B5B6B21">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1494" w:type="pct"/>
            <w:tcBorders>
              <w:top w:val="single" w:color="auto" w:sz="4" w:space="0"/>
              <w:left w:val="single" w:color="auto" w:sz="4" w:space="0"/>
              <w:bottom w:val="single" w:color="auto" w:sz="4" w:space="0"/>
              <w:right w:val="single" w:color="auto" w:sz="4" w:space="0"/>
            </w:tcBorders>
            <w:vAlign w:val="center"/>
          </w:tcPr>
          <w:p w14:paraId="47F6258D">
            <w:pPr>
              <w:kinsoku/>
              <w:spacing w:line="360" w:lineRule="auto"/>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改造技术负责人</w:t>
            </w:r>
          </w:p>
        </w:tc>
        <w:tc>
          <w:tcPr>
            <w:tcW w:w="1460" w:type="pct"/>
            <w:tcBorders>
              <w:top w:val="single" w:color="auto" w:sz="4" w:space="0"/>
              <w:left w:val="single" w:color="auto" w:sz="4" w:space="0"/>
              <w:bottom w:val="single" w:color="auto" w:sz="4" w:space="0"/>
              <w:right w:val="single" w:color="auto" w:sz="4" w:space="0"/>
            </w:tcBorders>
            <w:vAlign w:val="center"/>
          </w:tcPr>
          <w:p w14:paraId="0025EC42">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419" w:type="pct"/>
            <w:tcBorders>
              <w:top w:val="single" w:color="auto" w:sz="4" w:space="0"/>
              <w:left w:val="single" w:color="auto" w:sz="4" w:space="0"/>
              <w:bottom w:val="single" w:color="auto" w:sz="4" w:space="0"/>
              <w:right w:val="single" w:color="auto" w:sz="4" w:space="0"/>
            </w:tcBorders>
            <w:vAlign w:val="center"/>
          </w:tcPr>
          <w:p w14:paraId="46436623">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项目建设期配备</w:t>
            </w:r>
          </w:p>
        </w:tc>
      </w:tr>
      <w:tr w14:paraId="1CA1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14:paraId="6388F69D">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1494" w:type="pct"/>
            <w:tcBorders>
              <w:top w:val="single" w:color="auto" w:sz="4" w:space="0"/>
              <w:left w:val="single" w:color="auto" w:sz="4" w:space="0"/>
              <w:bottom w:val="single" w:color="auto" w:sz="4" w:space="0"/>
              <w:right w:val="single" w:color="auto" w:sz="4" w:space="0"/>
            </w:tcBorders>
            <w:vAlign w:val="center"/>
          </w:tcPr>
          <w:p w14:paraId="5C52D105">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安全负责人</w:t>
            </w:r>
          </w:p>
        </w:tc>
        <w:tc>
          <w:tcPr>
            <w:tcW w:w="1460" w:type="pct"/>
            <w:tcBorders>
              <w:top w:val="single" w:color="auto" w:sz="4" w:space="0"/>
              <w:left w:val="single" w:color="auto" w:sz="4" w:space="0"/>
              <w:bottom w:val="single" w:color="auto" w:sz="4" w:space="0"/>
              <w:right w:val="single" w:color="auto" w:sz="4" w:space="0"/>
            </w:tcBorders>
            <w:vAlign w:val="center"/>
          </w:tcPr>
          <w:p w14:paraId="60DA0E80">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1419" w:type="pct"/>
            <w:tcBorders>
              <w:top w:val="single" w:color="auto" w:sz="4" w:space="0"/>
              <w:left w:val="single" w:color="auto" w:sz="4" w:space="0"/>
              <w:bottom w:val="single" w:color="auto" w:sz="4" w:space="0"/>
              <w:right w:val="single" w:color="auto" w:sz="4" w:space="0"/>
            </w:tcBorders>
            <w:vAlign w:val="center"/>
          </w:tcPr>
          <w:p w14:paraId="7EEFC259">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项目建设期配备</w:t>
            </w:r>
          </w:p>
        </w:tc>
      </w:tr>
      <w:tr w14:paraId="7300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14:paraId="66EBE790">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1494" w:type="pct"/>
            <w:tcBorders>
              <w:top w:val="single" w:color="auto" w:sz="4" w:space="0"/>
              <w:left w:val="single" w:color="auto" w:sz="4" w:space="0"/>
              <w:bottom w:val="single" w:color="auto" w:sz="4" w:space="0"/>
              <w:right w:val="single" w:color="auto" w:sz="4" w:space="0"/>
            </w:tcBorders>
            <w:vAlign w:val="center"/>
          </w:tcPr>
          <w:p w14:paraId="25E51CD3">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改造施工人员</w:t>
            </w:r>
          </w:p>
        </w:tc>
        <w:tc>
          <w:tcPr>
            <w:tcW w:w="1460" w:type="pct"/>
            <w:tcBorders>
              <w:top w:val="single" w:color="auto" w:sz="4" w:space="0"/>
              <w:left w:val="single" w:color="auto" w:sz="4" w:space="0"/>
              <w:bottom w:val="single" w:color="auto" w:sz="4" w:space="0"/>
              <w:right w:val="single" w:color="auto" w:sz="4" w:space="0"/>
            </w:tcBorders>
            <w:vAlign w:val="center"/>
          </w:tcPr>
          <w:p w14:paraId="7127751A">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1419" w:type="pct"/>
            <w:tcBorders>
              <w:top w:val="single" w:color="auto" w:sz="4" w:space="0"/>
              <w:left w:val="single" w:color="auto" w:sz="4" w:space="0"/>
              <w:bottom w:val="single" w:color="auto" w:sz="4" w:space="0"/>
              <w:right w:val="single" w:color="auto" w:sz="4" w:space="0"/>
            </w:tcBorders>
            <w:vAlign w:val="center"/>
          </w:tcPr>
          <w:p w14:paraId="48F6078E">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改造期配备</w:t>
            </w:r>
          </w:p>
        </w:tc>
      </w:tr>
      <w:tr w14:paraId="419F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14:paraId="551E3498">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1494" w:type="pct"/>
            <w:tcBorders>
              <w:top w:val="single" w:color="auto" w:sz="4" w:space="0"/>
              <w:left w:val="single" w:color="auto" w:sz="4" w:space="0"/>
              <w:bottom w:val="single" w:color="auto" w:sz="4" w:space="0"/>
              <w:right w:val="single" w:color="auto" w:sz="4" w:space="0"/>
            </w:tcBorders>
            <w:vAlign w:val="center"/>
          </w:tcPr>
          <w:p w14:paraId="42F14943">
            <w:pPr>
              <w:kinsoku/>
              <w:spacing w:line="360" w:lineRule="auto"/>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运维技术主管</w:t>
            </w:r>
          </w:p>
        </w:tc>
        <w:tc>
          <w:tcPr>
            <w:tcW w:w="1460" w:type="pct"/>
            <w:tcBorders>
              <w:top w:val="single" w:color="auto" w:sz="4" w:space="0"/>
              <w:left w:val="single" w:color="auto" w:sz="4" w:space="0"/>
              <w:bottom w:val="single" w:color="auto" w:sz="4" w:space="0"/>
              <w:right w:val="single" w:color="auto" w:sz="4" w:space="0"/>
            </w:tcBorders>
            <w:vAlign w:val="center"/>
          </w:tcPr>
          <w:p w14:paraId="7954C8C9">
            <w:pPr>
              <w:kinsoku/>
              <w:spacing w:line="360" w:lineRule="auto"/>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1</w:t>
            </w:r>
          </w:p>
        </w:tc>
        <w:tc>
          <w:tcPr>
            <w:tcW w:w="1419" w:type="pct"/>
            <w:tcBorders>
              <w:top w:val="single" w:color="auto" w:sz="4" w:space="0"/>
              <w:left w:val="single" w:color="auto" w:sz="4" w:space="0"/>
              <w:bottom w:val="single" w:color="auto" w:sz="4" w:space="0"/>
              <w:right w:val="single" w:color="auto" w:sz="4" w:space="0"/>
            </w:tcBorders>
            <w:vAlign w:val="center"/>
          </w:tcPr>
          <w:p w14:paraId="0B7A2A1E">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运维期配备</w:t>
            </w:r>
          </w:p>
        </w:tc>
      </w:tr>
      <w:tr w14:paraId="538A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7" w:type="pct"/>
            <w:tcBorders>
              <w:top w:val="single" w:color="auto" w:sz="4" w:space="0"/>
              <w:left w:val="single" w:color="auto" w:sz="4" w:space="0"/>
              <w:bottom w:val="single" w:color="auto" w:sz="4" w:space="0"/>
              <w:right w:val="single" w:color="auto" w:sz="4" w:space="0"/>
            </w:tcBorders>
            <w:vAlign w:val="center"/>
          </w:tcPr>
          <w:p w14:paraId="479634EC">
            <w:pPr>
              <w:kinsoku/>
              <w:spacing w:line="360" w:lineRule="auto"/>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6</w:t>
            </w:r>
          </w:p>
        </w:tc>
        <w:tc>
          <w:tcPr>
            <w:tcW w:w="1494" w:type="pct"/>
            <w:tcBorders>
              <w:top w:val="single" w:color="auto" w:sz="4" w:space="0"/>
              <w:left w:val="single" w:color="auto" w:sz="4" w:space="0"/>
              <w:bottom w:val="single" w:color="auto" w:sz="4" w:space="0"/>
              <w:right w:val="single" w:color="auto" w:sz="4" w:space="0"/>
            </w:tcBorders>
            <w:vAlign w:val="center"/>
          </w:tcPr>
          <w:p w14:paraId="64B1BB03">
            <w:pPr>
              <w:kinsoku/>
              <w:spacing w:line="360" w:lineRule="auto"/>
              <w:ind w:firstLine="0" w:firstLineChars="0"/>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运维人员</w:t>
            </w:r>
          </w:p>
        </w:tc>
        <w:tc>
          <w:tcPr>
            <w:tcW w:w="1460" w:type="pct"/>
            <w:tcBorders>
              <w:top w:val="single" w:color="auto" w:sz="4" w:space="0"/>
              <w:left w:val="single" w:color="auto" w:sz="4" w:space="0"/>
              <w:bottom w:val="single" w:color="auto" w:sz="4" w:space="0"/>
              <w:right w:val="single" w:color="auto" w:sz="4" w:space="0"/>
            </w:tcBorders>
            <w:vAlign w:val="center"/>
          </w:tcPr>
          <w:p w14:paraId="0539E343">
            <w:pPr>
              <w:kinsoku/>
              <w:spacing w:line="360" w:lineRule="auto"/>
              <w:ind w:firstLine="0" w:firstLineChars="0"/>
              <w:jc w:val="center"/>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5</w:t>
            </w:r>
          </w:p>
        </w:tc>
        <w:tc>
          <w:tcPr>
            <w:tcW w:w="1419" w:type="pct"/>
            <w:tcBorders>
              <w:top w:val="single" w:color="auto" w:sz="4" w:space="0"/>
              <w:left w:val="single" w:color="auto" w:sz="4" w:space="0"/>
              <w:bottom w:val="single" w:color="auto" w:sz="4" w:space="0"/>
              <w:right w:val="single" w:color="auto" w:sz="4" w:space="0"/>
            </w:tcBorders>
          </w:tcPr>
          <w:p w14:paraId="6F14B96D">
            <w:pPr>
              <w:kinsoku/>
              <w:spacing w:line="360" w:lineRule="auto"/>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运维期配备</w:t>
            </w:r>
          </w:p>
        </w:tc>
      </w:tr>
    </w:tbl>
    <w:p w14:paraId="518088CC">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lang w:eastAsia="zh-CN"/>
        </w:rPr>
        <w:t>（1）中标单位在配备人员时，不得少于以上规定的最少配备人数。如配备的作业人员数量</w:t>
      </w:r>
      <w:r>
        <w:rPr>
          <w:rFonts w:hint="eastAsia" w:ascii="宋体" w:hAnsi="宋体" w:eastAsia="宋体" w:cs="宋体"/>
          <w:color w:val="auto"/>
          <w:sz w:val="24"/>
          <w:szCs w:val="24"/>
          <w:highlight w:val="none"/>
          <w:lang w:eastAsia="zh-CN"/>
        </w:rPr>
        <w:t>不足以保质保量的完成作业任务时应按实际需求无条件的增加作业人员配置。</w:t>
      </w:r>
    </w:p>
    <w:p w14:paraId="28A9E795">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（2）中标单位必须配备熟悉电脑操作并具有写作能力的人员配合做好本项目的 </w:t>
      </w:r>
    </w:p>
    <w:p w14:paraId="7DC9CE35">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资料报送和巡查管理工作，相关费用列入投标人投标报价由中标单位承担。</w:t>
      </w:r>
    </w:p>
    <w:p w14:paraId="3864BCC0">
      <w:pPr>
        <w:kinsoku/>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）人员素质要求：①热爱城管、路灯工作，责任心强；②身体健康；③司机须持有有效的驾驶</w:t>
      </w:r>
      <w:r>
        <w:rPr>
          <w:rFonts w:hint="eastAsia" w:ascii="宋体" w:hAnsi="宋体" w:eastAsia="宋体" w:cs="宋体"/>
          <w:color w:val="auto"/>
          <w:sz w:val="24"/>
          <w:szCs w:val="24"/>
          <w:highlight w:val="none"/>
          <w:lang w:val="en-US" w:eastAsia="zh-CN"/>
        </w:rPr>
        <w:t>证</w:t>
      </w:r>
      <w:r>
        <w:rPr>
          <w:rFonts w:hint="eastAsia" w:ascii="宋体" w:hAnsi="宋体" w:eastAsia="宋体" w:cs="宋体"/>
          <w:color w:val="auto"/>
          <w:sz w:val="24"/>
          <w:szCs w:val="24"/>
          <w:highlight w:val="none"/>
          <w:lang w:eastAsia="zh-CN"/>
        </w:rPr>
        <w:t>。</w:t>
      </w:r>
    </w:p>
    <w:p w14:paraId="1754D376">
      <w:pPr>
        <w:kinsoku/>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中标单位须在中标之日起20天内完成作业人员的招聘、体检、入职手续（或与现有人员转接劳动关系）和上岗培训，并做好作业服务交接。以上人员必须经专业培训才能上岗，并不得兼第二职业。中标单位须尽量保持作业人员岗位稳定，且每年度组织至少2次集中培训。 </w:t>
      </w:r>
    </w:p>
    <w:p w14:paraId="7330DEF2">
      <w:pPr>
        <w:kinsoku/>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（5）采购单位有权对中标单位招聘的人员和培训情况进行考察，如发现有不符合工作要求的人员，有权要求中标单位更换人员或重新培训。相关培训费用列入投 标人投标报价由中标单位承担。</w:t>
      </w:r>
    </w:p>
    <w:p w14:paraId="52AB9974">
      <w:pPr>
        <w:kinsoku/>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（6）投标人应根据本项目实际需要，自行聘用或任命具有相关工作经验的项目管理人员（包括项目负责人、办公文员、现场监管人员和办公车辆司机等），相关费用列入投标人投标报价由投标人承担。</w:t>
      </w:r>
    </w:p>
    <w:p w14:paraId="3D03E0A5">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lang w:eastAsia="zh-CN"/>
        </w:rPr>
      </w:pPr>
      <w:bookmarkStart w:id="65" w:name="_Toc172714889"/>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lang w:eastAsia="zh-CN"/>
        </w:rPr>
        <w:t>管理规定</w:t>
      </w:r>
    </w:p>
    <w:p w14:paraId="553A09E5">
      <w:pPr>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材料抽检规定</w:t>
      </w:r>
    </w:p>
    <w:p w14:paraId="440556A8">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在托管服务期内中，中标人所采用的维护材料必须为投标时所使用的品牌型号。采购人将不定期进行抽查，抽查方式如下：</w:t>
      </w:r>
    </w:p>
    <w:p w14:paraId="1DCDE97B">
      <w:pPr>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(1)在签订合同一个月内，中标人需向采购人提供设备材料的品牌清单用以备案；</w:t>
      </w:r>
    </w:p>
    <w:p w14:paraId="59E85F82">
      <w:pPr>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因电缆故障需要更换电缆的，由中标人现场拍照、填写更换电缆记录表报采购人审核，按照审核的施工方案进行施工。并且采购人将每月度不定期对现场所更换材料进行检查，中标人应对更换电缆等隐蔽工程拍照记录，以备采购人管理人员核对。更换材料的技术参数应与原状一致；</w:t>
      </w:r>
    </w:p>
    <w:p w14:paraId="7E91764D">
      <w:pPr>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(3)若发现擅自更改维护材料的规格，将按照监管考核办法进行扣分扣款，并责令更换并恢复原状。</w:t>
      </w:r>
    </w:p>
    <w:p w14:paraId="7304D1AB">
      <w:pPr>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设施损坏处理规定；</w:t>
      </w:r>
    </w:p>
    <w:p w14:paraId="4DBD12D0">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托管运维周期中，如因交通事故造成灯杆、灯具损坏或人为、施工损坏路灯设施的情况，中标人需及时协调相关责任人处理，采购人予以协助；对于交通事故造成灯杆、灯具、电缆损坏的，中标人需要及时协调当事人索赔并修复；人为或施工损坏造成路灯设施损坏的，中标人必须及时按照采购人要求协调相关责任人落实恢复工作。</w:t>
      </w:r>
    </w:p>
    <w:p w14:paraId="1F1A5C5C">
      <w:pPr>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lang w:eastAsia="zh-CN"/>
        </w:rPr>
      </w:pPr>
      <w:r>
        <w:rPr>
          <w:rFonts w:hint="eastAsia" w:ascii="宋体" w:hAnsi="宋体" w:eastAsia="宋体" w:cs="宋体"/>
          <w:b/>
          <w:bCs w:val="0"/>
          <w:color w:val="auto"/>
          <w:kern w:val="0"/>
          <w:sz w:val="24"/>
          <w:szCs w:val="24"/>
          <w:lang w:val="en-US" w:eastAsia="zh-CN"/>
        </w:rPr>
        <w:t>（八）</w:t>
      </w:r>
      <w:r>
        <w:rPr>
          <w:rFonts w:hint="eastAsia" w:ascii="宋体" w:hAnsi="宋体" w:eastAsia="宋体" w:cs="宋体"/>
          <w:b/>
          <w:color w:val="auto"/>
          <w:sz w:val="24"/>
          <w:szCs w:val="24"/>
          <w:lang w:eastAsia="zh-CN"/>
        </w:rPr>
        <w:t>后续服务要求：</w:t>
      </w:r>
    </w:p>
    <w:p w14:paraId="0E85DC55">
      <w:pPr>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1、根据招标文件要求，中标单位须在本项目</w:t>
      </w:r>
      <w:r>
        <w:rPr>
          <w:rFonts w:hint="eastAsia" w:ascii="宋体" w:hAnsi="宋体" w:eastAsia="宋体" w:cs="宋体"/>
          <w:color w:val="auto"/>
          <w:sz w:val="24"/>
          <w:szCs w:val="24"/>
          <w:lang w:val="en-US" w:eastAsia="zh-CN"/>
        </w:rPr>
        <w:t>签订合同</w:t>
      </w:r>
      <w:r>
        <w:rPr>
          <w:rFonts w:hint="eastAsia" w:ascii="宋体" w:hAnsi="宋体" w:eastAsia="宋体" w:cs="宋体"/>
          <w:color w:val="auto"/>
          <w:sz w:val="24"/>
          <w:szCs w:val="24"/>
          <w:lang w:eastAsia="zh-CN"/>
        </w:rPr>
        <w:t>之日起20天内按要求聘用人员、开展人员培训、配备作业机具并完成作业服务交接工作。</w:t>
      </w:r>
    </w:p>
    <w:p w14:paraId="56E606EC">
      <w:pPr>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中标单位必须落实安全生产措施，且应按采购单位的要求，为上岗工人配置统一的专用维护工作服和反光袖套，自行解决安全作业问题。在进行维护作业时必须认真负责，并注意安全操作。如发生任何意外，中标单位负责事故处理的一切费用和全部法律责任，采购单位不承担任何费用和任何法律责任。</w:t>
      </w:r>
    </w:p>
    <w:p w14:paraId="39B6C6C0">
      <w:pPr>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3、中标单位如在克州阿图什市城区内没有办公场所的</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在克州阿图什市城区范围内设立项目管理人员</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办公场所，并在管</w:t>
      </w:r>
      <w:r>
        <w:rPr>
          <w:rFonts w:hint="eastAsia" w:ascii="宋体" w:hAnsi="宋体" w:eastAsia="宋体" w:cs="宋体"/>
          <w:color w:val="auto"/>
          <w:sz w:val="24"/>
          <w:szCs w:val="24"/>
          <w:lang w:val="en-US" w:eastAsia="zh-CN"/>
        </w:rPr>
        <w:t>养</w:t>
      </w:r>
      <w:r>
        <w:rPr>
          <w:rFonts w:hint="eastAsia" w:ascii="宋体" w:hAnsi="宋体" w:eastAsia="宋体" w:cs="宋体"/>
          <w:color w:val="auto"/>
          <w:sz w:val="24"/>
          <w:szCs w:val="24"/>
          <w:lang w:eastAsia="zh-CN"/>
        </w:rPr>
        <w:t>范围 20公里内设有常驻的售后服务</w:t>
      </w:r>
      <w:r>
        <w:rPr>
          <w:rFonts w:hint="eastAsia" w:ascii="宋体" w:hAnsi="宋体" w:eastAsia="宋体" w:cs="宋体"/>
          <w:color w:val="auto"/>
          <w:sz w:val="24"/>
          <w:szCs w:val="24"/>
          <w:lang w:val="en-US" w:eastAsia="zh-CN"/>
        </w:rPr>
        <w:t>网点（包括联系电话、联系人、地址、店名）</w:t>
      </w:r>
      <w:r>
        <w:rPr>
          <w:rFonts w:hint="eastAsia" w:ascii="宋体" w:hAnsi="宋体" w:eastAsia="宋体" w:cs="宋体"/>
          <w:color w:val="auto"/>
          <w:sz w:val="24"/>
          <w:szCs w:val="24"/>
          <w:lang w:eastAsia="zh-CN"/>
        </w:rPr>
        <w:t>，基地面积不小于200平方米。中标单位必须在签订合同日起20天内设立运作，办公场所、办公设备、日常用品和水电等费用由中标单位</w:t>
      </w:r>
      <w:r>
        <w:rPr>
          <w:rFonts w:hint="eastAsia" w:ascii="宋体" w:hAnsi="宋体" w:eastAsia="宋体" w:cs="宋体"/>
          <w:color w:val="auto"/>
          <w:sz w:val="24"/>
          <w:szCs w:val="24"/>
          <w:lang w:val="en-US" w:eastAsia="zh-CN"/>
        </w:rPr>
        <w:t>自行</w:t>
      </w:r>
      <w:r>
        <w:rPr>
          <w:rFonts w:hint="eastAsia" w:ascii="宋体" w:hAnsi="宋体" w:eastAsia="宋体" w:cs="宋体"/>
          <w:color w:val="auto"/>
          <w:sz w:val="24"/>
          <w:szCs w:val="24"/>
          <w:lang w:eastAsia="zh-CN"/>
        </w:rPr>
        <w:t>承担。</w:t>
      </w:r>
    </w:p>
    <w:p w14:paraId="508752E5">
      <w:pPr>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color w:val="auto"/>
          <w:sz w:val="24"/>
          <w:szCs w:val="24"/>
          <w:lang w:eastAsia="zh-CN"/>
        </w:rPr>
        <w:t>4、中标单位须自行解决所聘用作业和项目管理人员的住宿、用餐场所并承担相关管理责任和费用支出。</w:t>
      </w:r>
      <w:r>
        <w:rPr>
          <w:rFonts w:hint="eastAsia" w:ascii="宋体" w:hAnsi="宋体" w:eastAsia="宋体" w:cs="宋体"/>
          <w:bCs/>
          <w:color w:val="auto"/>
          <w:kern w:val="0"/>
          <w:sz w:val="24"/>
          <w:szCs w:val="24"/>
          <w:lang w:val="en-US" w:eastAsia="zh-CN"/>
        </w:rPr>
        <w:t xml:space="preserve"> </w:t>
      </w:r>
    </w:p>
    <w:p w14:paraId="4BACE797">
      <w:pPr>
        <w:keepNext w:val="0"/>
        <w:keepLines w:val="0"/>
        <w:pageBreakBefore w:val="0"/>
        <w:widowControl/>
        <w:suppressLineNumbers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lang w:val="en-US" w:eastAsia="zh-CN"/>
        </w:rPr>
        <w:t xml:space="preserve">5、处理问题响应时间：承诺10分钟内响应，接到通知后30分钟内到达采购人指定现场提供服务。 </w:t>
      </w:r>
    </w:p>
    <w:bookmarkEnd w:id="65"/>
    <w:p w14:paraId="2B527609">
      <w:pPr>
        <w:pStyle w:val="3"/>
        <w:kinsoku/>
        <w:spacing w:before="0" w:after="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（九）相关费用</w:t>
      </w:r>
    </w:p>
    <w:p w14:paraId="3DF5E9AF">
      <w:pPr>
        <w:pStyle w:val="4"/>
        <w:kinsoku/>
        <w:spacing w:before="0" w:after="0"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（1）电费缴纳</w:t>
      </w:r>
    </w:p>
    <w:p w14:paraId="48CDF881">
      <w:pPr>
        <w:kinsoku/>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在10年日常运营维护期内，中标单位负责招标辖区范围内城区路灯、新城区路灯、路灯杆挂载灯笼国旗、市政道路沿线节日氛围照明、公园与广场景观灯、楼宇亮化的电费代缴。</w:t>
      </w:r>
    </w:p>
    <w:p w14:paraId="67088A21">
      <w:pPr>
        <w:pStyle w:val="4"/>
        <w:kinsoku/>
        <w:spacing w:before="0" w:after="0" w:line="288"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（2）日常运营维护</w:t>
      </w:r>
    </w:p>
    <w:p w14:paraId="500C80EC">
      <w:pPr>
        <w:kinsoku/>
        <w:spacing w:line="360" w:lineRule="auto"/>
        <w:ind w:firstLine="48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在10年日常运营维护期内，中标单位负责招标辖区范围内所有城区、新城区路灯灯具、灯杆、灯杆挂载灯笼国旗、市政道路沿线节日氛围照明、配电箱部分，以及公园与广场景观灯、城区楼宇亮化的照明设备、配电箱。同时需确保照明设施亮灯率98%及以上，合同期内道路照明智慧应满足城市道路照明设计标准《CJJ45-2015》的要求。此外中标单位有义务配合采购人完成与本项目相关的重大突击性、抢修性的工作任务。</w:t>
      </w:r>
    </w:p>
    <w:p w14:paraId="19415E0C">
      <w:pPr>
        <w:pStyle w:val="4"/>
        <w:kinsoku/>
        <w:spacing w:before="0" w:after="0"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（3）新增设施的日常运维维护费及电费</w:t>
      </w:r>
    </w:p>
    <w:p w14:paraId="4368DEB3">
      <w:pPr>
        <w:kinsoku/>
        <w:spacing w:line="360" w:lineRule="auto"/>
        <w:ind w:firstLine="48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本项目辖区范围内新增照明设施维护由中标单位承担，新增照明设施维护费按预算金额*政府审定新增照明设施维护费计取。每年增长机制按照设施增量相应增加：市财政根据设施养护经费标准和养护的设施量安排年度预算，按照此标准，确保新增部分设施正常运行，主次干道亮灯率达到98%以上。</w:t>
      </w:r>
    </w:p>
    <w:p w14:paraId="56D359BC">
      <w:pPr>
        <w:kinsoku/>
        <w:spacing w:line="360" w:lineRule="auto"/>
        <w:ind w:firstLine="48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2、新增路灯、景观灯电费的</w:t>
      </w:r>
      <w:bookmarkStart w:id="66" w:name="_Hlk198650148"/>
      <w:r>
        <w:rPr>
          <w:rFonts w:hint="eastAsia" w:ascii="宋体" w:hAnsi="宋体" w:eastAsia="宋体" w:cs="宋体"/>
          <w:b w:val="0"/>
          <w:bCs w:val="0"/>
          <w:color w:val="auto"/>
          <w:sz w:val="24"/>
          <w:szCs w:val="24"/>
          <w:lang w:eastAsia="zh-CN"/>
        </w:rPr>
        <w:t>缴纳</w:t>
      </w:r>
      <w:bookmarkEnd w:id="66"/>
      <w:r>
        <w:rPr>
          <w:rFonts w:hint="eastAsia" w:ascii="宋体" w:hAnsi="宋体" w:eastAsia="宋体" w:cs="宋体"/>
          <w:b w:val="0"/>
          <w:bCs w:val="0"/>
          <w:color w:val="auto"/>
          <w:sz w:val="24"/>
          <w:szCs w:val="24"/>
          <w:lang w:eastAsia="zh-CN"/>
        </w:rPr>
        <w:t>：新增路灯、景观灯电费按新增设施的用电量支付给中标单位。</w:t>
      </w:r>
    </w:p>
    <w:p w14:paraId="011AE6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（十）照明设施维护考核方案</w:t>
      </w:r>
    </w:p>
    <w:p w14:paraId="17696FA1">
      <w:pPr>
        <w:kinsoku/>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一、维护要求：</w:t>
      </w:r>
    </w:p>
    <w:p w14:paraId="534B4483">
      <w:pPr>
        <w:kinsoku/>
        <w:spacing w:line="360" w:lineRule="auto"/>
        <w:ind w:firstLine="720" w:firstLineChars="300"/>
        <w:rPr>
          <w:rFonts w:ascii="宋体" w:hAnsi="宋体" w:eastAsia="宋体" w:cs="宋体"/>
          <w:b w:val="0"/>
          <w:bCs w:val="0"/>
          <w:color w:val="auto"/>
          <w:spacing w:val="-3"/>
          <w:sz w:val="24"/>
          <w:szCs w:val="24"/>
        </w:rPr>
      </w:pPr>
      <w:r>
        <w:rPr>
          <w:rFonts w:hint="eastAsia" w:ascii="宋体" w:hAnsi="宋体" w:eastAsia="宋体" w:cs="宋体"/>
          <w:b w:val="0"/>
          <w:bCs w:val="0"/>
          <w:color w:val="auto"/>
          <w:sz w:val="24"/>
          <w:szCs w:val="24"/>
          <w:lang w:val="en-US" w:eastAsia="zh-CN"/>
        </w:rPr>
        <w:t>1.</w:t>
      </w:r>
      <w:r>
        <w:rPr>
          <w:rFonts w:ascii="宋体" w:hAnsi="宋体" w:eastAsia="宋体" w:cs="宋体"/>
          <w:b w:val="0"/>
          <w:bCs w:val="0"/>
          <w:color w:val="auto"/>
          <w:sz w:val="24"/>
          <w:szCs w:val="24"/>
        </w:rPr>
        <w:t>合同能源管理项目中标企业应按照招标文件要求对招</w:t>
      </w:r>
      <w:r>
        <w:rPr>
          <w:rFonts w:ascii="宋体" w:hAnsi="宋体" w:eastAsia="宋体" w:cs="宋体"/>
          <w:b w:val="0"/>
          <w:bCs w:val="0"/>
          <w:color w:val="auto"/>
          <w:spacing w:val="-1"/>
          <w:sz w:val="24"/>
          <w:szCs w:val="24"/>
        </w:rPr>
        <w:t>标范围内的照明设施进行</w:t>
      </w:r>
      <w:r>
        <w:rPr>
          <w:rFonts w:ascii="宋体" w:hAnsi="宋体" w:eastAsia="宋体" w:cs="宋体"/>
          <w:b w:val="0"/>
          <w:bCs w:val="0"/>
          <w:color w:val="auto"/>
          <w:sz w:val="24"/>
          <w:szCs w:val="24"/>
        </w:rPr>
        <w:t xml:space="preserve"> </w:t>
      </w:r>
      <w:r>
        <w:rPr>
          <w:rFonts w:ascii="宋体" w:hAnsi="宋体" w:eastAsia="宋体" w:cs="宋体"/>
          <w:b w:val="0"/>
          <w:bCs w:val="0"/>
          <w:color w:val="auto"/>
          <w:spacing w:val="-3"/>
          <w:sz w:val="24"/>
          <w:szCs w:val="24"/>
        </w:rPr>
        <w:t>管理及维护。</w:t>
      </w:r>
    </w:p>
    <w:p w14:paraId="38050024">
      <w:pPr>
        <w:kinsoku/>
        <w:spacing w:line="360" w:lineRule="auto"/>
        <w:ind w:firstLine="714" w:firstLineChars="300"/>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2.</w:t>
      </w:r>
      <w:r>
        <w:rPr>
          <w:rFonts w:ascii="宋体" w:hAnsi="宋体" w:eastAsia="宋体" w:cs="宋体"/>
          <w:color w:val="auto"/>
          <w:spacing w:val="-1"/>
          <w:sz w:val="24"/>
          <w:szCs w:val="24"/>
        </w:rPr>
        <w:t>维护范围包括但不限于合同能源管理考核工作。</w:t>
      </w:r>
    </w:p>
    <w:p w14:paraId="2DEF0E9E">
      <w:pPr>
        <w:kinsoku/>
        <w:spacing w:line="360" w:lineRule="auto"/>
        <w:ind w:firstLine="714" w:firstLineChars="300"/>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w:t>
      </w:r>
      <w:r>
        <w:rPr>
          <w:rFonts w:ascii="宋体" w:hAnsi="宋体" w:eastAsia="宋体" w:cs="宋体"/>
          <w:color w:val="auto"/>
          <w:spacing w:val="-1"/>
          <w:sz w:val="24"/>
          <w:szCs w:val="24"/>
        </w:rPr>
        <w:t>合同能源管理项目中标企业应建立巡查、巡修、抢修制</w:t>
      </w:r>
      <w:r>
        <w:rPr>
          <w:rFonts w:ascii="宋体" w:hAnsi="宋体" w:eastAsia="宋体" w:cs="宋体"/>
          <w:color w:val="auto"/>
          <w:spacing w:val="-2"/>
          <w:sz w:val="24"/>
          <w:szCs w:val="24"/>
        </w:rPr>
        <w:t>度，落实专人以及巡查、</w:t>
      </w:r>
      <w:r>
        <w:rPr>
          <w:rFonts w:ascii="宋体" w:hAnsi="宋体" w:eastAsia="宋体" w:cs="宋体"/>
          <w:color w:val="auto"/>
          <w:sz w:val="24"/>
          <w:szCs w:val="24"/>
        </w:rPr>
        <w:t xml:space="preserve"> </w:t>
      </w:r>
      <w:r>
        <w:rPr>
          <w:rFonts w:ascii="宋体" w:hAnsi="宋体" w:eastAsia="宋体" w:cs="宋体"/>
          <w:color w:val="auto"/>
          <w:spacing w:val="-1"/>
          <w:sz w:val="24"/>
          <w:szCs w:val="24"/>
        </w:rPr>
        <w:t>巡修设备，提高故障发现、处理效率，保障设施的正常运行。</w:t>
      </w:r>
    </w:p>
    <w:p w14:paraId="5B860C34">
      <w:pPr>
        <w:spacing w:before="274" w:line="325" w:lineRule="auto"/>
        <w:ind w:left="8" w:right="256" w:firstLine="774" w:firstLineChars="328"/>
        <w:rPr>
          <w:rFonts w:ascii="宋体" w:hAnsi="宋体" w:eastAsia="宋体" w:cs="宋体"/>
          <w:color w:val="auto"/>
          <w:spacing w:val="-1"/>
          <w:sz w:val="24"/>
          <w:szCs w:val="24"/>
        </w:rPr>
      </w:pPr>
      <w:r>
        <w:rPr>
          <w:rFonts w:hint="eastAsia" w:ascii="宋体" w:hAnsi="宋体" w:eastAsia="宋体" w:cs="宋体"/>
          <w:color w:val="auto"/>
          <w:spacing w:val="-2"/>
          <w:sz w:val="24"/>
          <w:szCs w:val="24"/>
          <w:lang w:val="en-US" w:eastAsia="zh-CN"/>
        </w:rPr>
        <w:t>4.</w:t>
      </w:r>
      <w:r>
        <w:rPr>
          <w:rFonts w:ascii="宋体" w:hAnsi="宋体" w:eastAsia="宋体" w:cs="宋体"/>
          <w:color w:val="auto"/>
          <w:spacing w:val="-2"/>
          <w:sz w:val="24"/>
          <w:szCs w:val="24"/>
        </w:rPr>
        <w:t>合同能源管理项目中标企业应建立巡查，巡修档案台账，加强维护档案管理，</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每月30日前上报当月维护档案。</w:t>
      </w:r>
    </w:p>
    <w:p w14:paraId="38120117">
      <w:pPr>
        <w:spacing w:before="274" w:line="325" w:lineRule="auto"/>
        <w:ind w:left="8" w:right="256" w:firstLine="787" w:firstLineChars="328"/>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合同能源管理项目中标企业不得擅自改变城市照明设</w:t>
      </w:r>
      <w:r>
        <w:rPr>
          <w:rFonts w:ascii="宋体" w:hAnsi="宋体" w:eastAsia="宋体" w:cs="宋体"/>
          <w:color w:val="auto"/>
          <w:spacing w:val="-1"/>
          <w:sz w:val="24"/>
          <w:szCs w:val="24"/>
        </w:rPr>
        <w:t>施现状，确需变更的应事</w:t>
      </w:r>
      <w:r>
        <w:rPr>
          <w:rFonts w:ascii="宋体" w:hAnsi="宋体" w:eastAsia="宋体" w:cs="宋体"/>
          <w:color w:val="auto"/>
          <w:sz w:val="24"/>
          <w:szCs w:val="24"/>
        </w:rPr>
        <w:t xml:space="preserve"> </w:t>
      </w:r>
      <w:r>
        <w:rPr>
          <w:rFonts w:ascii="宋体" w:hAnsi="宋体" w:eastAsia="宋体" w:cs="宋体"/>
          <w:color w:val="auto"/>
          <w:spacing w:val="-2"/>
          <w:sz w:val="24"/>
          <w:szCs w:val="24"/>
        </w:rPr>
        <w:t>先书面报告</w:t>
      </w:r>
      <w:r>
        <w:rPr>
          <w:rFonts w:hint="eastAsia" w:ascii="宋体" w:hAnsi="宋体" w:eastAsia="宋体" w:cs="宋体"/>
          <w:color w:val="auto"/>
          <w:sz w:val="24"/>
          <w:szCs w:val="24"/>
          <w:highlight w:val="none"/>
          <w:lang w:val="en-US" w:eastAsia="zh-CN"/>
        </w:rPr>
        <w:t>阿图什市市政公用事业服务中心</w:t>
      </w:r>
      <w:r>
        <w:rPr>
          <w:rFonts w:ascii="宋体" w:hAnsi="宋体" w:eastAsia="宋体" w:cs="宋体"/>
          <w:color w:val="auto"/>
          <w:spacing w:val="-2"/>
          <w:sz w:val="24"/>
          <w:szCs w:val="24"/>
        </w:rPr>
        <w:t>批准。</w:t>
      </w:r>
    </w:p>
    <w:p w14:paraId="4824E6A9">
      <w:pPr>
        <w:spacing w:before="274" w:line="325" w:lineRule="auto"/>
        <w:ind w:right="256" w:firstLine="720" w:firstLineChars="300"/>
        <w:rPr>
          <w:rFonts w:ascii="宋体" w:hAnsi="宋体" w:eastAsia="宋体" w:cs="宋体"/>
          <w:color w:val="auto"/>
          <w:spacing w:val="-1"/>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合同能源管理项目中标企业因运行故障等特殊情况，</w:t>
      </w:r>
      <w:r>
        <w:rPr>
          <w:rFonts w:ascii="宋体" w:hAnsi="宋体" w:eastAsia="宋体" w:cs="宋体"/>
          <w:color w:val="auto"/>
          <w:spacing w:val="-1"/>
          <w:sz w:val="24"/>
          <w:szCs w:val="24"/>
        </w:rPr>
        <w:t>需在白天送电抢修的，提</w:t>
      </w:r>
      <w:r>
        <w:rPr>
          <w:rFonts w:ascii="宋体" w:hAnsi="宋体" w:eastAsia="宋体" w:cs="宋体"/>
          <w:color w:val="auto"/>
          <w:sz w:val="24"/>
          <w:szCs w:val="24"/>
        </w:rPr>
        <w:t xml:space="preserve"> </w:t>
      </w:r>
      <w:r>
        <w:rPr>
          <w:rFonts w:ascii="宋体" w:hAnsi="宋体" w:eastAsia="宋体" w:cs="宋体"/>
          <w:color w:val="auto"/>
          <w:spacing w:val="-1"/>
          <w:sz w:val="24"/>
          <w:szCs w:val="24"/>
        </w:rPr>
        <w:t>前向</w:t>
      </w:r>
      <w:r>
        <w:rPr>
          <w:rFonts w:hint="eastAsia" w:ascii="宋体" w:hAnsi="宋体" w:eastAsia="宋体" w:cs="宋体"/>
          <w:color w:val="auto"/>
          <w:sz w:val="24"/>
          <w:szCs w:val="24"/>
          <w:highlight w:val="none"/>
          <w:lang w:val="en-US" w:eastAsia="zh-CN"/>
        </w:rPr>
        <w:t>阿图什市市政公用事业服务中心</w:t>
      </w:r>
      <w:r>
        <w:rPr>
          <w:rFonts w:ascii="宋体" w:hAnsi="宋体" w:eastAsia="宋体" w:cs="宋体"/>
          <w:color w:val="auto"/>
          <w:spacing w:val="-1"/>
          <w:sz w:val="24"/>
          <w:szCs w:val="24"/>
        </w:rPr>
        <w:t>申请报备。</w:t>
      </w:r>
    </w:p>
    <w:p w14:paraId="7D4C4BF0">
      <w:pPr>
        <w:spacing w:before="274" w:line="325" w:lineRule="auto"/>
        <w:ind w:right="256" w:firstLine="720" w:firstLineChars="300"/>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城市照明设施上不得私拉乱接其他供用电设施，确需</w:t>
      </w:r>
      <w:r>
        <w:rPr>
          <w:rFonts w:ascii="宋体" w:hAnsi="宋体" w:eastAsia="宋体" w:cs="宋体"/>
          <w:color w:val="auto"/>
          <w:spacing w:val="-1"/>
          <w:sz w:val="24"/>
          <w:szCs w:val="24"/>
        </w:rPr>
        <w:t>在城市照明设施上接用其</w:t>
      </w:r>
      <w:r>
        <w:rPr>
          <w:rFonts w:ascii="宋体" w:hAnsi="宋体" w:eastAsia="宋体" w:cs="宋体"/>
          <w:color w:val="auto"/>
          <w:sz w:val="24"/>
          <w:szCs w:val="24"/>
        </w:rPr>
        <w:t xml:space="preserve"> </w:t>
      </w:r>
      <w:r>
        <w:rPr>
          <w:rFonts w:ascii="宋体" w:hAnsi="宋体" w:eastAsia="宋体" w:cs="宋体"/>
          <w:color w:val="auto"/>
          <w:spacing w:val="-1"/>
          <w:sz w:val="24"/>
          <w:szCs w:val="24"/>
        </w:rPr>
        <w:t>他供用电设施的，应事先书面报告</w:t>
      </w:r>
      <w:r>
        <w:rPr>
          <w:rFonts w:hint="eastAsia" w:ascii="宋体" w:hAnsi="宋体" w:eastAsia="宋体" w:cs="宋体"/>
          <w:color w:val="auto"/>
          <w:sz w:val="24"/>
          <w:szCs w:val="24"/>
          <w:highlight w:val="none"/>
          <w:lang w:val="en-US" w:eastAsia="zh-CN"/>
        </w:rPr>
        <w:t>阿图什市市政公用事业服务中心</w:t>
      </w:r>
      <w:r>
        <w:rPr>
          <w:rFonts w:ascii="宋体" w:hAnsi="宋体" w:eastAsia="宋体" w:cs="宋体"/>
          <w:color w:val="auto"/>
          <w:spacing w:val="-1"/>
          <w:sz w:val="24"/>
          <w:szCs w:val="24"/>
        </w:rPr>
        <w:t>批准。</w:t>
      </w:r>
    </w:p>
    <w:p w14:paraId="48B6EE55">
      <w:pPr>
        <w:spacing w:before="78" w:line="431" w:lineRule="auto"/>
        <w:ind w:left="13" w:right="40" w:firstLine="474"/>
        <w:jc w:val="both"/>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合同能源管理项目中标企业应严格执行社会承诺制</w:t>
      </w:r>
      <w:r>
        <w:rPr>
          <w:rFonts w:ascii="宋体" w:hAnsi="宋体" w:eastAsia="宋体" w:cs="宋体"/>
          <w:color w:val="auto"/>
          <w:spacing w:val="-1"/>
          <w:sz w:val="24"/>
          <w:szCs w:val="24"/>
        </w:rPr>
        <w:t>度，一般故障及时发现及</w:t>
      </w:r>
      <w:r>
        <w:rPr>
          <w:rFonts w:ascii="宋体" w:hAnsi="宋体" w:eastAsia="宋体" w:cs="宋体"/>
          <w:color w:val="auto"/>
          <w:sz w:val="24"/>
          <w:szCs w:val="24"/>
        </w:rPr>
        <w:t xml:space="preserve"> 时修复，复杂故障24小时至48小时内修复；确因期限</w:t>
      </w:r>
      <w:r>
        <w:rPr>
          <w:rFonts w:ascii="宋体" w:hAnsi="宋体" w:eastAsia="宋体" w:cs="宋体"/>
          <w:color w:val="auto"/>
          <w:spacing w:val="-1"/>
          <w:sz w:val="24"/>
          <w:szCs w:val="24"/>
        </w:rPr>
        <w:t>内无法完成修复的，及时向</w:t>
      </w:r>
      <w:r>
        <w:rPr>
          <w:rFonts w:hint="eastAsia" w:ascii="宋体" w:hAnsi="宋体" w:eastAsia="宋体" w:cs="宋体"/>
          <w:color w:val="auto"/>
          <w:sz w:val="24"/>
          <w:szCs w:val="24"/>
          <w:highlight w:val="none"/>
          <w:lang w:val="en-US" w:eastAsia="zh-CN"/>
        </w:rPr>
        <w:t>阿图什市市政公用事业服务中心</w:t>
      </w:r>
      <w:r>
        <w:rPr>
          <w:rFonts w:ascii="宋体" w:hAnsi="宋体" w:eastAsia="宋体" w:cs="宋体"/>
          <w:color w:val="auto"/>
          <w:spacing w:val="-1"/>
          <w:sz w:val="24"/>
          <w:szCs w:val="24"/>
        </w:rPr>
        <w:t>报告，并提出维修方案；其他交办事项应按时完成(以任务书规定时间为准)。</w:t>
      </w:r>
    </w:p>
    <w:p w14:paraId="3215C375">
      <w:pPr>
        <w:spacing w:line="430" w:lineRule="auto"/>
        <w:ind w:left="10" w:right="40" w:firstLine="480"/>
        <w:rPr>
          <w:rFonts w:ascii="宋体" w:hAnsi="宋体" w:eastAsia="宋体" w:cs="宋体"/>
          <w:color w:val="auto"/>
          <w:spacing w:val="-1"/>
          <w:sz w:val="24"/>
          <w:szCs w:val="24"/>
        </w:rPr>
      </w:pPr>
      <w:r>
        <w:rPr>
          <w:rFonts w:ascii="宋体" w:hAnsi="宋体" w:eastAsia="宋体" w:cs="宋体"/>
          <w:color w:val="auto"/>
          <w:sz w:val="24"/>
          <w:szCs w:val="24"/>
        </w:rPr>
        <w:t>涉及重大安全运行故障或突发事件，合同能源管理项目中标</w:t>
      </w:r>
      <w:r>
        <w:rPr>
          <w:rFonts w:ascii="宋体" w:hAnsi="宋体" w:eastAsia="宋体" w:cs="宋体"/>
          <w:color w:val="auto"/>
          <w:spacing w:val="-1"/>
          <w:sz w:val="24"/>
          <w:szCs w:val="24"/>
        </w:rPr>
        <w:t>企业应在接报30分钟内赶至</w:t>
      </w:r>
      <w:r>
        <w:rPr>
          <w:rFonts w:ascii="宋体" w:hAnsi="宋体" w:eastAsia="宋体" w:cs="宋体"/>
          <w:color w:val="auto"/>
          <w:sz w:val="24"/>
          <w:szCs w:val="24"/>
        </w:rPr>
        <w:t xml:space="preserve"> </w:t>
      </w:r>
      <w:r>
        <w:rPr>
          <w:rFonts w:ascii="宋体" w:hAnsi="宋体" w:eastAsia="宋体" w:cs="宋体"/>
          <w:color w:val="auto"/>
          <w:spacing w:val="-1"/>
          <w:sz w:val="24"/>
          <w:szCs w:val="24"/>
        </w:rPr>
        <w:t>现场组织处理，并及时回复处理结果。</w:t>
      </w:r>
    </w:p>
    <w:p w14:paraId="53FA5DD7">
      <w:pPr>
        <w:spacing w:line="430" w:lineRule="auto"/>
        <w:ind w:left="10" w:right="40" w:firstLine="480"/>
        <w:rPr>
          <w:rFonts w:ascii="宋体" w:hAnsi="宋体" w:eastAsia="宋体" w:cs="宋体"/>
          <w:color w:val="auto"/>
          <w:spacing w:val="-3"/>
          <w:sz w:val="24"/>
          <w:szCs w:val="24"/>
        </w:rPr>
      </w:pPr>
      <w:r>
        <w:rPr>
          <w:rFonts w:hint="eastAsia" w:ascii="宋体" w:hAnsi="宋体" w:eastAsia="宋体" w:cs="宋体"/>
          <w:color w:val="auto"/>
          <w:spacing w:val="-1"/>
          <w:sz w:val="24"/>
          <w:szCs w:val="24"/>
          <w:lang w:val="en-US" w:eastAsia="zh-CN"/>
        </w:rPr>
        <w:t>10.</w:t>
      </w:r>
      <w:r>
        <w:rPr>
          <w:rFonts w:ascii="宋体" w:hAnsi="宋体" w:eastAsia="宋体" w:cs="宋体"/>
          <w:color w:val="auto"/>
          <w:sz w:val="24"/>
          <w:szCs w:val="24"/>
        </w:rPr>
        <w:t>合同能源管理项目中标企业应切实履行安全生产主</w:t>
      </w:r>
      <w:r>
        <w:rPr>
          <w:rFonts w:ascii="宋体" w:hAnsi="宋体" w:eastAsia="宋体" w:cs="宋体"/>
          <w:color w:val="auto"/>
          <w:spacing w:val="-1"/>
          <w:sz w:val="24"/>
          <w:szCs w:val="24"/>
        </w:rPr>
        <w:t>体责任，做好城市照明设</w:t>
      </w:r>
      <w:r>
        <w:rPr>
          <w:rFonts w:ascii="宋体" w:hAnsi="宋体" w:eastAsia="宋体" w:cs="宋体"/>
          <w:color w:val="auto"/>
          <w:sz w:val="24"/>
          <w:szCs w:val="24"/>
        </w:rPr>
        <w:t xml:space="preserve"> 施安全管理工作，每月至少组织一次安全教育学习、安全检查、隐患</w:t>
      </w:r>
      <w:r>
        <w:rPr>
          <w:rFonts w:ascii="宋体" w:hAnsi="宋体" w:eastAsia="宋体" w:cs="宋体"/>
          <w:color w:val="auto"/>
          <w:spacing w:val="-1"/>
          <w:sz w:val="24"/>
          <w:szCs w:val="24"/>
        </w:rPr>
        <w:t>排查，并做好安全工作</w:t>
      </w:r>
      <w:r>
        <w:rPr>
          <w:rFonts w:ascii="宋体" w:hAnsi="宋体" w:eastAsia="宋体" w:cs="宋体"/>
          <w:color w:val="auto"/>
          <w:sz w:val="24"/>
          <w:szCs w:val="24"/>
        </w:rPr>
        <w:t xml:space="preserve"> </w:t>
      </w:r>
      <w:r>
        <w:rPr>
          <w:rFonts w:ascii="宋体" w:hAnsi="宋体" w:eastAsia="宋体" w:cs="宋体"/>
          <w:color w:val="auto"/>
          <w:spacing w:val="-3"/>
          <w:sz w:val="24"/>
          <w:szCs w:val="24"/>
        </w:rPr>
        <w:t>台账。</w:t>
      </w:r>
    </w:p>
    <w:p w14:paraId="782333C9">
      <w:pPr>
        <w:spacing w:line="430" w:lineRule="auto"/>
        <w:ind w:left="10" w:right="40" w:firstLine="480"/>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11.</w:t>
      </w:r>
      <w:r>
        <w:rPr>
          <w:rFonts w:ascii="宋体" w:hAnsi="宋体" w:eastAsia="宋体" w:cs="宋体"/>
          <w:color w:val="auto"/>
          <w:sz w:val="24"/>
          <w:szCs w:val="24"/>
        </w:rPr>
        <w:t>合同能源管理项目中标企业应建立应急保障机制，</w:t>
      </w:r>
      <w:r>
        <w:rPr>
          <w:rFonts w:ascii="宋体" w:hAnsi="宋体" w:eastAsia="宋体" w:cs="宋体"/>
          <w:color w:val="auto"/>
          <w:spacing w:val="-1"/>
          <w:sz w:val="24"/>
          <w:szCs w:val="24"/>
        </w:rPr>
        <w:t>编制应急预案，组织应急</w:t>
      </w:r>
      <w:r>
        <w:rPr>
          <w:rFonts w:ascii="宋体" w:hAnsi="宋体" w:eastAsia="宋体" w:cs="宋体"/>
          <w:color w:val="auto"/>
          <w:sz w:val="24"/>
          <w:szCs w:val="24"/>
        </w:rPr>
        <w:t xml:space="preserve"> 演练。遇重大节庆活动，防汛抗台、暴风雪等恶劣天气时，应启</w:t>
      </w:r>
      <w:r>
        <w:rPr>
          <w:rFonts w:ascii="宋体" w:hAnsi="宋体" w:eastAsia="宋体" w:cs="宋体"/>
          <w:color w:val="auto"/>
          <w:spacing w:val="-1"/>
          <w:sz w:val="24"/>
          <w:szCs w:val="24"/>
        </w:rPr>
        <w:t>动应急机制，增加设施巡检</w:t>
      </w:r>
      <w:r>
        <w:rPr>
          <w:rFonts w:ascii="宋体" w:hAnsi="宋体" w:eastAsia="宋体" w:cs="宋体"/>
          <w:color w:val="auto"/>
          <w:sz w:val="24"/>
          <w:szCs w:val="24"/>
        </w:rPr>
        <w:t xml:space="preserve"> </w:t>
      </w:r>
      <w:r>
        <w:rPr>
          <w:rFonts w:ascii="宋体" w:hAnsi="宋体" w:eastAsia="宋体" w:cs="宋体"/>
          <w:color w:val="auto"/>
          <w:spacing w:val="-1"/>
          <w:sz w:val="24"/>
          <w:szCs w:val="24"/>
        </w:rPr>
        <w:t>频次、加大隐患排查力度，做好应急保障工作。</w:t>
      </w:r>
    </w:p>
    <w:p w14:paraId="3A0584EB">
      <w:pPr>
        <w:spacing w:line="430" w:lineRule="auto"/>
        <w:ind w:right="4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二、考核：</w:t>
      </w:r>
    </w:p>
    <w:p w14:paraId="702CED7D">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1.考核按照《城市道路照明设施运行维护技术标准》（CT/CEMA21-2021）标准执行。</w:t>
      </w:r>
    </w:p>
    <w:p w14:paraId="657627CF">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2.合同能源管理项目中标企业保证改造后每条道路的照度不得低于国家标准 （CJJ45—2015）上限值并符合上级要求。如改造后照度低于国家标准上限值，每发现1处， 罚款1000元，给予整改机会，整改不合格的，双倍罚款，整改期间扣除所有应支付费用。</w:t>
      </w:r>
    </w:p>
    <w:p w14:paraId="1466E6B1">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需更换电缆开挖的位置（沥青路面、绿化带、人行道等其他设施）按照各职能部门的标准恢复原样。对相关设施造成损失的照价赔偿，未按规定时间及标准完成的由阿图什市市政公用事业服务中心委托第三方整改，所产生的费用由中标企业自行支付，并处罚金额5000元。</w:t>
      </w:r>
    </w:p>
    <w:p w14:paraId="117742F7">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4.日常检查中如发现不符行业规范和规定的行为，未落实阿图什市市政公用事业服务中心相关要求，情节严重的，约谈服务单位领导及负责人并下发工作提醒，按临时下派（应急）的工 作不给予配合，一次性扣10分。考核分值为综合考核的平均分值。</w:t>
      </w:r>
    </w:p>
    <w:p w14:paraId="5F004E36">
      <w:pPr>
        <w:kinsoku/>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highlight w:val="none"/>
          <w:lang w:val="en-US" w:eastAsia="zh-CN"/>
        </w:rPr>
        <w:t>服务期每月考核一次，采用联合检查和日常巡检相结合方式，每月至少组织1次联合检查。</w:t>
      </w:r>
    </w:p>
    <w:p w14:paraId="2A495FD7">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维护费用与每月度考核分数、等级挂钩，根据每月度考核的分数、等级，确定当月度服务维护费用（服务维护费用除以12）的数额，标准如下：90分以上为优秀，90-81分为良好，80-71分为合格，70分以下（含70分）为不合格。1、 每月度分值90分以上为优秀，当月服务费用不扣除。2、每月分值90-81分为良好，扣除5%的月度服务费用。3、每月分值80-71分为合格，扣除10%的月度服务费用。4、每月分值 70分（含70分）以下为不合格，按比例扣除15%以上服务费。5、每月分值低于70分（含70 分）为不合格，一年内六个月考核不合格，阿图什市市政公用事业服务中心建议人民政府取消服务单位服务资格，并扣除当月服务费用，同时终止服务合同。</w:t>
      </w:r>
    </w:p>
    <w:p w14:paraId="6F5E2169">
      <w:pPr>
        <w:kinsoku/>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三、附则</w:t>
      </w:r>
    </w:p>
    <w:p w14:paraId="32C6AAB3">
      <w:pPr>
        <w:kinsoku/>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附件：《照明设施维护月度考核评分细则》《楼宇亮化维保月度考核标准》《公园广场景区、庭院灯，路灯灯箱，天桥、小游园、树上亮化等维保月度考核标准》</w:t>
      </w:r>
    </w:p>
    <w:p w14:paraId="505BF329">
      <w:pPr>
        <w:pageBreakBefore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sz w:val="24"/>
          <w:szCs w:val="24"/>
          <w:lang w:val="en-US" w:eastAsia="zh-CN"/>
        </w:rPr>
      </w:pPr>
    </w:p>
    <w:p w14:paraId="70AA6B5D">
      <w:pPr>
        <w:pageBreakBefore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auto"/>
          <w:sz w:val="24"/>
          <w:szCs w:val="24"/>
          <w:lang w:val="en-US" w:eastAsia="zh-CN"/>
        </w:rPr>
      </w:pPr>
    </w:p>
    <w:p w14:paraId="65544FCD">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32"/>
          <w:szCs w:val="32"/>
          <w:lang w:val="en-US" w:eastAsia="zh-CN"/>
        </w:rPr>
        <w:t>照明设施维护月度考核评分细则</w:t>
      </w:r>
    </w:p>
    <w:p w14:paraId="3A9B6BDC">
      <w:pPr>
        <w:pageBreakBefore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考核标准：</w:t>
      </w:r>
    </w:p>
    <w:tbl>
      <w:tblPr>
        <w:tblStyle w:val="21"/>
        <w:tblW w:w="9720" w:type="dxa"/>
        <w:tblInd w:w="-3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975"/>
        <w:gridCol w:w="1050"/>
        <w:gridCol w:w="2512"/>
        <w:gridCol w:w="3233"/>
        <w:gridCol w:w="1350"/>
      </w:tblGrid>
      <w:tr w14:paraId="067F4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600" w:type="dxa"/>
            <w:vAlign w:val="top"/>
          </w:tcPr>
          <w:p w14:paraId="29BCD103">
            <w:pPr>
              <w:spacing w:before="224" w:line="230" w:lineRule="auto"/>
              <w:ind w:left="114"/>
              <w:jc w:val="center"/>
              <w:rPr>
                <w:rFonts w:ascii="宋体" w:hAnsi="宋体" w:eastAsia="宋体" w:cs="宋体"/>
                <w:color w:val="auto"/>
                <w:sz w:val="24"/>
                <w:szCs w:val="24"/>
              </w:rPr>
            </w:pPr>
            <w:r>
              <w:rPr>
                <w:rFonts w:ascii="宋体" w:hAnsi="宋体" w:eastAsia="宋体" w:cs="宋体"/>
                <w:b/>
                <w:bCs/>
                <w:color w:val="auto"/>
                <w:spacing w:val="4"/>
                <w:sz w:val="24"/>
                <w:szCs w:val="24"/>
              </w:rPr>
              <w:t>序号</w:t>
            </w:r>
          </w:p>
        </w:tc>
        <w:tc>
          <w:tcPr>
            <w:tcW w:w="2025" w:type="dxa"/>
            <w:gridSpan w:val="2"/>
            <w:vAlign w:val="top"/>
          </w:tcPr>
          <w:p w14:paraId="7AC039C6">
            <w:pPr>
              <w:spacing w:before="224" w:line="229" w:lineRule="auto"/>
              <w:ind w:left="110"/>
              <w:jc w:val="center"/>
              <w:rPr>
                <w:rFonts w:ascii="宋体" w:hAnsi="宋体" w:eastAsia="宋体" w:cs="宋体"/>
                <w:color w:val="auto"/>
                <w:sz w:val="24"/>
                <w:szCs w:val="24"/>
              </w:rPr>
            </w:pPr>
            <w:r>
              <w:rPr>
                <w:rFonts w:ascii="宋体" w:hAnsi="宋体" w:eastAsia="宋体" w:cs="宋体"/>
                <w:b/>
                <w:bCs/>
                <w:color w:val="auto"/>
                <w:spacing w:val="6"/>
                <w:sz w:val="24"/>
                <w:szCs w:val="24"/>
              </w:rPr>
              <w:t>评分项目</w:t>
            </w:r>
          </w:p>
        </w:tc>
        <w:tc>
          <w:tcPr>
            <w:tcW w:w="2512" w:type="dxa"/>
            <w:vAlign w:val="top"/>
          </w:tcPr>
          <w:p w14:paraId="321EC39A">
            <w:pPr>
              <w:spacing w:before="225" w:line="228" w:lineRule="auto"/>
              <w:ind w:left="111"/>
              <w:jc w:val="center"/>
              <w:rPr>
                <w:rFonts w:ascii="宋体" w:hAnsi="宋体" w:eastAsia="宋体" w:cs="宋体"/>
                <w:color w:val="auto"/>
                <w:sz w:val="24"/>
                <w:szCs w:val="24"/>
              </w:rPr>
            </w:pPr>
            <w:r>
              <w:rPr>
                <w:rFonts w:ascii="宋体" w:hAnsi="宋体" w:eastAsia="宋体" w:cs="宋体"/>
                <w:b/>
                <w:bCs/>
                <w:color w:val="auto"/>
                <w:spacing w:val="6"/>
                <w:sz w:val="24"/>
                <w:szCs w:val="24"/>
              </w:rPr>
              <w:t>考核内容</w:t>
            </w:r>
          </w:p>
        </w:tc>
        <w:tc>
          <w:tcPr>
            <w:tcW w:w="3233" w:type="dxa"/>
            <w:vAlign w:val="top"/>
          </w:tcPr>
          <w:p w14:paraId="6C9BF448">
            <w:pPr>
              <w:spacing w:before="224" w:line="229" w:lineRule="auto"/>
              <w:ind w:left="112"/>
              <w:jc w:val="center"/>
              <w:rPr>
                <w:rFonts w:ascii="宋体" w:hAnsi="宋体" w:eastAsia="宋体" w:cs="宋体"/>
                <w:color w:val="auto"/>
                <w:sz w:val="24"/>
                <w:szCs w:val="24"/>
              </w:rPr>
            </w:pPr>
            <w:r>
              <w:rPr>
                <w:rFonts w:ascii="宋体" w:hAnsi="宋体" w:eastAsia="宋体" w:cs="宋体"/>
                <w:b/>
                <w:bCs/>
                <w:color w:val="auto"/>
                <w:spacing w:val="6"/>
                <w:sz w:val="24"/>
                <w:szCs w:val="24"/>
              </w:rPr>
              <w:t>评分标准</w:t>
            </w:r>
          </w:p>
        </w:tc>
        <w:tc>
          <w:tcPr>
            <w:tcW w:w="1350" w:type="dxa"/>
            <w:vAlign w:val="top"/>
          </w:tcPr>
          <w:p w14:paraId="4A96B332">
            <w:pPr>
              <w:spacing w:before="224" w:line="229" w:lineRule="auto"/>
              <w:ind w:left="151"/>
              <w:jc w:val="center"/>
              <w:rPr>
                <w:rFonts w:ascii="宋体" w:hAnsi="宋体" w:eastAsia="宋体" w:cs="宋体"/>
                <w:color w:val="auto"/>
                <w:sz w:val="24"/>
                <w:szCs w:val="24"/>
              </w:rPr>
            </w:pPr>
            <w:r>
              <w:rPr>
                <w:rFonts w:ascii="宋体" w:hAnsi="宋体" w:eastAsia="宋体" w:cs="宋体"/>
                <w:b/>
                <w:bCs/>
                <w:color w:val="auto"/>
                <w:spacing w:val="-9"/>
                <w:sz w:val="24"/>
                <w:szCs w:val="24"/>
              </w:rPr>
              <w:t>(</w:t>
            </w:r>
            <w:r>
              <w:rPr>
                <w:rFonts w:ascii="宋体" w:hAnsi="宋体" w:eastAsia="宋体" w:cs="宋体"/>
                <w:color w:val="auto"/>
                <w:spacing w:val="12"/>
                <w:sz w:val="24"/>
                <w:szCs w:val="24"/>
              </w:rPr>
              <w:t xml:space="preserve">  </w:t>
            </w:r>
            <w:r>
              <w:rPr>
                <w:rFonts w:ascii="宋体" w:hAnsi="宋体" w:eastAsia="宋体" w:cs="宋体"/>
                <w:b/>
                <w:bCs/>
                <w:color w:val="auto"/>
                <w:spacing w:val="-9"/>
                <w:sz w:val="24"/>
                <w:szCs w:val="24"/>
              </w:rPr>
              <w:t>)扣分</w:t>
            </w:r>
          </w:p>
        </w:tc>
      </w:tr>
      <w:tr w14:paraId="2DD60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600" w:type="dxa"/>
            <w:vMerge w:val="restart"/>
            <w:tcBorders>
              <w:bottom w:val="nil"/>
            </w:tcBorders>
            <w:vAlign w:val="top"/>
          </w:tcPr>
          <w:p w14:paraId="6EA26BA7">
            <w:pPr>
              <w:spacing w:line="261" w:lineRule="auto"/>
              <w:jc w:val="center"/>
              <w:rPr>
                <w:rFonts w:ascii="Arial"/>
                <w:color w:val="auto"/>
                <w:sz w:val="24"/>
                <w:szCs w:val="24"/>
              </w:rPr>
            </w:pPr>
          </w:p>
          <w:p w14:paraId="58D40768">
            <w:pPr>
              <w:spacing w:line="261" w:lineRule="auto"/>
              <w:jc w:val="center"/>
              <w:rPr>
                <w:rFonts w:ascii="Arial"/>
                <w:color w:val="auto"/>
                <w:sz w:val="24"/>
                <w:szCs w:val="24"/>
              </w:rPr>
            </w:pPr>
          </w:p>
          <w:p w14:paraId="087FE389">
            <w:pPr>
              <w:spacing w:line="262" w:lineRule="auto"/>
              <w:jc w:val="center"/>
              <w:rPr>
                <w:rFonts w:ascii="Arial"/>
                <w:color w:val="auto"/>
                <w:sz w:val="24"/>
                <w:szCs w:val="24"/>
              </w:rPr>
            </w:pPr>
          </w:p>
          <w:p w14:paraId="26042D6F">
            <w:pPr>
              <w:spacing w:line="262" w:lineRule="auto"/>
              <w:jc w:val="center"/>
              <w:rPr>
                <w:rFonts w:ascii="Arial"/>
                <w:color w:val="auto"/>
                <w:sz w:val="24"/>
                <w:szCs w:val="24"/>
              </w:rPr>
            </w:pPr>
          </w:p>
          <w:p w14:paraId="4D53D9D0">
            <w:pPr>
              <w:spacing w:line="262" w:lineRule="auto"/>
              <w:jc w:val="center"/>
              <w:rPr>
                <w:rFonts w:ascii="Arial"/>
                <w:color w:val="auto"/>
                <w:sz w:val="24"/>
                <w:szCs w:val="24"/>
              </w:rPr>
            </w:pPr>
          </w:p>
          <w:p w14:paraId="12C6101C">
            <w:pPr>
              <w:spacing w:before="65" w:line="156" w:lineRule="exact"/>
              <w:ind w:left="118"/>
              <w:jc w:val="center"/>
              <w:rPr>
                <w:rFonts w:hint="eastAsia" w:ascii="宋体" w:hAnsi="宋体" w:eastAsia="宋体" w:cs="宋体"/>
                <w:color w:val="auto"/>
                <w:sz w:val="24"/>
                <w:szCs w:val="24"/>
                <w:lang w:eastAsia="zh-CN"/>
              </w:rPr>
            </w:pPr>
            <w:r>
              <w:rPr>
                <w:rFonts w:hint="eastAsia" w:ascii="宋体" w:hAnsi="宋体" w:eastAsia="宋体" w:cs="宋体"/>
                <w:color w:val="auto"/>
                <w:position w:val="-4"/>
                <w:sz w:val="24"/>
                <w:szCs w:val="24"/>
                <w:lang w:val="en-US" w:eastAsia="zh-CN"/>
              </w:rPr>
              <w:t>1</w:t>
            </w:r>
          </w:p>
        </w:tc>
        <w:tc>
          <w:tcPr>
            <w:tcW w:w="2025" w:type="dxa"/>
            <w:gridSpan w:val="2"/>
            <w:vAlign w:val="top"/>
          </w:tcPr>
          <w:p w14:paraId="16863513">
            <w:pPr>
              <w:spacing w:line="319" w:lineRule="auto"/>
              <w:jc w:val="center"/>
              <w:rPr>
                <w:rFonts w:ascii="Arial"/>
                <w:color w:val="auto"/>
                <w:sz w:val="24"/>
                <w:szCs w:val="24"/>
              </w:rPr>
            </w:pPr>
          </w:p>
          <w:p w14:paraId="6E9F9DD7">
            <w:pPr>
              <w:spacing w:before="65" w:line="228" w:lineRule="auto"/>
              <w:ind w:left="114"/>
              <w:jc w:val="center"/>
              <w:rPr>
                <w:rFonts w:ascii="宋体" w:hAnsi="宋体" w:eastAsia="宋体" w:cs="宋体"/>
                <w:color w:val="auto"/>
                <w:sz w:val="24"/>
                <w:szCs w:val="24"/>
              </w:rPr>
            </w:pPr>
            <w:r>
              <w:rPr>
                <w:rFonts w:ascii="宋体" w:hAnsi="宋体" w:eastAsia="宋体" w:cs="宋体"/>
                <w:color w:val="auto"/>
                <w:spacing w:val="7"/>
                <w:sz w:val="24"/>
                <w:szCs w:val="24"/>
              </w:rPr>
              <w:t>企业内部管理</w:t>
            </w:r>
          </w:p>
        </w:tc>
        <w:tc>
          <w:tcPr>
            <w:tcW w:w="2512" w:type="dxa"/>
            <w:vAlign w:val="top"/>
          </w:tcPr>
          <w:p w14:paraId="2D4ABBE0">
            <w:pPr>
              <w:spacing w:before="113" w:line="253" w:lineRule="auto"/>
              <w:ind w:left="113" w:right="192" w:hanging="2"/>
              <w:jc w:val="both"/>
              <w:rPr>
                <w:rFonts w:ascii="宋体" w:hAnsi="宋体" w:eastAsia="宋体" w:cs="宋体"/>
                <w:color w:val="auto"/>
                <w:sz w:val="24"/>
                <w:szCs w:val="24"/>
              </w:rPr>
            </w:pPr>
            <w:r>
              <w:rPr>
                <w:rFonts w:ascii="宋体" w:hAnsi="宋体" w:eastAsia="宋体" w:cs="宋体"/>
                <w:color w:val="auto"/>
                <w:spacing w:val="9"/>
                <w:sz w:val="24"/>
                <w:szCs w:val="24"/>
              </w:rPr>
              <w:t>基础台帐资料齐全，有各项</w:t>
            </w:r>
            <w:r>
              <w:rPr>
                <w:rFonts w:ascii="宋体" w:hAnsi="宋体" w:eastAsia="宋体" w:cs="宋体"/>
                <w:color w:val="auto"/>
                <w:sz w:val="24"/>
                <w:szCs w:val="24"/>
              </w:rPr>
              <w:t xml:space="preserve"> </w:t>
            </w:r>
            <w:r>
              <w:rPr>
                <w:rFonts w:ascii="宋体" w:hAnsi="宋体" w:eastAsia="宋体" w:cs="宋体"/>
                <w:color w:val="auto"/>
                <w:spacing w:val="8"/>
                <w:sz w:val="24"/>
                <w:szCs w:val="24"/>
              </w:rPr>
              <w:t>管理制度，定期组织安全培</w:t>
            </w:r>
            <w:r>
              <w:rPr>
                <w:rFonts w:ascii="宋体" w:hAnsi="宋体" w:eastAsia="宋体" w:cs="宋体"/>
                <w:color w:val="auto"/>
                <w:spacing w:val="10"/>
                <w:sz w:val="24"/>
                <w:szCs w:val="24"/>
              </w:rPr>
              <w:t xml:space="preserve"> </w:t>
            </w:r>
            <w:r>
              <w:rPr>
                <w:rFonts w:ascii="宋体" w:hAnsi="宋体" w:eastAsia="宋体" w:cs="宋体"/>
                <w:color w:val="auto"/>
                <w:spacing w:val="5"/>
                <w:sz w:val="24"/>
                <w:szCs w:val="24"/>
              </w:rPr>
              <w:t>训。（5分）</w:t>
            </w:r>
          </w:p>
        </w:tc>
        <w:tc>
          <w:tcPr>
            <w:tcW w:w="3233" w:type="dxa"/>
            <w:vAlign w:val="top"/>
          </w:tcPr>
          <w:p w14:paraId="6C92F6A6">
            <w:pPr>
              <w:spacing w:line="319" w:lineRule="auto"/>
              <w:rPr>
                <w:rFonts w:ascii="Arial"/>
                <w:color w:val="auto"/>
                <w:sz w:val="24"/>
                <w:szCs w:val="24"/>
              </w:rPr>
            </w:pPr>
          </w:p>
          <w:p w14:paraId="27CF0D78">
            <w:pPr>
              <w:spacing w:before="65" w:line="228" w:lineRule="auto"/>
              <w:ind w:left="112"/>
              <w:rPr>
                <w:rFonts w:ascii="宋体" w:hAnsi="宋体" w:eastAsia="宋体" w:cs="宋体"/>
                <w:color w:val="auto"/>
                <w:sz w:val="24"/>
                <w:szCs w:val="24"/>
              </w:rPr>
            </w:pPr>
            <w:r>
              <w:rPr>
                <w:rFonts w:ascii="宋体" w:hAnsi="宋体" w:eastAsia="宋体" w:cs="宋体"/>
                <w:color w:val="auto"/>
                <w:spacing w:val="8"/>
                <w:sz w:val="24"/>
                <w:szCs w:val="24"/>
              </w:rPr>
              <w:t>每缺一项，扣1分</w:t>
            </w:r>
          </w:p>
        </w:tc>
        <w:tc>
          <w:tcPr>
            <w:tcW w:w="1350" w:type="dxa"/>
            <w:vAlign w:val="top"/>
          </w:tcPr>
          <w:p w14:paraId="04E120B6">
            <w:pPr>
              <w:rPr>
                <w:rFonts w:ascii="Arial"/>
                <w:color w:val="auto"/>
                <w:sz w:val="24"/>
                <w:szCs w:val="24"/>
              </w:rPr>
            </w:pPr>
          </w:p>
        </w:tc>
      </w:tr>
      <w:tr w14:paraId="5A3A5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600" w:type="dxa"/>
            <w:vMerge w:val="continue"/>
            <w:tcBorders>
              <w:top w:val="nil"/>
              <w:bottom w:val="nil"/>
            </w:tcBorders>
            <w:vAlign w:val="top"/>
          </w:tcPr>
          <w:p w14:paraId="12B1A637">
            <w:pPr>
              <w:jc w:val="center"/>
              <w:rPr>
                <w:rFonts w:ascii="Arial"/>
                <w:color w:val="auto"/>
                <w:sz w:val="24"/>
                <w:szCs w:val="24"/>
              </w:rPr>
            </w:pPr>
          </w:p>
        </w:tc>
        <w:tc>
          <w:tcPr>
            <w:tcW w:w="2025" w:type="dxa"/>
            <w:gridSpan w:val="2"/>
            <w:vAlign w:val="top"/>
          </w:tcPr>
          <w:p w14:paraId="29F55178">
            <w:pPr>
              <w:spacing w:line="309" w:lineRule="auto"/>
              <w:jc w:val="center"/>
              <w:rPr>
                <w:rFonts w:ascii="Arial"/>
                <w:color w:val="auto"/>
                <w:sz w:val="24"/>
                <w:szCs w:val="24"/>
              </w:rPr>
            </w:pPr>
          </w:p>
          <w:p w14:paraId="1D41D67F">
            <w:pPr>
              <w:spacing w:before="65" w:line="228" w:lineRule="auto"/>
              <w:ind w:left="121"/>
              <w:jc w:val="center"/>
              <w:rPr>
                <w:rFonts w:ascii="宋体" w:hAnsi="宋体" w:eastAsia="宋体" w:cs="宋体"/>
                <w:color w:val="auto"/>
                <w:sz w:val="24"/>
                <w:szCs w:val="24"/>
              </w:rPr>
            </w:pPr>
            <w:r>
              <w:rPr>
                <w:rFonts w:ascii="宋体" w:hAnsi="宋体" w:eastAsia="宋体" w:cs="宋体"/>
                <w:color w:val="auto"/>
                <w:spacing w:val="5"/>
                <w:sz w:val="24"/>
                <w:szCs w:val="24"/>
              </w:rPr>
              <w:t>（台帐管理）</w:t>
            </w:r>
          </w:p>
        </w:tc>
        <w:tc>
          <w:tcPr>
            <w:tcW w:w="2512" w:type="dxa"/>
            <w:vAlign w:val="top"/>
          </w:tcPr>
          <w:p w14:paraId="4D7BD13F">
            <w:pPr>
              <w:spacing w:before="101" w:line="253" w:lineRule="auto"/>
              <w:ind w:left="116" w:right="192" w:hanging="2"/>
              <w:jc w:val="both"/>
              <w:rPr>
                <w:rFonts w:ascii="宋体" w:hAnsi="宋体" w:eastAsia="宋体" w:cs="宋体"/>
                <w:color w:val="auto"/>
                <w:sz w:val="24"/>
                <w:szCs w:val="24"/>
              </w:rPr>
            </w:pPr>
            <w:r>
              <w:rPr>
                <w:rFonts w:ascii="宋体" w:hAnsi="宋体" w:eastAsia="宋体" w:cs="宋体"/>
                <w:color w:val="auto"/>
                <w:spacing w:val="8"/>
                <w:sz w:val="24"/>
                <w:szCs w:val="24"/>
              </w:rPr>
              <w:t>建立巡视制度，巡查到位，</w:t>
            </w:r>
            <w:r>
              <w:rPr>
                <w:rFonts w:ascii="宋体" w:hAnsi="宋体" w:eastAsia="宋体" w:cs="宋体"/>
                <w:color w:val="auto"/>
                <w:spacing w:val="10"/>
                <w:sz w:val="24"/>
                <w:szCs w:val="24"/>
              </w:rPr>
              <w:t xml:space="preserve"> </w:t>
            </w:r>
            <w:r>
              <w:rPr>
                <w:rFonts w:ascii="宋体" w:hAnsi="宋体" w:eastAsia="宋体" w:cs="宋体"/>
                <w:color w:val="auto"/>
                <w:spacing w:val="8"/>
                <w:sz w:val="24"/>
                <w:szCs w:val="24"/>
              </w:rPr>
              <w:t>定期上报日巡视及检查记录</w:t>
            </w:r>
            <w:r>
              <w:rPr>
                <w:rFonts w:ascii="宋体" w:hAnsi="宋体" w:eastAsia="宋体" w:cs="宋体"/>
                <w:color w:val="auto"/>
                <w:spacing w:val="7"/>
                <w:sz w:val="24"/>
                <w:szCs w:val="24"/>
              </w:rPr>
              <w:t xml:space="preserve"> </w:t>
            </w:r>
            <w:r>
              <w:rPr>
                <w:rFonts w:ascii="宋体" w:hAnsi="宋体" w:eastAsia="宋体" w:cs="宋体"/>
                <w:color w:val="auto"/>
                <w:spacing w:val="4"/>
                <w:sz w:val="24"/>
                <w:szCs w:val="24"/>
              </w:rPr>
              <w:t>。（3分）</w:t>
            </w:r>
          </w:p>
        </w:tc>
        <w:tc>
          <w:tcPr>
            <w:tcW w:w="3233" w:type="dxa"/>
            <w:vAlign w:val="top"/>
          </w:tcPr>
          <w:p w14:paraId="23B5E0E0">
            <w:pPr>
              <w:spacing w:line="309" w:lineRule="auto"/>
              <w:rPr>
                <w:rFonts w:ascii="Arial"/>
                <w:color w:val="auto"/>
                <w:sz w:val="24"/>
                <w:szCs w:val="24"/>
              </w:rPr>
            </w:pPr>
          </w:p>
          <w:p w14:paraId="7F1CA8DD">
            <w:pPr>
              <w:spacing w:before="65" w:line="228" w:lineRule="auto"/>
              <w:ind w:left="112"/>
              <w:rPr>
                <w:rFonts w:ascii="宋体" w:hAnsi="宋体" w:eastAsia="宋体" w:cs="宋体"/>
                <w:color w:val="auto"/>
                <w:sz w:val="24"/>
                <w:szCs w:val="24"/>
              </w:rPr>
            </w:pPr>
            <w:r>
              <w:rPr>
                <w:rFonts w:ascii="宋体" w:hAnsi="宋体" w:eastAsia="宋体" w:cs="宋体"/>
                <w:color w:val="auto"/>
                <w:spacing w:val="8"/>
                <w:sz w:val="24"/>
                <w:szCs w:val="24"/>
              </w:rPr>
              <w:t>每缺一项，扣1分</w:t>
            </w:r>
          </w:p>
        </w:tc>
        <w:tc>
          <w:tcPr>
            <w:tcW w:w="1350" w:type="dxa"/>
            <w:vAlign w:val="top"/>
          </w:tcPr>
          <w:p w14:paraId="6758FE56">
            <w:pPr>
              <w:rPr>
                <w:rFonts w:ascii="Arial"/>
                <w:color w:val="auto"/>
                <w:sz w:val="24"/>
                <w:szCs w:val="24"/>
              </w:rPr>
            </w:pPr>
          </w:p>
        </w:tc>
      </w:tr>
      <w:tr w14:paraId="64529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600" w:type="dxa"/>
            <w:vMerge w:val="continue"/>
            <w:tcBorders>
              <w:top w:val="nil"/>
            </w:tcBorders>
            <w:vAlign w:val="top"/>
          </w:tcPr>
          <w:p w14:paraId="56D4A75F">
            <w:pPr>
              <w:jc w:val="center"/>
              <w:rPr>
                <w:rFonts w:ascii="Arial"/>
                <w:color w:val="auto"/>
                <w:sz w:val="24"/>
                <w:szCs w:val="24"/>
              </w:rPr>
            </w:pPr>
          </w:p>
        </w:tc>
        <w:tc>
          <w:tcPr>
            <w:tcW w:w="2025" w:type="dxa"/>
            <w:gridSpan w:val="2"/>
            <w:vAlign w:val="top"/>
          </w:tcPr>
          <w:p w14:paraId="0A7944BF">
            <w:pPr>
              <w:spacing w:line="254" w:lineRule="auto"/>
              <w:jc w:val="center"/>
              <w:rPr>
                <w:rFonts w:ascii="Arial"/>
                <w:color w:val="auto"/>
                <w:sz w:val="24"/>
                <w:szCs w:val="24"/>
              </w:rPr>
            </w:pPr>
          </w:p>
          <w:p w14:paraId="24C11932">
            <w:pPr>
              <w:spacing w:before="65" w:line="229" w:lineRule="auto"/>
              <w:ind w:left="121"/>
              <w:jc w:val="center"/>
              <w:rPr>
                <w:rFonts w:ascii="宋体" w:hAnsi="宋体" w:eastAsia="宋体" w:cs="宋体"/>
                <w:color w:val="auto"/>
                <w:sz w:val="24"/>
                <w:szCs w:val="24"/>
              </w:rPr>
            </w:pPr>
            <w:r>
              <w:rPr>
                <w:rFonts w:ascii="宋体" w:hAnsi="宋体" w:eastAsia="宋体" w:cs="宋体"/>
                <w:color w:val="auto"/>
                <w:spacing w:val="2"/>
                <w:sz w:val="24"/>
                <w:szCs w:val="24"/>
              </w:rPr>
              <w:t>（10分）</w:t>
            </w:r>
          </w:p>
        </w:tc>
        <w:tc>
          <w:tcPr>
            <w:tcW w:w="2512" w:type="dxa"/>
            <w:vAlign w:val="top"/>
          </w:tcPr>
          <w:p w14:paraId="6708D0E0">
            <w:pPr>
              <w:spacing w:before="186" w:line="252" w:lineRule="auto"/>
              <w:ind w:left="131" w:right="192" w:hanging="19"/>
              <w:rPr>
                <w:rFonts w:ascii="宋体" w:hAnsi="宋体" w:eastAsia="宋体" w:cs="宋体"/>
                <w:color w:val="auto"/>
                <w:sz w:val="24"/>
                <w:szCs w:val="24"/>
              </w:rPr>
            </w:pPr>
            <w:r>
              <w:rPr>
                <w:rFonts w:ascii="宋体" w:hAnsi="宋体" w:eastAsia="宋体" w:cs="宋体"/>
                <w:color w:val="auto"/>
                <w:spacing w:val="8"/>
                <w:sz w:val="24"/>
                <w:szCs w:val="24"/>
              </w:rPr>
              <w:t>联系人保持24小时通讯畅通</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。（2分）</w:t>
            </w:r>
          </w:p>
        </w:tc>
        <w:tc>
          <w:tcPr>
            <w:tcW w:w="3233" w:type="dxa"/>
            <w:vAlign w:val="top"/>
          </w:tcPr>
          <w:p w14:paraId="28673548">
            <w:pPr>
              <w:spacing w:line="254" w:lineRule="auto"/>
              <w:rPr>
                <w:rFonts w:ascii="Arial"/>
                <w:color w:val="auto"/>
                <w:sz w:val="24"/>
                <w:szCs w:val="24"/>
              </w:rPr>
            </w:pPr>
          </w:p>
          <w:p w14:paraId="4C8F3823">
            <w:pPr>
              <w:spacing w:before="65" w:line="228" w:lineRule="auto"/>
              <w:ind w:left="114"/>
              <w:rPr>
                <w:rFonts w:ascii="宋体" w:hAnsi="宋体" w:eastAsia="宋体" w:cs="宋体"/>
                <w:color w:val="auto"/>
                <w:sz w:val="24"/>
                <w:szCs w:val="24"/>
              </w:rPr>
            </w:pPr>
            <w:r>
              <w:rPr>
                <w:rFonts w:ascii="宋体" w:hAnsi="宋体" w:eastAsia="宋体" w:cs="宋体"/>
                <w:color w:val="auto"/>
                <w:spacing w:val="9"/>
                <w:sz w:val="24"/>
                <w:szCs w:val="24"/>
              </w:rPr>
              <w:t>无法联系一小时以上，每发现一次扣1分</w:t>
            </w:r>
          </w:p>
        </w:tc>
        <w:tc>
          <w:tcPr>
            <w:tcW w:w="1350" w:type="dxa"/>
            <w:vAlign w:val="top"/>
          </w:tcPr>
          <w:p w14:paraId="25ACF18D">
            <w:pPr>
              <w:rPr>
                <w:rFonts w:ascii="Arial"/>
                <w:color w:val="auto"/>
                <w:sz w:val="24"/>
                <w:szCs w:val="24"/>
              </w:rPr>
            </w:pPr>
          </w:p>
        </w:tc>
      </w:tr>
      <w:tr w14:paraId="50344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600" w:type="dxa"/>
            <w:vMerge w:val="restart"/>
            <w:tcBorders>
              <w:bottom w:val="nil"/>
            </w:tcBorders>
            <w:vAlign w:val="top"/>
          </w:tcPr>
          <w:p w14:paraId="0EC56361">
            <w:pPr>
              <w:spacing w:line="255" w:lineRule="auto"/>
              <w:jc w:val="center"/>
              <w:rPr>
                <w:rFonts w:ascii="Arial"/>
                <w:color w:val="auto"/>
                <w:sz w:val="24"/>
                <w:szCs w:val="24"/>
              </w:rPr>
            </w:pPr>
          </w:p>
          <w:p w14:paraId="55EE3E82">
            <w:pPr>
              <w:spacing w:line="255" w:lineRule="auto"/>
              <w:jc w:val="center"/>
              <w:rPr>
                <w:rFonts w:ascii="Arial"/>
                <w:color w:val="auto"/>
                <w:sz w:val="24"/>
                <w:szCs w:val="24"/>
              </w:rPr>
            </w:pPr>
          </w:p>
          <w:p w14:paraId="79EB6E57">
            <w:pPr>
              <w:spacing w:line="255" w:lineRule="auto"/>
              <w:jc w:val="center"/>
              <w:rPr>
                <w:rFonts w:ascii="Arial"/>
                <w:color w:val="auto"/>
                <w:sz w:val="24"/>
                <w:szCs w:val="24"/>
              </w:rPr>
            </w:pPr>
          </w:p>
          <w:p w14:paraId="701829F2">
            <w:pPr>
              <w:spacing w:line="255" w:lineRule="auto"/>
              <w:jc w:val="center"/>
              <w:rPr>
                <w:rFonts w:ascii="Arial"/>
                <w:color w:val="auto"/>
                <w:sz w:val="24"/>
                <w:szCs w:val="24"/>
              </w:rPr>
            </w:pPr>
          </w:p>
          <w:p w14:paraId="262AABEC">
            <w:pPr>
              <w:spacing w:line="255" w:lineRule="auto"/>
              <w:jc w:val="center"/>
              <w:rPr>
                <w:rFonts w:ascii="Arial"/>
                <w:color w:val="auto"/>
                <w:sz w:val="24"/>
                <w:szCs w:val="24"/>
              </w:rPr>
            </w:pPr>
          </w:p>
          <w:p w14:paraId="3923D2C3">
            <w:pPr>
              <w:spacing w:line="255" w:lineRule="auto"/>
              <w:jc w:val="center"/>
              <w:rPr>
                <w:rFonts w:ascii="Arial"/>
                <w:color w:val="auto"/>
                <w:sz w:val="24"/>
                <w:szCs w:val="24"/>
              </w:rPr>
            </w:pPr>
          </w:p>
          <w:p w14:paraId="406ED222">
            <w:pPr>
              <w:spacing w:line="255" w:lineRule="auto"/>
              <w:jc w:val="center"/>
              <w:rPr>
                <w:rFonts w:ascii="Arial"/>
                <w:color w:val="auto"/>
                <w:sz w:val="24"/>
                <w:szCs w:val="24"/>
              </w:rPr>
            </w:pPr>
          </w:p>
          <w:p w14:paraId="16D40E18">
            <w:pPr>
              <w:spacing w:line="255" w:lineRule="auto"/>
              <w:jc w:val="center"/>
              <w:rPr>
                <w:rFonts w:ascii="Arial"/>
                <w:color w:val="auto"/>
                <w:sz w:val="24"/>
                <w:szCs w:val="24"/>
              </w:rPr>
            </w:pPr>
          </w:p>
          <w:p w14:paraId="7A9D61F9">
            <w:pPr>
              <w:spacing w:line="255" w:lineRule="auto"/>
              <w:jc w:val="center"/>
              <w:rPr>
                <w:rFonts w:ascii="Arial"/>
                <w:color w:val="auto"/>
                <w:sz w:val="24"/>
                <w:szCs w:val="24"/>
              </w:rPr>
            </w:pPr>
          </w:p>
          <w:p w14:paraId="3C9385A6">
            <w:pPr>
              <w:spacing w:line="255" w:lineRule="auto"/>
              <w:jc w:val="center"/>
              <w:rPr>
                <w:rFonts w:ascii="Arial"/>
                <w:color w:val="auto"/>
                <w:sz w:val="24"/>
                <w:szCs w:val="24"/>
              </w:rPr>
            </w:pPr>
          </w:p>
          <w:p w14:paraId="25F4250B">
            <w:pPr>
              <w:spacing w:line="255" w:lineRule="auto"/>
              <w:jc w:val="center"/>
              <w:rPr>
                <w:rFonts w:ascii="Arial"/>
                <w:color w:val="auto"/>
                <w:sz w:val="24"/>
                <w:szCs w:val="24"/>
              </w:rPr>
            </w:pPr>
          </w:p>
          <w:p w14:paraId="2387217F">
            <w:pPr>
              <w:spacing w:line="255" w:lineRule="auto"/>
              <w:jc w:val="center"/>
              <w:rPr>
                <w:rFonts w:ascii="Arial"/>
                <w:color w:val="auto"/>
                <w:sz w:val="24"/>
                <w:szCs w:val="24"/>
              </w:rPr>
            </w:pPr>
          </w:p>
          <w:p w14:paraId="198EEAA0">
            <w:pPr>
              <w:spacing w:line="255" w:lineRule="auto"/>
              <w:jc w:val="center"/>
              <w:rPr>
                <w:rFonts w:ascii="Arial"/>
                <w:color w:val="auto"/>
                <w:sz w:val="24"/>
                <w:szCs w:val="24"/>
              </w:rPr>
            </w:pPr>
          </w:p>
          <w:p w14:paraId="5019EE3E">
            <w:pPr>
              <w:spacing w:line="255" w:lineRule="auto"/>
              <w:jc w:val="center"/>
              <w:rPr>
                <w:rFonts w:ascii="Arial"/>
                <w:color w:val="auto"/>
                <w:sz w:val="24"/>
                <w:szCs w:val="24"/>
              </w:rPr>
            </w:pPr>
          </w:p>
          <w:p w14:paraId="3E413102">
            <w:pPr>
              <w:spacing w:before="65" w:line="183" w:lineRule="auto"/>
              <w:ind w:left="11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975" w:type="dxa"/>
            <w:vMerge w:val="restart"/>
            <w:tcBorders>
              <w:bottom w:val="nil"/>
            </w:tcBorders>
            <w:vAlign w:val="top"/>
          </w:tcPr>
          <w:p w14:paraId="4F880083">
            <w:pPr>
              <w:jc w:val="center"/>
              <w:rPr>
                <w:rFonts w:ascii="Arial"/>
                <w:color w:val="auto"/>
                <w:sz w:val="24"/>
                <w:szCs w:val="24"/>
              </w:rPr>
            </w:pPr>
          </w:p>
          <w:p w14:paraId="6F6F83C7">
            <w:pPr>
              <w:jc w:val="center"/>
              <w:rPr>
                <w:rFonts w:ascii="Arial"/>
                <w:color w:val="auto"/>
                <w:sz w:val="24"/>
                <w:szCs w:val="24"/>
              </w:rPr>
            </w:pPr>
          </w:p>
          <w:p w14:paraId="79859F50">
            <w:pPr>
              <w:jc w:val="center"/>
              <w:rPr>
                <w:rFonts w:ascii="Arial"/>
                <w:color w:val="auto"/>
                <w:sz w:val="24"/>
                <w:szCs w:val="24"/>
              </w:rPr>
            </w:pPr>
          </w:p>
          <w:p w14:paraId="1B4A6D2E">
            <w:pPr>
              <w:jc w:val="center"/>
              <w:rPr>
                <w:rFonts w:ascii="Arial"/>
                <w:color w:val="auto"/>
                <w:sz w:val="24"/>
                <w:szCs w:val="24"/>
              </w:rPr>
            </w:pPr>
          </w:p>
          <w:p w14:paraId="6D7FEC82">
            <w:pPr>
              <w:jc w:val="center"/>
              <w:rPr>
                <w:rFonts w:ascii="Arial"/>
                <w:color w:val="auto"/>
                <w:sz w:val="24"/>
                <w:szCs w:val="24"/>
              </w:rPr>
            </w:pPr>
          </w:p>
          <w:p w14:paraId="4E4C491B">
            <w:pPr>
              <w:jc w:val="center"/>
              <w:rPr>
                <w:rFonts w:ascii="Arial"/>
                <w:color w:val="auto"/>
                <w:sz w:val="24"/>
                <w:szCs w:val="24"/>
              </w:rPr>
            </w:pPr>
          </w:p>
          <w:p w14:paraId="5B2A8D6D">
            <w:pPr>
              <w:jc w:val="center"/>
              <w:rPr>
                <w:rFonts w:ascii="Arial"/>
                <w:color w:val="auto"/>
                <w:sz w:val="24"/>
                <w:szCs w:val="24"/>
              </w:rPr>
            </w:pPr>
          </w:p>
          <w:p w14:paraId="5BDC62EC">
            <w:pPr>
              <w:jc w:val="center"/>
              <w:rPr>
                <w:rFonts w:ascii="Arial"/>
                <w:color w:val="auto"/>
                <w:sz w:val="24"/>
                <w:szCs w:val="24"/>
              </w:rPr>
            </w:pPr>
          </w:p>
          <w:p w14:paraId="3888D7C6">
            <w:pPr>
              <w:spacing w:line="241" w:lineRule="auto"/>
              <w:jc w:val="center"/>
              <w:rPr>
                <w:rFonts w:ascii="Arial"/>
                <w:color w:val="auto"/>
                <w:sz w:val="24"/>
                <w:szCs w:val="24"/>
              </w:rPr>
            </w:pPr>
          </w:p>
          <w:p w14:paraId="66B20384">
            <w:pPr>
              <w:spacing w:line="241" w:lineRule="auto"/>
              <w:jc w:val="center"/>
              <w:rPr>
                <w:rFonts w:ascii="Arial"/>
                <w:color w:val="auto"/>
                <w:sz w:val="24"/>
                <w:szCs w:val="24"/>
              </w:rPr>
            </w:pPr>
          </w:p>
          <w:p w14:paraId="57B5A517">
            <w:pPr>
              <w:spacing w:line="241" w:lineRule="auto"/>
              <w:jc w:val="center"/>
              <w:rPr>
                <w:rFonts w:ascii="Arial"/>
                <w:color w:val="auto"/>
                <w:sz w:val="24"/>
                <w:szCs w:val="24"/>
              </w:rPr>
            </w:pPr>
          </w:p>
          <w:p w14:paraId="252C42A1">
            <w:pPr>
              <w:spacing w:line="241" w:lineRule="auto"/>
              <w:jc w:val="center"/>
              <w:rPr>
                <w:rFonts w:ascii="Arial"/>
                <w:color w:val="auto"/>
                <w:sz w:val="24"/>
                <w:szCs w:val="24"/>
              </w:rPr>
            </w:pPr>
          </w:p>
          <w:p w14:paraId="49A1B1F1">
            <w:pPr>
              <w:spacing w:line="241" w:lineRule="auto"/>
              <w:jc w:val="center"/>
              <w:rPr>
                <w:rFonts w:ascii="Arial"/>
                <w:color w:val="auto"/>
                <w:sz w:val="24"/>
                <w:szCs w:val="24"/>
              </w:rPr>
            </w:pPr>
          </w:p>
          <w:p w14:paraId="09BF2AD2">
            <w:pPr>
              <w:spacing w:before="65" w:line="229" w:lineRule="auto"/>
              <w:ind w:left="146"/>
              <w:jc w:val="both"/>
              <w:rPr>
                <w:rFonts w:ascii="宋体" w:hAnsi="宋体" w:eastAsia="宋体" w:cs="宋体"/>
                <w:color w:val="auto"/>
                <w:sz w:val="24"/>
                <w:szCs w:val="24"/>
              </w:rPr>
            </w:pPr>
            <w:r>
              <w:rPr>
                <w:rFonts w:ascii="宋体" w:hAnsi="宋体" w:eastAsia="宋体" w:cs="宋体"/>
                <w:color w:val="auto"/>
                <w:spacing w:val="-14"/>
                <w:sz w:val="24"/>
                <w:szCs w:val="24"/>
              </w:rPr>
              <w:t>日常</w:t>
            </w:r>
          </w:p>
          <w:p w14:paraId="06827B7D">
            <w:pPr>
              <w:spacing w:before="21" w:line="253" w:lineRule="auto"/>
              <w:ind w:left="113" w:right="298"/>
              <w:jc w:val="center"/>
              <w:rPr>
                <w:rFonts w:ascii="宋体" w:hAnsi="宋体" w:eastAsia="宋体" w:cs="宋体"/>
                <w:color w:val="auto"/>
                <w:sz w:val="24"/>
                <w:szCs w:val="24"/>
              </w:rPr>
            </w:pPr>
            <w:r>
              <w:rPr>
                <w:rFonts w:ascii="宋体" w:hAnsi="宋体" w:eastAsia="宋体" w:cs="宋体"/>
                <w:color w:val="auto"/>
                <w:spacing w:val="3"/>
                <w:sz w:val="24"/>
                <w:szCs w:val="24"/>
              </w:rPr>
              <w:t>工作</w:t>
            </w:r>
            <w:r>
              <w:rPr>
                <w:rFonts w:ascii="宋体" w:hAnsi="宋体" w:eastAsia="宋体" w:cs="宋体"/>
                <w:color w:val="auto"/>
                <w:sz w:val="24"/>
                <w:szCs w:val="24"/>
              </w:rPr>
              <w:t xml:space="preserve"> </w:t>
            </w:r>
            <w:r>
              <w:rPr>
                <w:rFonts w:ascii="宋体" w:hAnsi="宋体" w:eastAsia="宋体" w:cs="宋体"/>
                <w:color w:val="auto"/>
                <w:spacing w:val="3"/>
                <w:sz w:val="24"/>
                <w:szCs w:val="24"/>
              </w:rPr>
              <w:t>（50</w:t>
            </w:r>
            <w:r>
              <w:rPr>
                <w:rFonts w:ascii="宋体" w:hAnsi="宋体" w:eastAsia="宋体" w:cs="宋体"/>
                <w:color w:val="auto"/>
                <w:sz w:val="24"/>
                <w:szCs w:val="24"/>
              </w:rPr>
              <w:t xml:space="preserve"> </w:t>
            </w:r>
            <w:r>
              <w:rPr>
                <w:rFonts w:ascii="宋体" w:hAnsi="宋体" w:eastAsia="宋体" w:cs="宋体"/>
                <w:color w:val="auto"/>
                <w:spacing w:val="-1"/>
                <w:sz w:val="24"/>
                <w:szCs w:val="24"/>
              </w:rPr>
              <w:t>分）</w:t>
            </w:r>
          </w:p>
        </w:tc>
        <w:tc>
          <w:tcPr>
            <w:tcW w:w="1050" w:type="dxa"/>
            <w:vMerge w:val="restart"/>
            <w:tcBorders>
              <w:bottom w:val="nil"/>
            </w:tcBorders>
            <w:vAlign w:val="top"/>
          </w:tcPr>
          <w:p w14:paraId="238F7B4F">
            <w:pPr>
              <w:spacing w:line="326" w:lineRule="auto"/>
              <w:jc w:val="center"/>
              <w:rPr>
                <w:rFonts w:ascii="Arial"/>
                <w:color w:val="auto"/>
                <w:sz w:val="24"/>
                <w:szCs w:val="24"/>
              </w:rPr>
            </w:pPr>
          </w:p>
          <w:p w14:paraId="51F48007">
            <w:pPr>
              <w:spacing w:line="327" w:lineRule="auto"/>
              <w:jc w:val="center"/>
              <w:rPr>
                <w:rFonts w:ascii="Arial"/>
                <w:color w:val="auto"/>
                <w:sz w:val="24"/>
                <w:szCs w:val="24"/>
              </w:rPr>
            </w:pPr>
          </w:p>
          <w:p w14:paraId="77D783F6">
            <w:pPr>
              <w:spacing w:before="65" w:line="251" w:lineRule="auto"/>
              <w:ind w:left="112" w:right="137" w:hanging="2"/>
              <w:jc w:val="center"/>
              <w:rPr>
                <w:rFonts w:ascii="宋体" w:hAnsi="宋体" w:eastAsia="宋体" w:cs="宋体"/>
                <w:color w:val="auto"/>
                <w:sz w:val="24"/>
                <w:szCs w:val="24"/>
              </w:rPr>
            </w:pPr>
            <w:r>
              <w:rPr>
                <w:rFonts w:ascii="宋体" w:hAnsi="宋体" w:eastAsia="宋体" w:cs="宋体"/>
                <w:color w:val="auto"/>
                <w:spacing w:val="7"/>
                <w:sz w:val="24"/>
                <w:szCs w:val="24"/>
              </w:rPr>
              <w:t>亮灯情</w:t>
            </w:r>
            <w:r>
              <w:rPr>
                <w:rFonts w:ascii="宋体" w:hAnsi="宋体" w:eastAsia="宋体" w:cs="宋体"/>
                <w:color w:val="auto"/>
                <w:sz w:val="24"/>
                <w:szCs w:val="24"/>
              </w:rPr>
              <w:t xml:space="preserve"> </w:t>
            </w:r>
            <w:r>
              <w:rPr>
                <w:rFonts w:ascii="宋体" w:hAnsi="宋体" w:eastAsia="宋体" w:cs="宋体"/>
                <w:color w:val="auto"/>
                <w:spacing w:val="5"/>
                <w:sz w:val="24"/>
                <w:szCs w:val="24"/>
              </w:rPr>
              <w:t>况（25</w:t>
            </w:r>
            <w:r>
              <w:rPr>
                <w:rFonts w:ascii="宋体" w:hAnsi="宋体" w:eastAsia="宋体" w:cs="宋体"/>
                <w:color w:val="auto"/>
                <w:sz w:val="24"/>
                <w:szCs w:val="24"/>
              </w:rPr>
              <w:t xml:space="preserve"> </w:t>
            </w:r>
            <w:r>
              <w:rPr>
                <w:rFonts w:ascii="宋体" w:hAnsi="宋体" w:eastAsia="宋体" w:cs="宋体"/>
                <w:color w:val="auto"/>
                <w:spacing w:val="-1"/>
                <w:sz w:val="24"/>
                <w:szCs w:val="24"/>
              </w:rPr>
              <w:t>分）</w:t>
            </w:r>
          </w:p>
        </w:tc>
        <w:tc>
          <w:tcPr>
            <w:tcW w:w="2512" w:type="dxa"/>
            <w:vAlign w:val="top"/>
          </w:tcPr>
          <w:p w14:paraId="4E6537D7">
            <w:pPr>
              <w:spacing w:line="323" w:lineRule="auto"/>
              <w:jc w:val="center"/>
              <w:rPr>
                <w:rFonts w:ascii="Arial"/>
                <w:color w:val="auto"/>
                <w:sz w:val="24"/>
                <w:szCs w:val="24"/>
              </w:rPr>
            </w:pPr>
          </w:p>
          <w:p w14:paraId="45B630AD">
            <w:pPr>
              <w:spacing w:line="324" w:lineRule="auto"/>
              <w:jc w:val="center"/>
              <w:rPr>
                <w:rFonts w:ascii="Arial"/>
                <w:color w:val="auto"/>
                <w:sz w:val="24"/>
                <w:szCs w:val="24"/>
              </w:rPr>
            </w:pPr>
          </w:p>
          <w:p w14:paraId="530DC7C1">
            <w:pPr>
              <w:spacing w:before="65" w:line="228" w:lineRule="auto"/>
              <w:ind w:left="113"/>
              <w:jc w:val="center"/>
              <w:rPr>
                <w:rFonts w:ascii="宋体" w:hAnsi="宋体" w:eastAsia="宋体" w:cs="宋体"/>
                <w:color w:val="auto"/>
                <w:sz w:val="24"/>
                <w:szCs w:val="24"/>
              </w:rPr>
            </w:pPr>
            <w:r>
              <w:rPr>
                <w:rFonts w:ascii="宋体" w:hAnsi="宋体" w:eastAsia="宋体" w:cs="宋体"/>
                <w:color w:val="auto"/>
                <w:spacing w:val="7"/>
                <w:sz w:val="24"/>
                <w:szCs w:val="24"/>
              </w:rPr>
              <w:t>路灯不亮。（20分）</w:t>
            </w:r>
          </w:p>
        </w:tc>
        <w:tc>
          <w:tcPr>
            <w:tcW w:w="3233" w:type="dxa"/>
            <w:vAlign w:val="top"/>
          </w:tcPr>
          <w:p w14:paraId="43F648FD">
            <w:pPr>
              <w:spacing w:before="3" w:line="251" w:lineRule="auto"/>
              <w:ind w:left="115" w:right="186"/>
              <w:rPr>
                <w:rFonts w:ascii="宋体" w:hAnsi="宋体" w:eastAsia="宋体" w:cs="宋体"/>
                <w:color w:val="auto"/>
                <w:sz w:val="24"/>
                <w:szCs w:val="24"/>
              </w:rPr>
            </w:pPr>
            <w:r>
              <w:rPr>
                <w:rFonts w:ascii="宋体" w:hAnsi="宋体" w:eastAsia="宋体" w:cs="宋体"/>
                <w:color w:val="auto"/>
                <w:spacing w:val="8"/>
                <w:sz w:val="24"/>
                <w:szCs w:val="24"/>
              </w:rPr>
              <w:t>一个表区路灯不亮</w:t>
            </w:r>
            <w:r>
              <w:rPr>
                <w:rFonts w:hint="eastAsia" w:ascii="宋体" w:hAnsi="宋体" w:eastAsia="宋体" w:cs="宋体"/>
                <w:color w:val="auto"/>
                <w:spacing w:val="8"/>
                <w:sz w:val="24"/>
                <w:szCs w:val="24"/>
                <w:lang w:eastAsia="zh-CN"/>
              </w:rPr>
              <w:t>或</w:t>
            </w:r>
            <w:r>
              <w:rPr>
                <w:rFonts w:hint="eastAsia" w:ascii="宋体" w:hAnsi="宋体" w:eastAsia="宋体" w:cs="宋体"/>
                <w:color w:val="auto"/>
                <w:spacing w:val="8"/>
                <w:sz w:val="24"/>
                <w:szCs w:val="24"/>
                <w:lang w:val="en-US" w:eastAsia="zh-CN"/>
              </w:rPr>
              <w:t>过暗，</w:t>
            </w:r>
            <w:r>
              <w:rPr>
                <w:rFonts w:ascii="宋体" w:hAnsi="宋体" w:eastAsia="宋体" w:cs="宋体"/>
                <w:color w:val="auto"/>
                <w:spacing w:val="8"/>
                <w:sz w:val="24"/>
                <w:szCs w:val="24"/>
              </w:rPr>
              <w:t>未整改，扣1 分；一个片区路灯不亮未整改，扣3分。</w:t>
            </w:r>
          </w:p>
          <w:p w14:paraId="72D09DB2">
            <w:pPr>
              <w:spacing w:before="3" w:line="251" w:lineRule="auto"/>
              <w:ind w:left="115" w:right="186"/>
              <w:rPr>
                <w:rFonts w:ascii="宋体" w:hAnsi="宋体" w:eastAsia="宋体" w:cs="宋体"/>
                <w:color w:val="auto"/>
                <w:spacing w:val="8"/>
                <w:sz w:val="24"/>
                <w:szCs w:val="24"/>
              </w:rPr>
            </w:pPr>
            <w:r>
              <w:rPr>
                <w:rFonts w:ascii="宋体" w:hAnsi="宋体" w:eastAsia="宋体" w:cs="宋体"/>
                <w:color w:val="auto"/>
                <w:spacing w:val="8"/>
                <w:sz w:val="24"/>
                <w:szCs w:val="24"/>
              </w:rPr>
              <w:t>高杆灯、参观路线路灯未整改扣分罚款加倍。</w:t>
            </w:r>
          </w:p>
          <w:p w14:paraId="7AACAF38">
            <w:pPr>
              <w:spacing w:before="3" w:line="251" w:lineRule="auto"/>
              <w:ind w:left="115" w:right="186"/>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项目实施亮灯率大于或等于98%，本项得满分；每低1个百分点扣0.5分。</w:t>
            </w:r>
          </w:p>
          <w:p w14:paraId="1F14C329">
            <w:pPr>
              <w:spacing w:before="3" w:line="251" w:lineRule="auto"/>
              <w:ind w:left="115" w:right="186"/>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亮灯率=（总的路灯盏数-灭灯数）/总的路灯盏数。经采购人确认的不亮灯、高压设施故障、市政建设影响亮灯的情况不列入亮灯率考评。</w:t>
            </w:r>
          </w:p>
          <w:p w14:paraId="22AEF63D">
            <w:pPr>
              <w:spacing w:before="3" w:line="251" w:lineRule="auto"/>
              <w:ind w:left="115" w:right="186"/>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机动车交通道路照明国家标准：</w:t>
            </w:r>
          </w:p>
          <w:p w14:paraId="56C725C2">
            <w:pPr>
              <w:spacing w:before="3" w:line="251" w:lineRule="auto"/>
              <w:ind w:left="115" w:right="186"/>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1、主干路20~30Lux；</w:t>
            </w:r>
          </w:p>
          <w:p w14:paraId="360BB570">
            <w:pPr>
              <w:spacing w:before="3" w:line="251" w:lineRule="auto"/>
              <w:ind w:left="115" w:right="186"/>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2、次干路15~20Lux</w:t>
            </w:r>
          </w:p>
          <w:p w14:paraId="7FA3310F">
            <w:pPr>
              <w:spacing w:before="3" w:line="251" w:lineRule="auto"/>
              <w:ind w:left="115" w:right="186"/>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3、支干路8~10Lux的基础上提高20%~30%</w:t>
            </w:r>
          </w:p>
        </w:tc>
        <w:tc>
          <w:tcPr>
            <w:tcW w:w="1350" w:type="dxa"/>
            <w:vAlign w:val="top"/>
          </w:tcPr>
          <w:p w14:paraId="39C8C93A">
            <w:pPr>
              <w:rPr>
                <w:rFonts w:ascii="Arial"/>
                <w:color w:val="auto"/>
                <w:sz w:val="24"/>
                <w:szCs w:val="24"/>
              </w:rPr>
            </w:pPr>
          </w:p>
        </w:tc>
      </w:tr>
      <w:tr w14:paraId="2D13E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00" w:type="dxa"/>
            <w:vMerge w:val="continue"/>
            <w:tcBorders>
              <w:top w:val="nil"/>
              <w:bottom w:val="nil"/>
            </w:tcBorders>
            <w:vAlign w:val="top"/>
          </w:tcPr>
          <w:p w14:paraId="77BC365D">
            <w:pPr>
              <w:jc w:val="center"/>
              <w:rPr>
                <w:rFonts w:ascii="Arial"/>
                <w:color w:val="auto"/>
                <w:sz w:val="24"/>
                <w:szCs w:val="24"/>
              </w:rPr>
            </w:pPr>
          </w:p>
        </w:tc>
        <w:tc>
          <w:tcPr>
            <w:tcW w:w="975" w:type="dxa"/>
            <w:vMerge w:val="continue"/>
            <w:tcBorders>
              <w:top w:val="nil"/>
              <w:bottom w:val="nil"/>
            </w:tcBorders>
            <w:vAlign w:val="top"/>
          </w:tcPr>
          <w:p w14:paraId="6FEFFB88">
            <w:pPr>
              <w:jc w:val="center"/>
              <w:rPr>
                <w:rFonts w:ascii="Arial"/>
                <w:color w:val="auto"/>
                <w:sz w:val="24"/>
                <w:szCs w:val="24"/>
              </w:rPr>
            </w:pPr>
          </w:p>
        </w:tc>
        <w:tc>
          <w:tcPr>
            <w:tcW w:w="1050" w:type="dxa"/>
            <w:vMerge w:val="continue"/>
            <w:tcBorders>
              <w:top w:val="nil"/>
            </w:tcBorders>
            <w:vAlign w:val="top"/>
          </w:tcPr>
          <w:p w14:paraId="4640CA35">
            <w:pPr>
              <w:jc w:val="center"/>
              <w:rPr>
                <w:rFonts w:ascii="Arial"/>
                <w:color w:val="auto"/>
                <w:sz w:val="24"/>
                <w:szCs w:val="24"/>
              </w:rPr>
            </w:pPr>
          </w:p>
        </w:tc>
        <w:tc>
          <w:tcPr>
            <w:tcW w:w="2512" w:type="dxa"/>
            <w:vAlign w:val="top"/>
          </w:tcPr>
          <w:p w14:paraId="01B077A9">
            <w:pPr>
              <w:spacing w:before="35" w:line="233" w:lineRule="auto"/>
              <w:ind w:left="113" w:right="188" w:hanging="1"/>
              <w:jc w:val="center"/>
              <w:rPr>
                <w:rFonts w:ascii="宋体" w:hAnsi="宋体" w:eastAsia="宋体" w:cs="宋体"/>
                <w:color w:val="auto"/>
                <w:sz w:val="24"/>
                <w:szCs w:val="24"/>
              </w:rPr>
            </w:pPr>
            <w:r>
              <w:rPr>
                <w:rFonts w:ascii="宋体" w:hAnsi="宋体" w:eastAsia="宋体" w:cs="宋体"/>
                <w:color w:val="auto"/>
                <w:spacing w:val="8"/>
                <w:sz w:val="24"/>
                <w:szCs w:val="24"/>
              </w:rPr>
              <w:t>有无擅自开/关灯情况。（5</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分）</w:t>
            </w:r>
          </w:p>
        </w:tc>
        <w:tc>
          <w:tcPr>
            <w:tcW w:w="3233" w:type="dxa"/>
            <w:vAlign w:val="top"/>
          </w:tcPr>
          <w:p w14:paraId="75400CD6">
            <w:pPr>
              <w:spacing w:before="35" w:line="233" w:lineRule="auto"/>
              <w:ind w:left="126" w:right="293" w:hanging="14"/>
              <w:rPr>
                <w:rFonts w:ascii="宋体" w:hAnsi="宋体" w:eastAsia="宋体" w:cs="宋体"/>
                <w:color w:val="auto"/>
                <w:sz w:val="24"/>
                <w:szCs w:val="24"/>
              </w:rPr>
            </w:pPr>
            <w:r>
              <w:rPr>
                <w:rFonts w:ascii="宋体" w:hAnsi="宋体" w:eastAsia="宋体" w:cs="宋体"/>
                <w:color w:val="auto"/>
                <w:spacing w:val="9"/>
                <w:sz w:val="24"/>
                <w:szCs w:val="24"/>
              </w:rPr>
              <w:t>每发现一次擅自开/关灯（未报备）情况</w:t>
            </w:r>
            <w:r>
              <w:rPr>
                <w:rFonts w:ascii="宋体" w:hAnsi="宋体" w:eastAsia="宋体" w:cs="宋体"/>
                <w:color w:val="auto"/>
                <w:spacing w:val="3"/>
                <w:sz w:val="24"/>
                <w:szCs w:val="24"/>
              </w:rPr>
              <w:t xml:space="preserve"> </w:t>
            </w:r>
            <w:r>
              <w:rPr>
                <w:rFonts w:ascii="宋体" w:hAnsi="宋体" w:eastAsia="宋体" w:cs="宋体"/>
                <w:color w:val="auto"/>
                <w:spacing w:val="-6"/>
                <w:sz w:val="24"/>
                <w:szCs w:val="24"/>
              </w:rPr>
              <w:t>,</w:t>
            </w:r>
            <w:r>
              <w:rPr>
                <w:rFonts w:ascii="宋体" w:hAnsi="宋体" w:eastAsia="宋体" w:cs="宋体"/>
                <w:color w:val="auto"/>
                <w:spacing w:val="64"/>
                <w:sz w:val="24"/>
                <w:szCs w:val="24"/>
              </w:rPr>
              <w:t xml:space="preserve"> </w:t>
            </w:r>
            <w:r>
              <w:rPr>
                <w:rFonts w:ascii="宋体" w:hAnsi="宋体" w:eastAsia="宋体" w:cs="宋体"/>
                <w:color w:val="auto"/>
                <w:spacing w:val="-6"/>
                <w:sz w:val="24"/>
                <w:szCs w:val="24"/>
              </w:rPr>
              <w:t>扣0.2分。</w:t>
            </w:r>
          </w:p>
        </w:tc>
        <w:tc>
          <w:tcPr>
            <w:tcW w:w="1350" w:type="dxa"/>
            <w:vAlign w:val="top"/>
          </w:tcPr>
          <w:p w14:paraId="05F4C1FF">
            <w:pPr>
              <w:rPr>
                <w:rFonts w:ascii="Arial"/>
                <w:color w:val="auto"/>
                <w:sz w:val="24"/>
                <w:szCs w:val="24"/>
              </w:rPr>
            </w:pPr>
          </w:p>
        </w:tc>
      </w:tr>
      <w:tr w14:paraId="1E50A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600" w:type="dxa"/>
            <w:vMerge w:val="continue"/>
            <w:tcBorders>
              <w:top w:val="nil"/>
              <w:bottom w:val="nil"/>
            </w:tcBorders>
            <w:vAlign w:val="top"/>
          </w:tcPr>
          <w:p w14:paraId="66B1B80C">
            <w:pPr>
              <w:jc w:val="center"/>
              <w:rPr>
                <w:rFonts w:ascii="Arial"/>
                <w:color w:val="auto"/>
                <w:sz w:val="24"/>
                <w:szCs w:val="24"/>
              </w:rPr>
            </w:pPr>
          </w:p>
        </w:tc>
        <w:tc>
          <w:tcPr>
            <w:tcW w:w="975" w:type="dxa"/>
            <w:vMerge w:val="continue"/>
            <w:tcBorders>
              <w:top w:val="nil"/>
              <w:bottom w:val="nil"/>
            </w:tcBorders>
            <w:vAlign w:val="top"/>
          </w:tcPr>
          <w:p w14:paraId="23CA2F5D">
            <w:pPr>
              <w:jc w:val="center"/>
              <w:rPr>
                <w:rFonts w:ascii="Arial"/>
                <w:color w:val="auto"/>
                <w:sz w:val="24"/>
                <w:szCs w:val="24"/>
              </w:rPr>
            </w:pPr>
          </w:p>
        </w:tc>
        <w:tc>
          <w:tcPr>
            <w:tcW w:w="1050" w:type="dxa"/>
            <w:vMerge w:val="restart"/>
            <w:tcBorders>
              <w:bottom w:val="nil"/>
            </w:tcBorders>
            <w:vAlign w:val="top"/>
          </w:tcPr>
          <w:p w14:paraId="598B575E">
            <w:pPr>
              <w:jc w:val="center"/>
              <w:rPr>
                <w:rFonts w:ascii="Arial"/>
                <w:color w:val="auto"/>
                <w:sz w:val="24"/>
                <w:szCs w:val="24"/>
              </w:rPr>
            </w:pPr>
          </w:p>
          <w:p w14:paraId="028D80EF">
            <w:pPr>
              <w:jc w:val="center"/>
              <w:rPr>
                <w:rFonts w:ascii="Arial"/>
                <w:color w:val="auto"/>
                <w:sz w:val="24"/>
                <w:szCs w:val="24"/>
              </w:rPr>
            </w:pPr>
          </w:p>
          <w:p w14:paraId="510EBB9B">
            <w:pPr>
              <w:jc w:val="center"/>
              <w:rPr>
                <w:rFonts w:ascii="Arial"/>
                <w:color w:val="auto"/>
                <w:sz w:val="24"/>
                <w:szCs w:val="24"/>
              </w:rPr>
            </w:pPr>
          </w:p>
          <w:p w14:paraId="43ACD447">
            <w:pPr>
              <w:spacing w:line="241" w:lineRule="auto"/>
              <w:jc w:val="center"/>
              <w:rPr>
                <w:rFonts w:ascii="Arial"/>
                <w:color w:val="auto"/>
                <w:sz w:val="24"/>
                <w:szCs w:val="24"/>
              </w:rPr>
            </w:pPr>
          </w:p>
          <w:p w14:paraId="3B0763A1">
            <w:pPr>
              <w:spacing w:line="241" w:lineRule="auto"/>
              <w:jc w:val="center"/>
              <w:rPr>
                <w:rFonts w:ascii="Arial"/>
                <w:color w:val="auto"/>
                <w:sz w:val="24"/>
                <w:szCs w:val="24"/>
              </w:rPr>
            </w:pPr>
          </w:p>
          <w:p w14:paraId="27793CF6">
            <w:pPr>
              <w:spacing w:line="241" w:lineRule="auto"/>
              <w:jc w:val="center"/>
              <w:rPr>
                <w:rFonts w:ascii="Arial"/>
                <w:color w:val="auto"/>
                <w:sz w:val="24"/>
                <w:szCs w:val="24"/>
              </w:rPr>
            </w:pPr>
          </w:p>
          <w:p w14:paraId="33F7E6BC">
            <w:pPr>
              <w:spacing w:line="241" w:lineRule="auto"/>
              <w:jc w:val="center"/>
              <w:rPr>
                <w:rFonts w:ascii="Arial"/>
                <w:color w:val="auto"/>
                <w:sz w:val="24"/>
                <w:szCs w:val="24"/>
              </w:rPr>
            </w:pPr>
          </w:p>
          <w:p w14:paraId="0DE30E5B">
            <w:pPr>
              <w:spacing w:line="241" w:lineRule="auto"/>
              <w:jc w:val="center"/>
              <w:rPr>
                <w:rFonts w:ascii="Arial"/>
                <w:color w:val="auto"/>
                <w:sz w:val="24"/>
                <w:szCs w:val="24"/>
              </w:rPr>
            </w:pPr>
          </w:p>
          <w:p w14:paraId="59BCED09">
            <w:pPr>
              <w:spacing w:line="241" w:lineRule="auto"/>
              <w:jc w:val="center"/>
              <w:rPr>
                <w:rFonts w:ascii="Arial"/>
                <w:color w:val="auto"/>
                <w:sz w:val="24"/>
                <w:szCs w:val="24"/>
              </w:rPr>
            </w:pPr>
          </w:p>
          <w:p w14:paraId="398CAE5C">
            <w:pPr>
              <w:spacing w:before="65" w:line="228" w:lineRule="auto"/>
              <w:ind w:left="114"/>
              <w:jc w:val="center"/>
              <w:rPr>
                <w:rFonts w:ascii="宋体" w:hAnsi="宋体" w:eastAsia="宋体" w:cs="宋体"/>
                <w:color w:val="auto"/>
                <w:sz w:val="24"/>
                <w:szCs w:val="24"/>
              </w:rPr>
            </w:pPr>
            <w:r>
              <w:rPr>
                <w:rFonts w:ascii="宋体" w:hAnsi="宋体" w:eastAsia="宋体" w:cs="宋体"/>
                <w:color w:val="auto"/>
                <w:spacing w:val="5"/>
                <w:sz w:val="24"/>
                <w:szCs w:val="24"/>
              </w:rPr>
              <w:t>设施完</w:t>
            </w:r>
          </w:p>
          <w:p w14:paraId="463CC9F0">
            <w:pPr>
              <w:spacing w:before="23" w:line="252" w:lineRule="auto"/>
              <w:ind w:left="112" w:right="156" w:hanging="2"/>
              <w:jc w:val="center"/>
              <w:rPr>
                <w:rFonts w:ascii="宋体" w:hAnsi="宋体" w:eastAsia="宋体" w:cs="宋体"/>
                <w:color w:val="auto"/>
                <w:sz w:val="24"/>
                <w:szCs w:val="24"/>
              </w:rPr>
            </w:pPr>
            <w:r>
              <w:rPr>
                <w:rFonts w:ascii="宋体" w:hAnsi="宋体" w:eastAsia="宋体" w:cs="宋体"/>
                <w:color w:val="auto"/>
                <w:spacing w:val="-10"/>
                <w:sz w:val="24"/>
                <w:szCs w:val="24"/>
              </w:rPr>
              <w:t>好率</w:t>
            </w:r>
            <w:r>
              <w:rPr>
                <w:rFonts w:ascii="宋体" w:hAnsi="宋体" w:eastAsia="宋体" w:cs="宋体"/>
                <w:color w:val="auto"/>
                <w:spacing w:val="20"/>
                <w:sz w:val="24"/>
                <w:szCs w:val="24"/>
              </w:rPr>
              <w:t xml:space="preserve"> </w:t>
            </w:r>
            <w:r>
              <w:rPr>
                <w:rFonts w:ascii="宋体" w:hAnsi="宋体" w:eastAsia="宋体" w:cs="宋体"/>
                <w:color w:val="auto"/>
                <w:spacing w:val="-10"/>
                <w:sz w:val="24"/>
                <w:szCs w:val="24"/>
              </w:rPr>
              <w:t>(</w:t>
            </w:r>
            <w:r>
              <w:rPr>
                <w:rFonts w:ascii="宋体" w:hAnsi="宋体" w:eastAsia="宋体" w:cs="宋体"/>
                <w:color w:val="auto"/>
                <w:sz w:val="24"/>
                <w:szCs w:val="24"/>
              </w:rPr>
              <w:t xml:space="preserve"> 25分）</w:t>
            </w:r>
          </w:p>
        </w:tc>
        <w:tc>
          <w:tcPr>
            <w:tcW w:w="2512" w:type="dxa"/>
            <w:vAlign w:val="top"/>
          </w:tcPr>
          <w:p w14:paraId="793FD6AA">
            <w:pPr>
              <w:spacing w:before="239" w:line="252" w:lineRule="auto"/>
              <w:ind w:left="111" w:right="192"/>
              <w:jc w:val="center"/>
              <w:rPr>
                <w:rFonts w:ascii="宋体" w:hAnsi="宋体" w:eastAsia="宋体" w:cs="宋体"/>
                <w:color w:val="auto"/>
                <w:sz w:val="24"/>
                <w:szCs w:val="24"/>
              </w:rPr>
            </w:pPr>
            <w:r>
              <w:rPr>
                <w:rFonts w:ascii="宋体" w:hAnsi="宋体" w:eastAsia="宋体" w:cs="宋体"/>
                <w:color w:val="auto"/>
                <w:spacing w:val="9"/>
                <w:sz w:val="24"/>
                <w:szCs w:val="24"/>
              </w:rPr>
              <w:t>灯具、灯罩、灯臂等设施完</w:t>
            </w:r>
            <w:r>
              <w:rPr>
                <w:rFonts w:ascii="宋体" w:hAnsi="宋体" w:eastAsia="宋体" w:cs="宋体"/>
                <w:color w:val="auto"/>
                <w:spacing w:val="1"/>
                <w:sz w:val="24"/>
                <w:szCs w:val="24"/>
              </w:rPr>
              <w:t xml:space="preserve"> </w:t>
            </w:r>
            <w:r>
              <w:rPr>
                <w:rFonts w:ascii="宋体" w:hAnsi="宋体" w:eastAsia="宋体" w:cs="宋体"/>
                <w:color w:val="auto"/>
                <w:spacing w:val="9"/>
                <w:sz w:val="24"/>
                <w:szCs w:val="24"/>
              </w:rPr>
              <w:t>好、与台账资料一致，定期</w:t>
            </w:r>
            <w:r>
              <w:rPr>
                <w:rFonts w:ascii="宋体" w:hAnsi="宋体" w:eastAsia="宋体" w:cs="宋体"/>
                <w:color w:val="auto"/>
                <w:sz w:val="24"/>
                <w:szCs w:val="24"/>
              </w:rPr>
              <w:t xml:space="preserve"> </w:t>
            </w:r>
            <w:r>
              <w:rPr>
                <w:rFonts w:ascii="宋体" w:hAnsi="宋体" w:eastAsia="宋体" w:cs="宋体"/>
                <w:color w:val="auto"/>
                <w:spacing w:val="9"/>
                <w:sz w:val="24"/>
                <w:szCs w:val="24"/>
              </w:rPr>
              <w:t>巡修，设施无变形、转向、</w:t>
            </w:r>
            <w:r>
              <w:rPr>
                <w:rFonts w:ascii="宋体" w:hAnsi="宋体" w:eastAsia="宋体" w:cs="宋体"/>
                <w:color w:val="auto"/>
                <w:sz w:val="24"/>
                <w:szCs w:val="24"/>
              </w:rPr>
              <w:t xml:space="preserve"> </w:t>
            </w:r>
            <w:r>
              <w:rPr>
                <w:rFonts w:ascii="宋体" w:hAnsi="宋体" w:eastAsia="宋体" w:cs="宋体"/>
                <w:color w:val="auto"/>
                <w:spacing w:val="7"/>
                <w:sz w:val="24"/>
                <w:szCs w:val="24"/>
              </w:rPr>
              <w:t>损坏等。（5分）</w:t>
            </w:r>
          </w:p>
        </w:tc>
        <w:tc>
          <w:tcPr>
            <w:tcW w:w="3233" w:type="dxa"/>
            <w:vAlign w:val="top"/>
          </w:tcPr>
          <w:p w14:paraId="24ACAEBD">
            <w:pPr>
              <w:spacing w:line="443" w:lineRule="auto"/>
              <w:rPr>
                <w:rFonts w:ascii="Arial"/>
                <w:color w:val="auto"/>
                <w:sz w:val="24"/>
                <w:szCs w:val="24"/>
              </w:rPr>
            </w:pPr>
          </w:p>
          <w:p w14:paraId="1852D349">
            <w:pPr>
              <w:spacing w:before="65" w:line="254" w:lineRule="auto"/>
              <w:ind w:left="112" w:right="293"/>
              <w:rPr>
                <w:rFonts w:ascii="宋体" w:hAnsi="宋体" w:eastAsia="宋体" w:cs="宋体"/>
                <w:color w:val="auto"/>
                <w:sz w:val="24"/>
                <w:szCs w:val="24"/>
              </w:rPr>
            </w:pPr>
            <w:r>
              <w:rPr>
                <w:rFonts w:ascii="宋体" w:hAnsi="宋体" w:eastAsia="宋体" w:cs="宋体"/>
                <w:color w:val="auto"/>
                <w:spacing w:val="8"/>
                <w:sz w:val="24"/>
                <w:szCs w:val="24"/>
              </w:rPr>
              <w:t>每发现一处问题未整改，扣0.1分；整段</w:t>
            </w:r>
            <w:r>
              <w:rPr>
                <w:rFonts w:ascii="宋体" w:hAnsi="宋体" w:eastAsia="宋体" w:cs="宋体"/>
                <w:color w:val="auto"/>
                <w:spacing w:val="13"/>
                <w:sz w:val="24"/>
                <w:szCs w:val="24"/>
              </w:rPr>
              <w:t xml:space="preserve"> </w:t>
            </w:r>
            <w:r>
              <w:rPr>
                <w:rFonts w:ascii="宋体" w:hAnsi="宋体" w:eastAsia="宋体" w:cs="宋体"/>
                <w:color w:val="auto"/>
                <w:spacing w:val="8"/>
                <w:sz w:val="24"/>
                <w:szCs w:val="24"/>
              </w:rPr>
              <w:t>道路性问题未整改，扣1分/处</w:t>
            </w:r>
          </w:p>
        </w:tc>
        <w:tc>
          <w:tcPr>
            <w:tcW w:w="1350" w:type="dxa"/>
            <w:vAlign w:val="top"/>
          </w:tcPr>
          <w:p w14:paraId="15F88E36">
            <w:pPr>
              <w:rPr>
                <w:rFonts w:ascii="Arial"/>
                <w:color w:val="auto"/>
                <w:sz w:val="24"/>
                <w:szCs w:val="24"/>
              </w:rPr>
            </w:pPr>
          </w:p>
        </w:tc>
      </w:tr>
      <w:tr w14:paraId="78EE7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00" w:type="dxa"/>
            <w:vMerge w:val="continue"/>
            <w:tcBorders>
              <w:top w:val="nil"/>
              <w:bottom w:val="nil"/>
            </w:tcBorders>
            <w:vAlign w:val="top"/>
          </w:tcPr>
          <w:p w14:paraId="0D30C694">
            <w:pPr>
              <w:jc w:val="center"/>
              <w:rPr>
                <w:rFonts w:ascii="Arial"/>
                <w:color w:val="auto"/>
                <w:sz w:val="24"/>
                <w:szCs w:val="24"/>
              </w:rPr>
            </w:pPr>
          </w:p>
        </w:tc>
        <w:tc>
          <w:tcPr>
            <w:tcW w:w="975" w:type="dxa"/>
            <w:vMerge w:val="continue"/>
            <w:tcBorders>
              <w:top w:val="nil"/>
              <w:bottom w:val="nil"/>
            </w:tcBorders>
            <w:vAlign w:val="top"/>
          </w:tcPr>
          <w:p w14:paraId="08ED446E">
            <w:pPr>
              <w:jc w:val="center"/>
              <w:rPr>
                <w:rFonts w:ascii="Arial"/>
                <w:color w:val="auto"/>
                <w:sz w:val="24"/>
                <w:szCs w:val="24"/>
              </w:rPr>
            </w:pPr>
          </w:p>
        </w:tc>
        <w:tc>
          <w:tcPr>
            <w:tcW w:w="1050" w:type="dxa"/>
            <w:vMerge w:val="continue"/>
            <w:tcBorders>
              <w:top w:val="nil"/>
              <w:bottom w:val="nil"/>
            </w:tcBorders>
            <w:vAlign w:val="top"/>
          </w:tcPr>
          <w:p w14:paraId="4E16782B">
            <w:pPr>
              <w:jc w:val="center"/>
              <w:rPr>
                <w:rFonts w:ascii="Arial"/>
                <w:color w:val="auto"/>
                <w:sz w:val="24"/>
                <w:szCs w:val="24"/>
              </w:rPr>
            </w:pPr>
          </w:p>
        </w:tc>
        <w:tc>
          <w:tcPr>
            <w:tcW w:w="2512" w:type="dxa"/>
            <w:vAlign w:val="top"/>
          </w:tcPr>
          <w:p w14:paraId="0FDCBC09">
            <w:pPr>
              <w:spacing w:before="111" w:line="251" w:lineRule="auto"/>
              <w:ind w:left="113" w:right="227" w:hanging="2"/>
              <w:jc w:val="center"/>
              <w:rPr>
                <w:rFonts w:ascii="宋体" w:hAnsi="宋体" w:eastAsia="宋体" w:cs="宋体"/>
                <w:color w:val="auto"/>
                <w:sz w:val="24"/>
                <w:szCs w:val="24"/>
              </w:rPr>
            </w:pPr>
            <w:r>
              <w:rPr>
                <w:rFonts w:ascii="宋体" w:hAnsi="宋体" w:eastAsia="宋体" w:cs="宋体"/>
                <w:color w:val="auto"/>
                <w:spacing w:val="6"/>
                <w:sz w:val="24"/>
                <w:szCs w:val="24"/>
              </w:rPr>
              <w:t>灯杆无明显倾斜、无损坏、</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无非法附着物（飞线）</w:t>
            </w:r>
          </w:p>
        </w:tc>
        <w:tc>
          <w:tcPr>
            <w:tcW w:w="3233" w:type="dxa"/>
            <w:vAlign w:val="top"/>
          </w:tcPr>
          <w:p w14:paraId="56DB36F5">
            <w:pPr>
              <w:spacing w:before="111" w:line="252" w:lineRule="auto"/>
              <w:ind w:left="135" w:right="293" w:hanging="23"/>
              <w:rPr>
                <w:rFonts w:ascii="宋体" w:hAnsi="宋体" w:eastAsia="宋体" w:cs="宋体"/>
                <w:color w:val="auto"/>
                <w:sz w:val="24"/>
                <w:szCs w:val="24"/>
              </w:rPr>
            </w:pPr>
            <w:r>
              <w:rPr>
                <w:rFonts w:ascii="宋体" w:hAnsi="宋体" w:eastAsia="宋体" w:cs="宋体"/>
                <w:color w:val="auto"/>
                <w:spacing w:val="8"/>
                <w:sz w:val="24"/>
                <w:szCs w:val="24"/>
              </w:rPr>
              <w:t>每发现一处问题，扣0.1分；整段道路性</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问题，扣1分</w:t>
            </w:r>
          </w:p>
        </w:tc>
        <w:tc>
          <w:tcPr>
            <w:tcW w:w="1350" w:type="dxa"/>
            <w:vAlign w:val="top"/>
          </w:tcPr>
          <w:p w14:paraId="466861C0">
            <w:pPr>
              <w:rPr>
                <w:rFonts w:ascii="Arial"/>
                <w:color w:val="auto"/>
                <w:sz w:val="24"/>
                <w:szCs w:val="24"/>
              </w:rPr>
            </w:pPr>
          </w:p>
        </w:tc>
      </w:tr>
      <w:tr w14:paraId="28E67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00" w:type="dxa"/>
            <w:vMerge w:val="continue"/>
            <w:tcBorders>
              <w:top w:val="nil"/>
              <w:bottom w:val="nil"/>
            </w:tcBorders>
            <w:vAlign w:val="top"/>
          </w:tcPr>
          <w:p w14:paraId="3F1F450C">
            <w:pPr>
              <w:jc w:val="center"/>
              <w:rPr>
                <w:rFonts w:ascii="Arial"/>
                <w:color w:val="auto"/>
                <w:sz w:val="24"/>
                <w:szCs w:val="24"/>
              </w:rPr>
            </w:pPr>
          </w:p>
        </w:tc>
        <w:tc>
          <w:tcPr>
            <w:tcW w:w="975" w:type="dxa"/>
            <w:vMerge w:val="continue"/>
            <w:tcBorders>
              <w:top w:val="nil"/>
              <w:bottom w:val="nil"/>
            </w:tcBorders>
            <w:vAlign w:val="top"/>
          </w:tcPr>
          <w:p w14:paraId="389E7896">
            <w:pPr>
              <w:jc w:val="center"/>
              <w:rPr>
                <w:rFonts w:ascii="Arial"/>
                <w:color w:val="auto"/>
                <w:sz w:val="24"/>
                <w:szCs w:val="24"/>
              </w:rPr>
            </w:pPr>
          </w:p>
        </w:tc>
        <w:tc>
          <w:tcPr>
            <w:tcW w:w="1050" w:type="dxa"/>
            <w:vMerge w:val="continue"/>
            <w:tcBorders>
              <w:top w:val="nil"/>
              <w:bottom w:val="nil"/>
            </w:tcBorders>
            <w:vAlign w:val="top"/>
          </w:tcPr>
          <w:p w14:paraId="27E377F0">
            <w:pPr>
              <w:jc w:val="center"/>
              <w:rPr>
                <w:rFonts w:ascii="Arial"/>
                <w:color w:val="auto"/>
                <w:sz w:val="24"/>
                <w:szCs w:val="24"/>
              </w:rPr>
            </w:pPr>
          </w:p>
        </w:tc>
        <w:tc>
          <w:tcPr>
            <w:tcW w:w="2512" w:type="dxa"/>
            <w:vAlign w:val="top"/>
          </w:tcPr>
          <w:p w14:paraId="2DF5B884">
            <w:pPr>
              <w:spacing w:before="34" w:line="242" w:lineRule="auto"/>
              <w:ind w:left="111" w:leftChars="0" w:right="192" w:rightChars="0"/>
              <w:jc w:val="both"/>
              <w:rPr>
                <w:rFonts w:ascii="宋体" w:hAnsi="宋体" w:eastAsia="宋体" w:cs="宋体"/>
                <w:color w:val="auto"/>
                <w:sz w:val="24"/>
                <w:szCs w:val="24"/>
              </w:rPr>
            </w:pPr>
            <w:r>
              <w:rPr>
                <w:rFonts w:ascii="宋体" w:hAnsi="宋体" w:eastAsia="宋体" w:cs="宋体"/>
                <w:color w:val="auto"/>
                <w:spacing w:val="9"/>
                <w:sz w:val="24"/>
                <w:szCs w:val="24"/>
              </w:rPr>
              <w:t>配电箱体完整无缺、无倾斜</w:t>
            </w:r>
            <w:r>
              <w:rPr>
                <w:rFonts w:ascii="宋体" w:hAnsi="宋体" w:eastAsia="宋体" w:cs="宋体"/>
                <w:color w:val="auto"/>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60"/>
                <w:sz w:val="24"/>
                <w:szCs w:val="24"/>
              </w:rPr>
              <w:t xml:space="preserve"> </w:t>
            </w:r>
            <w:r>
              <w:rPr>
                <w:rFonts w:ascii="宋体" w:hAnsi="宋体" w:eastAsia="宋体" w:cs="宋体"/>
                <w:color w:val="auto"/>
                <w:spacing w:val="4"/>
                <w:sz w:val="24"/>
                <w:szCs w:val="24"/>
              </w:rPr>
              <w:t>基座无损坏、有编号、门</w:t>
            </w:r>
            <w:r>
              <w:rPr>
                <w:rFonts w:ascii="宋体" w:hAnsi="宋体" w:eastAsia="宋体" w:cs="宋体"/>
                <w:color w:val="auto"/>
                <w:sz w:val="24"/>
                <w:szCs w:val="24"/>
              </w:rPr>
              <w:t xml:space="preserve"> </w:t>
            </w:r>
            <w:r>
              <w:rPr>
                <w:rFonts w:ascii="宋体" w:hAnsi="宋体" w:eastAsia="宋体" w:cs="宋体"/>
                <w:color w:val="auto"/>
                <w:spacing w:val="9"/>
                <w:sz w:val="24"/>
                <w:szCs w:val="24"/>
              </w:rPr>
              <w:t>锁完好、箱门报警装置运行</w:t>
            </w:r>
            <w:r>
              <w:rPr>
                <w:rFonts w:ascii="宋体" w:hAnsi="宋体" w:eastAsia="宋体" w:cs="宋体"/>
                <w:color w:val="auto"/>
                <w:sz w:val="24"/>
                <w:szCs w:val="24"/>
              </w:rPr>
              <w:t xml:space="preserve"> </w:t>
            </w:r>
            <w:r>
              <w:rPr>
                <w:rFonts w:ascii="宋体" w:hAnsi="宋体" w:eastAsia="宋体" w:cs="宋体"/>
                <w:color w:val="auto"/>
                <w:spacing w:val="7"/>
                <w:sz w:val="24"/>
                <w:szCs w:val="24"/>
              </w:rPr>
              <w:t>正常等。（5分）</w:t>
            </w:r>
          </w:p>
        </w:tc>
        <w:tc>
          <w:tcPr>
            <w:tcW w:w="3233" w:type="dxa"/>
            <w:vAlign w:val="top"/>
          </w:tcPr>
          <w:p w14:paraId="45BFD328">
            <w:pPr>
              <w:spacing w:line="373" w:lineRule="auto"/>
              <w:rPr>
                <w:rFonts w:ascii="Arial"/>
                <w:color w:val="auto"/>
                <w:sz w:val="24"/>
                <w:szCs w:val="24"/>
              </w:rPr>
            </w:pPr>
          </w:p>
          <w:p w14:paraId="5CB8199E">
            <w:pPr>
              <w:spacing w:before="65" w:line="228" w:lineRule="auto"/>
              <w:ind w:left="112" w:leftChars="0"/>
              <w:rPr>
                <w:rFonts w:ascii="宋体" w:hAnsi="宋体" w:eastAsia="宋体" w:cs="宋体"/>
                <w:color w:val="auto"/>
                <w:sz w:val="24"/>
                <w:szCs w:val="24"/>
              </w:rPr>
            </w:pPr>
            <w:r>
              <w:rPr>
                <w:rFonts w:ascii="宋体" w:hAnsi="宋体" w:eastAsia="宋体" w:cs="宋体"/>
                <w:color w:val="auto"/>
                <w:spacing w:val="8"/>
                <w:sz w:val="24"/>
                <w:szCs w:val="24"/>
              </w:rPr>
              <w:t>每发现一处问题未整改，扣0.2分</w:t>
            </w:r>
          </w:p>
        </w:tc>
        <w:tc>
          <w:tcPr>
            <w:tcW w:w="1350" w:type="dxa"/>
            <w:vAlign w:val="top"/>
          </w:tcPr>
          <w:p w14:paraId="10787BB8">
            <w:pPr>
              <w:rPr>
                <w:rFonts w:ascii="Arial"/>
                <w:color w:val="auto"/>
                <w:sz w:val="24"/>
                <w:szCs w:val="24"/>
              </w:rPr>
            </w:pPr>
          </w:p>
        </w:tc>
      </w:tr>
      <w:tr w14:paraId="69BE4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600" w:type="dxa"/>
            <w:vMerge w:val="continue"/>
            <w:tcBorders>
              <w:top w:val="nil"/>
              <w:bottom w:val="nil"/>
            </w:tcBorders>
            <w:vAlign w:val="top"/>
          </w:tcPr>
          <w:p w14:paraId="2B269248">
            <w:pPr>
              <w:jc w:val="center"/>
              <w:rPr>
                <w:rFonts w:ascii="Arial"/>
                <w:color w:val="auto"/>
                <w:sz w:val="24"/>
                <w:szCs w:val="24"/>
              </w:rPr>
            </w:pPr>
          </w:p>
        </w:tc>
        <w:tc>
          <w:tcPr>
            <w:tcW w:w="975" w:type="dxa"/>
            <w:vMerge w:val="continue"/>
            <w:tcBorders>
              <w:top w:val="nil"/>
              <w:bottom w:val="nil"/>
            </w:tcBorders>
            <w:vAlign w:val="top"/>
          </w:tcPr>
          <w:p w14:paraId="0080FBD3">
            <w:pPr>
              <w:jc w:val="center"/>
              <w:rPr>
                <w:rFonts w:ascii="Arial"/>
                <w:color w:val="auto"/>
                <w:sz w:val="24"/>
                <w:szCs w:val="24"/>
              </w:rPr>
            </w:pPr>
          </w:p>
        </w:tc>
        <w:tc>
          <w:tcPr>
            <w:tcW w:w="1050" w:type="dxa"/>
            <w:vMerge w:val="continue"/>
            <w:tcBorders>
              <w:top w:val="nil"/>
              <w:bottom w:val="nil"/>
            </w:tcBorders>
            <w:vAlign w:val="top"/>
          </w:tcPr>
          <w:p w14:paraId="56B75A6B">
            <w:pPr>
              <w:jc w:val="center"/>
              <w:rPr>
                <w:rFonts w:ascii="Arial"/>
                <w:color w:val="auto"/>
                <w:sz w:val="24"/>
                <w:szCs w:val="24"/>
              </w:rPr>
            </w:pPr>
          </w:p>
        </w:tc>
        <w:tc>
          <w:tcPr>
            <w:tcW w:w="2512" w:type="dxa"/>
            <w:vAlign w:val="top"/>
          </w:tcPr>
          <w:p w14:paraId="099E4C1F">
            <w:pPr>
              <w:spacing w:before="34" w:line="244" w:lineRule="auto"/>
              <w:ind w:left="112" w:right="192" w:firstLine="4"/>
              <w:jc w:val="both"/>
              <w:rPr>
                <w:rFonts w:ascii="宋体" w:hAnsi="宋体" w:eastAsia="宋体" w:cs="宋体"/>
                <w:color w:val="auto"/>
                <w:sz w:val="24"/>
                <w:szCs w:val="24"/>
              </w:rPr>
            </w:pPr>
            <w:r>
              <w:rPr>
                <w:rFonts w:ascii="宋体" w:hAnsi="宋体" w:eastAsia="宋体" w:cs="宋体"/>
                <w:color w:val="auto"/>
                <w:spacing w:val="8"/>
                <w:sz w:val="24"/>
                <w:szCs w:val="24"/>
              </w:rPr>
              <w:t>定期巡检电缆线路与架空线</w:t>
            </w:r>
            <w:r>
              <w:rPr>
                <w:rFonts w:ascii="宋体" w:hAnsi="宋体" w:eastAsia="宋体" w:cs="宋体"/>
                <w:color w:val="auto"/>
                <w:spacing w:val="7"/>
                <w:sz w:val="24"/>
                <w:szCs w:val="24"/>
              </w:rPr>
              <w:t xml:space="preserve"> </w:t>
            </w:r>
            <w:r>
              <w:rPr>
                <w:rFonts w:ascii="宋体" w:hAnsi="宋体" w:eastAsia="宋体" w:cs="宋体"/>
                <w:color w:val="auto"/>
                <w:spacing w:val="9"/>
                <w:sz w:val="24"/>
                <w:szCs w:val="24"/>
              </w:rPr>
              <w:t>路，地下电缆无裸露，架空</w:t>
            </w:r>
            <w:r>
              <w:rPr>
                <w:rFonts w:ascii="宋体" w:hAnsi="宋体" w:eastAsia="宋体" w:cs="宋体"/>
                <w:color w:val="auto"/>
                <w:sz w:val="24"/>
                <w:szCs w:val="24"/>
              </w:rPr>
              <w:t xml:space="preserve"> </w:t>
            </w:r>
            <w:r>
              <w:rPr>
                <w:rFonts w:ascii="宋体" w:hAnsi="宋体" w:eastAsia="宋体" w:cs="宋体"/>
                <w:color w:val="auto"/>
                <w:spacing w:val="9"/>
                <w:sz w:val="24"/>
                <w:szCs w:val="24"/>
              </w:rPr>
              <w:t>电线无悬挂脱落、导线弧垂</w:t>
            </w:r>
            <w:r>
              <w:rPr>
                <w:rFonts w:ascii="宋体" w:hAnsi="宋体" w:eastAsia="宋体" w:cs="宋体"/>
                <w:color w:val="auto"/>
                <w:sz w:val="24"/>
                <w:szCs w:val="24"/>
              </w:rPr>
              <w:t xml:space="preserve"> </w:t>
            </w:r>
            <w:r>
              <w:rPr>
                <w:rFonts w:ascii="宋体" w:hAnsi="宋体" w:eastAsia="宋体" w:cs="宋体"/>
                <w:color w:val="auto"/>
                <w:spacing w:val="8"/>
                <w:sz w:val="24"/>
                <w:szCs w:val="24"/>
              </w:rPr>
              <w:t>过合理、无树枝影响。（4</w:t>
            </w:r>
            <w:r>
              <w:rPr>
                <w:rFonts w:ascii="宋体" w:hAnsi="宋体" w:eastAsia="宋体" w:cs="宋体"/>
                <w:color w:val="auto"/>
                <w:spacing w:val="4"/>
                <w:sz w:val="24"/>
                <w:szCs w:val="24"/>
              </w:rPr>
              <w:t xml:space="preserve">  </w:t>
            </w:r>
            <w:r>
              <w:rPr>
                <w:rFonts w:ascii="宋体" w:hAnsi="宋体" w:eastAsia="宋体" w:cs="宋体"/>
                <w:color w:val="auto"/>
                <w:sz w:val="24"/>
                <w:szCs w:val="24"/>
              </w:rPr>
              <w:t>分）</w:t>
            </w:r>
          </w:p>
        </w:tc>
        <w:tc>
          <w:tcPr>
            <w:tcW w:w="3233" w:type="dxa"/>
            <w:vAlign w:val="top"/>
          </w:tcPr>
          <w:p w14:paraId="162C18B2">
            <w:pPr>
              <w:spacing w:line="255" w:lineRule="auto"/>
              <w:rPr>
                <w:rFonts w:ascii="Arial"/>
                <w:color w:val="auto"/>
                <w:sz w:val="24"/>
                <w:szCs w:val="24"/>
              </w:rPr>
            </w:pPr>
          </w:p>
          <w:p w14:paraId="73917EB2">
            <w:pPr>
              <w:spacing w:line="255" w:lineRule="auto"/>
              <w:rPr>
                <w:rFonts w:ascii="Arial"/>
                <w:color w:val="auto"/>
                <w:sz w:val="24"/>
                <w:szCs w:val="24"/>
              </w:rPr>
            </w:pPr>
          </w:p>
          <w:p w14:paraId="2258DDB5">
            <w:pPr>
              <w:spacing w:before="65" w:line="228" w:lineRule="auto"/>
              <w:ind w:left="112"/>
              <w:rPr>
                <w:rFonts w:ascii="宋体" w:hAnsi="宋体" w:eastAsia="宋体" w:cs="宋体"/>
                <w:color w:val="auto"/>
                <w:sz w:val="24"/>
                <w:szCs w:val="24"/>
              </w:rPr>
            </w:pPr>
            <w:r>
              <w:rPr>
                <w:rFonts w:ascii="宋体" w:hAnsi="宋体" w:eastAsia="宋体" w:cs="宋体"/>
                <w:color w:val="auto"/>
                <w:spacing w:val="8"/>
                <w:sz w:val="24"/>
                <w:szCs w:val="24"/>
              </w:rPr>
              <w:t>每发现一处问题，未整改扣0.5分</w:t>
            </w:r>
          </w:p>
        </w:tc>
        <w:tc>
          <w:tcPr>
            <w:tcW w:w="1350" w:type="dxa"/>
            <w:vAlign w:val="top"/>
          </w:tcPr>
          <w:p w14:paraId="086D8EF7">
            <w:pPr>
              <w:rPr>
                <w:rFonts w:ascii="Arial"/>
                <w:color w:val="auto"/>
                <w:sz w:val="24"/>
                <w:szCs w:val="24"/>
              </w:rPr>
            </w:pPr>
          </w:p>
        </w:tc>
      </w:tr>
      <w:tr w14:paraId="0B644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00" w:type="dxa"/>
            <w:vMerge w:val="continue"/>
            <w:tcBorders>
              <w:top w:val="nil"/>
            </w:tcBorders>
            <w:vAlign w:val="top"/>
          </w:tcPr>
          <w:p w14:paraId="1E960B22">
            <w:pPr>
              <w:jc w:val="center"/>
              <w:rPr>
                <w:rFonts w:ascii="Arial"/>
                <w:color w:val="auto"/>
                <w:sz w:val="24"/>
                <w:szCs w:val="24"/>
              </w:rPr>
            </w:pPr>
          </w:p>
        </w:tc>
        <w:tc>
          <w:tcPr>
            <w:tcW w:w="975" w:type="dxa"/>
            <w:vMerge w:val="continue"/>
            <w:tcBorders>
              <w:top w:val="nil"/>
            </w:tcBorders>
            <w:vAlign w:val="top"/>
          </w:tcPr>
          <w:p w14:paraId="4F0E8DA2">
            <w:pPr>
              <w:jc w:val="center"/>
              <w:rPr>
                <w:rFonts w:ascii="Arial"/>
                <w:color w:val="auto"/>
                <w:sz w:val="24"/>
                <w:szCs w:val="24"/>
              </w:rPr>
            </w:pPr>
          </w:p>
        </w:tc>
        <w:tc>
          <w:tcPr>
            <w:tcW w:w="1050" w:type="dxa"/>
            <w:vMerge w:val="continue"/>
            <w:tcBorders>
              <w:top w:val="nil"/>
            </w:tcBorders>
            <w:vAlign w:val="top"/>
          </w:tcPr>
          <w:p w14:paraId="6D6551F8">
            <w:pPr>
              <w:jc w:val="center"/>
              <w:rPr>
                <w:rFonts w:ascii="Arial"/>
                <w:color w:val="auto"/>
                <w:sz w:val="24"/>
                <w:szCs w:val="24"/>
              </w:rPr>
            </w:pPr>
          </w:p>
        </w:tc>
        <w:tc>
          <w:tcPr>
            <w:tcW w:w="2512" w:type="dxa"/>
            <w:vAlign w:val="top"/>
          </w:tcPr>
          <w:p w14:paraId="4A9356CC">
            <w:pPr>
              <w:spacing w:before="36" w:line="232" w:lineRule="auto"/>
              <w:ind w:left="114" w:right="192" w:hanging="2"/>
              <w:rPr>
                <w:rFonts w:ascii="宋体" w:hAnsi="宋体" w:eastAsia="宋体" w:cs="宋体"/>
                <w:color w:val="auto"/>
                <w:sz w:val="24"/>
                <w:szCs w:val="24"/>
              </w:rPr>
            </w:pPr>
            <w:r>
              <w:rPr>
                <w:rFonts w:ascii="宋体" w:hAnsi="宋体" w:eastAsia="宋体" w:cs="宋体"/>
                <w:color w:val="auto"/>
                <w:spacing w:val="9"/>
                <w:sz w:val="24"/>
                <w:szCs w:val="24"/>
              </w:rPr>
              <w:t>擅自迁移（拆除）各类路灯</w:t>
            </w:r>
            <w:r>
              <w:rPr>
                <w:rFonts w:ascii="宋体" w:hAnsi="宋体" w:eastAsia="宋体" w:cs="宋体"/>
                <w:color w:val="auto"/>
                <w:sz w:val="24"/>
                <w:szCs w:val="24"/>
              </w:rPr>
              <w:t xml:space="preserve"> </w:t>
            </w:r>
            <w:r>
              <w:rPr>
                <w:rFonts w:ascii="宋体" w:hAnsi="宋体" w:eastAsia="宋体" w:cs="宋体"/>
                <w:color w:val="auto"/>
                <w:spacing w:val="7"/>
                <w:sz w:val="24"/>
                <w:szCs w:val="24"/>
              </w:rPr>
              <w:t>设施情况。（6分）</w:t>
            </w:r>
          </w:p>
        </w:tc>
        <w:tc>
          <w:tcPr>
            <w:tcW w:w="3233" w:type="dxa"/>
            <w:vAlign w:val="top"/>
          </w:tcPr>
          <w:p w14:paraId="6DE807BF">
            <w:pPr>
              <w:spacing w:before="170" w:line="228" w:lineRule="auto"/>
              <w:ind w:left="112"/>
              <w:rPr>
                <w:rFonts w:ascii="宋体" w:hAnsi="宋体" w:eastAsia="宋体" w:cs="宋体"/>
                <w:color w:val="auto"/>
                <w:sz w:val="24"/>
                <w:szCs w:val="24"/>
              </w:rPr>
            </w:pPr>
            <w:r>
              <w:rPr>
                <w:rFonts w:ascii="宋体" w:hAnsi="宋体" w:eastAsia="宋体" w:cs="宋体"/>
                <w:color w:val="auto"/>
                <w:spacing w:val="9"/>
                <w:sz w:val="24"/>
                <w:szCs w:val="24"/>
              </w:rPr>
              <w:t>每发现一次擅自情况未报备，扣2分</w:t>
            </w:r>
          </w:p>
        </w:tc>
        <w:tc>
          <w:tcPr>
            <w:tcW w:w="1350" w:type="dxa"/>
            <w:vAlign w:val="top"/>
          </w:tcPr>
          <w:p w14:paraId="2802297F">
            <w:pPr>
              <w:rPr>
                <w:rFonts w:ascii="Arial"/>
                <w:color w:val="auto"/>
                <w:sz w:val="24"/>
                <w:szCs w:val="24"/>
              </w:rPr>
            </w:pPr>
          </w:p>
        </w:tc>
      </w:tr>
      <w:tr w14:paraId="44721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00" w:type="dxa"/>
            <w:vAlign w:val="top"/>
          </w:tcPr>
          <w:p w14:paraId="3871FE04">
            <w:pPr>
              <w:spacing w:line="376" w:lineRule="auto"/>
              <w:jc w:val="center"/>
              <w:rPr>
                <w:rFonts w:ascii="Arial"/>
                <w:color w:val="auto"/>
                <w:sz w:val="24"/>
                <w:szCs w:val="24"/>
              </w:rPr>
            </w:pPr>
          </w:p>
          <w:p w14:paraId="16771B04">
            <w:pPr>
              <w:spacing w:before="65" w:line="266" w:lineRule="exact"/>
              <w:ind w:left="114"/>
              <w:jc w:val="center"/>
              <w:rPr>
                <w:rFonts w:hint="eastAsia" w:ascii="宋体" w:hAnsi="宋体" w:eastAsia="宋体" w:cs="宋体"/>
                <w:color w:val="auto"/>
                <w:sz w:val="24"/>
                <w:szCs w:val="24"/>
                <w:lang w:eastAsia="zh-CN"/>
              </w:rPr>
            </w:pPr>
            <w:r>
              <w:rPr>
                <w:rFonts w:hint="eastAsia" w:ascii="宋体" w:hAnsi="宋体" w:eastAsia="宋体" w:cs="宋体"/>
                <w:color w:val="auto"/>
                <w:position w:val="1"/>
                <w:sz w:val="24"/>
                <w:szCs w:val="24"/>
                <w:lang w:val="en-US" w:eastAsia="zh-CN"/>
              </w:rPr>
              <w:t>3</w:t>
            </w:r>
          </w:p>
        </w:tc>
        <w:tc>
          <w:tcPr>
            <w:tcW w:w="2025" w:type="dxa"/>
            <w:gridSpan w:val="2"/>
            <w:vAlign w:val="top"/>
          </w:tcPr>
          <w:p w14:paraId="649F681C">
            <w:pPr>
              <w:spacing w:line="243" w:lineRule="auto"/>
              <w:jc w:val="center"/>
              <w:rPr>
                <w:rFonts w:ascii="Arial"/>
                <w:color w:val="auto"/>
                <w:sz w:val="24"/>
                <w:szCs w:val="24"/>
              </w:rPr>
            </w:pPr>
          </w:p>
          <w:p w14:paraId="1DB701E5">
            <w:pPr>
              <w:spacing w:before="65" w:line="253" w:lineRule="auto"/>
              <w:ind w:left="132" w:right="126" w:hanging="21"/>
              <w:jc w:val="center"/>
              <w:rPr>
                <w:rFonts w:ascii="宋体" w:hAnsi="宋体" w:eastAsia="宋体" w:cs="宋体"/>
                <w:color w:val="auto"/>
                <w:sz w:val="24"/>
                <w:szCs w:val="24"/>
              </w:rPr>
            </w:pPr>
            <w:r>
              <w:rPr>
                <w:rFonts w:ascii="宋体" w:hAnsi="宋体" w:eastAsia="宋体" w:cs="宋体"/>
                <w:color w:val="auto"/>
                <w:spacing w:val="7"/>
                <w:sz w:val="24"/>
                <w:szCs w:val="24"/>
              </w:rPr>
              <w:t>重点工作（10分</w:t>
            </w:r>
            <w:r>
              <w:rPr>
                <w:rFonts w:ascii="宋体" w:hAnsi="宋体" w:eastAsia="宋体" w:cs="宋体"/>
                <w:color w:val="auto"/>
                <w:spacing w:val="3"/>
                <w:sz w:val="24"/>
                <w:szCs w:val="24"/>
              </w:rPr>
              <w:t xml:space="preserve"> </w:t>
            </w:r>
            <w:r>
              <w:rPr>
                <w:rFonts w:ascii="宋体" w:hAnsi="宋体" w:eastAsia="宋体" w:cs="宋体"/>
                <w:color w:val="auto"/>
                <w:sz w:val="24"/>
                <w:szCs w:val="24"/>
              </w:rPr>
              <w:t>)</w:t>
            </w:r>
          </w:p>
        </w:tc>
        <w:tc>
          <w:tcPr>
            <w:tcW w:w="2512" w:type="dxa"/>
            <w:vAlign w:val="top"/>
          </w:tcPr>
          <w:p w14:paraId="61C4FE88">
            <w:pPr>
              <w:spacing w:before="33" w:line="243" w:lineRule="auto"/>
              <w:ind w:left="112" w:right="188"/>
              <w:jc w:val="both"/>
              <w:rPr>
                <w:rFonts w:ascii="宋体" w:hAnsi="宋体" w:eastAsia="宋体" w:cs="宋体"/>
                <w:color w:val="auto"/>
                <w:sz w:val="24"/>
                <w:szCs w:val="24"/>
              </w:rPr>
            </w:pPr>
            <w:r>
              <w:rPr>
                <w:rFonts w:ascii="宋体" w:hAnsi="宋体" w:eastAsia="宋体" w:cs="宋体"/>
                <w:color w:val="auto"/>
                <w:spacing w:val="9"/>
                <w:sz w:val="24"/>
                <w:szCs w:val="24"/>
              </w:rPr>
              <w:t>养护计划月完成情况、网格</w:t>
            </w:r>
            <w:r>
              <w:rPr>
                <w:rFonts w:ascii="宋体" w:hAnsi="宋体" w:eastAsia="宋体" w:cs="宋体"/>
                <w:color w:val="auto"/>
                <w:sz w:val="24"/>
                <w:szCs w:val="24"/>
              </w:rPr>
              <w:t xml:space="preserve"> </w:t>
            </w:r>
            <w:r>
              <w:rPr>
                <w:rFonts w:ascii="宋体" w:hAnsi="宋体" w:eastAsia="宋体" w:cs="宋体"/>
                <w:color w:val="auto"/>
                <w:spacing w:val="9"/>
                <w:sz w:val="24"/>
                <w:szCs w:val="24"/>
              </w:rPr>
              <w:t>化重点工作完成情况、领导</w:t>
            </w:r>
            <w:r>
              <w:rPr>
                <w:rFonts w:ascii="宋体" w:hAnsi="宋体" w:eastAsia="宋体" w:cs="宋体"/>
                <w:color w:val="auto"/>
                <w:sz w:val="24"/>
                <w:szCs w:val="24"/>
              </w:rPr>
              <w:t xml:space="preserve"> </w:t>
            </w:r>
            <w:r>
              <w:rPr>
                <w:rFonts w:ascii="宋体" w:hAnsi="宋体" w:eastAsia="宋体" w:cs="宋体"/>
                <w:color w:val="auto"/>
                <w:spacing w:val="8"/>
                <w:sz w:val="24"/>
                <w:szCs w:val="24"/>
              </w:rPr>
              <w:t>交办工作完成情况等。（10</w:t>
            </w:r>
            <w:r>
              <w:rPr>
                <w:rFonts w:ascii="宋体" w:hAnsi="宋体" w:eastAsia="宋体" w:cs="宋体"/>
                <w:color w:val="auto"/>
                <w:spacing w:val="7"/>
                <w:sz w:val="24"/>
                <w:szCs w:val="24"/>
              </w:rPr>
              <w:t xml:space="preserve"> </w:t>
            </w:r>
            <w:r>
              <w:rPr>
                <w:rFonts w:ascii="宋体" w:hAnsi="宋体" w:eastAsia="宋体" w:cs="宋体"/>
                <w:color w:val="auto"/>
                <w:sz w:val="24"/>
                <w:szCs w:val="24"/>
              </w:rPr>
              <w:t>分）</w:t>
            </w:r>
          </w:p>
        </w:tc>
        <w:tc>
          <w:tcPr>
            <w:tcW w:w="3233" w:type="dxa"/>
            <w:vAlign w:val="top"/>
          </w:tcPr>
          <w:p w14:paraId="6794C505">
            <w:pPr>
              <w:spacing w:line="242" w:lineRule="auto"/>
              <w:rPr>
                <w:rFonts w:ascii="Arial"/>
                <w:color w:val="auto"/>
                <w:sz w:val="24"/>
                <w:szCs w:val="24"/>
              </w:rPr>
            </w:pPr>
          </w:p>
          <w:p w14:paraId="35C4C9DF">
            <w:pPr>
              <w:spacing w:before="65" w:line="252" w:lineRule="auto"/>
              <w:ind w:left="127" w:right="190" w:hanging="13"/>
              <w:rPr>
                <w:rFonts w:ascii="宋体" w:hAnsi="宋体" w:eastAsia="宋体" w:cs="宋体"/>
                <w:color w:val="auto"/>
                <w:sz w:val="24"/>
                <w:szCs w:val="24"/>
              </w:rPr>
            </w:pPr>
            <w:r>
              <w:rPr>
                <w:rFonts w:ascii="宋体" w:hAnsi="宋体" w:eastAsia="宋体" w:cs="宋体"/>
                <w:color w:val="auto"/>
                <w:spacing w:val="8"/>
                <w:sz w:val="24"/>
                <w:szCs w:val="24"/>
              </w:rPr>
              <w:t>单项重点工作，完成度100%不扣分，每低</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1%，扣0.1分</w:t>
            </w:r>
          </w:p>
        </w:tc>
        <w:tc>
          <w:tcPr>
            <w:tcW w:w="1350" w:type="dxa"/>
            <w:vAlign w:val="top"/>
          </w:tcPr>
          <w:p w14:paraId="0CDD017D">
            <w:pPr>
              <w:rPr>
                <w:rFonts w:ascii="Arial"/>
                <w:color w:val="auto"/>
                <w:sz w:val="24"/>
                <w:szCs w:val="24"/>
              </w:rPr>
            </w:pPr>
          </w:p>
        </w:tc>
      </w:tr>
      <w:tr w14:paraId="39B41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00" w:type="dxa"/>
            <w:vMerge w:val="restart"/>
            <w:vAlign w:val="top"/>
          </w:tcPr>
          <w:p w14:paraId="4949C7A8">
            <w:pPr>
              <w:spacing w:before="65" w:line="266" w:lineRule="exact"/>
              <w:ind w:left="114"/>
              <w:jc w:val="center"/>
              <w:rPr>
                <w:rFonts w:hint="eastAsia" w:ascii="宋体" w:hAnsi="宋体" w:eastAsia="宋体" w:cs="宋体"/>
                <w:color w:val="auto"/>
                <w:position w:val="1"/>
                <w:sz w:val="24"/>
                <w:szCs w:val="24"/>
                <w:lang w:val="en-US" w:eastAsia="zh-CN"/>
              </w:rPr>
            </w:pPr>
            <w:r>
              <w:rPr>
                <w:rFonts w:hint="eastAsia" w:ascii="宋体" w:hAnsi="宋体" w:eastAsia="宋体" w:cs="宋体"/>
                <w:color w:val="auto"/>
                <w:position w:val="1"/>
                <w:sz w:val="24"/>
                <w:szCs w:val="24"/>
                <w:lang w:val="en-US" w:eastAsia="zh-CN"/>
              </w:rPr>
              <w:t xml:space="preserve"> </w:t>
            </w:r>
          </w:p>
          <w:p w14:paraId="313A1A8A">
            <w:pPr>
              <w:spacing w:before="65" w:line="266" w:lineRule="exact"/>
              <w:ind w:left="114"/>
              <w:jc w:val="center"/>
              <w:rPr>
                <w:rFonts w:hint="eastAsia" w:ascii="宋体" w:hAnsi="宋体" w:eastAsia="宋体" w:cs="宋体"/>
                <w:color w:val="auto"/>
                <w:position w:val="1"/>
                <w:sz w:val="24"/>
                <w:szCs w:val="24"/>
                <w:lang w:val="en-US" w:eastAsia="zh-CN"/>
              </w:rPr>
            </w:pPr>
          </w:p>
          <w:p w14:paraId="5996582E">
            <w:pPr>
              <w:spacing w:before="65" w:line="266" w:lineRule="exact"/>
              <w:ind w:left="114"/>
              <w:jc w:val="center"/>
              <w:rPr>
                <w:rFonts w:hint="eastAsia" w:ascii="宋体" w:hAnsi="宋体" w:eastAsia="宋体" w:cs="宋体"/>
                <w:color w:val="auto"/>
                <w:position w:val="1"/>
                <w:sz w:val="24"/>
                <w:szCs w:val="24"/>
                <w:lang w:val="en-US" w:eastAsia="zh-CN"/>
              </w:rPr>
            </w:pPr>
          </w:p>
          <w:p w14:paraId="6E7AEF35">
            <w:pPr>
              <w:spacing w:before="65" w:line="266" w:lineRule="exact"/>
              <w:ind w:left="114"/>
              <w:jc w:val="center"/>
              <w:rPr>
                <w:rFonts w:hint="eastAsia" w:ascii="宋体" w:hAnsi="宋体" w:eastAsia="宋体" w:cs="宋体"/>
                <w:color w:val="auto"/>
                <w:position w:val="1"/>
                <w:sz w:val="24"/>
                <w:szCs w:val="24"/>
                <w:lang w:val="en-US" w:eastAsia="zh-CN"/>
              </w:rPr>
            </w:pPr>
          </w:p>
          <w:p w14:paraId="1253344E">
            <w:pPr>
              <w:spacing w:before="65" w:line="266" w:lineRule="exact"/>
              <w:ind w:left="114"/>
              <w:jc w:val="center"/>
              <w:rPr>
                <w:rFonts w:hint="default" w:ascii="宋体" w:hAnsi="宋体" w:eastAsia="宋体" w:cs="宋体"/>
                <w:color w:val="auto"/>
                <w:position w:val="1"/>
                <w:sz w:val="24"/>
                <w:szCs w:val="24"/>
                <w:lang w:val="en-US" w:eastAsia="zh-CN"/>
              </w:rPr>
            </w:pPr>
            <w:r>
              <w:rPr>
                <w:rFonts w:hint="eastAsia" w:ascii="宋体" w:hAnsi="宋体" w:eastAsia="宋体" w:cs="宋体"/>
                <w:color w:val="auto"/>
                <w:position w:val="1"/>
                <w:sz w:val="24"/>
                <w:szCs w:val="24"/>
                <w:lang w:val="en-US" w:eastAsia="zh-CN"/>
              </w:rPr>
              <w:t>4</w:t>
            </w:r>
          </w:p>
        </w:tc>
        <w:tc>
          <w:tcPr>
            <w:tcW w:w="2025" w:type="dxa"/>
            <w:gridSpan w:val="2"/>
            <w:vMerge w:val="restart"/>
            <w:vAlign w:val="top"/>
          </w:tcPr>
          <w:p w14:paraId="652559B4">
            <w:pPr>
              <w:spacing w:before="65" w:line="253" w:lineRule="auto"/>
              <w:ind w:left="132" w:right="126" w:hanging="21"/>
              <w:jc w:val="center"/>
              <w:rPr>
                <w:rFonts w:ascii="宋体" w:hAnsi="宋体" w:eastAsia="宋体" w:cs="宋体"/>
                <w:color w:val="auto"/>
                <w:spacing w:val="7"/>
                <w:sz w:val="24"/>
                <w:szCs w:val="24"/>
              </w:rPr>
            </w:pPr>
          </w:p>
          <w:p w14:paraId="44B3CB33">
            <w:pPr>
              <w:spacing w:before="65" w:line="253" w:lineRule="auto"/>
              <w:ind w:left="132" w:right="126" w:hanging="21"/>
              <w:jc w:val="center"/>
              <w:rPr>
                <w:rFonts w:ascii="宋体" w:hAnsi="宋体" w:eastAsia="宋体" w:cs="宋体"/>
                <w:color w:val="auto"/>
                <w:spacing w:val="7"/>
                <w:sz w:val="24"/>
                <w:szCs w:val="24"/>
              </w:rPr>
            </w:pPr>
          </w:p>
          <w:p w14:paraId="3C87D2C2">
            <w:pPr>
              <w:spacing w:before="65" w:line="253" w:lineRule="auto"/>
              <w:ind w:left="132" w:right="126" w:hanging="21"/>
              <w:jc w:val="center"/>
              <w:rPr>
                <w:rFonts w:ascii="宋体" w:hAnsi="宋体" w:eastAsia="宋体" w:cs="宋体"/>
                <w:color w:val="auto"/>
                <w:spacing w:val="7"/>
                <w:sz w:val="24"/>
                <w:szCs w:val="24"/>
              </w:rPr>
            </w:pPr>
          </w:p>
          <w:p w14:paraId="21CDC853">
            <w:pPr>
              <w:spacing w:before="65" w:line="253" w:lineRule="auto"/>
              <w:ind w:left="132" w:right="126" w:hanging="21"/>
              <w:jc w:val="center"/>
              <w:rPr>
                <w:rFonts w:ascii="宋体" w:hAnsi="宋体" w:eastAsia="宋体" w:cs="宋体"/>
                <w:color w:val="auto"/>
                <w:spacing w:val="7"/>
                <w:sz w:val="24"/>
                <w:szCs w:val="24"/>
              </w:rPr>
            </w:pPr>
            <w:r>
              <w:rPr>
                <w:rFonts w:ascii="宋体" w:hAnsi="宋体" w:eastAsia="宋体" w:cs="宋体"/>
                <w:color w:val="auto"/>
                <w:spacing w:val="7"/>
                <w:sz w:val="24"/>
                <w:szCs w:val="24"/>
              </w:rPr>
              <w:t>社会监督（20分</w:t>
            </w:r>
            <w:r>
              <w:rPr>
                <w:rFonts w:ascii="宋体" w:hAnsi="宋体" w:eastAsia="宋体" w:cs="宋体"/>
                <w:color w:val="auto"/>
                <w:spacing w:val="2"/>
                <w:sz w:val="24"/>
                <w:szCs w:val="24"/>
              </w:rPr>
              <w:t xml:space="preserve"> </w:t>
            </w:r>
            <w:r>
              <w:rPr>
                <w:rFonts w:ascii="宋体" w:hAnsi="宋体" w:eastAsia="宋体" w:cs="宋体"/>
                <w:color w:val="auto"/>
                <w:sz w:val="24"/>
                <w:szCs w:val="24"/>
              </w:rPr>
              <w:t>)</w:t>
            </w:r>
          </w:p>
        </w:tc>
        <w:tc>
          <w:tcPr>
            <w:tcW w:w="2512" w:type="dxa"/>
            <w:vAlign w:val="top"/>
          </w:tcPr>
          <w:p w14:paraId="60977F10">
            <w:pPr>
              <w:spacing w:before="33" w:line="243" w:lineRule="auto"/>
              <w:ind w:left="112" w:right="188"/>
              <w:jc w:val="center"/>
              <w:rPr>
                <w:rFonts w:ascii="宋体" w:hAnsi="宋体" w:eastAsia="宋体" w:cs="宋体"/>
                <w:color w:val="auto"/>
                <w:spacing w:val="9"/>
                <w:sz w:val="24"/>
                <w:szCs w:val="24"/>
              </w:rPr>
            </w:pPr>
            <w:r>
              <w:rPr>
                <w:rFonts w:ascii="宋体" w:hAnsi="宋体" w:eastAsia="宋体" w:cs="宋体"/>
                <w:color w:val="auto"/>
                <w:spacing w:val="7"/>
                <w:sz w:val="24"/>
                <w:szCs w:val="24"/>
              </w:rPr>
              <w:t>单位巡（检）查、12345投</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诉等发现的问题。（10分）</w:t>
            </w:r>
          </w:p>
        </w:tc>
        <w:tc>
          <w:tcPr>
            <w:tcW w:w="3233" w:type="dxa"/>
            <w:vAlign w:val="top"/>
          </w:tcPr>
          <w:p w14:paraId="01F1044F">
            <w:pPr>
              <w:spacing w:line="361" w:lineRule="auto"/>
              <w:jc w:val="center"/>
              <w:rPr>
                <w:rFonts w:ascii="Arial"/>
                <w:color w:val="auto"/>
                <w:sz w:val="24"/>
                <w:szCs w:val="24"/>
              </w:rPr>
            </w:pPr>
          </w:p>
          <w:p w14:paraId="127A6D3B">
            <w:pPr>
              <w:spacing w:before="65" w:line="251" w:lineRule="auto"/>
              <w:ind w:left="114" w:leftChars="0" w:right="190" w:rightChars="0"/>
              <w:jc w:val="center"/>
              <w:rPr>
                <w:rFonts w:ascii="宋体" w:hAnsi="宋体" w:eastAsia="宋体" w:cs="宋体"/>
                <w:color w:val="auto"/>
                <w:spacing w:val="8"/>
                <w:sz w:val="24"/>
                <w:szCs w:val="24"/>
              </w:rPr>
            </w:pPr>
            <w:r>
              <w:rPr>
                <w:rFonts w:ascii="宋体" w:hAnsi="宋体" w:eastAsia="宋体" w:cs="宋体"/>
                <w:color w:val="auto"/>
                <w:spacing w:val="9"/>
                <w:sz w:val="24"/>
                <w:szCs w:val="24"/>
              </w:rPr>
              <w:t>各类问题规定时间内未整改到位，每次扣</w:t>
            </w:r>
            <w:r>
              <w:rPr>
                <w:rFonts w:ascii="宋体" w:hAnsi="宋体" w:eastAsia="宋体" w:cs="宋体"/>
                <w:color w:val="auto"/>
                <w:spacing w:val="4"/>
                <w:sz w:val="24"/>
                <w:szCs w:val="24"/>
              </w:rPr>
              <w:t xml:space="preserve"> </w:t>
            </w:r>
            <w:r>
              <w:rPr>
                <w:rFonts w:ascii="宋体" w:hAnsi="宋体" w:eastAsia="宋体" w:cs="宋体"/>
                <w:color w:val="auto"/>
                <w:spacing w:val="8"/>
                <w:sz w:val="24"/>
                <w:szCs w:val="24"/>
              </w:rPr>
              <w:t>0.5分；未及时回复，每次扣0.5分；</w:t>
            </w:r>
            <w:r>
              <w:rPr>
                <w:rFonts w:ascii="宋体" w:hAnsi="宋体" w:eastAsia="宋体" w:cs="宋体"/>
                <w:color w:val="auto"/>
                <w:spacing w:val="7"/>
                <w:sz w:val="24"/>
                <w:szCs w:val="24"/>
              </w:rPr>
              <w:t>回复</w:t>
            </w:r>
            <w:r>
              <w:rPr>
                <w:rFonts w:ascii="宋体" w:hAnsi="宋体" w:eastAsia="宋体" w:cs="宋体"/>
                <w:color w:val="auto"/>
                <w:sz w:val="24"/>
                <w:szCs w:val="24"/>
              </w:rPr>
              <w:t xml:space="preserve"> </w:t>
            </w:r>
            <w:r>
              <w:rPr>
                <w:rFonts w:ascii="宋体" w:hAnsi="宋体" w:eastAsia="宋体" w:cs="宋体"/>
                <w:color w:val="auto"/>
                <w:spacing w:val="8"/>
                <w:sz w:val="24"/>
                <w:szCs w:val="24"/>
              </w:rPr>
              <w:t>不实，每次扣1分</w:t>
            </w:r>
          </w:p>
        </w:tc>
        <w:tc>
          <w:tcPr>
            <w:tcW w:w="1350" w:type="dxa"/>
            <w:vAlign w:val="top"/>
          </w:tcPr>
          <w:p w14:paraId="11ACF934">
            <w:pPr>
              <w:rPr>
                <w:rFonts w:ascii="Arial"/>
                <w:color w:val="auto"/>
                <w:sz w:val="21"/>
              </w:rPr>
            </w:pPr>
          </w:p>
        </w:tc>
      </w:tr>
      <w:tr w14:paraId="0A71B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00" w:type="dxa"/>
            <w:vMerge w:val="continue"/>
            <w:vAlign w:val="top"/>
          </w:tcPr>
          <w:p w14:paraId="57C0875E">
            <w:pPr>
              <w:spacing w:before="65" w:line="266" w:lineRule="exact"/>
              <w:ind w:left="114"/>
              <w:jc w:val="center"/>
              <w:rPr>
                <w:rFonts w:ascii="宋体" w:hAnsi="宋体" w:eastAsia="宋体" w:cs="宋体"/>
                <w:color w:val="auto"/>
                <w:position w:val="1"/>
                <w:sz w:val="24"/>
                <w:szCs w:val="24"/>
              </w:rPr>
            </w:pPr>
          </w:p>
        </w:tc>
        <w:tc>
          <w:tcPr>
            <w:tcW w:w="2025" w:type="dxa"/>
            <w:gridSpan w:val="2"/>
            <w:vMerge w:val="continue"/>
            <w:vAlign w:val="top"/>
          </w:tcPr>
          <w:p w14:paraId="7B903544">
            <w:pPr>
              <w:spacing w:before="65" w:line="253" w:lineRule="auto"/>
              <w:ind w:left="132" w:right="126" w:hanging="21"/>
              <w:jc w:val="center"/>
              <w:rPr>
                <w:rFonts w:ascii="宋体" w:hAnsi="宋体" w:eastAsia="宋体" w:cs="宋体"/>
                <w:color w:val="auto"/>
                <w:spacing w:val="7"/>
                <w:sz w:val="24"/>
                <w:szCs w:val="24"/>
              </w:rPr>
            </w:pPr>
          </w:p>
        </w:tc>
        <w:tc>
          <w:tcPr>
            <w:tcW w:w="2512" w:type="dxa"/>
            <w:vAlign w:val="top"/>
          </w:tcPr>
          <w:p w14:paraId="1D4DD045">
            <w:pPr>
              <w:spacing w:before="33" w:line="243" w:lineRule="auto"/>
              <w:ind w:left="112" w:right="188"/>
              <w:jc w:val="center"/>
              <w:rPr>
                <w:rFonts w:ascii="宋体" w:hAnsi="宋体" w:eastAsia="宋体" w:cs="宋体"/>
                <w:color w:val="auto"/>
                <w:spacing w:val="9"/>
                <w:sz w:val="24"/>
                <w:szCs w:val="24"/>
              </w:rPr>
            </w:pPr>
            <w:r>
              <w:rPr>
                <w:rFonts w:ascii="宋体" w:hAnsi="宋体" w:eastAsia="宋体" w:cs="宋体"/>
                <w:color w:val="auto"/>
                <w:spacing w:val="9"/>
                <w:sz w:val="24"/>
                <w:szCs w:val="24"/>
              </w:rPr>
              <w:t>领导发现、抖音及快手短视</w:t>
            </w:r>
            <w:r>
              <w:rPr>
                <w:rFonts w:ascii="宋体" w:hAnsi="宋体" w:eastAsia="宋体" w:cs="宋体"/>
                <w:color w:val="auto"/>
                <w:sz w:val="24"/>
                <w:szCs w:val="24"/>
              </w:rPr>
              <w:t xml:space="preserve"> </w:t>
            </w:r>
            <w:r>
              <w:rPr>
                <w:rFonts w:ascii="宋体" w:hAnsi="宋体" w:eastAsia="宋体" w:cs="宋体"/>
                <w:color w:val="auto"/>
                <w:spacing w:val="8"/>
                <w:sz w:val="24"/>
                <w:szCs w:val="24"/>
              </w:rPr>
              <w:t>频等媒体曝光等问题。（10</w:t>
            </w:r>
            <w:r>
              <w:rPr>
                <w:rFonts w:ascii="宋体" w:hAnsi="宋体" w:eastAsia="宋体" w:cs="宋体"/>
                <w:color w:val="auto"/>
                <w:spacing w:val="7"/>
                <w:sz w:val="24"/>
                <w:szCs w:val="24"/>
              </w:rPr>
              <w:t xml:space="preserve"> </w:t>
            </w:r>
            <w:r>
              <w:rPr>
                <w:rFonts w:ascii="宋体" w:hAnsi="宋体" w:eastAsia="宋体" w:cs="宋体"/>
                <w:color w:val="auto"/>
                <w:sz w:val="24"/>
                <w:szCs w:val="24"/>
              </w:rPr>
              <w:t>分）</w:t>
            </w:r>
          </w:p>
        </w:tc>
        <w:tc>
          <w:tcPr>
            <w:tcW w:w="3233" w:type="dxa"/>
            <w:vAlign w:val="top"/>
          </w:tcPr>
          <w:p w14:paraId="79ECE0E1">
            <w:pPr>
              <w:spacing w:before="91" w:line="253" w:lineRule="auto"/>
              <w:ind w:left="113" w:leftChars="0" w:right="292" w:rightChars="0"/>
              <w:jc w:val="center"/>
              <w:rPr>
                <w:rFonts w:ascii="宋体" w:hAnsi="宋体" w:eastAsia="宋体" w:cs="宋体"/>
                <w:color w:val="auto"/>
                <w:spacing w:val="8"/>
                <w:sz w:val="24"/>
                <w:szCs w:val="24"/>
              </w:rPr>
            </w:pPr>
            <w:r>
              <w:rPr>
                <w:rFonts w:ascii="宋体" w:hAnsi="宋体" w:eastAsia="宋体" w:cs="宋体"/>
                <w:color w:val="auto"/>
                <w:spacing w:val="9"/>
                <w:sz w:val="24"/>
                <w:szCs w:val="24"/>
              </w:rPr>
              <w:t>经查证属实，情节轻微每项扣2分，情节</w:t>
            </w:r>
            <w:r>
              <w:rPr>
                <w:rFonts w:ascii="宋体" w:hAnsi="宋体" w:eastAsia="宋体" w:cs="宋体"/>
                <w:color w:val="auto"/>
                <w:spacing w:val="1"/>
                <w:sz w:val="24"/>
                <w:szCs w:val="24"/>
              </w:rPr>
              <w:t xml:space="preserve"> </w:t>
            </w:r>
            <w:r>
              <w:rPr>
                <w:rFonts w:ascii="宋体" w:hAnsi="宋体" w:eastAsia="宋体" w:cs="宋体"/>
                <w:color w:val="auto"/>
                <w:spacing w:val="8"/>
                <w:sz w:val="24"/>
                <w:szCs w:val="24"/>
              </w:rPr>
              <w:t>严重每项扣5分，情节特别严重每项扣10</w:t>
            </w:r>
            <w:r>
              <w:rPr>
                <w:rFonts w:ascii="宋体" w:hAnsi="宋体" w:eastAsia="宋体" w:cs="宋体"/>
                <w:color w:val="auto"/>
                <w:spacing w:val="13"/>
                <w:sz w:val="24"/>
                <w:szCs w:val="24"/>
              </w:rPr>
              <w:t xml:space="preserve"> </w:t>
            </w:r>
            <w:r>
              <w:rPr>
                <w:rFonts w:ascii="宋体" w:hAnsi="宋体" w:eastAsia="宋体" w:cs="宋体"/>
                <w:color w:val="auto"/>
                <w:sz w:val="24"/>
                <w:szCs w:val="24"/>
              </w:rPr>
              <w:t>分</w:t>
            </w:r>
          </w:p>
        </w:tc>
        <w:tc>
          <w:tcPr>
            <w:tcW w:w="1350" w:type="dxa"/>
            <w:vAlign w:val="top"/>
          </w:tcPr>
          <w:p w14:paraId="17E97A8A">
            <w:pPr>
              <w:rPr>
                <w:rFonts w:ascii="Arial"/>
                <w:color w:val="auto"/>
                <w:sz w:val="21"/>
              </w:rPr>
            </w:pPr>
          </w:p>
        </w:tc>
      </w:tr>
      <w:tr w14:paraId="47713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00" w:type="dxa"/>
            <w:vMerge w:val="restart"/>
            <w:vAlign w:val="top"/>
          </w:tcPr>
          <w:p w14:paraId="735F02ED">
            <w:pPr>
              <w:spacing w:before="65" w:line="266" w:lineRule="exact"/>
              <w:ind w:left="114"/>
              <w:jc w:val="center"/>
              <w:rPr>
                <w:rFonts w:hint="eastAsia" w:ascii="宋体" w:hAnsi="宋体" w:eastAsia="宋体" w:cs="宋体"/>
                <w:color w:val="auto"/>
                <w:position w:val="1"/>
                <w:sz w:val="24"/>
                <w:szCs w:val="24"/>
                <w:lang w:val="en-US" w:eastAsia="zh-CN"/>
              </w:rPr>
            </w:pPr>
          </w:p>
          <w:p w14:paraId="1A8E9528">
            <w:pPr>
              <w:spacing w:before="65" w:line="266" w:lineRule="exact"/>
              <w:ind w:left="114"/>
              <w:jc w:val="center"/>
              <w:rPr>
                <w:rFonts w:hint="eastAsia" w:ascii="宋体" w:hAnsi="宋体" w:eastAsia="宋体" w:cs="宋体"/>
                <w:color w:val="auto"/>
                <w:position w:val="1"/>
                <w:sz w:val="24"/>
                <w:szCs w:val="24"/>
                <w:lang w:val="en-US" w:eastAsia="zh-CN"/>
              </w:rPr>
            </w:pPr>
          </w:p>
          <w:p w14:paraId="6F5DDC70">
            <w:pPr>
              <w:spacing w:before="65" w:line="266" w:lineRule="exact"/>
              <w:ind w:left="114"/>
              <w:jc w:val="center"/>
              <w:rPr>
                <w:rFonts w:hint="eastAsia" w:ascii="宋体" w:hAnsi="宋体" w:eastAsia="宋体" w:cs="宋体"/>
                <w:color w:val="auto"/>
                <w:position w:val="1"/>
                <w:sz w:val="24"/>
                <w:szCs w:val="24"/>
                <w:lang w:val="en-US" w:eastAsia="zh-CN"/>
              </w:rPr>
            </w:pPr>
          </w:p>
          <w:p w14:paraId="77B30B9D">
            <w:pPr>
              <w:spacing w:before="65" w:line="266" w:lineRule="exact"/>
              <w:ind w:left="114"/>
              <w:jc w:val="center"/>
              <w:rPr>
                <w:rFonts w:hint="eastAsia" w:ascii="宋体" w:hAnsi="宋体" w:eastAsia="宋体" w:cs="宋体"/>
                <w:color w:val="auto"/>
                <w:position w:val="1"/>
                <w:sz w:val="24"/>
                <w:szCs w:val="24"/>
                <w:lang w:val="en-US" w:eastAsia="zh-CN"/>
              </w:rPr>
            </w:pPr>
            <w:r>
              <w:rPr>
                <w:rFonts w:hint="eastAsia" w:ascii="宋体" w:hAnsi="宋体" w:eastAsia="宋体" w:cs="宋体"/>
                <w:color w:val="auto"/>
                <w:position w:val="1"/>
                <w:sz w:val="24"/>
                <w:szCs w:val="24"/>
                <w:lang w:val="en-US" w:eastAsia="zh-CN"/>
              </w:rPr>
              <w:t>5</w:t>
            </w:r>
          </w:p>
        </w:tc>
        <w:tc>
          <w:tcPr>
            <w:tcW w:w="2025" w:type="dxa"/>
            <w:gridSpan w:val="2"/>
            <w:vMerge w:val="restart"/>
            <w:vAlign w:val="top"/>
          </w:tcPr>
          <w:p w14:paraId="74288177">
            <w:pPr>
              <w:spacing w:line="371" w:lineRule="auto"/>
              <w:jc w:val="center"/>
              <w:rPr>
                <w:rFonts w:ascii="Arial"/>
                <w:color w:val="auto"/>
                <w:sz w:val="24"/>
                <w:szCs w:val="24"/>
              </w:rPr>
            </w:pPr>
          </w:p>
          <w:p w14:paraId="5783A45F">
            <w:pPr>
              <w:spacing w:before="62" w:line="255" w:lineRule="auto"/>
              <w:ind w:left="131" w:leftChars="0" w:right="196" w:rightChars="0" w:hanging="17" w:firstLineChars="0"/>
              <w:jc w:val="center"/>
              <w:rPr>
                <w:rFonts w:ascii="宋体" w:hAnsi="宋体" w:eastAsia="宋体" w:cs="宋体"/>
                <w:color w:val="auto"/>
                <w:spacing w:val="7"/>
                <w:sz w:val="24"/>
                <w:szCs w:val="24"/>
              </w:rPr>
            </w:pPr>
          </w:p>
          <w:p w14:paraId="78B622E6">
            <w:pPr>
              <w:spacing w:before="62" w:line="255" w:lineRule="auto"/>
              <w:ind w:left="131" w:leftChars="0" w:right="196" w:rightChars="0" w:hanging="17" w:firstLineChars="0"/>
              <w:jc w:val="center"/>
              <w:rPr>
                <w:rFonts w:ascii="宋体" w:hAnsi="宋体" w:eastAsia="宋体" w:cs="宋体"/>
                <w:color w:val="auto"/>
                <w:spacing w:val="7"/>
                <w:sz w:val="24"/>
                <w:szCs w:val="24"/>
              </w:rPr>
            </w:pPr>
            <w:r>
              <w:rPr>
                <w:rFonts w:ascii="宋体" w:hAnsi="宋体" w:eastAsia="宋体" w:cs="宋体"/>
                <w:color w:val="auto"/>
                <w:spacing w:val="7"/>
                <w:sz w:val="24"/>
                <w:szCs w:val="24"/>
              </w:rPr>
              <w:t>安全生产（10分</w:t>
            </w:r>
            <w:r>
              <w:rPr>
                <w:rFonts w:ascii="宋体" w:hAnsi="宋体" w:eastAsia="宋体" w:cs="宋体"/>
                <w:color w:val="auto"/>
                <w:sz w:val="24"/>
                <w:szCs w:val="24"/>
              </w:rPr>
              <w:t xml:space="preserve"> )</w:t>
            </w:r>
          </w:p>
        </w:tc>
        <w:tc>
          <w:tcPr>
            <w:tcW w:w="2512" w:type="dxa"/>
            <w:vMerge w:val="restart"/>
            <w:vAlign w:val="top"/>
          </w:tcPr>
          <w:p w14:paraId="0E6F8BE0">
            <w:pPr>
              <w:spacing w:before="45" w:line="248" w:lineRule="auto"/>
              <w:ind w:left="110" w:leftChars="0" w:right="111" w:rightChars="0" w:firstLine="4" w:firstLineChars="0"/>
              <w:jc w:val="center"/>
              <w:rPr>
                <w:rFonts w:ascii="宋体" w:hAnsi="宋体" w:eastAsia="宋体" w:cs="宋体"/>
                <w:color w:val="auto"/>
                <w:spacing w:val="9"/>
                <w:sz w:val="24"/>
                <w:szCs w:val="24"/>
              </w:rPr>
            </w:pPr>
            <w:r>
              <w:rPr>
                <w:rFonts w:ascii="宋体" w:hAnsi="宋体" w:eastAsia="宋体" w:cs="宋体"/>
                <w:color w:val="auto"/>
                <w:spacing w:val="9"/>
                <w:sz w:val="24"/>
                <w:szCs w:val="24"/>
              </w:rPr>
              <w:t>安全措施不到位、安全培训不</w:t>
            </w:r>
            <w:r>
              <w:rPr>
                <w:rFonts w:ascii="宋体" w:hAnsi="宋体" w:eastAsia="宋体" w:cs="宋体"/>
                <w:color w:val="auto"/>
                <w:sz w:val="24"/>
                <w:szCs w:val="24"/>
              </w:rPr>
              <w:t xml:space="preserve"> </w:t>
            </w:r>
            <w:r>
              <w:rPr>
                <w:rFonts w:ascii="宋体" w:hAnsi="宋体" w:eastAsia="宋体" w:cs="宋体"/>
                <w:color w:val="auto"/>
                <w:spacing w:val="9"/>
                <w:sz w:val="24"/>
                <w:szCs w:val="24"/>
              </w:rPr>
              <w:t>到位、仓库厂房等场所安全设</w:t>
            </w:r>
            <w:r>
              <w:rPr>
                <w:rFonts w:ascii="宋体" w:hAnsi="宋体" w:eastAsia="宋体" w:cs="宋体"/>
                <w:color w:val="auto"/>
                <w:spacing w:val="3"/>
                <w:sz w:val="24"/>
                <w:szCs w:val="24"/>
              </w:rPr>
              <w:t xml:space="preserve"> </w:t>
            </w:r>
            <w:r>
              <w:rPr>
                <w:rFonts w:ascii="宋体" w:hAnsi="宋体" w:eastAsia="宋体" w:cs="宋体"/>
                <w:color w:val="auto"/>
                <w:spacing w:val="9"/>
                <w:sz w:val="24"/>
                <w:szCs w:val="24"/>
              </w:rPr>
              <w:t>施不到位、依据招标文件规定</w:t>
            </w:r>
            <w:r>
              <w:rPr>
                <w:rFonts w:ascii="宋体" w:hAnsi="宋体" w:eastAsia="宋体" w:cs="宋体"/>
                <w:color w:val="auto"/>
                <w:spacing w:val="3"/>
                <w:sz w:val="24"/>
                <w:szCs w:val="24"/>
              </w:rPr>
              <w:t xml:space="preserve"> </w:t>
            </w:r>
            <w:r>
              <w:rPr>
                <w:rFonts w:ascii="宋体" w:hAnsi="宋体" w:eastAsia="宋体" w:cs="宋体"/>
                <w:color w:val="auto"/>
                <w:spacing w:val="9"/>
                <w:sz w:val="24"/>
                <w:szCs w:val="24"/>
              </w:rPr>
              <w:t>有持证上岗、配置全面、人员</w:t>
            </w:r>
            <w:r>
              <w:rPr>
                <w:rFonts w:ascii="宋体" w:hAnsi="宋体" w:eastAsia="宋体" w:cs="宋体"/>
                <w:color w:val="auto"/>
                <w:spacing w:val="3"/>
                <w:sz w:val="24"/>
                <w:szCs w:val="24"/>
              </w:rPr>
              <w:t xml:space="preserve"> </w:t>
            </w:r>
            <w:r>
              <w:rPr>
                <w:rFonts w:ascii="宋体" w:hAnsi="宋体" w:eastAsia="宋体" w:cs="宋体"/>
                <w:color w:val="auto"/>
                <w:spacing w:val="9"/>
                <w:sz w:val="24"/>
                <w:szCs w:val="24"/>
              </w:rPr>
              <w:t>稳定、设备齐全的专业队伍</w:t>
            </w:r>
          </w:p>
        </w:tc>
        <w:tc>
          <w:tcPr>
            <w:tcW w:w="3233" w:type="dxa"/>
            <w:vAlign w:val="top"/>
          </w:tcPr>
          <w:p w14:paraId="6CC6209A">
            <w:pPr>
              <w:spacing w:before="33" w:line="233" w:lineRule="auto"/>
              <w:ind w:left="115" w:leftChars="0" w:right="267" w:rightChars="0" w:hanging="3" w:firstLineChars="0"/>
              <w:jc w:val="center"/>
              <w:rPr>
                <w:rFonts w:ascii="宋体" w:hAnsi="宋体" w:eastAsia="宋体" w:cs="宋体"/>
                <w:color w:val="auto"/>
                <w:spacing w:val="8"/>
                <w:sz w:val="24"/>
                <w:szCs w:val="24"/>
              </w:rPr>
            </w:pPr>
            <w:r>
              <w:rPr>
                <w:rFonts w:ascii="宋体" w:hAnsi="宋体" w:eastAsia="宋体" w:cs="宋体"/>
                <w:color w:val="auto"/>
                <w:spacing w:val="8"/>
                <w:sz w:val="24"/>
                <w:szCs w:val="24"/>
              </w:rPr>
              <w:t>每发现一次，扣0.5分，队伍人员无上岗证</w:t>
            </w:r>
            <w:r>
              <w:rPr>
                <w:rFonts w:ascii="宋体" w:hAnsi="宋体" w:eastAsia="宋体" w:cs="宋体"/>
                <w:color w:val="auto"/>
                <w:spacing w:val="16"/>
                <w:sz w:val="24"/>
                <w:szCs w:val="24"/>
              </w:rPr>
              <w:t xml:space="preserve"> </w:t>
            </w:r>
            <w:r>
              <w:rPr>
                <w:rFonts w:ascii="宋体" w:hAnsi="宋体" w:eastAsia="宋体" w:cs="宋体"/>
                <w:color w:val="auto"/>
                <w:spacing w:val="4"/>
                <w:sz w:val="24"/>
                <w:szCs w:val="24"/>
              </w:rPr>
              <w:t>扣1分</w:t>
            </w:r>
          </w:p>
        </w:tc>
        <w:tc>
          <w:tcPr>
            <w:tcW w:w="1350" w:type="dxa"/>
            <w:vAlign w:val="top"/>
          </w:tcPr>
          <w:p w14:paraId="61C6C1E9">
            <w:pPr>
              <w:rPr>
                <w:rFonts w:ascii="Arial"/>
                <w:color w:val="auto"/>
                <w:sz w:val="21"/>
              </w:rPr>
            </w:pPr>
          </w:p>
        </w:tc>
      </w:tr>
      <w:tr w14:paraId="67D05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00" w:type="dxa"/>
            <w:vMerge w:val="continue"/>
            <w:vAlign w:val="top"/>
          </w:tcPr>
          <w:p w14:paraId="7ED600A4">
            <w:pPr>
              <w:spacing w:before="65" w:line="266" w:lineRule="exact"/>
              <w:ind w:left="114"/>
              <w:rPr>
                <w:rFonts w:ascii="宋体" w:hAnsi="宋体" w:eastAsia="宋体" w:cs="宋体"/>
                <w:color w:val="auto"/>
                <w:position w:val="1"/>
                <w:sz w:val="24"/>
                <w:szCs w:val="24"/>
              </w:rPr>
            </w:pPr>
          </w:p>
        </w:tc>
        <w:tc>
          <w:tcPr>
            <w:tcW w:w="2025" w:type="dxa"/>
            <w:gridSpan w:val="2"/>
            <w:vMerge w:val="continue"/>
            <w:vAlign w:val="top"/>
          </w:tcPr>
          <w:p w14:paraId="139C0415">
            <w:pPr>
              <w:rPr>
                <w:rFonts w:ascii="宋体" w:hAnsi="宋体" w:eastAsia="宋体" w:cs="宋体"/>
                <w:color w:val="auto"/>
                <w:spacing w:val="7"/>
                <w:sz w:val="24"/>
                <w:szCs w:val="24"/>
              </w:rPr>
            </w:pPr>
          </w:p>
        </w:tc>
        <w:tc>
          <w:tcPr>
            <w:tcW w:w="2512" w:type="dxa"/>
            <w:vMerge w:val="continue"/>
            <w:vAlign w:val="top"/>
          </w:tcPr>
          <w:p w14:paraId="51A90647">
            <w:pPr>
              <w:rPr>
                <w:rFonts w:ascii="宋体" w:hAnsi="宋体" w:eastAsia="宋体" w:cs="宋体"/>
                <w:color w:val="auto"/>
                <w:spacing w:val="9"/>
                <w:sz w:val="24"/>
                <w:szCs w:val="24"/>
              </w:rPr>
            </w:pPr>
          </w:p>
        </w:tc>
        <w:tc>
          <w:tcPr>
            <w:tcW w:w="3233" w:type="dxa"/>
            <w:vAlign w:val="top"/>
          </w:tcPr>
          <w:p w14:paraId="3208CA5B">
            <w:pPr>
              <w:spacing w:before="173" w:line="253" w:lineRule="auto"/>
              <w:ind w:left="119" w:leftChars="0" w:right="166" w:rightChars="0" w:hanging="6" w:firstLineChars="0"/>
              <w:jc w:val="center"/>
              <w:rPr>
                <w:rFonts w:ascii="宋体" w:hAnsi="宋体" w:eastAsia="宋体" w:cs="宋体"/>
                <w:color w:val="auto"/>
                <w:spacing w:val="8"/>
                <w:sz w:val="24"/>
                <w:szCs w:val="24"/>
              </w:rPr>
            </w:pPr>
            <w:r>
              <w:rPr>
                <w:rFonts w:ascii="宋体" w:hAnsi="宋体" w:eastAsia="宋体" w:cs="宋体"/>
                <w:color w:val="auto"/>
                <w:spacing w:val="9"/>
                <w:sz w:val="24"/>
                <w:szCs w:val="24"/>
              </w:rPr>
              <w:t>若发生安全事故该项不得分，并承担相应的</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责任。</w:t>
            </w:r>
          </w:p>
        </w:tc>
        <w:tc>
          <w:tcPr>
            <w:tcW w:w="1350" w:type="dxa"/>
            <w:vAlign w:val="top"/>
          </w:tcPr>
          <w:p w14:paraId="687CF7C2">
            <w:pPr>
              <w:rPr>
                <w:rFonts w:ascii="Arial"/>
                <w:color w:val="auto"/>
                <w:sz w:val="21"/>
              </w:rPr>
            </w:pPr>
          </w:p>
        </w:tc>
      </w:tr>
    </w:tbl>
    <w:p w14:paraId="21311549">
      <w:pPr>
        <w:spacing w:before="34" w:line="220" w:lineRule="auto"/>
        <w:ind w:firstLine="468" w:firstLineChars="200"/>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rPr>
        <w:t>注：本细则为百分制。</w:t>
      </w:r>
    </w:p>
    <w:p w14:paraId="49B094D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color w:val="auto"/>
          <w:sz w:val="28"/>
          <w:szCs w:val="28"/>
        </w:rPr>
      </w:pPr>
      <w:r>
        <w:rPr>
          <w:rFonts w:ascii="宋体" w:hAnsi="宋体" w:eastAsia="宋体" w:cs="宋体"/>
          <w:b/>
          <w:bCs/>
          <w:color w:val="auto"/>
          <w:spacing w:val="7"/>
          <w:sz w:val="28"/>
          <w:szCs w:val="28"/>
        </w:rPr>
        <w:t>楼</w:t>
      </w:r>
      <w:r>
        <w:rPr>
          <w:rFonts w:hint="eastAsia" w:ascii="宋体" w:hAnsi="宋体" w:eastAsia="宋体" w:cs="宋体"/>
          <w:b/>
          <w:bCs/>
          <w:color w:val="auto"/>
          <w:spacing w:val="7"/>
          <w:sz w:val="28"/>
          <w:szCs w:val="28"/>
          <w:lang w:val="en-US" w:eastAsia="zh-CN"/>
        </w:rPr>
        <w:t>宇</w:t>
      </w:r>
      <w:r>
        <w:rPr>
          <w:rFonts w:ascii="宋体" w:hAnsi="宋体" w:eastAsia="宋体" w:cs="宋体"/>
          <w:b/>
          <w:bCs/>
          <w:color w:val="auto"/>
          <w:spacing w:val="7"/>
          <w:sz w:val="28"/>
          <w:szCs w:val="28"/>
        </w:rPr>
        <w:t>亮化维保</w:t>
      </w:r>
      <w:r>
        <w:rPr>
          <w:rFonts w:hint="eastAsia" w:ascii="宋体" w:hAnsi="宋体" w:eastAsia="宋体" w:cs="宋体"/>
          <w:b/>
          <w:bCs/>
          <w:color w:val="auto"/>
          <w:spacing w:val="7"/>
          <w:sz w:val="28"/>
          <w:szCs w:val="28"/>
          <w:lang w:val="en-US" w:eastAsia="zh-CN"/>
        </w:rPr>
        <w:t>月度</w:t>
      </w:r>
      <w:r>
        <w:rPr>
          <w:rFonts w:ascii="宋体" w:hAnsi="宋体" w:eastAsia="宋体" w:cs="宋体"/>
          <w:b/>
          <w:bCs/>
          <w:color w:val="auto"/>
          <w:spacing w:val="7"/>
          <w:sz w:val="28"/>
          <w:szCs w:val="28"/>
        </w:rPr>
        <w:t>考核标准</w:t>
      </w:r>
    </w:p>
    <w:p w14:paraId="267E3E67">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一、日常巡检与维护（40 分）</w:t>
      </w:r>
    </w:p>
    <w:p w14:paraId="5076DAB5">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1.巡检频率不足（15 分）</w:t>
      </w:r>
    </w:p>
    <w:p w14:paraId="0095A569">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（1）未按照规定的巡检周期（如每周至少一次全楼巡检）进行巡检，每少一次扣3 分（巡检不及时可能导致问题不能及时发现和处理）。</w:t>
      </w:r>
    </w:p>
    <w:p w14:paraId="7CF650DB">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（2）若连续两周未进行巡检，扣 5 分；连续一个月未巡检，扣 10 分。长期缺乏巡检会使楼体亮化设备的小问题积累成大故障。</w:t>
      </w:r>
    </w:p>
    <w:p w14:paraId="6071FB66">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2.问题记录不完善（15分）</w:t>
      </w:r>
    </w:p>
    <w:p w14:paraId="524F7CA0">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（1）在巡检过程中，发现问题但未记录，每次扣 3 分。准确的记录是后续维修和评估的依据。</w:t>
      </w:r>
    </w:p>
    <w:p w14:paraId="676A3A7F">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问题记录信息缺失关键内容（如问题位置、灯具型号、故障现象等），每次扣5 分。不完整的记录不利于维修人员快速定位和解决问题。</w:t>
      </w:r>
    </w:p>
    <w:p w14:paraId="3C636667">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3.小问题未及时处理（10 分）</w:t>
      </w:r>
    </w:p>
    <w:p w14:paraId="589D3201">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（1）对于巡检中发现的小问题（如个别灯具松动、灯罩轻微损坏等），未在规定时间（如 24 小时内）处理，每个问题扣 2 分。小问题若不及时处理可能发展成更 严重的故障。</w:t>
      </w:r>
    </w:p>
    <w:p w14:paraId="4CD57011">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（2）若小问题累积超过 5 个未处理，扣 10 分。</w:t>
      </w:r>
    </w:p>
    <w:p w14:paraId="579D5EE4">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二、灯具及设备维护（30 分）</w:t>
      </w:r>
    </w:p>
    <w:p w14:paraId="54C49BE4">
      <w:pPr>
        <w:kinsoku/>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1.灯具损坏未修复（15 分）</w:t>
      </w:r>
    </w:p>
    <w:p w14:paraId="1742AE33">
      <w:pPr>
        <w:kinsoku/>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（1）灯具损坏后，在规定维修时间（根据损坏程度和影响，一般轻微损坏 1 - 2 天，严重损坏 3 - 5 天）内未修复，每盏灯扣 3 分。损坏的灯具会影响楼体亮化效果。</w:t>
      </w:r>
    </w:p>
    <w:p w14:paraId="3052ED26">
      <w:pPr>
        <w:kinsoku/>
        <w:spacing w:line="360" w:lineRule="auto"/>
        <w:ind w:firstLine="720" w:firstLineChars="3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（2）若因灯具损坏未及时修复导致楼体出现明显的暗区（超过 5 平方米）3天内完成整改，未及时整改每处暗区扣 5 分。重大活动要求24小时内整改完成。</w:t>
      </w:r>
    </w:p>
    <w:p w14:paraId="083198AF">
      <w:pPr>
        <w:kinsoku/>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2.设备故障维修不及时（15 分）</w:t>
      </w:r>
    </w:p>
    <w:p w14:paraId="79CAB9A4">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（1）配电箱、控制器等设备出现故障，未在 24 小时内响应维修（特殊情况除外），扣 5 分。设备故障可能影响整个楼体亮化系统的运行。</w:t>
      </w:r>
    </w:p>
    <w:p w14:paraId="241E6DE1">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（2）因设备故障导致楼体亮化系统部分功能丧失（如动态效果无法实现、部分区域无法照明）超过 24 小时，扣10分；超过48小时，扣15分。</w:t>
      </w:r>
    </w:p>
    <w:p w14:paraId="073CABFF">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三、安全与合规性（30 分）</w:t>
      </w:r>
    </w:p>
    <w:p w14:paraId="59B9AD71">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1.安全隐患未整改（15 分）</w:t>
      </w:r>
    </w:p>
    <w:p w14:paraId="4D93DCB5">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在维保过程中发现安全隐患（如电线外露、灯具安装不牢固有坠落风险等），未在 24 小时内采取临时防护措施，扣 3 分。</w:t>
      </w:r>
    </w:p>
    <w:p w14:paraId="2D3B32C8">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（2）未在规定时间（一般根据隐患严重程度，3 - 7 天）内彻底整改安全隐患，扣5 分；若因安全隐患导致安全事故，扣 10 分。</w:t>
      </w:r>
    </w:p>
    <w:p w14:paraId="77C4FA73">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2.不符合相关规范（15分）</w:t>
      </w:r>
    </w:p>
    <w:p w14:paraId="3483486A">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（1）在维保过程中发现楼体亮化系统不符合电气安全、照明设计等相关规范（如接 地不良、灯具防护等级不够等），每发现一项扣 3 分。不符合规范可能引发安全问题和影响亮化效果。</w:t>
      </w:r>
    </w:p>
    <w:p w14:paraId="1F739AFB">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若未按要求在规定时间（7 - 10 天）内整改规范问题，扣 5 分；若因规范问 题导致严重后果（如电气火灾、人员伤亡等），扣 10 分。</w:t>
      </w:r>
    </w:p>
    <w:p w14:paraId="3DD21C55">
      <w:pPr>
        <w:spacing w:before="135" w:line="225" w:lineRule="auto"/>
        <w:ind w:firstLine="650" w:firstLineChars="200"/>
        <w:jc w:val="center"/>
        <w:rPr>
          <w:rFonts w:hint="eastAsia" w:ascii="宋体" w:hAnsi="宋体" w:eastAsia="宋体" w:cs="宋体"/>
          <w:b/>
          <w:bCs/>
          <w:color w:val="auto"/>
          <w:spacing w:val="7"/>
          <w:sz w:val="31"/>
          <w:szCs w:val="31"/>
          <w:lang w:val="en-US" w:eastAsia="zh-CN"/>
        </w:rPr>
      </w:pPr>
    </w:p>
    <w:p w14:paraId="221B40A0">
      <w:pPr>
        <w:spacing w:before="135" w:line="225" w:lineRule="auto"/>
        <w:ind w:firstLine="650" w:firstLineChars="200"/>
        <w:jc w:val="center"/>
        <w:rPr>
          <w:rFonts w:hint="eastAsia" w:ascii="宋体" w:hAnsi="宋体" w:eastAsia="宋体" w:cs="宋体"/>
          <w:b/>
          <w:bCs/>
          <w:color w:val="auto"/>
          <w:spacing w:val="7"/>
          <w:sz w:val="31"/>
          <w:szCs w:val="31"/>
          <w:lang w:val="en-US" w:eastAsia="zh-CN"/>
        </w:rPr>
      </w:pPr>
    </w:p>
    <w:p w14:paraId="244985F4">
      <w:pPr>
        <w:spacing w:before="135" w:line="225" w:lineRule="auto"/>
        <w:ind w:firstLine="650" w:firstLineChars="200"/>
        <w:jc w:val="center"/>
        <w:rPr>
          <w:rFonts w:hint="eastAsia" w:ascii="宋体" w:hAnsi="宋体" w:eastAsia="宋体" w:cs="宋体"/>
          <w:b/>
          <w:bCs/>
          <w:color w:val="auto"/>
          <w:spacing w:val="7"/>
          <w:sz w:val="31"/>
          <w:szCs w:val="31"/>
          <w:lang w:val="en-US" w:eastAsia="zh-CN"/>
        </w:rPr>
      </w:pPr>
    </w:p>
    <w:p w14:paraId="4B3577A2">
      <w:pPr>
        <w:spacing w:before="135" w:line="225" w:lineRule="auto"/>
        <w:ind w:firstLine="650" w:firstLineChars="200"/>
        <w:jc w:val="center"/>
        <w:rPr>
          <w:rFonts w:ascii="宋体" w:hAnsi="宋体" w:eastAsia="宋体" w:cs="宋体"/>
          <w:color w:val="auto"/>
          <w:sz w:val="24"/>
          <w:szCs w:val="24"/>
        </w:rPr>
      </w:pPr>
      <w:r>
        <w:rPr>
          <w:rFonts w:hint="eastAsia" w:ascii="宋体" w:hAnsi="宋体" w:eastAsia="宋体" w:cs="宋体"/>
          <w:b/>
          <w:bCs/>
          <w:color w:val="auto"/>
          <w:spacing w:val="7"/>
          <w:sz w:val="31"/>
          <w:szCs w:val="31"/>
          <w:lang w:val="en-US" w:eastAsia="zh-CN"/>
        </w:rPr>
        <w:t>公园广场景区、庭院灯，路灯灯箱，天桥、小游园、树上亮化等</w:t>
      </w:r>
      <w:r>
        <w:rPr>
          <w:rFonts w:ascii="宋体" w:hAnsi="宋体" w:eastAsia="宋体" w:cs="宋体"/>
          <w:b/>
          <w:bCs/>
          <w:color w:val="auto"/>
          <w:spacing w:val="7"/>
          <w:sz w:val="31"/>
          <w:szCs w:val="31"/>
        </w:rPr>
        <w:t>维保</w:t>
      </w:r>
      <w:r>
        <w:rPr>
          <w:rFonts w:hint="eastAsia" w:ascii="宋体" w:hAnsi="宋体" w:eastAsia="宋体" w:cs="宋体"/>
          <w:b/>
          <w:bCs/>
          <w:color w:val="auto"/>
          <w:spacing w:val="7"/>
          <w:sz w:val="31"/>
          <w:szCs w:val="31"/>
          <w:lang w:val="en-US" w:eastAsia="zh-CN"/>
        </w:rPr>
        <w:t>月度</w:t>
      </w:r>
      <w:r>
        <w:rPr>
          <w:rFonts w:ascii="宋体" w:hAnsi="宋体" w:eastAsia="宋体" w:cs="宋体"/>
          <w:b/>
          <w:bCs/>
          <w:color w:val="auto"/>
          <w:spacing w:val="7"/>
          <w:sz w:val="31"/>
          <w:szCs w:val="31"/>
        </w:rPr>
        <w:t>考核标准</w:t>
      </w:r>
    </w:p>
    <w:p w14:paraId="1F470B03">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一、照明设施运行状况（40 分）</w:t>
      </w:r>
    </w:p>
    <w:p w14:paraId="6D81BC56">
      <w:pPr>
        <w:kinsoku/>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1.灯具损坏情况（20 分）</w:t>
      </w:r>
    </w:p>
    <w:p w14:paraId="015AA04C">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（1）若发现普通路灯、景观装饰灯等单个灯具损坏不亮未整改，每处扣 1 分。如 在公园的步行道上一盏路灯不亮告知管控公司后还未整改的，就扣 1 分。</w:t>
      </w:r>
    </w:p>
    <w:p w14:paraId="169BF4C3">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（2）对于一组造型灯（如由多个灯泡组成的艺术花灯），损坏灯泡数量占该组灯 泡总数 1/4 以内未整改，扣 3 分；损坏数量达到 1/4 - 1/2 未整改，扣 5分。例如景区入口处的一组大型花灯有部分灯泡损坏告知管控公司未整改的，根 据其损坏比例来对应扣分。</w:t>
      </w:r>
    </w:p>
    <w:p w14:paraId="573FCFC3">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（3）因灯具损坏导致局部照明缺失，影响到该区域正常使用功能（如小游园的活 动广场照明不足），视影响范围大小额外扣 3 - 8 分。</w:t>
      </w:r>
    </w:p>
    <w:p w14:paraId="1DC9E9C1">
      <w:pPr>
        <w:kinsoku/>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2.线路问题（10 分）</w:t>
      </w:r>
    </w:p>
    <w:p w14:paraId="598F9EEF">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（1）外露线路出现表皮磨损、轻微破皮现象未整改，每处扣 2 分。像天桥下沿的 线路外皮有小面积磨损告知管控公司未整改就会被扣分。</w:t>
      </w:r>
    </w:p>
    <w:p w14:paraId="5C35120B">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（2）线路存在短路、断路等故障未及时整改，造成一片区域（超过 10 盏灯范</w:t>
      </w:r>
    </w:p>
    <w:p w14:paraId="5190A667">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围）无法正常照明，每次扣 5 分。若因线路故障引发跳闸等影响整体照明供电情 况未及时整改，扣 8 分。</w:t>
      </w:r>
    </w:p>
    <w:p w14:paraId="18AC4463">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（3）未按规范要求对线路进行穿管保护（有穿管要求的区域），每发现一处扣 2 分</w:t>
      </w:r>
    </w:p>
    <w:p w14:paraId="6A644AE5">
      <w:pPr>
        <w:kinsoku/>
        <w:spacing w:line="360" w:lineRule="auto"/>
        <w:ind w:left="479" w:leftChars="228"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3.灯杆及附属设施故障（10 分）</w:t>
      </w:r>
    </w:p>
    <w:p w14:paraId="2D40CE22">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（1）灯杆基础松动，有摇晃迹象，每根灯杆扣 0.5 分。</w:t>
      </w:r>
    </w:p>
    <w:p w14:paraId="2B95CD61">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灯具的固定螺丝松动、缺失，导致灯具安装不稳固未及时整改，每处扣 0.2 分；若因螺丝问题致使灯具掉落或有掉落风险未及时整改，扣 1 分。</w:t>
      </w:r>
    </w:p>
    <w:p w14:paraId="519657A5">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二、照明效果保障（25 分）</w:t>
      </w:r>
    </w:p>
    <w:p w14:paraId="1FD23058">
      <w:pPr>
        <w:spacing w:before="78" w:line="220" w:lineRule="auto"/>
        <w:ind w:left="385"/>
        <w:rPr>
          <w:rFonts w:ascii="宋体" w:hAnsi="宋体" w:eastAsia="宋体" w:cs="宋体"/>
          <w:b/>
          <w:bCs/>
          <w:color w:val="auto"/>
          <w:spacing w:val="-4"/>
          <w:sz w:val="24"/>
          <w:szCs w:val="24"/>
        </w:rPr>
      </w:pPr>
      <w:r>
        <w:rPr>
          <w:rFonts w:ascii="宋体" w:hAnsi="宋体" w:eastAsia="宋体" w:cs="宋体"/>
          <w:b/>
          <w:bCs/>
          <w:color w:val="auto"/>
          <w:spacing w:val="-4"/>
          <w:sz w:val="24"/>
          <w:szCs w:val="24"/>
        </w:rPr>
        <w:t>1.</w:t>
      </w:r>
      <w:r>
        <w:rPr>
          <w:rFonts w:hint="eastAsia" w:ascii="宋体" w:hAnsi="宋体" w:eastAsia="宋体" w:cs="宋体"/>
          <w:b/>
          <w:bCs/>
          <w:color w:val="auto"/>
          <w:spacing w:val="-4"/>
          <w:sz w:val="24"/>
          <w:szCs w:val="24"/>
          <w:lang w:val="en-US" w:eastAsia="zh-CN"/>
        </w:rPr>
        <w:t>亮灯率</w:t>
      </w:r>
      <w:r>
        <w:rPr>
          <w:rFonts w:ascii="宋体" w:hAnsi="宋体" w:eastAsia="宋体" w:cs="宋体"/>
          <w:b/>
          <w:bCs/>
          <w:color w:val="auto"/>
          <w:spacing w:val="-4"/>
          <w:sz w:val="24"/>
          <w:szCs w:val="24"/>
        </w:rPr>
        <w:t>达标情况（15 分）</w:t>
      </w:r>
    </w:p>
    <w:p w14:paraId="5EFA3535">
      <w:pPr>
        <w:kinsoku/>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（1）各区域亮灯率达到95%，不予扣分。低于95%，每一个百分点扣1分。</w:t>
      </w:r>
    </w:p>
    <w:p w14:paraId="7E968CF7">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（2）若因灯具损坏未及时修复导致路段出现明显的暗区，3天内完成整改，未及时整改每处暗区扣 1 分。重大活动要求24小时内整改完成。</w:t>
      </w:r>
    </w:p>
    <w:p w14:paraId="1F248FBF">
      <w:pPr>
        <w:spacing w:before="78" w:line="279" w:lineRule="auto"/>
        <w:ind w:right="8"/>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三、维保工作及时性（20 分）</w:t>
      </w:r>
    </w:p>
    <w:p w14:paraId="6030001F">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1.故障响应时间（10 分）</w:t>
      </w:r>
    </w:p>
    <w:p w14:paraId="4D5B6E74">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（1）接到故障报修后，在市区内的相关场所（如市区公园、天桥等），未能在 1 小时内响应（与报修方取得联系并安排人员出发），每次扣 1 分；郊区场所未能在 2 小时内响应，每次扣 1 分。</w:t>
      </w:r>
    </w:p>
    <w:p w14:paraId="19172762">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（2）对于重点保障区域（如景区的核心游览区在旅游旺季）的照明故障，未做到半小时内响应的，每次扣 5 分。</w:t>
      </w:r>
    </w:p>
    <w:p w14:paraId="7A6331B0">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2.故障修复期限（10 分）</w:t>
      </w:r>
    </w:p>
    <w:p w14:paraId="16E8CF80">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（1）一般灯具故障（如灯泡损坏等简单问题），从响应到修复超过 24 小时，扣 1 分；涉及线路检修等稍复杂故障超过 48 小时未修复，扣 3 分；大型照明设施 （如景区高杆灯等）出现故障，超过约定的 72 小时修复期限，每超一天扣 2分。（若需延迟修复需及时报备阿图什市市政公用事业服务中心管理人员）。</w:t>
      </w:r>
    </w:p>
    <w:p w14:paraId="1A1661EA">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四、日常巡检落实（10 分）</w:t>
      </w:r>
    </w:p>
    <w:p w14:paraId="34B98630">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1.巡检记录完整性（5 分）</w:t>
      </w:r>
    </w:p>
    <w:p w14:paraId="289ED498">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（1）巡检记录未按日填写，每次扣 0.1 分；填写内容缺少关键信息，如灯具损坏 具体位置、故障初步判断等，每次发现一处扣 0.2 分。</w:t>
      </w:r>
    </w:p>
    <w:p w14:paraId="47781129">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2.巡检频次合规性（5 分）</w:t>
      </w:r>
    </w:p>
    <w:p w14:paraId="490442DD">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（2）规定每日至少巡检一次的区域（如公园、广场、天桥等人员密集且照明使用频繁区域），</w:t>
      </w:r>
    </w:p>
    <w:p w14:paraId="0DDC338E">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少巡检一天扣 1 分；规定每周巡检两次的景区偏远区域，少巡检一次扣  0.5 分。</w:t>
      </w:r>
    </w:p>
    <w:p w14:paraId="0A828446">
      <w:pPr>
        <w:kinsoku/>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五、安全与环境管理（5 分）</w:t>
      </w:r>
    </w:p>
    <w:p w14:paraId="65B3FA2D">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1.安全标识设置（3 分）</w:t>
      </w:r>
    </w:p>
    <w:p w14:paraId="1D58A8DD">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（1）在维修作业现场周边未设置明显的 “正在维修、请勿靠近 ” 等警示标识，</w:t>
      </w:r>
    </w:p>
    <w:p w14:paraId="39DCD67A">
      <w:pPr>
        <w:kinsoku/>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每次扣 1 分；对于存在漏电等危险隐患的区域，未设置相应的危险提示标识，每 次扣 2 分。</w:t>
      </w:r>
    </w:p>
    <w:p w14:paraId="1DEA4BA2">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2.废旧灯具及材料处理（2 分）</w:t>
      </w:r>
    </w:p>
    <w:p w14:paraId="6AF0B820">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（1）更换下来的废旧灯具、线路等材料未按规定进行回收、存放，随意丢弃在现场或周边，</w:t>
      </w:r>
    </w:p>
    <w:p w14:paraId="2002DF6C">
      <w:pPr>
        <w:kinsoku/>
        <w:spacing w:line="360" w:lineRule="auto"/>
        <w:rPr>
          <w:rFonts w:hint="eastAsia" w:ascii="宋体" w:hAnsi="宋体" w:eastAsia="宋体" w:cs="宋体"/>
          <w:color w:val="auto"/>
          <w:sz w:val="24"/>
          <w:szCs w:val="24"/>
          <w:highlight w:val="none"/>
          <w:lang w:val="en-US" w:eastAsia="zh-CN"/>
        </w:rPr>
        <w:sectPr>
          <w:footerReference r:id="rId7" w:type="default"/>
          <w:pgSz w:w="11906" w:h="16840"/>
          <w:pgMar w:top="1219" w:right="1134" w:bottom="1378" w:left="1134" w:header="825" w:footer="1068" w:gutter="0"/>
          <w:pgNumType w:fmt="decimal"/>
          <w:cols w:space="720" w:num="1"/>
        </w:sectPr>
      </w:pPr>
      <w:r>
        <w:rPr>
          <w:rFonts w:hint="eastAsia" w:ascii="宋体" w:hAnsi="宋体" w:eastAsia="宋体" w:cs="宋体"/>
          <w:color w:val="auto"/>
          <w:sz w:val="24"/>
          <w:szCs w:val="24"/>
          <w:highlight w:val="none"/>
          <w:lang w:val="en-US" w:eastAsia="zh-CN"/>
        </w:rPr>
        <w:t>每次扣 1 分；若因不当处理造成环境污染（如废旧电池随意丢弃），扣 2 分。</w:t>
      </w:r>
    </w:p>
    <w:p w14:paraId="50231588">
      <w:pPr>
        <w:keepNext w:val="0"/>
        <w:keepLines w:val="0"/>
        <w:pageBreakBefore w:val="0"/>
        <w:widowControl/>
        <w:kinsoku/>
        <w:wordWrap/>
        <w:overflowPunct/>
        <w:topLinePunct w:val="0"/>
        <w:autoSpaceDE/>
        <w:autoSpaceDN/>
        <w:bidi w:val="0"/>
        <w:adjustRightInd/>
        <w:snapToGrid/>
        <w:spacing w:line="400" w:lineRule="atLeast"/>
        <w:jc w:val="left"/>
        <w:textAlignment w:val="center"/>
        <w:rPr>
          <w:rFonts w:hint="eastAsia" w:ascii="宋体" w:hAnsi="宋体" w:eastAsia="宋体" w:cs="宋体"/>
          <w:bCs/>
          <w:color w:val="auto"/>
          <w:kern w:val="0"/>
          <w:sz w:val="24"/>
          <w:szCs w:val="24"/>
          <w:lang w:val="en-US" w:eastAsia="zh-CN"/>
        </w:rPr>
      </w:pPr>
      <w:r>
        <w:rPr>
          <w:rFonts w:hint="eastAsia" w:ascii="宋体" w:hAnsi="宋体" w:eastAsia="宋体" w:cs="宋体"/>
          <w:b/>
          <w:bCs w:val="0"/>
          <w:color w:val="auto"/>
          <w:kern w:val="0"/>
          <w:sz w:val="28"/>
          <w:szCs w:val="28"/>
          <w:lang w:val="en-US" w:eastAsia="zh-CN"/>
        </w:rPr>
        <w:t>二、商务要求</w:t>
      </w:r>
    </w:p>
    <w:p w14:paraId="406D66D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（一）项目实施期限：</w:t>
      </w:r>
      <w:r>
        <w:rPr>
          <w:rFonts w:hint="eastAsia" w:ascii="宋体" w:hAnsi="宋体" w:eastAsia="宋体" w:cs="宋体"/>
          <w:b w:val="0"/>
          <w:bCs w:val="0"/>
          <w:color w:val="auto"/>
          <w:sz w:val="24"/>
          <w:szCs w:val="24"/>
          <w:lang w:val="en-US" w:eastAsia="zh-CN"/>
        </w:rPr>
        <w:t>节能改造智慧化提升期限为 4 个月，托管运维服务期自本项目合同签订之日起算，为期 10 年（含节能改造智慧化提升期限）。</w:t>
      </w:r>
    </w:p>
    <w:p w14:paraId="07F6263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（二）服务地点 ：</w:t>
      </w:r>
      <w:r>
        <w:rPr>
          <w:rFonts w:hint="eastAsia" w:ascii="宋体" w:hAnsi="宋体" w:eastAsia="宋体" w:cs="宋体"/>
          <w:b w:val="0"/>
          <w:bCs w:val="0"/>
          <w:color w:val="auto"/>
          <w:sz w:val="24"/>
          <w:szCs w:val="24"/>
          <w:lang w:val="en-US" w:eastAsia="zh-CN"/>
        </w:rPr>
        <w:t>采购人指定地点。</w:t>
      </w:r>
    </w:p>
    <w:p w14:paraId="5F20FB0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（三）报价要求</w:t>
      </w:r>
    </w:p>
    <w:p w14:paraId="4FBFFA6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此报价为人民币报价，投标报价应包括：货物本身价格、包装费、运输费、二次搬运费、安装费、损耗、技术指导、培训费、税金费用、伴随产品备品备件费、专用工具费、伴随产品 资料费、技术服务费、技术考察费、人工及辅材费、代理费、自检费及验收合格前和质保期 内发生的一切费用、应当提供的伴随服务/售后服务费用。因中标供应商自身原因造成漏报、 少报皆由其自行承担责任，采购人不再补偿。</w:t>
      </w:r>
    </w:p>
    <w:p w14:paraId="3F59CC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
          <w:bCs w:val="0"/>
          <w:color w:val="auto"/>
          <w:kern w:val="0"/>
          <w:sz w:val="24"/>
          <w:szCs w:val="24"/>
          <w:lang w:val="en-US" w:eastAsia="zh-CN"/>
        </w:rPr>
        <w:t xml:space="preserve">（四）验收保证的承诺 </w:t>
      </w:r>
      <w:r>
        <w:rPr>
          <w:rFonts w:hint="eastAsia" w:ascii="宋体" w:hAnsi="宋体" w:eastAsia="宋体" w:cs="宋体"/>
          <w:bCs/>
          <w:color w:val="auto"/>
          <w:kern w:val="0"/>
          <w:sz w:val="24"/>
          <w:szCs w:val="24"/>
          <w:lang w:val="en-US" w:eastAsia="zh-CN"/>
        </w:rPr>
        <w:t xml:space="preserve"> </w:t>
      </w:r>
    </w:p>
    <w:p w14:paraId="4D1EC65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1、验收时，供应商向采购人提供相关证件。 </w:t>
      </w:r>
    </w:p>
    <w:p w14:paraId="14C126C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2、供应商提供的产品和服务未达到招标文件规定要求或不能通过验收的，供应商应当承担重做、更换直至产品和服务达到招标文件的要求，如未达到要求且对采购人造成损失的，由供应商承担一切责任，并赔偿所造成的损失。 </w:t>
      </w:r>
    </w:p>
    <w:p w14:paraId="17B84B6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3、供应商在签订合同后，未能在规定时间产品和内服务或者出现质量问题超过二次，采购人可单方面终止合同。供应商赔偿采购人经济损失，并承担所有责任。 </w:t>
      </w:r>
    </w:p>
    <w:p w14:paraId="0DF313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 xml:space="preserve">（五）知识产权 </w:t>
      </w:r>
    </w:p>
    <w:p w14:paraId="691AD82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采购人在中华人民共和国境内使用投标人提供的货物及服务时免受第三方提出的侵犯其专利权或其它知识产权的起诉。如果第三方提出侵权指控，中标人应承担由此而引起的一切法律责任和费用。 </w:t>
      </w:r>
    </w:p>
    <w:p w14:paraId="36E865E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 xml:space="preserve">（六）其他 </w:t>
      </w:r>
    </w:p>
    <w:p w14:paraId="7407FB5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 xml:space="preserve">1、其他未尽事宜由供需双方在采购合同中详细约定。 </w:t>
      </w:r>
    </w:p>
    <w:p w14:paraId="53641A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sectPr>
          <w:footerReference r:id="rId8" w:type="default"/>
          <w:pgSz w:w="11906" w:h="16840"/>
          <w:pgMar w:top="1219" w:right="1134" w:bottom="1378" w:left="1134" w:header="825" w:footer="1068" w:gutter="0"/>
          <w:pgNumType w:fmt="decimal"/>
          <w:cols w:space="720" w:num="1"/>
        </w:sectPr>
      </w:pPr>
      <w:r>
        <w:rPr>
          <w:rFonts w:hint="eastAsia" w:ascii="宋体" w:hAnsi="宋体" w:eastAsia="宋体" w:cs="宋体"/>
          <w:bCs/>
          <w:color w:val="auto"/>
          <w:kern w:val="0"/>
          <w:sz w:val="24"/>
          <w:szCs w:val="24"/>
          <w:lang w:val="en-US" w:eastAsia="zh-CN"/>
        </w:rPr>
        <w:t>2、投标人在服务期必须遵守安全生产事项、如：发生安全事故由投标人承担一切责任</w:t>
      </w:r>
    </w:p>
    <w:p w14:paraId="653FF1F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z w:val="24"/>
          <w:szCs w:val="24"/>
          <w:lang w:val="en-US" w:eastAsia="zh-CN"/>
        </w:rPr>
      </w:pPr>
    </w:p>
    <w:p w14:paraId="169EAEC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z w:val="24"/>
          <w:szCs w:val="24"/>
          <w:lang w:val="en-US" w:eastAsia="zh-CN"/>
        </w:rPr>
      </w:pPr>
    </w:p>
    <w:p w14:paraId="17CF7F4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z w:val="24"/>
          <w:szCs w:val="24"/>
          <w:lang w:val="en-US" w:eastAsia="zh-CN"/>
        </w:rPr>
      </w:pPr>
    </w:p>
    <w:p w14:paraId="69F1BFA8">
      <w:pPr>
        <w:pStyle w:val="2"/>
        <w:bidi w:val="0"/>
        <w:rPr>
          <w:rFonts w:hint="eastAsia" w:ascii="宋体" w:hAnsi="宋体" w:eastAsia="宋体" w:cs="宋体"/>
          <w:b/>
          <w:bCs/>
          <w:color w:val="auto"/>
          <w:szCs w:val="24"/>
          <w:lang w:eastAsia="zh-CN"/>
        </w:rPr>
      </w:pPr>
      <w:bookmarkStart w:id="67" w:name="_Toc16752"/>
      <w:r>
        <w:rPr>
          <w:rFonts w:hint="eastAsia"/>
          <w:lang w:val="en-US" w:eastAsia="zh-CN"/>
        </w:rPr>
        <w:t>第五章 合同条款及格式</w:t>
      </w:r>
      <w:bookmarkEnd w:id="67"/>
    </w:p>
    <w:p w14:paraId="7A527EB2">
      <w:pPr>
        <w:ind w:firstLine="0" w:firstLineChars="0"/>
        <w:rPr>
          <w:rFonts w:hint="eastAsia" w:ascii="宋体" w:hAnsi="宋体" w:eastAsia="宋体" w:cs="宋体"/>
          <w:color w:val="auto"/>
          <w:lang w:eastAsia="zh-CN"/>
        </w:rPr>
      </w:pPr>
    </w:p>
    <w:p w14:paraId="49D37DBB">
      <w:pPr>
        <w:pStyle w:val="8"/>
        <w:spacing w:line="256" w:lineRule="auto"/>
        <w:ind w:firstLine="420"/>
        <w:rPr>
          <w:rFonts w:hint="eastAsia" w:ascii="宋体" w:hAnsi="宋体" w:eastAsia="宋体" w:cs="宋体"/>
          <w:color w:val="auto"/>
          <w:lang w:eastAsia="zh-CN"/>
        </w:rPr>
      </w:pPr>
    </w:p>
    <w:p w14:paraId="6C3F5756">
      <w:pPr>
        <w:pStyle w:val="8"/>
        <w:spacing w:line="257" w:lineRule="auto"/>
        <w:rPr>
          <w:rFonts w:hint="eastAsia" w:ascii="宋体" w:hAnsi="宋体" w:eastAsia="宋体" w:cs="宋体"/>
          <w:color w:val="auto"/>
          <w:lang w:eastAsia="zh-CN"/>
        </w:rPr>
      </w:pPr>
    </w:p>
    <w:p w14:paraId="62C33A8B">
      <w:pPr>
        <w:pStyle w:val="8"/>
        <w:spacing w:line="261" w:lineRule="auto"/>
        <w:rPr>
          <w:rFonts w:hint="eastAsia" w:ascii="宋体" w:hAnsi="宋体" w:eastAsia="宋体" w:cs="宋体"/>
          <w:color w:val="auto"/>
          <w:lang w:eastAsia="zh-CN"/>
        </w:rPr>
      </w:pPr>
    </w:p>
    <w:p w14:paraId="76A9BFA8">
      <w:pPr>
        <w:pStyle w:val="8"/>
        <w:spacing w:line="261" w:lineRule="auto"/>
        <w:ind w:firstLine="420"/>
        <w:rPr>
          <w:rFonts w:hint="eastAsia" w:ascii="宋体" w:hAnsi="宋体" w:eastAsia="宋体" w:cs="宋体"/>
          <w:color w:val="auto"/>
          <w:lang w:eastAsia="zh-CN"/>
        </w:rPr>
      </w:pPr>
    </w:p>
    <w:p w14:paraId="692A9613">
      <w:pPr>
        <w:pStyle w:val="8"/>
        <w:spacing w:line="262" w:lineRule="auto"/>
        <w:ind w:firstLine="420"/>
        <w:rPr>
          <w:rFonts w:hint="eastAsia" w:ascii="宋体" w:hAnsi="宋体" w:eastAsia="宋体" w:cs="宋体"/>
          <w:color w:val="auto"/>
          <w:lang w:eastAsia="zh-CN"/>
        </w:rPr>
      </w:pPr>
    </w:p>
    <w:p w14:paraId="21CC5575">
      <w:pPr>
        <w:spacing w:before="296" w:line="219" w:lineRule="auto"/>
        <w:ind w:firstLine="0" w:firstLineChars="0"/>
        <w:jc w:val="center"/>
        <w:outlineLvl w:val="0"/>
        <w:rPr>
          <w:rFonts w:hint="eastAsia" w:ascii="宋体" w:hAnsi="宋体" w:eastAsia="宋体" w:cs="宋体"/>
          <w:color w:val="auto"/>
          <w:sz w:val="91"/>
          <w:szCs w:val="91"/>
          <w:lang w:eastAsia="zh-CN"/>
        </w:rPr>
      </w:pPr>
      <w:bookmarkStart w:id="68" w:name="_Toc3103"/>
      <w:r>
        <w:rPr>
          <w:rFonts w:hint="eastAsia" w:ascii="宋体" w:hAnsi="宋体" w:eastAsia="宋体" w:cs="宋体"/>
          <w:b/>
          <w:bCs/>
          <w:color w:val="auto"/>
          <w:spacing w:val="18"/>
          <w:sz w:val="91"/>
          <w:szCs w:val="91"/>
          <w:lang w:eastAsia="zh-CN"/>
        </w:rPr>
        <w:t>合同书</w:t>
      </w:r>
      <w:bookmarkEnd w:id="68"/>
    </w:p>
    <w:p w14:paraId="36F73B54">
      <w:pPr>
        <w:pStyle w:val="8"/>
        <w:spacing w:line="252" w:lineRule="auto"/>
        <w:ind w:firstLine="1446" w:firstLineChars="600"/>
        <w:rPr>
          <w:rFonts w:hint="eastAsia" w:ascii="宋体" w:hAnsi="宋体" w:eastAsia="宋体" w:cs="宋体"/>
          <w:color w:val="auto"/>
          <w:lang w:eastAsia="zh-CN"/>
        </w:rPr>
      </w:pPr>
      <w:r>
        <w:rPr>
          <w:rFonts w:hint="eastAsia" w:ascii="宋体" w:hAnsi="宋体" w:eastAsia="宋体" w:cs="宋体"/>
          <w:b/>
          <w:bCs/>
          <w:color w:val="auto"/>
          <w:sz w:val="24"/>
          <w:szCs w:val="24"/>
          <w:lang w:eastAsia="zh-CN"/>
        </w:rPr>
        <w:t>合同格式（仅供参考，最终以与甲方实际签订为准）</w:t>
      </w:r>
    </w:p>
    <w:p w14:paraId="45ABC67A">
      <w:pPr>
        <w:pStyle w:val="8"/>
        <w:spacing w:line="252" w:lineRule="auto"/>
        <w:ind w:firstLine="420"/>
        <w:rPr>
          <w:rFonts w:hint="eastAsia" w:ascii="宋体" w:hAnsi="宋体" w:eastAsia="宋体" w:cs="宋体"/>
          <w:color w:val="auto"/>
          <w:lang w:eastAsia="zh-CN"/>
        </w:rPr>
      </w:pPr>
    </w:p>
    <w:p w14:paraId="69EA22AA">
      <w:pPr>
        <w:pStyle w:val="8"/>
        <w:spacing w:line="252" w:lineRule="auto"/>
        <w:ind w:firstLine="420"/>
        <w:rPr>
          <w:rFonts w:hint="eastAsia" w:ascii="宋体" w:hAnsi="宋体" w:eastAsia="宋体" w:cs="宋体"/>
          <w:color w:val="auto"/>
          <w:lang w:eastAsia="zh-CN"/>
        </w:rPr>
      </w:pPr>
    </w:p>
    <w:p w14:paraId="5640C69F">
      <w:pPr>
        <w:pStyle w:val="8"/>
        <w:spacing w:line="252" w:lineRule="auto"/>
        <w:ind w:firstLine="420"/>
        <w:rPr>
          <w:rFonts w:hint="eastAsia" w:ascii="宋体" w:hAnsi="宋体" w:eastAsia="宋体" w:cs="宋体"/>
          <w:color w:val="auto"/>
          <w:lang w:eastAsia="zh-CN"/>
        </w:rPr>
      </w:pPr>
    </w:p>
    <w:p w14:paraId="1EC43E47">
      <w:pPr>
        <w:pStyle w:val="8"/>
        <w:spacing w:line="253" w:lineRule="auto"/>
        <w:rPr>
          <w:rFonts w:hint="eastAsia" w:ascii="宋体" w:hAnsi="宋体" w:eastAsia="宋体" w:cs="宋体"/>
          <w:color w:val="auto"/>
          <w:lang w:eastAsia="zh-CN"/>
        </w:rPr>
      </w:pPr>
    </w:p>
    <w:p w14:paraId="6995F11F">
      <w:pPr>
        <w:pStyle w:val="8"/>
        <w:spacing w:line="253" w:lineRule="auto"/>
        <w:ind w:firstLine="420"/>
        <w:rPr>
          <w:rFonts w:hint="eastAsia" w:ascii="宋体" w:hAnsi="宋体" w:eastAsia="宋体" w:cs="宋体"/>
          <w:color w:val="auto"/>
          <w:lang w:eastAsia="zh-CN"/>
        </w:rPr>
      </w:pPr>
    </w:p>
    <w:p w14:paraId="69A20F49">
      <w:pPr>
        <w:pStyle w:val="8"/>
        <w:spacing w:line="253" w:lineRule="auto"/>
        <w:ind w:firstLine="420"/>
        <w:rPr>
          <w:rFonts w:hint="eastAsia" w:ascii="宋体" w:hAnsi="宋体" w:eastAsia="宋体" w:cs="宋体"/>
          <w:color w:val="auto"/>
          <w:lang w:eastAsia="zh-CN"/>
        </w:rPr>
      </w:pPr>
    </w:p>
    <w:p w14:paraId="791616C9">
      <w:pPr>
        <w:pStyle w:val="8"/>
        <w:spacing w:line="253" w:lineRule="auto"/>
        <w:ind w:firstLine="420"/>
        <w:rPr>
          <w:rFonts w:hint="eastAsia" w:ascii="宋体" w:hAnsi="宋体" w:eastAsia="宋体" w:cs="宋体"/>
          <w:color w:val="auto"/>
          <w:lang w:eastAsia="zh-CN"/>
        </w:rPr>
      </w:pPr>
    </w:p>
    <w:p w14:paraId="38502F78">
      <w:pPr>
        <w:pStyle w:val="8"/>
        <w:spacing w:line="253" w:lineRule="auto"/>
        <w:ind w:firstLine="420"/>
        <w:rPr>
          <w:rFonts w:hint="eastAsia" w:ascii="宋体" w:hAnsi="宋体" w:eastAsia="宋体" w:cs="宋体"/>
          <w:color w:val="auto"/>
          <w:lang w:eastAsia="zh-CN"/>
        </w:rPr>
      </w:pPr>
    </w:p>
    <w:p w14:paraId="7739D613">
      <w:pPr>
        <w:spacing w:before="97" w:line="219" w:lineRule="auto"/>
        <w:ind w:firstLine="664"/>
        <w:rPr>
          <w:rFonts w:hint="eastAsia" w:ascii="宋体" w:hAnsi="宋体" w:eastAsia="宋体" w:cs="宋体"/>
          <w:color w:val="auto"/>
          <w:sz w:val="30"/>
          <w:szCs w:val="30"/>
          <w:lang w:eastAsia="zh-CN"/>
        </w:rPr>
      </w:pPr>
      <w:r>
        <w:rPr>
          <w:rFonts w:hint="eastAsia" w:ascii="宋体" w:hAnsi="宋体" w:eastAsia="宋体" w:cs="宋体"/>
          <w:b/>
          <w:bCs/>
          <w:color w:val="auto"/>
          <w:spacing w:val="31"/>
          <w:sz w:val="30"/>
          <w:szCs w:val="30"/>
          <w:lang w:eastAsia="zh-CN"/>
        </w:rPr>
        <w:t>采购人(甲方):</w:t>
      </w:r>
    </w:p>
    <w:p w14:paraId="00D67BAF">
      <w:pPr>
        <w:pStyle w:val="8"/>
        <w:spacing w:line="297" w:lineRule="auto"/>
        <w:ind w:firstLine="420"/>
        <w:rPr>
          <w:rFonts w:hint="eastAsia" w:ascii="宋体" w:hAnsi="宋体" w:eastAsia="宋体" w:cs="宋体"/>
          <w:color w:val="auto"/>
          <w:lang w:eastAsia="zh-CN"/>
        </w:rPr>
      </w:pPr>
    </w:p>
    <w:p w14:paraId="3F53A7E4">
      <w:pPr>
        <w:pStyle w:val="8"/>
        <w:spacing w:line="298" w:lineRule="auto"/>
        <w:ind w:firstLine="420"/>
        <w:rPr>
          <w:rFonts w:hint="eastAsia" w:ascii="宋体" w:hAnsi="宋体" w:eastAsia="宋体" w:cs="宋体"/>
          <w:color w:val="auto"/>
          <w:lang w:eastAsia="zh-CN"/>
        </w:rPr>
      </w:pPr>
    </w:p>
    <w:p w14:paraId="075C9BF7">
      <w:pPr>
        <w:spacing w:before="99" w:line="220" w:lineRule="auto"/>
        <w:ind w:left="40" w:firstLine="638"/>
        <w:rPr>
          <w:rFonts w:hint="eastAsia" w:ascii="宋体" w:hAnsi="宋体" w:eastAsia="宋体" w:cs="宋体"/>
          <w:color w:val="auto"/>
          <w:sz w:val="30"/>
          <w:szCs w:val="30"/>
          <w:lang w:eastAsia="zh-CN"/>
        </w:rPr>
      </w:pPr>
      <w:r>
        <w:rPr>
          <w:rFonts w:hint="eastAsia" w:ascii="宋体" w:hAnsi="宋体" w:eastAsia="宋体" w:cs="宋体"/>
          <w:b/>
          <w:bCs/>
          <w:color w:val="auto"/>
          <w:spacing w:val="18"/>
          <w:sz w:val="30"/>
          <w:szCs w:val="30"/>
          <w:lang w:eastAsia="zh-CN"/>
        </w:rPr>
        <w:t>中标人(乙方):</w:t>
      </w:r>
    </w:p>
    <w:p w14:paraId="06D81246">
      <w:pPr>
        <w:pStyle w:val="8"/>
        <w:spacing w:line="287" w:lineRule="auto"/>
        <w:ind w:firstLine="420"/>
        <w:rPr>
          <w:rFonts w:hint="eastAsia" w:ascii="宋体" w:hAnsi="宋体" w:eastAsia="宋体" w:cs="宋体"/>
          <w:color w:val="auto"/>
          <w:lang w:eastAsia="zh-CN"/>
        </w:rPr>
      </w:pPr>
    </w:p>
    <w:p w14:paraId="2A41BC1B">
      <w:pPr>
        <w:pStyle w:val="8"/>
        <w:spacing w:line="287" w:lineRule="auto"/>
        <w:ind w:firstLine="420"/>
        <w:rPr>
          <w:rFonts w:hint="eastAsia" w:ascii="宋体" w:hAnsi="宋体" w:eastAsia="宋体" w:cs="宋体"/>
          <w:color w:val="auto"/>
          <w:lang w:eastAsia="zh-CN"/>
        </w:rPr>
      </w:pPr>
    </w:p>
    <w:p w14:paraId="36DA25E2">
      <w:pPr>
        <w:pStyle w:val="8"/>
        <w:spacing w:line="287" w:lineRule="auto"/>
        <w:ind w:firstLine="420"/>
        <w:rPr>
          <w:rFonts w:hint="eastAsia" w:ascii="宋体" w:hAnsi="宋体" w:eastAsia="宋体" w:cs="宋体"/>
          <w:color w:val="auto"/>
          <w:lang w:eastAsia="zh-CN"/>
        </w:rPr>
      </w:pPr>
    </w:p>
    <w:p w14:paraId="69EC3347">
      <w:pPr>
        <w:pStyle w:val="8"/>
        <w:spacing w:line="287" w:lineRule="auto"/>
        <w:ind w:firstLine="420"/>
        <w:rPr>
          <w:rFonts w:hint="eastAsia" w:ascii="宋体" w:hAnsi="宋体" w:eastAsia="宋体" w:cs="宋体"/>
          <w:color w:val="auto"/>
          <w:lang w:eastAsia="zh-CN"/>
        </w:rPr>
      </w:pPr>
    </w:p>
    <w:p w14:paraId="25782561">
      <w:pPr>
        <w:pStyle w:val="8"/>
        <w:spacing w:line="287" w:lineRule="auto"/>
        <w:ind w:firstLine="420"/>
        <w:rPr>
          <w:rFonts w:hint="eastAsia" w:ascii="宋体" w:hAnsi="宋体" w:eastAsia="宋体" w:cs="宋体"/>
          <w:color w:val="auto"/>
          <w:lang w:eastAsia="zh-CN"/>
        </w:rPr>
      </w:pPr>
    </w:p>
    <w:p w14:paraId="0D3EB403">
      <w:pPr>
        <w:spacing w:before="98" w:line="219" w:lineRule="auto"/>
        <w:ind w:left="3599" w:firstLine="574"/>
        <w:rPr>
          <w:rFonts w:hint="eastAsia" w:ascii="宋体" w:hAnsi="宋体" w:eastAsia="宋体" w:cs="宋体"/>
          <w:color w:val="auto"/>
          <w:sz w:val="30"/>
          <w:szCs w:val="30"/>
          <w:lang w:eastAsia="zh-CN"/>
        </w:rPr>
      </w:pPr>
      <w:r>
        <w:rPr>
          <w:rFonts w:hint="eastAsia" w:ascii="宋体" w:hAnsi="宋体" w:eastAsia="宋体" w:cs="宋体"/>
          <w:b/>
          <w:bCs/>
          <w:color w:val="auto"/>
          <w:spacing w:val="-14"/>
          <w:sz w:val="30"/>
          <w:szCs w:val="30"/>
          <w:lang w:eastAsia="zh-CN"/>
        </w:rPr>
        <w:t>年</w:t>
      </w:r>
      <w:r>
        <w:rPr>
          <w:rFonts w:hint="eastAsia" w:ascii="宋体" w:hAnsi="宋体" w:eastAsia="宋体" w:cs="宋体"/>
          <w:color w:val="auto"/>
          <w:spacing w:val="20"/>
          <w:sz w:val="30"/>
          <w:szCs w:val="30"/>
          <w:lang w:eastAsia="zh-CN"/>
        </w:rPr>
        <w:t xml:space="preserve">   </w:t>
      </w:r>
      <w:r>
        <w:rPr>
          <w:rFonts w:hint="eastAsia" w:ascii="宋体" w:hAnsi="宋体" w:eastAsia="宋体" w:cs="宋体"/>
          <w:b/>
          <w:bCs/>
          <w:color w:val="auto"/>
          <w:spacing w:val="-14"/>
          <w:sz w:val="30"/>
          <w:szCs w:val="30"/>
          <w:lang w:eastAsia="zh-CN"/>
        </w:rPr>
        <w:t>月</w:t>
      </w:r>
      <w:r>
        <w:rPr>
          <w:rFonts w:hint="eastAsia" w:ascii="宋体" w:hAnsi="宋体" w:eastAsia="宋体" w:cs="宋体"/>
          <w:color w:val="auto"/>
          <w:spacing w:val="37"/>
          <w:sz w:val="30"/>
          <w:szCs w:val="30"/>
          <w:lang w:eastAsia="zh-CN"/>
        </w:rPr>
        <w:t xml:space="preserve">   </w:t>
      </w:r>
      <w:r>
        <w:rPr>
          <w:rFonts w:hint="eastAsia" w:ascii="宋体" w:hAnsi="宋体" w:eastAsia="宋体" w:cs="宋体"/>
          <w:b/>
          <w:bCs/>
          <w:color w:val="auto"/>
          <w:spacing w:val="-14"/>
          <w:sz w:val="30"/>
          <w:szCs w:val="30"/>
          <w:lang w:eastAsia="zh-CN"/>
        </w:rPr>
        <w:t>日</w:t>
      </w:r>
    </w:p>
    <w:p w14:paraId="398C8C4A">
      <w:pPr>
        <w:spacing w:line="219" w:lineRule="auto"/>
        <w:ind w:firstLine="600"/>
        <w:rPr>
          <w:rFonts w:hint="eastAsia" w:ascii="宋体" w:hAnsi="宋体" w:eastAsia="宋体" w:cs="宋体"/>
          <w:color w:val="auto"/>
          <w:sz w:val="30"/>
          <w:szCs w:val="30"/>
          <w:lang w:eastAsia="zh-CN"/>
        </w:rPr>
        <w:sectPr>
          <w:footerReference r:id="rId9" w:type="default"/>
          <w:pgSz w:w="11900" w:h="16830"/>
          <w:pgMar w:top="1417" w:right="1417" w:bottom="1417" w:left="1417" w:header="1134" w:footer="992" w:gutter="0"/>
          <w:pgNumType w:fmt="decimal"/>
          <w:cols w:space="720" w:num="1"/>
        </w:sectPr>
      </w:pPr>
    </w:p>
    <w:p w14:paraId="5FEECB5F">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合同编号：</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 xml:space="preserve">   </w:t>
      </w:r>
    </w:p>
    <w:p w14:paraId="66FCE934">
      <w:pPr>
        <w:spacing w:line="360" w:lineRule="auto"/>
        <w:ind w:firstLine="42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采购计划号：</w:t>
      </w:r>
      <w:r>
        <w:rPr>
          <w:rFonts w:hint="eastAsia" w:ascii="宋体" w:hAnsi="宋体" w:eastAsia="宋体" w:cs="宋体"/>
          <w:color w:val="auto"/>
          <w:sz w:val="24"/>
          <w:szCs w:val="24"/>
          <w:u w:val="single"/>
          <w:lang w:eastAsia="zh-CN"/>
        </w:rPr>
        <w:t xml:space="preserve">                                      </w:t>
      </w:r>
    </w:p>
    <w:p w14:paraId="0F8B6D19">
      <w:pPr>
        <w:spacing w:line="360" w:lineRule="auto"/>
        <w:ind w:firstLine="42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 xml:space="preserve">  </w:t>
      </w:r>
    </w:p>
    <w:p w14:paraId="72E51F90">
      <w:pPr>
        <w:spacing w:line="360" w:lineRule="auto"/>
        <w:ind w:firstLine="42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 xml:space="preserve">    </w:t>
      </w:r>
    </w:p>
    <w:p w14:paraId="5AF8BC17">
      <w:pPr>
        <w:spacing w:line="360" w:lineRule="auto"/>
        <w:ind w:firstLine="42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签订地点：</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 xml:space="preserve">   </w:t>
      </w:r>
    </w:p>
    <w:p w14:paraId="3125B367">
      <w:pPr>
        <w:spacing w:line="360" w:lineRule="auto"/>
        <w:ind w:firstLine="42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签订时间：</w:t>
      </w:r>
      <w:r>
        <w:rPr>
          <w:rFonts w:hint="eastAsia" w:ascii="宋体" w:hAnsi="宋体" w:eastAsia="宋体" w:cs="宋体"/>
          <w:color w:val="auto"/>
          <w:sz w:val="24"/>
          <w:szCs w:val="24"/>
          <w:u w:val="single"/>
          <w:lang w:eastAsia="zh-CN"/>
        </w:rPr>
        <w:t xml:space="preserve">      年       月     日</w:t>
      </w:r>
    </w:p>
    <w:p w14:paraId="0E6050DC">
      <w:pPr>
        <w:spacing w:line="360" w:lineRule="auto"/>
        <w:ind w:firstLine="42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 xml:space="preserve">采购人 </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lang w:eastAsia="zh-CN"/>
        </w:rPr>
        <w:t xml:space="preserve"> (以下简称“甲方”)与中标人</w:t>
      </w:r>
      <w:r>
        <w:rPr>
          <w:rFonts w:hint="eastAsia" w:ascii="宋体" w:hAnsi="宋体" w:eastAsia="宋体" w:cs="宋体"/>
          <w:color w:val="auto"/>
          <w:spacing w:val="-96"/>
          <w:sz w:val="24"/>
          <w:szCs w:val="24"/>
          <w:lang w:eastAsia="zh-CN"/>
        </w:rPr>
        <w:t xml:space="preserve"> </w:t>
      </w:r>
      <w:r>
        <w:rPr>
          <w:rFonts w:hint="eastAsia" w:ascii="宋体" w:hAnsi="宋体" w:eastAsia="宋体" w:cs="宋体"/>
          <w:color w:val="auto"/>
          <w:spacing w:val="3"/>
          <w:sz w:val="24"/>
          <w:szCs w:val="24"/>
          <w:u w:val="single"/>
          <w:lang w:eastAsia="zh-CN"/>
        </w:rPr>
        <w:t xml:space="preserve">            </w:t>
      </w:r>
      <w:r>
        <w:rPr>
          <w:rFonts w:hint="eastAsia" w:ascii="宋体" w:hAnsi="宋体" w:eastAsia="宋体" w:cs="宋体"/>
          <w:color w:val="auto"/>
          <w:spacing w:val="39"/>
          <w:sz w:val="24"/>
          <w:szCs w:val="24"/>
          <w:lang w:eastAsia="zh-CN"/>
        </w:rPr>
        <w:t xml:space="preserve"> </w:t>
      </w:r>
      <w:r>
        <w:rPr>
          <w:rFonts w:hint="eastAsia" w:ascii="宋体" w:hAnsi="宋体" w:eastAsia="宋体" w:cs="宋体"/>
          <w:color w:val="auto"/>
          <w:spacing w:val="2"/>
          <w:sz w:val="24"/>
          <w:szCs w:val="24"/>
          <w:lang w:eastAsia="zh-CN"/>
        </w:rPr>
        <w:t>(以下简称“乙方”),根据</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8"/>
          <w:sz w:val="24"/>
          <w:szCs w:val="24"/>
          <w:lang w:eastAsia="zh-CN"/>
        </w:rPr>
        <w:t>《中华人民共和国政府采购法》、《中华人民共和国民法典》、《中华人民共和国节约能源法》等法律、</w:t>
      </w:r>
      <w:r>
        <w:rPr>
          <w:rFonts w:hint="eastAsia" w:ascii="宋体" w:hAnsi="宋体" w:eastAsia="宋体" w:cs="宋体"/>
          <w:color w:val="auto"/>
          <w:spacing w:val="2"/>
          <w:sz w:val="24"/>
          <w:szCs w:val="24"/>
          <w:lang w:eastAsia="zh-CN"/>
        </w:rPr>
        <w:t>法规及其他有关规定，本着平等、自愿的原则，就</w:t>
      </w:r>
      <w:r>
        <w:rPr>
          <w:rFonts w:hint="eastAsia"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1"/>
          <w:sz w:val="24"/>
          <w:szCs w:val="24"/>
          <w:lang w:eastAsia="zh-CN"/>
        </w:rPr>
        <w:t>事宜，按照招标文件规定条款和乙方投标文件及其承诺，经甲乙双方协</w:t>
      </w:r>
      <w:r>
        <w:rPr>
          <w:rFonts w:hint="eastAsia" w:ascii="宋体" w:hAnsi="宋体" w:eastAsia="宋体" w:cs="宋体"/>
          <w:color w:val="auto"/>
          <w:spacing w:val="-2"/>
          <w:sz w:val="24"/>
          <w:szCs w:val="24"/>
          <w:lang w:eastAsia="zh-CN"/>
        </w:rPr>
        <w:t>商一致，签订本合同</w:t>
      </w:r>
      <w:r>
        <w:rPr>
          <w:rFonts w:hint="eastAsia" w:ascii="宋体" w:hAnsi="宋体" w:eastAsia="宋体" w:cs="宋体"/>
          <w:color w:val="auto"/>
          <w:spacing w:val="-11"/>
          <w:sz w:val="24"/>
          <w:szCs w:val="24"/>
          <w:lang w:eastAsia="zh-CN"/>
        </w:rPr>
        <w:t>(以下简称“项目合同”)。</w:t>
      </w:r>
    </w:p>
    <w:p w14:paraId="200AC49E">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b/>
          <w:bCs/>
          <w:color w:val="auto"/>
          <w:spacing w:val="-1"/>
          <w:sz w:val="24"/>
          <w:szCs w:val="24"/>
          <w:lang w:eastAsia="zh-CN"/>
        </w:rPr>
        <w:t>第一条</w:t>
      </w:r>
      <w:r>
        <w:rPr>
          <w:rFonts w:hint="eastAsia" w:ascii="宋体" w:hAnsi="宋体" w:eastAsia="宋体" w:cs="宋体"/>
          <w:color w:val="auto"/>
          <w:spacing w:val="98"/>
          <w:sz w:val="24"/>
          <w:szCs w:val="24"/>
          <w:lang w:eastAsia="zh-CN"/>
        </w:rPr>
        <w:t xml:space="preserve"> </w:t>
      </w:r>
      <w:r>
        <w:rPr>
          <w:rFonts w:hint="eastAsia" w:ascii="宋体" w:hAnsi="宋体" w:eastAsia="宋体" w:cs="宋体"/>
          <w:b/>
          <w:bCs/>
          <w:color w:val="auto"/>
          <w:spacing w:val="-1"/>
          <w:sz w:val="24"/>
          <w:szCs w:val="24"/>
          <w:lang w:eastAsia="zh-CN"/>
        </w:rPr>
        <w:t>项目概况</w:t>
      </w:r>
    </w:p>
    <w:p w14:paraId="582599D1">
      <w:pPr>
        <w:spacing w:line="360" w:lineRule="auto"/>
        <w:ind w:firstLine="426"/>
        <w:rPr>
          <w:rFonts w:hint="eastAsia" w:ascii="宋体" w:hAnsi="宋体" w:eastAsia="宋体" w:cs="宋体"/>
          <w:color w:val="auto"/>
          <w:sz w:val="24"/>
          <w:szCs w:val="24"/>
          <w:lang w:eastAsia="zh-CN"/>
        </w:rPr>
      </w:pPr>
      <w:r>
        <w:rPr>
          <w:rFonts w:hint="eastAsia" w:ascii="宋体" w:hAnsi="宋体" w:eastAsia="宋体" w:cs="宋体"/>
          <w:color w:val="auto"/>
          <w:spacing w:val="3"/>
          <w:sz w:val="24"/>
          <w:szCs w:val="24"/>
          <w:lang w:eastAsia="zh-CN"/>
        </w:rPr>
        <w:t>本次道路照明合同能源托管及智慧化运维服务项目，采用合同能源管理中的能源费用托管模式</w:t>
      </w:r>
      <w:r>
        <w:rPr>
          <w:rFonts w:hint="eastAsia" w:ascii="宋体" w:hAnsi="宋体" w:eastAsia="宋体" w:cs="宋体"/>
          <w:color w:val="auto"/>
          <w:spacing w:val="2"/>
          <w:sz w:val="24"/>
          <w:szCs w:val="24"/>
          <w:lang w:eastAsia="zh-CN"/>
        </w:rPr>
        <w:t>，由乙方负责对阿图什市路灯进行</w:t>
      </w:r>
      <w:r>
        <w:rPr>
          <w:rFonts w:hint="eastAsia" w:ascii="宋体" w:hAnsi="宋体" w:eastAsia="宋体" w:cs="宋体"/>
          <w:color w:val="auto"/>
          <w:sz w:val="24"/>
          <w:szCs w:val="24"/>
          <w:lang w:eastAsia="zh-CN"/>
        </w:rPr>
        <w:t>节能改造智慧化提升</w:t>
      </w:r>
      <w:r>
        <w:rPr>
          <w:rFonts w:hint="eastAsia" w:ascii="宋体" w:hAnsi="宋体" w:eastAsia="宋体" w:cs="宋体"/>
          <w:color w:val="auto"/>
          <w:spacing w:val="5"/>
          <w:sz w:val="24"/>
          <w:szCs w:val="24"/>
          <w:lang w:eastAsia="zh-CN"/>
        </w:rPr>
        <w:t>，并负责10年托管服务期内的维护管养(包含</w:t>
      </w:r>
      <w:r>
        <w:rPr>
          <w:rFonts w:hint="eastAsia" w:ascii="宋体" w:hAnsi="宋体" w:eastAsia="宋体" w:cs="宋体"/>
          <w:sz w:val="24"/>
          <w:szCs w:val="24"/>
          <w:lang w:eastAsia="zh-CN"/>
        </w:rPr>
        <w:t>城区、新城区路灯灯具、灯杆、灯杆挂载灯笼国旗、市政道路沿线节日氛围照明、配电箱部分，以及公园与广场景观灯、城区楼宇亮化的照明设备、配电箱</w:t>
      </w:r>
      <w:r>
        <w:rPr>
          <w:rFonts w:hint="eastAsia" w:ascii="宋体" w:hAnsi="宋体" w:eastAsia="宋体" w:cs="宋体"/>
          <w:color w:val="auto"/>
          <w:spacing w:val="5"/>
          <w:sz w:val="24"/>
          <w:szCs w:val="24"/>
          <w:lang w:eastAsia="zh-CN"/>
        </w:rPr>
        <w:t>)以及10年托管服务期内道路照明设施的电费缴纳（包含</w:t>
      </w:r>
      <w:r>
        <w:rPr>
          <w:rFonts w:hint="eastAsia" w:ascii="宋体" w:hAnsi="宋体" w:eastAsia="宋体" w:cs="宋体"/>
          <w:sz w:val="24"/>
          <w:szCs w:val="24"/>
          <w:lang w:eastAsia="zh-CN"/>
        </w:rPr>
        <w:t>城区路灯、新城区路灯、路灯杆挂载灯笼国旗、市政道路沿线节日氛围照明、公园与广场景观灯、楼宇亮化的</w:t>
      </w:r>
      <w:r>
        <w:rPr>
          <w:rFonts w:hint="eastAsia" w:ascii="宋体" w:hAnsi="宋体" w:eastAsia="宋体" w:cs="宋体"/>
          <w:color w:val="auto"/>
          <w:spacing w:val="5"/>
          <w:sz w:val="24"/>
          <w:szCs w:val="24"/>
          <w:lang w:eastAsia="zh-CN"/>
        </w:rPr>
        <w:t>电费）。托管服务期满前一个月，乙方必须</w:t>
      </w:r>
      <w:r>
        <w:rPr>
          <w:rFonts w:hint="eastAsia" w:ascii="宋体" w:hAnsi="宋体" w:eastAsia="宋体" w:cs="宋体"/>
          <w:color w:val="auto"/>
          <w:spacing w:val="4"/>
          <w:sz w:val="24"/>
          <w:szCs w:val="24"/>
          <w:lang w:eastAsia="zh-CN"/>
        </w:rPr>
        <w:t>将所使用的设施</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
          <w:sz w:val="24"/>
          <w:szCs w:val="24"/>
          <w:lang w:eastAsia="zh-CN"/>
        </w:rPr>
        <w:t>设备维护维修好，保证运转正常，托管服务期满经双方</w:t>
      </w:r>
      <w:r>
        <w:rPr>
          <w:rFonts w:hint="eastAsia" w:ascii="宋体" w:hAnsi="宋体" w:eastAsia="宋体" w:cs="宋体"/>
          <w:color w:val="auto"/>
          <w:spacing w:val="2"/>
          <w:sz w:val="24"/>
          <w:szCs w:val="24"/>
          <w:lang w:eastAsia="zh-CN"/>
        </w:rPr>
        <w:t>组织验收确认后，乙方将全部路灯设施设备、智慧路灯管理平台交还</w:t>
      </w:r>
      <w:r>
        <w:rPr>
          <w:rFonts w:hint="eastAsia" w:ascii="宋体" w:hAnsi="宋体" w:eastAsia="宋体" w:cs="宋体"/>
          <w:color w:val="auto"/>
          <w:spacing w:val="-8"/>
          <w:sz w:val="24"/>
          <w:szCs w:val="24"/>
          <w:lang w:eastAsia="zh-CN"/>
        </w:rPr>
        <w:t>甲方。</w:t>
      </w:r>
    </w:p>
    <w:p w14:paraId="358ADE83">
      <w:pPr>
        <w:spacing w:line="360" w:lineRule="auto"/>
        <w:ind w:firstLine="426"/>
        <w:rPr>
          <w:rFonts w:hint="eastAsia" w:ascii="宋体" w:hAnsi="宋体" w:eastAsia="宋体" w:cs="宋体"/>
          <w:color w:val="auto"/>
          <w:spacing w:val="5"/>
          <w:sz w:val="24"/>
          <w:szCs w:val="24"/>
          <w:lang w:eastAsia="zh-CN"/>
        </w:rPr>
      </w:pPr>
      <w:r>
        <w:rPr>
          <w:rFonts w:hint="eastAsia" w:ascii="宋体" w:hAnsi="宋体" w:eastAsia="宋体" w:cs="宋体"/>
          <w:color w:val="auto"/>
          <w:spacing w:val="3"/>
          <w:sz w:val="24"/>
          <w:szCs w:val="24"/>
          <w:lang w:eastAsia="zh-CN"/>
        </w:rPr>
        <w:t>1、本项目采用合同能源管理(EMC)中的能源费用托管模式。项目资产所有权归政府方所有，合作期内由乙方负责建设、维护、移交等工作。</w:t>
      </w:r>
    </w:p>
    <w:p w14:paraId="50C82EE6">
      <w:pPr>
        <w:pStyle w:val="23"/>
        <w:numPr>
          <w:ilvl w:val="0"/>
          <w:numId w:val="7"/>
        </w:numPr>
        <w:spacing w:line="360" w:lineRule="auto"/>
        <w:ind w:firstLineChars="0"/>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合同总金额：(大写)</w:t>
      </w:r>
      <w:r>
        <w:rPr>
          <w:rFonts w:hint="eastAsia" w:ascii="宋体" w:hAnsi="宋体" w:eastAsia="宋体" w:cs="宋体"/>
          <w:color w:val="auto"/>
          <w:spacing w:val="-51"/>
          <w:sz w:val="24"/>
          <w:szCs w:val="24"/>
          <w:lang w:eastAsia="zh-CN"/>
        </w:rPr>
        <w:t xml:space="preserve"> </w:t>
      </w:r>
      <w:r>
        <w:rPr>
          <w:rFonts w:hint="eastAsia" w:ascii="宋体" w:hAnsi="宋体" w:eastAsia="宋体" w:cs="宋体"/>
          <w:color w:val="auto"/>
          <w:spacing w:val="6"/>
          <w:sz w:val="24"/>
          <w:szCs w:val="24"/>
          <w:u w:val="single"/>
          <w:lang w:eastAsia="zh-CN"/>
        </w:rPr>
        <w:t xml:space="preserve">人民币           </w:t>
      </w:r>
      <w:r>
        <w:rPr>
          <w:rFonts w:hint="eastAsia" w:ascii="宋体" w:hAnsi="宋体" w:eastAsia="宋体" w:cs="宋体"/>
          <w:color w:val="auto"/>
          <w:spacing w:val="-75"/>
          <w:sz w:val="24"/>
          <w:szCs w:val="24"/>
          <w:lang w:eastAsia="zh-CN"/>
        </w:rPr>
        <w:t xml:space="preserve"> </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35"/>
          <w:sz w:val="24"/>
          <w:szCs w:val="24"/>
          <w:lang w:eastAsia="zh-CN"/>
        </w:rPr>
        <w:t xml:space="preserve"> </w:t>
      </w:r>
      <w:r>
        <w:rPr>
          <w:rFonts w:hint="eastAsia" w:ascii="宋体" w:hAnsi="宋体" w:eastAsia="宋体" w:cs="宋体"/>
          <w:color w:val="auto"/>
          <w:spacing w:val="6"/>
          <w:sz w:val="24"/>
          <w:szCs w:val="24"/>
          <w:lang w:eastAsia="zh-CN"/>
        </w:rPr>
        <w:t>小</w:t>
      </w:r>
      <w:r>
        <w:rPr>
          <w:rFonts w:hint="eastAsia" w:ascii="宋体" w:hAnsi="宋体" w:eastAsia="宋体" w:cs="宋体"/>
          <w:color w:val="auto"/>
          <w:spacing w:val="-35"/>
          <w:sz w:val="24"/>
          <w:szCs w:val="24"/>
          <w:lang w:eastAsia="zh-CN"/>
        </w:rPr>
        <w:t xml:space="preserve"> </w:t>
      </w:r>
      <w:r>
        <w:rPr>
          <w:rFonts w:hint="eastAsia" w:ascii="宋体" w:hAnsi="宋体" w:eastAsia="宋体" w:cs="宋体"/>
          <w:color w:val="auto"/>
          <w:spacing w:val="6"/>
          <w:sz w:val="24"/>
          <w:szCs w:val="24"/>
          <w:lang w:eastAsia="zh-CN"/>
        </w:rPr>
        <w:t>写</w:t>
      </w:r>
      <w:r>
        <w:rPr>
          <w:rFonts w:hint="eastAsia" w:ascii="宋体" w:hAnsi="宋体" w:eastAsia="宋体" w:cs="宋体"/>
          <w:color w:val="auto"/>
          <w:spacing w:val="-39"/>
          <w:sz w:val="24"/>
          <w:szCs w:val="24"/>
          <w:lang w:eastAsia="zh-CN"/>
        </w:rPr>
        <w:t xml:space="preserve"> </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43"/>
          <w:sz w:val="24"/>
          <w:szCs w:val="24"/>
          <w:lang w:eastAsia="zh-CN"/>
        </w:rPr>
        <w:t xml:space="preserve"> </w:t>
      </w:r>
      <w:r>
        <w:rPr>
          <w:rFonts w:hint="eastAsia" w:ascii="宋体" w:hAnsi="宋体" w:eastAsia="宋体" w:cs="宋体"/>
          <w:color w:val="auto"/>
          <w:spacing w:val="5"/>
          <w:sz w:val="24"/>
          <w:szCs w:val="24"/>
          <w:lang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50"/>
          <w:sz w:val="24"/>
          <w:szCs w:val="24"/>
          <w:lang w:eastAsia="zh-CN"/>
        </w:rPr>
        <w:t>；</w:t>
      </w:r>
    </w:p>
    <w:p w14:paraId="10767F26">
      <w:pPr>
        <w:pStyle w:val="23"/>
        <w:numPr>
          <w:ilvl w:val="1"/>
          <w:numId w:val="8"/>
        </w:numPr>
        <w:spacing w:line="360" w:lineRule="auto"/>
        <w:ind w:firstLineChars="0"/>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 xml:space="preserve"> 其中托管电费(大写)</w:t>
      </w:r>
      <w:r>
        <w:rPr>
          <w:rFonts w:hint="eastAsia" w:ascii="宋体" w:hAnsi="宋体" w:eastAsia="宋体" w:cs="宋体"/>
          <w:color w:val="auto"/>
          <w:spacing w:val="5"/>
          <w:sz w:val="24"/>
          <w:szCs w:val="24"/>
          <w:u w:val="single"/>
          <w:lang w:eastAsia="zh-CN"/>
        </w:rPr>
        <w:t>人</w:t>
      </w:r>
      <w:r>
        <w:rPr>
          <w:rFonts w:hint="eastAsia" w:ascii="宋体" w:hAnsi="宋体" w:eastAsia="宋体" w:cs="宋体"/>
          <w:color w:val="auto"/>
          <w:spacing w:val="2"/>
          <w:sz w:val="24"/>
          <w:szCs w:val="24"/>
          <w:u w:val="single"/>
          <w:lang w:eastAsia="zh-CN"/>
        </w:rPr>
        <w:t xml:space="preserve">民币        </w:t>
      </w:r>
      <w:r>
        <w:rPr>
          <w:rFonts w:hint="eastAsia" w:ascii="宋体" w:hAnsi="宋体" w:eastAsia="宋体" w:cs="宋体"/>
          <w:color w:val="auto"/>
          <w:spacing w:val="-85"/>
          <w:sz w:val="24"/>
          <w:szCs w:val="24"/>
          <w:lang w:eastAsia="zh-CN"/>
        </w:rPr>
        <w:t xml:space="preserve"> </w:t>
      </w:r>
      <w:r>
        <w:rPr>
          <w:rFonts w:hint="eastAsia" w:ascii="宋体" w:hAnsi="宋体" w:eastAsia="宋体" w:cs="宋体"/>
          <w:color w:val="auto"/>
          <w:spacing w:val="2"/>
          <w:sz w:val="24"/>
          <w:szCs w:val="24"/>
          <w:lang w:eastAsia="zh-CN"/>
        </w:rPr>
        <w:t>( 小 写 ) ¥</w:t>
      </w:r>
      <w:r>
        <w:rPr>
          <w:rFonts w:hint="eastAsia" w:ascii="宋体" w:hAnsi="宋体" w:eastAsia="宋体" w:cs="宋体"/>
          <w:color w:val="auto"/>
          <w:spacing w:val="-90"/>
          <w:sz w:val="24"/>
          <w:szCs w:val="24"/>
          <w:lang w:eastAsia="zh-CN"/>
        </w:rPr>
        <w:t xml:space="preserve"> </w:t>
      </w:r>
      <w:r>
        <w:rPr>
          <w:rFonts w:hint="eastAsia" w:ascii="宋体" w:hAnsi="宋体" w:eastAsia="宋体" w:cs="宋体"/>
          <w:color w:val="auto"/>
          <w:spacing w:val="2"/>
          <w:sz w:val="24"/>
          <w:szCs w:val="24"/>
          <w:u w:val="single"/>
          <w:lang w:eastAsia="zh-CN"/>
        </w:rPr>
        <w:t xml:space="preserve"> </w:t>
      </w:r>
      <w:bookmarkStart w:id="69" w:name="_Hlk198368974"/>
      <w:r>
        <w:rPr>
          <w:rFonts w:hint="eastAsia" w:ascii="宋体" w:hAnsi="宋体" w:eastAsia="宋体" w:cs="宋体"/>
          <w:color w:val="auto"/>
          <w:spacing w:val="2"/>
          <w:sz w:val="24"/>
          <w:szCs w:val="24"/>
          <w:u w:val="single"/>
          <w:lang w:eastAsia="zh-CN"/>
        </w:rPr>
        <w:t xml:space="preserve"> </w:t>
      </w:r>
      <w:bookmarkEnd w:id="69"/>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b/>
          <w:bCs/>
          <w:sz w:val="24"/>
          <w:szCs w:val="24"/>
          <w:u w:val="single"/>
          <w:lang w:eastAsia="zh-CN"/>
        </w:rPr>
        <w:t xml:space="preserve"> </w:t>
      </w:r>
      <w:r>
        <w:rPr>
          <w:rFonts w:hint="eastAsia" w:ascii="宋体" w:hAnsi="宋体" w:eastAsia="宋体" w:cs="宋体"/>
          <w:color w:val="auto"/>
          <w:spacing w:val="-37"/>
          <w:sz w:val="24"/>
          <w:szCs w:val="24"/>
          <w:lang w:eastAsia="zh-CN"/>
        </w:rPr>
        <w:t xml:space="preserve"> ；</w:t>
      </w:r>
    </w:p>
    <w:p w14:paraId="7F360FA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37"/>
          <w:sz w:val="24"/>
          <w:szCs w:val="24"/>
          <w:lang w:eastAsia="zh-CN"/>
        </w:rPr>
        <w:t>包含：</w:t>
      </w:r>
      <w:r>
        <w:rPr>
          <w:rFonts w:hint="eastAsia" w:ascii="宋体" w:hAnsi="宋体" w:eastAsia="宋体" w:cs="宋体"/>
          <w:sz w:val="24"/>
          <w:szCs w:val="24"/>
          <w:lang w:eastAsia="zh-CN"/>
        </w:rPr>
        <w:t>城区路灯、新城区路灯、路灯杆挂载灯笼国旗、市政道路沿线节日氛围照明、公园与广场景观灯的托管</w:t>
      </w:r>
      <w:r>
        <w:rPr>
          <w:rFonts w:hint="eastAsia" w:ascii="宋体" w:hAnsi="宋体" w:eastAsia="宋体" w:cs="宋体"/>
          <w:color w:val="auto"/>
          <w:spacing w:val="-37"/>
          <w:sz w:val="24"/>
          <w:szCs w:val="24"/>
          <w:lang w:val="en-US" w:eastAsia="zh-CN"/>
        </w:rPr>
        <w:t>电费</w:t>
      </w:r>
      <w:r>
        <w:rPr>
          <w:rFonts w:hint="eastAsia" w:ascii="宋体" w:hAnsi="宋体" w:eastAsia="宋体" w:cs="宋体"/>
          <w:color w:val="auto"/>
          <w:spacing w:val="-37"/>
          <w:sz w:val="24"/>
          <w:szCs w:val="24"/>
          <w:lang w:eastAsia="zh-CN"/>
        </w:rPr>
        <w:t>：</w:t>
      </w:r>
      <w:r>
        <w:rPr>
          <w:rFonts w:hint="eastAsia" w:ascii="宋体" w:hAnsi="宋体" w:eastAsia="宋体" w:cs="宋体"/>
          <w:color w:val="auto"/>
          <w:spacing w:val="5"/>
          <w:sz w:val="24"/>
          <w:szCs w:val="24"/>
          <w:lang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sz w:val="24"/>
          <w:szCs w:val="24"/>
          <w:u w:val="single"/>
          <w:lang w:eastAsia="zh-CN"/>
        </w:rPr>
        <w:t xml:space="preserve"> </w:t>
      </w:r>
      <w:r>
        <w:rPr>
          <w:rFonts w:hint="eastAsia" w:ascii="宋体" w:hAnsi="宋体" w:eastAsia="宋体" w:cs="宋体"/>
          <w:sz w:val="24"/>
          <w:szCs w:val="24"/>
          <w:lang w:eastAsia="zh-CN"/>
        </w:rPr>
        <w:t>；</w:t>
      </w:r>
      <w:r>
        <w:rPr>
          <w:rFonts w:hint="eastAsia" w:ascii="宋体" w:hAnsi="宋体" w:eastAsia="宋体" w:cs="宋体"/>
          <w:color w:val="auto"/>
          <w:spacing w:val="-37"/>
          <w:sz w:val="24"/>
          <w:szCs w:val="24"/>
          <w:lang w:eastAsia="zh-CN"/>
        </w:rPr>
        <w:t>楼宇亮化的托管电费：</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u w:val="single"/>
          <w:lang w:eastAsia="zh-CN"/>
        </w:rPr>
        <w:t xml:space="preserve"> </w:t>
      </w:r>
      <w:r>
        <w:rPr>
          <w:rFonts w:hint="eastAsia" w:ascii="宋体" w:hAnsi="宋体" w:eastAsia="宋体" w:cs="宋体"/>
          <w:color w:val="auto"/>
          <w:spacing w:val="5"/>
          <w:sz w:val="24"/>
          <w:szCs w:val="24"/>
          <w:u w:val="single"/>
          <w:lang w:val="en-US" w:eastAsia="zh-CN"/>
        </w:rPr>
        <w:t xml:space="preserve">      </w:t>
      </w:r>
      <w:r>
        <w:rPr>
          <w:rFonts w:hint="eastAsia" w:ascii="宋体" w:hAnsi="宋体" w:eastAsia="宋体" w:cs="宋体"/>
          <w:color w:val="auto"/>
          <w:spacing w:val="-37"/>
          <w:sz w:val="24"/>
          <w:szCs w:val="24"/>
          <w:lang w:eastAsia="zh-CN"/>
        </w:rPr>
        <w:t xml:space="preserve"> </w:t>
      </w:r>
      <w:r>
        <w:rPr>
          <w:rFonts w:hint="eastAsia" w:ascii="宋体" w:hAnsi="宋体" w:eastAsia="宋体" w:cs="宋体"/>
          <w:color w:val="auto"/>
          <w:sz w:val="24"/>
          <w:szCs w:val="24"/>
          <w:lang w:eastAsia="zh-CN"/>
        </w:rPr>
        <w:t>；单价为¥</w:t>
      </w:r>
      <w:r>
        <w:rPr>
          <w:rFonts w:hint="eastAsia" w:ascii="宋体" w:hAnsi="宋体" w:eastAsia="宋体" w:cs="宋体"/>
          <w:color w:val="auto"/>
          <w:spacing w:val="-94"/>
          <w:sz w:val="24"/>
          <w:szCs w:val="24"/>
          <w:lang w:eastAsia="zh-CN"/>
        </w:rPr>
        <w:t xml:space="preserve"> </w:t>
      </w:r>
      <w:r>
        <w:rPr>
          <w:rFonts w:hint="eastAsia" w:ascii="宋体" w:hAnsi="宋体" w:eastAsia="宋体" w:cs="宋体"/>
          <w:color w:val="auto"/>
          <w:spacing w:val="-94"/>
          <w:sz w:val="24"/>
          <w:szCs w:val="24"/>
          <w:lang w:val="en-US" w:eastAsia="zh-CN"/>
        </w:rPr>
        <w:t xml:space="preserve">       </w:t>
      </w: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lang w:eastAsia="zh-CN"/>
        </w:rPr>
        <w:t xml:space="preserve"> </w:t>
      </w:r>
      <w:r>
        <w:rPr>
          <w:rFonts w:hint="eastAsia" w:ascii="宋体" w:hAnsi="宋体" w:eastAsia="宋体" w:cs="宋体"/>
          <w:color w:val="auto"/>
          <w:sz w:val="24"/>
          <w:szCs w:val="24"/>
          <w:lang w:eastAsia="zh-CN"/>
        </w:rPr>
        <w:t>万元/年；</w:t>
      </w:r>
    </w:p>
    <w:p w14:paraId="2B871D89">
      <w:pPr>
        <w:pStyle w:val="23"/>
        <w:numPr>
          <w:ilvl w:val="1"/>
          <w:numId w:val="8"/>
        </w:numPr>
        <w:spacing w:line="360" w:lineRule="auto"/>
        <w:ind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其中托管</w:t>
      </w:r>
      <w:r>
        <w:rPr>
          <w:rFonts w:hint="eastAsia" w:ascii="宋体" w:hAnsi="宋体" w:eastAsia="宋体" w:cs="宋体"/>
          <w:color w:val="auto"/>
          <w:spacing w:val="2"/>
          <w:sz w:val="24"/>
          <w:szCs w:val="24"/>
          <w:lang w:eastAsia="zh-CN"/>
        </w:rPr>
        <w:t>运</w:t>
      </w:r>
      <w:r>
        <w:rPr>
          <w:rFonts w:hint="eastAsia" w:ascii="宋体" w:hAnsi="宋体" w:eastAsia="宋体" w:cs="宋体"/>
          <w:color w:val="auto"/>
          <w:spacing w:val="1"/>
          <w:sz w:val="24"/>
          <w:szCs w:val="24"/>
          <w:lang w:eastAsia="zh-CN"/>
        </w:rPr>
        <w:t>维服务费(大写)</w:t>
      </w:r>
      <w:r>
        <w:rPr>
          <w:rFonts w:hint="eastAsia" w:ascii="宋体" w:hAnsi="宋体" w:eastAsia="宋体" w:cs="宋体"/>
          <w:color w:val="auto"/>
          <w:spacing w:val="-51"/>
          <w:sz w:val="24"/>
          <w:szCs w:val="24"/>
          <w:lang w:eastAsia="zh-CN"/>
        </w:rPr>
        <w:t xml:space="preserve"> </w:t>
      </w:r>
      <w:r>
        <w:rPr>
          <w:rFonts w:hint="eastAsia" w:ascii="宋体" w:hAnsi="宋体" w:eastAsia="宋体" w:cs="宋体"/>
          <w:color w:val="auto"/>
          <w:spacing w:val="1"/>
          <w:sz w:val="24"/>
          <w:szCs w:val="24"/>
          <w:u w:val="single"/>
          <w:lang w:eastAsia="zh-CN"/>
        </w:rPr>
        <w:t>人 民 币</w:t>
      </w:r>
      <w:r>
        <w:rPr>
          <w:rFonts w:hint="eastAsia" w:ascii="宋体" w:hAnsi="宋体" w:eastAsia="宋体" w:cs="宋体"/>
          <w:color w:val="auto"/>
          <w:spacing w:val="31"/>
          <w:sz w:val="24"/>
          <w:szCs w:val="24"/>
          <w:u w:val="single"/>
          <w:lang w:eastAsia="zh-CN"/>
        </w:rPr>
        <w:t xml:space="preserve">   </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6"/>
          <w:sz w:val="24"/>
          <w:szCs w:val="24"/>
          <w:lang w:eastAsia="zh-CN"/>
        </w:rPr>
        <w:t xml:space="preserve"> </w:t>
      </w:r>
      <w:r>
        <w:rPr>
          <w:rFonts w:hint="eastAsia" w:ascii="宋体" w:hAnsi="宋体" w:eastAsia="宋体" w:cs="宋体"/>
          <w:color w:val="auto"/>
          <w:spacing w:val="1"/>
          <w:sz w:val="24"/>
          <w:szCs w:val="24"/>
          <w:lang w:eastAsia="zh-CN"/>
        </w:rPr>
        <w:t>小</w:t>
      </w:r>
      <w:r>
        <w:rPr>
          <w:rFonts w:hint="eastAsia" w:ascii="宋体" w:hAnsi="宋体" w:eastAsia="宋体" w:cs="宋体"/>
          <w:color w:val="auto"/>
          <w:spacing w:val="-17"/>
          <w:sz w:val="24"/>
          <w:szCs w:val="24"/>
          <w:lang w:eastAsia="zh-CN"/>
        </w:rPr>
        <w:t xml:space="preserve"> </w:t>
      </w:r>
      <w:r>
        <w:rPr>
          <w:rFonts w:hint="eastAsia" w:ascii="宋体" w:hAnsi="宋体" w:eastAsia="宋体" w:cs="宋体"/>
          <w:color w:val="auto"/>
          <w:spacing w:val="1"/>
          <w:sz w:val="24"/>
          <w:szCs w:val="24"/>
          <w:lang w:eastAsia="zh-CN"/>
        </w:rPr>
        <w:t>写</w:t>
      </w:r>
      <w:r>
        <w:rPr>
          <w:rFonts w:hint="eastAsia" w:ascii="宋体" w:hAnsi="宋体" w:eastAsia="宋体" w:cs="宋体"/>
          <w:color w:val="auto"/>
          <w:spacing w:val="-22"/>
          <w:sz w:val="24"/>
          <w:szCs w:val="24"/>
          <w:lang w:eastAsia="zh-CN"/>
        </w:rPr>
        <w:t xml:space="preserve"> </w:t>
      </w:r>
      <w:r>
        <w:rPr>
          <w:rFonts w:hint="eastAsia" w:ascii="宋体" w:hAnsi="宋体" w:eastAsia="宋体" w:cs="宋体"/>
          <w:color w:val="auto"/>
          <w:spacing w:val="1"/>
          <w:sz w:val="24"/>
          <w:szCs w:val="24"/>
          <w:lang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pacing w:val="-94"/>
          <w:sz w:val="24"/>
          <w:szCs w:val="24"/>
          <w:lang w:eastAsia="zh-CN"/>
        </w:rPr>
        <w:t xml:space="preserve"> </w:t>
      </w:r>
      <w:r>
        <w:rPr>
          <w:rFonts w:hint="eastAsia"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val="en-US" w:eastAsia="zh-CN"/>
        </w:rPr>
        <w:t xml:space="preserve">   </w:t>
      </w:r>
      <w:r>
        <w:rPr>
          <w:rFonts w:hint="eastAsia" w:ascii="宋体" w:hAnsi="宋体" w:eastAsia="宋体" w:cs="宋体"/>
          <w:b/>
          <w:bCs/>
          <w:sz w:val="24"/>
          <w:szCs w:val="24"/>
          <w:u w:val="single"/>
          <w:lang w:eastAsia="zh-CN"/>
        </w:rPr>
        <w:t xml:space="preserve">  </w:t>
      </w:r>
      <w:r>
        <w:rPr>
          <w:rFonts w:hint="eastAsia" w:ascii="宋体" w:hAnsi="宋体" w:eastAsia="宋体" w:cs="宋体"/>
          <w:color w:val="auto"/>
          <w:sz w:val="24"/>
          <w:szCs w:val="24"/>
          <w:lang w:eastAsia="zh-CN"/>
        </w:rPr>
        <w:t xml:space="preserve"> ；单价为¥</w:t>
      </w:r>
      <w:r>
        <w:rPr>
          <w:rFonts w:hint="eastAsia" w:ascii="宋体" w:hAnsi="宋体" w:eastAsia="宋体" w:cs="宋体"/>
          <w:color w:val="auto"/>
          <w:spacing w:val="-94"/>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sz w:val="24"/>
          <w:szCs w:val="24"/>
          <w:u w:val="single"/>
          <w:lang w:eastAsia="zh-CN"/>
        </w:rPr>
        <w:t xml:space="preserve"> </w:t>
      </w:r>
      <w:r>
        <w:rPr>
          <w:rFonts w:hint="eastAsia" w:ascii="宋体" w:hAnsi="宋体" w:eastAsia="宋体" w:cs="宋体"/>
          <w:color w:val="auto"/>
          <w:sz w:val="24"/>
          <w:szCs w:val="24"/>
          <w:lang w:eastAsia="zh-CN"/>
        </w:rPr>
        <w:t>万元/年。</w:t>
      </w:r>
    </w:p>
    <w:p w14:paraId="7984D15B">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pacing w:val="-57"/>
          <w:sz w:val="24"/>
          <w:szCs w:val="24"/>
          <w:lang w:eastAsia="zh-CN"/>
        </w:rPr>
        <w:t xml:space="preserve"> </w:t>
      </w:r>
      <w:r>
        <w:rPr>
          <w:rFonts w:hint="eastAsia" w:ascii="宋体" w:hAnsi="宋体" w:eastAsia="宋体" w:cs="宋体"/>
          <w:color w:val="auto"/>
          <w:sz w:val="24"/>
          <w:szCs w:val="24"/>
          <w:lang w:eastAsia="zh-CN"/>
        </w:rPr>
        <w:t>合同总金额是履行合同的最终价格，必须包含满足本次投标全部采购需求所应提供的服务，</w:t>
      </w:r>
      <w:r>
        <w:rPr>
          <w:rFonts w:hint="eastAsia" w:ascii="宋体" w:hAnsi="宋体" w:eastAsia="宋体" w:cs="宋体"/>
          <w:color w:val="auto"/>
          <w:spacing w:val="7"/>
          <w:sz w:val="24"/>
          <w:szCs w:val="24"/>
          <w:lang w:eastAsia="zh-CN"/>
        </w:rPr>
        <w:t>以及伴随的货物和工程(如有)的价格；包含整体服务(路灯节能改造智慧化提升</w:t>
      </w:r>
      <w:r>
        <w:rPr>
          <w:rFonts w:hint="eastAsia" w:ascii="宋体" w:hAnsi="宋体" w:eastAsia="宋体" w:cs="宋体"/>
          <w:color w:val="auto"/>
          <w:spacing w:val="6"/>
          <w:sz w:val="24"/>
          <w:szCs w:val="24"/>
          <w:lang w:eastAsia="zh-CN"/>
        </w:rPr>
        <w:t>及维护管养)、货物、工程的</w:t>
      </w:r>
      <w:r>
        <w:rPr>
          <w:rFonts w:hint="eastAsia" w:ascii="宋体" w:hAnsi="宋体" w:eastAsia="宋体" w:cs="宋体"/>
          <w:color w:val="auto"/>
          <w:spacing w:val="3"/>
          <w:sz w:val="24"/>
          <w:szCs w:val="24"/>
          <w:lang w:eastAsia="zh-CN"/>
        </w:rPr>
        <w:t>成本、运输(含保险)、装卸、安装、调试、检验、技术</w:t>
      </w:r>
      <w:r>
        <w:rPr>
          <w:rFonts w:hint="eastAsia" w:ascii="宋体" w:hAnsi="宋体" w:eastAsia="宋体" w:cs="宋体"/>
          <w:color w:val="auto"/>
          <w:spacing w:val="2"/>
          <w:sz w:val="24"/>
          <w:szCs w:val="24"/>
          <w:lang w:eastAsia="zh-CN"/>
        </w:rPr>
        <w:t>服务、培训、税费等所有费用。</w:t>
      </w:r>
    </w:p>
    <w:p w14:paraId="77607FEC">
      <w:pPr>
        <w:spacing w:line="360" w:lineRule="auto"/>
        <w:ind w:firstLine="412"/>
        <w:rPr>
          <w:rFonts w:hint="eastAsia" w:ascii="宋体" w:hAnsi="宋体" w:eastAsia="宋体" w:cs="宋体"/>
          <w:color w:val="auto"/>
          <w:sz w:val="24"/>
          <w:szCs w:val="24"/>
          <w:lang w:eastAsia="zh-CN"/>
        </w:rPr>
      </w:pPr>
      <w:r>
        <w:rPr>
          <w:rFonts w:hint="eastAsia" w:ascii="宋体" w:hAnsi="宋体" w:eastAsia="宋体" w:cs="宋体"/>
          <w:color w:val="auto"/>
          <w:spacing w:val="-4"/>
          <w:position w:val="13"/>
          <w:sz w:val="24"/>
          <w:szCs w:val="24"/>
          <w:lang w:eastAsia="zh-CN"/>
        </w:rPr>
        <w:t>4、本次项目包含以下内容：</w:t>
      </w:r>
    </w:p>
    <w:p w14:paraId="4C188847">
      <w:pPr>
        <w:spacing w:line="360" w:lineRule="auto"/>
        <w:ind w:firstLine="412"/>
        <w:rPr>
          <w:rFonts w:hint="eastAsia" w:ascii="宋体" w:hAnsi="宋体" w:eastAsia="宋体" w:cs="宋体"/>
          <w:color w:val="auto"/>
          <w:spacing w:val="-4"/>
          <w:position w:val="13"/>
          <w:sz w:val="24"/>
          <w:szCs w:val="24"/>
          <w:lang w:eastAsia="zh-CN"/>
        </w:rPr>
      </w:pPr>
      <w:r>
        <w:rPr>
          <w:rFonts w:hint="eastAsia" w:ascii="宋体" w:hAnsi="宋体" w:eastAsia="宋体" w:cs="宋体"/>
          <w:color w:val="auto"/>
          <w:spacing w:val="-4"/>
          <w:position w:val="13"/>
          <w:sz w:val="24"/>
          <w:szCs w:val="24"/>
          <w:lang w:eastAsia="zh-CN"/>
        </w:rPr>
        <w:t>4.1  改造期</w:t>
      </w:r>
    </w:p>
    <w:p w14:paraId="6430FC42">
      <w:pPr>
        <w:spacing w:line="360" w:lineRule="auto"/>
        <w:ind w:firstLine="414"/>
        <w:rPr>
          <w:rFonts w:hint="eastAsia" w:ascii="宋体" w:hAnsi="宋体" w:eastAsia="宋体" w:cs="宋体"/>
          <w:color w:val="auto"/>
          <w:spacing w:val="5"/>
          <w:sz w:val="24"/>
          <w:szCs w:val="24"/>
          <w:lang w:eastAsia="zh-CN"/>
        </w:rPr>
      </w:pPr>
      <w:r>
        <w:rPr>
          <w:rFonts w:hint="eastAsia" w:ascii="宋体" w:hAnsi="宋体" w:eastAsia="宋体" w:cs="宋体"/>
          <w:color w:val="auto"/>
          <w:spacing w:val="-3"/>
          <w:sz w:val="24"/>
          <w:szCs w:val="24"/>
          <w:lang w:eastAsia="zh-CN"/>
        </w:rPr>
        <w:t>4.1.1 路灯节能改造智慧化提升：阿图什市路灯、公园广场景观灯总基数：9256基。其中：城区路灯：</w:t>
      </w:r>
      <w:r>
        <w:rPr>
          <w:rFonts w:hint="eastAsia" w:ascii="宋体" w:hAnsi="宋体" w:eastAsia="宋体" w:cs="宋体"/>
          <w:color w:val="auto"/>
          <w:spacing w:val="6"/>
          <w:sz w:val="24"/>
          <w:szCs w:val="24"/>
          <w:lang w:eastAsia="zh-CN"/>
        </w:rPr>
        <w:t>2677基，高杆灯：71基，路灯盏数：5868盏；新城区路灯：814基，高杆灯：75基，路灯盏数：1829盏；公园、广场景观灯：5590基，高杆灯：29基。</w:t>
      </w:r>
      <w:r>
        <w:rPr>
          <w:rFonts w:hint="eastAsia" w:ascii="宋体" w:hAnsi="宋体" w:eastAsia="宋体" w:cs="宋体"/>
          <w:sz w:val="24"/>
          <w:szCs w:val="24"/>
          <w:lang w:eastAsia="zh-CN"/>
        </w:rPr>
        <w:t>将部分老旧、灯头产品年限久接近淘汰、现有灯头不具备调光功能、低光效LED灯整灯更换成高光效、暧白光、智能型LED灯（或更换为高光效LED模组）。公园、广场景观灯、城区、新城区楼宇亮化的配电柜增加智慧化集中控制器；搭建智慧化路灯控制系统平台（增加：数智驱动电源、单灯控制器 、双灯控制器、三灯控制器、集中控制器；智慧化控制系统平台及智慧化监控中心）</w:t>
      </w:r>
      <w:r>
        <w:rPr>
          <w:rFonts w:hint="eastAsia" w:ascii="宋体" w:hAnsi="宋体" w:eastAsia="宋体" w:cs="宋体"/>
          <w:color w:val="auto"/>
          <w:spacing w:val="1"/>
          <w:sz w:val="24"/>
          <w:szCs w:val="24"/>
          <w:lang w:eastAsia="zh-CN"/>
        </w:rPr>
        <w:t>实现路灯一网统管智能化</w:t>
      </w:r>
      <w:r>
        <w:rPr>
          <w:rFonts w:hint="eastAsia" w:ascii="宋体" w:hAnsi="宋体" w:eastAsia="宋体" w:cs="宋体"/>
          <w:color w:val="auto"/>
          <w:sz w:val="24"/>
          <w:szCs w:val="24"/>
          <w:lang w:eastAsia="zh-CN"/>
        </w:rPr>
        <w:t>控制。并负责灯具的10年质保(如因光衰减或损</w:t>
      </w:r>
      <w:r>
        <w:rPr>
          <w:rFonts w:hint="eastAsia" w:ascii="宋体" w:hAnsi="宋体" w:eastAsia="宋体" w:cs="宋体"/>
          <w:color w:val="auto"/>
          <w:spacing w:val="5"/>
          <w:sz w:val="24"/>
          <w:szCs w:val="24"/>
          <w:lang w:eastAsia="zh-CN"/>
        </w:rPr>
        <w:t>坏造成路面照度达不到相关标准的，由中标方及时给予无偿更换);部分线缆维修。(具体以实际数量为准)。</w:t>
      </w:r>
    </w:p>
    <w:p w14:paraId="464A6278">
      <w:pPr>
        <w:spacing w:line="360" w:lineRule="auto"/>
        <w:ind w:firstLine="414"/>
        <w:rPr>
          <w:rFonts w:hint="eastAsia" w:ascii="宋体" w:hAnsi="宋体" w:eastAsia="宋体" w:cs="宋体"/>
          <w:color w:val="auto"/>
          <w:spacing w:val="2"/>
          <w:sz w:val="24"/>
          <w:szCs w:val="24"/>
          <w:lang w:eastAsia="zh-CN"/>
        </w:rPr>
      </w:pPr>
      <w:r>
        <w:rPr>
          <w:rFonts w:hint="eastAsia" w:ascii="宋体" w:hAnsi="宋体" w:eastAsia="宋体" w:cs="宋体"/>
          <w:color w:val="auto"/>
          <w:spacing w:val="-3"/>
          <w:sz w:val="24"/>
          <w:szCs w:val="24"/>
          <w:lang w:eastAsia="zh-CN"/>
        </w:rPr>
        <w:t xml:space="preserve">4.1.2  </w:t>
      </w:r>
      <w:r>
        <w:rPr>
          <w:rFonts w:hint="eastAsia" w:ascii="宋体" w:hAnsi="宋体" w:eastAsia="宋体" w:cs="宋体"/>
          <w:color w:val="auto"/>
          <w:spacing w:val="2"/>
          <w:sz w:val="24"/>
          <w:szCs w:val="24"/>
          <w:lang w:eastAsia="zh-CN"/>
        </w:rPr>
        <w:t>改造标准为：</w:t>
      </w:r>
    </w:p>
    <w:p w14:paraId="2EB05E0D">
      <w:pPr>
        <w:spacing w:line="360" w:lineRule="auto"/>
        <w:ind w:firstLine="424"/>
        <w:rPr>
          <w:rFonts w:hint="eastAsia" w:ascii="宋体" w:hAnsi="宋体" w:eastAsia="宋体" w:cs="宋体"/>
          <w:color w:val="auto"/>
          <w:spacing w:val="14"/>
          <w:sz w:val="24"/>
          <w:szCs w:val="24"/>
          <w:lang w:eastAsia="zh-CN"/>
        </w:rPr>
      </w:pPr>
      <w:r>
        <w:rPr>
          <w:rFonts w:hint="eastAsia" w:ascii="宋体" w:hAnsi="宋体" w:eastAsia="宋体" w:cs="宋体"/>
          <w:color w:val="auto"/>
          <w:spacing w:val="2"/>
          <w:sz w:val="24"/>
          <w:szCs w:val="24"/>
          <w:lang w:eastAsia="zh-CN"/>
        </w:rPr>
        <w:t>(1)改造后LED灯具满功率运行时，道路照明标准依照国家标准CJJ45-2015《城市道路照明设计标准》的上限值÷0.8作为基准值(灯杆间距部署不符合国标的路段除外)。</w:t>
      </w:r>
    </w:p>
    <w:p w14:paraId="3F14E500">
      <w:pPr>
        <w:spacing w:line="360" w:lineRule="auto"/>
        <w:ind w:firstLine="424"/>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(2) 项目范围内公共照明(道路、公园广场等) LED普及率达100%。</w:t>
      </w:r>
    </w:p>
    <w:p w14:paraId="1FA20765">
      <w:pPr>
        <w:spacing w:line="360" w:lineRule="auto"/>
        <w:ind w:firstLine="424"/>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(3) 项目范围内城市道路照明质量达《城市道路照明设计标准》(CJJ45-2015)  要求，达标率95%以上(按道路面积计算),主干道达标率100%,照明亮灯率98%以上。</w:t>
      </w:r>
    </w:p>
    <w:p w14:paraId="260271BA">
      <w:pPr>
        <w:spacing w:line="360" w:lineRule="auto"/>
        <w:ind w:firstLine="434"/>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(4) 项目范围内公园广场照明质量达《城市夜景照明设计规范》(</w:t>
      </w:r>
      <w:r>
        <w:rPr>
          <w:rFonts w:hint="eastAsia" w:ascii="宋体" w:hAnsi="宋体" w:eastAsia="宋体" w:cs="宋体"/>
          <w:color w:val="auto"/>
          <w:sz w:val="24"/>
          <w:szCs w:val="24"/>
          <w:lang w:eastAsia="zh-CN"/>
        </w:rPr>
        <w:t>JGJ</w:t>
      </w:r>
      <w:r>
        <w:rPr>
          <w:rFonts w:hint="eastAsia" w:ascii="宋体" w:hAnsi="宋体" w:eastAsia="宋体" w:cs="宋体"/>
          <w:color w:val="auto"/>
          <w:spacing w:val="7"/>
          <w:sz w:val="24"/>
          <w:szCs w:val="24"/>
          <w:lang w:eastAsia="zh-CN"/>
        </w:rPr>
        <w:t>/T163-2008)。</w:t>
      </w:r>
    </w:p>
    <w:p w14:paraId="46D1C3B6">
      <w:pPr>
        <w:spacing w:line="360" w:lineRule="auto"/>
        <w:ind w:firstLine="424"/>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 项目范围内道路路面平均照度及均匀度不低于《城市道路照明设计标准》(CJJ45-2015)。</w:t>
      </w:r>
    </w:p>
    <w:p w14:paraId="784E0078">
      <w:pPr>
        <w:spacing w:line="360" w:lineRule="auto"/>
        <w:ind w:firstLine="424"/>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4.2  托管服务期服务内容：</w:t>
      </w:r>
    </w:p>
    <w:p w14:paraId="6374F640">
      <w:pPr>
        <w:spacing w:line="360" w:lineRule="auto"/>
        <w:ind w:firstLine="424"/>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4.2.1 托管服务期内由乙方对路灯配套电缆部分进行维护管养。</w:t>
      </w:r>
    </w:p>
    <w:p w14:paraId="1917DC6E">
      <w:pPr>
        <w:spacing w:line="360" w:lineRule="auto"/>
        <w:ind w:firstLine="42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4.2.2 托管服务期内</w:t>
      </w:r>
      <w:r>
        <w:rPr>
          <w:rFonts w:hint="eastAsia" w:ascii="宋体" w:hAnsi="宋体" w:eastAsia="宋体" w:cs="宋体"/>
          <w:sz w:val="24"/>
          <w:szCs w:val="24"/>
          <w:lang w:eastAsia="zh-CN"/>
        </w:rPr>
        <w:t>由乙方对城区、新城区路灯灯具、灯杆、灯杆挂载灯笼国旗、市政道路沿线节日氛围照明、配电箱部分，以及公园与广场景观灯、城区楼宇亮化的照明设备、配电箱进行维护管养</w:t>
      </w:r>
      <w:r>
        <w:rPr>
          <w:rFonts w:hint="eastAsia" w:ascii="宋体" w:hAnsi="宋体" w:eastAsia="宋体" w:cs="宋体"/>
          <w:color w:val="auto"/>
          <w:spacing w:val="6"/>
          <w:sz w:val="24"/>
          <w:szCs w:val="24"/>
          <w:lang w:eastAsia="zh-CN"/>
        </w:rPr>
        <w:t>。</w:t>
      </w:r>
    </w:p>
    <w:p w14:paraId="43702002">
      <w:pPr>
        <w:spacing w:line="360" w:lineRule="auto"/>
        <w:ind w:firstLine="430"/>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 xml:space="preserve">4.2.3 </w:t>
      </w:r>
      <w:r>
        <w:rPr>
          <w:rFonts w:hint="eastAsia" w:ascii="宋体" w:hAnsi="宋体" w:eastAsia="宋体" w:cs="宋体"/>
          <w:sz w:val="24"/>
          <w:szCs w:val="24"/>
          <w:lang w:eastAsia="zh-CN"/>
        </w:rPr>
        <w:t>搭建智慧化路灯控制系统平台</w:t>
      </w:r>
      <w:r>
        <w:rPr>
          <w:rFonts w:hint="eastAsia" w:ascii="宋体" w:hAnsi="宋体" w:eastAsia="宋体" w:cs="宋体"/>
          <w:color w:val="auto"/>
          <w:spacing w:val="5"/>
          <w:sz w:val="24"/>
          <w:szCs w:val="24"/>
          <w:lang w:eastAsia="zh-CN"/>
        </w:rPr>
        <w:t>。改造后市区50W以上</w:t>
      </w:r>
      <w:r>
        <w:rPr>
          <w:rFonts w:hint="eastAsia" w:ascii="宋体" w:hAnsi="宋体" w:eastAsia="宋体" w:cs="宋体"/>
          <w:color w:val="auto"/>
          <w:sz w:val="24"/>
          <w:szCs w:val="24"/>
          <w:lang w:eastAsia="zh-CN"/>
        </w:rPr>
        <w:t>LED</w:t>
      </w:r>
      <w:r>
        <w:rPr>
          <w:rFonts w:hint="eastAsia" w:ascii="宋体" w:hAnsi="宋体" w:eastAsia="宋体" w:cs="宋体"/>
          <w:color w:val="auto"/>
          <w:spacing w:val="5"/>
          <w:sz w:val="24"/>
          <w:szCs w:val="24"/>
          <w:lang w:eastAsia="zh-CN"/>
        </w:rPr>
        <w:t>灯具加装单</w:t>
      </w:r>
      <w:r>
        <w:rPr>
          <w:rFonts w:hint="eastAsia" w:ascii="宋体" w:hAnsi="宋体" w:eastAsia="宋体" w:cs="宋体"/>
          <w:color w:val="auto"/>
          <w:spacing w:val="4"/>
          <w:sz w:val="24"/>
          <w:szCs w:val="24"/>
          <w:lang w:eastAsia="zh-CN"/>
        </w:rPr>
        <w:t>灯远程监控管理系统，可实时监控路灯</w:t>
      </w:r>
      <w:r>
        <w:rPr>
          <w:rFonts w:hint="eastAsia" w:ascii="宋体" w:hAnsi="宋体" w:eastAsia="宋体" w:cs="宋体"/>
          <w:color w:val="auto"/>
          <w:spacing w:val="12"/>
          <w:sz w:val="24"/>
          <w:szCs w:val="24"/>
          <w:lang w:eastAsia="zh-CN"/>
        </w:rPr>
        <w:t>运行情况、将传统的人工巡检转变为系统主动告警，提高运维管理效率。智慧城市路灯照</w:t>
      </w:r>
      <w:r>
        <w:rPr>
          <w:rFonts w:hint="eastAsia" w:ascii="宋体" w:hAnsi="宋体" w:eastAsia="宋体" w:cs="宋体"/>
          <w:color w:val="auto"/>
          <w:spacing w:val="4"/>
          <w:sz w:val="24"/>
          <w:szCs w:val="24"/>
          <w:lang w:eastAsia="zh-CN"/>
        </w:rPr>
        <w:t>明管理平台，可实现路灯智能化控制，通过电脑或者手机</w:t>
      </w:r>
      <w:r>
        <w:rPr>
          <w:rFonts w:hint="eastAsia" w:ascii="宋体" w:hAnsi="宋体" w:eastAsia="宋体" w:cs="宋体"/>
          <w:color w:val="auto"/>
          <w:sz w:val="24"/>
          <w:szCs w:val="24"/>
          <w:lang w:eastAsia="zh-CN"/>
        </w:rPr>
        <w:t>APP</w:t>
      </w:r>
      <w:r>
        <w:rPr>
          <w:rFonts w:hint="eastAsia" w:ascii="宋体" w:hAnsi="宋体" w:eastAsia="宋体" w:cs="宋体"/>
          <w:color w:val="auto"/>
          <w:spacing w:val="4"/>
          <w:sz w:val="24"/>
          <w:szCs w:val="24"/>
          <w:lang w:eastAsia="zh-CN"/>
        </w:rPr>
        <w:t>实时监控城市路灯运行状态、故障状态，</w:t>
      </w:r>
      <w:r>
        <w:rPr>
          <w:rFonts w:hint="eastAsia" w:ascii="宋体" w:hAnsi="宋体" w:eastAsia="宋体" w:cs="宋体"/>
          <w:color w:val="auto"/>
          <w:spacing w:val="12"/>
          <w:sz w:val="24"/>
          <w:szCs w:val="24"/>
          <w:lang w:eastAsia="zh-CN"/>
        </w:rPr>
        <w:t>可实现数据可视化。可无缝接入智慧城管、智慧交通、智慧环</w:t>
      </w:r>
      <w:r>
        <w:rPr>
          <w:rFonts w:hint="eastAsia" w:ascii="宋体" w:hAnsi="宋体" w:eastAsia="宋体" w:cs="宋体"/>
          <w:color w:val="auto"/>
          <w:spacing w:val="11"/>
          <w:sz w:val="24"/>
          <w:szCs w:val="24"/>
          <w:lang w:eastAsia="zh-CN"/>
        </w:rPr>
        <w:t>保 (</w:t>
      </w:r>
      <w:r>
        <w:rPr>
          <w:rFonts w:hint="eastAsia" w:ascii="宋体" w:hAnsi="宋体" w:eastAsia="宋体" w:cs="宋体"/>
          <w:color w:val="auto"/>
          <w:sz w:val="24"/>
          <w:szCs w:val="24"/>
          <w:lang w:eastAsia="zh-CN"/>
        </w:rPr>
        <w:t>PM</w:t>
      </w:r>
      <w:r>
        <w:rPr>
          <w:rFonts w:hint="eastAsia" w:ascii="宋体" w:hAnsi="宋体" w:eastAsia="宋体" w:cs="宋体"/>
          <w:color w:val="auto"/>
          <w:spacing w:val="11"/>
          <w:sz w:val="24"/>
          <w:szCs w:val="24"/>
          <w:lang w:eastAsia="zh-CN"/>
        </w:rPr>
        <w:t>2.5,天气监测等)和智慧充电</w:t>
      </w:r>
      <w:r>
        <w:rPr>
          <w:rFonts w:hint="eastAsia" w:ascii="宋体" w:hAnsi="宋体" w:eastAsia="宋体" w:cs="宋体"/>
          <w:color w:val="auto"/>
          <w:spacing w:val="10"/>
          <w:sz w:val="24"/>
          <w:szCs w:val="24"/>
          <w:lang w:eastAsia="zh-CN"/>
        </w:rPr>
        <w:t>(路边充电桩)、智慧信息(人流量密集区域的</w:t>
      </w:r>
      <w:r>
        <w:rPr>
          <w:rFonts w:hint="eastAsia" w:ascii="宋体" w:hAnsi="宋体" w:eastAsia="宋体" w:cs="宋体"/>
          <w:color w:val="auto"/>
          <w:sz w:val="24"/>
          <w:szCs w:val="24"/>
          <w:lang w:eastAsia="zh-CN"/>
        </w:rPr>
        <w:t>LED</w:t>
      </w:r>
      <w:r>
        <w:rPr>
          <w:rFonts w:hint="eastAsia" w:ascii="宋体" w:hAnsi="宋体" w:eastAsia="宋体" w:cs="宋体"/>
          <w:color w:val="auto"/>
          <w:spacing w:val="10"/>
          <w:sz w:val="24"/>
          <w:szCs w:val="24"/>
          <w:lang w:eastAsia="zh-CN"/>
        </w:rPr>
        <w:t>显示屏等公共信息发布平台)、智慧停车等。</w:t>
      </w:r>
    </w:p>
    <w:p w14:paraId="3F88C179">
      <w:pPr>
        <w:spacing w:line="360" w:lineRule="auto"/>
        <w:ind w:firstLine="440"/>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4.2.4 道路照明设施巡查及日常维保。由乙方对改造后路灯</w:t>
      </w:r>
      <w:r>
        <w:rPr>
          <w:rFonts w:hint="eastAsia" w:ascii="宋体" w:hAnsi="宋体" w:eastAsia="宋体" w:cs="宋体"/>
          <w:color w:val="auto"/>
          <w:spacing w:val="13"/>
          <w:sz w:val="24"/>
          <w:szCs w:val="24"/>
          <w:lang w:eastAsia="zh-CN"/>
        </w:rPr>
        <w:t>、公园广场景观灯及其电气设</w:t>
      </w:r>
      <w:r>
        <w:rPr>
          <w:rFonts w:hint="eastAsia" w:ascii="宋体" w:hAnsi="宋体" w:eastAsia="宋体" w:cs="宋体"/>
          <w:color w:val="auto"/>
          <w:spacing w:val="12"/>
          <w:sz w:val="24"/>
          <w:szCs w:val="24"/>
          <w:lang w:eastAsia="zh-CN"/>
        </w:rPr>
        <w:t>施进行日常巡查及维保，</w:t>
      </w:r>
      <w:r>
        <w:rPr>
          <w:rFonts w:hint="eastAsia" w:ascii="宋体" w:hAnsi="宋体" w:eastAsia="宋体" w:cs="宋体"/>
          <w:color w:val="auto"/>
          <w:spacing w:val="6"/>
          <w:sz w:val="24"/>
          <w:szCs w:val="24"/>
          <w:lang w:eastAsia="zh-CN"/>
        </w:rPr>
        <w:t>确保设施运行正常，亮灯率达到98%以上。</w:t>
      </w:r>
    </w:p>
    <w:p w14:paraId="7C730323">
      <w:pPr>
        <w:spacing w:line="360" w:lineRule="auto"/>
        <w:ind w:firstLine="448"/>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4.3 绩效考核:</w:t>
      </w:r>
    </w:p>
    <w:p w14:paraId="043816B9">
      <w:pPr>
        <w:spacing w:line="360" w:lineRule="auto"/>
        <w:ind w:firstLine="438"/>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eastAsia="zh-CN"/>
        </w:rPr>
        <w:t>4.3.1 项目前期节能改造智慧化提升及托管期运维服务由乙方负责，阿图什住房和城乡建设局负责监管乙方托管期运维服务质量，按</w:t>
      </w:r>
      <w:r>
        <w:rPr>
          <w:rFonts w:hint="eastAsia" w:ascii="宋体" w:hAnsi="宋体" w:eastAsia="宋体" w:cs="宋体"/>
          <w:color w:val="auto"/>
          <w:spacing w:val="10"/>
          <w:sz w:val="24"/>
          <w:szCs w:val="24"/>
          <w:lang w:eastAsia="zh-CN"/>
        </w:rPr>
        <w:t>照项目绩效考核评分标准及对应运维服务费的支付比例考核乙方。</w:t>
      </w:r>
    </w:p>
    <w:p w14:paraId="76CC6CDA">
      <w:pPr>
        <w:spacing w:line="360" w:lineRule="auto"/>
        <w:ind w:firstLine="438"/>
        <w:rPr>
          <w:rFonts w:hint="eastAsia" w:ascii="宋体" w:hAnsi="宋体" w:eastAsia="宋体" w:cs="宋体"/>
          <w:color w:val="auto"/>
          <w:spacing w:val="9"/>
          <w:sz w:val="24"/>
          <w:szCs w:val="24"/>
          <w:lang w:eastAsia="zh-CN"/>
        </w:rPr>
      </w:pPr>
      <w:r>
        <w:rPr>
          <w:rFonts w:hint="eastAsia" w:ascii="宋体" w:hAnsi="宋体" w:eastAsia="宋体" w:cs="宋体"/>
          <w:color w:val="auto"/>
          <w:spacing w:val="9"/>
          <w:sz w:val="24"/>
          <w:szCs w:val="24"/>
          <w:lang w:eastAsia="zh-CN"/>
        </w:rPr>
        <w:t>4.4 托管服务期内路灯设施的增减费用。</w:t>
      </w:r>
    </w:p>
    <w:p w14:paraId="1B78E980">
      <w:pPr>
        <w:spacing w:line="360" w:lineRule="auto"/>
        <w:ind w:firstLine="438"/>
        <w:rPr>
          <w:rFonts w:hint="eastAsia" w:ascii="宋体" w:hAnsi="宋体" w:eastAsia="宋体" w:cs="宋体"/>
          <w:color w:val="auto"/>
          <w:spacing w:val="9"/>
          <w:sz w:val="24"/>
          <w:szCs w:val="24"/>
          <w:lang w:eastAsia="zh-CN"/>
        </w:rPr>
      </w:pPr>
      <w:r>
        <w:rPr>
          <w:rFonts w:hint="eastAsia" w:ascii="宋体" w:hAnsi="宋体" w:eastAsia="宋体" w:cs="宋体"/>
          <w:color w:val="auto"/>
          <w:spacing w:val="9"/>
          <w:sz w:val="24"/>
          <w:szCs w:val="24"/>
          <w:lang w:eastAsia="zh-CN"/>
        </w:rPr>
        <w:t>4.4.1 增加的照明设施电费部分单独挂表按实际用电情况核算，减少的照明设施电费部分依照改造托管后约定的照明时间按照实际减少功率理论计算。</w:t>
      </w:r>
    </w:p>
    <w:p w14:paraId="08A2822F">
      <w:pPr>
        <w:spacing w:line="360" w:lineRule="auto"/>
        <w:ind w:firstLine="420"/>
        <w:rPr>
          <w:rFonts w:hint="eastAsia" w:ascii="宋体" w:hAnsi="宋体" w:eastAsia="宋体" w:cs="宋体"/>
          <w:color w:val="auto"/>
          <w:spacing w:val="11"/>
          <w:sz w:val="24"/>
          <w:szCs w:val="24"/>
          <w:lang w:eastAsia="zh-CN"/>
        </w:rPr>
      </w:pPr>
      <w:r>
        <w:rPr>
          <w:rFonts w:hint="eastAsia" w:ascii="宋体" w:hAnsi="宋体" w:eastAsia="宋体" w:cs="宋体"/>
          <w:color w:val="auto"/>
          <w:sz w:val="24"/>
          <w:szCs w:val="24"/>
          <w:lang w:eastAsia="zh-CN"/>
        </w:rPr>
        <w:t>4.4.2 增减部分路灯每基路灯的养护费用按照</w:t>
      </w:r>
      <w:r>
        <w:rPr>
          <w:rFonts w:hint="eastAsia" w:ascii="宋体" w:hAnsi="宋体" w:eastAsia="宋体" w:cs="宋体"/>
          <w:color w:val="auto"/>
          <w:spacing w:val="19"/>
          <w:sz w:val="24"/>
          <w:szCs w:val="24"/>
          <w:u w:val="single"/>
          <w:lang w:eastAsia="zh-CN"/>
        </w:rPr>
        <w:t xml:space="preserve">     </w:t>
      </w:r>
      <w:r>
        <w:rPr>
          <w:rFonts w:hint="eastAsia" w:ascii="宋体" w:hAnsi="宋体" w:eastAsia="宋体" w:cs="宋体"/>
          <w:color w:val="auto"/>
          <w:spacing w:val="-65"/>
          <w:sz w:val="24"/>
          <w:szCs w:val="24"/>
          <w:lang w:eastAsia="zh-CN"/>
        </w:rPr>
        <w:t xml:space="preserve"> </w:t>
      </w:r>
      <w:r>
        <w:rPr>
          <w:rFonts w:hint="eastAsia" w:ascii="宋体" w:hAnsi="宋体" w:eastAsia="宋体" w:cs="宋体"/>
          <w:color w:val="auto"/>
          <w:sz w:val="24"/>
          <w:szCs w:val="24"/>
          <w:lang w:eastAsia="zh-CN"/>
        </w:rPr>
        <w:t>元/基/年执行(增减部分的路灯运维主</w:t>
      </w:r>
      <w:r>
        <w:rPr>
          <w:rFonts w:hint="eastAsia" w:ascii="宋体" w:hAnsi="宋体" w:eastAsia="宋体" w:cs="宋体"/>
          <w:color w:val="auto"/>
          <w:spacing w:val="1"/>
          <w:sz w:val="24"/>
          <w:szCs w:val="24"/>
          <w:lang w:eastAsia="zh-CN"/>
        </w:rPr>
        <w:t>要考虑智能控制系统的维护成本)。每年增长机制按照设施增量相应增加：市财政根</w:t>
      </w:r>
      <w:r>
        <w:rPr>
          <w:rFonts w:hint="eastAsia" w:ascii="宋体" w:hAnsi="宋体" w:eastAsia="宋体" w:cs="宋体"/>
          <w:color w:val="auto"/>
          <w:sz w:val="24"/>
          <w:szCs w:val="24"/>
          <w:lang w:eastAsia="zh-CN"/>
        </w:rPr>
        <w:t>据设施养护经费</w:t>
      </w:r>
      <w:r>
        <w:rPr>
          <w:rFonts w:hint="eastAsia" w:ascii="宋体" w:hAnsi="宋体" w:eastAsia="宋体" w:cs="宋体"/>
          <w:color w:val="auto"/>
          <w:spacing w:val="2"/>
          <w:sz w:val="24"/>
          <w:szCs w:val="24"/>
          <w:lang w:eastAsia="zh-CN"/>
        </w:rPr>
        <w:t>标准和养护的设施量安排年度预算，按照此标准，确保新增部分设施正常运行，主次干道亮灯率达</w:t>
      </w:r>
      <w:r>
        <w:rPr>
          <w:rFonts w:hint="eastAsia" w:ascii="宋体" w:hAnsi="宋体" w:eastAsia="宋体" w:cs="宋体"/>
          <w:color w:val="auto"/>
          <w:spacing w:val="11"/>
          <w:sz w:val="24"/>
          <w:szCs w:val="24"/>
          <w:lang w:eastAsia="zh-CN"/>
        </w:rPr>
        <w:t>到98%以上。</w:t>
      </w:r>
    </w:p>
    <w:p w14:paraId="5D68FEC4">
      <w:pPr>
        <w:spacing w:line="360" w:lineRule="auto"/>
        <w:ind w:firstLine="442"/>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eastAsia="zh-CN"/>
        </w:rPr>
        <w:t>4.4.3 由于国家供电部门对城市照明电费单价调整的，在中标年度平均单价±5%范围内，年服务费用不作调整，电费单价浮动＞5%的，根据实际情况调整年服务费金额。</w:t>
      </w:r>
    </w:p>
    <w:p w14:paraId="2002A02A">
      <w:pPr>
        <w:spacing w:line="360" w:lineRule="auto"/>
        <w:ind w:firstLine="4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4.5  特殊情况处理</w:t>
      </w:r>
    </w:p>
    <w:p w14:paraId="355D3F2F">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4.5.1 在建未移交的路灯：在路灯移交后，电费部分可单独挂表按照实际用</w:t>
      </w:r>
      <w:r>
        <w:rPr>
          <w:rFonts w:hint="eastAsia" w:ascii="宋体" w:hAnsi="宋体" w:eastAsia="宋体" w:cs="宋体"/>
          <w:color w:val="auto"/>
          <w:spacing w:val="-1"/>
          <w:sz w:val="24"/>
          <w:szCs w:val="24"/>
          <w:lang w:eastAsia="zh-CN"/>
        </w:rPr>
        <w:t>电情况核算增加。灯</w:t>
      </w:r>
      <w:r>
        <w:rPr>
          <w:rFonts w:hint="eastAsia" w:ascii="宋体" w:hAnsi="宋体" w:eastAsia="宋体" w:cs="宋体"/>
          <w:color w:val="auto"/>
          <w:spacing w:val="2"/>
          <w:sz w:val="24"/>
          <w:szCs w:val="24"/>
          <w:lang w:eastAsia="zh-CN"/>
        </w:rPr>
        <w:t>具未出质保期时，此部分灯具维护由原施工单位负责：超出质保期后，智能控制系统费用由乙方承</w:t>
      </w:r>
      <w:r>
        <w:rPr>
          <w:rFonts w:hint="eastAsia" w:ascii="宋体" w:hAnsi="宋体" w:eastAsia="宋体" w:cs="宋体"/>
          <w:color w:val="auto"/>
          <w:sz w:val="24"/>
          <w:szCs w:val="24"/>
          <w:lang w:eastAsia="zh-CN"/>
        </w:rPr>
        <w:t>担，养护部分的费用按照上述4.4.2的养护费用标准执行。</w:t>
      </w:r>
    </w:p>
    <w:p w14:paraId="554DC870">
      <w:pPr>
        <w:spacing w:line="360" w:lineRule="auto"/>
        <w:ind w:firstLine="424"/>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4.5.2 新建路灯(如有)：路灯建设完成移交后，电费部分单独挂表按照实际用电情况核算增加，智能控制系统费用由乙方承担，养护部分的费用按照上述4.4.2的养护费用标准执行。</w:t>
      </w:r>
    </w:p>
    <w:p w14:paraId="240F4CC7">
      <w:pPr>
        <w:spacing w:line="360" w:lineRule="auto"/>
        <w:ind w:firstLine="424"/>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4.5.3 中期需要改款或者更换灯杆的路灯：改款或更换灯杆的费用由甲方自行承担，在工程实施期间的电费按照上述4.4.1的增减标准相应核减，维护费按照上述4.4.2的增减标准相应核减：待工程实施完毕后按照原合同标准继续执行。</w:t>
      </w:r>
    </w:p>
    <w:p w14:paraId="065ED800">
      <w:pPr>
        <w:spacing w:line="360" w:lineRule="auto"/>
        <w:ind w:firstLine="448"/>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5.</w:t>
      </w:r>
      <w:r>
        <w:rPr>
          <w:rFonts w:hint="eastAsia" w:ascii="宋体" w:hAnsi="宋体" w:eastAsia="宋体" w:cs="宋体"/>
          <w:color w:val="auto"/>
          <w:spacing w:val="14"/>
          <w:sz w:val="24"/>
          <w:szCs w:val="24"/>
          <w:lang w:eastAsia="zh-CN"/>
        </w:rPr>
        <w:t>维护要求</w:t>
      </w:r>
    </w:p>
    <w:p w14:paraId="72353AA7">
      <w:pPr>
        <w:spacing w:line="360" w:lineRule="auto"/>
        <w:ind w:firstLine="448"/>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5.1</w:t>
      </w:r>
      <w:r>
        <w:rPr>
          <w:rFonts w:hint="eastAsia" w:ascii="宋体" w:hAnsi="宋体" w:eastAsia="宋体" w:cs="宋体"/>
          <w:color w:val="auto"/>
          <w:spacing w:val="14"/>
          <w:sz w:val="24"/>
          <w:szCs w:val="24"/>
          <w:lang w:eastAsia="zh-CN"/>
        </w:rPr>
        <w:t xml:space="preserve"> 合同能源管理项目中标企业应按照招标文件要求对招标范围内的照明设施进行管理及维护。</w:t>
      </w:r>
    </w:p>
    <w:p w14:paraId="3E046183">
      <w:pPr>
        <w:spacing w:line="360" w:lineRule="auto"/>
        <w:ind w:firstLine="448"/>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5.2</w:t>
      </w:r>
      <w:r>
        <w:rPr>
          <w:rFonts w:hint="eastAsia" w:ascii="宋体" w:hAnsi="宋体" w:eastAsia="宋体" w:cs="宋体"/>
          <w:color w:val="auto"/>
          <w:spacing w:val="14"/>
          <w:sz w:val="24"/>
          <w:szCs w:val="24"/>
          <w:lang w:eastAsia="zh-CN"/>
        </w:rPr>
        <w:t xml:space="preserve">  合同能源管理项目中标企业应建立巡查、巡修、抢修制度，落实专人以及巡查、 巡修设备，提高故障发现、处理效率，保障设施的正常运行。</w:t>
      </w:r>
    </w:p>
    <w:p w14:paraId="50FF41EF">
      <w:pPr>
        <w:spacing w:line="360" w:lineRule="auto"/>
        <w:ind w:firstLine="448"/>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5.3</w:t>
      </w:r>
      <w:r>
        <w:rPr>
          <w:rFonts w:hint="eastAsia" w:ascii="宋体" w:hAnsi="宋体" w:eastAsia="宋体" w:cs="宋体"/>
          <w:color w:val="auto"/>
          <w:spacing w:val="14"/>
          <w:sz w:val="24"/>
          <w:szCs w:val="24"/>
          <w:lang w:eastAsia="zh-CN"/>
        </w:rPr>
        <w:t xml:space="preserve"> 合同能源管理项目中标企业应建立巡查，巡修档案台账，加强维护档案管理， 每月30日前上报当月维护档案。</w:t>
      </w:r>
    </w:p>
    <w:p w14:paraId="118B77E6">
      <w:pPr>
        <w:spacing w:line="360" w:lineRule="auto"/>
        <w:ind w:firstLine="448"/>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5.4</w:t>
      </w:r>
      <w:r>
        <w:rPr>
          <w:rFonts w:hint="eastAsia" w:ascii="宋体" w:hAnsi="宋体" w:eastAsia="宋体" w:cs="宋体"/>
          <w:color w:val="auto"/>
          <w:spacing w:val="14"/>
          <w:sz w:val="24"/>
          <w:szCs w:val="24"/>
          <w:lang w:eastAsia="zh-CN"/>
        </w:rPr>
        <w:t xml:space="preserve"> 合同能源管理项目中标企业不得擅自改变城市照明设施现状，确需变更的应事先书面报告市政服务中心批准。</w:t>
      </w:r>
    </w:p>
    <w:p w14:paraId="679850D8">
      <w:pPr>
        <w:spacing w:line="360" w:lineRule="auto"/>
        <w:ind w:firstLine="448"/>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5.5</w:t>
      </w:r>
      <w:r>
        <w:rPr>
          <w:rFonts w:hint="eastAsia" w:ascii="宋体" w:hAnsi="宋体" w:eastAsia="宋体" w:cs="宋体"/>
          <w:color w:val="auto"/>
          <w:spacing w:val="14"/>
          <w:sz w:val="24"/>
          <w:szCs w:val="24"/>
          <w:lang w:eastAsia="zh-CN"/>
        </w:rPr>
        <w:t>合同能源管理项目中标企业因运行故障等特殊情况，需在白天送电抢修的，提前向市政服务中心申请报备。</w:t>
      </w:r>
    </w:p>
    <w:p w14:paraId="35D0E9BE">
      <w:pPr>
        <w:spacing w:line="360" w:lineRule="auto"/>
        <w:ind w:firstLine="448"/>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5.6</w:t>
      </w:r>
      <w:r>
        <w:rPr>
          <w:rFonts w:hint="eastAsia" w:ascii="宋体" w:hAnsi="宋体" w:eastAsia="宋体" w:cs="宋体"/>
          <w:color w:val="auto"/>
          <w:spacing w:val="14"/>
          <w:sz w:val="24"/>
          <w:szCs w:val="24"/>
          <w:lang w:eastAsia="zh-CN"/>
        </w:rPr>
        <w:t>城市照明设施上不得私拉乱接其他供用电设施，确需在城市照明设施上接用其 他供用电设施的，应事先书面报告市政服务中心批准。</w:t>
      </w:r>
    </w:p>
    <w:p w14:paraId="5E722019">
      <w:pPr>
        <w:spacing w:line="360" w:lineRule="auto"/>
        <w:ind w:firstLine="448"/>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val="en-US" w:eastAsia="zh-CN"/>
        </w:rPr>
        <w:t>5.7</w:t>
      </w:r>
      <w:r>
        <w:rPr>
          <w:rFonts w:hint="eastAsia" w:ascii="宋体" w:hAnsi="宋体" w:eastAsia="宋体" w:cs="宋体"/>
          <w:color w:val="auto"/>
          <w:spacing w:val="14"/>
          <w:sz w:val="24"/>
          <w:szCs w:val="24"/>
          <w:lang w:eastAsia="zh-CN"/>
        </w:rPr>
        <w:t>合同能源管理项目中标企业应严格执行社会承诺制度，一般故障及时发现及 时修复，复杂故障24小时至48小时内修复；确因期限内无法完成修复的，及时向市政中心报告，并提出维修方案；其他交办事项应按时完成(以任务书规定时间为准)。</w:t>
      </w:r>
    </w:p>
    <w:p w14:paraId="0F5DCDC5">
      <w:pPr>
        <w:spacing w:line="360" w:lineRule="auto"/>
        <w:ind w:firstLine="448"/>
        <w:rPr>
          <w:rFonts w:hint="eastAsia" w:ascii="宋体" w:hAnsi="宋体" w:eastAsia="宋体" w:cs="宋体"/>
          <w:color w:val="auto"/>
          <w:spacing w:val="14"/>
          <w:sz w:val="24"/>
          <w:szCs w:val="24"/>
          <w:lang w:eastAsia="zh-CN"/>
        </w:rPr>
      </w:pPr>
      <w:r>
        <w:rPr>
          <w:rFonts w:hint="eastAsia" w:ascii="宋体" w:hAnsi="宋体" w:eastAsia="宋体" w:cs="宋体"/>
          <w:color w:val="auto"/>
          <w:spacing w:val="14"/>
          <w:sz w:val="24"/>
          <w:szCs w:val="24"/>
          <w:lang w:eastAsia="zh-CN"/>
        </w:rPr>
        <w:t>涉及重大安全运行故障或突发事件，合同能源管理项目中标企业应在接报30分钟内赶至现场组织处理，并及时回复处理结果。</w:t>
      </w:r>
    </w:p>
    <w:p w14:paraId="0E3FCE1F">
      <w:pPr>
        <w:spacing w:line="361" w:lineRule="auto"/>
        <w:ind w:left="7" w:right="40" w:firstLine="480"/>
        <w:rPr>
          <w:rFonts w:hint="eastAsia" w:ascii="宋体" w:hAnsi="宋体" w:eastAsia="宋体" w:cs="宋体"/>
          <w:sz w:val="24"/>
          <w:szCs w:val="24"/>
        </w:rPr>
      </w:pPr>
      <w:r>
        <w:rPr>
          <w:rFonts w:hint="eastAsia" w:ascii="宋体" w:hAnsi="宋体" w:eastAsia="宋体" w:cs="宋体"/>
          <w:sz w:val="24"/>
          <w:szCs w:val="24"/>
          <w:lang w:val="en-US" w:eastAsia="zh-CN"/>
        </w:rPr>
        <w:t>5.8</w:t>
      </w:r>
      <w:r>
        <w:rPr>
          <w:rFonts w:hint="eastAsia" w:ascii="宋体" w:hAnsi="宋体" w:eastAsia="宋体" w:cs="宋体"/>
          <w:sz w:val="24"/>
          <w:szCs w:val="24"/>
        </w:rPr>
        <w:t>合同能源管理项目中标企业应切实履行安全生产主</w:t>
      </w:r>
      <w:r>
        <w:rPr>
          <w:rFonts w:hint="eastAsia" w:ascii="宋体" w:hAnsi="宋体" w:eastAsia="宋体" w:cs="宋体"/>
          <w:spacing w:val="-1"/>
          <w:sz w:val="24"/>
          <w:szCs w:val="24"/>
        </w:rPr>
        <w:t>体责任，做好城市照明设</w:t>
      </w:r>
      <w:r>
        <w:rPr>
          <w:rFonts w:hint="eastAsia" w:ascii="宋体" w:hAnsi="宋体" w:eastAsia="宋体" w:cs="宋体"/>
          <w:sz w:val="24"/>
          <w:szCs w:val="24"/>
        </w:rPr>
        <w:t xml:space="preserve"> 施安全管理工作，每月至少组织一次安全教育学习、安全检查、隐患</w:t>
      </w:r>
      <w:r>
        <w:rPr>
          <w:rFonts w:hint="eastAsia" w:ascii="宋体" w:hAnsi="宋体" w:eastAsia="宋体" w:cs="宋体"/>
          <w:spacing w:val="-1"/>
          <w:sz w:val="24"/>
          <w:szCs w:val="24"/>
        </w:rPr>
        <w:t>排查，并做好安全工作</w:t>
      </w:r>
      <w:r>
        <w:rPr>
          <w:rFonts w:hint="eastAsia" w:ascii="宋体" w:hAnsi="宋体" w:eastAsia="宋体" w:cs="宋体"/>
          <w:sz w:val="24"/>
          <w:szCs w:val="24"/>
        </w:rPr>
        <w:t xml:space="preserve"> </w:t>
      </w:r>
      <w:r>
        <w:rPr>
          <w:rFonts w:hint="eastAsia" w:ascii="宋体" w:hAnsi="宋体" w:eastAsia="宋体" w:cs="宋体"/>
          <w:spacing w:val="-3"/>
          <w:sz w:val="24"/>
          <w:szCs w:val="24"/>
        </w:rPr>
        <w:t>台账。</w:t>
      </w:r>
    </w:p>
    <w:p w14:paraId="31C57257">
      <w:pPr>
        <w:spacing w:line="360" w:lineRule="auto"/>
        <w:ind w:firstLine="448"/>
        <w:rPr>
          <w:rFonts w:hint="eastAsia" w:ascii="宋体" w:hAnsi="宋体" w:eastAsia="宋体" w:cs="宋体"/>
          <w:spacing w:val="-1"/>
          <w:sz w:val="24"/>
          <w:szCs w:val="24"/>
          <w:lang w:eastAsia="zh-CN"/>
        </w:rPr>
      </w:pPr>
      <w:r>
        <w:rPr>
          <w:rFonts w:hint="eastAsia" w:ascii="宋体" w:hAnsi="宋体" w:eastAsia="宋体" w:cs="宋体"/>
          <w:sz w:val="24"/>
          <w:szCs w:val="24"/>
          <w:lang w:val="en-US" w:eastAsia="zh-CN"/>
        </w:rPr>
        <w:t>5.9</w:t>
      </w:r>
      <w:r>
        <w:rPr>
          <w:rFonts w:hint="eastAsia" w:ascii="宋体" w:hAnsi="宋体" w:eastAsia="宋体" w:cs="宋体"/>
          <w:sz w:val="24"/>
          <w:szCs w:val="24"/>
        </w:rPr>
        <w:t xml:space="preserve">  合同能源管理项目中标企业应建立应急保障机制，</w:t>
      </w:r>
      <w:r>
        <w:rPr>
          <w:rFonts w:hint="eastAsia" w:ascii="宋体" w:hAnsi="宋体" w:eastAsia="宋体" w:cs="宋体"/>
          <w:spacing w:val="-1"/>
          <w:sz w:val="24"/>
          <w:szCs w:val="24"/>
        </w:rPr>
        <w:t>编制应急预案，组织应急</w:t>
      </w:r>
      <w:r>
        <w:rPr>
          <w:rFonts w:hint="eastAsia" w:ascii="宋体" w:hAnsi="宋体" w:eastAsia="宋体" w:cs="宋体"/>
          <w:sz w:val="24"/>
          <w:szCs w:val="24"/>
        </w:rPr>
        <w:t xml:space="preserve"> 演练。遇重大节庆活动，防汛抗台、暴风雪等恶劣天气时，应启</w:t>
      </w:r>
      <w:r>
        <w:rPr>
          <w:rFonts w:hint="eastAsia" w:ascii="宋体" w:hAnsi="宋体" w:eastAsia="宋体" w:cs="宋体"/>
          <w:spacing w:val="-1"/>
          <w:sz w:val="24"/>
          <w:szCs w:val="24"/>
        </w:rPr>
        <w:t>动应急机制，增加设施巡检</w:t>
      </w:r>
      <w:r>
        <w:rPr>
          <w:rFonts w:hint="eastAsia" w:ascii="宋体" w:hAnsi="宋体" w:eastAsia="宋体" w:cs="宋体"/>
          <w:sz w:val="24"/>
          <w:szCs w:val="24"/>
        </w:rPr>
        <w:t xml:space="preserve"> </w:t>
      </w:r>
      <w:r>
        <w:rPr>
          <w:rFonts w:hint="eastAsia" w:ascii="宋体" w:hAnsi="宋体" w:eastAsia="宋体" w:cs="宋体"/>
          <w:spacing w:val="-1"/>
          <w:sz w:val="24"/>
          <w:szCs w:val="24"/>
        </w:rPr>
        <w:t>频次、加大隐患排查力度，做好应急保障工作。</w:t>
      </w:r>
    </w:p>
    <w:p w14:paraId="75BEC143">
      <w:pPr>
        <w:spacing w:line="430" w:lineRule="auto"/>
        <w:ind w:right="40"/>
        <w:rPr>
          <w:rFonts w:hint="eastAsia" w:ascii="宋体" w:hAnsi="宋体" w:eastAsia="宋体" w:cs="宋体"/>
          <w:color w:val="auto"/>
          <w:sz w:val="24"/>
          <w:szCs w:val="24"/>
          <w:lang w:eastAsia="zh-CN"/>
        </w:rPr>
      </w:pPr>
      <w:r>
        <w:rPr>
          <w:rFonts w:hint="eastAsia" w:ascii="宋体" w:hAnsi="宋体" w:eastAsia="宋体" w:cs="宋体"/>
          <w:b/>
          <w:bCs/>
          <w:color w:val="auto"/>
          <w:spacing w:val="7"/>
          <w:sz w:val="24"/>
          <w:szCs w:val="24"/>
          <w:lang w:eastAsia="zh-CN"/>
        </w:rPr>
        <w:t>第二条</w:t>
      </w:r>
      <w:r>
        <w:rPr>
          <w:rFonts w:hint="eastAsia" w:ascii="宋体" w:hAnsi="宋体" w:eastAsia="宋体" w:cs="宋体"/>
          <w:color w:val="auto"/>
          <w:spacing w:val="43"/>
          <w:sz w:val="24"/>
          <w:szCs w:val="24"/>
          <w:lang w:eastAsia="zh-CN"/>
        </w:rPr>
        <w:t xml:space="preserve"> </w:t>
      </w:r>
      <w:r>
        <w:rPr>
          <w:rFonts w:hint="eastAsia" w:ascii="宋体" w:hAnsi="宋体" w:eastAsia="宋体" w:cs="宋体"/>
          <w:b/>
          <w:bCs/>
          <w:color w:val="auto"/>
          <w:spacing w:val="7"/>
          <w:sz w:val="24"/>
          <w:szCs w:val="24"/>
          <w:lang w:eastAsia="zh-CN"/>
        </w:rPr>
        <w:t>质量要求</w:t>
      </w:r>
    </w:p>
    <w:p w14:paraId="548ED44D">
      <w:pPr>
        <w:spacing w:line="360" w:lineRule="auto"/>
        <w:ind w:firstLine="42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乙方所提供的服务及服务内容必须与投标文件承诺相一致，有国家相关标准、行业标准、地方</w:t>
      </w:r>
      <w:r>
        <w:rPr>
          <w:rFonts w:hint="eastAsia" w:ascii="宋体" w:hAnsi="宋体" w:eastAsia="宋体" w:cs="宋体"/>
          <w:color w:val="auto"/>
          <w:spacing w:val="3"/>
          <w:sz w:val="24"/>
          <w:szCs w:val="24"/>
          <w:lang w:eastAsia="zh-CN"/>
        </w:rPr>
        <w:t>标准或其他标准、规范的，应执行相应的标准、规范。如具体采购需求与标准、规范不一致的，高</w:t>
      </w:r>
      <w:r>
        <w:rPr>
          <w:rFonts w:hint="eastAsia" w:ascii="宋体" w:hAnsi="宋体" w:eastAsia="宋体" w:cs="宋体"/>
          <w:color w:val="auto"/>
          <w:sz w:val="24"/>
          <w:szCs w:val="24"/>
          <w:lang w:eastAsia="zh-CN"/>
        </w:rPr>
        <w:t>于标准、规范的，按具体采购需求执行，低于标准、规范的，按标准、规范执行。</w:t>
      </w:r>
    </w:p>
    <w:p w14:paraId="5AD66194">
      <w:pPr>
        <w:spacing w:line="360" w:lineRule="auto"/>
        <w:ind w:firstLine="436"/>
        <w:rPr>
          <w:rFonts w:hint="eastAsia" w:ascii="宋体" w:hAnsi="宋体" w:eastAsia="宋体" w:cs="宋体"/>
          <w:color w:val="auto"/>
          <w:sz w:val="24"/>
          <w:szCs w:val="24"/>
          <w:lang w:eastAsia="zh-CN"/>
        </w:rPr>
      </w:pPr>
      <w:r>
        <w:rPr>
          <w:rFonts w:hint="eastAsia" w:ascii="宋体" w:hAnsi="宋体" w:eastAsia="宋体" w:cs="宋体"/>
          <w:b/>
          <w:bCs/>
          <w:color w:val="auto"/>
          <w:spacing w:val="7"/>
          <w:sz w:val="24"/>
          <w:szCs w:val="24"/>
          <w:lang w:eastAsia="zh-CN"/>
        </w:rPr>
        <w:t>第三条</w:t>
      </w:r>
      <w:r>
        <w:rPr>
          <w:rFonts w:hint="eastAsia" w:ascii="宋体" w:hAnsi="宋体" w:eastAsia="宋体" w:cs="宋体"/>
          <w:color w:val="auto"/>
          <w:spacing w:val="43"/>
          <w:sz w:val="24"/>
          <w:szCs w:val="24"/>
          <w:lang w:eastAsia="zh-CN"/>
        </w:rPr>
        <w:t xml:space="preserve"> </w:t>
      </w:r>
      <w:r>
        <w:rPr>
          <w:rFonts w:hint="eastAsia" w:ascii="宋体" w:hAnsi="宋体" w:eastAsia="宋体" w:cs="宋体"/>
          <w:b/>
          <w:bCs/>
          <w:color w:val="auto"/>
          <w:spacing w:val="7"/>
          <w:sz w:val="24"/>
          <w:szCs w:val="24"/>
          <w:lang w:eastAsia="zh-CN"/>
        </w:rPr>
        <w:t>服务要求</w:t>
      </w:r>
    </w:p>
    <w:p w14:paraId="5F05249B">
      <w:pPr>
        <w:spacing w:line="360" w:lineRule="auto"/>
        <w:ind w:firstLine="424"/>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1、</w:t>
      </w:r>
      <w:r>
        <w:rPr>
          <w:rFonts w:hint="eastAsia" w:ascii="宋体" w:hAnsi="宋体" w:eastAsia="宋体" w:cs="宋体"/>
          <w:color w:val="auto"/>
          <w:spacing w:val="-52"/>
          <w:sz w:val="24"/>
          <w:szCs w:val="24"/>
          <w:lang w:eastAsia="zh-CN"/>
        </w:rPr>
        <w:t xml:space="preserve"> </w:t>
      </w:r>
      <w:r>
        <w:rPr>
          <w:rFonts w:hint="eastAsia" w:ascii="宋体" w:hAnsi="宋体" w:eastAsia="宋体" w:cs="宋体"/>
          <w:color w:val="auto"/>
          <w:spacing w:val="2"/>
          <w:sz w:val="24"/>
          <w:szCs w:val="24"/>
          <w:lang w:eastAsia="zh-CN"/>
        </w:rPr>
        <w:t>由乙方负责对阿图什市路灯进行节能改造智慧化提升。</w:t>
      </w:r>
    </w:p>
    <w:p w14:paraId="53435911">
      <w:pPr>
        <w:spacing w:line="360" w:lineRule="auto"/>
        <w:ind w:firstLine="448"/>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2、由乙方负责阿图什市</w:t>
      </w:r>
      <w:r>
        <w:rPr>
          <w:rFonts w:hint="eastAsia" w:ascii="宋体" w:hAnsi="宋体" w:eastAsia="宋体" w:cs="宋体"/>
          <w:sz w:val="24"/>
          <w:szCs w:val="24"/>
          <w:lang w:eastAsia="zh-CN"/>
        </w:rPr>
        <w:t>城区路灯、新城区路灯、路灯杆挂载灯笼国旗、市政道路沿线节日氛围照明、公园与广场景观灯</w:t>
      </w:r>
      <w:r>
        <w:rPr>
          <w:rFonts w:hint="eastAsia" w:ascii="宋体" w:hAnsi="宋体" w:eastAsia="宋体" w:cs="宋体"/>
          <w:color w:val="auto"/>
          <w:spacing w:val="4"/>
          <w:sz w:val="24"/>
          <w:szCs w:val="24"/>
          <w:lang w:eastAsia="zh-CN"/>
        </w:rPr>
        <w:t>、楼宇亮化的电费支出，负责代缴此部分的电费支出，负责10年托管服务</w:t>
      </w:r>
      <w:r>
        <w:rPr>
          <w:rFonts w:hint="eastAsia" w:ascii="宋体" w:hAnsi="宋体" w:eastAsia="宋体" w:cs="宋体"/>
          <w:color w:val="auto"/>
          <w:spacing w:val="1"/>
          <w:sz w:val="24"/>
          <w:szCs w:val="24"/>
          <w:lang w:eastAsia="zh-CN"/>
        </w:rPr>
        <w:t>期内的维护管养(</w:t>
      </w:r>
      <w:r>
        <w:rPr>
          <w:rFonts w:hint="eastAsia" w:ascii="宋体" w:hAnsi="宋体" w:eastAsia="宋体" w:cs="宋体"/>
          <w:color w:val="auto"/>
          <w:spacing w:val="5"/>
          <w:sz w:val="24"/>
          <w:szCs w:val="24"/>
          <w:lang w:eastAsia="zh-CN"/>
        </w:rPr>
        <w:t>包含</w:t>
      </w:r>
      <w:r>
        <w:rPr>
          <w:rFonts w:hint="eastAsia" w:ascii="宋体" w:hAnsi="宋体" w:eastAsia="宋体" w:cs="宋体"/>
          <w:sz w:val="24"/>
          <w:szCs w:val="24"/>
          <w:lang w:eastAsia="zh-CN"/>
        </w:rPr>
        <w:t>城区、新城区路灯灯具、灯杆、灯杆挂载灯笼国旗、市政道路沿线节日氛围照明、配电箱部分，以及公园与广场景观灯、城区楼宇亮化的照明设备、</w:t>
      </w:r>
      <w:bookmarkStart w:id="70" w:name="bookmark29"/>
      <w:bookmarkEnd w:id="70"/>
      <w:r>
        <w:rPr>
          <w:rFonts w:hint="eastAsia" w:ascii="宋体" w:hAnsi="宋体" w:eastAsia="宋体" w:cs="宋体"/>
          <w:sz w:val="24"/>
          <w:szCs w:val="24"/>
          <w:lang w:eastAsia="zh-CN"/>
        </w:rPr>
        <w:t>配电箱</w:t>
      </w:r>
      <w:r>
        <w:rPr>
          <w:rFonts w:hint="eastAsia" w:ascii="宋体" w:hAnsi="宋体" w:eastAsia="宋体" w:cs="宋体"/>
          <w:color w:val="auto"/>
          <w:spacing w:val="1"/>
          <w:sz w:val="24"/>
          <w:szCs w:val="24"/>
          <w:lang w:eastAsia="zh-CN"/>
        </w:rPr>
        <w:t>，达到国家行业标准)。</w:t>
      </w:r>
    </w:p>
    <w:p w14:paraId="59BCD444">
      <w:pPr>
        <w:spacing w:line="360" w:lineRule="auto"/>
        <w:ind w:firstLine="440"/>
        <w:rPr>
          <w:rFonts w:hint="eastAsia" w:ascii="宋体" w:hAnsi="宋体" w:eastAsia="宋体" w:cs="宋体"/>
          <w:color w:val="auto"/>
          <w:sz w:val="24"/>
          <w:szCs w:val="24"/>
          <w:lang w:eastAsia="zh-CN"/>
        </w:rPr>
      </w:pPr>
      <w:r>
        <w:rPr>
          <w:rFonts w:hint="eastAsia" w:ascii="宋体" w:hAnsi="宋体" w:eastAsia="宋体" w:cs="宋体"/>
          <w:b/>
          <w:bCs/>
          <w:color w:val="auto"/>
          <w:spacing w:val="9"/>
          <w:sz w:val="24"/>
          <w:szCs w:val="24"/>
          <w:lang w:eastAsia="zh-CN"/>
        </w:rPr>
        <w:t>第四条 权利保证</w:t>
      </w:r>
    </w:p>
    <w:p w14:paraId="3C280E8B">
      <w:pPr>
        <w:spacing w:line="360" w:lineRule="auto"/>
        <w:ind w:firstLine="428"/>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1、乙方应保证所提供服务在使用时不会侵犯任何第三方的专利权、商标权、工业设计权等知识产权及其他合法权利，且所有权、处分权等没有受到任何限制。</w:t>
      </w:r>
    </w:p>
    <w:p w14:paraId="67C2BC2A">
      <w:pPr>
        <w:spacing w:line="360" w:lineRule="auto"/>
        <w:ind w:firstLine="428"/>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4B99703">
      <w:pPr>
        <w:spacing w:line="360" w:lineRule="auto"/>
        <w:ind w:firstLine="428"/>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3、乙方保证托管服务期结束后所移交的项目(含工程、设备、系统等)的所有权完全属于甲方且无任何抵押、质押、查封等产权瑕疵。</w:t>
      </w:r>
    </w:p>
    <w:p w14:paraId="4EE31C50">
      <w:pPr>
        <w:spacing w:line="360" w:lineRule="auto"/>
        <w:ind w:firstLine="438"/>
        <w:rPr>
          <w:rFonts w:hint="eastAsia" w:ascii="宋体" w:hAnsi="宋体" w:eastAsia="宋体" w:cs="宋体"/>
          <w:color w:val="auto"/>
          <w:sz w:val="24"/>
          <w:szCs w:val="24"/>
          <w:lang w:eastAsia="zh-CN"/>
        </w:rPr>
      </w:pPr>
      <w:r>
        <w:rPr>
          <w:rFonts w:hint="eastAsia" w:ascii="宋体" w:hAnsi="宋体" w:eastAsia="宋体" w:cs="宋体"/>
          <w:b/>
          <w:bCs/>
          <w:color w:val="auto"/>
          <w:spacing w:val="8"/>
          <w:sz w:val="24"/>
          <w:szCs w:val="24"/>
          <w:lang w:eastAsia="zh-CN"/>
        </w:rPr>
        <w:t>第五条 交付和验收</w:t>
      </w:r>
    </w:p>
    <w:p w14:paraId="26997FB1">
      <w:pPr>
        <w:spacing w:line="360" w:lineRule="auto"/>
        <w:ind w:firstLine="430"/>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1、服务期限：</w:t>
      </w:r>
      <w:r>
        <w:rPr>
          <w:rFonts w:hint="eastAsia" w:ascii="宋体" w:hAnsi="宋体" w:eastAsia="宋体" w:cs="宋体"/>
          <w:color w:val="auto"/>
          <w:spacing w:val="-35"/>
          <w:sz w:val="24"/>
          <w:szCs w:val="24"/>
          <w:lang w:eastAsia="zh-CN"/>
        </w:rPr>
        <w:t xml:space="preserve"> </w:t>
      </w:r>
      <w:r>
        <w:rPr>
          <w:rFonts w:hint="eastAsia" w:ascii="宋体" w:hAnsi="宋体" w:eastAsia="宋体" w:cs="宋体"/>
          <w:color w:val="auto"/>
          <w:spacing w:val="5"/>
          <w:sz w:val="24"/>
          <w:szCs w:val="24"/>
          <w:u w:val="single"/>
          <w:lang w:eastAsia="zh-CN"/>
        </w:rPr>
        <w:t>托管运维服务期为10年，自本项且合同签订之日起算，</w:t>
      </w:r>
      <w:r>
        <w:rPr>
          <w:rFonts w:hint="eastAsia" w:ascii="宋体" w:hAnsi="宋体" w:eastAsia="宋体" w:cs="宋体"/>
          <w:color w:val="auto"/>
          <w:spacing w:val="4"/>
          <w:sz w:val="24"/>
          <w:szCs w:val="24"/>
          <w:u w:val="single"/>
          <w:lang w:eastAsia="zh-CN"/>
        </w:rPr>
        <w:t>乙方必须在4个月内完成节能改</w:t>
      </w:r>
      <w:r>
        <w:rPr>
          <w:rFonts w:hint="eastAsia" w:ascii="宋体" w:hAnsi="宋体" w:eastAsia="宋体" w:cs="宋体"/>
          <w:color w:val="auto"/>
          <w:spacing w:val="-30"/>
          <w:sz w:val="24"/>
          <w:szCs w:val="24"/>
          <w:u w:val="single"/>
          <w:lang w:eastAsia="zh-CN"/>
        </w:rPr>
        <w:t>造智慧化提升内容。</w:t>
      </w:r>
      <w:r>
        <w:rPr>
          <w:rFonts w:hint="eastAsia" w:ascii="宋体" w:hAnsi="宋体" w:eastAsia="宋体" w:cs="宋体"/>
          <w:color w:val="auto"/>
          <w:sz w:val="24"/>
          <w:szCs w:val="24"/>
          <w:u w:val="single"/>
          <w:lang w:eastAsia="zh-CN"/>
        </w:rPr>
        <w:t xml:space="preserve"> </w:t>
      </w:r>
    </w:p>
    <w:p w14:paraId="69C463F8">
      <w:pPr>
        <w:spacing w:line="360" w:lineRule="auto"/>
        <w:ind w:firstLine="4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2、乙方应按投标文件的承诺向甲方提供相应的服务，并提供所服务内容的相关技术资料。</w:t>
      </w:r>
    </w:p>
    <w:p w14:paraId="2E3C038D">
      <w:pPr>
        <w:spacing w:line="360" w:lineRule="auto"/>
        <w:ind w:firstLine="4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3、乙方提供不符合投标文件和本合同规定的服务成果，甲方</w:t>
      </w:r>
      <w:r>
        <w:rPr>
          <w:rFonts w:hint="eastAsia" w:ascii="宋体" w:hAnsi="宋体" w:eastAsia="宋体" w:cs="宋体"/>
          <w:color w:val="auto"/>
          <w:spacing w:val="-2"/>
          <w:sz w:val="24"/>
          <w:szCs w:val="24"/>
          <w:lang w:eastAsia="zh-CN"/>
        </w:rPr>
        <w:t>有权拒绝接受。</w:t>
      </w:r>
    </w:p>
    <w:p w14:paraId="4F61059F">
      <w:pPr>
        <w:spacing w:line="360" w:lineRule="auto"/>
        <w:ind w:firstLine="430"/>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4、在工程竣工后5日内完成项目验收并签订合同附件。如需整改，则自整改完成后5个工作日</w:t>
      </w:r>
      <w:r>
        <w:rPr>
          <w:rFonts w:hint="eastAsia" w:ascii="宋体" w:hAnsi="宋体" w:eastAsia="宋体" w:cs="宋体"/>
          <w:color w:val="auto"/>
          <w:spacing w:val="1"/>
          <w:sz w:val="24"/>
          <w:szCs w:val="24"/>
          <w:lang w:eastAsia="zh-CN"/>
        </w:rPr>
        <w:t xml:space="preserve"> 内重新组织验收，验收合格后出具验收报告；经乙方书面申请验收后，甲方拖延验收或拒不参与验</w:t>
      </w:r>
      <w:r>
        <w:rPr>
          <w:rFonts w:hint="eastAsia" w:ascii="宋体" w:hAnsi="宋体" w:eastAsia="宋体" w:cs="宋体"/>
          <w:color w:val="auto"/>
          <w:spacing w:val="4"/>
          <w:sz w:val="24"/>
          <w:szCs w:val="24"/>
          <w:lang w:eastAsia="zh-CN"/>
        </w:rPr>
        <w:t>收，则自乙方书面申请验收之日起5日内，乙方视为甲方承认本项目工程验收合格并交付完成。验</w:t>
      </w:r>
      <w:r>
        <w:rPr>
          <w:rFonts w:hint="eastAsia" w:ascii="宋体" w:hAnsi="宋体" w:eastAsia="宋体" w:cs="宋体"/>
          <w:color w:val="auto"/>
          <w:spacing w:val="-1"/>
          <w:sz w:val="24"/>
          <w:szCs w:val="24"/>
          <w:lang w:eastAsia="zh-CN"/>
        </w:rPr>
        <w:t>收合格后由甲乙双方签署验收单并加盖甲方公章，甲乙双方各执一份。</w:t>
      </w:r>
    </w:p>
    <w:p w14:paraId="582196F4">
      <w:pPr>
        <w:spacing w:line="360" w:lineRule="auto"/>
        <w:ind w:firstLine="4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5、验收由甲方组织，依据有关部门规定的相关验收标准和招标文件要求、合同内容及乙方</w:t>
      </w:r>
      <w:r>
        <w:rPr>
          <w:rFonts w:hint="eastAsia" w:ascii="宋体" w:hAnsi="宋体" w:eastAsia="宋体" w:cs="宋体"/>
          <w:color w:val="auto"/>
          <w:spacing w:val="-2"/>
          <w:sz w:val="24"/>
          <w:szCs w:val="24"/>
          <w:lang w:eastAsia="zh-CN"/>
        </w:rPr>
        <w:t>承诺</w:t>
      </w:r>
      <w:r>
        <w:rPr>
          <w:rFonts w:hint="eastAsia" w:ascii="宋体" w:hAnsi="宋体" w:eastAsia="宋体" w:cs="宋体"/>
          <w:color w:val="auto"/>
          <w:spacing w:val="9"/>
          <w:sz w:val="24"/>
          <w:szCs w:val="24"/>
          <w:lang w:eastAsia="zh-CN"/>
        </w:rPr>
        <w:t>的服务(技术)需求和质量标准逐条验收(必要时将</w:t>
      </w:r>
      <w:r>
        <w:rPr>
          <w:rFonts w:hint="eastAsia" w:ascii="宋体" w:hAnsi="宋体" w:eastAsia="宋体" w:cs="宋体"/>
          <w:color w:val="auto"/>
          <w:spacing w:val="8"/>
          <w:sz w:val="24"/>
          <w:szCs w:val="24"/>
          <w:lang w:eastAsia="zh-CN"/>
        </w:rPr>
        <w:t>邀请第三方机构协助验收),如不符合要求以及</w:t>
      </w:r>
      <w:r>
        <w:rPr>
          <w:rFonts w:hint="eastAsia" w:ascii="宋体" w:hAnsi="宋体" w:eastAsia="宋体" w:cs="宋体"/>
          <w:color w:val="auto"/>
          <w:spacing w:val="1"/>
          <w:sz w:val="24"/>
          <w:szCs w:val="24"/>
          <w:lang w:eastAsia="zh-CN"/>
        </w:rPr>
        <w:t>提供虚假承诺的，按相关规定做退货处理及违约处理，乙方承担所有责任和费用，甲方保留进一步</w:t>
      </w:r>
      <w:r>
        <w:rPr>
          <w:rFonts w:hint="eastAsia" w:ascii="宋体" w:hAnsi="宋体" w:eastAsia="宋体" w:cs="宋体"/>
          <w:color w:val="auto"/>
          <w:spacing w:val="-5"/>
          <w:sz w:val="24"/>
          <w:szCs w:val="24"/>
          <w:lang w:eastAsia="zh-CN"/>
        </w:rPr>
        <w:t>追究责任的权利。</w:t>
      </w:r>
    </w:p>
    <w:p w14:paraId="38E31441">
      <w:pPr>
        <w:spacing w:line="360" w:lineRule="auto"/>
        <w:ind w:firstLine="4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6、服务产品(如有)到达现场后，乙方应在甲方单位人员在场情况下当面开箱，共同清点、检查</w:t>
      </w:r>
      <w:r>
        <w:rPr>
          <w:rFonts w:hint="eastAsia" w:ascii="宋体" w:hAnsi="宋体" w:eastAsia="宋体" w:cs="宋体"/>
          <w:color w:val="auto"/>
          <w:spacing w:val="1"/>
          <w:sz w:val="24"/>
          <w:szCs w:val="24"/>
          <w:lang w:eastAsia="zh-CN"/>
        </w:rPr>
        <w:t>外观，作出开箱记录，双方签字确认。乙方应保证服务产品到达甲方所在地完好无损，如有缺漏、</w:t>
      </w:r>
      <w:r>
        <w:rPr>
          <w:rFonts w:hint="eastAsia" w:ascii="宋体" w:hAnsi="宋体" w:eastAsia="宋体" w:cs="宋体"/>
          <w:color w:val="auto"/>
          <w:spacing w:val="-3"/>
          <w:sz w:val="24"/>
          <w:szCs w:val="24"/>
          <w:lang w:eastAsia="zh-CN"/>
        </w:rPr>
        <w:t>损坏，由乙方负责调换、补齐或赔偿。</w:t>
      </w:r>
    </w:p>
    <w:p w14:paraId="7A8CD681">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7、验收时乙方必须在现场，验收完毕后作出验收结果报告；验收费用按招标文件约定由乙方负责。</w:t>
      </w:r>
    </w:p>
    <w:p w14:paraId="080E0B5A">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8、甲乙双方应按照《新疆维吾尔自治区政府采购项目履约验收管理办法》、双方合同、投标文件验收。</w:t>
      </w:r>
    </w:p>
    <w:p w14:paraId="1DD6322C">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9、甲方在初步验收或者最终验收过程中如发现乙方提供的服务成果不满足投标文件及本合同规定的，可暂缓向乙方付款，直到乙方及时完善并提交相应的服务成果且经甲方验收合格后，方可办理付款。</w:t>
      </w:r>
    </w:p>
    <w:p w14:paraId="3D4F777C">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10、甲方验收时以书面形式提出异议的，乙方应自收到甲方书面异议后五个工作日内及时予以解决，否则甲方有权不出具服务验收合格单。</w:t>
      </w:r>
    </w:p>
    <w:p w14:paraId="35670F92">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11、项目进场施工前，甲方需提供代缴电费的电表位置并确保电表用电器均为本项目必需，如非本项目用电或用电器，甲方需拆除。</w:t>
      </w:r>
    </w:p>
    <w:p w14:paraId="4DCD2C61">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b/>
          <w:bCs/>
          <w:color w:val="auto"/>
          <w:spacing w:val="-1"/>
          <w:sz w:val="24"/>
          <w:szCs w:val="24"/>
          <w:lang w:eastAsia="zh-CN"/>
        </w:rPr>
        <w:t>第六条</w:t>
      </w:r>
      <w:r>
        <w:rPr>
          <w:rFonts w:hint="eastAsia" w:ascii="宋体" w:hAnsi="宋体" w:eastAsia="宋体" w:cs="宋体"/>
          <w:color w:val="auto"/>
          <w:spacing w:val="95"/>
          <w:sz w:val="24"/>
          <w:szCs w:val="24"/>
          <w:lang w:eastAsia="zh-CN"/>
        </w:rPr>
        <w:t xml:space="preserve"> </w:t>
      </w:r>
      <w:r>
        <w:rPr>
          <w:rFonts w:hint="eastAsia" w:ascii="宋体" w:hAnsi="宋体" w:eastAsia="宋体" w:cs="宋体"/>
          <w:b/>
          <w:bCs/>
          <w:color w:val="auto"/>
          <w:spacing w:val="-1"/>
          <w:sz w:val="24"/>
          <w:szCs w:val="24"/>
          <w:lang w:eastAsia="zh-CN"/>
        </w:rPr>
        <w:t>质保及售后服务</w:t>
      </w:r>
    </w:p>
    <w:p w14:paraId="532C64FF">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1、乙方按国家有关产品“三包”规定执行“三包”,自交货验收合格之日起所有软硬件设备、配件提供10年的免费质保、维护管养、软件免费升级等服务(分项货物或服务要求中有特别注明的，按特别注明执行)。</w:t>
      </w:r>
    </w:p>
    <w:p w14:paraId="692B69B8">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2、乙方自服务期内所有由于质量问题导致的软、硬件产品故障以免费保修、免费人工及免费更换备件标准上门服务，并提供维护管养。</w:t>
      </w:r>
    </w:p>
    <w:p w14:paraId="4183A4F1">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3、乙方应按照国家有关法律法规和本合同所附的《售后服务承诺》要求为甲方提供相应的售后服务。</w:t>
      </w:r>
    </w:p>
    <w:p w14:paraId="725B7702">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4、项目改造完成后，所有产品按照厂家的“三包”规定提供服务(分项货物或服务要求中有特别注明的，按特别注明执行)。</w:t>
      </w:r>
    </w:p>
    <w:p w14:paraId="39F1702D">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5、项目改造完成且验收合格后现场操作技术培训，培训人数不限，直至操作人员对操作技术完全掌握为止，所有培训费由乙方承担。</w:t>
      </w:r>
    </w:p>
    <w:p w14:paraId="7E695047">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6、托管服务期内，乙方需配备足够的施工车辆、管理用车保证施工进度、质量和后期的日常维修养护管理。</w:t>
      </w:r>
    </w:p>
    <w:p w14:paraId="29399D25">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7、托管服务期内，乙方需配备足够的管理人员、施工作业人员保证施工进度、质量和后期的曰常维修养护管理。</w:t>
      </w:r>
    </w:p>
    <w:p w14:paraId="224E56E8">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8、托管服务期内，乙方无偿对项目出现的各类问题进行整改和完善。</w:t>
      </w:r>
    </w:p>
    <w:p w14:paraId="3268BA2E">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9、处理问题响应时间：接到甲方处理问题通知后应在4小时内到达甲方指定现场解决，按甲方要求出具书面报告给甲方，具体实施双方按实际情况协商。</w:t>
      </w:r>
    </w:p>
    <w:p w14:paraId="76BB3D84">
      <w:pPr>
        <w:spacing w:line="360" w:lineRule="auto"/>
        <w:ind w:firstLine="4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10、托管服务期内甲方负责监管乙方运维质量，按照“附件2项目绩效考核办法”进行考核。</w:t>
      </w:r>
    </w:p>
    <w:p w14:paraId="0833E3BF">
      <w:pPr>
        <w:spacing w:line="360" w:lineRule="auto"/>
        <w:ind w:firstLine="436"/>
        <w:rPr>
          <w:rFonts w:hint="eastAsia" w:ascii="宋体" w:hAnsi="宋体" w:eastAsia="宋体" w:cs="宋体"/>
          <w:b/>
          <w:bCs/>
          <w:color w:val="auto"/>
          <w:spacing w:val="7"/>
          <w:sz w:val="24"/>
          <w:szCs w:val="24"/>
          <w:lang w:eastAsia="zh-CN"/>
        </w:rPr>
      </w:pPr>
      <w:r>
        <w:rPr>
          <w:rFonts w:hint="eastAsia" w:ascii="宋体" w:hAnsi="宋体" w:eastAsia="宋体" w:cs="宋体"/>
          <w:b/>
          <w:bCs/>
          <w:color w:val="auto"/>
          <w:spacing w:val="7"/>
          <w:sz w:val="24"/>
          <w:szCs w:val="24"/>
          <w:lang w:eastAsia="zh-CN"/>
        </w:rPr>
        <w:t>第七条</w:t>
      </w:r>
      <w:r>
        <w:rPr>
          <w:rFonts w:hint="eastAsia" w:ascii="宋体" w:hAnsi="宋体" w:eastAsia="宋体" w:cs="宋体"/>
          <w:color w:val="auto"/>
          <w:spacing w:val="41"/>
          <w:sz w:val="24"/>
          <w:szCs w:val="24"/>
          <w:lang w:eastAsia="zh-CN"/>
        </w:rPr>
        <w:t xml:space="preserve"> </w:t>
      </w:r>
      <w:r>
        <w:rPr>
          <w:rFonts w:hint="eastAsia" w:ascii="宋体" w:hAnsi="宋体" w:eastAsia="宋体" w:cs="宋体"/>
          <w:b/>
          <w:bCs/>
          <w:color w:val="auto"/>
          <w:spacing w:val="7"/>
          <w:sz w:val="24"/>
          <w:szCs w:val="24"/>
          <w:lang w:eastAsia="zh-CN"/>
        </w:rPr>
        <w:t>付款方式</w:t>
      </w:r>
    </w:p>
    <w:p w14:paraId="49B4D45A">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w:t>
      </w:r>
      <w:r>
        <w:rPr>
          <w:rFonts w:hint="eastAsia" w:ascii="宋体" w:hAnsi="宋体" w:eastAsia="宋体" w:cs="宋体"/>
          <w:sz w:val="24"/>
          <w:szCs w:val="24"/>
          <w:lang w:eastAsia="zh-CN"/>
        </w:rPr>
        <w:t>签订合同且乙方进场施工时同步进入正式能源费用托管期，甲方每月支付乙方托管费用包括托管电费，运维服务费用总计</w:t>
      </w:r>
      <w:r>
        <w:rPr>
          <w:rFonts w:hint="eastAsia" w:ascii="宋体" w:hAnsi="宋体" w:eastAsia="宋体" w:cs="宋体"/>
          <w:color w:val="auto"/>
          <w:spacing w:val="5"/>
          <w:sz w:val="24"/>
          <w:szCs w:val="24"/>
          <w:lang w:eastAsia="zh-CN"/>
        </w:rPr>
        <w:t>(大写)</w:t>
      </w:r>
      <w:r>
        <w:rPr>
          <w:rFonts w:hint="eastAsia" w:ascii="宋体" w:hAnsi="宋体" w:eastAsia="宋体" w:cs="宋体"/>
          <w:color w:val="auto"/>
          <w:spacing w:val="5"/>
          <w:sz w:val="24"/>
          <w:szCs w:val="24"/>
          <w:u w:val="single"/>
          <w:lang w:eastAsia="zh-CN"/>
        </w:rPr>
        <w:t>人</w:t>
      </w:r>
      <w:r>
        <w:rPr>
          <w:rFonts w:hint="eastAsia" w:ascii="宋体" w:hAnsi="宋体" w:eastAsia="宋体" w:cs="宋体"/>
          <w:color w:val="auto"/>
          <w:spacing w:val="2"/>
          <w:sz w:val="24"/>
          <w:szCs w:val="24"/>
          <w:u w:val="single"/>
          <w:lang w:eastAsia="zh-CN"/>
        </w:rPr>
        <w:t xml:space="preserve">民币        </w:t>
      </w:r>
      <w:r>
        <w:rPr>
          <w:rFonts w:hint="eastAsia" w:ascii="宋体" w:hAnsi="宋体" w:eastAsia="宋体" w:cs="宋体"/>
          <w:color w:val="auto"/>
          <w:spacing w:val="-85"/>
          <w:sz w:val="24"/>
          <w:szCs w:val="24"/>
          <w:lang w:eastAsia="zh-CN"/>
        </w:rPr>
        <w:t xml:space="preserve"> </w:t>
      </w:r>
      <w:r>
        <w:rPr>
          <w:rFonts w:hint="eastAsia" w:ascii="宋体" w:hAnsi="宋体" w:eastAsia="宋体" w:cs="宋体"/>
          <w:color w:val="auto"/>
          <w:spacing w:val="2"/>
          <w:sz w:val="24"/>
          <w:szCs w:val="24"/>
          <w:lang w:eastAsia="zh-CN"/>
        </w:rPr>
        <w:t>( 小 写 )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万元【其中托管电费</w:t>
      </w:r>
      <w:r>
        <w:rPr>
          <w:rFonts w:hint="eastAsia" w:ascii="宋体" w:hAnsi="宋体" w:eastAsia="宋体" w:cs="宋体"/>
          <w:color w:val="auto"/>
          <w:spacing w:val="5"/>
          <w:sz w:val="24"/>
          <w:szCs w:val="24"/>
          <w:lang w:eastAsia="zh-CN"/>
        </w:rPr>
        <w:t>(大写)</w:t>
      </w:r>
      <w:r>
        <w:rPr>
          <w:rFonts w:hint="eastAsia" w:ascii="宋体" w:hAnsi="宋体" w:eastAsia="宋体" w:cs="宋体"/>
          <w:color w:val="auto"/>
          <w:spacing w:val="5"/>
          <w:sz w:val="24"/>
          <w:szCs w:val="24"/>
          <w:u w:val="single"/>
          <w:lang w:eastAsia="zh-CN"/>
        </w:rPr>
        <w:t>人</w:t>
      </w:r>
      <w:r>
        <w:rPr>
          <w:rFonts w:hint="eastAsia" w:ascii="宋体" w:hAnsi="宋体" w:eastAsia="宋体" w:cs="宋体"/>
          <w:color w:val="auto"/>
          <w:spacing w:val="2"/>
          <w:sz w:val="24"/>
          <w:szCs w:val="24"/>
          <w:u w:val="single"/>
          <w:lang w:eastAsia="zh-CN"/>
        </w:rPr>
        <w:t xml:space="preserve">民币        </w:t>
      </w:r>
      <w:r>
        <w:rPr>
          <w:rFonts w:hint="eastAsia" w:ascii="宋体" w:hAnsi="宋体" w:eastAsia="宋体" w:cs="宋体"/>
          <w:color w:val="auto"/>
          <w:spacing w:val="-85"/>
          <w:sz w:val="24"/>
          <w:szCs w:val="24"/>
          <w:lang w:eastAsia="zh-CN"/>
        </w:rPr>
        <w:t xml:space="preserve"> </w:t>
      </w:r>
      <w:r>
        <w:rPr>
          <w:rFonts w:hint="eastAsia" w:ascii="宋体" w:hAnsi="宋体" w:eastAsia="宋体" w:cs="宋体"/>
          <w:color w:val="auto"/>
          <w:spacing w:val="2"/>
          <w:sz w:val="24"/>
          <w:szCs w:val="24"/>
          <w:lang w:eastAsia="zh-CN"/>
        </w:rPr>
        <w:t>( 小 写 )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万元；托管运维服务费</w:t>
      </w:r>
      <w:r>
        <w:rPr>
          <w:rFonts w:hint="eastAsia" w:ascii="宋体" w:hAnsi="宋体" w:eastAsia="宋体" w:cs="宋体"/>
          <w:color w:val="auto"/>
          <w:spacing w:val="5"/>
          <w:sz w:val="24"/>
          <w:szCs w:val="24"/>
          <w:lang w:eastAsia="zh-CN"/>
        </w:rPr>
        <w:t>(大写)</w:t>
      </w:r>
      <w:r>
        <w:rPr>
          <w:rFonts w:hint="eastAsia" w:ascii="宋体" w:hAnsi="宋体" w:eastAsia="宋体" w:cs="宋体"/>
          <w:color w:val="auto"/>
          <w:spacing w:val="5"/>
          <w:sz w:val="24"/>
          <w:szCs w:val="24"/>
          <w:u w:val="single"/>
          <w:lang w:eastAsia="zh-CN"/>
        </w:rPr>
        <w:t>人</w:t>
      </w:r>
      <w:r>
        <w:rPr>
          <w:rFonts w:hint="eastAsia" w:ascii="宋体" w:hAnsi="宋体" w:eastAsia="宋体" w:cs="宋体"/>
          <w:color w:val="auto"/>
          <w:spacing w:val="2"/>
          <w:sz w:val="24"/>
          <w:szCs w:val="24"/>
          <w:u w:val="single"/>
          <w:lang w:eastAsia="zh-CN"/>
        </w:rPr>
        <w:t xml:space="preserve">民币        </w:t>
      </w:r>
      <w:r>
        <w:rPr>
          <w:rFonts w:hint="eastAsia" w:ascii="宋体" w:hAnsi="宋体" w:eastAsia="宋体" w:cs="宋体"/>
          <w:color w:val="auto"/>
          <w:spacing w:val="-85"/>
          <w:sz w:val="24"/>
          <w:szCs w:val="24"/>
          <w:lang w:eastAsia="zh-CN"/>
        </w:rPr>
        <w:t xml:space="preserve"> </w:t>
      </w:r>
      <w:r>
        <w:rPr>
          <w:rFonts w:hint="eastAsia" w:ascii="宋体" w:hAnsi="宋体" w:eastAsia="宋体" w:cs="宋体"/>
          <w:color w:val="auto"/>
          <w:spacing w:val="2"/>
          <w:sz w:val="24"/>
          <w:szCs w:val="24"/>
          <w:lang w:eastAsia="zh-CN"/>
        </w:rPr>
        <w:t>( 小 写 )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万元】</w:t>
      </w:r>
      <w:r>
        <w:rPr>
          <w:rFonts w:hint="eastAsia" w:ascii="宋体" w:hAnsi="宋体" w:eastAsia="宋体" w:cs="宋体"/>
          <w:color w:val="auto"/>
          <w:spacing w:val="-1"/>
          <w:sz w:val="24"/>
          <w:szCs w:val="24"/>
          <w:lang w:eastAsia="zh-CN"/>
        </w:rPr>
        <w:t>。项目改造完成后进入托管运维服务期，甲方每月度对乙方公开考评一次(考评方式详见附件2、项目绩效考核办法)，对满足合同约定支付条件的，甲方在收到发票后15日内按财政支付程序要求将资金支付到合同约定的乙方账户。(本项目合同款项不计利息)。</w:t>
      </w:r>
    </w:p>
    <w:p w14:paraId="394362DA">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2、票据要求：乙方必须在每次付款前5个工作日内按照甲方要求提供足额、真实、有效、合法 的正式发票，一旦发现乙方提供虚假发票，除须向甲方补开合法发票外，须赔偿甲方发票票面金额一倍的违约金，且甲方有权终止合同，乙方不得提出异议，因终止合同而产生的一切损失均由乙方承担。</w:t>
      </w:r>
    </w:p>
    <w:p w14:paraId="69341D16">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托管服务期内，甲方按财政支付程序要求向乙方支付合同款项，每年度托管费用金额不能超出合同年度单价金额；服务期满后最终托管费用不能超出合同总金额。新增设施的维护费及电费单独签订补充协议支付。</w:t>
      </w:r>
    </w:p>
    <w:p w14:paraId="0F4CB14F">
      <w:pPr>
        <w:spacing w:line="360" w:lineRule="auto"/>
        <w:ind w:firstLine="4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4、甲方支付给乙方的托管费其中一部分属城市照明用电的电费，故如因甲方的延期支付导致城市照明用电受限引发交通或治安事故等发生，乙方不承担此部分责任。</w:t>
      </w:r>
    </w:p>
    <w:p w14:paraId="0C3ACEC9">
      <w:pPr>
        <w:spacing w:line="360" w:lineRule="auto"/>
        <w:ind w:firstLine="432"/>
        <w:rPr>
          <w:rFonts w:hint="eastAsia" w:ascii="宋体" w:hAnsi="宋体" w:eastAsia="宋体" w:cs="宋体"/>
          <w:color w:val="auto"/>
          <w:sz w:val="24"/>
          <w:szCs w:val="24"/>
          <w:lang w:eastAsia="zh-CN"/>
        </w:rPr>
      </w:pPr>
      <w:r>
        <w:rPr>
          <w:rFonts w:hint="eastAsia" w:ascii="宋体" w:hAnsi="宋体" w:eastAsia="宋体" w:cs="宋体"/>
          <w:b/>
          <w:bCs/>
          <w:color w:val="auto"/>
          <w:spacing w:val="5"/>
          <w:sz w:val="24"/>
          <w:szCs w:val="24"/>
          <w:lang w:eastAsia="zh-CN"/>
        </w:rPr>
        <w:t>第八条</w:t>
      </w:r>
      <w:r>
        <w:rPr>
          <w:rFonts w:hint="eastAsia" w:ascii="宋体" w:hAnsi="宋体" w:eastAsia="宋体" w:cs="宋体"/>
          <w:color w:val="auto"/>
          <w:spacing w:val="39"/>
          <w:sz w:val="24"/>
          <w:szCs w:val="24"/>
          <w:lang w:eastAsia="zh-CN"/>
        </w:rPr>
        <w:t xml:space="preserve"> </w:t>
      </w:r>
      <w:r>
        <w:rPr>
          <w:rFonts w:hint="eastAsia" w:ascii="宋体" w:hAnsi="宋体" w:eastAsia="宋体" w:cs="宋体"/>
          <w:b/>
          <w:bCs/>
          <w:color w:val="auto"/>
          <w:spacing w:val="5"/>
          <w:sz w:val="24"/>
          <w:szCs w:val="24"/>
          <w:lang w:eastAsia="zh-CN"/>
        </w:rPr>
        <w:t>履约保证金</w:t>
      </w:r>
    </w:p>
    <w:p w14:paraId="471BB981">
      <w:pPr>
        <w:spacing w:line="360" w:lineRule="auto"/>
        <w:ind w:firstLine="436"/>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本项目需要缴纳履约保证金(可开具履约保函)。</w:t>
      </w:r>
    </w:p>
    <w:p w14:paraId="0DA86474">
      <w:pPr>
        <w:spacing w:line="360" w:lineRule="auto"/>
        <w:ind w:firstLine="436"/>
        <w:rPr>
          <w:rFonts w:hint="eastAsia" w:ascii="宋体" w:hAnsi="宋体" w:eastAsia="宋体" w:cs="宋体"/>
          <w:color w:val="auto"/>
          <w:sz w:val="24"/>
          <w:szCs w:val="24"/>
          <w:lang w:eastAsia="zh-CN"/>
        </w:rPr>
      </w:pPr>
      <w:r>
        <w:rPr>
          <w:rFonts w:hint="eastAsia" w:ascii="宋体" w:hAnsi="宋体" w:eastAsia="宋体" w:cs="宋体"/>
          <w:b/>
          <w:bCs/>
          <w:color w:val="auto"/>
          <w:spacing w:val="7"/>
          <w:sz w:val="24"/>
          <w:szCs w:val="24"/>
          <w:lang w:eastAsia="zh-CN"/>
        </w:rPr>
        <w:t>第九条</w:t>
      </w:r>
      <w:r>
        <w:rPr>
          <w:rFonts w:hint="eastAsia" w:ascii="宋体" w:hAnsi="宋体" w:eastAsia="宋体" w:cs="宋体"/>
          <w:color w:val="auto"/>
          <w:spacing w:val="54"/>
          <w:sz w:val="24"/>
          <w:szCs w:val="24"/>
          <w:lang w:eastAsia="zh-CN"/>
        </w:rPr>
        <w:t xml:space="preserve"> </w:t>
      </w:r>
      <w:r>
        <w:rPr>
          <w:rFonts w:hint="eastAsia" w:ascii="宋体" w:hAnsi="宋体" w:eastAsia="宋体" w:cs="宋体"/>
          <w:b/>
          <w:bCs/>
          <w:color w:val="auto"/>
          <w:spacing w:val="7"/>
          <w:sz w:val="24"/>
          <w:szCs w:val="24"/>
          <w:lang w:eastAsia="zh-CN"/>
        </w:rPr>
        <w:t>税费</w:t>
      </w:r>
    </w:p>
    <w:p w14:paraId="102280C6">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本合同执行中相关的一切税费均由乙方负担，合同另有约定的除外。</w:t>
      </w:r>
    </w:p>
    <w:p w14:paraId="16B2DC1D">
      <w:pPr>
        <w:spacing w:line="360" w:lineRule="auto"/>
        <w:ind w:firstLine="414"/>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第十条 其他约定</w:t>
      </w:r>
    </w:p>
    <w:p w14:paraId="66B2F024">
      <w:pPr>
        <w:spacing w:line="360" w:lineRule="auto"/>
        <w:ind w:firstLine="430"/>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1、本次招标为乙方负责对阿图什市路灯进行节能改造智慧化提升及维护管养，包括从改造周期至运维期</w:t>
      </w:r>
      <w:r>
        <w:rPr>
          <w:rFonts w:hint="eastAsia" w:ascii="宋体" w:hAnsi="宋体" w:eastAsia="宋体" w:cs="宋体"/>
          <w:color w:val="auto"/>
          <w:spacing w:val="2"/>
          <w:sz w:val="24"/>
          <w:szCs w:val="24"/>
          <w:lang w:eastAsia="zh-CN"/>
        </w:rPr>
        <w:t>、设备材料采购、调试、造价、试运行等，且乙方对所有工程的安全、质量、造价、工</w:t>
      </w:r>
      <w:r>
        <w:rPr>
          <w:rFonts w:hint="eastAsia" w:ascii="宋体" w:hAnsi="宋体" w:eastAsia="宋体" w:cs="宋体"/>
          <w:color w:val="auto"/>
          <w:spacing w:val="-10"/>
          <w:sz w:val="24"/>
          <w:szCs w:val="24"/>
          <w:lang w:eastAsia="zh-CN"/>
        </w:rPr>
        <w:t>期全面总承包。</w:t>
      </w:r>
    </w:p>
    <w:p w14:paraId="79B38A56">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乙方投标报价是履行合同的最终价格，包含满足本次投标全部采购需求所应提供的服务，以及伴随的货物和工程(如有)的价格；包含整体服务(路灯升级改造及维护管养)、货物、工程的成本、运输(含保险)、装卸、安装、调试、检验、技术服务、培训、税费等所有费用。</w:t>
      </w:r>
    </w:p>
    <w:p w14:paraId="77CF0FB5">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3、乙方的各种服务价格不随时间、市场价格等因素的变动而改变，直至甲方完成本次采购任务</w:t>
      </w:r>
    </w:p>
    <w:p w14:paraId="5D9A865E">
      <w:pPr>
        <w:spacing w:line="360" w:lineRule="auto"/>
        <w:ind w:firstLine="0" w:firstLineChars="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为止，否则按乙方违约处理并取消中标资格。</w:t>
      </w:r>
    </w:p>
    <w:p w14:paraId="0C21A87B">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保密要求：乙方必须严格遵守采购人各项管理规定，在任何情况下，禁止复制、传播、引用及所接触到的甲方各类业务数据、工作措施等信息，如出现业务数据、涉密数据泄漏，甲方将终止服务合同，并将追究乙方相关法律责任。</w:t>
      </w:r>
    </w:p>
    <w:p w14:paraId="0249327B">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乙方于投标文件中对所提供服务作出真实、有效的响应和承诺。所提供的托管运维服务必须符合国家有关质量标准；运维服务工作完成后，甲方现场根据招标文件要求及投标文件承诺逐条对应进行核验，核验不合格的，甲方有权终止合同执行并退回服务，同时报相关监督管理部门处理，由此造成甲方经济损失的由乙方负责承担全部赔偿责。</w:t>
      </w:r>
    </w:p>
    <w:p w14:paraId="4D224A36">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6、本项目不允许采用挂靠等方式，如有违反，甲方有权解除合同，并不予支付费用和赔偿解除合同造成的损失，同时保留对乙方的追索权。</w:t>
      </w:r>
    </w:p>
    <w:p w14:paraId="3785D5EF">
      <w:pPr>
        <w:spacing w:line="360" w:lineRule="auto"/>
        <w:ind w:firstLine="438"/>
        <w:rPr>
          <w:rFonts w:hint="eastAsia" w:ascii="宋体" w:hAnsi="宋体" w:eastAsia="宋体" w:cs="宋体"/>
          <w:color w:val="auto"/>
          <w:sz w:val="24"/>
          <w:szCs w:val="24"/>
          <w:lang w:eastAsia="zh-CN"/>
        </w:rPr>
      </w:pPr>
      <w:r>
        <w:rPr>
          <w:rFonts w:hint="eastAsia" w:ascii="宋体" w:hAnsi="宋体" w:eastAsia="宋体" w:cs="宋体"/>
          <w:b/>
          <w:bCs/>
          <w:color w:val="auto"/>
          <w:spacing w:val="8"/>
          <w:sz w:val="24"/>
          <w:szCs w:val="24"/>
          <w:lang w:eastAsia="zh-CN"/>
        </w:rPr>
        <w:t>第十一条 违约责任</w:t>
      </w:r>
    </w:p>
    <w:p w14:paraId="246CF3EA">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1、除不可抗力原因外，乙方没有按照合同规定的时间提供服务的，甲方可要求乙方支付违约金，每推迟一天按合同总金额的3‰支付违约金，该违约金累计不超过合同总金额的10%。</w:t>
      </w:r>
    </w:p>
    <w:p w14:paraId="02D6136E">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2、乙方提供的服务如侵犯了第三方合法权益而引发的任何纠纷或者诉讼，均由乙方负责交涉并承担全部责任。</w:t>
      </w:r>
    </w:p>
    <w:p w14:paraId="69B41802">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3、甲方延期付款的，每天向乙方偿付延期款额3‰滞纳金，但滞纳金累计不得超过延期款额5%。</w:t>
      </w:r>
    </w:p>
    <w:p w14:paraId="3D09F5A5">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4、甲方未按时间节点支付托管服务费且逾期超过90天的，乙方有权要求甲方提前结束服务合同，并提前支付本项目应支付未付的所有托管服务费。</w:t>
      </w:r>
    </w:p>
    <w:p w14:paraId="4221A185">
      <w:pPr>
        <w:spacing w:line="360" w:lineRule="auto"/>
        <w:ind w:firstLine="418"/>
        <w:rPr>
          <w:rFonts w:hint="eastAsia" w:ascii="宋体" w:hAnsi="宋体" w:eastAsia="宋体" w:cs="宋体"/>
          <w:color w:val="auto"/>
          <w:sz w:val="24"/>
          <w:szCs w:val="24"/>
          <w:lang w:eastAsia="zh-CN"/>
        </w:rPr>
      </w:pPr>
      <w:r>
        <w:rPr>
          <w:rFonts w:hint="eastAsia" w:ascii="宋体" w:hAnsi="宋体" w:eastAsia="宋体" w:cs="宋体"/>
          <w:b/>
          <w:bCs/>
          <w:color w:val="auto"/>
          <w:spacing w:val="-2"/>
          <w:sz w:val="24"/>
          <w:szCs w:val="24"/>
          <w:lang w:eastAsia="zh-CN"/>
        </w:rPr>
        <w:t>第十二条 不可抗力事件处理</w:t>
      </w:r>
    </w:p>
    <w:p w14:paraId="1F3E3858">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1、在合同有效期内，任何一方因不可抗力事件导致不能履行合同，则合同履行期可延长，其延长期与不可抗力影响期相同。</w:t>
      </w:r>
    </w:p>
    <w:p w14:paraId="31045752">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2、不可抗力事件发生后，应立即通知对方，并寄送有关权威机构出具的证明。</w:t>
      </w:r>
    </w:p>
    <w:p w14:paraId="0E96A5FB">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3、不可抗力事件延续一百二十天以上，双方应通过友好协商，确定是否继续履行合同。</w:t>
      </w:r>
    </w:p>
    <w:p w14:paraId="446A42B5">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b/>
          <w:bCs/>
          <w:color w:val="auto"/>
          <w:spacing w:val="-1"/>
          <w:sz w:val="24"/>
          <w:szCs w:val="24"/>
          <w:lang w:eastAsia="zh-CN"/>
        </w:rPr>
        <w:t>第十三条 合同争议解决</w:t>
      </w:r>
    </w:p>
    <w:p w14:paraId="3B8E0042">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1、因服务质量问题发生争议的，应邀请国家认可的质量检测机构进行鉴定。服务符合标准的，鉴定费由甲方承担；服务不符合标准的，鉴定费由乙方承担。</w:t>
      </w:r>
    </w:p>
    <w:p w14:paraId="51ACAA09">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2、因履行本合同引起的或者与本合同有关的争议，甲乙双方应首先通过友好协商解决，如果协商不能解决，可向甲方所在地有管辖权的人民法院提起诉讼。</w:t>
      </w:r>
    </w:p>
    <w:p w14:paraId="6803EEBD">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3、诉讼期间，本合同继续履行。</w:t>
      </w:r>
    </w:p>
    <w:p w14:paraId="79EAAFD5">
      <w:pPr>
        <w:spacing w:line="360" w:lineRule="auto"/>
        <w:ind w:firstLine="420"/>
        <w:rPr>
          <w:rFonts w:hint="eastAsia" w:ascii="宋体" w:hAnsi="宋体" w:eastAsia="宋体" w:cs="宋体"/>
          <w:color w:val="auto"/>
          <w:sz w:val="24"/>
          <w:szCs w:val="24"/>
          <w:lang w:eastAsia="zh-CN"/>
        </w:rPr>
      </w:pPr>
      <w:r>
        <w:rPr>
          <w:rFonts w:hint="eastAsia" w:ascii="宋体" w:hAnsi="宋体" w:eastAsia="宋体" w:cs="宋体"/>
          <w:b/>
          <w:bCs/>
          <w:color w:val="auto"/>
          <w:spacing w:val="-1"/>
          <w:sz w:val="24"/>
          <w:szCs w:val="24"/>
          <w:lang w:eastAsia="zh-CN"/>
        </w:rPr>
        <w:t>第十四条 合同生效及其他</w:t>
      </w:r>
    </w:p>
    <w:p w14:paraId="3B688327">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1、合同经双方法定代表人或者其委托代理人签字并加盖单位公章后生效(委托代理人签字的需后附法定代表人授权委托书，格式自拟)。</w:t>
      </w:r>
    </w:p>
    <w:p w14:paraId="337C43EA">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2、合同执行中涉及采购资金和采购内容修改或者补充的，须经财政部门审批，并签书面补充协议报财政部门备案，方可作为主合同不可分割的一部分。</w:t>
      </w:r>
    </w:p>
    <w:p w14:paraId="41462C31">
      <w:pPr>
        <w:spacing w:line="360" w:lineRule="auto"/>
        <w:ind w:firstLine="418"/>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3、 本合同未尽事宜，遵照《中华人民共和国民法典》有关条文执行</w:t>
      </w:r>
      <w:r>
        <w:rPr>
          <w:rFonts w:hint="eastAsia" w:ascii="宋体" w:hAnsi="宋体" w:eastAsia="宋体" w:cs="宋体"/>
          <w:color w:val="auto"/>
          <w:spacing w:val="-3"/>
          <w:sz w:val="24"/>
          <w:szCs w:val="24"/>
          <w:lang w:eastAsia="zh-CN"/>
        </w:rPr>
        <w:t>。</w:t>
      </w:r>
    </w:p>
    <w:p w14:paraId="3C1A38E1">
      <w:pPr>
        <w:spacing w:line="360" w:lineRule="auto"/>
        <w:ind w:firstLine="418"/>
        <w:rPr>
          <w:rFonts w:hint="eastAsia" w:ascii="宋体" w:hAnsi="宋体" w:eastAsia="宋体" w:cs="宋体"/>
          <w:color w:val="auto"/>
          <w:sz w:val="24"/>
          <w:szCs w:val="24"/>
          <w:lang w:eastAsia="zh-CN"/>
        </w:rPr>
      </w:pPr>
      <w:r>
        <w:rPr>
          <w:rFonts w:hint="eastAsia" w:ascii="宋体" w:hAnsi="宋体" w:eastAsia="宋体" w:cs="宋体"/>
          <w:b/>
          <w:bCs/>
          <w:color w:val="auto"/>
          <w:spacing w:val="-2"/>
          <w:sz w:val="24"/>
          <w:szCs w:val="24"/>
          <w:lang w:eastAsia="zh-CN"/>
        </w:rPr>
        <w:t>第十五条 合同的变更、终止与转让</w:t>
      </w:r>
    </w:p>
    <w:p w14:paraId="5504EADA">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 除《中华人民共和国政府采购法》第五十条规定的情形外，本合同一经签订，甲乙双方不得擅自变更、中止或者终止。</w:t>
      </w:r>
    </w:p>
    <w:p w14:paraId="38B2823D">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2、乙方不得擅自转让其应履行的合同义务。</w:t>
      </w:r>
    </w:p>
    <w:p w14:paraId="333B3E38">
      <w:pPr>
        <w:spacing w:line="360" w:lineRule="auto"/>
        <w:ind w:firstLine="428"/>
        <w:rPr>
          <w:rFonts w:hint="eastAsia" w:ascii="宋体" w:hAnsi="宋体" w:eastAsia="宋体" w:cs="宋体"/>
          <w:color w:val="auto"/>
          <w:sz w:val="24"/>
          <w:szCs w:val="24"/>
          <w:lang w:eastAsia="zh-CN"/>
        </w:rPr>
      </w:pPr>
      <w:r>
        <w:rPr>
          <w:rFonts w:hint="eastAsia" w:ascii="宋体" w:hAnsi="宋体" w:eastAsia="宋体" w:cs="宋体"/>
          <w:b/>
          <w:bCs/>
          <w:color w:val="auto"/>
          <w:spacing w:val="3"/>
          <w:sz w:val="24"/>
          <w:szCs w:val="24"/>
          <w:lang w:eastAsia="zh-CN"/>
        </w:rPr>
        <w:t>第十六条 本合同书与下列文件一起构成合同文件</w:t>
      </w:r>
    </w:p>
    <w:p w14:paraId="02CEBEF1">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1、中标通知书；</w:t>
      </w:r>
    </w:p>
    <w:p w14:paraId="507FD9CC">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2、投标函；</w:t>
      </w:r>
    </w:p>
    <w:p w14:paraId="53D3546E">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3、商务条款偏离表和服务要求偏离表；</w:t>
      </w:r>
    </w:p>
    <w:p w14:paraId="6D5AF153">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4、采购需求；</w:t>
      </w:r>
    </w:p>
    <w:p w14:paraId="54E8F689">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5、开标一览表；</w:t>
      </w:r>
    </w:p>
    <w:p w14:paraId="0846C981">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6、服务实施方案；</w:t>
      </w:r>
    </w:p>
    <w:p w14:paraId="1EAD0446">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7、项目实施人员一览表</w:t>
      </w:r>
    </w:p>
    <w:p w14:paraId="6E89C3EC">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8、投标人用于本项目的维护材料(设备)表；</w:t>
      </w:r>
    </w:p>
    <w:p w14:paraId="362E346A">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9、其他合同文件；</w:t>
      </w:r>
    </w:p>
    <w:p w14:paraId="259D8DC4">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10、上述合同文件互相补充和解释。如果合同文件之间存在矛盾或者不一致之处，以上述文件</w:t>
      </w:r>
    </w:p>
    <w:p w14:paraId="28546814">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的排列顺序在先者为准；</w:t>
      </w:r>
    </w:p>
    <w:p w14:paraId="492992DE">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第十七条  本合同一式四份，具有同等法律效力，财政部门(政府采购监管部门)、采购代理机</w:t>
      </w:r>
    </w:p>
    <w:p w14:paraId="5AF4330D">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构各一份，甲乙双方各一份(可根据需要另增加)。</w:t>
      </w:r>
    </w:p>
    <w:p w14:paraId="655762D8">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本合同甲乙双方签字盖章后生效，自签订之日起七个工作日内，甲方应当将合同副本报同级财</w:t>
      </w:r>
    </w:p>
    <w:p w14:paraId="6477F29A">
      <w:pPr>
        <w:spacing w:line="360" w:lineRule="auto"/>
        <w:ind w:firstLine="418"/>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政部门备案。</w:t>
      </w:r>
    </w:p>
    <w:p w14:paraId="68A2DAA1">
      <w:pPr>
        <w:spacing w:line="240" w:lineRule="auto"/>
        <w:ind w:firstLine="560"/>
        <w:rPr>
          <w:rFonts w:hint="eastAsia" w:ascii="宋体" w:hAnsi="宋体" w:eastAsia="宋体" w:cs="宋体"/>
          <w:color w:val="auto"/>
          <w:sz w:val="24"/>
          <w:szCs w:val="24"/>
          <w:lang w:eastAsia="zh-CN"/>
        </w:rPr>
      </w:pPr>
      <w:r>
        <w:rPr>
          <w:rFonts w:hint="eastAsia" w:ascii="宋体" w:hAnsi="宋体" w:eastAsia="宋体" w:cs="宋体"/>
          <w:b/>
          <w:bCs/>
          <w:color w:val="auto"/>
          <w:spacing w:val="-1"/>
          <w:sz w:val="24"/>
          <w:szCs w:val="24"/>
          <w:lang w:eastAsia="zh-CN"/>
        </w:rPr>
        <w:t>本合同自签订之日起2个工作日内，甲方应当将采购合同在新疆维吾尔自治区财政厅指定的媒体上公告。</w:t>
      </w:r>
    </w:p>
    <w:p w14:paraId="1E88D340">
      <w:pPr>
        <w:pStyle w:val="8"/>
        <w:spacing w:before="34" w:line="240" w:lineRule="auto"/>
        <w:ind w:right="539"/>
        <w:rPr>
          <w:rFonts w:hint="eastAsia" w:ascii="宋体" w:hAnsi="宋体" w:eastAsia="宋体" w:cs="宋体"/>
          <w:spacing w:val="9"/>
          <w:sz w:val="24"/>
          <w:szCs w:val="24"/>
        </w:rPr>
      </w:pPr>
    </w:p>
    <w:tbl>
      <w:tblPr>
        <w:tblStyle w:val="21"/>
        <w:tblW w:w="9082"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8"/>
        <w:gridCol w:w="4364"/>
      </w:tblGrid>
      <w:tr w14:paraId="1BE51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18" w:type="dxa"/>
          </w:tcPr>
          <w:p w14:paraId="4AAA46C7">
            <w:pPr>
              <w:spacing w:line="360" w:lineRule="auto"/>
              <w:rPr>
                <w:rFonts w:hint="eastAsia" w:ascii="宋体" w:hAnsi="宋体" w:eastAsia="宋体" w:cs="宋体"/>
                <w:color w:val="auto"/>
                <w:sz w:val="24"/>
                <w:szCs w:val="24"/>
              </w:rPr>
            </w:pPr>
            <w:r>
              <w:rPr>
                <w:rFonts w:hint="eastAsia" w:ascii="宋体" w:hAnsi="宋体" w:eastAsia="宋体" w:cs="宋体"/>
                <w:color w:val="auto"/>
                <w:spacing w:val="7"/>
                <w:sz w:val="24"/>
                <w:szCs w:val="24"/>
              </w:rPr>
              <w:t>甲方：(章)</w:t>
            </w:r>
          </w:p>
          <w:p w14:paraId="016A168A">
            <w:pPr>
              <w:spacing w:line="360" w:lineRule="auto"/>
              <w:ind w:firstLine="420"/>
              <w:rPr>
                <w:rFonts w:hint="eastAsia" w:ascii="宋体" w:hAnsi="宋体" w:eastAsia="宋体" w:cs="宋体"/>
                <w:color w:val="auto"/>
                <w:sz w:val="24"/>
                <w:szCs w:val="24"/>
              </w:rPr>
            </w:pPr>
          </w:p>
          <w:p w14:paraId="5DEF623B">
            <w:pPr>
              <w:spacing w:line="360" w:lineRule="auto"/>
              <w:ind w:firstLine="420"/>
              <w:rPr>
                <w:rFonts w:hint="eastAsia" w:ascii="宋体" w:hAnsi="宋体" w:eastAsia="宋体" w:cs="宋体"/>
                <w:color w:val="auto"/>
                <w:sz w:val="24"/>
                <w:szCs w:val="24"/>
              </w:rPr>
            </w:pPr>
          </w:p>
          <w:p w14:paraId="439850D2">
            <w:pPr>
              <w:spacing w:line="360" w:lineRule="auto"/>
              <w:ind w:firstLine="2912" w:firstLineChars="1300"/>
              <w:rPr>
                <w:rFonts w:hint="eastAsia" w:ascii="宋体" w:hAnsi="宋体" w:eastAsia="宋体" w:cs="宋体"/>
                <w:color w:val="auto"/>
                <w:sz w:val="24"/>
                <w:szCs w:val="24"/>
              </w:rPr>
            </w:pPr>
            <w:r>
              <w:rPr>
                <w:rFonts w:hint="eastAsia" w:ascii="宋体" w:hAnsi="宋体" w:eastAsia="宋体" w:cs="宋体"/>
                <w:color w:val="auto"/>
                <w:spacing w:val="-8"/>
                <w:sz w:val="24"/>
                <w:szCs w:val="24"/>
              </w:rPr>
              <w:t>年</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8"/>
                <w:sz w:val="24"/>
                <w:szCs w:val="24"/>
              </w:rPr>
              <w:t>月</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8"/>
                <w:sz w:val="24"/>
                <w:szCs w:val="24"/>
              </w:rPr>
              <w:t>日</w:t>
            </w:r>
          </w:p>
        </w:tc>
        <w:tc>
          <w:tcPr>
            <w:tcW w:w="4364" w:type="dxa"/>
          </w:tcPr>
          <w:p w14:paraId="45614FFF">
            <w:pPr>
              <w:spacing w:line="360" w:lineRule="auto"/>
              <w:rPr>
                <w:rFonts w:hint="eastAsia" w:ascii="宋体" w:hAnsi="宋体" w:eastAsia="宋体" w:cs="宋体"/>
                <w:color w:val="auto"/>
                <w:sz w:val="24"/>
                <w:szCs w:val="24"/>
              </w:rPr>
            </w:pPr>
            <w:r>
              <w:rPr>
                <w:rFonts w:hint="eastAsia" w:ascii="宋体" w:hAnsi="宋体" w:eastAsia="宋体" w:cs="宋体"/>
                <w:color w:val="auto"/>
                <w:spacing w:val="7"/>
                <w:sz w:val="24"/>
                <w:szCs w:val="24"/>
              </w:rPr>
              <w:t>乙方</w:t>
            </w: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rPr>
              <w:t>(章)</w:t>
            </w:r>
          </w:p>
          <w:p w14:paraId="4146BCF5">
            <w:pPr>
              <w:spacing w:line="360" w:lineRule="auto"/>
              <w:ind w:firstLine="420"/>
              <w:rPr>
                <w:rFonts w:hint="eastAsia" w:ascii="宋体" w:hAnsi="宋体" w:eastAsia="宋体" w:cs="宋体"/>
                <w:color w:val="auto"/>
                <w:sz w:val="24"/>
                <w:szCs w:val="24"/>
              </w:rPr>
            </w:pPr>
          </w:p>
          <w:p w14:paraId="51CBDC3E">
            <w:pPr>
              <w:spacing w:line="360" w:lineRule="auto"/>
              <w:ind w:firstLine="404"/>
              <w:rPr>
                <w:rFonts w:hint="eastAsia" w:ascii="宋体" w:hAnsi="宋体" w:eastAsia="宋体" w:cs="宋体"/>
                <w:color w:val="auto"/>
                <w:spacing w:val="-8"/>
                <w:sz w:val="24"/>
                <w:szCs w:val="24"/>
              </w:rPr>
            </w:pPr>
          </w:p>
          <w:p w14:paraId="14CD1D2E">
            <w:pPr>
              <w:spacing w:line="360" w:lineRule="auto"/>
              <w:ind w:firstLine="2688" w:firstLineChars="1200"/>
              <w:rPr>
                <w:rFonts w:hint="eastAsia" w:ascii="宋体" w:hAnsi="宋体" w:eastAsia="宋体" w:cs="宋体"/>
                <w:color w:val="auto"/>
                <w:sz w:val="24"/>
                <w:szCs w:val="24"/>
              </w:rPr>
            </w:pPr>
            <w:r>
              <w:rPr>
                <w:rFonts w:hint="eastAsia" w:ascii="宋体" w:hAnsi="宋体" w:eastAsia="宋体" w:cs="宋体"/>
                <w:color w:val="auto"/>
                <w:spacing w:val="-8"/>
                <w:sz w:val="24"/>
                <w:szCs w:val="24"/>
              </w:rPr>
              <w:t>年</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8"/>
                <w:sz w:val="24"/>
                <w:szCs w:val="24"/>
              </w:rPr>
              <w:t>月</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8"/>
                <w:sz w:val="24"/>
                <w:szCs w:val="24"/>
              </w:rPr>
              <w:t>日</w:t>
            </w:r>
          </w:p>
        </w:tc>
      </w:tr>
      <w:tr w14:paraId="7CE3F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8" w:type="dxa"/>
            <w:vAlign w:val="center"/>
          </w:tcPr>
          <w:p w14:paraId="3F56CA32">
            <w:pPr>
              <w:spacing w:line="360" w:lineRule="auto"/>
              <w:ind w:firstLine="238" w:firstLineChars="100"/>
              <w:rPr>
                <w:rFonts w:hint="eastAsia" w:ascii="宋体" w:hAnsi="宋体" w:eastAsia="宋体" w:cs="宋体"/>
                <w:color w:val="auto"/>
                <w:sz w:val="24"/>
                <w:szCs w:val="24"/>
              </w:rPr>
            </w:pPr>
            <w:r>
              <w:rPr>
                <w:rFonts w:hint="eastAsia" w:ascii="宋体" w:hAnsi="宋体" w:eastAsia="宋体" w:cs="宋体"/>
                <w:color w:val="auto"/>
                <w:spacing w:val="-1"/>
                <w:sz w:val="24"/>
                <w:szCs w:val="24"/>
              </w:rPr>
              <w:t>单位地址：</w:t>
            </w:r>
          </w:p>
        </w:tc>
        <w:tc>
          <w:tcPr>
            <w:tcW w:w="4364" w:type="dxa"/>
            <w:vAlign w:val="center"/>
          </w:tcPr>
          <w:p w14:paraId="7F97C816">
            <w:pPr>
              <w:spacing w:line="360" w:lineRule="auto"/>
              <w:ind w:firstLine="238" w:firstLineChars="100"/>
              <w:rPr>
                <w:rFonts w:hint="eastAsia" w:ascii="宋体" w:hAnsi="宋体" w:eastAsia="宋体" w:cs="宋体"/>
                <w:color w:val="auto"/>
                <w:sz w:val="24"/>
                <w:szCs w:val="24"/>
              </w:rPr>
            </w:pPr>
            <w:r>
              <w:rPr>
                <w:rFonts w:hint="eastAsia" w:ascii="宋体" w:hAnsi="宋体" w:eastAsia="宋体" w:cs="宋体"/>
                <w:color w:val="auto"/>
                <w:spacing w:val="-1"/>
                <w:sz w:val="24"/>
                <w:szCs w:val="24"/>
              </w:rPr>
              <w:t>单位地址：</w:t>
            </w:r>
          </w:p>
        </w:tc>
      </w:tr>
      <w:tr w14:paraId="6A576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8" w:type="dxa"/>
            <w:vAlign w:val="center"/>
          </w:tcPr>
          <w:p w14:paraId="4FBD1841">
            <w:pPr>
              <w:spacing w:line="360" w:lineRule="auto"/>
              <w:ind w:firstLine="238"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法定代表人：</w:t>
            </w:r>
          </w:p>
        </w:tc>
        <w:tc>
          <w:tcPr>
            <w:tcW w:w="4364" w:type="dxa"/>
            <w:vAlign w:val="center"/>
          </w:tcPr>
          <w:p w14:paraId="24584B8F">
            <w:pPr>
              <w:spacing w:line="360" w:lineRule="auto"/>
              <w:ind w:firstLine="238"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法定代表人：</w:t>
            </w:r>
          </w:p>
        </w:tc>
      </w:tr>
      <w:tr w14:paraId="0439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8" w:type="dxa"/>
            <w:vAlign w:val="center"/>
          </w:tcPr>
          <w:p w14:paraId="371210A3">
            <w:pPr>
              <w:spacing w:line="360" w:lineRule="auto"/>
              <w:ind w:firstLine="238"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统一社会代码：</w:t>
            </w:r>
          </w:p>
        </w:tc>
        <w:tc>
          <w:tcPr>
            <w:tcW w:w="4364" w:type="dxa"/>
            <w:vAlign w:val="center"/>
          </w:tcPr>
          <w:p w14:paraId="4B151E52">
            <w:pPr>
              <w:spacing w:line="360" w:lineRule="auto"/>
              <w:ind w:firstLine="238"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统一社会代码：</w:t>
            </w:r>
          </w:p>
        </w:tc>
      </w:tr>
      <w:tr w14:paraId="24845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8" w:type="dxa"/>
            <w:vAlign w:val="center"/>
          </w:tcPr>
          <w:p w14:paraId="1D891C43">
            <w:pPr>
              <w:spacing w:line="360" w:lineRule="auto"/>
              <w:ind w:firstLine="238"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委托代理人：</w:t>
            </w:r>
          </w:p>
        </w:tc>
        <w:tc>
          <w:tcPr>
            <w:tcW w:w="4364" w:type="dxa"/>
            <w:vAlign w:val="center"/>
          </w:tcPr>
          <w:p w14:paraId="300E028B">
            <w:pPr>
              <w:spacing w:line="360" w:lineRule="auto"/>
              <w:ind w:firstLine="238"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委托代理人：</w:t>
            </w:r>
          </w:p>
        </w:tc>
      </w:tr>
      <w:tr w14:paraId="3AB8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8" w:type="dxa"/>
            <w:vAlign w:val="center"/>
          </w:tcPr>
          <w:p w14:paraId="0513EEE5">
            <w:pPr>
              <w:spacing w:line="360" w:lineRule="auto"/>
              <w:ind w:firstLine="236" w:firstLineChars="100"/>
              <w:rPr>
                <w:rFonts w:hint="eastAsia" w:ascii="宋体" w:hAnsi="宋体" w:eastAsia="宋体" w:cs="宋体"/>
                <w:color w:val="auto"/>
                <w:spacing w:val="-1"/>
                <w:sz w:val="24"/>
                <w:szCs w:val="24"/>
              </w:rPr>
            </w:pPr>
            <w:r>
              <w:rPr>
                <w:rFonts w:hint="eastAsia" w:ascii="宋体" w:hAnsi="宋体" w:eastAsia="宋体" w:cs="宋体"/>
                <w:color w:val="auto"/>
                <w:spacing w:val="-2"/>
                <w:sz w:val="24"/>
                <w:szCs w:val="24"/>
              </w:rPr>
              <w:t>电话：</w:t>
            </w:r>
          </w:p>
        </w:tc>
        <w:tc>
          <w:tcPr>
            <w:tcW w:w="4364" w:type="dxa"/>
            <w:vAlign w:val="center"/>
          </w:tcPr>
          <w:p w14:paraId="68C07798">
            <w:pPr>
              <w:spacing w:line="360" w:lineRule="auto"/>
              <w:ind w:firstLine="236" w:firstLineChars="100"/>
              <w:rPr>
                <w:rFonts w:hint="eastAsia" w:ascii="宋体" w:hAnsi="宋体" w:eastAsia="宋体" w:cs="宋体"/>
                <w:color w:val="auto"/>
                <w:spacing w:val="-1"/>
                <w:sz w:val="24"/>
                <w:szCs w:val="24"/>
              </w:rPr>
            </w:pPr>
            <w:r>
              <w:rPr>
                <w:rFonts w:hint="eastAsia" w:ascii="宋体" w:hAnsi="宋体" w:eastAsia="宋体" w:cs="宋体"/>
                <w:color w:val="auto"/>
                <w:spacing w:val="-2"/>
                <w:sz w:val="24"/>
                <w:szCs w:val="24"/>
              </w:rPr>
              <w:t>电话：</w:t>
            </w:r>
          </w:p>
        </w:tc>
      </w:tr>
      <w:tr w14:paraId="39F0C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8" w:type="dxa"/>
            <w:vAlign w:val="center"/>
          </w:tcPr>
          <w:p w14:paraId="62D3269E">
            <w:pPr>
              <w:spacing w:line="360" w:lineRule="auto"/>
              <w:ind w:firstLine="238" w:firstLineChars="100"/>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开户银行：</w:t>
            </w:r>
          </w:p>
        </w:tc>
        <w:tc>
          <w:tcPr>
            <w:tcW w:w="4364" w:type="dxa"/>
            <w:vAlign w:val="center"/>
          </w:tcPr>
          <w:p w14:paraId="597D60A0">
            <w:pPr>
              <w:spacing w:line="360" w:lineRule="auto"/>
              <w:ind w:firstLine="238" w:firstLineChars="100"/>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开户银行：</w:t>
            </w:r>
          </w:p>
        </w:tc>
      </w:tr>
      <w:tr w14:paraId="0A925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8" w:type="dxa"/>
            <w:vAlign w:val="center"/>
          </w:tcPr>
          <w:p w14:paraId="647C6226">
            <w:pPr>
              <w:spacing w:line="360" w:lineRule="auto"/>
              <w:ind w:firstLine="236" w:firstLineChars="100"/>
              <w:rPr>
                <w:rFonts w:hint="eastAsia" w:ascii="宋体" w:hAnsi="宋体" w:eastAsia="宋体" w:cs="宋体"/>
                <w:color w:val="auto"/>
                <w:spacing w:val="-1"/>
                <w:sz w:val="24"/>
                <w:szCs w:val="24"/>
              </w:rPr>
            </w:pPr>
            <w:r>
              <w:rPr>
                <w:rFonts w:hint="eastAsia" w:ascii="宋体" w:hAnsi="宋体" w:eastAsia="宋体" w:cs="宋体"/>
                <w:color w:val="auto"/>
                <w:spacing w:val="-2"/>
                <w:sz w:val="24"/>
                <w:szCs w:val="24"/>
              </w:rPr>
              <w:t>账号：</w:t>
            </w:r>
          </w:p>
        </w:tc>
        <w:tc>
          <w:tcPr>
            <w:tcW w:w="4364" w:type="dxa"/>
            <w:vAlign w:val="center"/>
          </w:tcPr>
          <w:p w14:paraId="12CE2C9D">
            <w:pPr>
              <w:spacing w:line="360" w:lineRule="auto"/>
              <w:ind w:firstLine="236" w:firstLineChars="100"/>
              <w:rPr>
                <w:rFonts w:hint="eastAsia" w:ascii="宋体" w:hAnsi="宋体" w:eastAsia="宋体" w:cs="宋体"/>
                <w:color w:val="auto"/>
                <w:spacing w:val="-1"/>
                <w:sz w:val="24"/>
                <w:szCs w:val="24"/>
              </w:rPr>
            </w:pPr>
            <w:r>
              <w:rPr>
                <w:rFonts w:hint="eastAsia" w:ascii="宋体" w:hAnsi="宋体" w:eastAsia="宋体" w:cs="宋体"/>
                <w:color w:val="auto"/>
                <w:spacing w:val="-2"/>
                <w:sz w:val="24"/>
                <w:szCs w:val="24"/>
              </w:rPr>
              <w:t>账号：</w:t>
            </w:r>
          </w:p>
        </w:tc>
      </w:tr>
      <w:tr w14:paraId="5354A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8" w:type="dxa"/>
            <w:vAlign w:val="center"/>
          </w:tcPr>
          <w:p w14:paraId="2A2A6442">
            <w:pPr>
              <w:spacing w:line="360" w:lineRule="auto"/>
              <w:ind w:firstLine="238" w:firstLineChars="100"/>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邮政编码：</w:t>
            </w:r>
          </w:p>
        </w:tc>
        <w:tc>
          <w:tcPr>
            <w:tcW w:w="4364" w:type="dxa"/>
            <w:vAlign w:val="center"/>
          </w:tcPr>
          <w:p w14:paraId="375502AE">
            <w:pPr>
              <w:spacing w:line="360" w:lineRule="auto"/>
              <w:ind w:firstLine="238" w:firstLineChars="100"/>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邮政编码：</w:t>
            </w:r>
          </w:p>
        </w:tc>
      </w:tr>
    </w:tbl>
    <w:p w14:paraId="5C3F5316">
      <w:pPr>
        <w:pStyle w:val="8"/>
        <w:spacing w:before="34" w:line="240" w:lineRule="auto"/>
        <w:ind w:right="539"/>
        <w:rPr>
          <w:rFonts w:hint="eastAsia" w:ascii="宋体" w:hAnsi="宋体" w:eastAsia="宋体" w:cs="宋体"/>
          <w:spacing w:val="9"/>
          <w:sz w:val="24"/>
          <w:szCs w:val="24"/>
        </w:rPr>
      </w:pPr>
    </w:p>
    <w:p w14:paraId="7D21673E">
      <w:pPr>
        <w:spacing w:line="360" w:lineRule="auto"/>
        <w:ind w:firstLine="536"/>
        <w:rPr>
          <w:rFonts w:hint="eastAsia" w:ascii="宋体" w:hAnsi="宋体" w:eastAsia="宋体" w:cs="宋体"/>
          <w:color w:val="auto"/>
          <w:spacing w:val="-22"/>
          <w:sz w:val="29"/>
          <w:szCs w:val="29"/>
        </w:rPr>
      </w:pPr>
      <w:r>
        <w:rPr>
          <w:rFonts w:hint="eastAsia" w:ascii="宋体" w:hAnsi="宋体" w:eastAsia="宋体" w:cs="宋体"/>
          <w:color w:val="auto"/>
          <w:spacing w:val="-22"/>
          <w:sz w:val="29"/>
          <w:szCs w:val="29"/>
        </w:rPr>
        <w:t>合 同 附 件</w:t>
      </w:r>
    </w:p>
    <w:p w14:paraId="0582BC66">
      <w:pPr>
        <w:spacing w:line="360" w:lineRule="auto"/>
        <w:ind w:firstLine="536"/>
        <w:rPr>
          <w:rFonts w:hint="eastAsia" w:ascii="宋体" w:hAnsi="宋体" w:eastAsia="宋体" w:cs="宋体"/>
          <w:color w:val="auto"/>
          <w:sz w:val="29"/>
          <w:szCs w:val="29"/>
        </w:rPr>
      </w:pPr>
      <w:r>
        <w:rPr>
          <w:rFonts w:hint="eastAsia" w:ascii="宋体" w:hAnsi="宋体" w:eastAsia="宋体" w:cs="宋体"/>
          <w:color w:val="auto"/>
          <w:spacing w:val="-22"/>
          <w:sz w:val="29"/>
          <w:szCs w:val="29"/>
        </w:rPr>
        <w:t>附件1:</w:t>
      </w:r>
    </w:p>
    <w:tbl>
      <w:tblPr>
        <w:tblStyle w:val="21"/>
        <w:tblW w:w="8762"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0"/>
        <w:gridCol w:w="4482"/>
      </w:tblGrid>
      <w:tr w14:paraId="3589F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8762" w:type="dxa"/>
            <w:gridSpan w:val="2"/>
          </w:tcPr>
          <w:p w14:paraId="37E05E2F">
            <w:pPr>
              <w:pStyle w:val="22"/>
              <w:spacing w:line="360" w:lineRule="auto"/>
              <w:ind w:firstLine="442"/>
              <w:rPr>
                <w:rFonts w:hint="eastAsia" w:ascii="宋体" w:hAnsi="宋体" w:eastAsia="宋体" w:cs="宋体"/>
                <w:color w:val="auto"/>
                <w:sz w:val="22"/>
                <w:szCs w:val="22"/>
              </w:rPr>
            </w:pPr>
            <w:r>
              <w:rPr>
                <w:rFonts w:hint="eastAsia" w:ascii="宋体" w:hAnsi="宋体" w:eastAsia="宋体" w:cs="宋体"/>
                <w:color w:val="auto"/>
                <w:spacing w:val="1"/>
                <w:sz w:val="22"/>
                <w:szCs w:val="22"/>
              </w:rPr>
              <w:t>1.乙方承诺具体事项</w:t>
            </w:r>
          </w:p>
        </w:tc>
      </w:tr>
      <w:tr w14:paraId="5ECC0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8762" w:type="dxa"/>
            <w:gridSpan w:val="2"/>
          </w:tcPr>
          <w:p w14:paraId="09536165">
            <w:pPr>
              <w:pStyle w:val="22"/>
              <w:spacing w:line="360" w:lineRule="auto"/>
              <w:ind w:firstLine="438"/>
              <w:rPr>
                <w:rFonts w:hint="eastAsia" w:ascii="宋体" w:hAnsi="宋体" w:eastAsia="宋体" w:cs="宋体"/>
                <w:color w:val="auto"/>
                <w:sz w:val="22"/>
                <w:szCs w:val="22"/>
              </w:rPr>
            </w:pPr>
            <w:r>
              <w:rPr>
                <w:rFonts w:hint="eastAsia" w:ascii="宋体" w:hAnsi="宋体" w:eastAsia="宋体" w:cs="宋体"/>
                <w:color w:val="auto"/>
                <w:spacing w:val="-1"/>
                <w:sz w:val="22"/>
                <w:szCs w:val="22"/>
              </w:rPr>
              <w:t>2.服务具体事项：</w:t>
            </w:r>
          </w:p>
        </w:tc>
      </w:tr>
      <w:tr w14:paraId="63309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trPr>
        <w:tc>
          <w:tcPr>
            <w:tcW w:w="8762" w:type="dxa"/>
            <w:gridSpan w:val="2"/>
          </w:tcPr>
          <w:p w14:paraId="5516B528">
            <w:pPr>
              <w:pStyle w:val="22"/>
              <w:spacing w:line="360" w:lineRule="auto"/>
              <w:ind w:firstLine="438"/>
              <w:rPr>
                <w:rFonts w:hint="eastAsia" w:ascii="宋体" w:hAnsi="宋体" w:eastAsia="宋体" w:cs="宋体"/>
                <w:color w:val="auto"/>
                <w:sz w:val="22"/>
                <w:szCs w:val="22"/>
              </w:rPr>
            </w:pPr>
            <w:r>
              <w:rPr>
                <w:rFonts w:hint="eastAsia" w:ascii="宋体" w:hAnsi="宋体" w:eastAsia="宋体" w:cs="宋体"/>
                <w:color w:val="auto"/>
                <w:spacing w:val="-1"/>
                <w:sz w:val="22"/>
                <w:szCs w:val="22"/>
              </w:rPr>
              <w:t>3.其他具体事项：</w:t>
            </w:r>
          </w:p>
        </w:tc>
      </w:tr>
      <w:tr w14:paraId="32990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280" w:type="dxa"/>
          </w:tcPr>
          <w:p w14:paraId="5A89E268">
            <w:pPr>
              <w:pStyle w:val="22"/>
              <w:spacing w:line="360" w:lineRule="auto"/>
              <w:rPr>
                <w:rFonts w:hint="eastAsia" w:ascii="宋体" w:hAnsi="宋体" w:eastAsia="宋体" w:cs="宋体"/>
                <w:color w:val="auto"/>
                <w:sz w:val="22"/>
                <w:szCs w:val="22"/>
              </w:rPr>
            </w:pPr>
            <w:r>
              <w:rPr>
                <w:rFonts w:hint="eastAsia" w:ascii="宋体" w:hAnsi="宋体" w:eastAsia="宋体" w:cs="宋体"/>
                <w:color w:val="auto"/>
                <w:spacing w:val="9"/>
                <w:sz w:val="22"/>
                <w:szCs w:val="22"/>
              </w:rPr>
              <w:t>甲方(章)</w:t>
            </w:r>
          </w:p>
          <w:p w14:paraId="76BF96CE">
            <w:pPr>
              <w:spacing w:line="360" w:lineRule="auto"/>
              <w:ind w:firstLine="420"/>
              <w:rPr>
                <w:rFonts w:hint="eastAsia" w:ascii="宋体" w:hAnsi="宋体" w:eastAsia="宋体" w:cs="宋体"/>
                <w:color w:val="auto"/>
                <w:sz w:val="21"/>
              </w:rPr>
            </w:pPr>
          </w:p>
          <w:p w14:paraId="2F0953AC">
            <w:pPr>
              <w:spacing w:line="360" w:lineRule="auto"/>
              <w:ind w:firstLine="420"/>
              <w:rPr>
                <w:rFonts w:hint="eastAsia" w:ascii="宋体" w:hAnsi="宋体" w:eastAsia="宋体" w:cs="宋体"/>
                <w:color w:val="auto"/>
                <w:sz w:val="21"/>
              </w:rPr>
            </w:pPr>
          </w:p>
          <w:p w14:paraId="13DBCAA0">
            <w:pPr>
              <w:spacing w:line="360" w:lineRule="auto"/>
              <w:ind w:firstLine="420"/>
              <w:rPr>
                <w:rFonts w:hint="eastAsia" w:ascii="宋体" w:hAnsi="宋体" w:eastAsia="宋体" w:cs="宋体"/>
                <w:color w:val="auto"/>
                <w:sz w:val="21"/>
              </w:rPr>
            </w:pPr>
          </w:p>
          <w:p w14:paraId="71F90722">
            <w:pPr>
              <w:pStyle w:val="22"/>
              <w:spacing w:line="360" w:lineRule="auto"/>
              <w:ind w:firstLine="2654" w:firstLineChars="1301"/>
              <w:rPr>
                <w:rFonts w:hint="eastAsia" w:ascii="宋体" w:hAnsi="宋体" w:eastAsia="宋体" w:cs="宋体"/>
                <w:color w:val="auto"/>
                <w:sz w:val="22"/>
                <w:szCs w:val="22"/>
              </w:rPr>
            </w:pPr>
            <w:r>
              <w:rPr>
                <w:rFonts w:hint="eastAsia" w:ascii="宋体" w:hAnsi="宋体" w:eastAsia="宋体" w:cs="宋体"/>
                <w:color w:val="auto"/>
                <w:spacing w:val="-8"/>
                <w:sz w:val="22"/>
                <w:szCs w:val="22"/>
              </w:rPr>
              <w:t>年</w:t>
            </w:r>
            <w:r>
              <w:rPr>
                <w:rFonts w:hint="eastAsia" w:ascii="宋体" w:hAnsi="宋体" w:eastAsia="宋体" w:cs="宋体"/>
                <w:color w:val="auto"/>
                <w:spacing w:val="17"/>
                <w:sz w:val="22"/>
                <w:szCs w:val="22"/>
              </w:rPr>
              <w:t xml:space="preserve">  </w:t>
            </w:r>
            <w:r>
              <w:rPr>
                <w:rFonts w:hint="eastAsia" w:ascii="宋体" w:hAnsi="宋体" w:eastAsia="宋体" w:cs="宋体"/>
                <w:color w:val="auto"/>
                <w:spacing w:val="-8"/>
                <w:sz w:val="22"/>
                <w:szCs w:val="22"/>
              </w:rPr>
              <w:t>月</w:t>
            </w:r>
            <w:r>
              <w:rPr>
                <w:rFonts w:hint="eastAsia" w:ascii="宋体" w:hAnsi="宋体" w:eastAsia="宋体" w:cs="宋体"/>
                <w:color w:val="auto"/>
                <w:spacing w:val="24"/>
                <w:sz w:val="22"/>
                <w:szCs w:val="22"/>
              </w:rPr>
              <w:t xml:space="preserve">   </w:t>
            </w:r>
            <w:r>
              <w:rPr>
                <w:rFonts w:hint="eastAsia" w:ascii="宋体" w:hAnsi="宋体" w:eastAsia="宋体" w:cs="宋体"/>
                <w:color w:val="auto"/>
                <w:spacing w:val="-8"/>
                <w:sz w:val="22"/>
                <w:szCs w:val="22"/>
              </w:rPr>
              <w:t>日</w:t>
            </w:r>
          </w:p>
        </w:tc>
        <w:tc>
          <w:tcPr>
            <w:tcW w:w="4482" w:type="dxa"/>
          </w:tcPr>
          <w:p w14:paraId="7993873A">
            <w:pPr>
              <w:pStyle w:val="22"/>
              <w:spacing w:line="360" w:lineRule="auto"/>
              <w:rPr>
                <w:rFonts w:hint="eastAsia" w:ascii="宋体" w:hAnsi="宋体" w:eastAsia="宋体" w:cs="宋体"/>
                <w:color w:val="auto"/>
                <w:sz w:val="22"/>
                <w:szCs w:val="22"/>
              </w:rPr>
            </w:pPr>
            <w:r>
              <w:rPr>
                <w:rFonts w:hint="eastAsia" w:ascii="宋体" w:hAnsi="宋体" w:eastAsia="宋体" w:cs="宋体"/>
                <w:color w:val="auto"/>
                <w:spacing w:val="9"/>
                <w:sz w:val="22"/>
                <w:szCs w:val="22"/>
              </w:rPr>
              <w:t>乙方(章)</w:t>
            </w:r>
          </w:p>
          <w:p w14:paraId="2BB7C138">
            <w:pPr>
              <w:spacing w:line="360" w:lineRule="auto"/>
              <w:ind w:firstLine="420"/>
              <w:rPr>
                <w:rFonts w:hint="eastAsia" w:ascii="宋体" w:hAnsi="宋体" w:eastAsia="宋体" w:cs="宋体"/>
                <w:color w:val="auto"/>
                <w:sz w:val="21"/>
              </w:rPr>
            </w:pPr>
          </w:p>
          <w:p w14:paraId="437C52A4">
            <w:pPr>
              <w:spacing w:line="360" w:lineRule="auto"/>
              <w:ind w:firstLine="420"/>
              <w:rPr>
                <w:rFonts w:hint="eastAsia" w:ascii="宋体" w:hAnsi="宋体" w:eastAsia="宋体" w:cs="宋体"/>
                <w:color w:val="auto"/>
                <w:sz w:val="21"/>
              </w:rPr>
            </w:pPr>
          </w:p>
          <w:p w14:paraId="137B3A7E">
            <w:pPr>
              <w:spacing w:line="360" w:lineRule="auto"/>
              <w:ind w:firstLine="420"/>
              <w:rPr>
                <w:rFonts w:hint="eastAsia" w:ascii="宋体" w:hAnsi="宋体" w:eastAsia="宋体" w:cs="宋体"/>
                <w:color w:val="auto"/>
                <w:sz w:val="21"/>
              </w:rPr>
            </w:pPr>
          </w:p>
          <w:p w14:paraId="797FB03D">
            <w:pPr>
              <w:pStyle w:val="22"/>
              <w:spacing w:line="360" w:lineRule="auto"/>
              <w:ind w:firstLine="2858" w:firstLineChars="1401"/>
              <w:rPr>
                <w:rFonts w:hint="eastAsia" w:ascii="宋体" w:hAnsi="宋体" w:eastAsia="宋体" w:cs="宋体"/>
                <w:color w:val="auto"/>
                <w:sz w:val="22"/>
                <w:szCs w:val="22"/>
              </w:rPr>
            </w:pPr>
            <w:r>
              <w:rPr>
                <w:rFonts w:hint="eastAsia" w:ascii="宋体" w:hAnsi="宋体" w:eastAsia="宋体" w:cs="宋体"/>
                <w:color w:val="auto"/>
                <w:spacing w:val="-8"/>
                <w:sz w:val="22"/>
                <w:szCs w:val="22"/>
              </w:rPr>
              <w:t>年</w:t>
            </w:r>
            <w:r>
              <w:rPr>
                <w:rFonts w:hint="eastAsia" w:ascii="宋体" w:hAnsi="宋体" w:eastAsia="宋体" w:cs="宋体"/>
                <w:color w:val="auto"/>
                <w:spacing w:val="12"/>
                <w:sz w:val="22"/>
                <w:szCs w:val="22"/>
              </w:rPr>
              <w:t xml:space="preserve">   </w:t>
            </w:r>
            <w:r>
              <w:rPr>
                <w:rFonts w:hint="eastAsia" w:ascii="宋体" w:hAnsi="宋体" w:eastAsia="宋体" w:cs="宋体"/>
                <w:color w:val="auto"/>
                <w:spacing w:val="-8"/>
                <w:sz w:val="22"/>
                <w:szCs w:val="22"/>
              </w:rPr>
              <w:t>月</w:t>
            </w:r>
            <w:r>
              <w:rPr>
                <w:rFonts w:hint="eastAsia" w:ascii="宋体" w:hAnsi="宋体" w:eastAsia="宋体" w:cs="宋体"/>
                <w:color w:val="auto"/>
                <w:spacing w:val="24"/>
                <w:sz w:val="22"/>
                <w:szCs w:val="22"/>
              </w:rPr>
              <w:t xml:space="preserve">   </w:t>
            </w:r>
            <w:r>
              <w:rPr>
                <w:rFonts w:hint="eastAsia" w:ascii="宋体" w:hAnsi="宋体" w:eastAsia="宋体" w:cs="宋体"/>
                <w:color w:val="auto"/>
                <w:spacing w:val="-8"/>
                <w:sz w:val="22"/>
                <w:szCs w:val="22"/>
              </w:rPr>
              <w:t>日</w:t>
            </w:r>
          </w:p>
        </w:tc>
      </w:tr>
    </w:tbl>
    <w:p w14:paraId="334AC128">
      <w:pPr>
        <w:spacing w:line="360" w:lineRule="auto"/>
        <w:ind w:firstLine="422"/>
        <w:rPr>
          <w:rFonts w:hint="eastAsia" w:ascii="宋体" w:hAnsi="宋体" w:eastAsia="宋体" w:cs="宋体"/>
          <w:color w:val="auto"/>
          <w:spacing w:val="1"/>
          <w:sz w:val="21"/>
          <w:lang w:eastAsia="zh-CN"/>
        </w:rPr>
      </w:pPr>
      <w:r>
        <w:rPr>
          <w:rFonts w:hint="eastAsia" w:ascii="宋体" w:hAnsi="宋体" w:eastAsia="宋体" w:cs="宋体"/>
          <w:color w:val="auto"/>
          <w:spacing w:val="1"/>
          <w:sz w:val="21"/>
          <w:lang w:eastAsia="zh-CN"/>
        </w:rPr>
        <w:t>注：服务事项填不下时可另加附页</w:t>
      </w:r>
    </w:p>
    <w:p w14:paraId="0D145CB2">
      <w:pPr>
        <w:pStyle w:val="8"/>
        <w:rPr>
          <w:rFonts w:hint="eastAsia" w:ascii="宋体" w:hAnsi="宋体" w:eastAsia="宋体" w:cs="宋体"/>
          <w:color w:val="auto"/>
          <w:spacing w:val="1"/>
          <w:sz w:val="21"/>
          <w:lang w:eastAsia="zh-CN"/>
        </w:rPr>
      </w:pPr>
    </w:p>
    <w:p w14:paraId="39DAB9BA">
      <w:pPr>
        <w:pStyle w:val="8"/>
        <w:rPr>
          <w:rFonts w:hint="eastAsia" w:ascii="宋体" w:hAnsi="宋体" w:eastAsia="宋体" w:cs="宋体"/>
          <w:color w:val="auto"/>
          <w:spacing w:val="1"/>
          <w:sz w:val="21"/>
          <w:lang w:eastAsia="zh-CN"/>
        </w:rPr>
      </w:pPr>
    </w:p>
    <w:p w14:paraId="658FFA1E">
      <w:pPr>
        <w:pStyle w:val="8"/>
        <w:rPr>
          <w:rFonts w:hint="eastAsia" w:ascii="宋体" w:hAnsi="宋体" w:eastAsia="宋体" w:cs="宋体"/>
          <w:color w:val="auto"/>
          <w:spacing w:val="1"/>
          <w:sz w:val="21"/>
          <w:lang w:eastAsia="zh-CN"/>
        </w:rPr>
      </w:pPr>
    </w:p>
    <w:p w14:paraId="49E65425">
      <w:pPr>
        <w:pStyle w:val="8"/>
        <w:rPr>
          <w:rFonts w:hint="eastAsia" w:ascii="宋体" w:hAnsi="宋体" w:eastAsia="宋体" w:cs="宋体"/>
          <w:color w:val="auto"/>
          <w:spacing w:val="1"/>
          <w:sz w:val="21"/>
          <w:lang w:eastAsia="zh-CN"/>
        </w:rPr>
      </w:pPr>
    </w:p>
    <w:p w14:paraId="348E03D3">
      <w:pPr>
        <w:pStyle w:val="8"/>
        <w:rPr>
          <w:rFonts w:hint="eastAsia" w:ascii="宋体" w:hAnsi="宋体" w:eastAsia="宋体" w:cs="宋体"/>
          <w:color w:val="auto"/>
          <w:spacing w:val="1"/>
          <w:sz w:val="21"/>
          <w:lang w:eastAsia="zh-CN"/>
        </w:rPr>
      </w:pPr>
    </w:p>
    <w:p w14:paraId="4D213413">
      <w:pPr>
        <w:pStyle w:val="8"/>
        <w:rPr>
          <w:rFonts w:hint="eastAsia" w:ascii="宋体" w:hAnsi="宋体" w:eastAsia="宋体" w:cs="宋体"/>
          <w:color w:val="auto"/>
          <w:spacing w:val="1"/>
          <w:sz w:val="21"/>
          <w:lang w:eastAsia="zh-CN"/>
        </w:rPr>
      </w:pPr>
    </w:p>
    <w:p w14:paraId="0D03E599">
      <w:pPr>
        <w:pStyle w:val="8"/>
        <w:rPr>
          <w:rFonts w:hint="eastAsia" w:ascii="宋体" w:hAnsi="宋体" w:eastAsia="宋体" w:cs="宋体"/>
          <w:color w:val="auto"/>
          <w:spacing w:val="1"/>
          <w:sz w:val="21"/>
          <w:lang w:eastAsia="zh-CN"/>
        </w:rPr>
      </w:pPr>
    </w:p>
    <w:p w14:paraId="3F87C3C5">
      <w:pPr>
        <w:pStyle w:val="8"/>
        <w:rPr>
          <w:rFonts w:hint="eastAsia" w:ascii="宋体" w:hAnsi="宋体" w:eastAsia="宋体" w:cs="宋体"/>
          <w:color w:val="auto"/>
          <w:spacing w:val="1"/>
          <w:sz w:val="21"/>
          <w:lang w:eastAsia="zh-CN"/>
        </w:rPr>
      </w:pPr>
    </w:p>
    <w:p w14:paraId="79D161A7">
      <w:pPr>
        <w:pStyle w:val="8"/>
        <w:rPr>
          <w:rFonts w:hint="eastAsia" w:ascii="宋体" w:hAnsi="宋体" w:eastAsia="宋体" w:cs="宋体"/>
          <w:color w:val="auto"/>
          <w:spacing w:val="1"/>
          <w:sz w:val="21"/>
          <w:lang w:eastAsia="zh-CN"/>
        </w:rPr>
      </w:pPr>
    </w:p>
    <w:p w14:paraId="1410CB19">
      <w:pPr>
        <w:pStyle w:val="8"/>
        <w:rPr>
          <w:rFonts w:hint="eastAsia" w:ascii="宋体" w:hAnsi="宋体" w:eastAsia="宋体" w:cs="宋体"/>
          <w:color w:val="auto"/>
          <w:spacing w:val="1"/>
          <w:sz w:val="21"/>
          <w:lang w:eastAsia="zh-CN"/>
        </w:rPr>
      </w:pPr>
    </w:p>
    <w:p w14:paraId="739F965D">
      <w:pPr>
        <w:pStyle w:val="8"/>
        <w:rPr>
          <w:rFonts w:hint="eastAsia" w:ascii="宋体" w:hAnsi="宋体" w:eastAsia="宋体" w:cs="宋体"/>
          <w:color w:val="auto"/>
          <w:spacing w:val="1"/>
          <w:sz w:val="21"/>
          <w:lang w:eastAsia="zh-CN"/>
        </w:rPr>
      </w:pPr>
    </w:p>
    <w:p w14:paraId="3365F2C0">
      <w:pPr>
        <w:pStyle w:val="8"/>
        <w:rPr>
          <w:rFonts w:hint="eastAsia" w:ascii="宋体" w:hAnsi="宋体" w:eastAsia="宋体" w:cs="宋体"/>
          <w:color w:val="auto"/>
          <w:spacing w:val="1"/>
          <w:sz w:val="21"/>
          <w:lang w:eastAsia="zh-CN"/>
        </w:rPr>
      </w:pPr>
    </w:p>
    <w:p w14:paraId="55E0D7EC">
      <w:pPr>
        <w:ind w:firstLine="339" w:firstLineChars="100"/>
        <w:rPr>
          <w:rFonts w:hint="eastAsia" w:ascii="宋体" w:hAnsi="宋体" w:eastAsia="宋体" w:cs="宋体"/>
          <w:color w:val="auto"/>
          <w:sz w:val="29"/>
          <w:szCs w:val="29"/>
          <w:lang w:eastAsia="zh-CN"/>
        </w:rPr>
      </w:pPr>
      <w:r>
        <w:rPr>
          <w:rFonts w:hint="eastAsia" w:ascii="宋体" w:hAnsi="宋体" w:eastAsia="宋体" w:cs="宋体"/>
          <w:b/>
          <w:bCs/>
          <w:color w:val="auto"/>
          <w:spacing w:val="24"/>
          <w:sz w:val="29"/>
          <w:szCs w:val="29"/>
          <w:lang w:eastAsia="zh-CN"/>
        </w:rPr>
        <w:t>附件2:</w:t>
      </w:r>
    </w:p>
    <w:p w14:paraId="51FC45AC">
      <w:pPr>
        <w:kinsoku/>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一、维护要求：</w:t>
      </w:r>
    </w:p>
    <w:p w14:paraId="45A25811">
      <w:pPr>
        <w:kinsoku/>
        <w:spacing w:line="360" w:lineRule="auto"/>
        <w:ind w:firstLine="720" w:firstLineChars="300"/>
        <w:rPr>
          <w:rFonts w:ascii="宋体" w:hAnsi="宋体" w:eastAsia="宋体" w:cs="宋体"/>
          <w:b w:val="0"/>
          <w:bCs w:val="0"/>
          <w:color w:val="auto"/>
          <w:spacing w:val="-3"/>
          <w:sz w:val="24"/>
          <w:szCs w:val="24"/>
        </w:rPr>
      </w:pPr>
      <w:r>
        <w:rPr>
          <w:rFonts w:hint="eastAsia" w:ascii="宋体" w:hAnsi="宋体" w:eastAsia="宋体" w:cs="宋体"/>
          <w:b w:val="0"/>
          <w:bCs w:val="0"/>
          <w:color w:val="auto"/>
          <w:sz w:val="24"/>
          <w:szCs w:val="24"/>
          <w:lang w:val="en-US" w:eastAsia="zh-CN"/>
        </w:rPr>
        <w:t>1.</w:t>
      </w:r>
      <w:r>
        <w:rPr>
          <w:rFonts w:ascii="宋体" w:hAnsi="宋体" w:eastAsia="宋体" w:cs="宋体"/>
          <w:b w:val="0"/>
          <w:bCs w:val="0"/>
          <w:color w:val="auto"/>
          <w:sz w:val="24"/>
          <w:szCs w:val="24"/>
        </w:rPr>
        <w:t>合同能源管理项目中标企业应按照招标文件要求对招</w:t>
      </w:r>
      <w:r>
        <w:rPr>
          <w:rFonts w:ascii="宋体" w:hAnsi="宋体" w:eastAsia="宋体" w:cs="宋体"/>
          <w:b w:val="0"/>
          <w:bCs w:val="0"/>
          <w:color w:val="auto"/>
          <w:spacing w:val="-1"/>
          <w:sz w:val="24"/>
          <w:szCs w:val="24"/>
        </w:rPr>
        <w:t>标范围内的照明设施进行</w:t>
      </w:r>
      <w:r>
        <w:rPr>
          <w:rFonts w:ascii="宋体" w:hAnsi="宋体" w:eastAsia="宋体" w:cs="宋体"/>
          <w:b w:val="0"/>
          <w:bCs w:val="0"/>
          <w:color w:val="auto"/>
          <w:sz w:val="24"/>
          <w:szCs w:val="24"/>
        </w:rPr>
        <w:t xml:space="preserve"> </w:t>
      </w:r>
      <w:r>
        <w:rPr>
          <w:rFonts w:ascii="宋体" w:hAnsi="宋体" w:eastAsia="宋体" w:cs="宋体"/>
          <w:b w:val="0"/>
          <w:bCs w:val="0"/>
          <w:color w:val="auto"/>
          <w:spacing w:val="-3"/>
          <w:sz w:val="24"/>
          <w:szCs w:val="24"/>
        </w:rPr>
        <w:t>管理及维护。</w:t>
      </w:r>
    </w:p>
    <w:p w14:paraId="1E015FDA">
      <w:pPr>
        <w:kinsoku/>
        <w:spacing w:line="360" w:lineRule="auto"/>
        <w:ind w:firstLine="714" w:firstLineChars="300"/>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2.</w:t>
      </w:r>
      <w:r>
        <w:rPr>
          <w:rFonts w:ascii="宋体" w:hAnsi="宋体" w:eastAsia="宋体" w:cs="宋体"/>
          <w:color w:val="auto"/>
          <w:spacing w:val="-1"/>
          <w:sz w:val="24"/>
          <w:szCs w:val="24"/>
        </w:rPr>
        <w:t>维护范围包括但不限于合同能源管理考核工作。</w:t>
      </w:r>
    </w:p>
    <w:p w14:paraId="5717B340">
      <w:pPr>
        <w:kinsoku/>
        <w:spacing w:line="360" w:lineRule="auto"/>
        <w:ind w:firstLine="714" w:firstLineChars="300"/>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3.</w:t>
      </w:r>
      <w:r>
        <w:rPr>
          <w:rFonts w:ascii="宋体" w:hAnsi="宋体" w:eastAsia="宋体" w:cs="宋体"/>
          <w:color w:val="auto"/>
          <w:spacing w:val="-1"/>
          <w:sz w:val="24"/>
          <w:szCs w:val="24"/>
        </w:rPr>
        <w:t>合同能源管理项目中标企业应建立巡查、巡修、抢修制</w:t>
      </w:r>
      <w:r>
        <w:rPr>
          <w:rFonts w:ascii="宋体" w:hAnsi="宋体" w:eastAsia="宋体" w:cs="宋体"/>
          <w:color w:val="auto"/>
          <w:spacing w:val="-2"/>
          <w:sz w:val="24"/>
          <w:szCs w:val="24"/>
        </w:rPr>
        <w:t>度，落实专人以及巡查、</w:t>
      </w:r>
      <w:r>
        <w:rPr>
          <w:rFonts w:ascii="宋体" w:hAnsi="宋体" w:eastAsia="宋体" w:cs="宋体"/>
          <w:color w:val="auto"/>
          <w:sz w:val="24"/>
          <w:szCs w:val="24"/>
        </w:rPr>
        <w:t xml:space="preserve"> </w:t>
      </w:r>
      <w:r>
        <w:rPr>
          <w:rFonts w:ascii="宋体" w:hAnsi="宋体" w:eastAsia="宋体" w:cs="宋体"/>
          <w:color w:val="auto"/>
          <w:spacing w:val="-1"/>
          <w:sz w:val="24"/>
          <w:szCs w:val="24"/>
        </w:rPr>
        <w:t>巡修设备，提高故障发现、处理效率，保障设施的正常运行。</w:t>
      </w:r>
    </w:p>
    <w:p w14:paraId="5652C7AE">
      <w:pPr>
        <w:spacing w:before="274" w:line="325" w:lineRule="auto"/>
        <w:ind w:left="8" w:right="256" w:firstLine="774" w:firstLineChars="328"/>
        <w:rPr>
          <w:rFonts w:ascii="宋体" w:hAnsi="宋体" w:eastAsia="宋体" w:cs="宋体"/>
          <w:color w:val="auto"/>
          <w:spacing w:val="-1"/>
          <w:sz w:val="24"/>
          <w:szCs w:val="24"/>
        </w:rPr>
      </w:pPr>
      <w:r>
        <w:rPr>
          <w:rFonts w:hint="eastAsia" w:ascii="宋体" w:hAnsi="宋体" w:eastAsia="宋体" w:cs="宋体"/>
          <w:color w:val="auto"/>
          <w:spacing w:val="-2"/>
          <w:sz w:val="24"/>
          <w:szCs w:val="24"/>
          <w:lang w:val="en-US" w:eastAsia="zh-CN"/>
        </w:rPr>
        <w:t>4.</w:t>
      </w:r>
      <w:r>
        <w:rPr>
          <w:rFonts w:ascii="宋体" w:hAnsi="宋体" w:eastAsia="宋体" w:cs="宋体"/>
          <w:color w:val="auto"/>
          <w:spacing w:val="-2"/>
          <w:sz w:val="24"/>
          <w:szCs w:val="24"/>
        </w:rPr>
        <w:t>合同能源管理项目中标企业应建立巡查，巡修档案台账，加强维护档案管理，</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每月30日前上报当月维护档案。</w:t>
      </w:r>
    </w:p>
    <w:p w14:paraId="07BA3942">
      <w:pPr>
        <w:spacing w:before="274" w:line="325" w:lineRule="auto"/>
        <w:ind w:left="8" w:right="256" w:firstLine="787" w:firstLineChars="328"/>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合同能源管理项目中标企业不得擅自改变城市照明设</w:t>
      </w:r>
      <w:r>
        <w:rPr>
          <w:rFonts w:ascii="宋体" w:hAnsi="宋体" w:eastAsia="宋体" w:cs="宋体"/>
          <w:color w:val="auto"/>
          <w:spacing w:val="-1"/>
          <w:sz w:val="24"/>
          <w:szCs w:val="24"/>
        </w:rPr>
        <w:t>施现状，确需变更的应事</w:t>
      </w:r>
      <w:r>
        <w:rPr>
          <w:rFonts w:ascii="宋体" w:hAnsi="宋体" w:eastAsia="宋体" w:cs="宋体"/>
          <w:color w:val="auto"/>
          <w:sz w:val="24"/>
          <w:szCs w:val="24"/>
        </w:rPr>
        <w:t xml:space="preserve"> </w:t>
      </w:r>
      <w:r>
        <w:rPr>
          <w:rFonts w:ascii="宋体" w:hAnsi="宋体" w:eastAsia="宋体" w:cs="宋体"/>
          <w:color w:val="auto"/>
          <w:spacing w:val="-2"/>
          <w:sz w:val="24"/>
          <w:szCs w:val="24"/>
        </w:rPr>
        <w:t>先书面报告</w:t>
      </w:r>
      <w:r>
        <w:rPr>
          <w:rFonts w:hint="eastAsia" w:ascii="宋体" w:hAnsi="宋体" w:eastAsia="宋体" w:cs="宋体"/>
          <w:color w:val="auto"/>
          <w:sz w:val="24"/>
          <w:szCs w:val="24"/>
          <w:highlight w:val="none"/>
          <w:lang w:val="en-US" w:eastAsia="zh-CN"/>
        </w:rPr>
        <w:t>阿图什市市政公用事业服务中心</w:t>
      </w:r>
      <w:r>
        <w:rPr>
          <w:rFonts w:ascii="宋体" w:hAnsi="宋体" w:eastAsia="宋体" w:cs="宋体"/>
          <w:color w:val="auto"/>
          <w:spacing w:val="-2"/>
          <w:sz w:val="24"/>
          <w:szCs w:val="24"/>
        </w:rPr>
        <w:t>批准。</w:t>
      </w:r>
    </w:p>
    <w:p w14:paraId="31E5D8F6">
      <w:pPr>
        <w:spacing w:before="274" w:line="325" w:lineRule="auto"/>
        <w:ind w:right="256" w:firstLine="720" w:firstLineChars="300"/>
        <w:rPr>
          <w:rFonts w:ascii="宋体" w:hAnsi="宋体" w:eastAsia="宋体" w:cs="宋体"/>
          <w:color w:val="auto"/>
          <w:spacing w:val="-1"/>
          <w:sz w:val="24"/>
          <w:szCs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合同能源管理项目中标企业因运行故障等特殊情况，</w:t>
      </w:r>
      <w:r>
        <w:rPr>
          <w:rFonts w:ascii="宋体" w:hAnsi="宋体" w:eastAsia="宋体" w:cs="宋体"/>
          <w:color w:val="auto"/>
          <w:spacing w:val="-1"/>
          <w:sz w:val="24"/>
          <w:szCs w:val="24"/>
        </w:rPr>
        <w:t>需在白天送电抢修的，提</w:t>
      </w:r>
      <w:r>
        <w:rPr>
          <w:rFonts w:ascii="宋体" w:hAnsi="宋体" w:eastAsia="宋体" w:cs="宋体"/>
          <w:color w:val="auto"/>
          <w:sz w:val="24"/>
          <w:szCs w:val="24"/>
        </w:rPr>
        <w:t xml:space="preserve"> </w:t>
      </w:r>
      <w:r>
        <w:rPr>
          <w:rFonts w:ascii="宋体" w:hAnsi="宋体" w:eastAsia="宋体" w:cs="宋体"/>
          <w:color w:val="auto"/>
          <w:spacing w:val="-1"/>
          <w:sz w:val="24"/>
          <w:szCs w:val="24"/>
        </w:rPr>
        <w:t>前向</w:t>
      </w:r>
      <w:r>
        <w:rPr>
          <w:rFonts w:hint="eastAsia" w:ascii="宋体" w:hAnsi="宋体" w:eastAsia="宋体" w:cs="宋体"/>
          <w:color w:val="auto"/>
          <w:sz w:val="24"/>
          <w:szCs w:val="24"/>
          <w:highlight w:val="none"/>
          <w:lang w:val="en-US" w:eastAsia="zh-CN"/>
        </w:rPr>
        <w:t>阿图什市市政公用事业服务中心</w:t>
      </w:r>
      <w:r>
        <w:rPr>
          <w:rFonts w:ascii="宋体" w:hAnsi="宋体" w:eastAsia="宋体" w:cs="宋体"/>
          <w:color w:val="auto"/>
          <w:spacing w:val="-1"/>
          <w:sz w:val="24"/>
          <w:szCs w:val="24"/>
        </w:rPr>
        <w:t>申请报备。</w:t>
      </w:r>
    </w:p>
    <w:p w14:paraId="2766B368">
      <w:pPr>
        <w:spacing w:before="274" w:line="325" w:lineRule="auto"/>
        <w:ind w:right="256" w:firstLine="720" w:firstLineChars="300"/>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城市照明设施上不得私拉乱接其他供用电设施，确需</w:t>
      </w:r>
      <w:r>
        <w:rPr>
          <w:rFonts w:ascii="宋体" w:hAnsi="宋体" w:eastAsia="宋体" w:cs="宋体"/>
          <w:color w:val="auto"/>
          <w:spacing w:val="-1"/>
          <w:sz w:val="24"/>
          <w:szCs w:val="24"/>
        </w:rPr>
        <w:t>在城市照明设施上接用其</w:t>
      </w:r>
      <w:r>
        <w:rPr>
          <w:rFonts w:ascii="宋体" w:hAnsi="宋体" w:eastAsia="宋体" w:cs="宋体"/>
          <w:color w:val="auto"/>
          <w:sz w:val="24"/>
          <w:szCs w:val="24"/>
        </w:rPr>
        <w:t xml:space="preserve"> </w:t>
      </w:r>
      <w:r>
        <w:rPr>
          <w:rFonts w:ascii="宋体" w:hAnsi="宋体" w:eastAsia="宋体" w:cs="宋体"/>
          <w:color w:val="auto"/>
          <w:spacing w:val="-1"/>
          <w:sz w:val="24"/>
          <w:szCs w:val="24"/>
        </w:rPr>
        <w:t>他供用电设施的，应事先书面报告</w:t>
      </w:r>
      <w:r>
        <w:rPr>
          <w:rFonts w:hint="eastAsia" w:ascii="宋体" w:hAnsi="宋体" w:eastAsia="宋体" w:cs="宋体"/>
          <w:color w:val="auto"/>
          <w:sz w:val="24"/>
          <w:szCs w:val="24"/>
          <w:highlight w:val="none"/>
          <w:lang w:val="en-US" w:eastAsia="zh-CN"/>
        </w:rPr>
        <w:t>阿图什市市政公用事业服务中心</w:t>
      </w:r>
      <w:r>
        <w:rPr>
          <w:rFonts w:ascii="宋体" w:hAnsi="宋体" w:eastAsia="宋体" w:cs="宋体"/>
          <w:color w:val="auto"/>
          <w:spacing w:val="-1"/>
          <w:sz w:val="24"/>
          <w:szCs w:val="24"/>
        </w:rPr>
        <w:t>批准。</w:t>
      </w:r>
    </w:p>
    <w:p w14:paraId="69EA9AD6">
      <w:pPr>
        <w:spacing w:before="78" w:line="431" w:lineRule="auto"/>
        <w:ind w:left="13" w:right="40" w:firstLine="474"/>
        <w:jc w:val="both"/>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合同能源管理项目中标企业应严格执行社会承诺制</w:t>
      </w:r>
      <w:r>
        <w:rPr>
          <w:rFonts w:ascii="宋体" w:hAnsi="宋体" w:eastAsia="宋体" w:cs="宋体"/>
          <w:color w:val="auto"/>
          <w:spacing w:val="-1"/>
          <w:sz w:val="24"/>
          <w:szCs w:val="24"/>
        </w:rPr>
        <w:t>度，一般故障及时发现及</w:t>
      </w:r>
      <w:r>
        <w:rPr>
          <w:rFonts w:ascii="宋体" w:hAnsi="宋体" w:eastAsia="宋体" w:cs="宋体"/>
          <w:color w:val="auto"/>
          <w:sz w:val="24"/>
          <w:szCs w:val="24"/>
        </w:rPr>
        <w:t xml:space="preserve"> 时修复，复杂故障24小时至48小时内修复；确因期限</w:t>
      </w:r>
      <w:r>
        <w:rPr>
          <w:rFonts w:ascii="宋体" w:hAnsi="宋体" w:eastAsia="宋体" w:cs="宋体"/>
          <w:color w:val="auto"/>
          <w:spacing w:val="-1"/>
          <w:sz w:val="24"/>
          <w:szCs w:val="24"/>
        </w:rPr>
        <w:t>内无法完成修复的，及时向</w:t>
      </w:r>
      <w:r>
        <w:rPr>
          <w:rFonts w:hint="eastAsia" w:ascii="宋体" w:hAnsi="宋体" w:eastAsia="宋体" w:cs="宋体"/>
          <w:color w:val="auto"/>
          <w:sz w:val="24"/>
          <w:szCs w:val="24"/>
          <w:highlight w:val="none"/>
          <w:lang w:val="en-US" w:eastAsia="zh-CN"/>
        </w:rPr>
        <w:t>阿图什市市政公用事业服务中心</w:t>
      </w:r>
      <w:r>
        <w:rPr>
          <w:rFonts w:ascii="宋体" w:hAnsi="宋体" w:eastAsia="宋体" w:cs="宋体"/>
          <w:color w:val="auto"/>
          <w:spacing w:val="-1"/>
          <w:sz w:val="24"/>
          <w:szCs w:val="24"/>
        </w:rPr>
        <w:t>报告，并提出维修方案；其他交办事项应按时完成(以任务书规定时间为准)。</w:t>
      </w:r>
    </w:p>
    <w:p w14:paraId="4C8A863D">
      <w:pPr>
        <w:spacing w:line="430" w:lineRule="auto"/>
        <w:ind w:left="10" w:right="40" w:firstLine="480"/>
        <w:rPr>
          <w:rFonts w:ascii="宋体" w:hAnsi="宋体" w:eastAsia="宋体" w:cs="宋体"/>
          <w:color w:val="auto"/>
          <w:spacing w:val="-1"/>
          <w:sz w:val="24"/>
          <w:szCs w:val="24"/>
        </w:rPr>
      </w:pPr>
      <w:r>
        <w:rPr>
          <w:rFonts w:ascii="宋体" w:hAnsi="宋体" w:eastAsia="宋体" w:cs="宋体"/>
          <w:color w:val="auto"/>
          <w:sz w:val="24"/>
          <w:szCs w:val="24"/>
        </w:rPr>
        <w:t>涉及重大安全运行故障或突发事件，合同能源管理项目中标</w:t>
      </w:r>
      <w:r>
        <w:rPr>
          <w:rFonts w:ascii="宋体" w:hAnsi="宋体" w:eastAsia="宋体" w:cs="宋体"/>
          <w:color w:val="auto"/>
          <w:spacing w:val="-1"/>
          <w:sz w:val="24"/>
          <w:szCs w:val="24"/>
        </w:rPr>
        <w:t>企业应在接报30分钟内赶至</w:t>
      </w:r>
      <w:r>
        <w:rPr>
          <w:rFonts w:ascii="宋体" w:hAnsi="宋体" w:eastAsia="宋体" w:cs="宋体"/>
          <w:color w:val="auto"/>
          <w:sz w:val="24"/>
          <w:szCs w:val="24"/>
        </w:rPr>
        <w:t xml:space="preserve"> </w:t>
      </w:r>
      <w:r>
        <w:rPr>
          <w:rFonts w:ascii="宋体" w:hAnsi="宋体" w:eastAsia="宋体" w:cs="宋体"/>
          <w:color w:val="auto"/>
          <w:spacing w:val="-1"/>
          <w:sz w:val="24"/>
          <w:szCs w:val="24"/>
        </w:rPr>
        <w:t>现场组织处理，并及时回复处理结果。</w:t>
      </w:r>
    </w:p>
    <w:p w14:paraId="4AD43C89">
      <w:pPr>
        <w:spacing w:line="430" w:lineRule="auto"/>
        <w:ind w:left="10" w:right="40" w:firstLine="480"/>
        <w:rPr>
          <w:rFonts w:ascii="宋体" w:hAnsi="宋体" w:eastAsia="宋体" w:cs="宋体"/>
          <w:color w:val="auto"/>
          <w:spacing w:val="-3"/>
          <w:sz w:val="24"/>
          <w:szCs w:val="24"/>
        </w:rPr>
      </w:pPr>
      <w:r>
        <w:rPr>
          <w:rFonts w:hint="eastAsia" w:ascii="宋体" w:hAnsi="宋体" w:eastAsia="宋体" w:cs="宋体"/>
          <w:color w:val="auto"/>
          <w:spacing w:val="-1"/>
          <w:sz w:val="24"/>
          <w:szCs w:val="24"/>
          <w:lang w:val="en-US" w:eastAsia="zh-CN"/>
        </w:rPr>
        <w:t>10.</w:t>
      </w:r>
      <w:r>
        <w:rPr>
          <w:rFonts w:ascii="宋体" w:hAnsi="宋体" w:eastAsia="宋体" w:cs="宋体"/>
          <w:color w:val="auto"/>
          <w:sz w:val="24"/>
          <w:szCs w:val="24"/>
        </w:rPr>
        <w:t>合同能源管理项目中标企业应切实履行安全生产主</w:t>
      </w:r>
      <w:r>
        <w:rPr>
          <w:rFonts w:ascii="宋体" w:hAnsi="宋体" w:eastAsia="宋体" w:cs="宋体"/>
          <w:color w:val="auto"/>
          <w:spacing w:val="-1"/>
          <w:sz w:val="24"/>
          <w:szCs w:val="24"/>
        </w:rPr>
        <w:t>体责任，做好城市照明设</w:t>
      </w:r>
      <w:r>
        <w:rPr>
          <w:rFonts w:ascii="宋体" w:hAnsi="宋体" w:eastAsia="宋体" w:cs="宋体"/>
          <w:color w:val="auto"/>
          <w:sz w:val="24"/>
          <w:szCs w:val="24"/>
        </w:rPr>
        <w:t xml:space="preserve"> 施安全管理工作，每月至少组织一次安全教育学习、安全检查、隐患</w:t>
      </w:r>
      <w:r>
        <w:rPr>
          <w:rFonts w:ascii="宋体" w:hAnsi="宋体" w:eastAsia="宋体" w:cs="宋体"/>
          <w:color w:val="auto"/>
          <w:spacing w:val="-1"/>
          <w:sz w:val="24"/>
          <w:szCs w:val="24"/>
        </w:rPr>
        <w:t>排查，并做好安全工作</w:t>
      </w:r>
      <w:r>
        <w:rPr>
          <w:rFonts w:ascii="宋体" w:hAnsi="宋体" w:eastAsia="宋体" w:cs="宋体"/>
          <w:color w:val="auto"/>
          <w:sz w:val="24"/>
          <w:szCs w:val="24"/>
        </w:rPr>
        <w:t xml:space="preserve"> </w:t>
      </w:r>
      <w:r>
        <w:rPr>
          <w:rFonts w:ascii="宋体" w:hAnsi="宋体" w:eastAsia="宋体" w:cs="宋体"/>
          <w:color w:val="auto"/>
          <w:spacing w:val="-3"/>
          <w:sz w:val="24"/>
          <w:szCs w:val="24"/>
        </w:rPr>
        <w:t>台账。</w:t>
      </w:r>
    </w:p>
    <w:p w14:paraId="086CAC02">
      <w:pPr>
        <w:spacing w:line="430" w:lineRule="auto"/>
        <w:ind w:left="10" w:right="40" w:firstLine="480"/>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11.</w:t>
      </w:r>
      <w:r>
        <w:rPr>
          <w:rFonts w:ascii="宋体" w:hAnsi="宋体" w:eastAsia="宋体" w:cs="宋体"/>
          <w:color w:val="auto"/>
          <w:sz w:val="24"/>
          <w:szCs w:val="24"/>
        </w:rPr>
        <w:t>合同能源管理项目中标企业应建立应急保障机制，</w:t>
      </w:r>
      <w:r>
        <w:rPr>
          <w:rFonts w:ascii="宋体" w:hAnsi="宋体" w:eastAsia="宋体" w:cs="宋体"/>
          <w:color w:val="auto"/>
          <w:spacing w:val="-1"/>
          <w:sz w:val="24"/>
          <w:szCs w:val="24"/>
        </w:rPr>
        <w:t>编制应急预案，组织应急</w:t>
      </w:r>
      <w:r>
        <w:rPr>
          <w:rFonts w:ascii="宋体" w:hAnsi="宋体" w:eastAsia="宋体" w:cs="宋体"/>
          <w:color w:val="auto"/>
          <w:sz w:val="24"/>
          <w:szCs w:val="24"/>
        </w:rPr>
        <w:t xml:space="preserve"> 演练。遇重大节庆活动，防汛抗台、暴风雪等恶劣天气时，应启</w:t>
      </w:r>
      <w:r>
        <w:rPr>
          <w:rFonts w:ascii="宋体" w:hAnsi="宋体" w:eastAsia="宋体" w:cs="宋体"/>
          <w:color w:val="auto"/>
          <w:spacing w:val="-1"/>
          <w:sz w:val="24"/>
          <w:szCs w:val="24"/>
        </w:rPr>
        <w:t>动应急机制，增加设施巡检</w:t>
      </w:r>
      <w:r>
        <w:rPr>
          <w:rFonts w:ascii="宋体" w:hAnsi="宋体" w:eastAsia="宋体" w:cs="宋体"/>
          <w:color w:val="auto"/>
          <w:sz w:val="24"/>
          <w:szCs w:val="24"/>
        </w:rPr>
        <w:t xml:space="preserve"> </w:t>
      </w:r>
      <w:r>
        <w:rPr>
          <w:rFonts w:ascii="宋体" w:hAnsi="宋体" w:eastAsia="宋体" w:cs="宋体"/>
          <w:color w:val="auto"/>
          <w:spacing w:val="-1"/>
          <w:sz w:val="24"/>
          <w:szCs w:val="24"/>
        </w:rPr>
        <w:t>频次、加大隐患排查力度，做好应急保障工作。</w:t>
      </w:r>
    </w:p>
    <w:p w14:paraId="10E16DFB">
      <w:pPr>
        <w:spacing w:line="430" w:lineRule="auto"/>
        <w:ind w:right="40"/>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二、考核：</w:t>
      </w:r>
    </w:p>
    <w:p w14:paraId="742BD620">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1.考核按照《城市道路照明设施运行维护技术标准》（CT/CEMA21-2021）标准执行。</w:t>
      </w:r>
    </w:p>
    <w:p w14:paraId="6A70DEA3">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2.合同能源管理项目中标企业保证改造后每条道路的照度不得低于国家标准 （CJJ45—2015）上限值并符合上级要求。如改造后照度低于国家标准上限值，每发现1处， 罚款1000元，给予整改机会，整改不合格的，双倍罚款，整改期间扣除所有应支付费用。</w:t>
      </w:r>
    </w:p>
    <w:p w14:paraId="35ED76D6">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需更换电缆开挖的位置（沥青路面、绿化带、人行道等其他设施）按照各职能部门的标准恢复原样。对相关设施造成损失的照价赔偿，未按规定时间及标准完成的由阿图什市市政公用事业服务中心委托第三方整改，所产生的费用由中标企业自行支付，并处罚金额5000元。</w:t>
      </w:r>
    </w:p>
    <w:p w14:paraId="4DA534A0">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4.日常检查中如发现不符行业规范和规定的行为，未落实阿图什市市政公用事业服务中心相关要求，情节严重的，约谈服务单位领导及负责人并下发工作提醒，按临时下派（应急）的工 作不给予配合，一次性扣10分。考核分值为综合考核的平均分值。</w:t>
      </w:r>
    </w:p>
    <w:p w14:paraId="7CE1AE81">
      <w:pPr>
        <w:kinsoku/>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highlight w:val="none"/>
          <w:lang w:val="en-US" w:eastAsia="zh-CN"/>
        </w:rPr>
        <w:t>服务期每月考核一次，采用联合检查和日常巡检相结合方式，每月至少组织1次联合检查。</w:t>
      </w:r>
    </w:p>
    <w:p w14:paraId="180C9A4D">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维护费用与每月度考核分数、等级挂钩，根据每月度考核的分数、等级，确定当月度服务维护费用（服务维护费用除以12）的数额，标准如下：90分以上为优秀，90-81分为良好，80-71分为合格，70分以下（含70分）为不合格。1、 每月度分值90分以上为优秀，当月服务费用不扣除。2、每月分值90-81分为良好，扣除5%的月度服务费用。3、每月分值80-71分为合格，扣除10%的月度服务费用。4、每月分值 70分（含70分）以下为不合格，按比例扣除15%以上服务费。5、每月分值低于70分（含70 分）为不合格，一年内六个月考核不合格，阿图什市市政公用事业服务中心建议人民政府取消服务单位服务资格，并扣除当月服务费用，同时终止服务合同。</w:t>
      </w:r>
    </w:p>
    <w:p w14:paraId="074D784B">
      <w:pPr>
        <w:kinsoku/>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三、附则</w:t>
      </w:r>
    </w:p>
    <w:p w14:paraId="79E2DF84">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附件：《照明设施维护月度考核评分细则》《楼宇亮化维保月度考核标准》《公园广场景区、庭院灯，路灯灯箱，天桥、小游园、树上亮化等维保月度考核标准》</w:t>
      </w:r>
    </w:p>
    <w:p w14:paraId="5D7293D3">
      <w:pPr>
        <w:pageBreakBefore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color w:val="FF0000"/>
          <w:sz w:val="24"/>
          <w:szCs w:val="24"/>
          <w:lang w:val="en-US" w:eastAsia="zh-CN"/>
        </w:rPr>
      </w:pPr>
      <w:r>
        <w:rPr>
          <w:rFonts w:hint="eastAsia" w:ascii="宋体" w:hAnsi="宋体" w:eastAsia="宋体" w:cs="宋体"/>
          <w:b/>
          <w:bCs/>
          <w:color w:val="auto"/>
          <w:sz w:val="32"/>
          <w:szCs w:val="32"/>
          <w:highlight w:val="none"/>
          <w:lang w:val="en-US" w:eastAsia="zh-CN"/>
        </w:rPr>
        <w:t>照明设施维护月度考核评分细则</w:t>
      </w:r>
    </w:p>
    <w:p w14:paraId="562B3A51">
      <w:pPr>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eastAsia="zh-CN"/>
        </w:rPr>
        <w:t>考核标准：</w:t>
      </w:r>
    </w:p>
    <w:tbl>
      <w:tblPr>
        <w:tblStyle w:val="21"/>
        <w:tblW w:w="9720" w:type="dxa"/>
        <w:tblInd w:w="-3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975"/>
        <w:gridCol w:w="1050"/>
        <w:gridCol w:w="2512"/>
        <w:gridCol w:w="3233"/>
        <w:gridCol w:w="1350"/>
      </w:tblGrid>
      <w:tr w14:paraId="2ED29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600" w:type="dxa"/>
            <w:vAlign w:val="top"/>
          </w:tcPr>
          <w:p w14:paraId="422621FC">
            <w:pPr>
              <w:spacing w:before="224" w:line="230" w:lineRule="auto"/>
              <w:ind w:left="114"/>
              <w:jc w:val="center"/>
              <w:rPr>
                <w:rFonts w:ascii="宋体" w:hAnsi="宋体" w:eastAsia="宋体" w:cs="宋体"/>
                <w:color w:val="auto"/>
                <w:sz w:val="24"/>
                <w:szCs w:val="24"/>
              </w:rPr>
            </w:pPr>
            <w:r>
              <w:rPr>
                <w:rFonts w:ascii="宋体" w:hAnsi="宋体" w:eastAsia="宋体" w:cs="宋体"/>
                <w:b/>
                <w:bCs/>
                <w:color w:val="auto"/>
                <w:spacing w:val="4"/>
                <w:sz w:val="24"/>
                <w:szCs w:val="24"/>
              </w:rPr>
              <w:t>序号</w:t>
            </w:r>
          </w:p>
        </w:tc>
        <w:tc>
          <w:tcPr>
            <w:tcW w:w="2025" w:type="dxa"/>
            <w:gridSpan w:val="2"/>
            <w:vAlign w:val="top"/>
          </w:tcPr>
          <w:p w14:paraId="2E4A6C83">
            <w:pPr>
              <w:spacing w:before="224" w:line="229" w:lineRule="auto"/>
              <w:ind w:left="110"/>
              <w:jc w:val="center"/>
              <w:rPr>
                <w:rFonts w:ascii="宋体" w:hAnsi="宋体" w:eastAsia="宋体" w:cs="宋体"/>
                <w:color w:val="auto"/>
                <w:sz w:val="24"/>
                <w:szCs w:val="24"/>
              </w:rPr>
            </w:pPr>
            <w:r>
              <w:rPr>
                <w:rFonts w:ascii="宋体" w:hAnsi="宋体" w:eastAsia="宋体" w:cs="宋体"/>
                <w:b/>
                <w:bCs/>
                <w:color w:val="auto"/>
                <w:spacing w:val="6"/>
                <w:sz w:val="24"/>
                <w:szCs w:val="24"/>
              </w:rPr>
              <w:t>评分项目</w:t>
            </w:r>
          </w:p>
        </w:tc>
        <w:tc>
          <w:tcPr>
            <w:tcW w:w="2512" w:type="dxa"/>
            <w:vAlign w:val="top"/>
          </w:tcPr>
          <w:p w14:paraId="765267AF">
            <w:pPr>
              <w:spacing w:before="225" w:line="228" w:lineRule="auto"/>
              <w:ind w:left="111"/>
              <w:jc w:val="center"/>
              <w:rPr>
                <w:rFonts w:ascii="宋体" w:hAnsi="宋体" w:eastAsia="宋体" w:cs="宋体"/>
                <w:color w:val="auto"/>
                <w:sz w:val="24"/>
                <w:szCs w:val="24"/>
              </w:rPr>
            </w:pPr>
            <w:r>
              <w:rPr>
                <w:rFonts w:ascii="宋体" w:hAnsi="宋体" w:eastAsia="宋体" w:cs="宋体"/>
                <w:b/>
                <w:bCs/>
                <w:color w:val="auto"/>
                <w:spacing w:val="6"/>
                <w:sz w:val="24"/>
                <w:szCs w:val="24"/>
              </w:rPr>
              <w:t>考核内容</w:t>
            </w:r>
          </w:p>
        </w:tc>
        <w:tc>
          <w:tcPr>
            <w:tcW w:w="3233" w:type="dxa"/>
            <w:vAlign w:val="top"/>
          </w:tcPr>
          <w:p w14:paraId="15987BA7">
            <w:pPr>
              <w:spacing w:before="224" w:line="229" w:lineRule="auto"/>
              <w:ind w:left="112"/>
              <w:jc w:val="center"/>
              <w:rPr>
                <w:rFonts w:ascii="宋体" w:hAnsi="宋体" w:eastAsia="宋体" w:cs="宋体"/>
                <w:color w:val="auto"/>
                <w:sz w:val="24"/>
                <w:szCs w:val="24"/>
              </w:rPr>
            </w:pPr>
            <w:r>
              <w:rPr>
                <w:rFonts w:ascii="宋体" w:hAnsi="宋体" w:eastAsia="宋体" w:cs="宋体"/>
                <w:b/>
                <w:bCs/>
                <w:color w:val="auto"/>
                <w:spacing w:val="6"/>
                <w:sz w:val="24"/>
                <w:szCs w:val="24"/>
              </w:rPr>
              <w:t>评分标准</w:t>
            </w:r>
          </w:p>
        </w:tc>
        <w:tc>
          <w:tcPr>
            <w:tcW w:w="1350" w:type="dxa"/>
            <w:vAlign w:val="top"/>
          </w:tcPr>
          <w:p w14:paraId="7C861859">
            <w:pPr>
              <w:spacing w:before="224" w:line="229" w:lineRule="auto"/>
              <w:ind w:left="151"/>
              <w:jc w:val="center"/>
              <w:rPr>
                <w:rFonts w:ascii="宋体" w:hAnsi="宋体" w:eastAsia="宋体" w:cs="宋体"/>
                <w:color w:val="auto"/>
                <w:sz w:val="24"/>
                <w:szCs w:val="24"/>
              </w:rPr>
            </w:pPr>
            <w:r>
              <w:rPr>
                <w:rFonts w:ascii="宋体" w:hAnsi="宋体" w:eastAsia="宋体" w:cs="宋体"/>
                <w:b/>
                <w:bCs/>
                <w:color w:val="auto"/>
                <w:spacing w:val="-9"/>
                <w:sz w:val="24"/>
                <w:szCs w:val="24"/>
              </w:rPr>
              <w:t>(</w:t>
            </w:r>
            <w:r>
              <w:rPr>
                <w:rFonts w:ascii="宋体" w:hAnsi="宋体" w:eastAsia="宋体" w:cs="宋体"/>
                <w:color w:val="auto"/>
                <w:spacing w:val="12"/>
                <w:sz w:val="24"/>
                <w:szCs w:val="24"/>
              </w:rPr>
              <w:t xml:space="preserve">  </w:t>
            </w:r>
            <w:r>
              <w:rPr>
                <w:rFonts w:ascii="宋体" w:hAnsi="宋体" w:eastAsia="宋体" w:cs="宋体"/>
                <w:b/>
                <w:bCs/>
                <w:color w:val="auto"/>
                <w:spacing w:val="-9"/>
                <w:sz w:val="24"/>
                <w:szCs w:val="24"/>
              </w:rPr>
              <w:t>)扣分</w:t>
            </w:r>
          </w:p>
        </w:tc>
      </w:tr>
      <w:tr w14:paraId="0596A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600" w:type="dxa"/>
            <w:vMerge w:val="restart"/>
            <w:tcBorders>
              <w:bottom w:val="nil"/>
            </w:tcBorders>
            <w:vAlign w:val="top"/>
          </w:tcPr>
          <w:p w14:paraId="5999B6FD">
            <w:pPr>
              <w:spacing w:line="261" w:lineRule="auto"/>
              <w:jc w:val="center"/>
              <w:rPr>
                <w:rFonts w:ascii="Arial"/>
                <w:color w:val="auto"/>
                <w:sz w:val="24"/>
                <w:szCs w:val="24"/>
              </w:rPr>
            </w:pPr>
          </w:p>
          <w:p w14:paraId="47694C93">
            <w:pPr>
              <w:spacing w:line="261" w:lineRule="auto"/>
              <w:jc w:val="center"/>
              <w:rPr>
                <w:rFonts w:ascii="Arial"/>
                <w:color w:val="auto"/>
                <w:sz w:val="24"/>
                <w:szCs w:val="24"/>
              </w:rPr>
            </w:pPr>
          </w:p>
          <w:p w14:paraId="1ABB9332">
            <w:pPr>
              <w:spacing w:line="262" w:lineRule="auto"/>
              <w:jc w:val="center"/>
              <w:rPr>
                <w:rFonts w:ascii="Arial"/>
                <w:color w:val="auto"/>
                <w:sz w:val="24"/>
                <w:szCs w:val="24"/>
              </w:rPr>
            </w:pPr>
          </w:p>
          <w:p w14:paraId="70E25025">
            <w:pPr>
              <w:spacing w:line="262" w:lineRule="auto"/>
              <w:jc w:val="center"/>
              <w:rPr>
                <w:rFonts w:ascii="Arial"/>
                <w:color w:val="auto"/>
                <w:sz w:val="24"/>
                <w:szCs w:val="24"/>
              </w:rPr>
            </w:pPr>
          </w:p>
          <w:p w14:paraId="25D4CF4A">
            <w:pPr>
              <w:spacing w:line="262" w:lineRule="auto"/>
              <w:jc w:val="center"/>
              <w:rPr>
                <w:rFonts w:ascii="Arial"/>
                <w:color w:val="auto"/>
                <w:sz w:val="24"/>
                <w:szCs w:val="24"/>
              </w:rPr>
            </w:pPr>
          </w:p>
          <w:p w14:paraId="2B91742A">
            <w:pPr>
              <w:spacing w:before="65" w:line="156" w:lineRule="exact"/>
              <w:ind w:left="118"/>
              <w:jc w:val="center"/>
              <w:rPr>
                <w:rFonts w:hint="eastAsia" w:ascii="宋体" w:hAnsi="宋体" w:eastAsia="宋体" w:cs="宋体"/>
                <w:color w:val="auto"/>
                <w:sz w:val="24"/>
                <w:szCs w:val="24"/>
                <w:lang w:eastAsia="zh-CN"/>
              </w:rPr>
            </w:pPr>
            <w:r>
              <w:rPr>
                <w:rFonts w:hint="eastAsia" w:ascii="宋体" w:hAnsi="宋体" w:eastAsia="宋体" w:cs="宋体"/>
                <w:color w:val="auto"/>
                <w:position w:val="-4"/>
                <w:sz w:val="24"/>
                <w:szCs w:val="24"/>
                <w:lang w:val="en-US" w:eastAsia="zh-CN"/>
              </w:rPr>
              <w:t>1</w:t>
            </w:r>
          </w:p>
        </w:tc>
        <w:tc>
          <w:tcPr>
            <w:tcW w:w="2025" w:type="dxa"/>
            <w:gridSpan w:val="2"/>
            <w:vAlign w:val="top"/>
          </w:tcPr>
          <w:p w14:paraId="324F1F2F">
            <w:pPr>
              <w:spacing w:line="319" w:lineRule="auto"/>
              <w:jc w:val="center"/>
              <w:rPr>
                <w:rFonts w:ascii="Arial"/>
                <w:color w:val="auto"/>
                <w:sz w:val="24"/>
                <w:szCs w:val="24"/>
              </w:rPr>
            </w:pPr>
          </w:p>
          <w:p w14:paraId="718955AA">
            <w:pPr>
              <w:spacing w:before="65" w:line="228" w:lineRule="auto"/>
              <w:ind w:left="114"/>
              <w:jc w:val="center"/>
              <w:rPr>
                <w:rFonts w:ascii="宋体" w:hAnsi="宋体" w:eastAsia="宋体" w:cs="宋体"/>
                <w:color w:val="auto"/>
                <w:sz w:val="24"/>
                <w:szCs w:val="24"/>
              </w:rPr>
            </w:pPr>
            <w:r>
              <w:rPr>
                <w:rFonts w:ascii="宋体" w:hAnsi="宋体" w:eastAsia="宋体" w:cs="宋体"/>
                <w:color w:val="auto"/>
                <w:spacing w:val="7"/>
                <w:sz w:val="24"/>
                <w:szCs w:val="24"/>
              </w:rPr>
              <w:t>企业内部管理</w:t>
            </w:r>
          </w:p>
        </w:tc>
        <w:tc>
          <w:tcPr>
            <w:tcW w:w="2512" w:type="dxa"/>
            <w:vAlign w:val="top"/>
          </w:tcPr>
          <w:p w14:paraId="7994702D">
            <w:pPr>
              <w:spacing w:before="113" w:line="253" w:lineRule="auto"/>
              <w:ind w:left="113" w:right="192" w:hanging="2"/>
              <w:jc w:val="both"/>
              <w:rPr>
                <w:rFonts w:ascii="宋体" w:hAnsi="宋体" w:eastAsia="宋体" w:cs="宋体"/>
                <w:color w:val="auto"/>
                <w:sz w:val="24"/>
                <w:szCs w:val="24"/>
              </w:rPr>
            </w:pPr>
            <w:r>
              <w:rPr>
                <w:rFonts w:ascii="宋体" w:hAnsi="宋体" w:eastAsia="宋体" w:cs="宋体"/>
                <w:color w:val="auto"/>
                <w:spacing w:val="9"/>
                <w:sz w:val="24"/>
                <w:szCs w:val="24"/>
              </w:rPr>
              <w:t>基础台帐资料齐全，有各项</w:t>
            </w:r>
            <w:r>
              <w:rPr>
                <w:rFonts w:ascii="宋体" w:hAnsi="宋体" w:eastAsia="宋体" w:cs="宋体"/>
                <w:color w:val="auto"/>
                <w:sz w:val="24"/>
                <w:szCs w:val="24"/>
              </w:rPr>
              <w:t xml:space="preserve"> </w:t>
            </w:r>
            <w:r>
              <w:rPr>
                <w:rFonts w:ascii="宋体" w:hAnsi="宋体" w:eastAsia="宋体" w:cs="宋体"/>
                <w:color w:val="auto"/>
                <w:spacing w:val="8"/>
                <w:sz w:val="24"/>
                <w:szCs w:val="24"/>
              </w:rPr>
              <w:t>管理制度，定期组织安全培</w:t>
            </w:r>
            <w:r>
              <w:rPr>
                <w:rFonts w:ascii="宋体" w:hAnsi="宋体" w:eastAsia="宋体" w:cs="宋体"/>
                <w:color w:val="auto"/>
                <w:spacing w:val="10"/>
                <w:sz w:val="24"/>
                <w:szCs w:val="24"/>
              </w:rPr>
              <w:t xml:space="preserve"> </w:t>
            </w:r>
            <w:r>
              <w:rPr>
                <w:rFonts w:ascii="宋体" w:hAnsi="宋体" w:eastAsia="宋体" w:cs="宋体"/>
                <w:color w:val="auto"/>
                <w:spacing w:val="5"/>
                <w:sz w:val="24"/>
                <w:szCs w:val="24"/>
              </w:rPr>
              <w:t>训。（5分）</w:t>
            </w:r>
          </w:p>
        </w:tc>
        <w:tc>
          <w:tcPr>
            <w:tcW w:w="3233" w:type="dxa"/>
            <w:vAlign w:val="top"/>
          </w:tcPr>
          <w:p w14:paraId="748050C3">
            <w:pPr>
              <w:spacing w:line="319" w:lineRule="auto"/>
              <w:rPr>
                <w:rFonts w:ascii="Arial"/>
                <w:color w:val="auto"/>
                <w:sz w:val="24"/>
                <w:szCs w:val="24"/>
              </w:rPr>
            </w:pPr>
          </w:p>
          <w:p w14:paraId="7D735DFD">
            <w:pPr>
              <w:spacing w:before="65" w:line="228" w:lineRule="auto"/>
              <w:ind w:left="112"/>
              <w:rPr>
                <w:rFonts w:ascii="宋体" w:hAnsi="宋体" w:eastAsia="宋体" w:cs="宋体"/>
                <w:color w:val="auto"/>
                <w:sz w:val="24"/>
                <w:szCs w:val="24"/>
              </w:rPr>
            </w:pPr>
            <w:r>
              <w:rPr>
                <w:rFonts w:ascii="宋体" w:hAnsi="宋体" w:eastAsia="宋体" w:cs="宋体"/>
                <w:color w:val="auto"/>
                <w:spacing w:val="8"/>
                <w:sz w:val="24"/>
                <w:szCs w:val="24"/>
              </w:rPr>
              <w:t>每缺一项，扣1分</w:t>
            </w:r>
          </w:p>
        </w:tc>
        <w:tc>
          <w:tcPr>
            <w:tcW w:w="1350" w:type="dxa"/>
            <w:vAlign w:val="top"/>
          </w:tcPr>
          <w:p w14:paraId="1D2CE9CB">
            <w:pPr>
              <w:rPr>
                <w:rFonts w:ascii="Arial"/>
                <w:color w:val="auto"/>
                <w:sz w:val="24"/>
                <w:szCs w:val="24"/>
              </w:rPr>
            </w:pPr>
          </w:p>
        </w:tc>
      </w:tr>
      <w:tr w14:paraId="21F9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600" w:type="dxa"/>
            <w:vMerge w:val="continue"/>
            <w:tcBorders>
              <w:top w:val="nil"/>
              <w:bottom w:val="nil"/>
            </w:tcBorders>
            <w:vAlign w:val="top"/>
          </w:tcPr>
          <w:p w14:paraId="7F5479C5">
            <w:pPr>
              <w:jc w:val="center"/>
              <w:rPr>
                <w:rFonts w:ascii="Arial"/>
                <w:color w:val="auto"/>
                <w:sz w:val="24"/>
                <w:szCs w:val="24"/>
              </w:rPr>
            </w:pPr>
          </w:p>
        </w:tc>
        <w:tc>
          <w:tcPr>
            <w:tcW w:w="2025" w:type="dxa"/>
            <w:gridSpan w:val="2"/>
            <w:vAlign w:val="top"/>
          </w:tcPr>
          <w:p w14:paraId="5570BC69">
            <w:pPr>
              <w:spacing w:line="309" w:lineRule="auto"/>
              <w:jc w:val="center"/>
              <w:rPr>
                <w:rFonts w:ascii="Arial"/>
                <w:color w:val="auto"/>
                <w:sz w:val="24"/>
                <w:szCs w:val="24"/>
              </w:rPr>
            </w:pPr>
          </w:p>
          <w:p w14:paraId="58B0C8FC">
            <w:pPr>
              <w:spacing w:before="65" w:line="228" w:lineRule="auto"/>
              <w:ind w:left="121"/>
              <w:jc w:val="center"/>
              <w:rPr>
                <w:rFonts w:ascii="宋体" w:hAnsi="宋体" w:eastAsia="宋体" w:cs="宋体"/>
                <w:color w:val="auto"/>
                <w:sz w:val="24"/>
                <w:szCs w:val="24"/>
              </w:rPr>
            </w:pPr>
            <w:r>
              <w:rPr>
                <w:rFonts w:ascii="宋体" w:hAnsi="宋体" w:eastAsia="宋体" w:cs="宋体"/>
                <w:color w:val="auto"/>
                <w:spacing w:val="5"/>
                <w:sz w:val="24"/>
                <w:szCs w:val="24"/>
              </w:rPr>
              <w:t>（台帐管理）</w:t>
            </w:r>
          </w:p>
        </w:tc>
        <w:tc>
          <w:tcPr>
            <w:tcW w:w="2512" w:type="dxa"/>
            <w:vAlign w:val="top"/>
          </w:tcPr>
          <w:p w14:paraId="0A447374">
            <w:pPr>
              <w:spacing w:before="101" w:line="253" w:lineRule="auto"/>
              <w:ind w:left="116" w:right="192" w:hanging="2"/>
              <w:jc w:val="both"/>
              <w:rPr>
                <w:rFonts w:ascii="宋体" w:hAnsi="宋体" w:eastAsia="宋体" w:cs="宋体"/>
                <w:color w:val="auto"/>
                <w:sz w:val="24"/>
                <w:szCs w:val="24"/>
              </w:rPr>
            </w:pPr>
            <w:r>
              <w:rPr>
                <w:rFonts w:ascii="宋体" w:hAnsi="宋体" w:eastAsia="宋体" w:cs="宋体"/>
                <w:color w:val="auto"/>
                <w:spacing w:val="8"/>
                <w:sz w:val="24"/>
                <w:szCs w:val="24"/>
              </w:rPr>
              <w:t>建立巡视制度，巡查到位，</w:t>
            </w:r>
            <w:r>
              <w:rPr>
                <w:rFonts w:ascii="宋体" w:hAnsi="宋体" w:eastAsia="宋体" w:cs="宋体"/>
                <w:color w:val="auto"/>
                <w:spacing w:val="10"/>
                <w:sz w:val="24"/>
                <w:szCs w:val="24"/>
              </w:rPr>
              <w:t xml:space="preserve"> </w:t>
            </w:r>
            <w:r>
              <w:rPr>
                <w:rFonts w:ascii="宋体" w:hAnsi="宋体" w:eastAsia="宋体" w:cs="宋体"/>
                <w:color w:val="auto"/>
                <w:spacing w:val="8"/>
                <w:sz w:val="24"/>
                <w:szCs w:val="24"/>
              </w:rPr>
              <w:t>定期上报日巡视及检查记录</w:t>
            </w:r>
            <w:r>
              <w:rPr>
                <w:rFonts w:ascii="宋体" w:hAnsi="宋体" w:eastAsia="宋体" w:cs="宋体"/>
                <w:color w:val="auto"/>
                <w:spacing w:val="7"/>
                <w:sz w:val="24"/>
                <w:szCs w:val="24"/>
              </w:rPr>
              <w:t xml:space="preserve"> </w:t>
            </w:r>
            <w:r>
              <w:rPr>
                <w:rFonts w:ascii="宋体" w:hAnsi="宋体" w:eastAsia="宋体" w:cs="宋体"/>
                <w:color w:val="auto"/>
                <w:spacing w:val="4"/>
                <w:sz w:val="24"/>
                <w:szCs w:val="24"/>
              </w:rPr>
              <w:t>。（3分）</w:t>
            </w:r>
          </w:p>
        </w:tc>
        <w:tc>
          <w:tcPr>
            <w:tcW w:w="3233" w:type="dxa"/>
            <w:vAlign w:val="top"/>
          </w:tcPr>
          <w:p w14:paraId="6EB01A91">
            <w:pPr>
              <w:spacing w:line="309" w:lineRule="auto"/>
              <w:rPr>
                <w:rFonts w:ascii="Arial"/>
                <w:color w:val="auto"/>
                <w:sz w:val="24"/>
                <w:szCs w:val="24"/>
              </w:rPr>
            </w:pPr>
          </w:p>
          <w:p w14:paraId="696B95E5">
            <w:pPr>
              <w:spacing w:before="65" w:line="228" w:lineRule="auto"/>
              <w:ind w:left="112"/>
              <w:rPr>
                <w:rFonts w:ascii="宋体" w:hAnsi="宋体" w:eastAsia="宋体" w:cs="宋体"/>
                <w:color w:val="auto"/>
                <w:sz w:val="24"/>
                <w:szCs w:val="24"/>
              </w:rPr>
            </w:pPr>
            <w:r>
              <w:rPr>
                <w:rFonts w:ascii="宋体" w:hAnsi="宋体" w:eastAsia="宋体" w:cs="宋体"/>
                <w:color w:val="auto"/>
                <w:spacing w:val="8"/>
                <w:sz w:val="24"/>
                <w:szCs w:val="24"/>
              </w:rPr>
              <w:t>每缺一项，扣1分</w:t>
            </w:r>
          </w:p>
        </w:tc>
        <w:tc>
          <w:tcPr>
            <w:tcW w:w="1350" w:type="dxa"/>
            <w:vAlign w:val="top"/>
          </w:tcPr>
          <w:p w14:paraId="0399668C">
            <w:pPr>
              <w:rPr>
                <w:rFonts w:ascii="Arial"/>
                <w:color w:val="auto"/>
                <w:sz w:val="24"/>
                <w:szCs w:val="24"/>
              </w:rPr>
            </w:pPr>
          </w:p>
        </w:tc>
      </w:tr>
      <w:tr w14:paraId="17E02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600" w:type="dxa"/>
            <w:vMerge w:val="continue"/>
            <w:tcBorders>
              <w:top w:val="nil"/>
            </w:tcBorders>
            <w:vAlign w:val="top"/>
          </w:tcPr>
          <w:p w14:paraId="5B2F6CC0">
            <w:pPr>
              <w:jc w:val="center"/>
              <w:rPr>
                <w:rFonts w:ascii="Arial"/>
                <w:color w:val="auto"/>
                <w:sz w:val="24"/>
                <w:szCs w:val="24"/>
              </w:rPr>
            </w:pPr>
          </w:p>
        </w:tc>
        <w:tc>
          <w:tcPr>
            <w:tcW w:w="2025" w:type="dxa"/>
            <w:gridSpan w:val="2"/>
            <w:vAlign w:val="top"/>
          </w:tcPr>
          <w:p w14:paraId="6B0FCAF9">
            <w:pPr>
              <w:spacing w:line="254" w:lineRule="auto"/>
              <w:jc w:val="center"/>
              <w:rPr>
                <w:rFonts w:ascii="Arial"/>
                <w:color w:val="auto"/>
                <w:sz w:val="24"/>
                <w:szCs w:val="24"/>
              </w:rPr>
            </w:pPr>
          </w:p>
          <w:p w14:paraId="3D1A9406">
            <w:pPr>
              <w:spacing w:before="65" w:line="229" w:lineRule="auto"/>
              <w:ind w:left="121"/>
              <w:jc w:val="center"/>
              <w:rPr>
                <w:rFonts w:ascii="宋体" w:hAnsi="宋体" w:eastAsia="宋体" w:cs="宋体"/>
                <w:color w:val="auto"/>
                <w:sz w:val="24"/>
                <w:szCs w:val="24"/>
              </w:rPr>
            </w:pPr>
            <w:r>
              <w:rPr>
                <w:rFonts w:ascii="宋体" w:hAnsi="宋体" w:eastAsia="宋体" w:cs="宋体"/>
                <w:color w:val="auto"/>
                <w:spacing w:val="2"/>
                <w:sz w:val="24"/>
                <w:szCs w:val="24"/>
              </w:rPr>
              <w:t>（10分）</w:t>
            </w:r>
          </w:p>
        </w:tc>
        <w:tc>
          <w:tcPr>
            <w:tcW w:w="2512" w:type="dxa"/>
            <w:vAlign w:val="top"/>
          </w:tcPr>
          <w:p w14:paraId="14090656">
            <w:pPr>
              <w:spacing w:before="186" w:line="252" w:lineRule="auto"/>
              <w:ind w:left="131" w:right="192" w:hanging="19"/>
              <w:rPr>
                <w:rFonts w:ascii="宋体" w:hAnsi="宋体" w:eastAsia="宋体" w:cs="宋体"/>
                <w:color w:val="auto"/>
                <w:sz w:val="24"/>
                <w:szCs w:val="24"/>
              </w:rPr>
            </w:pPr>
            <w:r>
              <w:rPr>
                <w:rFonts w:ascii="宋体" w:hAnsi="宋体" w:eastAsia="宋体" w:cs="宋体"/>
                <w:color w:val="auto"/>
                <w:spacing w:val="8"/>
                <w:sz w:val="24"/>
                <w:szCs w:val="24"/>
              </w:rPr>
              <w:t>联系人保持24小时通讯畅通</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。（2分）</w:t>
            </w:r>
          </w:p>
        </w:tc>
        <w:tc>
          <w:tcPr>
            <w:tcW w:w="3233" w:type="dxa"/>
            <w:vAlign w:val="top"/>
          </w:tcPr>
          <w:p w14:paraId="380338FD">
            <w:pPr>
              <w:spacing w:line="254" w:lineRule="auto"/>
              <w:rPr>
                <w:rFonts w:ascii="Arial"/>
                <w:color w:val="auto"/>
                <w:sz w:val="24"/>
                <w:szCs w:val="24"/>
              </w:rPr>
            </w:pPr>
          </w:p>
          <w:p w14:paraId="5DE080B2">
            <w:pPr>
              <w:spacing w:before="65" w:line="228" w:lineRule="auto"/>
              <w:ind w:left="114"/>
              <w:rPr>
                <w:rFonts w:ascii="宋体" w:hAnsi="宋体" w:eastAsia="宋体" w:cs="宋体"/>
                <w:color w:val="auto"/>
                <w:sz w:val="24"/>
                <w:szCs w:val="24"/>
              </w:rPr>
            </w:pPr>
            <w:r>
              <w:rPr>
                <w:rFonts w:ascii="宋体" w:hAnsi="宋体" w:eastAsia="宋体" w:cs="宋体"/>
                <w:color w:val="auto"/>
                <w:spacing w:val="9"/>
                <w:sz w:val="24"/>
                <w:szCs w:val="24"/>
              </w:rPr>
              <w:t>无法联系一小时以上，每发现一次扣1分</w:t>
            </w:r>
          </w:p>
        </w:tc>
        <w:tc>
          <w:tcPr>
            <w:tcW w:w="1350" w:type="dxa"/>
            <w:vAlign w:val="top"/>
          </w:tcPr>
          <w:p w14:paraId="7DC0A213">
            <w:pPr>
              <w:rPr>
                <w:rFonts w:ascii="Arial"/>
                <w:color w:val="auto"/>
                <w:sz w:val="24"/>
                <w:szCs w:val="24"/>
              </w:rPr>
            </w:pPr>
          </w:p>
        </w:tc>
      </w:tr>
      <w:tr w14:paraId="391E0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600" w:type="dxa"/>
            <w:vMerge w:val="restart"/>
            <w:tcBorders>
              <w:bottom w:val="nil"/>
            </w:tcBorders>
            <w:vAlign w:val="top"/>
          </w:tcPr>
          <w:p w14:paraId="0F0045D5">
            <w:pPr>
              <w:spacing w:line="255" w:lineRule="auto"/>
              <w:jc w:val="center"/>
              <w:rPr>
                <w:rFonts w:ascii="Arial"/>
                <w:color w:val="auto"/>
                <w:sz w:val="24"/>
                <w:szCs w:val="24"/>
              </w:rPr>
            </w:pPr>
          </w:p>
          <w:p w14:paraId="1A9A9700">
            <w:pPr>
              <w:spacing w:line="255" w:lineRule="auto"/>
              <w:jc w:val="center"/>
              <w:rPr>
                <w:rFonts w:ascii="Arial"/>
                <w:color w:val="auto"/>
                <w:sz w:val="24"/>
                <w:szCs w:val="24"/>
              </w:rPr>
            </w:pPr>
          </w:p>
          <w:p w14:paraId="0D1D0F01">
            <w:pPr>
              <w:spacing w:line="255" w:lineRule="auto"/>
              <w:jc w:val="center"/>
              <w:rPr>
                <w:rFonts w:ascii="Arial"/>
                <w:color w:val="auto"/>
                <w:sz w:val="24"/>
                <w:szCs w:val="24"/>
              </w:rPr>
            </w:pPr>
          </w:p>
          <w:p w14:paraId="64544A8B">
            <w:pPr>
              <w:spacing w:line="255" w:lineRule="auto"/>
              <w:jc w:val="center"/>
              <w:rPr>
                <w:rFonts w:ascii="Arial"/>
                <w:color w:val="auto"/>
                <w:sz w:val="24"/>
                <w:szCs w:val="24"/>
              </w:rPr>
            </w:pPr>
          </w:p>
          <w:p w14:paraId="0880D25E">
            <w:pPr>
              <w:spacing w:line="255" w:lineRule="auto"/>
              <w:jc w:val="center"/>
              <w:rPr>
                <w:rFonts w:ascii="Arial"/>
                <w:color w:val="auto"/>
                <w:sz w:val="24"/>
                <w:szCs w:val="24"/>
              </w:rPr>
            </w:pPr>
          </w:p>
          <w:p w14:paraId="717C32B4">
            <w:pPr>
              <w:spacing w:line="255" w:lineRule="auto"/>
              <w:jc w:val="center"/>
              <w:rPr>
                <w:rFonts w:ascii="Arial"/>
                <w:color w:val="auto"/>
                <w:sz w:val="24"/>
                <w:szCs w:val="24"/>
              </w:rPr>
            </w:pPr>
          </w:p>
          <w:p w14:paraId="5ADC6D26">
            <w:pPr>
              <w:spacing w:line="255" w:lineRule="auto"/>
              <w:jc w:val="center"/>
              <w:rPr>
                <w:rFonts w:ascii="Arial"/>
                <w:color w:val="auto"/>
                <w:sz w:val="24"/>
                <w:szCs w:val="24"/>
              </w:rPr>
            </w:pPr>
          </w:p>
          <w:p w14:paraId="417A81F5">
            <w:pPr>
              <w:spacing w:line="255" w:lineRule="auto"/>
              <w:jc w:val="center"/>
              <w:rPr>
                <w:rFonts w:ascii="Arial"/>
                <w:color w:val="auto"/>
                <w:sz w:val="24"/>
                <w:szCs w:val="24"/>
              </w:rPr>
            </w:pPr>
          </w:p>
          <w:p w14:paraId="4FA88461">
            <w:pPr>
              <w:spacing w:line="255" w:lineRule="auto"/>
              <w:jc w:val="center"/>
              <w:rPr>
                <w:rFonts w:ascii="Arial"/>
                <w:color w:val="auto"/>
                <w:sz w:val="24"/>
                <w:szCs w:val="24"/>
              </w:rPr>
            </w:pPr>
          </w:p>
          <w:p w14:paraId="36555A49">
            <w:pPr>
              <w:spacing w:line="255" w:lineRule="auto"/>
              <w:jc w:val="center"/>
              <w:rPr>
                <w:rFonts w:ascii="Arial"/>
                <w:color w:val="auto"/>
                <w:sz w:val="24"/>
                <w:szCs w:val="24"/>
              </w:rPr>
            </w:pPr>
          </w:p>
          <w:p w14:paraId="7349D73D">
            <w:pPr>
              <w:spacing w:line="255" w:lineRule="auto"/>
              <w:jc w:val="center"/>
              <w:rPr>
                <w:rFonts w:ascii="Arial"/>
                <w:color w:val="auto"/>
                <w:sz w:val="24"/>
                <w:szCs w:val="24"/>
              </w:rPr>
            </w:pPr>
          </w:p>
          <w:p w14:paraId="49BB41E8">
            <w:pPr>
              <w:spacing w:line="255" w:lineRule="auto"/>
              <w:jc w:val="center"/>
              <w:rPr>
                <w:rFonts w:ascii="Arial"/>
                <w:color w:val="auto"/>
                <w:sz w:val="24"/>
                <w:szCs w:val="24"/>
              </w:rPr>
            </w:pPr>
          </w:p>
          <w:p w14:paraId="0E640A03">
            <w:pPr>
              <w:spacing w:line="255" w:lineRule="auto"/>
              <w:jc w:val="center"/>
              <w:rPr>
                <w:rFonts w:ascii="Arial"/>
                <w:color w:val="auto"/>
                <w:sz w:val="24"/>
                <w:szCs w:val="24"/>
              </w:rPr>
            </w:pPr>
          </w:p>
          <w:p w14:paraId="2E1489DE">
            <w:pPr>
              <w:spacing w:line="255" w:lineRule="auto"/>
              <w:jc w:val="center"/>
              <w:rPr>
                <w:rFonts w:ascii="Arial"/>
                <w:color w:val="auto"/>
                <w:sz w:val="24"/>
                <w:szCs w:val="24"/>
              </w:rPr>
            </w:pPr>
          </w:p>
          <w:p w14:paraId="6AA7C633">
            <w:pPr>
              <w:spacing w:before="65" w:line="183" w:lineRule="auto"/>
              <w:ind w:left="118"/>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975" w:type="dxa"/>
            <w:vMerge w:val="restart"/>
            <w:tcBorders>
              <w:bottom w:val="nil"/>
            </w:tcBorders>
            <w:vAlign w:val="top"/>
          </w:tcPr>
          <w:p w14:paraId="19E9CA08">
            <w:pPr>
              <w:jc w:val="center"/>
              <w:rPr>
                <w:rFonts w:ascii="Arial"/>
                <w:color w:val="auto"/>
                <w:sz w:val="24"/>
                <w:szCs w:val="24"/>
              </w:rPr>
            </w:pPr>
          </w:p>
          <w:p w14:paraId="0B0C2855">
            <w:pPr>
              <w:jc w:val="center"/>
              <w:rPr>
                <w:rFonts w:ascii="Arial"/>
                <w:color w:val="auto"/>
                <w:sz w:val="24"/>
                <w:szCs w:val="24"/>
              </w:rPr>
            </w:pPr>
          </w:p>
          <w:p w14:paraId="0DD54B01">
            <w:pPr>
              <w:jc w:val="center"/>
              <w:rPr>
                <w:rFonts w:ascii="Arial"/>
                <w:color w:val="auto"/>
                <w:sz w:val="24"/>
                <w:szCs w:val="24"/>
              </w:rPr>
            </w:pPr>
          </w:p>
          <w:p w14:paraId="1EF55E6A">
            <w:pPr>
              <w:jc w:val="center"/>
              <w:rPr>
                <w:rFonts w:ascii="Arial"/>
                <w:color w:val="auto"/>
                <w:sz w:val="24"/>
                <w:szCs w:val="24"/>
              </w:rPr>
            </w:pPr>
          </w:p>
          <w:p w14:paraId="3BAFB2D5">
            <w:pPr>
              <w:jc w:val="center"/>
              <w:rPr>
                <w:rFonts w:ascii="Arial"/>
                <w:color w:val="auto"/>
                <w:sz w:val="24"/>
                <w:szCs w:val="24"/>
              </w:rPr>
            </w:pPr>
          </w:p>
          <w:p w14:paraId="22F5AE08">
            <w:pPr>
              <w:jc w:val="center"/>
              <w:rPr>
                <w:rFonts w:ascii="Arial"/>
                <w:color w:val="auto"/>
                <w:sz w:val="24"/>
                <w:szCs w:val="24"/>
              </w:rPr>
            </w:pPr>
          </w:p>
          <w:p w14:paraId="0AA47CC1">
            <w:pPr>
              <w:jc w:val="center"/>
              <w:rPr>
                <w:rFonts w:ascii="Arial"/>
                <w:color w:val="auto"/>
                <w:sz w:val="24"/>
                <w:szCs w:val="24"/>
              </w:rPr>
            </w:pPr>
          </w:p>
          <w:p w14:paraId="51CE9CF0">
            <w:pPr>
              <w:jc w:val="center"/>
              <w:rPr>
                <w:rFonts w:ascii="Arial"/>
                <w:color w:val="auto"/>
                <w:sz w:val="24"/>
                <w:szCs w:val="24"/>
              </w:rPr>
            </w:pPr>
          </w:p>
          <w:p w14:paraId="3D811DB6">
            <w:pPr>
              <w:spacing w:line="241" w:lineRule="auto"/>
              <w:jc w:val="center"/>
              <w:rPr>
                <w:rFonts w:ascii="Arial"/>
                <w:color w:val="auto"/>
                <w:sz w:val="24"/>
                <w:szCs w:val="24"/>
              </w:rPr>
            </w:pPr>
          </w:p>
          <w:p w14:paraId="3CABDB81">
            <w:pPr>
              <w:spacing w:line="241" w:lineRule="auto"/>
              <w:jc w:val="center"/>
              <w:rPr>
                <w:rFonts w:ascii="Arial"/>
                <w:color w:val="auto"/>
                <w:sz w:val="24"/>
                <w:szCs w:val="24"/>
              </w:rPr>
            </w:pPr>
          </w:p>
          <w:p w14:paraId="2EA7C9E3">
            <w:pPr>
              <w:spacing w:line="241" w:lineRule="auto"/>
              <w:jc w:val="center"/>
              <w:rPr>
                <w:rFonts w:ascii="Arial"/>
                <w:color w:val="auto"/>
                <w:sz w:val="24"/>
                <w:szCs w:val="24"/>
              </w:rPr>
            </w:pPr>
          </w:p>
          <w:p w14:paraId="6B9A4196">
            <w:pPr>
              <w:spacing w:line="241" w:lineRule="auto"/>
              <w:jc w:val="center"/>
              <w:rPr>
                <w:rFonts w:ascii="Arial"/>
                <w:color w:val="auto"/>
                <w:sz w:val="24"/>
                <w:szCs w:val="24"/>
              </w:rPr>
            </w:pPr>
          </w:p>
          <w:p w14:paraId="7EB2E0FB">
            <w:pPr>
              <w:spacing w:line="241" w:lineRule="auto"/>
              <w:jc w:val="center"/>
              <w:rPr>
                <w:rFonts w:ascii="Arial"/>
                <w:color w:val="auto"/>
                <w:sz w:val="24"/>
                <w:szCs w:val="24"/>
              </w:rPr>
            </w:pPr>
          </w:p>
          <w:p w14:paraId="4ABBCE6E">
            <w:pPr>
              <w:spacing w:before="65" w:line="229" w:lineRule="auto"/>
              <w:ind w:left="146"/>
              <w:jc w:val="both"/>
              <w:rPr>
                <w:rFonts w:ascii="宋体" w:hAnsi="宋体" w:eastAsia="宋体" w:cs="宋体"/>
                <w:color w:val="auto"/>
                <w:sz w:val="24"/>
                <w:szCs w:val="24"/>
              </w:rPr>
            </w:pPr>
            <w:r>
              <w:rPr>
                <w:rFonts w:ascii="宋体" w:hAnsi="宋体" w:eastAsia="宋体" w:cs="宋体"/>
                <w:color w:val="auto"/>
                <w:spacing w:val="-14"/>
                <w:sz w:val="24"/>
                <w:szCs w:val="24"/>
              </w:rPr>
              <w:t>日常</w:t>
            </w:r>
          </w:p>
          <w:p w14:paraId="22A58AA3">
            <w:pPr>
              <w:spacing w:before="21" w:line="253" w:lineRule="auto"/>
              <w:ind w:left="113" w:right="298"/>
              <w:jc w:val="center"/>
              <w:rPr>
                <w:rFonts w:ascii="宋体" w:hAnsi="宋体" w:eastAsia="宋体" w:cs="宋体"/>
                <w:color w:val="auto"/>
                <w:sz w:val="24"/>
                <w:szCs w:val="24"/>
              </w:rPr>
            </w:pPr>
            <w:r>
              <w:rPr>
                <w:rFonts w:ascii="宋体" w:hAnsi="宋体" w:eastAsia="宋体" w:cs="宋体"/>
                <w:color w:val="auto"/>
                <w:spacing w:val="3"/>
                <w:sz w:val="24"/>
                <w:szCs w:val="24"/>
              </w:rPr>
              <w:t>工作</w:t>
            </w:r>
            <w:r>
              <w:rPr>
                <w:rFonts w:ascii="宋体" w:hAnsi="宋体" w:eastAsia="宋体" w:cs="宋体"/>
                <w:color w:val="auto"/>
                <w:sz w:val="24"/>
                <w:szCs w:val="24"/>
              </w:rPr>
              <w:t xml:space="preserve"> </w:t>
            </w:r>
            <w:r>
              <w:rPr>
                <w:rFonts w:ascii="宋体" w:hAnsi="宋体" w:eastAsia="宋体" w:cs="宋体"/>
                <w:color w:val="auto"/>
                <w:spacing w:val="3"/>
                <w:sz w:val="24"/>
                <w:szCs w:val="24"/>
              </w:rPr>
              <w:t>（50</w:t>
            </w:r>
            <w:r>
              <w:rPr>
                <w:rFonts w:ascii="宋体" w:hAnsi="宋体" w:eastAsia="宋体" w:cs="宋体"/>
                <w:color w:val="auto"/>
                <w:sz w:val="24"/>
                <w:szCs w:val="24"/>
              </w:rPr>
              <w:t xml:space="preserve"> </w:t>
            </w:r>
            <w:r>
              <w:rPr>
                <w:rFonts w:ascii="宋体" w:hAnsi="宋体" w:eastAsia="宋体" w:cs="宋体"/>
                <w:color w:val="auto"/>
                <w:spacing w:val="-1"/>
                <w:sz w:val="24"/>
                <w:szCs w:val="24"/>
              </w:rPr>
              <w:t>分）</w:t>
            </w:r>
          </w:p>
        </w:tc>
        <w:tc>
          <w:tcPr>
            <w:tcW w:w="1050" w:type="dxa"/>
            <w:vMerge w:val="restart"/>
            <w:tcBorders>
              <w:bottom w:val="nil"/>
            </w:tcBorders>
            <w:vAlign w:val="top"/>
          </w:tcPr>
          <w:p w14:paraId="6638F486">
            <w:pPr>
              <w:spacing w:line="326" w:lineRule="auto"/>
              <w:jc w:val="center"/>
              <w:rPr>
                <w:rFonts w:ascii="Arial"/>
                <w:color w:val="auto"/>
                <w:sz w:val="24"/>
                <w:szCs w:val="24"/>
              </w:rPr>
            </w:pPr>
          </w:p>
          <w:p w14:paraId="4E022BC8">
            <w:pPr>
              <w:spacing w:line="327" w:lineRule="auto"/>
              <w:jc w:val="center"/>
              <w:rPr>
                <w:rFonts w:ascii="Arial"/>
                <w:color w:val="auto"/>
                <w:sz w:val="24"/>
                <w:szCs w:val="24"/>
              </w:rPr>
            </w:pPr>
          </w:p>
          <w:p w14:paraId="59EC387C">
            <w:pPr>
              <w:spacing w:before="65" w:line="251" w:lineRule="auto"/>
              <w:ind w:left="112" w:right="137" w:hanging="2"/>
              <w:jc w:val="center"/>
              <w:rPr>
                <w:rFonts w:ascii="宋体" w:hAnsi="宋体" w:eastAsia="宋体" w:cs="宋体"/>
                <w:color w:val="auto"/>
                <w:sz w:val="24"/>
                <w:szCs w:val="24"/>
              </w:rPr>
            </w:pPr>
            <w:r>
              <w:rPr>
                <w:rFonts w:ascii="宋体" w:hAnsi="宋体" w:eastAsia="宋体" w:cs="宋体"/>
                <w:color w:val="auto"/>
                <w:spacing w:val="7"/>
                <w:sz w:val="24"/>
                <w:szCs w:val="24"/>
              </w:rPr>
              <w:t>亮灯情</w:t>
            </w:r>
            <w:r>
              <w:rPr>
                <w:rFonts w:ascii="宋体" w:hAnsi="宋体" w:eastAsia="宋体" w:cs="宋体"/>
                <w:color w:val="auto"/>
                <w:sz w:val="24"/>
                <w:szCs w:val="24"/>
              </w:rPr>
              <w:t xml:space="preserve"> </w:t>
            </w:r>
            <w:r>
              <w:rPr>
                <w:rFonts w:ascii="宋体" w:hAnsi="宋体" w:eastAsia="宋体" w:cs="宋体"/>
                <w:color w:val="auto"/>
                <w:spacing w:val="5"/>
                <w:sz w:val="24"/>
                <w:szCs w:val="24"/>
              </w:rPr>
              <w:t>况（25</w:t>
            </w:r>
            <w:r>
              <w:rPr>
                <w:rFonts w:ascii="宋体" w:hAnsi="宋体" w:eastAsia="宋体" w:cs="宋体"/>
                <w:color w:val="auto"/>
                <w:sz w:val="24"/>
                <w:szCs w:val="24"/>
              </w:rPr>
              <w:t xml:space="preserve"> </w:t>
            </w:r>
            <w:r>
              <w:rPr>
                <w:rFonts w:ascii="宋体" w:hAnsi="宋体" w:eastAsia="宋体" w:cs="宋体"/>
                <w:color w:val="auto"/>
                <w:spacing w:val="-1"/>
                <w:sz w:val="24"/>
                <w:szCs w:val="24"/>
              </w:rPr>
              <w:t>分）</w:t>
            </w:r>
          </w:p>
        </w:tc>
        <w:tc>
          <w:tcPr>
            <w:tcW w:w="2512" w:type="dxa"/>
            <w:vAlign w:val="top"/>
          </w:tcPr>
          <w:p w14:paraId="46A2955C">
            <w:pPr>
              <w:spacing w:line="323" w:lineRule="auto"/>
              <w:jc w:val="center"/>
              <w:rPr>
                <w:rFonts w:ascii="Arial"/>
                <w:color w:val="auto"/>
                <w:sz w:val="24"/>
                <w:szCs w:val="24"/>
              </w:rPr>
            </w:pPr>
          </w:p>
          <w:p w14:paraId="5577E2EA">
            <w:pPr>
              <w:spacing w:line="324" w:lineRule="auto"/>
              <w:jc w:val="center"/>
              <w:rPr>
                <w:rFonts w:ascii="Arial"/>
                <w:color w:val="auto"/>
                <w:sz w:val="24"/>
                <w:szCs w:val="24"/>
              </w:rPr>
            </w:pPr>
          </w:p>
          <w:p w14:paraId="5C27324C">
            <w:pPr>
              <w:spacing w:before="65" w:line="228" w:lineRule="auto"/>
              <w:ind w:left="113"/>
              <w:jc w:val="center"/>
              <w:rPr>
                <w:rFonts w:ascii="宋体" w:hAnsi="宋体" w:eastAsia="宋体" w:cs="宋体"/>
                <w:color w:val="auto"/>
                <w:sz w:val="24"/>
                <w:szCs w:val="24"/>
              </w:rPr>
            </w:pPr>
            <w:r>
              <w:rPr>
                <w:rFonts w:ascii="宋体" w:hAnsi="宋体" w:eastAsia="宋体" w:cs="宋体"/>
                <w:color w:val="auto"/>
                <w:spacing w:val="7"/>
                <w:sz w:val="24"/>
                <w:szCs w:val="24"/>
              </w:rPr>
              <w:t>路灯不亮。（20分）</w:t>
            </w:r>
          </w:p>
        </w:tc>
        <w:tc>
          <w:tcPr>
            <w:tcW w:w="3233" w:type="dxa"/>
            <w:vAlign w:val="top"/>
          </w:tcPr>
          <w:p w14:paraId="1AF63FD1">
            <w:pPr>
              <w:spacing w:before="3" w:line="251" w:lineRule="auto"/>
              <w:ind w:left="115" w:right="186"/>
              <w:rPr>
                <w:rFonts w:ascii="宋体" w:hAnsi="宋体" w:eastAsia="宋体" w:cs="宋体"/>
                <w:color w:val="auto"/>
                <w:sz w:val="24"/>
                <w:szCs w:val="24"/>
              </w:rPr>
            </w:pPr>
            <w:r>
              <w:rPr>
                <w:rFonts w:ascii="宋体" w:hAnsi="宋体" w:eastAsia="宋体" w:cs="宋体"/>
                <w:color w:val="auto"/>
                <w:spacing w:val="8"/>
                <w:sz w:val="24"/>
                <w:szCs w:val="24"/>
              </w:rPr>
              <w:t>一个表区路灯不亮</w:t>
            </w:r>
            <w:r>
              <w:rPr>
                <w:rFonts w:hint="eastAsia" w:ascii="宋体" w:hAnsi="宋体" w:eastAsia="宋体" w:cs="宋体"/>
                <w:color w:val="auto"/>
                <w:spacing w:val="8"/>
                <w:sz w:val="24"/>
                <w:szCs w:val="24"/>
                <w:lang w:eastAsia="zh-CN"/>
              </w:rPr>
              <w:t>或</w:t>
            </w:r>
            <w:r>
              <w:rPr>
                <w:rFonts w:hint="eastAsia" w:ascii="宋体" w:hAnsi="宋体" w:eastAsia="宋体" w:cs="宋体"/>
                <w:color w:val="auto"/>
                <w:spacing w:val="8"/>
                <w:sz w:val="24"/>
                <w:szCs w:val="24"/>
                <w:lang w:val="en-US" w:eastAsia="zh-CN"/>
              </w:rPr>
              <w:t>过暗，</w:t>
            </w:r>
            <w:r>
              <w:rPr>
                <w:rFonts w:ascii="宋体" w:hAnsi="宋体" w:eastAsia="宋体" w:cs="宋体"/>
                <w:color w:val="auto"/>
                <w:spacing w:val="8"/>
                <w:sz w:val="24"/>
                <w:szCs w:val="24"/>
              </w:rPr>
              <w:t>未整改，扣1 分；一个片区路灯不亮未整改，扣3分。</w:t>
            </w:r>
          </w:p>
          <w:p w14:paraId="2449CEA3">
            <w:pPr>
              <w:spacing w:before="3" w:line="251" w:lineRule="auto"/>
              <w:ind w:left="115" w:right="186"/>
              <w:rPr>
                <w:rFonts w:ascii="宋体" w:hAnsi="宋体" w:eastAsia="宋体" w:cs="宋体"/>
                <w:color w:val="auto"/>
                <w:spacing w:val="8"/>
                <w:sz w:val="24"/>
                <w:szCs w:val="24"/>
              </w:rPr>
            </w:pPr>
            <w:r>
              <w:rPr>
                <w:rFonts w:ascii="宋体" w:hAnsi="宋体" w:eastAsia="宋体" w:cs="宋体"/>
                <w:color w:val="auto"/>
                <w:spacing w:val="8"/>
                <w:sz w:val="24"/>
                <w:szCs w:val="24"/>
              </w:rPr>
              <w:t>高杆灯、参观路线路灯未整改扣分罚款加倍。</w:t>
            </w:r>
          </w:p>
          <w:p w14:paraId="11B87724">
            <w:pPr>
              <w:spacing w:before="3" w:line="251" w:lineRule="auto"/>
              <w:ind w:left="115" w:right="186"/>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项目实施亮灯率大于或等于98%，本项得满分；每低1个百分点扣0.5分。</w:t>
            </w:r>
          </w:p>
          <w:p w14:paraId="1810EE00">
            <w:pPr>
              <w:spacing w:before="3" w:line="251" w:lineRule="auto"/>
              <w:ind w:left="115" w:right="186"/>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亮灯率=（总的路灯盏数-灭灯数）/总的路灯盏数。经采购人确认的不亮灯、高压设施故障、市政建设影响亮灯的情况不列入亮灯率考评。</w:t>
            </w:r>
          </w:p>
          <w:p w14:paraId="1FAB61DB">
            <w:pPr>
              <w:spacing w:before="3" w:line="251" w:lineRule="auto"/>
              <w:ind w:left="115" w:right="186"/>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机动车交通道路照明国家标准：</w:t>
            </w:r>
          </w:p>
          <w:p w14:paraId="7BCBE476">
            <w:pPr>
              <w:spacing w:before="3" w:line="251" w:lineRule="auto"/>
              <w:ind w:left="115" w:right="186"/>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1、主干路20~30Lux；</w:t>
            </w:r>
          </w:p>
          <w:p w14:paraId="66F3B870">
            <w:pPr>
              <w:spacing w:before="3" w:line="251" w:lineRule="auto"/>
              <w:ind w:left="115" w:right="186"/>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2、次干路15~20Lux</w:t>
            </w:r>
          </w:p>
          <w:p w14:paraId="3FD22FDB">
            <w:pPr>
              <w:spacing w:before="3" w:line="251" w:lineRule="auto"/>
              <w:ind w:left="115" w:right="186"/>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3、支干路8~10Lux的基础上提高20%~30%</w:t>
            </w:r>
          </w:p>
        </w:tc>
        <w:tc>
          <w:tcPr>
            <w:tcW w:w="1350" w:type="dxa"/>
            <w:vAlign w:val="top"/>
          </w:tcPr>
          <w:p w14:paraId="09A8D5CD">
            <w:pPr>
              <w:rPr>
                <w:rFonts w:ascii="Arial"/>
                <w:color w:val="auto"/>
                <w:sz w:val="24"/>
                <w:szCs w:val="24"/>
              </w:rPr>
            </w:pPr>
          </w:p>
        </w:tc>
      </w:tr>
      <w:tr w14:paraId="1A479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00" w:type="dxa"/>
            <w:vMerge w:val="continue"/>
            <w:tcBorders>
              <w:top w:val="nil"/>
              <w:bottom w:val="nil"/>
            </w:tcBorders>
            <w:vAlign w:val="top"/>
          </w:tcPr>
          <w:p w14:paraId="4B33853E">
            <w:pPr>
              <w:jc w:val="center"/>
              <w:rPr>
                <w:rFonts w:ascii="Arial"/>
                <w:color w:val="auto"/>
                <w:sz w:val="24"/>
                <w:szCs w:val="24"/>
              </w:rPr>
            </w:pPr>
          </w:p>
        </w:tc>
        <w:tc>
          <w:tcPr>
            <w:tcW w:w="975" w:type="dxa"/>
            <w:vMerge w:val="continue"/>
            <w:tcBorders>
              <w:top w:val="nil"/>
              <w:bottom w:val="nil"/>
            </w:tcBorders>
            <w:vAlign w:val="top"/>
          </w:tcPr>
          <w:p w14:paraId="488CE8C6">
            <w:pPr>
              <w:jc w:val="center"/>
              <w:rPr>
                <w:rFonts w:ascii="Arial"/>
                <w:color w:val="auto"/>
                <w:sz w:val="24"/>
                <w:szCs w:val="24"/>
              </w:rPr>
            </w:pPr>
          </w:p>
        </w:tc>
        <w:tc>
          <w:tcPr>
            <w:tcW w:w="1050" w:type="dxa"/>
            <w:vMerge w:val="continue"/>
            <w:tcBorders>
              <w:top w:val="nil"/>
            </w:tcBorders>
            <w:vAlign w:val="top"/>
          </w:tcPr>
          <w:p w14:paraId="4D45505C">
            <w:pPr>
              <w:jc w:val="center"/>
              <w:rPr>
                <w:rFonts w:ascii="Arial"/>
                <w:color w:val="auto"/>
                <w:sz w:val="24"/>
                <w:szCs w:val="24"/>
              </w:rPr>
            </w:pPr>
          </w:p>
        </w:tc>
        <w:tc>
          <w:tcPr>
            <w:tcW w:w="2512" w:type="dxa"/>
            <w:vAlign w:val="top"/>
          </w:tcPr>
          <w:p w14:paraId="355CB1D0">
            <w:pPr>
              <w:spacing w:before="35" w:line="233" w:lineRule="auto"/>
              <w:ind w:left="113" w:right="188" w:hanging="1"/>
              <w:jc w:val="center"/>
              <w:rPr>
                <w:rFonts w:ascii="宋体" w:hAnsi="宋体" w:eastAsia="宋体" w:cs="宋体"/>
                <w:color w:val="auto"/>
                <w:sz w:val="24"/>
                <w:szCs w:val="24"/>
              </w:rPr>
            </w:pPr>
            <w:r>
              <w:rPr>
                <w:rFonts w:ascii="宋体" w:hAnsi="宋体" w:eastAsia="宋体" w:cs="宋体"/>
                <w:color w:val="auto"/>
                <w:spacing w:val="8"/>
                <w:sz w:val="24"/>
                <w:szCs w:val="24"/>
              </w:rPr>
              <w:t>有无擅自开/关灯情况。（5</w:t>
            </w:r>
            <w:r>
              <w:rPr>
                <w:rFonts w:ascii="宋体" w:hAnsi="宋体" w:eastAsia="宋体" w:cs="宋体"/>
                <w:color w:val="auto"/>
                <w:spacing w:val="7"/>
                <w:sz w:val="24"/>
                <w:szCs w:val="24"/>
              </w:rPr>
              <w:t xml:space="preserve"> </w:t>
            </w:r>
            <w:r>
              <w:rPr>
                <w:rFonts w:ascii="宋体" w:hAnsi="宋体" w:eastAsia="宋体" w:cs="宋体"/>
                <w:color w:val="auto"/>
                <w:spacing w:val="-1"/>
                <w:sz w:val="24"/>
                <w:szCs w:val="24"/>
              </w:rPr>
              <w:t>分）</w:t>
            </w:r>
          </w:p>
        </w:tc>
        <w:tc>
          <w:tcPr>
            <w:tcW w:w="3233" w:type="dxa"/>
            <w:vAlign w:val="top"/>
          </w:tcPr>
          <w:p w14:paraId="48896AB7">
            <w:pPr>
              <w:spacing w:before="35" w:line="233" w:lineRule="auto"/>
              <w:ind w:left="126" w:right="293" w:hanging="14"/>
              <w:rPr>
                <w:rFonts w:ascii="宋体" w:hAnsi="宋体" w:eastAsia="宋体" w:cs="宋体"/>
                <w:color w:val="auto"/>
                <w:sz w:val="24"/>
                <w:szCs w:val="24"/>
              </w:rPr>
            </w:pPr>
            <w:r>
              <w:rPr>
                <w:rFonts w:ascii="宋体" w:hAnsi="宋体" w:eastAsia="宋体" w:cs="宋体"/>
                <w:color w:val="auto"/>
                <w:spacing w:val="9"/>
                <w:sz w:val="24"/>
                <w:szCs w:val="24"/>
              </w:rPr>
              <w:t>每发现一次擅自开/关灯（未报备）情况</w:t>
            </w:r>
            <w:r>
              <w:rPr>
                <w:rFonts w:ascii="宋体" w:hAnsi="宋体" w:eastAsia="宋体" w:cs="宋体"/>
                <w:color w:val="auto"/>
                <w:spacing w:val="3"/>
                <w:sz w:val="24"/>
                <w:szCs w:val="24"/>
              </w:rPr>
              <w:t xml:space="preserve"> </w:t>
            </w:r>
            <w:r>
              <w:rPr>
                <w:rFonts w:ascii="宋体" w:hAnsi="宋体" w:eastAsia="宋体" w:cs="宋体"/>
                <w:color w:val="auto"/>
                <w:spacing w:val="-6"/>
                <w:sz w:val="24"/>
                <w:szCs w:val="24"/>
              </w:rPr>
              <w:t>,</w:t>
            </w:r>
            <w:r>
              <w:rPr>
                <w:rFonts w:ascii="宋体" w:hAnsi="宋体" w:eastAsia="宋体" w:cs="宋体"/>
                <w:color w:val="auto"/>
                <w:spacing w:val="64"/>
                <w:sz w:val="24"/>
                <w:szCs w:val="24"/>
              </w:rPr>
              <w:t xml:space="preserve"> </w:t>
            </w:r>
            <w:r>
              <w:rPr>
                <w:rFonts w:ascii="宋体" w:hAnsi="宋体" w:eastAsia="宋体" w:cs="宋体"/>
                <w:color w:val="auto"/>
                <w:spacing w:val="-6"/>
                <w:sz w:val="24"/>
                <w:szCs w:val="24"/>
              </w:rPr>
              <w:t>扣0.2分。</w:t>
            </w:r>
          </w:p>
        </w:tc>
        <w:tc>
          <w:tcPr>
            <w:tcW w:w="1350" w:type="dxa"/>
            <w:vAlign w:val="top"/>
          </w:tcPr>
          <w:p w14:paraId="57CF2854">
            <w:pPr>
              <w:rPr>
                <w:rFonts w:ascii="Arial"/>
                <w:color w:val="auto"/>
                <w:sz w:val="24"/>
                <w:szCs w:val="24"/>
              </w:rPr>
            </w:pPr>
          </w:p>
        </w:tc>
      </w:tr>
      <w:tr w14:paraId="0179E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600" w:type="dxa"/>
            <w:vMerge w:val="continue"/>
            <w:tcBorders>
              <w:top w:val="nil"/>
              <w:bottom w:val="nil"/>
            </w:tcBorders>
            <w:vAlign w:val="top"/>
          </w:tcPr>
          <w:p w14:paraId="3D6B60F4">
            <w:pPr>
              <w:jc w:val="center"/>
              <w:rPr>
                <w:rFonts w:ascii="Arial"/>
                <w:color w:val="auto"/>
                <w:sz w:val="24"/>
                <w:szCs w:val="24"/>
              </w:rPr>
            </w:pPr>
          </w:p>
        </w:tc>
        <w:tc>
          <w:tcPr>
            <w:tcW w:w="975" w:type="dxa"/>
            <w:vMerge w:val="continue"/>
            <w:tcBorders>
              <w:top w:val="nil"/>
              <w:bottom w:val="nil"/>
            </w:tcBorders>
            <w:vAlign w:val="top"/>
          </w:tcPr>
          <w:p w14:paraId="50D104A4">
            <w:pPr>
              <w:jc w:val="center"/>
              <w:rPr>
                <w:rFonts w:ascii="Arial"/>
                <w:color w:val="auto"/>
                <w:sz w:val="24"/>
                <w:szCs w:val="24"/>
              </w:rPr>
            </w:pPr>
          </w:p>
        </w:tc>
        <w:tc>
          <w:tcPr>
            <w:tcW w:w="1050" w:type="dxa"/>
            <w:vMerge w:val="restart"/>
            <w:tcBorders>
              <w:bottom w:val="nil"/>
            </w:tcBorders>
            <w:vAlign w:val="top"/>
          </w:tcPr>
          <w:p w14:paraId="3672F0CF">
            <w:pPr>
              <w:jc w:val="center"/>
              <w:rPr>
                <w:rFonts w:ascii="Arial"/>
                <w:color w:val="auto"/>
                <w:sz w:val="24"/>
                <w:szCs w:val="24"/>
              </w:rPr>
            </w:pPr>
          </w:p>
          <w:p w14:paraId="27D088D5">
            <w:pPr>
              <w:jc w:val="center"/>
              <w:rPr>
                <w:rFonts w:ascii="Arial"/>
                <w:color w:val="auto"/>
                <w:sz w:val="24"/>
                <w:szCs w:val="24"/>
              </w:rPr>
            </w:pPr>
          </w:p>
          <w:p w14:paraId="5B4BB586">
            <w:pPr>
              <w:jc w:val="center"/>
              <w:rPr>
                <w:rFonts w:ascii="Arial"/>
                <w:color w:val="auto"/>
                <w:sz w:val="24"/>
                <w:szCs w:val="24"/>
              </w:rPr>
            </w:pPr>
          </w:p>
          <w:p w14:paraId="25624BB7">
            <w:pPr>
              <w:spacing w:line="241" w:lineRule="auto"/>
              <w:jc w:val="center"/>
              <w:rPr>
                <w:rFonts w:ascii="Arial"/>
                <w:color w:val="auto"/>
                <w:sz w:val="24"/>
                <w:szCs w:val="24"/>
              </w:rPr>
            </w:pPr>
          </w:p>
          <w:p w14:paraId="3A4FF177">
            <w:pPr>
              <w:spacing w:line="241" w:lineRule="auto"/>
              <w:jc w:val="center"/>
              <w:rPr>
                <w:rFonts w:ascii="Arial"/>
                <w:color w:val="auto"/>
                <w:sz w:val="24"/>
                <w:szCs w:val="24"/>
              </w:rPr>
            </w:pPr>
          </w:p>
          <w:p w14:paraId="7E5DF7AC">
            <w:pPr>
              <w:spacing w:line="241" w:lineRule="auto"/>
              <w:jc w:val="center"/>
              <w:rPr>
                <w:rFonts w:ascii="Arial"/>
                <w:color w:val="auto"/>
                <w:sz w:val="24"/>
                <w:szCs w:val="24"/>
              </w:rPr>
            </w:pPr>
          </w:p>
          <w:p w14:paraId="62D25C0B">
            <w:pPr>
              <w:spacing w:line="241" w:lineRule="auto"/>
              <w:jc w:val="center"/>
              <w:rPr>
                <w:rFonts w:ascii="Arial"/>
                <w:color w:val="auto"/>
                <w:sz w:val="24"/>
                <w:szCs w:val="24"/>
              </w:rPr>
            </w:pPr>
          </w:p>
          <w:p w14:paraId="0E74D633">
            <w:pPr>
              <w:spacing w:line="241" w:lineRule="auto"/>
              <w:jc w:val="center"/>
              <w:rPr>
                <w:rFonts w:ascii="Arial"/>
                <w:color w:val="auto"/>
                <w:sz w:val="24"/>
                <w:szCs w:val="24"/>
              </w:rPr>
            </w:pPr>
          </w:p>
          <w:p w14:paraId="7BA8AB8B">
            <w:pPr>
              <w:spacing w:line="241" w:lineRule="auto"/>
              <w:jc w:val="center"/>
              <w:rPr>
                <w:rFonts w:ascii="Arial"/>
                <w:color w:val="auto"/>
                <w:sz w:val="24"/>
                <w:szCs w:val="24"/>
              </w:rPr>
            </w:pPr>
          </w:p>
          <w:p w14:paraId="23C85348">
            <w:pPr>
              <w:spacing w:before="65" w:line="228" w:lineRule="auto"/>
              <w:ind w:left="114"/>
              <w:jc w:val="center"/>
              <w:rPr>
                <w:rFonts w:ascii="宋体" w:hAnsi="宋体" w:eastAsia="宋体" w:cs="宋体"/>
                <w:color w:val="auto"/>
                <w:sz w:val="24"/>
                <w:szCs w:val="24"/>
              </w:rPr>
            </w:pPr>
            <w:r>
              <w:rPr>
                <w:rFonts w:ascii="宋体" w:hAnsi="宋体" w:eastAsia="宋体" w:cs="宋体"/>
                <w:color w:val="auto"/>
                <w:spacing w:val="5"/>
                <w:sz w:val="24"/>
                <w:szCs w:val="24"/>
              </w:rPr>
              <w:t>设施完</w:t>
            </w:r>
          </w:p>
          <w:p w14:paraId="1F28FE2F">
            <w:pPr>
              <w:spacing w:before="23" w:line="252" w:lineRule="auto"/>
              <w:ind w:left="112" w:right="156" w:hanging="2"/>
              <w:jc w:val="center"/>
              <w:rPr>
                <w:rFonts w:ascii="宋体" w:hAnsi="宋体" w:eastAsia="宋体" w:cs="宋体"/>
                <w:color w:val="auto"/>
                <w:sz w:val="24"/>
                <w:szCs w:val="24"/>
              </w:rPr>
            </w:pPr>
            <w:r>
              <w:rPr>
                <w:rFonts w:ascii="宋体" w:hAnsi="宋体" w:eastAsia="宋体" w:cs="宋体"/>
                <w:color w:val="auto"/>
                <w:spacing w:val="-10"/>
                <w:sz w:val="24"/>
                <w:szCs w:val="24"/>
              </w:rPr>
              <w:t>好率</w:t>
            </w:r>
            <w:r>
              <w:rPr>
                <w:rFonts w:ascii="宋体" w:hAnsi="宋体" w:eastAsia="宋体" w:cs="宋体"/>
                <w:color w:val="auto"/>
                <w:spacing w:val="20"/>
                <w:sz w:val="24"/>
                <w:szCs w:val="24"/>
              </w:rPr>
              <w:t xml:space="preserve"> </w:t>
            </w:r>
            <w:r>
              <w:rPr>
                <w:rFonts w:ascii="宋体" w:hAnsi="宋体" w:eastAsia="宋体" w:cs="宋体"/>
                <w:color w:val="auto"/>
                <w:spacing w:val="-10"/>
                <w:sz w:val="24"/>
                <w:szCs w:val="24"/>
              </w:rPr>
              <w:t>(</w:t>
            </w:r>
            <w:r>
              <w:rPr>
                <w:rFonts w:ascii="宋体" w:hAnsi="宋体" w:eastAsia="宋体" w:cs="宋体"/>
                <w:color w:val="auto"/>
                <w:sz w:val="24"/>
                <w:szCs w:val="24"/>
              </w:rPr>
              <w:t xml:space="preserve"> 25分）</w:t>
            </w:r>
          </w:p>
        </w:tc>
        <w:tc>
          <w:tcPr>
            <w:tcW w:w="2512" w:type="dxa"/>
            <w:vAlign w:val="top"/>
          </w:tcPr>
          <w:p w14:paraId="2323397F">
            <w:pPr>
              <w:spacing w:before="239" w:line="252" w:lineRule="auto"/>
              <w:ind w:left="111" w:right="192"/>
              <w:jc w:val="center"/>
              <w:rPr>
                <w:rFonts w:ascii="宋体" w:hAnsi="宋体" w:eastAsia="宋体" w:cs="宋体"/>
                <w:color w:val="auto"/>
                <w:sz w:val="24"/>
                <w:szCs w:val="24"/>
              </w:rPr>
            </w:pPr>
            <w:r>
              <w:rPr>
                <w:rFonts w:ascii="宋体" w:hAnsi="宋体" w:eastAsia="宋体" w:cs="宋体"/>
                <w:color w:val="auto"/>
                <w:spacing w:val="9"/>
                <w:sz w:val="24"/>
                <w:szCs w:val="24"/>
              </w:rPr>
              <w:t>灯具、灯罩、灯臂等设施完</w:t>
            </w:r>
            <w:r>
              <w:rPr>
                <w:rFonts w:ascii="宋体" w:hAnsi="宋体" w:eastAsia="宋体" w:cs="宋体"/>
                <w:color w:val="auto"/>
                <w:spacing w:val="1"/>
                <w:sz w:val="24"/>
                <w:szCs w:val="24"/>
              </w:rPr>
              <w:t xml:space="preserve"> </w:t>
            </w:r>
            <w:r>
              <w:rPr>
                <w:rFonts w:ascii="宋体" w:hAnsi="宋体" w:eastAsia="宋体" w:cs="宋体"/>
                <w:color w:val="auto"/>
                <w:spacing w:val="9"/>
                <w:sz w:val="24"/>
                <w:szCs w:val="24"/>
              </w:rPr>
              <w:t>好、与台账资料一致，定期</w:t>
            </w:r>
            <w:r>
              <w:rPr>
                <w:rFonts w:ascii="宋体" w:hAnsi="宋体" w:eastAsia="宋体" w:cs="宋体"/>
                <w:color w:val="auto"/>
                <w:sz w:val="24"/>
                <w:szCs w:val="24"/>
              </w:rPr>
              <w:t xml:space="preserve"> </w:t>
            </w:r>
            <w:r>
              <w:rPr>
                <w:rFonts w:ascii="宋体" w:hAnsi="宋体" w:eastAsia="宋体" w:cs="宋体"/>
                <w:color w:val="auto"/>
                <w:spacing w:val="9"/>
                <w:sz w:val="24"/>
                <w:szCs w:val="24"/>
              </w:rPr>
              <w:t>巡修，设施无变形、转向、</w:t>
            </w:r>
            <w:r>
              <w:rPr>
                <w:rFonts w:ascii="宋体" w:hAnsi="宋体" w:eastAsia="宋体" w:cs="宋体"/>
                <w:color w:val="auto"/>
                <w:sz w:val="24"/>
                <w:szCs w:val="24"/>
              </w:rPr>
              <w:t xml:space="preserve"> </w:t>
            </w:r>
            <w:r>
              <w:rPr>
                <w:rFonts w:ascii="宋体" w:hAnsi="宋体" w:eastAsia="宋体" w:cs="宋体"/>
                <w:color w:val="auto"/>
                <w:spacing w:val="7"/>
                <w:sz w:val="24"/>
                <w:szCs w:val="24"/>
              </w:rPr>
              <w:t>损坏等。（5分）</w:t>
            </w:r>
          </w:p>
        </w:tc>
        <w:tc>
          <w:tcPr>
            <w:tcW w:w="3233" w:type="dxa"/>
            <w:vAlign w:val="top"/>
          </w:tcPr>
          <w:p w14:paraId="3D0CE8B3">
            <w:pPr>
              <w:spacing w:line="443" w:lineRule="auto"/>
              <w:rPr>
                <w:rFonts w:ascii="Arial"/>
                <w:color w:val="auto"/>
                <w:sz w:val="24"/>
                <w:szCs w:val="24"/>
              </w:rPr>
            </w:pPr>
          </w:p>
          <w:p w14:paraId="33BB3029">
            <w:pPr>
              <w:spacing w:before="65" w:line="254" w:lineRule="auto"/>
              <w:ind w:left="112" w:right="293"/>
              <w:rPr>
                <w:rFonts w:ascii="宋体" w:hAnsi="宋体" w:eastAsia="宋体" w:cs="宋体"/>
                <w:color w:val="auto"/>
                <w:sz w:val="24"/>
                <w:szCs w:val="24"/>
              </w:rPr>
            </w:pPr>
            <w:r>
              <w:rPr>
                <w:rFonts w:ascii="宋体" w:hAnsi="宋体" w:eastAsia="宋体" w:cs="宋体"/>
                <w:color w:val="auto"/>
                <w:spacing w:val="8"/>
                <w:sz w:val="24"/>
                <w:szCs w:val="24"/>
              </w:rPr>
              <w:t>每发现一处问题未整改，扣0.1分；整段</w:t>
            </w:r>
            <w:r>
              <w:rPr>
                <w:rFonts w:ascii="宋体" w:hAnsi="宋体" w:eastAsia="宋体" w:cs="宋体"/>
                <w:color w:val="auto"/>
                <w:spacing w:val="13"/>
                <w:sz w:val="24"/>
                <w:szCs w:val="24"/>
              </w:rPr>
              <w:t xml:space="preserve"> </w:t>
            </w:r>
            <w:r>
              <w:rPr>
                <w:rFonts w:ascii="宋体" w:hAnsi="宋体" w:eastAsia="宋体" w:cs="宋体"/>
                <w:color w:val="auto"/>
                <w:spacing w:val="8"/>
                <w:sz w:val="24"/>
                <w:szCs w:val="24"/>
              </w:rPr>
              <w:t>道路性问题未整改，扣1分/处</w:t>
            </w:r>
          </w:p>
        </w:tc>
        <w:tc>
          <w:tcPr>
            <w:tcW w:w="1350" w:type="dxa"/>
            <w:vAlign w:val="top"/>
          </w:tcPr>
          <w:p w14:paraId="4A244E2F">
            <w:pPr>
              <w:rPr>
                <w:rFonts w:ascii="Arial"/>
                <w:color w:val="auto"/>
                <w:sz w:val="24"/>
                <w:szCs w:val="24"/>
              </w:rPr>
            </w:pPr>
          </w:p>
        </w:tc>
      </w:tr>
      <w:tr w14:paraId="232C4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00" w:type="dxa"/>
            <w:vMerge w:val="continue"/>
            <w:tcBorders>
              <w:top w:val="nil"/>
              <w:bottom w:val="nil"/>
            </w:tcBorders>
            <w:vAlign w:val="top"/>
          </w:tcPr>
          <w:p w14:paraId="4418E346">
            <w:pPr>
              <w:jc w:val="center"/>
              <w:rPr>
                <w:rFonts w:ascii="Arial"/>
                <w:color w:val="auto"/>
                <w:sz w:val="24"/>
                <w:szCs w:val="24"/>
              </w:rPr>
            </w:pPr>
          </w:p>
        </w:tc>
        <w:tc>
          <w:tcPr>
            <w:tcW w:w="975" w:type="dxa"/>
            <w:vMerge w:val="continue"/>
            <w:tcBorders>
              <w:top w:val="nil"/>
              <w:bottom w:val="nil"/>
            </w:tcBorders>
            <w:vAlign w:val="top"/>
          </w:tcPr>
          <w:p w14:paraId="1E5F369B">
            <w:pPr>
              <w:jc w:val="center"/>
              <w:rPr>
                <w:rFonts w:ascii="Arial"/>
                <w:color w:val="auto"/>
                <w:sz w:val="24"/>
                <w:szCs w:val="24"/>
              </w:rPr>
            </w:pPr>
          </w:p>
        </w:tc>
        <w:tc>
          <w:tcPr>
            <w:tcW w:w="1050" w:type="dxa"/>
            <w:vMerge w:val="continue"/>
            <w:tcBorders>
              <w:top w:val="nil"/>
              <w:bottom w:val="nil"/>
            </w:tcBorders>
            <w:vAlign w:val="top"/>
          </w:tcPr>
          <w:p w14:paraId="0C4CE585">
            <w:pPr>
              <w:jc w:val="center"/>
              <w:rPr>
                <w:rFonts w:ascii="Arial"/>
                <w:color w:val="auto"/>
                <w:sz w:val="24"/>
                <w:szCs w:val="24"/>
              </w:rPr>
            </w:pPr>
          </w:p>
        </w:tc>
        <w:tc>
          <w:tcPr>
            <w:tcW w:w="2512" w:type="dxa"/>
            <w:vAlign w:val="top"/>
          </w:tcPr>
          <w:p w14:paraId="7C10D46D">
            <w:pPr>
              <w:spacing w:before="111" w:line="251" w:lineRule="auto"/>
              <w:ind w:left="113" w:right="227" w:hanging="2"/>
              <w:jc w:val="center"/>
              <w:rPr>
                <w:rFonts w:ascii="宋体" w:hAnsi="宋体" w:eastAsia="宋体" w:cs="宋体"/>
                <w:color w:val="auto"/>
                <w:sz w:val="24"/>
                <w:szCs w:val="24"/>
              </w:rPr>
            </w:pPr>
            <w:r>
              <w:rPr>
                <w:rFonts w:ascii="宋体" w:hAnsi="宋体" w:eastAsia="宋体" w:cs="宋体"/>
                <w:color w:val="auto"/>
                <w:spacing w:val="6"/>
                <w:sz w:val="24"/>
                <w:szCs w:val="24"/>
              </w:rPr>
              <w:t>灯杆无明显倾斜、无损坏、</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无非法附着物（飞线）</w:t>
            </w:r>
          </w:p>
        </w:tc>
        <w:tc>
          <w:tcPr>
            <w:tcW w:w="3233" w:type="dxa"/>
            <w:vAlign w:val="top"/>
          </w:tcPr>
          <w:p w14:paraId="331AF6DD">
            <w:pPr>
              <w:spacing w:before="111" w:line="252" w:lineRule="auto"/>
              <w:ind w:left="135" w:right="293" w:hanging="23"/>
              <w:rPr>
                <w:rFonts w:ascii="宋体" w:hAnsi="宋体" w:eastAsia="宋体" w:cs="宋体"/>
                <w:color w:val="auto"/>
                <w:sz w:val="24"/>
                <w:szCs w:val="24"/>
              </w:rPr>
            </w:pPr>
            <w:r>
              <w:rPr>
                <w:rFonts w:ascii="宋体" w:hAnsi="宋体" w:eastAsia="宋体" w:cs="宋体"/>
                <w:color w:val="auto"/>
                <w:spacing w:val="8"/>
                <w:sz w:val="24"/>
                <w:szCs w:val="24"/>
              </w:rPr>
              <w:t>每发现一处问题，扣0.1分；整段道路性</w:t>
            </w:r>
            <w:r>
              <w:rPr>
                <w:rFonts w:ascii="宋体" w:hAnsi="宋体" w:eastAsia="宋体" w:cs="宋体"/>
                <w:color w:val="auto"/>
                <w:spacing w:val="13"/>
                <w:sz w:val="24"/>
                <w:szCs w:val="24"/>
              </w:rPr>
              <w:t xml:space="preserve"> </w:t>
            </w:r>
            <w:r>
              <w:rPr>
                <w:rFonts w:ascii="宋体" w:hAnsi="宋体" w:eastAsia="宋体" w:cs="宋体"/>
                <w:color w:val="auto"/>
                <w:spacing w:val="3"/>
                <w:sz w:val="24"/>
                <w:szCs w:val="24"/>
              </w:rPr>
              <w:t>问题，扣1分</w:t>
            </w:r>
          </w:p>
        </w:tc>
        <w:tc>
          <w:tcPr>
            <w:tcW w:w="1350" w:type="dxa"/>
            <w:vAlign w:val="top"/>
          </w:tcPr>
          <w:p w14:paraId="703323FF">
            <w:pPr>
              <w:rPr>
                <w:rFonts w:ascii="Arial"/>
                <w:color w:val="auto"/>
                <w:sz w:val="24"/>
                <w:szCs w:val="24"/>
              </w:rPr>
            </w:pPr>
          </w:p>
        </w:tc>
      </w:tr>
      <w:tr w14:paraId="4558B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00" w:type="dxa"/>
            <w:vMerge w:val="continue"/>
            <w:tcBorders>
              <w:top w:val="nil"/>
              <w:bottom w:val="nil"/>
            </w:tcBorders>
            <w:vAlign w:val="top"/>
          </w:tcPr>
          <w:p w14:paraId="66896BAF">
            <w:pPr>
              <w:jc w:val="center"/>
              <w:rPr>
                <w:rFonts w:ascii="Arial"/>
                <w:color w:val="auto"/>
                <w:sz w:val="24"/>
                <w:szCs w:val="24"/>
              </w:rPr>
            </w:pPr>
          </w:p>
        </w:tc>
        <w:tc>
          <w:tcPr>
            <w:tcW w:w="975" w:type="dxa"/>
            <w:vMerge w:val="continue"/>
            <w:tcBorders>
              <w:top w:val="nil"/>
              <w:bottom w:val="nil"/>
            </w:tcBorders>
            <w:vAlign w:val="top"/>
          </w:tcPr>
          <w:p w14:paraId="789BF20D">
            <w:pPr>
              <w:jc w:val="center"/>
              <w:rPr>
                <w:rFonts w:ascii="Arial"/>
                <w:color w:val="auto"/>
                <w:sz w:val="24"/>
                <w:szCs w:val="24"/>
              </w:rPr>
            </w:pPr>
          </w:p>
        </w:tc>
        <w:tc>
          <w:tcPr>
            <w:tcW w:w="1050" w:type="dxa"/>
            <w:vMerge w:val="continue"/>
            <w:tcBorders>
              <w:top w:val="nil"/>
              <w:bottom w:val="nil"/>
            </w:tcBorders>
            <w:vAlign w:val="top"/>
          </w:tcPr>
          <w:p w14:paraId="3325DE15">
            <w:pPr>
              <w:jc w:val="center"/>
              <w:rPr>
                <w:rFonts w:ascii="Arial"/>
                <w:color w:val="auto"/>
                <w:sz w:val="24"/>
                <w:szCs w:val="24"/>
              </w:rPr>
            </w:pPr>
          </w:p>
        </w:tc>
        <w:tc>
          <w:tcPr>
            <w:tcW w:w="2512" w:type="dxa"/>
            <w:vAlign w:val="top"/>
          </w:tcPr>
          <w:p w14:paraId="15981291">
            <w:pPr>
              <w:spacing w:before="34" w:line="242" w:lineRule="auto"/>
              <w:ind w:left="111" w:leftChars="0" w:right="192" w:rightChars="0"/>
              <w:jc w:val="both"/>
              <w:rPr>
                <w:rFonts w:ascii="宋体" w:hAnsi="宋体" w:eastAsia="宋体" w:cs="宋体"/>
                <w:color w:val="auto"/>
                <w:sz w:val="24"/>
                <w:szCs w:val="24"/>
              </w:rPr>
            </w:pPr>
            <w:r>
              <w:rPr>
                <w:rFonts w:ascii="宋体" w:hAnsi="宋体" w:eastAsia="宋体" w:cs="宋体"/>
                <w:color w:val="auto"/>
                <w:spacing w:val="9"/>
                <w:sz w:val="24"/>
                <w:szCs w:val="24"/>
              </w:rPr>
              <w:t>配电箱体完整无缺、无倾斜</w:t>
            </w:r>
            <w:r>
              <w:rPr>
                <w:rFonts w:ascii="宋体" w:hAnsi="宋体" w:eastAsia="宋体" w:cs="宋体"/>
                <w:color w:val="auto"/>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60"/>
                <w:sz w:val="24"/>
                <w:szCs w:val="24"/>
              </w:rPr>
              <w:t xml:space="preserve"> </w:t>
            </w:r>
            <w:r>
              <w:rPr>
                <w:rFonts w:ascii="宋体" w:hAnsi="宋体" w:eastAsia="宋体" w:cs="宋体"/>
                <w:color w:val="auto"/>
                <w:spacing w:val="4"/>
                <w:sz w:val="24"/>
                <w:szCs w:val="24"/>
              </w:rPr>
              <w:t>基座无损坏、有编号、门</w:t>
            </w:r>
            <w:r>
              <w:rPr>
                <w:rFonts w:ascii="宋体" w:hAnsi="宋体" w:eastAsia="宋体" w:cs="宋体"/>
                <w:color w:val="auto"/>
                <w:sz w:val="24"/>
                <w:szCs w:val="24"/>
              </w:rPr>
              <w:t xml:space="preserve"> </w:t>
            </w:r>
            <w:r>
              <w:rPr>
                <w:rFonts w:ascii="宋体" w:hAnsi="宋体" w:eastAsia="宋体" w:cs="宋体"/>
                <w:color w:val="auto"/>
                <w:spacing w:val="9"/>
                <w:sz w:val="24"/>
                <w:szCs w:val="24"/>
              </w:rPr>
              <w:t>锁完好、箱门报警装置运行</w:t>
            </w:r>
            <w:r>
              <w:rPr>
                <w:rFonts w:ascii="宋体" w:hAnsi="宋体" w:eastAsia="宋体" w:cs="宋体"/>
                <w:color w:val="auto"/>
                <w:sz w:val="24"/>
                <w:szCs w:val="24"/>
              </w:rPr>
              <w:t xml:space="preserve"> </w:t>
            </w:r>
            <w:r>
              <w:rPr>
                <w:rFonts w:ascii="宋体" w:hAnsi="宋体" w:eastAsia="宋体" w:cs="宋体"/>
                <w:color w:val="auto"/>
                <w:spacing w:val="7"/>
                <w:sz w:val="24"/>
                <w:szCs w:val="24"/>
              </w:rPr>
              <w:t>正常等。（5分）</w:t>
            </w:r>
          </w:p>
        </w:tc>
        <w:tc>
          <w:tcPr>
            <w:tcW w:w="3233" w:type="dxa"/>
            <w:vAlign w:val="top"/>
          </w:tcPr>
          <w:p w14:paraId="27440CBF">
            <w:pPr>
              <w:spacing w:line="373" w:lineRule="auto"/>
              <w:rPr>
                <w:rFonts w:ascii="Arial"/>
                <w:color w:val="auto"/>
                <w:sz w:val="24"/>
                <w:szCs w:val="24"/>
              </w:rPr>
            </w:pPr>
          </w:p>
          <w:p w14:paraId="24558280">
            <w:pPr>
              <w:spacing w:before="65" w:line="228" w:lineRule="auto"/>
              <w:ind w:left="112" w:leftChars="0"/>
              <w:rPr>
                <w:rFonts w:ascii="宋体" w:hAnsi="宋体" w:eastAsia="宋体" w:cs="宋体"/>
                <w:color w:val="auto"/>
                <w:sz w:val="24"/>
                <w:szCs w:val="24"/>
              </w:rPr>
            </w:pPr>
            <w:r>
              <w:rPr>
                <w:rFonts w:ascii="宋体" w:hAnsi="宋体" w:eastAsia="宋体" w:cs="宋体"/>
                <w:color w:val="auto"/>
                <w:spacing w:val="8"/>
                <w:sz w:val="24"/>
                <w:szCs w:val="24"/>
              </w:rPr>
              <w:t>每发现一处问题未整改，扣0.2分</w:t>
            </w:r>
          </w:p>
        </w:tc>
        <w:tc>
          <w:tcPr>
            <w:tcW w:w="1350" w:type="dxa"/>
            <w:vAlign w:val="top"/>
          </w:tcPr>
          <w:p w14:paraId="79AA9DA9">
            <w:pPr>
              <w:rPr>
                <w:rFonts w:ascii="Arial"/>
                <w:color w:val="auto"/>
                <w:sz w:val="24"/>
                <w:szCs w:val="24"/>
              </w:rPr>
            </w:pPr>
          </w:p>
        </w:tc>
      </w:tr>
      <w:tr w14:paraId="2C1F4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600" w:type="dxa"/>
            <w:vMerge w:val="continue"/>
            <w:tcBorders>
              <w:top w:val="nil"/>
              <w:bottom w:val="nil"/>
            </w:tcBorders>
            <w:vAlign w:val="top"/>
          </w:tcPr>
          <w:p w14:paraId="5E2F6126">
            <w:pPr>
              <w:jc w:val="center"/>
              <w:rPr>
                <w:rFonts w:ascii="Arial"/>
                <w:color w:val="auto"/>
                <w:sz w:val="24"/>
                <w:szCs w:val="24"/>
              </w:rPr>
            </w:pPr>
          </w:p>
        </w:tc>
        <w:tc>
          <w:tcPr>
            <w:tcW w:w="975" w:type="dxa"/>
            <w:vMerge w:val="continue"/>
            <w:tcBorders>
              <w:top w:val="nil"/>
              <w:bottom w:val="nil"/>
            </w:tcBorders>
            <w:vAlign w:val="top"/>
          </w:tcPr>
          <w:p w14:paraId="198E54FC">
            <w:pPr>
              <w:jc w:val="center"/>
              <w:rPr>
                <w:rFonts w:ascii="Arial"/>
                <w:color w:val="auto"/>
                <w:sz w:val="24"/>
                <w:szCs w:val="24"/>
              </w:rPr>
            </w:pPr>
          </w:p>
        </w:tc>
        <w:tc>
          <w:tcPr>
            <w:tcW w:w="1050" w:type="dxa"/>
            <w:vMerge w:val="continue"/>
            <w:tcBorders>
              <w:top w:val="nil"/>
              <w:bottom w:val="nil"/>
            </w:tcBorders>
            <w:vAlign w:val="top"/>
          </w:tcPr>
          <w:p w14:paraId="558FB2C7">
            <w:pPr>
              <w:jc w:val="center"/>
              <w:rPr>
                <w:rFonts w:ascii="Arial"/>
                <w:color w:val="auto"/>
                <w:sz w:val="24"/>
                <w:szCs w:val="24"/>
              </w:rPr>
            </w:pPr>
          </w:p>
        </w:tc>
        <w:tc>
          <w:tcPr>
            <w:tcW w:w="2512" w:type="dxa"/>
            <w:vAlign w:val="top"/>
          </w:tcPr>
          <w:p w14:paraId="09B57FF9">
            <w:pPr>
              <w:spacing w:before="34" w:line="244" w:lineRule="auto"/>
              <w:ind w:left="112" w:right="192" w:firstLine="4"/>
              <w:jc w:val="both"/>
              <w:rPr>
                <w:rFonts w:ascii="宋体" w:hAnsi="宋体" w:eastAsia="宋体" w:cs="宋体"/>
                <w:color w:val="auto"/>
                <w:sz w:val="24"/>
                <w:szCs w:val="24"/>
              </w:rPr>
            </w:pPr>
            <w:r>
              <w:rPr>
                <w:rFonts w:ascii="宋体" w:hAnsi="宋体" w:eastAsia="宋体" w:cs="宋体"/>
                <w:color w:val="auto"/>
                <w:spacing w:val="8"/>
                <w:sz w:val="24"/>
                <w:szCs w:val="24"/>
              </w:rPr>
              <w:t>定期巡检电缆线路与架空线</w:t>
            </w:r>
            <w:r>
              <w:rPr>
                <w:rFonts w:ascii="宋体" w:hAnsi="宋体" w:eastAsia="宋体" w:cs="宋体"/>
                <w:color w:val="auto"/>
                <w:spacing w:val="7"/>
                <w:sz w:val="24"/>
                <w:szCs w:val="24"/>
              </w:rPr>
              <w:t xml:space="preserve"> </w:t>
            </w:r>
            <w:r>
              <w:rPr>
                <w:rFonts w:ascii="宋体" w:hAnsi="宋体" w:eastAsia="宋体" w:cs="宋体"/>
                <w:color w:val="auto"/>
                <w:spacing w:val="9"/>
                <w:sz w:val="24"/>
                <w:szCs w:val="24"/>
              </w:rPr>
              <w:t>路，地下电缆无裸露，架空</w:t>
            </w:r>
            <w:r>
              <w:rPr>
                <w:rFonts w:ascii="宋体" w:hAnsi="宋体" w:eastAsia="宋体" w:cs="宋体"/>
                <w:color w:val="auto"/>
                <w:sz w:val="24"/>
                <w:szCs w:val="24"/>
              </w:rPr>
              <w:t xml:space="preserve"> </w:t>
            </w:r>
            <w:r>
              <w:rPr>
                <w:rFonts w:ascii="宋体" w:hAnsi="宋体" w:eastAsia="宋体" w:cs="宋体"/>
                <w:color w:val="auto"/>
                <w:spacing w:val="9"/>
                <w:sz w:val="24"/>
                <w:szCs w:val="24"/>
              </w:rPr>
              <w:t>电线无悬挂脱落、导线弧垂</w:t>
            </w:r>
            <w:r>
              <w:rPr>
                <w:rFonts w:ascii="宋体" w:hAnsi="宋体" w:eastAsia="宋体" w:cs="宋体"/>
                <w:color w:val="auto"/>
                <w:sz w:val="24"/>
                <w:szCs w:val="24"/>
              </w:rPr>
              <w:t xml:space="preserve"> </w:t>
            </w:r>
            <w:r>
              <w:rPr>
                <w:rFonts w:ascii="宋体" w:hAnsi="宋体" w:eastAsia="宋体" w:cs="宋体"/>
                <w:color w:val="auto"/>
                <w:spacing w:val="8"/>
                <w:sz w:val="24"/>
                <w:szCs w:val="24"/>
              </w:rPr>
              <w:t>过合理、无树枝影响。（4</w:t>
            </w:r>
            <w:r>
              <w:rPr>
                <w:rFonts w:ascii="宋体" w:hAnsi="宋体" w:eastAsia="宋体" w:cs="宋体"/>
                <w:color w:val="auto"/>
                <w:spacing w:val="4"/>
                <w:sz w:val="24"/>
                <w:szCs w:val="24"/>
              </w:rPr>
              <w:t xml:space="preserve">  </w:t>
            </w:r>
            <w:r>
              <w:rPr>
                <w:rFonts w:ascii="宋体" w:hAnsi="宋体" w:eastAsia="宋体" w:cs="宋体"/>
                <w:color w:val="auto"/>
                <w:sz w:val="24"/>
                <w:szCs w:val="24"/>
              </w:rPr>
              <w:t>分）</w:t>
            </w:r>
          </w:p>
        </w:tc>
        <w:tc>
          <w:tcPr>
            <w:tcW w:w="3233" w:type="dxa"/>
            <w:vAlign w:val="top"/>
          </w:tcPr>
          <w:p w14:paraId="05E72C0F">
            <w:pPr>
              <w:spacing w:line="255" w:lineRule="auto"/>
              <w:rPr>
                <w:rFonts w:ascii="Arial"/>
                <w:color w:val="auto"/>
                <w:sz w:val="24"/>
                <w:szCs w:val="24"/>
              </w:rPr>
            </w:pPr>
          </w:p>
          <w:p w14:paraId="3819FC72">
            <w:pPr>
              <w:spacing w:line="255" w:lineRule="auto"/>
              <w:rPr>
                <w:rFonts w:ascii="Arial"/>
                <w:color w:val="auto"/>
                <w:sz w:val="24"/>
                <w:szCs w:val="24"/>
              </w:rPr>
            </w:pPr>
          </w:p>
          <w:p w14:paraId="4121C7FC">
            <w:pPr>
              <w:spacing w:before="65" w:line="228" w:lineRule="auto"/>
              <w:ind w:left="112"/>
              <w:rPr>
                <w:rFonts w:ascii="宋体" w:hAnsi="宋体" w:eastAsia="宋体" w:cs="宋体"/>
                <w:color w:val="auto"/>
                <w:sz w:val="24"/>
                <w:szCs w:val="24"/>
              </w:rPr>
            </w:pPr>
            <w:r>
              <w:rPr>
                <w:rFonts w:ascii="宋体" w:hAnsi="宋体" w:eastAsia="宋体" w:cs="宋体"/>
                <w:color w:val="auto"/>
                <w:spacing w:val="8"/>
                <w:sz w:val="24"/>
                <w:szCs w:val="24"/>
              </w:rPr>
              <w:t>每发现一处问题，未整改扣0.5分</w:t>
            </w:r>
          </w:p>
        </w:tc>
        <w:tc>
          <w:tcPr>
            <w:tcW w:w="1350" w:type="dxa"/>
            <w:vAlign w:val="top"/>
          </w:tcPr>
          <w:p w14:paraId="0CEA1C75">
            <w:pPr>
              <w:rPr>
                <w:rFonts w:ascii="Arial"/>
                <w:color w:val="auto"/>
                <w:sz w:val="24"/>
                <w:szCs w:val="24"/>
              </w:rPr>
            </w:pPr>
          </w:p>
        </w:tc>
      </w:tr>
      <w:tr w14:paraId="05A74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00" w:type="dxa"/>
            <w:vMerge w:val="continue"/>
            <w:tcBorders>
              <w:top w:val="nil"/>
            </w:tcBorders>
            <w:vAlign w:val="top"/>
          </w:tcPr>
          <w:p w14:paraId="542DB28E">
            <w:pPr>
              <w:jc w:val="center"/>
              <w:rPr>
                <w:rFonts w:ascii="Arial"/>
                <w:color w:val="auto"/>
                <w:sz w:val="24"/>
                <w:szCs w:val="24"/>
              </w:rPr>
            </w:pPr>
          </w:p>
        </w:tc>
        <w:tc>
          <w:tcPr>
            <w:tcW w:w="975" w:type="dxa"/>
            <w:vMerge w:val="continue"/>
            <w:tcBorders>
              <w:top w:val="nil"/>
            </w:tcBorders>
            <w:vAlign w:val="top"/>
          </w:tcPr>
          <w:p w14:paraId="2D75231C">
            <w:pPr>
              <w:jc w:val="center"/>
              <w:rPr>
                <w:rFonts w:ascii="Arial"/>
                <w:color w:val="auto"/>
                <w:sz w:val="24"/>
                <w:szCs w:val="24"/>
              </w:rPr>
            </w:pPr>
          </w:p>
        </w:tc>
        <w:tc>
          <w:tcPr>
            <w:tcW w:w="1050" w:type="dxa"/>
            <w:vMerge w:val="continue"/>
            <w:tcBorders>
              <w:top w:val="nil"/>
            </w:tcBorders>
            <w:vAlign w:val="top"/>
          </w:tcPr>
          <w:p w14:paraId="127FAF31">
            <w:pPr>
              <w:jc w:val="center"/>
              <w:rPr>
                <w:rFonts w:ascii="Arial"/>
                <w:color w:val="auto"/>
                <w:sz w:val="24"/>
                <w:szCs w:val="24"/>
              </w:rPr>
            </w:pPr>
          </w:p>
        </w:tc>
        <w:tc>
          <w:tcPr>
            <w:tcW w:w="2512" w:type="dxa"/>
            <w:vAlign w:val="top"/>
          </w:tcPr>
          <w:p w14:paraId="3D00CBD2">
            <w:pPr>
              <w:spacing w:before="36" w:line="232" w:lineRule="auto"/>
              <w:ind w:left="114" w:right="192" w:hanging="2"/>
              <w:rPr>
                <w:rFonts w:ascii="宋体" w:hAnsi="宋体" w:eastAsia="宋体" w:cs="宋体"/>
                <w:color w:val="auto"/>
                <w:sz w:val="24"/>
                <w:szCs w:val="24"/>
              </w:rPr>
            </w:pPr>
            <w:r>
              <w:rPr>
                <w:rFonts w:ascii="宋体" w:hAnsi="宋体" w:eastAsia="宋体" w:cs="宋体"/>
                <w:color w:val="auto"/>
                <w:spacing w:val="9"/>
                <w:sz w:val="24"/>
                <w:szCs w:val="24"/>
              </w:rPr>
              <w:t>擅自迁移（拆除）各类路灯</w:t>
            </w:r>
            <w:r>
              <w:rPr>
                <w:rFonts w:ascii="宋体" w:hAnsi="宋体" w:eastAsia="宋体" w:cs="宋体"/>
                <w:color w:val="auto"/>
                <w:sz w:val="24"/>
                <w:szCs w:val="24"/>
              </w:rPr>
              <w:t xml:space="preserve"> </w:t>
            </w:r>
            <w:r>
              <w:rPr>
                <w:rFonts w:ascii="宋体" w:hAnsi="宋体" w:eastAsia="宋体" w:cs="宋体"/>
                <w:color w:val="auto"/>
                <w:spacing w:val="7"/>
                <w:sz w:val="24"/>
                <w:szCs w:val="24"/>
              </w:rPr>
              <w:t>设施情况。（6分）</w:t>
            </w:r>
          </w:p>
        </w:tc>
        <w:tc>
          <w:tcPr>
            <w:tcW w:w="3233" w:type="dxa"/>
            <w:vAlign w:val="top"/>
          </w:tcPr>
          <w:p w14:paraId="6B33B5AD">
            <w:pPr>
              <w:spacing w:before="170" w:line="228" w:lineRule="auto"/>
              <w:ind w:left="112"/>
              <w:rPr>
                <w:rFonts w:ascii="宋体" w:hAnsi="宋体" w:eastAsia="宋体" w:cs="宋体"/>
                <w:color w:val="auto"/>
                <w:sz w:val="24"/>
                <w:szCs w:val="24"/>
              </w:rPr>
            </w:pPr>
            <w:r>
              <w:rPr>
                <w:rFonts w:ascii="宋体" w:hAnsi="宋体" w:eastAsia="宋体" w:cs="宋体"/>
                <w:color w:val="auto"/>
                <w:spacing w:val="9"/>
                <w:sz w:val="24"/>
                <w:szCs w:val="24"/>
              </w:rPr>
              <w:t>每发现一次擅自情况未报备，扣2分</w:t>
            </w:r>
          </w:p>
        </w:tc>
        <w:tc>
          <w:tcPr>
            <w:tcW w:w="1350" w:type="dxa"/>
            <w:vAlign w:val="top"/>
          </w:tcPr>
          <w:p w14:paraId="47362D96">
            <w:pPr>
              <w:rPr>
                <w:rFonts w:ascii="Arial"/>
                <w:color w:val="auto"/>
                <w:sz w:val="24"/>
                <w:szCs w:val="24"/>
              </w:rPr>
            </w:pPr>
          </w:p>
        </w:tc>
      </w:tr>
      <w:tr w14:paraId="0AAFD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00" w:type="dxa"/>
            <w:vAlign w:val="top"/>
          </w:tcPr>
          <w:p w14:paraId="7385B59F">
            <w:pPr>
              <w:spacing w:line="376" w:lineRule="auto"/>
              <w:jc w:val="center"/>
              <w:rPr>
                <w:rFonts w:ascii="Arial"/>
                <w:color w:val="auto"/>
                <w:sz w:val="24"/>
                <w:szCs w:val="24"/>
              </w:rPr>
            </w:pPr>
          </w:p>
          <w:p w14:paraId="6E37A4A8">
            <w:pPr>
              <w:spacing w:before="65" w:line="266" w:lineRule="exact"/>
              <w:ind w:left="114"/>
              <w:jc w:val="center"/>
              <w:rPr>
                <w:rFonts w:hint="eastAsia" w:ascii="宋体" w:hAnsi="宋体" w:eastAsia="宋体" w:cs="宋体"/>
                <w:color w:val="auto"/>
                <w:sz w:val="24"/>
                <w:szCs w:val="24"/>
                <w:lang w:eastAsia="zh-CN"/>
              </w:rPr>
            </w:pPr>
            <w:r>
              <w:rPr>
                <w:rFonts w:hint="eastAsia" w:ascii="宋体" w:hAnsi="宋体" w:eastAsia="宋体" w:cs="宋体"/>
                <w:color w:val="auto"/>
                <w:position w:val="1"/>
                <w:sz w:val="24"/>
                <w:szCs w:val="24"/>
                <w:lang w:val="en-US" w:eastAsia="zh-CN"/>
              </w:rPr>
              <w:t>3</w:t>
            </w:r>
          </w:p>
        </w:tc>
        <w:tc>
          <w:tcPr>
            <w:tcW w:w="2025" w:type="dxa"/>
            <w:gridSpan w:val="2"/>
            <w:vAlign w:val="top"/>
          </w:tcPr>
          <w:p w14:paraId="5D034ADF">
            <w:pPr>
              <w:spacing w:line="243" w:lineRule="auto"/>
              <w:jc w:val="center"/>
              <w:rPr>
                <w:rFonts w:ascii="Arial"/>
                <w:color w:val="auto"/>
                <w:sz w:val="24"/>
                <w:szCs w:val="24"/>
              </w:rPr>
            </w:pPr>
          </w:p>
          <w:p w14:paraId="643F3D21">
            <w:pPr>
              <w:spacing w:before="65" w:line="253" w:lineRule="auto"/>
              <w:ind w:left="132" w:right="126" w:hanging="21"/>
              <w:jc w:val="center"/>
              <w:rPr>
                <w:rFonts w:ascii="宋体" w:hAnsi="宋体" w:eastAsia="宋体" w:cs="宋体"/>
                <w:color w:val="auto"/>
                <w:sz w:val="24"/>
                <w:szCs w:val="24"/>
              </w:rPr>
            </w:pPr>
            <w:r>
              <w:rPr>
                <w:rFonts w:ascii="宋体" w:hAnsi="宋体" w:eastAsia="宋体" w:cs="宋体"/>
                <w:color w:val="auto"/>
                <w:spacing w:val="7"/>
                <w:sz w:val="24"/>
                <w:szCs w:val="24"/>
              </w:rPr>
              <w:t>重点工作（10分</w:t>
            </w:r>
            <w:r>
              <w:rPr>
                <w:rFonts w:ascii="宋体" w:hAnsi="宋体" w:eastAsia="宋体" w:cs="宋体"/>
                <w:color w:val="auto"/>
                <w:spacing w:val="3"/>
                <w:sz w:val="24"/>
                <w:szCs w:val="24"/>
              </w:rPr>
              <w:t xml:space="preserve"> </w:t>
            </w:r>
            <w:r>
              <w:rPr>
                <w:rFonts w:ascii="宋体" w:hAnsi="宋体" w:eastAsia="宋体" w:cs="宋体"/>
                <w:color w:val="auto"/>
                <w:sz w:val="24"/>
                <w:szCs w:val="24"/>
              </w:rPr>
              <w:t>)</w:t>
            </w:r>
          </w:p>
        </w:tc>
        <w:tc>
          <w:tcPr>
            <w:tcW w:w="2512" w:type="dxa"/>
            <w:vAlign w:val="top"/>
          </w:tcPr>
          <w:p w14:paraId="34C269BE">
            <w:pPr>
              <w:spacing w:before="33" w:line="243" w:lineRule="auto"/>
              <w:ind w:left="112" w:right="188"/>
              <w:jc w:val="both"/>
              <w:rPr>
                <w:rFonts w:ascii="宋体" w:hAnsi="宋体" w:eastAsia="宋体" w:cs="宋体"/>
                <w:color w:val="auto"/>
                <w:sz w:val="24"/>
                <w:szCs w:val="24"/>
              </w:rPr>
            </w:pPr>
            <w:r>
              <w:rPr>
                <w:rFonts w:ascii="宋体" w:hAnsi="宋体" w:eastAsia="宋体" w:cs="宋体"/>
                <w:color w:val="auto"/>
                <w:spacing w:val="9"/>
                <w:sz w:val="24"/>
                <w:szCs w:val="24"/>
              </w:rPr>
              <w:t>养护计划月完成情况、网格</w:t>
            </w:r>
            <w:r>
              <w:rPr>
                <w:rFonts w:ascii="宋体" w:hAnsi="宋体" w:eastAsia="宋体" w:cs="宋体"/>
                <w:color w:val="auto"/>
                <w:sz w:val="24"/>
                <w:szCs w:val="24"/>
              </w:rPr>
              <w:t xml:space="preserve"> </w:t>
            </w:r>
            <w:r>
              <w:rPr>
                <w:rFonts w:ascii="宋体" w:hAnsi="宋体" w:eastAsia="宋体" w:cs="宋体"/>
                <w:color w:val="auto"/>
                <w:spacing w:val="9"/>
                <w:sz w:val="24"/>
                <w:szCs w:val="24"/>
              </w:rPr>
              <w:t>化重点工作完成情况、领导</w:t>
            </w:r>
            <w:r>
              <w:rPr>
                <w:rFonts w:ascii="宋体" w:hAnsi="宋体" w:eastAsia="宋体" w:cs="宋体"/>
                <w:color w:val="auto"/>
                <w:sz w:val="24"/>
                <w:szCs w:val="24"/>
              </w:rPr>
              <w:t xml:space="preserve"> </w:t>
            </w:r>
            <w:r>
              <w:rPr>
                <w:rFonts w:ascii="宋体" w:hAnsi="宋体" w:eastAsia="宋体" w:cs="宋体"/>
                <w:color w:val="auto"/>
                <w:spacing w:val="8"/>
                <w:sz w:val="24"/>
                <w:szCs w:val="24"/>
              </w:rPr>
              <w:t>交办工作完成情况等。（10</w:t>
            </w:r>
            <w:r>
              <w:rPr>
                <w:rFonts w:ascii="宋体" w:hAnsi="宋体" w:eastAsia="宋体" w:cs="宋体"/>
                <w:color w:val="auto"/>
                <w:spacing w:val="7"/>
                <w:sz w:val="24"/>
                <w:szCs w:val="24"/>
              </w:rPr>
              <w:t xml:space="preserve"> </w:t>
            </w:r>
            <w:r>
              <w:rPr>
                <w:rFonts w:ascii="宋体" w:hAnsi="宋体" w:eastAsia="宋体" w:cs="宋体"/>
                <w:color w:val="auto"/>
                <w:sz w:val="24"/>
                <w:szCs w:val="24"/>
              </w:rPr>
              <w:t>分）</w:t>
            </w:r>
          </w:p>
        </w:tc>
        <w:tc>
          <w:tcPr>
            <w:tcW w:w="3233" w:type="dxa"/>
            <w:vAlign w:val="top"/>
          </w:tcPr>
          <w:p w14:paraId="5CB01315">
            <w:pPr>
              <w:spacing w:line="242" w:lineRule="auto"/>
              <w:rPr>
                <w:rFonts w:ascii="Arial"/>
                <w:color w:val="auto"/>
                <w:sz w:val="24"/>
                <w:szCs w:val="24"/>
              </w:rPr>
            </w:pPr>
          </w:p>
          <w:p w14:paraId="07925E6F">
            <w:pPr>
              <w:spacing w:before="65" w:line="252" w:lineRule="auto"/>
              <w:ind w:left="127" w:right="190" w:hanging="13"/>
              <w:rPr>
                <w:rFonts w:ascii="宋体" w:hAnsi="宋体" w:eastAsia="宋体" w:cs="宋体"/>
                <w:color w:val="auto"/>
                <w:sz w:val="24"/>
                <w:szCs w:val="24"/>
              </w:rPr>
            </w:pPr>
            <w:r>
              <w:rPr>
                <w:rFonts w:ascii="宋体" w:hAnsi="宋体" w:eastAsia="宋体" w:cs="宋体"/>
                <w:color w:val="auto"/>
                <w:spacing w:val="8"/>
                <w:sz w:val="24"/>
                <w:szCs w:val="24"/>
              </w:rPr>
              <w:t>单项重点工作，完成度100%不扣分，每低</w:t>
            </w:r>
            <w:r>
              <w:rPr>
                <w:rFonts w:ascii="宋体" w:hAnsi="宋体" w:eastAsia="宋体" w:cs="宋体"/>
                <w:color w:val="auto"/>
                <w:spacing w:val="6"/>
                <w:sz w:val="24"/>
                <w:szCs w:val="24"/>
              </w:rPr>
              <w:t xml:space="preserve"> </w:t>
            </w:r>
            <w:r>
              <w:rPr>
                <w:rFonts w:ascii="宋体" w:hAnsi="宋体" w:eastAsia="宋体" w:cs="宋体"/>
                <w:color w:val="auto"/>
                <w:spacing w:val="3"/>
                <w:sz w:val="24"/>
                <w:szCs w:val="24"/>
              </w:rPr>
              <w:t>1%，扣0.1分</w:t>
            </w:r>
          </w:p>
        </w:tc>
        <w:tc>
          <w:tcPr>
            <w:tcW w:w="1350" w:type="dxa"/>
            <w:vAlign w:val="top"/>
          </w:tcPr>
          <w:p w14:paraId="7EFB70EF">
            <w:pPr>
              <w:rPr>
                <w:rFonts w:ascii="Arial"/>
                <w:color w:val="auto"/>
                <w:sz w:val="24"/>
                <w:szCs w:val="24"/>
              </w:rPr>
            </w:pPr>
          </w:p>
        </w:tc>
      </w:tr>
      <w:tr w14:paraId="17EF8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00" w:type="dxa"/>
            <w:vMerge w:val="restart"/>
            <w:vAlign w:val="top"/>
          </w:tcPr>
          <w:p w14:paraId="3AF10B2D">
            <w:pPr>
              <w:spacing w:before="65" w:line="266" w:lineRule="exact"/>
              <w:ind w:left="114"/>
              <w:jc w:val="center"/>
              <w:rPr>
                <w:rFonts w:hint="eastAsia" w:ascii="宋体" w:hAnsi="宋体" w:eastAsia="宋体" w:cs="宋体"/>
                <w:color w:val="auto"/>
                <w:position w:val="1"/>
                <w:sz w:val="24"/>
                <w:szCs w:val="24"/>
                <w:lang w:val="en-US" w:eastAsia="zh-CN"/>
              </w:rPr>
            </w:pPr>
            <w:r>
              <w:rPr>
                <w:rFonts w:hint="eastAsia" w:ascii="宋体" w:hAnsi="宋体" w:eastAsia="宋体" w:cs="宋体"/>
                <w:color w:val="auto"/>
                <w:position w:val="1"/>
                <w:sz w:val="24"/>
                <w:szCs w:val="24"/>
                <w:lang w:val="en-US" w:eastAsia="zh-CN"/>
              </w:rPr>
              <w:t xml:space="preserve"> </w:t>
            </w:r>
          </w:p>
          <w:p w14:paraId="6C27B32E">
            <w:pPr>
              <w:spacing w:before="65" w:line="266" w:lineRule="exact"/>
              <w:ind w:left="114"/>
              <w:jc w:val="center"/>
              <w:rPr>
                <w:rFonts w:hint="eastAsia" w:ascii="宋体" w:hAnsi="宋体" w:eastAsia="宋体" w:cs="宋体"/>
                <w:color w:val="auto"/>
                <w:position w:val="1"/>
                <w:sz w:val="24"/>
                <w:szCs w:val="24"/>
                <w:lang w:val="en-US" w:eastAsia="zh-CN"/>
              </w:rPr>
            </w:pPr>
          </w:p>
          <w:p w14:paraId="1B9D8513">
            <w:pPr>
              <w:spacing w:before="65" w:line="266" w:lineRule="exact"/>
              <w:ind w:left="114"/>
              <w:jc w:val="center"/>
              <w:rPr>
                <w:rFonts w:hint="eastAsia" w:ascii="宋体" w:hAnsi="宋体" w:eastAsia="宋体" w:cs="宋体"/>
                <w:color w:val="auto"/>
                <w:position w:val="1"/>
                <w:sz w:val="24"/>
                <w:szCs w:val="24"/>
                <w:lang w:val="en-US" w:eastAsia="zh-CN"/>
              </w:rPr>
            </w:pPr>
          </w:p>
          <w:p w14:paraId="7D5E8897">
            <w:pPr>
              <w:spacing w:before="65" w:line="266" w:lineRule="exact"/>
              <w:ind w:left="114"/>
              <w:jc w:val="center"/>
              <w:rPr>
                <w:rFonts w:hint="eastAsia" w:ascii="宋体" w:hAnsi="宋体" w:eastAsia="宋体" w:cs="宋体"/>
                <w:color w:val="auto"/>
                <w:position w:val="1"/>
                <w:sz w:val="24"/>
                <w:szCs w:val="24"/>
                <w:lang w:val="en-US" w:eastAsia="zh-CN"/>
              </w:rPr>
            </w:pPr>
          </w:p>
          <w:p w14:paraId="627EF913">
            <w:pPr>
              <w:spacing w:before="65" w:line="266" w:lineRule="exact"/>
              <w:ind w:left="114"/>
              <w:jc w:val="center"/>
              <w:rPr>
                <w:rFonts w:hint="default" w:ascii="宋体" w:hAnsi="宋体" w:eastAsia="宋体" w:cs="宋体"/>
                <w:color w:val="auto"/>
                <w:position w:val="1"/>
                <w:sz w:val="24"/>
                <w:szCs w:val="24"/>
                <w:lang w:val="en-US" w:eastAsia="zh-CN"/>
              </w:rPr>
            </w:pPr>
            <w:r>
              <w:rPr>
                <w:rFonts w:hint="eastAsia" w:ascii="宋体" w:hAnsi="宋体" w:eastAsia="宋体" w:cs="宋体"/>
                <w:color w:val="auto"/>
                <w:position w:val="1"/>
                <w:sz w:val="24"/>
                <w:szCs w:val="24"/>
                <w:lang w:val="en-US" w:eastAsia="zh-CN"/>
              </w:rPr>
              <w:t>4</w:t>
            </w:r>
          </w:p>
        </w:tc>
        <w:tc>
          <w:tcPr>
            <w:tcW w:w="2025" w:type="dxa"/>
            <w:gridSpan w:val="2"/>
            <w:vMerge w:val="restart"/>
            <w:vAlign w:val="top"/>
          </w:tcPr>
          <w:p w14:paraId="4B35E07D">
            <w:pPr>
              <w:spacing w:before="65" w:line="253" w:lineRule="auto"/>
              <w:ind w:left="132" w:right="126" w:hanging="21"/>
              <w:jc w:val="center"/>
              <w:rPr>
                <w:rFonts w:ascii="宋体" w:hAnsi="宋体" w:eastAsia="宋体" w:cs="宋体"/>
                <w:color w:val="auto"/>
                <w:spacing w:val="7"/>
                <w:sz w:val="24"/>
                <w:szCs w:val="24"/>
              </w:rPr>
            </w:pPr>
          </w:p>
          <w:p w14:paraId="5FD77F8E">
            <w:pPr>
              <w:spacing w:before="65" w:line="253" w:lineRule="auto"/>
              <w:ind w:left="132" w:right="126" w:hanging="21"/>
              <w:jc w:val="center"/>
              <w:rPr>
                <w:rFonts w:ascii="宋体" w:hAnsi="宋体" w:eastAsia="宋体" w:cs="宋体"/>
                <w:color w:val="auto"/>
                <w:spacing w:val="7"/>
                <w:sz w:val="24"/>
                <w:szCs w:val="24"/>
              </w:rPr>
            </w:pPr>
          </w:p>
          <w:p w14:paraId="5A23A0B1">
            <w:pPr>
              <w:spacing w:before="65" w:line="253" w:lineRule="auto"/>
              <w:ind w:left="132" w:right="126" w:hanging="21"/>
              <w:jc w:val="center"/>
              <w:rPr>
                <w:rFonts w:ascii="宋体" w:hAnsi="宋体" w:eastAsia="宋体" w:cs="宋体"/>
                <w:color w:val="auto"/>
                <w:spacing w:val="7"/>
                <w:sz w:val="24"/>
                <w:szCs w:val="24"/>
              </w:rPr>
            </w:pPr>
          </w:p>
          <w:p w14:paraId="484678CA">
            <w:pPr>
              <w:spacing w:before="65" w:line="253" w:lineRule="auto"/>
              <w:ind w:left="132" w:right="126" w:hanging="21"/>
              <w:jc w:val="center"/>
              <w:rPr>
                <w:rFonts w:ascii="宋体" w:hAnsi="宋体" w:eastAsia="宋体" w:cs="宋体"/>
                <w:color w:val="auto"/>
                <w:spacing w:val="7"/>
                <w:sz w:val="24"/>
                <w:szCs w:val="24"/>
              </w:rPr>
            </w:pPr>
            <w:r>
              <w:rPr>
                <w:rFonts w:ascii="宋体" w:hAnsi="宋体" w:eastAsia="宋体" w:cs="宋体"/>
                <w:color w:val="auto"/>
                <w:spacing w:val="7"/>
                <w:sz w:val="24"/>
                <w:szCs w:val="24"/>
              </w:rPr>
              <w:t>社会监督（20分</w:t>
            </w:r>
            <w:r>
              <w:rPr>
                <w:rFonts w:ascii="宋体" w:hAnsi="宋体" w:eastAsia="宋体" w:cs="宋体"/>
                <w:color w:val="auto"/>
                <w:spacing w:val="2"/>
                <w:sz w:val="24"/>
                <w:szCs w:val="24"/>
              </w:rPr>
              <w:t xml:space="preserve"> </w:t>
            </w:r>
            <w:r>
              <w:rPr>
                <w:rFonts w:ascii="宋体" w:hAnsi="宋体" w:eastAsia="宋体" w:cs="宋体"/>
                <w:color w:val="auto"/>
                <w:sz w:val="24"/>
                <w:szCs w:val="24"/>
              </w:rPr>
              <w:t>)</w:t>
            </w:r>
          </w:p>
        </w:tc>
        <w:tc>
          <w:tcPr>
            <w:tcW w:w="2512" w:type="dxa"/>
            <w:vAlign w:val="top"/>
          </w:tcPr>
          <w:p w14:paraId="6FE341EC">
            <w:pPr>
              <w:spacing w:before="33" w:line="243" w:lineRule="auto"/>
              <w:ind w:left="112" w:right="188"/>
              <w:jc w:val="center"/>
              <w:rPr>
                <w:rFonts w:ascii="宋体" w:hAnsi="宋体" w:eastAsia="宋体" w:cs="宋体"/>
                <w:color w:val="auto"/>
                <w:spacing w:val="9"/>
                <w:sz w:val="24"/>
                <w:szCs w:val="24"/>
              </w:rPr>
            </w:pPr>
            <w:r>
              <w:rPr>
                <w:rFonts w:ascii="宋体" w:hAnsi="宋体" w:eastAsia="宋体" w:cs="宋体"/>
                <w:color w:val="auto"/>
                <w:spacing w:val="7"/>
                <w:sz w:val="24"/>
                <w:szCs w:val="24"/>
              </w:rPr>
              <w:t>单位巡（检）查、12345投</w:t>
            </w:r>
            <w:r>
              <w:rPr>
                <w:rFonts w:ascii="宋体" w:hAnsi="宋体" w:eastAsia="宋体" w:cs="宋体"/>
                <w:color w:val="auto"/>
                <w:spacing w:val="2"/>
                <w:sz w:val="24"/>
                <w:szCs w:val="24"/>
              </w:rPr>
              <w:t xml:space="preserve">  </w:t>
            </w:r>
            <w:r>
              <w:rPr>
                <w:rFonts w:ascii="宋体" w:hAnsi="宋体" w:eastAsia="宋体" w:cs="宋体"/>
                <w:color w:val="auto"/>
                <w:spacing w:val="7"/>
                <w:sz w:val="24"/>
                <w:szCs w:val="24"/>
              </w:rPr>
              <w:t>诉等发现的问题。（10分）</w:t>
            </w:r>
          </w:p>
        </w:tc>
        <w:tc>
          <w:tcPr>
            <w:tcW w:w="3233" w:type="dxa"/>
            <w:vAlign w:val="top"/>
          </w:tcPr>
          <w:p w14:paraId="3B188440">
            <w:pPr>
              <w:spacing w:line="361" w:lineRule="auto"/>
              <w:jc w:val="center"/>
              <w:rPr>
                <w:rFonts w:ascii="Arial"/>
                <w:color w:val="auto"/>
                <w:sz w:val="24"/>
                <w:szCs w:val="24"/>
              </w:rPr>
            </w:pPr>
          </w:p>
          <w:p w14:paraId="1A9C594F">
            <w:pPr>
              <w:spacing w:before="65" w:line="251" w:lineRule="auto"/>
              <w:ind w:left="114" w:leftChars="0" w:right="190" w:rightChars="0"/>
              <w:jc w:val="center"/>
              <w:rPr>
                <w:rFonts w:ascii="宋体" w:hAnsi="宋体" w:eastAsia="宋体" w:cs="宋体"/>
                <w:color w:val="auto"/>
                <w:spacing w:val="8"/>
                <w:sz w:val="24"/>
                <w:szCs w:val="24"/>
              </w:rPr>
            </w:pPr>
            <w:r>
              <w:rPr>
                <w:rFonts w:ascii="宋体" w:hAnsi="宋体" w:eastAsia="宋体" w:cs="宋体"/>
                <w:color w:val="auto"/>
                <w:spacing w:val="9"/>
                <w:sz w:val="24"/>
                <w:szCs w:val="24"/>
              </w:rPr>
              <w:t>各类问题规定时间内未整改到位，每次扣</w:t>
            </w:r>
            <w:r>
              <w:rPr>
                <w:rFonts w:ascii="宋体" w:hAnsi="宋体" w:eastAsia="宋体" w:cs="宋体"/>
                <w:color w:val="auto"/>
                <w:spacing w:val="4"/>
                <w:sz w:val="24"/>
                <w:szCs w:val="24"/>
              </w:rPr>
              <w:t xml:space="preserve"> </w:t>
            </w:r>
            <w:r>
              <w:rPr>
                <w:rFonts w:ascii="宋体" w:hAnsi="宋体" w:eastAsia="宋体" w:cs="宋体"/>
                <w:color w:val="auto"/>
                <w:spacing w:val="8"/>
                <w:sz w:val="24"/>
                <w:szCs w:val="24"/>
              </w:rPr>
              <w:t>0.5分；未及时回复，每次扣0.5分；</w:t>
            </w:r>
            <w:r>
              <w:rPr>
                <w:rFonts w:ascii="宋体" w:hAnsi="宋体" w:eastAsia="宋体" w:cs="宋体"/>
                <w:color w:val="auto"/>
                <w:spacing w:val="7"/>
                <w:sz w:val="24"/>
                <w:szCs w:val="24"/>
              </w:rPr>
              <w:t>回复</w:t>
            </w:r>
            <w:r>
              <w:rPr>
                <w:rFonts w:ascii="宋体" w:hAnsi="宋体" w:eastAsia="宋体" w:cs="宋体"/>
                <w:color w:val="auto"/>
                <w:sz w:val="24"/>
                <w:szCs w:val="24"/>
              </w:rPr>
              <w:t xml:space="preserve"> </w:t>
            </w:r>
            <w:r>
              <w:rPr>
                <w:rFonts w:ascii="宋体" w:hAnsi="宋体" w:eastAsia="宋体" w:cs="宋体"/>
                <w:color w:val="auto"/>
                <w:spacing w:val="8"/>
                <w:sz w:val="24"/>
                <w:szCs w:val="24"/>
              </w:rPr>
              <w:t>不实，每次扣1分</w:t>
            </w:r>
          </w:p>
        </w:tc>
        <w:tc>
          <w:tcPr>
            <w:tcW w:w="1350" w:type="dxa"/>
            <w:vAlign w:val="top"/>
          </w:tcPr>
          <w:p w14:paraId="34AA006D">
            <w:pPr>
              <w:rPr>
                <w:rFonts w:ascii="Arial"/>
                <w:color w:val="auto"/>
                <w:sz w:val="21"/>
              </w:rPr>
            </w:pPr>
          </w:p>
        </w:tc>
      </w:tr>
      <w:tr w14:paraId="16883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00" w:type="dxa"/>
            <w:vMerge w:val="continue"/>
            <w:vAlign w:val="top"/>
          </w:tcPr>
          <w:p w14:paraId="2337A0B3">
            <w:pPr>
              <w:spacing w:before="65" w:line="266" w:lineRule="exact"/>
              <w:ind w:left="114"/>
              <w:jc w:val="center"/>
              <w:rPr>
                <w:rFonts w:ascii="宋体" w:hAnsi="宋体" w:eastAsia="宋体" w:cs="宋体"/>
                <w:color w:val="auto"/>
                <w:position w:val="1"/>
                <w:sz w:val="24"/>
                <w:szCs w:val="24"/>
              </w:rPr>
            </w:pPr>
          </w:p>
        </w:tc>
        <w:tc>
          <w:tcPr>
            <w:tcW w:w="2025" w:type="dxa"/>
            <w:gridSpan w:val="2"/>
            <w:vMerge w:val="continue"/>
            <w:vAlign w:val="top"/>
          </w:tcPr>
          <w:p w14:paraId="763200E1">
            <w:pPr>
              <w:spacing w:before="65" w:line="253" w:lineRule="auto"/>
              <w:ind w:left="132" w:right="126" w:hanging="21"/>
              <w:jc w:val="center"/>
              <w:rPr>
                <w:rFonts w:ascii="宋体" w:hAnsi="宋体" w:eastAsia="宋体" w:cs="宋体"/>
                <w:color w:val="auto"/>
                <w:spacing w:val="7"/>
                <w:sz w:val="24"/>
                <w:szCs w:val="24"/>
              </w:rPr>
            </w:pPr>
          </w:p>
        </w:tc>
        <w:tc>
          <w:tcPr>
            <w:tcW w:w="2512" w:type="dxa"/>
            <w:vAlign w:val="top"/>
          </w:tcPr>
          <w:p w14:paraId="5398367B">
            <w:pPr>
              <w:spacing w:before="33" w:line="243" w:lineRule="auto"/>
              <w:ind w:left="112" w:right="188"/>
              <w:jc w:val="center"/>
              <w:rPr>
                <w:rFonts w:ascii="宋体" w:hAnsi="宋体" w:eastAsia="宋体" w:cs="宋体"/>
                <w:color w:val="auto"/>
                <w:spacing w:val="9"/>
                <w:sz w:val="24"/>
                <w:szCs w:val="24"/>
              </w:rPr>
            </w:pPr>
            <w:r>
              <w:rPr>
                <w:rFonts w:ascii="宋体" w:hAnsi="宋体" w:eastAsia="宋体" w:cs="宋体"/>
                <w:color w:val="auto"/>
                <w:spacing w:val="9"/>
                <w:sz w:val="24"/>
                <w:szCs w:val="24"/>
              </w:rPr>
              <w:t>领导发现、抖音及快手短视</w:t>
            </w:r>
            <w:r>
              <w:rPr>
                <w:rFonts w:ascii="宋体" w:hAnsi="宋体" w:eastAsia="宋体" w:cs="宋体"/>
                <w:color w:val="auto"/>
                <w:sz w:val="24"/>
                <w:szCs w:val="24"/>
              </w:rPr>
              <w:t xml:space="preserve"> </w:t>
            </w:r>
            <w:r>
              <w:rPr>
                <w:rFonts w:ascii="宋体" w:hAnsi="宋体" w:eastAsia="宋体" w:cs="宋体"/>
                <w:color w:val="auto"/>
                <w:spacing w:val="8"/>
                <w:sz w:val="24"/>
                <w:szCs w:val="24"/>
              </w:rPr>
              <w:t>频等媒体曝光等问题。（10</w:t>
            </w:r>
            <w:r>
              <w:rPr>
                <w:rFonts w:ascii="宋体" w:hAnsi="宋体" w:eastAsia="宋体" w:cs="宋体"/>
                <w:color w:val="auto"/>
                <w:spacing w:val="7"/>
                <w:sz w:val="24"/>
                <w:szCs w:val="24"/>
              </w:rPr>
              <w:t xml:space="preserve"> </w:t>
            </w:r>
            <w:r>
              <w:rPr>
                <w:rFonts w:ascii="宋体" w:hAnsi="宋体" w:eastAsia="宋体" w:cs="宋体"/>
                <w:color w:val="auto"/>
                <w:sz w:val="24"/>
                <w:szCs w:val="24"/>
              </w:rPr>
              <w:t>分）</w:t>
            </w:r>
          </w:p>
        </w:tc>
        <w:tc>
          <w:tcPr>
            <w:tcW w:w="3233" w:type="dxa"/>
            <w:vAlign w:val="top"/>
          </w:tcPr>
          <w:p w14:paraId="27A3CF13">
            <w:pPr>
              <w:spacing w:before="91" w:line="253" w:lineRule="auto"/>
              <w:ind w:left="113" w:leftChars="0" w:right="292" w:rightChars="0"/>
              <w:jc w:val="center"/>
              <w:rPr>
                <w:rFonts w:ascii="宋体" w:hAnsi="宋体" w:eastAsia="宋体" w:cs="宋体"/>
                <w:color w:val="auto"/>
                <w:spacing w:val="8"/>
                <w:sz w:val="24"/>
                <w:szCs w:val="24"/>
              </w:rPr>
            </w:pPr>
            <w:r>
              <w:rPr>
                <w:rFonts w:ascii="宋体" w:hAnsi="宋体" w:eastAsia="宋体" w:cs="宋体"/>
                <w:color w:val="auto"/>
                <w:spacing w:val="9"/>
                <w:sz w:val="24"/>
                <w:szCs w:val="24"/>
              </w:rPr>
              <w:t>经查证属实，情节轻微每项扣2分，情节</w:t>
            </w:r>
            <w:r>
              <w:rPr>
                <w:rFonts w:ascii="宋体" w:hAnsi="宋体" w:eastAsia="宋体" w:cs="宋体"/>
                <w:color w:val="auto"/>
                <w:spacing w:val="1"/>
                <w:sz w:val="24"/>
                <w:szCs w:val="24"/>
              </w:rPr>
              <w:t xml:space="preserve"> </w:t>
            </w:r>
            <w:r>
              <w:rPr>
                <w:rFonts w:ascii="宋体" w:hAnsi="宋体" w:eastAsia="宋体" w:cs="宋体"/>
                <w:color w:val="auto"/>
                <w:spacing w:val="8"/>
                <w:sz w:val="24"/>
                <w:szCs w:val="24"/>
              </w:rPr>
              <w:t>严重每项扣5分，情节特别严重每项扣10</w:t>
            </w:r>
            <w:r>
              <w:rPr>
                <w:rFonts w:ascii="宋体" w:hAnsi="宋体" w:eastAsia="宋体" w:cs="宋体"/>
                <w:color w:val="auto"/>
                <w:spacing w:val="13"/>
                <w:sz w:val="24"/>
                <w:szCs w:val="24"/>
              </w:rPr>
              <w:t xml:space="preserve"> </w:t>
            </w:r>
            <w:r>
              <w:rPr>
                <w:rFonts w:ascii="宋体" w:hAnsi="宋体" w:eastAsia="宋体" w:cs="宋体"/>
                <w:color w:val="auto"/>
                <w:sz w:val="24"/>
                <w:szCs w:val="24"/>
              </w:rPr>
              <w:t>分</w:t>
            </w:r>
          </w:p>
        </w:tc>
        <w:tc>
          <w:tcPr>
            <w:tcW w:w="1350" w:type="dxa"/>
            <w:vAlign w:val="top"/>
          </w:tcPr>
          <w:p w14:paraId="684C921A">
            <w:pPr>
              <w:rPr>
                <w:rFonts w:ascii="Arial"/>
                <w:color w:val="auto"/>
                <w:sz w:val="21"/>
              </w:rPr>
            </w:pPr>
          </w:p>
        </w:tc>
      </w:tr>
      <w:tr w14:paraId="4AFD2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00" w:type="dxa"/>
            <w:vMerge w:val="restart"/>
            <w:vAlign w:val="top"/>
          </w:tcPr>
          <w:p w14:paraId="1E0C3285">
            <w:pPr>
              <w:spacing w:before="65" w:line="266" w:lineRule="exact"/>
              <w:ind w:left="114"/>
              <w:jc w:val="center"/>
              <w:rPr>
                <w:rFonts w:hint="eastAsia" w:ascii="宋体" w:hAnsi="宋体" w:eastAsia="宋体" w:cs="宋体"/>
                <w:color w:val="auto"/>
                <w:position w:val="1"/>
                <w:sz w:val="24"/>
                <w:szCs w:val="24"/>
                <w:lang w:val="en-US" w:eastAsia="zh-CN"/>
              </w:rPr>
            </w:pPr>
          </w:p>
          <w:p w14:paraId="360F8DA0">
            <w:pPr>
              <w:spacing w:before="65" w:line="266" w:lineRule="exact"/>
              <w:ind w:left="114"/>
              <w:jc w:val="center"/>
              <w:rPr>
                <w:rFonts w:hint="eastAsia" w:ascii="宋体" w:hAnsi="宋体" w:eastAsia="宋体" w:cs="宋体"/>
                <w:color w:val="auto"/>
                <w:position w:val="1"/>
                <w:sz w:val="24"/>
                <w:szCs w:val="24"/>
                <w:lang w:val="en-US" w:eastAsia="zh-CN"/>
              </w:rPr>
            </w:pPr>
          </w:p>
          <w:p w14:paraId="3E656DBE">
            <w:pPr>
              <w:spacing w:before="65" w:line="266" w:lineRule="exact"/>
              <w:ind w:left="114"/>
              <w:jc w:val="center"/>
              <w:rPr>
                <w:rFonts w:hint="eastAsia" w:ascii="宋体" w:hAnsi="宋体" w:eastAsia="宋体" w:cs="宋体"/>
                <w:color w:val="auto"/>
                <w:position w:val="1"/>
                <w:sz w:val="24"/>
                <w:szCs w:val="24"/>
                <w:lang w:val="en-US" w:eastAsia="zh-CN"/>
              </w:rPr>
            </w:pPr>
          </w:p>
          <w:p w14:paraId="19E6E5B6">
            <w:pPr>
              <w:spacing w:before="65" w:line="266" w:lineRule="exact"/>
              <w:ind w:left="114"/>
              <w:jc w:val="center"/>
              <w:rPr>
                <w:rFonts w:hint="eastAsia" w:ascii="宋体" w:hAnsi="宋体" w:eastAsia="宋体" w:cs="宋体"/>
                <w:color w:val="auto"/>
                <w:position w:val="1"/>
                <w:sz w:val="24"/>
                <w:szCs w:val="24"/>
                <w:lang w:val="en-US" w:eastAsia="zh-CN"/>
              </w:rPr>
            </w:pPr>
            <w:r>
              <w:rPr>
                <w:rFonts w:hint="eastAsia" w:ascii="宋体" w:hAnsi="宋体" w:eastAsia="宋体" w:cs="宋体"/>
                <w:color w:val="auto"/>
                <w:position w:val="1"/>
                <w:sz w:val="24"/>
                <w:szCs w:val="24"/>
                <w:lang w:val="en-US" w:eastAsia="zh-CN"/>
              </w:rPr>
              <w:t>5</w:t>
            </w:r>
          </w:p>
        </w:tc>
        <w:tc>
          <w:tcPr>
            <w:tcW w:w="2025" w:type="dxa"/>
            <w:gridSpan w:val="2"/>
            <w:vMerge w:val="restart"/>
            <w:vAlign w:val="top"/>
          </w:tcPr>
          <w:p w14:paraId="1BE10198">
            <w:pPr>
              <w:spacing w:line="371" w:lineRule="auto"/>
              <w:jc w:val="center"/>
              <w:rPr>
                <w:rFonts w:ascii="Arial"/>
                <w:color w:val="auto"/>
                <w:sz w:val="24"/>
                <w:szCs w:val="24"/>
              </w:rPr>
            </w:pPr>
          </w:p>
          <w:p w14:paraId="6ECDBBFF">
            <w:pPr>
              <w:spacing w:before="62" w:line="255" w:lineRule="auto"/>
              <w:ind w:left="131" w:leftChars="0" w:right="196" w:rightChars="0" w:hanging="17" w:firstLineChars="0"/>
              <w:jc w:val="center"/>
              <w:rPr>
                <w:rFonts w:ascii="宋体" w:hAnsi="宋体" w:eastAsia="宋体" w:cs="宋体"/>
                <w:color w:val="auto"/>
                <w:spacing w:val="7"/>
                <w:sz w:val="24"/>
                <w:szCs w:val="24"/>
              </w:rPr>
            </w:pPr>
          </w:p>
          <w:p w14:paraId="3B35CCCF">
            <w:pPr>
              <w:spacing w:before="62" w:line="255" w:lineRule="auto"/>
              <w:ind w:left="131" w:leftChars="0" w:right="196" w:rightChars="0" w:hanging="17" w:firstLineChars="0"/>
              <w:jc w:val="center"/>
              <w:rPr>
                <w:rFonts w:ascii="宋体" w:hAnsi="宋体" w:eastAsia="宋体" w:cs="宋体"/>
                <w:color w:val="auto"/>
                <w:spacing w:val="7"/>
                <w:sz w:val="24"/>
                <w:szCs w:val="24"/>
              </w:rPr>
            </w:pPr>
            <w:r>
              <w:rPr>
                <w:rFonts w:ascii="宋体" w:hAnsi="宋体" w:eastAsia="宋体" w:cs="宋体"/>
                <w:color w:val="auto"/>
                <w:spacing w:val="7"/>
                <w:sz w:val="24"/>
                <w:szCs w:val="24"/>
              </w:rPr>
              <w:t>安全生产（10分</w:t>
            </w:r>
            <w:r>
              <w:rPr>
                <w:rFonts w:ascii="宋体" w:hAnsi="宋体" w:eastAsia="宋体" w:cs="宋体"/>
                <w:color w:val="auto"/>
                <w:sz w:val="24"/>
                <w:szCs w:val="24"/>
              </w:rPr>
              <w:t xml:space="preserve"> )</w:t>
            </w:r>
          </w:p>
        </w:tc>
        <w:tc>
          <w:tcPr>
            <w:tcW w:w="2512" w:type="dxa"/>
            <w:vMerge w:val="restart"/>
            <w:vAlign w:val="top"/>
          </w:tcPr>
          <w:p w14:paraId="75881A0A">
            <w:pPr>
              <w:spacing w:before="45" w:line="248" w:lineRule="auto"/>
              <w:ind w:left="110" w:leftChars="0" w:right="111" w:rightChars="0" w:firstLine="4" w:firstLineChars="0"/>
              <w:jc w:val="center"/>
              <w:rPr>
                <w:rFonts w:ascii="宋体" w:hAnsi="宋体" w:eastAsia="宋体" w:cs="宋体"/>
                <w:color w:val="auto"/>
                <w:spacing w:val="9"/>
                <w:sz w:val="24"/>
                <w:szCs w:val="24"/>
              </w:rPr>
            </w:pPr>
            <w:r>
              <w:rPr>
                <w:rFonts w:ascii="宋体" w:hAnsi="宋体" w:eastAsia="宋体" w:cs="宋体"/>
                <w:color w:val="auto"/>
                <w:spacing w:val="9"/>
                <w:sz w:val="24"/>
                <w:szCs w:val="24"/>
              </w:rPr>
              <w:t>安全措施不到位、安全培训不</w:t>
            </w:r>
            <w:r>
              <w:rPr>
                <w:rFonts w:ascii="宋体" w:hAnsi="宋体" w:eastAsia="宋体" w:cs="宋体"/>
                <w:color w:val="auto"/>
                <w:sz w:val="24"/>
                <w:szCs w:val="24"/>
              </w:rPr>
              <w:t xml:space="preserve"> </w:t>
            </w:r>
            <w:r>
              <w:rPr>
                <w:rFonts w:ascii="宋体" w:hAnsi="宋体" w:eastAsia="宋体" w:cs="宋体"/>
                <w:color w:val="auto"/>
                <w:spacing w:val="9"/>
                <w:sz w:val="24"/>
                <w:szCs w:val="24"/>
              </w:rPr>
              <w:t>到位、仓库厂房等场所安全设</w:t>
            </w:r>
            <w:r>
              <w:rPr>
                <w:rFonts w:ascii="宋体" w:hAnsi="宋体" w:eastAsia="宋体" w:cs="宋体"/>
                <w:color w:val="auto"/>
                <w:spacing w:val="3"/>
                <w:sz w:val="24"/>
                <w:szCs w:val="24"/>
              </w:rPr>
              <w:t xml:space="preserve"> </w:t>
            </w:r>
            <w:r>
              <w:rPr>
                <w:rFonts w:ascii="宋体" w:hAnsi="宋体" w:eastAsia="宋体" w:cs="宋体"/>
                <w:color w:val="auto"/>
                <w:spacing w:val="9"/>
                <w:sz w:val="24"/>
                <w:szCs w:val="24"/>
              </w:rPr>
              <w:t>施不到位、依据招标文件规定</w:t>
            </w:r>
            <w:r>
              <w:rPr>
                <w:rFonts w:ascii="宋体" w:hAnsi="宋体" w:eastAsia="宋体" w:cs="宋体"/>
                <w:color w:val="auto"/>
                <w:spacing w:val="3"/>
                <w:sz w:val="24"/>
                <w:szCs w:val="24"/>
              </w:rPr>
              <w:t xml:space="preserve"> </w:t>
            </w:r>
            <w:r>
              <w:rPr>
                <w:rFonts w:ascii="宋体" w:hAnsi="宋体" w:eastAsia="宋体" w:cs="宋体"/>
                <w:color w:val="auto"/>
                <w:spacing w:val="9"/>
                <w:sz w:val="24"/>
                <w:szCs w:val="24"/>
              </w:rPr>
              <w:t>有持证上岗、配置全面、人员</w:t>
            </w:r>
            <w:r>
              <w:rPr>
                <w:rFonts w:ascii="宋体" w:hAnsi="宋体" w:eastAsia="宋体" w:cs="宋体"/>
                <w:color w:val="auto"/>
                <w:spacing w:val="3"/>
                <w:sz w:val="24"/>
                <w:szCs w:val="24"/>
              </w:rPr>
              <w:t xml:space="preserve"> </w:t>
            </w:r>
            <w:r>
              <w:rPr>
                <w:rFonts w:ascii="宋体" w:hAnsi="宋体" w:eastAsia="宋体" w:cs="宋体"/>
                <w:color w:val="auto"/>
                <w:spacing w:val="9"/>
                <w:sz w:val="24"/>
                <w:szCs w:val="24"/>
              </w:rPr>
              <w:t>稳定、设备齐全的专业队伍</w:t>
            </w:r>
          </w:p>
        </w:tc>
        <w:tc>
          <w:tcPr>
            <w:tcW w:w="3233" w:type="dxa"/>
            <w:vAlign w:val="top"/>
          </w:tcPr>
          <w:p w14:paraId="202AA085">
            <w:pPr>
              <w:spacing w:before="33" w:line="233" w:lineRule="auto"/>
              <w:ind w:left="115" w:leftChars="0" w:right="267" w:rightChars="0" w:hanging="3" w:firstLineChars="0"/>
              <w:jc w:val="center"/>
              <w:rPr>
                <w:rFonts w:ascii="宋体" w:hAnsi="宋体" w:eastAsia="宋体" w:cs="宋体"/>
                <w:color w:val="auto"/>
                <w:spacing w:val="8"/>
                <w:sz w:val="24"/>
                <w:szCs w:val="24"/>
              </w:rPr>
            </w:pPr>
            <w:r>
              <w:rPr>
                <w:rFonts w:ascii="宋体" w:hAnsi="宋体" w:eastAsia="宋体" w:cs="宋体"/>
                <w:color w:val="auto"/>
                <w:spacing w:val="8"/>
                <w:sz w:val="24"/>
                <w:szCs w:val="24"/>
              </w:rPr>
              <w:t>每发现一次，扣0.5分，队伍人员无上岗证</w:t>
            </w:r>
            <w:r>
              <w:rPr>
                <w:rFonts w:ascii="宋体" w:hAnsi="宋体" w:eastAsia="宋体" w:cs="宋体"/>
                <w:color w:val="auto"/>
                <w:spacing w:val="16"/>
                <w:sz w:val="24"/>
                <w:szCs w:val="24"/>
              </w:rPr>
              <w:t xml:space="preserve"> </w:t>
            </w:r>
            <w:r>
              <w:rPr>
                <w:rFonts w:ascii="宋体" w:hAnsi="宋体" w:eastAsia="宋体" w:cs="宋体"/>
                <w:color w:val="auto"/>
                <w:spacing w:val="4"/>
                <w:sz w:val="24"/>
                <w:szCs w:val="24"/>
              </w:rPr>
              <w:t>扣1分</w:t>
            </w:r>
          </w:p>
        </w:tc>
        <w:tc>
          <w:tcPr>
            <w:tcW w:w="1350" w:type="dxa"/>
            <w:vAlign w:val="top"/>
          </w:tcPr>
          <w:p w14:paraId="65B2D5B4">
            <w:pPr>
              <w:rPr>
                <w:rFonts w:ascii="Arial"/>
                <w:color w:val="auto"/>
                <w:sz w:val="21"/>
              </w:rPr>
            </w:pPr>
          </w:p>
        </w:tc>
      </w:tr>
      <w:tr w14:paraId="427F2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600" w:type="dxa"/>
            <w:vMerge w:val="continue"/>
            <w:vAlign w:val="top"/>
          </w:tcPr>
          <w:p w14:paraId="269C446B">
            <w:pPr>
              <w:spacing w:before="65" w:line="266" w:lineRule="exact"/>
              <w:ind w:left="114"/>
              <w:rPr>
                <w:rFonts w:ascii="宋体" w:hAnsi="宋体" w:eastAsia="宋体" w:cs="宋体"/>
                <w:color w:val="auto"/>
                <w:position w:val="1"/>
                <w:sz w:val="24"/>
                <w:szCs w:val="24"/>
              </w:rPr>
            </w:pPr>
          </w:p>
        </w:tc>
        <w:tc>
          <w:tcPr>
            <w:tcW w:w="2025" w:type="dxa"/>
            <w:gridSpan w:val="2"/>
            <w:vMerge w:val="continue"/>
            <w:vAlign w:val="top"/>
          </w:tcPr>
          <w:p w14:paraId="7991B803">
            <w:pPr>
              <w:rPr>
                <w:rFonts w:ascii="宋体" w:hAnsi="宋体" w:eastAsia="宋体" w:cs="宋体"/>
                <w:color w:val="auto"/>
                <w:spacing w:val="7"/>
                <w:sz w:val="24"/>
                <w:szCs w:val="24"/>
              </w:rPr>
            </w:pPr>
          </w:p>
        </w:tc>
        <w:tc>
          <w:tcPr>
            <w:tcW w:w="2512" w:type="dxa"/>
            <w:vMerge w:val="continue"/>
            <w:vAlign w:val="top"/>
          </w:tcPr>
          <w:p w14:paraId="2A30F896">
            <w:pPr>
              <w:rPr>
                <w:rFonts w:ascii="宋体" w:hAnsi="宋体" w:eastAsia="宋体" w:cs="宋体"/>
                <w:color w:val="auto"/>
                <w:spacing w:val="9"/>
                <w:sz w:val="24"/>
                <w:szCs w:val="24"/>
              </w:rPr>
            </w:pPr>
          </w:p>
        </w:tc>
        <w:tc>
          <w:tcPr>
            <w:tcW w:w="3233" w:type="dxa"/>
            <w:vAlign w:val="top"/>
          </w:tcPr>
          <w:p w14:paraId="2ACECA40">
            <w:pPr>
              <w:spacing w:before="173" w:line="253" w:lineRule="auto"/>
              <w:ind w:left="119" w:leftChars="0" w:right="166" w:rightChars="0" w:hanging="6" w:firstLineChars="0"/>
              <w:jc w:val="center"/>
              <w:rPr>
                <w:rFonts w:ascii="宋体" w:hAnsi="宋体" w:eastAsia="宋体" w:cs="宋体"/>
                <w:color w:val="auto"/>
                <w:spacing w:val="8"/>
                <w:sz w:val="24"/>
                <w:szCs w:val="24"/>
              </w:rPr>
            </w:pPr>
            <w:r>
              <w:rPr>
                <w:rFonts w:ascii="宋体" w:hAnsi="宋体" w:eastAsia="宋体" w:cs="宋体"/>
                <w:color w:val="auto"/>
                <w:spacing w:val="9"/>
                <w:sz w:val="24"/>
                <w:szCs w:val="24"/>
              </w:rPr>
              <w:t>若发生安全事故该项不得分，并承担相应的</w:t>
            </w:r>
            <w:r>
              <w:rPr>
                <w:rFonts w:ascii="宋体" w:hAnsi="宋体" w:eastAsia="宋体" w:cs="宋体"/>
                <w:color w:val="auto"/>
                <w:spacing w:val="10"/>
                <w:sz w:val="24"/>
                <w:szCs w:val="24"/>
              </w:rPr>
              <w:t xml:space="preserve"> </w:t>
            </w:r>
            <w:r>
              <w:rPr>
                <w:rFonts w:ascii="宋体" w:hAnsi="宋体" w:eastAsia="宋体" w:cs="宋体"/>
                <w:color w:val="auto"/>
                <w:spacing w:val="1"/>
                <w:sz w:val="24"/>
                <w:szCs w:val="24"/>
              </w:rPr>
              <w:t>责任。</w:t>
            </w:r>
          </w:p>
        </w:tc>
        <w:tc>
          <w:tcPr>
            <w:tcW w:w="1350" w:type="dxa"/>
            <w:vAlign w:val="top"/>
          </w:tcPr>
          <w:p w14:paraId="34E8D4F2">
            <w:pPr>
              <w:rPr>
                <w:rFonts w:ascii="Arial"/>
                <w:color w:val="auto"/>
                <w:sz w:val="21"/>
              </w:rPr>
            </w:pPr>
          </w:p>
        </w:tc>
      </w:tr>
    </w:tbl>
    <w:p w14:paraId="605CF439">
      <w:pPr>
        <w:spacing w:line="360" w:lineRule="auto"/>
        <w:rPr>
          <w:rFonts w:hint="eastAsia" w:ascii="宋体" w:hAnsi="宋体" w:eastAsia="宋体" w:cs="宋体"/>
          <w:color w:val="FF0000"/>
          <w:spacing w:val="-3"/>
          <w:sz w:val="24"/>
          <w:szCs w:val="24"/>
        </w:rPr>
      </w:pPr>
    </w:p>
    <w:p w14:paraId="4BC1D4BA">
      <w:pPr>
        <w:spacing w:line="360" w:lineRule="auto"/>
        <w:rPr>
          <w:rFonts w:hint="eastAsia" w:ascii="宋体" w:hAnsi="宋体" w:eastAsia="宋体" w:cs="宋体"/>
          <w:b/>
          <w:bCs/>
          <w:color w:val="auto"/>
          <w:spacing w:val="-1"/>
          <w:sz w:val="21"/>
          <w:szCs w:val="21"/>
          <w:lang w:eastAsia="zh-CN"/>
        </w:rPr>
      </w:pPr>
      <w:r>
        <w:rPr>
          <w:rFonts w:hint="eastAsia" w:ascii="宋体" w:hAnsi="宋体" w:eastAsia="宋体" w:cs="宋体"/>
          <w:color w:val="auto"/>
          <w:spacing w:val="9"/>
          <w:sz w:val="24"/>
          <w:szCs w:val="24"/>
        </w:rPr>
        <w:t>注：本细则为百分制。</w:t>
      </w:r>
    </w:p>
    <w:p w14:paraId="5BB97E0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color w:val="auto"/>
          <w:sz w:val="28"/>
          <w:szCs w:val="28"/>
        </w:rPr>
      </w:pPr>
      <w:r>
        <w:rPr>
          <w:rFonts w:ascii="宋体" w:hAnsi="宋体" w:eastAsia="宋体" w:cs="宋体"/>
          <w:b/>
          <w:bCs/>
          <w:color w:val="auto"/>
          <w:spacing w:val="7"/>
          <w:sz w:val="28"/>
          <w:szCs w:val="28"/>
        </w:rPr>
        <w:t>楼</w:t>
      </w:r>
      <w:r>
        <w:rPr>
          <w:rFonts w:hint="eastAsia" w:ascii="宋体" w:hAnsi="宋体" w:eastAsia="宋体" w:cs="宋体"/>
          <w:b/>
          <w:bCs/>
          <w:color w:val="auto"/>
          <w:spacing w:val="7"/>
          <w:sz w:val="28"/>
          <w:szCs w:val="28"/>
          <w:lang w:val="en-US" w:eastAsia="zh-CN"/>
        </w:rPr>
        <w:t>宇</w:t>
      </w:r>
      <w:r>
        <w:rPr>
          <w:rFonts w:ascii="宋体" w:hAnsi="宋体" w:eastAsia="宋体" w:cs="宋体"/>
          <w:b/>
          <w:bCs/>
          <w:color w:val="auto"/>
          <w:spacing w:val="7"/>
          <w:sz w:val="28"/>
          <w:szCs w:val="28"/>
        </w:rPr>
        <w:t>亮化维保</w:t>
      </w:r>
      <w:r>
        <w:rPr>
          <w:rFonts w:hint="eastAsia" w:ascii="宋体" w:hAnsi="宋体" w:eastAsia="宋体" w:cs="宋体"/>
          <w:b/>
          <w:bCs/>
          <w:color w:val="auto"/>
          <w:spacing w:val="7"/>
          <w:sz w:val="28"/>
          <w:szCs w:val="28"/>
          <w:lang w:val="en-US" w:eastAsia="zh-CN"/>
        </w:rPr>
        <w:t>月度</w:t>
      </w:r>
      <w:r>
        <w:rPr>
          <w:rFonts w:ascii="宋体" w:hAnsi="宋体" w:eastAsia="宋体" w:cs="宋体"/>
          <w:b/>
          <w:bCs/>
          <w:color w:val="auto"/>
          <w:spacing w:val="7"/>
          <w:sz w:val="28"/>
          <w:szCs w:val="28"/>
        </w:rPr>
        <w:t>考核标准</w:t>
      </w:r>
    </w:p>
    <w:p w14:paraId="022E67E2">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一、日常巡检与维护（40 分）</w:t>
      </w:r>
    </w:p>
    <w:p w14:paraId="47993EDA">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1.巡检频率不足（15 分）</w:t>
      </w:r>
    </w:p>
    <w:p w14:paraId="34263D9E">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（1）未按照规定的巡检周期（如每周至少一次全楼巡检）进行巡检，每少一次扣3 分（巡检不及时可能导致问题不能及时发现和处理）。</w:t>
      </w:r>
    </w:p>
    <w:p w14:paraId="5E9E4BA0">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（2）若连续两周未进行巡检，扣 5 分；连续一个月未巡检，扣 10 分。长期缺乏巡检会使楼体亮化设备的小问题积累成大故障。</w:t>
      </w:r>
    </w:p>
    <w:p w14:paraId="7699B36C">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2.问题记录不完善（15分）</w:t>
      </w:r>
    </w:p>
    <w:p w14:paraId="4EE0233B">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（1）在巡检过程中，发现问题但未记录，每次扣 3 分。准确的记录是后续维修和评估的依据。</w:t>
      </w:r>
    </w:p>
    <w:p w14:paraId="39E9B06D">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问题记录信息缺失关键内容（如问题位置、灯具型号、故障现象等），每次扣5 分。不完整的记录不利于维修人员快速定位和解决问题。</w:t>
      </w:r>
    </w:p>
    <w:p w14:paraId="3B1BE84E">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3.小问题未及时处理（10 分）</w:t>
      </w:r>
    </w:p>
    <w:p w14:paraId="2B94E397">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（1）对于巡检中发现的小问题（如个别灯具松动、灯罩轻微损坏等），未在规定时间（如 24 小时内）处理，每个问题扣 2 分。小问题若不及时处理可能发展成更 严重的故障。</w:t>
      </w:r>
    </w:p>
    <w:p w14:paraId="7E59BDB5">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（2）若小问题累积超过 5 个未处理，扣 10 分。</w:t>
      </w:r>
    </w:p>
    <w:p w14:paraId="10E6E8FC">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二、灯具及设备维护（30 分）</w:t>
      </w:r>
    </w:p>
    <w:p w14:paraId="4CA03890">
      <w:pPr>
        <w:kinsoku/>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1.灯具损坏未修复（15 分）</w:t>
      </w:r>
    </w:p>
    <w:p w14:paraId="28DDB71A">
      <w:pPr>
        <w:kinsoku/>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（1）灯具损坏后，在规定维修时间（根据损坏程度和影响，一般轻微损坏 1 - 2 天，严重损坏 3 - 5 天）内未修复，每盏灯扣 3 分。损坏的灯具会影响楼体亮化效果。</w:t>
      </w:r>
    </w:p>
    <w:p w14:paraId="196310C8">
      <w:pPr>
        <w:kinsoku/>
        <w:spacing w:line="360" w:lineRule="auto"/>
        <w:ind w:firstLine="720" w:firstLineChars="3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（2）若因灯具损坏未及时修复导致楼体出现明显的暗区（超过 5 平方米）3天内完成整改，未及时整改每处暗区扣 5 分。重大活动要求24小时内整改完成。</w:t>
      </w:r>
    </w:p>
    <w:p w14:paraId="31EB0992">
      <w:pPr>
        <w:kinsoku/>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2.设备故障维修不及时（15 分）</w:t>
      </w:r>
    </w:p>
    <w:p w14:paraId="547AE1C0">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（1）配电箱、控制器等设备出现</w:t>
      </w:r>
      <w:bookmarkStart w:id="72" w:name="_GoBack"/>
      <w:bookmarkEnd w:id="72"/>
      <w:r>
        <w:rPr>
          <w:rFonts w:hint="eastAsia" w:ascii="宋体" w:hAnsi="宋体" w:eastAsia="宋体" w:cs="宋体"/>
          <w:color w:val="auto"/>
          <w:sz w:val="24"/>
          <w:szCs w:val="24"/>
          <w:highlight w:val="none"/>
          <w:lang w:val="en-US" w:eastAsia="zh-CN"/>
        </w:rPr>
        <w:t>故障，未在 24 小时内响应维修（特殊情况除外），扣 5 分。设备故障可能影响整个楼体亮化系统的运行。</w:t>
      </w:r>
    </w:p>
    <w:p w14:paraId="598F0448">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（2）因设备故障导致楼体亮化系统部分功能丧失（如动态效果无法实现、部分区域无法照明）超过 24 小时，扣10分；超过48小时，扣15分。</w:t>
      </w:r>
    </w:p>
    <w:p w14:paraId="1B0D6D6A">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三、安全与合规性（30 分）</w:t>
      </w:r>
    </w:p>
    <w:p w14:paraId="6D514167">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1.安全隐患未整改（15 分）</w:t>
      </w:r>
    </w:p>
    <w:p w14:paraId="09A655B6">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在维保过程中发现安全隐患（如电线外露、灯具安装不牢固有坠落风险等），未在 24 小时内采取临时防护措施，扣 3 分。</w:t>
      </w:r>
    </w:p>
    <w:p w14:paraId="7090B270">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（2）未在规定时间（一般根据隐患严重程度，3 - 7 天）内彻底整改安全隐患，扣5 分；若因安全隐患导致安全事故，扣 10 分。</w:t>
      </w:r>
    </w:p>
    <w:p w14:paraId="0246C83C">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2.不符合相关规范（15分）</w:t>
      </w:r>
    </w:p>
    <w:p w14:paraId="6E96C304">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（1）在维保过程中发现楼体亮化系统不符合电气安全、照明设计等相关规范（如接 地不良、灯具防护等级不够等），每发现一项扣 3 分。不符合规范可能引发安全问题和影响亮化效果。</w:t>
      </w:r>
    </w:p>
    <w:p w14:paraId="67FA570F">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若未按要求在规定时间（7 - 10 天）内整改规范问题，扣 5 分；若因规范问 题导致严重后果（如电气火灾、人员伤亡等），扣 10 分。</w:t>
      </w:r>
    </w:p>
    <w:p w14:paraId="53BB40D5">
      <w:pPr>
        <w:spacing w:before="135" w:line="225" w:lineRule="auto"/>
        <w:ind w:firstLine="650" w:firstLineChars="200"/>
        <w:jc w:val="center"/>
        <w:rPr>
          <w:rFonts w:hint="eastAsia" w:ascii="宋体" w:hAnsi="宋体" w:eastAsia="宋体" w:cs="宋体"/>
          <w:b/>
          <w:bCs/>
          <w:color w:val="auto"/>
          <w:spacing w:val="7"/>
          <w:sz w:val="31"/>
          <w:szCs w:val="31"/>
          <w:lang w:val="en-US" w:eastAsia="zh-CN"/>
        </w:rPr>
      </w:pPr>
    </w:p>
    <w:p w14:paraId="132CCC63">
      <w:pPr>
        <w:spacing w:before="135" w:line="225" w:lineRule="auto"/>
        <w:ind w:firstLine="650" w:firstLineChars="200"/>
        <w:jc w:val="center"/>
        <w:rPr>
          <w:rFonts w:ascii="宋体" w:hAnsi="宋体" w:eastAsia="宋体" w:cs="宋体"/>
          <w:color w:val="auto"/>
          <w:sz w:val="24"/>
          <w:szCs w:val="24"/>
        </w:rPr>
      </w:pPr>
      <w:r>
        <w:rPr>
          <w:rFonts w:hint="eastAsia" w:ascii="宋体" w:hAnsi="宋体" w:eastAsia="宋体" w:cs="宋体"/>
          <w:b/>
          <w:bCs/>
          <w:color w:val="auto"/>
          <w:spacing w:val="7"/>
          <w:sz w:val="31"/>
          <w:szCs w:val="31"/>
          <w:lang w:val="en-US" w:eastAsia="zh-CN"/>
        </w:rPr>
        <w:t>公园广场景区、庭院灯，路灯灯箱，天桥、小游园、树上亮化等</w:t>
      </w:r>
      <w:r>
        <w:rPr>
          <w:rFonts w:ascii="宋体" w:hAnsi="宋体" w:eastAsia="宋体" w:cs="宋体"/>
          <w:b/>
          <w:bCs/>
          <w:color w:val="auto"/>
          <w:spacing w:val="7"/>
          <w:sz w:val="31"/>
          <w:szCs w:val="31"/>
        </w:rPr>
        <w:t>维保</w:t>
      </w:r>
      <w:r>
        <w:rPr>
          <w:rFonts w:hint="eastAsia" w:ascii="宋体" w:hAnsi="宋体" w:eastAsia="宋体" w:cs="宋体"/>
          <w:b/>
          <w:bCs/>
          <w:color w:val="auto"/>
          <w:spacing w:val="7"/>
          <w:sz w:val="31"/>
          <w:szCs w:val="31"/>
          <w:lang w:val="en-US" w:eastAsia="zh-CN"/>
        </w:rPr>
        <w:t>月度</w:t>
      </w:r>
      <w:r>
        <w:rPr>
          <w:rFonts w:ascii="宋体" w:hAnsi="宋体" w:eastAsia="宋体" w:cs="宋体"/>
          <w:b/>
          <w:bCs/>
          <w:color w:val="auto"/>
          <w:spacing w:val="7"/>
          <w:sz w:val="31"/>
          <w:szCs w:val="31"/>
        </w:rPr>
        <w:t>考核标准</w:t>
      </w:r>
    </w:p>
    <w:p w14:paraId="7D03DCC8">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一、照明设施运行状况（40 分）</w:t>
      </w:r>
    </w:p>
    <w:p w14:paraId="4495F513">
      <w:pPr>
        <w:kinsoku/>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1.灯具损坏情况（20 分）</w:t>
      </w:r>
    </w:p>
    <w:p w14:paraId="10F34AF5">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（1）若发现普通路灯、景观装饰灯等单个灯具损坏不亮未整改，每处扣 1 分。如 在公园的步行道上一盏路灯不亮告知管控公司后还未整改的，就扣 1 分。</w:t>
      </w:r>
    </w:p>
    <w:p w14:paraId="6132A0B6">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（2）对于一组造型灯（如由多个灯泡组成的艺术花灯），损坏灯泡数量占该组灯 泡总数 1/4 以内未整改，扣 3 分；损坏数量达到 1/4 - 1/2 未整改，扣 5分。例如景区入口处的一组大型花灯有部分灯泡损坏告知管控公司未整改的，根 据其损坏比例来对应扣分。</w:t>
      </w:r>
    </w:p>
    <w:p w14:paraId="48CB364D">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（3）因灯具损坏导致局部照明缺失，影响到该区域正常使用功能（如小游园的活 动广场照明不足），视影响范围大小额外扣 3 - 8 分。</w:t>
      </w:r>
    </w:p>
    <w:p w14:paraId="3552F1C2">
      <w:pPr>
        <w:kinsoku/>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2.线路问题（10 分）</w:t>
      </w:r>
    </w:p>
    <w:p w14:paraId="7E4CC955">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（1）外露线路出现表皮磨损、轻微破皮现象未整改，每处扣 2 分。像天桥下沿的 线路外皮有小面积磨损告知管控公司未整改就会被扣分。</w:t>
      </w:r>
    </w:p>
    <w:p w14:paraId="61A9723C">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（2）线路存在短路、断路等故障未及时整改，造成一片区域（超过 10 盏灯范</w:t>
      </w:r>
    </w:p>
    <w:p w14:paraId="413E002F">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围）无法正常照明，每次扣 5 分。若因线路故障引发跳闸等影响整体照明供电情 况未及时整改，扣 8 分。</w:t>
      </w:r>
    </w:p>
    <w:p w14:paraId="2A652CD4">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（3）未按规范要求对线路进行穿管保护（有穿管要求的区域），每发现一处扣 2 分</w:t>
      </w:r>
    </w:p>
    <w:p w14:paraId="0B59F81F">
      <w:pPr>
        <w:kinsoku/>
        <w:spacing w:line="360" w:lineRule="auto"/>
        <w:ind w:left="479" w:leftChars="228"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3.灯杆及附属设施故障（10 分）</w:t>
      </w:r>
    </w:p>
    <w:p w14:paraId="43D4C5A9">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（1）灯杆基础松动，有摇晃迹象，每根灯杆扣 0.5 分。</w:t>
      </w:r>
    </w:p>
    <w:p w14:paraId="39D922B4">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灯具的固定螺丝松动、缺失，导致灯具安装不稳固未及时整改，每处扣 0.2 分；若因螺丝问题致使灯具掉落或有掉落风险未及时整改，扣 1 分。</w:t>
      </w:r>
    </w:p>
    <w:p w14:paraId="2377AD14">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二、照明效果保障（25 分）</w:t>
      </w:r>
    </w:p>
    <w:p w14:paraId="1224A8D6">
      <w:pPr>
        <w:spacing w:before="78" w:line="220" w:lineRule="auto"/>
        <w:ind w:left="385"/>
        <w:rPr>
          <w:rFonts w:ascii="宋体" w:hAnsi="宋体" w:eastAsia="宋体" w:cs="宋体"/>
          <w:b/>
          <w:bCs/>
          <w:color w:val="auto"/>
          <w:spacing w:val="-4"/>
          <w:sz w:val="24"/>
          <w:szCs w:val="24"/>
        </w:rPr>
      </w:pPr>
      <w:r>
        <w:rPr>
          <w:rFonts w:ascii="宋体" w:hAnsi="宋体" w:eastAsia="宋体" w:cs="宋体"/>
          <w:b/>
          <w:bCs/>
          <w:color w:val="auto"/>
          <w:spacing w:val="-4"/>
          <w:sz w:val="24"/>
          <w:szCs w:val="24"/>
        </w:rPr>
        <w:t>1.</w:t>
      </w:r>
      <w:r>
        <w:rPr>
          <w:rFonts w:hint="eastAsia" w:ascii="宋体" w:hAnsi="宋体" w:eastAsia="宋体" w:cs="宋体"/>
          <w:b/>
          <w:bCs/>
          <w:color w:val="auto"/>
          <w:spacing w:val="-4"/>
          <w:sz w:val="24"/>
          <w:szCs w:val="24"/>
          <w:lang w:val="en-US" w:eastAsia="zh-CN"/>
        </w:rPr>
        <w:t>亮灯率</w:t>
      </w:r>
      <w:r>
        <w:rPr>
          <w:rFonts w:ascii="宋体" w:hAnsi="宋体" w:eastAsia="宋体" w:cs="宋体"/>
          <w:b/>
          <w:bCs/>
          <w:color w:val="auto"/>
          <w:spacing w:val="-4"/>
          <w:sz w:val="24"/>
          <w:szCs w:val="24"/>
        </w:rPr>
        <w:t>达标情况（15 分）</w:t>
      </w:r>
    </w:p>
    <w:p w14:paraId="072A1BA1">
      <w:pPr>
        <w:kinsoku/>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（1）各区域亮灯率达到95%，不予扣分。低于95%，每一个百分点扣1分。</w:t>
      </w:r>
    </w:p>
    <w:p w14:paraId="225C5063">
      <w:pPr>
        <w:kinsoku/>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（2）若因灯具损坏未及时修复导致路段出现明显的暗区，3天内完成整改，未及时整改每处暗区扣 1 分。重大活动要求24小时内整改完成。</w:t>
      </w:r>
    </w:p>
    <w:p w14:paraId="1FBEA593">
      <w:pPr>
        <w:spacing w:before="78" w:line="279" w:lineRule="auto"/>
        <w:ind w:right="8"/>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三、维保工作及时性（20 分）</w:t>
      </w:r>
    </w:p>
    <w:p w14:paraId="7D0C281E">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1.故障响应时间（10 分）</w:t>
      </w:r>
    </w:p>
    <w:p w14:paraId="17282B1D">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（1）接到故障报修后，在市区内的相关场所（如市区公园、天桥等），未能在 1 小时内响应（与报修方取得联系并安排人员出发），每次扣 1 分；郊区场所未能在 2 小时内响应，每次扣 1 分。</w:t>
      </w:r>
    </w:p>
    <w:p w14:paraId="30DE1025">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（2）对于重点保障区域（如景区的核心游览区在旅游旺季）的照明故障，未做到半小时内响应的，每次扣 5 分。</w:t>
      </w:r>
    </w:p>
    <w:p w14:paraId="48173AAD">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2.故障修复期限（10 分）</w:t>
      </w:r>
    </w:p>
    <w:p w14:paraId="0DFA5F00">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（1）一般灯具故障（如灯泡损坏等简单问题），从响应到修复超过 24 小时，扣 1 分；涉及线路检修等稍复杂故障超过 48 小时未修复，扣 3 分；大型照明设施 （如景区高杆灯等）出现故障，超过约定的 72 小时修复期限，每超一天扣 2分。（若需延迟修复需及时报备阿图什市市政公用事业服务中心管理人员）。</w:t>
      </w:r>
    </w:p>
    <w:p w14:paraId="45A5959D">
      <w:pPr>
        <w:kinsoku/>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四、日常巡检落实（10 分）</w:t>
      </w:r>
    </w:p>
    <w:p w14:paraId="3AC446BF">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1.巡检记录完整性（5 分）</w:t>
      </w:r>
    </w:p>
    <w:p w14:paraId="3E0CD33D">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（1）巡检记录未按日填写，每次扣 0.1 分；填写内容缺少关键信息，如灯具损坏 具体位置、故障初步判断等，每次发现一处扣 0.2 分。</w:t>
      </w:r>
    </w:p>
    <w:p w14:paraId="71EC3724">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2.巡检频次合规性（5 分）</w:t>
      </w:r>
    </w:p>
    <w:p w14:paraId="050A337A">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（2）规定每日至少巡检一次的区域（如公园、广场、天桥等人员密集且照明使用频繁区域），</w:t>
      </w:r>
    </w:p>
    <w:p w14:paraId="58FEC098">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少巡检一天扣 1 分；规定每周巡检两次的景区偏远区域，少巡检一次扣  0.5 分。</w:t>
      </w:r>
    </w:p>
    <w:p w14:paraId="5CA9C831">
      <w:pPr>
        <w:kinsoku/>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五、安全与环境管理（5 分）</w:t>
      </w:r>
    </w:p>
    <w:p w14:paraId="689D555A">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1.安全标识设置（3 分）</w:t>
      </w:r>
    </w:p>
    <w:p w14:paraId="28ECB3EB">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（1）在维修作业现场周边未设置明显的 “正在维修、请勿靠近 ” 等警示标识，</w:t>
      </w:r>
    </w:p>
    <w:p w14:paraId="0E2A36AA">
      <w:pPr>
        <w:kinsoku/>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每次扣 1 分；对于存在漏电等危险隐患的区域，未设置相应的危险提示标识，每 次扣 2 分。</w:t>
      </w:r>
    </w:p>
    <w:p w14:paraId="0DD77F05">
      <w:pPr>
        <w:kinsoku/>
        <w:spacing w:line="360" w:lineRule="auto"/>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2.废旧灯具及材料处理（2 分）</w:t>
      </w:r>
    </w:p>
    <w:p w14:paraId="103C4CEB">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（1）更换下来的废旧灯具、线路等材料未按规定进行回收、存放，随意丢弃在现场或周边，</w:t>
      </w:r>
    </w:p>
    <w:p w14:paraId="02C44BC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每次扣 1 分；若因不当处理造成环境污染（如废旧电池随意丢弃），扣 2 分。</w:t>
      </w:r>
    </w:p>
    <w:p w14:paraId="7649AE82">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3.管理规定</w:t>
      </w:r>
    </w:p>
    <w:p w14:paraId="18FD1D47">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(1)材料抽检规定</w:t>
      </w:r>
    </w:p>
    <w:p w14:paraId="60587769">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在托管服务期内中，中标人所采用的维护材料必须为投标时所投的品牌型号。采购人将不定期进行抽查，抽查方式如下：</w:t>
      </w:r>
    </w:p>
    <w:p w14:paraId="4A3241C7">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(1)在签订合同一个月内，中标人需向采购人提供设备材料的品牌清单用以备案；</w:t>
      </w:r>
    </w:p>
    <w:p w14:paraId="67ECE3C4">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电缆故障需要更换电缆的，由中标人现场拍照、填写更换电缆记录表报采购人审核，按照审核的施工方案进行施工。并且采购人将每月度不定期对现场所更换材料进行检查，中标人应对更换电缆等隐蔽工程拍照记录，以备采购人管理人员核对。更换材料的技术参数应与原状一致；</w:t>
      </w:r>
    </w:p>
    <w:p w14:paraId="177240D6">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(3)若发现擅自更改维护材料的规格，将按照监管考核办法进行扣分扣款，并责令更换并恢复原状。</w:t>
      </w:r>
    </w:p>
    <w:p w14:paraId="697E43C5">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(2)设施损坏处理规定；</w:t>
      </w:r>
    </w:p>
    <w:p w14:paraId="68DCB84A">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在托管运维周期中，如因交通事故造成灯杆、灯具损坏或人为、施工损坏路灯设施的情况，中标人需及时协调相关责任人处理，采购人予以协助；</w:t>
      </w:r>
    </w:p>
    <w:p w14:paraId="3DC73D5A">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对于交通事故造成灯杆、灯具、电缆损坏的，中标人需要及时协调当事人索赔并修复；</w:t>
      </w:r>
    </w:p>
    <w:p w14:paraId="68A0D56D">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人为或施工损坏造成路灯设施损坏的，中标人必须及时按照采购人要求协调相关责任人落实恢复工作；</w:t>
      </w:r>
    </w:p>
    <w:p w14:paraId="3FD4496F">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4.监管依据</w:t>
      </w:r>
    </w:p>
    <w:p w14:paraId="2AAD2950">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中华人民共和国建筑法</w:t>
      </w:r>
    </w:p>
    <w:p w14:paraId="37FDA9A8">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城市照明管理规定</w:t>
      </w:r>
    </w:p>
    <w:p w14:paraId="5B018139">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建设工程质量管理条例</w:t>
      </w:r>
    </w:p>
    <w:p w14:paraId="55BC91A9">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工程测量规范 (GB50026-2007)</w:t>
      </w:r>
    </w:p>
    <w:p w14:paraId="41DCD283">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施工现场临时用电安全技术规范 (JGJ46-2005)</w:t>
      </w:r>
    </w:p>
    <w:p w14:paraId="253962AC">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建设工程施工现场供用电安全规范 (GB50194-2014)</w:t>
      </w:r>
    </w:p>
    <w:p w14:paraId="153F63EF">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建筑机械使用安全技术规程 (JGJ33-2012)</w:t>
      </w:r>
    </w:p>
    <w:p w14:paraId="5CA0C82E">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市政工程施工安全检查标准 (CJJ/T275-2018)</w:t>
      </w:r>
    </w:p>
    <w:p w14:paraId="65960A76">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城市道路城市照明工程施工及验收规程 (CJJ89-2012)</w:t>
      </w:r>
    </w:p>
    <w:p w14:paraId="0183B0C0">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电气装置安装工程低压电器施工及验收规范 (GB50254～2014) </w:t>
      </w:r>
    </w:p>
    <w:p w14:paraId="42CB74B9">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电气装置安装工程电缆线路施工及验收标准 (GB50168-2018)</w:t>
      </w:r>
    </w:p>
    <w:p w14:paraId="4C73A9F3">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电气装置安装工程接地装置施工及验收规范 (GB50169-2016)</w:t>
      </w:r>
    </w:p>
    <w:p w14:paraId="3C419D06">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电气装置安装工程66KV 及以下架空电力线路施工及验收规范(GB50173-2014)</w:t>
      </w:r>
    </w:p>
    <w:p w14:paraId="44A0AF6C">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电气装置安装工程电气设备交接试验标准 (GB50150-2016)</w:t>
      </w:r>
    </w:p>
    <w:p w14:paraId="0A55C464">
      <w:pPr>
        <w:kinsoku/>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注：以上未尽之处或条例、规范发生变化时，以国家和地方最新颁布的法律、法规以及规范、标准执行</w:t>
      </w:r>
    </w:p>
    <w:p w14:paraId="52E047FA">
      <w:pPr>
        <w:kinsoku/>
        <w:spacing w:line="360" w:lineRule="auto"/>
        <w:ind w:firstLine="240" w:firstLineChars="100"/>
        <w:rPr>
          <w:rFonts w:hint="eastAsia" w:ascii="宋体" w:hAnsi="宋体" w:eastAsia="宋体" w:cs="宋体"/>
          <w:color w:val="auto"/>
          <w:sz w:val="24"/>
          <w:szCs w:val="24"/>
          <w:highlight w:val="none"/>
          <w:lang w:val="en-US" w:eastAsia="zh-CN"/>
        </w:rPr>
        <w:sectPr>
          <w:footerReference r:id="rId10" w:type="default"/>
          <w:pgSz w:w="11790" w:h="16830"/>
          <w:pgMar w:top="1417" w:right="1417" w:bottom="1417" w:left="1417" w:header="1134" w:footer="992" w:gutter="0"/>
          <w:pgNumType w:fmt="decimal"/>
          <w:cols w:space="0" w:num="1"/>
          <w:rtlGutter w:val="0"/>
          <w:docGrid w:linePitch="0" w:charSpace="0"/>
        </w:sectPr>
      </w:pPr>
    </w:p>
    <w:p w14:paraId="736B0D6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sz w:val="24"/>
          <w:szCs w:val="24"/>
          <w:lang w:val="en-US" w:eastAsia="zh-CN"/>
        </w:rPr>
      </w:pPr>
    </w:p>
    <w:p w14:paraId="472E661C">
      <w:pPr>
        <w:pStyle w:val="2"/>
        <w:bidi w:val="0"/>
        <w:rPr>
          <w:rFonts w:hint="eastAsia"/>
          <w:lang w:val="en-US" w:eastAsia="zh-CN"/>
        </w:rPr>
      </w:pPr>
      <w:bookmarkStart w:id="71" w:name="_Toc8637"/>
      <w:r>
        <w:rPr>
          <w:rFonts w:hint="eastAsia"/>
          <w:lang w:val="en-US" w:eastAsia="zh-CN"/>
        </w:rPr>
        <w:t>第六章 投标文件格式</w:t>
      </w:r>
      <w:bookmarkEnd w:id="71"/>
    </w:p>
    <w:p w14:paraId="5C98CC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lang w:val="en-US" w:eastAsia="zh-CN"/>
        </w:rPr>
      </w:pPr>
    </w:p>
    <w:p w14:paraId="55C824DA">
      <w:pPr>
        <w:adjustRightInd w:val="0"/>
        <w:snapToGrid w:val="0"/>
        <w:spacing w:line="360" w:lineRule="auto"/>
        <w:ind w:left="602" w:right="70" w:hanging="602"/>
        <w:jc w:val="right"/>
        <w:rPr>
          <w:rFonts w:hint="eastAsia" w:ascii="宋体" w:hAnsi="宋体" w:eastAsia="宋体" w:cs="宋体"/>
          <w:b/>
          <w:bCs/>
          <w:color w:val="000000"/>
          <w:kern w:val="0"/>
          <w:sz w:val="28"/>
          <w:szCs w:val="28"/>
          <w:bdr w:val="single" w:color="auto" w:sz="4" w:space="0"/>
          <w:lang w:eastAsia="en-US" w:bidi="en-US"/>
        </w:rPr>
      </w:pPr>
      <w:r>
        <w:rPr>
          <w:rFonts w:hint="eastAsia" w:ascii="宋体" w:hAnsi="宋体" w:eastAsia="宋体" w:cs="宋体"/>
          <w:sz w:val="20"/>
          <w:szCs w:val="20"/>
          <w:lang w:val="en-US" w:eastAsia="zh-CN"/>
        </w:rPr>
        <w:t xml:space="preserve">                          </w:t>
      </w:r>
      <w:r>
        <w:rPr>
          <w:rFonts w:hint="eastAsia" w:ascii="宋体" w:hAnsi="宋体" w:eastAsia="宋体" w:cs="宋体"/>
          <w:b/>
          <w:bCs/>
          <w:color w:val="000000"/>
          <w:kern w:val="0"/>
          <w:sz w:val="28"/>
          <w:szCs w:val="28"/>
          <w:bdr w:val="single" w:color="auto" w:sz="4" w:space="0"/>
          <w:lang w:eastAsia="en-US" w:bidi="en-US"/>
        </w:rPr>
        <w:t>正/副 本</w:t>
      </w:r>
    </w:p>
    <w:p w14:paraId="61AAE6F8">
      <w:pPr>
        <w:spacing w:line="360" w:lineRule="exact"/>
        <w:ind w:firstLine="400"/>
        <w:rPr>
          <w:rFonts w:hint="eastAsia" w:ascii="宋体" w:hAnsi="宋体" w:eastAsia="宋体" w:cs="宋体"/>
          <w:sz w:val="20"/>
          <w:szCs w:val="20"/>
          <w:lang w:val="en-US" w:eastAsia="zh-CN"/>
        </w:rPr>
      </w:pPr>
    </w:p>
    <w:p w14:paraId="66DF4117">
      <w:pPr>
        <w:spacing w:line="360" w:lineRule="exact"/>
        <w:ind w:firstLine="400"/>
        <w:rPr>
          <w:rFonts w:hint="eastAsia" w:ascii="宋体" w:hAnsi="宋体" w:eastAsia="宋体" w:cs="宋体"/>
          <w:sz w:val="20"/>
          <w:szCs w:val="20"/>
        </w:rPr>
      </w:pPr>
    </w:p>
    <w:p w14:paraId="30036445">
      <w:pPr>
        <w:ind w:firstLine="400"/>
        <w:rPr>
          <w:rFonts w:hint="eastAsia" w:ascii="宋体" w:hAnsi="宋体" w:eastAsia="宋体" w:cs="宋体"/>
          <w:sz w:val="20"/>
          <w:szCs w:val="20"/>
        </w:rPr>
      </w:pPr>
    </w:p>
    <w:p w14:paraId="5CDF812A">
      <w:pPr>
        <w:ind w:firstLine="620"/>
        <w:jc w:val="center"/>
        <w:rPr>
          <w:rFonts w:hint="eastAsia" w:ascii="宋体" w:hAnsi="宋体" w:eastAsia="宋体" w:cs="宋体"/>
          <w:sz w:val="31"/>
          <w:szCs w:val="31"/>
        </w:rPr>
      </w:pPr>
      <w:r>
        <w:rPr>
          <w:rFonts w:hint="eastAsia" w:ascii="宋体" w:hAnsi="宋体" w:eastAsia="宋体" w:cs="宋体"/>
          <w:sz w:val="31"/>
          <w:szCs w:val="31"/>
          <w:u w:val="single"/>
        </w:rPr>
        <w:t>　　　　　</w:t>
      </w:r>
      <w:r>
        <w:rPr>
          <w:rFonts w:hint="eastAsia" w:ascii="宋体" w:hAnsi="宋体" w:eastAsia="宋体" w:cs="宋体"/>
          <w:sz w:val="31"/>
          <w:szCs w:val="31"/>
        </w:rPr>
        <w:t>(项目名称)</w:t>
      </w:r>
    </w:p>
    <w:p w14:paraId="3B0F6A80">
      <w:pPr>
        <w:ind w:firstLine="400"/>
        <w:rPr>
          <w:rFonts w:hint="eastAsia" w:ascii="宋体" w:hAnsi="宋体" w:eastAsia="宋体" w:cs="宋体"/>
          <w:sz w:val="20"/>
          <w:szCs w:val="20"/>
        </w:rPr>
      </w:pPr>
    </w:p>
    <w:p w14:paraId="13C91C59">
      <w:pPr>
        <w:widowControl w:val="0"/>
        <w:spacing w:after="120"/>
        <w:jc w:val="both"/>
        <w:rPr>
          <w:rFonts w:hint="eastAsia" w:ascii="宋体" w:hAnsi="宋体" w:eastAsia="宋体" w:cs="宋体"/>
          <w:b/>
          <w:kern w:val="2"/>
          <w:sz w:val="50"/>
          <w:szCs w:val="50"/>
          <w:lang w:val="en-US" w:eastAsia="zh-CN" w:bidi="ar-SA"/>
        </w:rPr>
      </w:pPr>
    </w:p>
    <w:p w14:paraId="4B4DC5E4">
      <w:pPr>
        <w:widowControl w:val="0"/>
        <w:ind w:firstLine="1004" w:firstLineChars="200"/>
        <w:jc w:val="both"/>
        <w:rPr>
          <w:rFonts w:hint="eastAsia" w:ascii="宋体" w:hAnsi="宋体" w:eastAsia="宋体" w:cs="宋体"/>
          <w:b/>
          <w:kern w:val="2"/>
          <w:sz w:val="50"/>
          <w:szCs w:val="50"/>
          <w:lang w:val="en-US" w:eastAsia="zh-CN" w:bidi="ar-SA"/>
        </w:rPr>
      </w:pPr>
    </w:p>
    <w:p w14:paraId="2FB34B39">
      <w:pPr>
        <w:rPr>
          <w:rFonts w:hint="eastAsia" w:ascii="宋体" w:hAnsi="宋体" w:eastAsia="宋体" w:cs="宋体"/>
          <w:lang w:val="en-US" w:eastAsia="zh-CN"/>
        </w:rPr>
      </w:pPr>
    </w:p>
    <w:p w14:paraId="56AEEC4B">
      <w:pPr>
        <w:ind w:firstLine="1004"/>
        <w:jc w:val="center"/>
        <w:rPr>
          <w:rFonts w:hint="eastAsia" w:ascii="宋体" w:hAnsi="宋体" w:eastAsia="宋体" w:cs="宋体"/>
          <w:b/>
          <w:sz w:val="50"/>
          <w:szCs w:val="50"/>
          <w:lang w:eastAsia="zh-CN"/>
        </w:rPr>
      </w:pPr>
      <w:r>
        <w:rPr>
          <w:rFonts w:hint="eastAsia" w:ascii="宋体" w:hAnsi="宋体" w:eastAsia="宋体" w:cs="宋体"/>
          <w:b/>
          <w:sz w:val="50"/>
          <w:szCs w:val="50"/>
          <w:lang w:val="en-US" w:eastAsia="zh-CN"/>
        </w:rPr>
        <w:t>投标文件</w:t>
      </w:r>
    </w:p>
    <w:p w14:paraId="5553B964">
      <w:pPr>
        <w:spacing w:line="360" w:lineRule="exact"/>
        <w:ind w:firstLine="400"/>
        <w:jc w:val="left"/>
        <w:rPr>
          <w:rFonts w:hint="eastAsia" w:ascii="宋体" w:hAnsi="宋体" w:eastAsia="宋体" w:cs="宋体"/>
          <w:sz w:val="20"/>
          <w:szCs w:val="20"/>
        </w:rPr>
      </w:pPr>
    </w:p>
    <w:p w14:paraId="7FB6A2EB">
      <w:pPr>
        <w:widowControl w:val="0"/>
        <w:spacing w:after="120"/>
        <w:jc w:val="both"/>
        <w:rPr>
          <w:rFonts w:hint="eastAsia" w:ascii="宋体" w:hAnsi="宋体" w:eastAsia="宋体" w:cs="宋体"/>
          <w:kern w:val="2"/>
          <w:sz w:val="21"/>
          <w:szCs w:val="24"/>
          <w:lang w:val="en-US" w:eastAsia="zh-CN" w:bidi="ar-SA"/>
        </w:rPr>
      </w:pPr>
    </w:p>
    <w:p w14:paraId="11C6A5FC">
      <w:pPr>
        <w:widowControl w:val="0"/>
        <w:ind w:firstLine="560" w:firstLineChars="200"/>
        <w:jc w:val="both"/>
        <w:rPr>
          <w:rFonts w:hint="eastAsia" w:ascii="宋体" w:hAnsi="宋体" w:eastAsia="宋体" w:cs="宋体"/>
          <w:kern w:val="2"/>
          <w:sz w:val="28"/>
          <w:szCs w:val="22"/>
          <w:lang w:val="en-US" w:eastAsia="zh-CN" w:bidi="ar-SA"/>
        </w:rPr>
      </w:pPr>
    </w:p>
    <w:p w14:paraId="512A4AEE">
      <w:pPr>
        <w:adjustRightInd w:val="0"/>
        <w:snapToGrid w:val="0"/>
        <w:spacing w:line="240" w:lineRule="auto"/>
        <w:ind w:right="-134" w:rightChars="-64"/>
        <w:rPr>
          <w:rFonts w:hint="eastAsia" w:ascii="宋体" w:hAnsi="宋体" w:eastAsia="宋体" w:cs="宋体"/>
          <w:b/>
          <w:caps/>
          <w:color w:val="000000"/>
          <w:sz w:val="30"/>
          <w:szCs w:val="30"/>
        </w:rPr>
      </w:pPr>
      <w:r>
        <w:rPr>
          <w:rFonts w:hint="eastAsia" w:ascii="宋体" w:hAnsi="宋体" w:eastAsia="宋体" w:cs="宋体"/>
          <w:b/>
          <w:caps/>
          <w:color w:val="000000"/>
          <w:spacing w:val="1"/>
          <w:w w:val="93"/>
          <w:kern w:val="0"/>
          <w:sz w:val="30"/>
          <w:szCs w:val="30"/>
          <w:fitText w:val="2810" w:id="1166737905"/>
        </w:rPr>
        <w:t>供应商名称（公章）</w:t>
      </w:r>
      <w:r>
        <w:rPr>
          <w:rFonts w:hint="eastAsia" w:ascii="宋体" w:hAnsi="宋体" w:eastAsia="宋体" w:cs="宋体"/>
          <w:b/>
          <w:caps/>
          <w:color w:val="000000"/>
          <w:spacing w:val="-2"/>
          <w:w w:val="93"/>
          <w:kern w:val="0"/>
          <w:sz w:val="30"/>
          <w:szCs w:val="30"/>
          <w:fitText w:val="2810" w:id="1166737905"/>
        </w:rPr>
        <w:t>：</w:t>
      </w:r>
    </w:p>
    <w:p w14:paraId="1D3595A9">
      <w:pPr>
        <w:adjustRightInd w:val="0"/>
        <w:snapToGrid w:val="0"/>
        <w:spacing w:line="240" w:lineRule="auto"/>
        <w:ind w:right="-134" w:rightChars="-64"/>
        <w:rPr>
          <w:rFonts w:hint="eastAsia" w:ascii="宋体" w:hAnsi="宋体" w:eastAsia="宋体" w:cs="宋体"/>
          <w:b/>
          <w:caps/>
          <w:color w:val="000000"/>
          <w:sz w:val="30"/>
          <w:szCs w:val="30"/>
        </w:rPr>
      </w:pPr>
    </w:p>
    <w:p w14:paraId="6B4989D4">
      <w:pPr>
        <w:adjustRightInd w:val="0"/>
        <w:snapToGrid w:val="0"/>
        <w:spacing w:line="240" w:lineRule="auto"/>
        <w:ind w:right="-134" w:rightChars="-64"/>
        <w:rPr>
          <w:rFonts w:hint="eastAsia" w:ascii="宋体" w:hAnsi="宋体" w:eastAsia="宋体" w:cs="宋体"/>
          <w:b/>
          <w:caps/>
          <w:color w:val="000000"/>
          <w:sz w:val="30"/>
          <w:szCs w:val="30"/>
        </w:rPr>
      </w:pPr>
      <w:r>
        <w:rPr>
          <w:rFonts w:hint="eastAsia" w:ascii="宋体" w:hAnsi="宋体" w:eastAsia="宋体" w:cs="宋体"/>
          <w:b/>
          <w:caps/>
          <w:color w:val="000000"/>
          <w:spacing w:val="0"/>
          <w:w w:val="72"/>
          <w:kern w:val="0"/>
          <w:sz w:val="30"/>
          <w:szCs w:val="30"/>
          <w:fitText w:val="2810" w:id="1660960577"/>
        </w:rPr>
        <w:t>法定代表人（</w:t>
      </w:r>
      <w:r>
        <w:rPr>
          <w:rFonts w:hint="eastAsia" w:ascii="宋体" w:hAnsi="宋体" w:eastAsia="宋体" w:cs="宋体"/>
          <w:b/>
          <w:caps/>
          <w:color w:val="000000"/>
          <w:spacing w:val="0"/>
          <w:w w:val="72"/>
          <w:kern w:val="0"/>
          <w:sz w:val="30"/>
          <w:szCs w:val="30"/>
          <w:fitText w:val="2810" w:id="1660960577"/>
          <w:lang w:eastAsia="zh-CN"/>
        </w:rPr>
        <w:t>签章</w:t>
      </w:r>
      <w:r>
        <w:rPr>
          <w:rFonts w:hint="eastAsia" w:ascii="宋体" w:hAnsi="宋体" w:eastAsia="宋体" w:cs="宋体"/>
          <w:b/>
          <w:caps/>
          <w:color w:val="000000"/>
          <w:spacing w:val="0"/>
          <w:w w:val="72"/>
          <w:kern w:val="0"/>
          <w:sz w:val="30"/>
          <w:szCs w:val="30"/>
          <w:fitText w:val="2810" w:id="1660960577"/>
        </w:rPr>
        <w:t>或盖章）</w:t>
      </w:r>
      <w:r>
        <w:rPr>
          <w:rFonts w:hint="eastAsia" w:ascii="宋体" w:hAnsi="宋体" w:eastAsia="宋体" w:cs="宋体"/>
          <w:b/>
          <w:caps/>
          <w:color w:val="000000"/>
          <w:spacing w:val="-4"/>
          <w:w w:val="72"/>
          <w:kern w:val="0"/>
          <w:sz w:val="30"/>
          <w:szCs w:val="30"/>
          <w:fitText w:val="2810" w:id="1660960577"/>
        </w:rPr>
        <w:t>：</w:t>
      </w:r>
    </w:p>
    <w:p w14:paraId="3E7C7BB8">
      <w:pPr>
        <w:adjustRightInd w:val="0"/>
        <w:snapToGrid w:val="0"/>
        <w:spacing w:line="240" w:lineRule="auto"/>
        <w:ind w:right="-134" w:rightChars="-64"/>
        <w:rPr>
          <w:rFonts w:hint="eastAsia" w:ascii="宋体" w:hAnsi="宋体" w:eastAsia="宋体" w:cs="宋体"/>
          <w:b/>
          <w:caps/>
          <w:color w:val="000000"/>
          <w:sz w:val="30"/>
          <w:szCs w:val="30"/>
        </w:rPr>
      </w:pPr>
    </w:p>
    <w:p w14:paraId="65A4A293">
      <w:pPr>
        <w:adjustRightInd w:val="0"/>
        <w:snapToGrid w:val="0"/>
        <w:spacing w:line="240" w:lineRule="auto"/>
        <w:ind w:right="-134" w:rightChars="-64"/>
        <w:rPr>
          <w:rFonts w:hint="eastAsia" w:ascii="宋体" w:hAnsi="宋体" w:eastAsia="宋体" w:cs="宋体"/>
          <w:b/>
          <w:caps/>
          <w:color w:val="000000"/>
          <w:sz w:val="30"/>
          <w:szCs w:val="30"/>
        </w:rPr>
      </w:pPr>
      <w:r>
        <w:rPr>
          <w:rFonts w:hint="eastAsia" w:ascii="宋体" w:hAnsi="宋体" w:eastAsia="宋体" w:cs="宋体"/>
          <w:b/>
          <w:caps/>
          <w:color w:val="000000"/>
          <w:spacing w:val="101"/>
          <w:kern w:val="0"/>
          <w:sz w:val="30"/>
          <w:szCs w:val="30"/>
          <w:fitText w:val="2810" w:id="1362192846"/>
        </w:rPr>
        <w:t>供应商地址</w:t>
      </w:r>
      <w:r>
        <w:rPr>
          <w:rFonts w:hint="eastAsia" w:ascii="宋体" w:hAnsi="宋体" w:eastAsia="宋体" w:cs="宋体"/>
          <w:b/>
          <w:caps/>
          <w:color w:val="000000"/>
          <w:spacing w:val="0"/>
          <w:kern w:val="0"/>
          <w:sz w:val="30"/>
          <w:szCs w:val="30"/>
          <w:fitText w:val="2810" w:id="1362192846"/>
        </w:rPr>
        <w:t>：</w:t>
      </w:r>
    </w:p>
    <w:p w14:paraId="664DAD17">
      <w:pPr>
        <w:adjustRightInd w:val="0"/>
        <w:snapToGrid w:val="0"/>
        <w:spacing w:line="240" w:lineRule="auto"/>
        <w:ind w:right="-134" w:rightChars="-64"/>
        <w:rPr>
          <w:rFonts w:hint="eastAsia" w:ascii="宋体" w:hAnsi="宋体" w:eastAsia="宋体" w:cs="宋体"/>
          <w:b/>
          <w:caps/>
          <w:color w:val="000000"/>
          <w:sz w:val="30"/>
          <w:szCs w:val="30"/>
        </w:rPr>
      </w:pPr>
    </w:p>
    <w:p w14:paraId="7B71417B">
      <w:pPr>
        <w:adjustRightInd w:val="0"/>
        <w:snapToGrid w:val="0"/>
        <w:spacing w:line="240" w:lineRule="auto"/>
        <w:ind w:right="-134" w:rightChars="-64"/>
        <w:rPr>
          <w:rFonts w:hint="eastAsia" w:ascii="宋体" w:hAnsi="宋体" w:eastAsia="宋体" w:cs="宋体"/>
          <w:b/>
          <w:caps/>
          <w:color w:val="000000"/>
          <w:sz w:val="30"/>
          <w:szCs w:val="30"/>
        </w:rPr>
      </w:pPr>
      <w:r>
        <w:rPr>
          <w:rFonts w:hint="eastAsia" w:ascii="宋体" w:hAnsi="宋体" w:eastAsia="宋体" w:cs="宋体"/>
          <w:b/>
          <w:caps/>
          <w:color w:val="000000"/>
          <w:spacing w:val="268"/>
          <w:kern w:val="0"/>
          <w:sz w:val="30"/>
          <w:szCs w:val="30"/>
          <w:fitText w:val="2810" w:id="1828745683"/>
        </w:rPr>
        <w:t>联系人</w:t>
      </w:r>
      <w:r>
        <w:rPr>
          <w:rFonts w:hint="eastAsia" w:ascii="宋体" w:hAnsi="宋体" w:eastAsia="宋体" w:cs="宋体"/>
          <w:b/>
          <w:caps/>
          <w:color w:val="000000"/>
          <w:spacing w:val="1"/>
          <w:kern w:val="0"/>
          <w:sz w:val="30"/>
          <w:szCs w:val="30"/>
          <w:fitText w:val="2810" w:id="1828745683"/>
        </w:rPr>
        <w:t>：</w:t>
      </w:r>
    </w:p>
    <w:p w14:paraId="7F3D3D9B">
      <w:pPr>
        <w:adjustRightInd w:val="0"/>
        <w:snapToGrid w:val="0"/>
        <w:spacing w:line="240" w:lineRule="auto"/>
        <w:ind w:right="-134" w:rightChars="-64"/>
        <w:rPr>
          <w:rFonts w:hint="eastAsia" w:ascii="宋体" w:hAnsi="宋体" w:eastAsia="宋体" w:cs="宋体"/>
          <w:b/>
          <w:caps/>
          <w:color w:val="000000"/>
          <w:sz w:val="30"/>
          <w:szCs w:val="30"/>
        </w:rPr>
      </w:pPr>
    </w:p>
    <w:p w14:paraId="699CA55F">
      <w:pPr>
        <w:adjustRightInd w:val="0"/>
        <w:snapToGrid w:val="0"/>
        <w:spacing w:line="240" w:lineRule="auto"/>
        <w:ind w:right="-134" w:rightChars="-64"/>
        <w:rPr>
          <w:rFonts w:hint="eastAsia" w:ascii="宋体" w:hAnsi="宋体" w:eastAsia="宋体" w:cs="宋体"/>
          <w:b/>
          <w:caps/>
          <w:color w:val="000000"/>
          <w:sz w:val="30"/>
          <w:szCs w:val="30"/>
        </w:rPr>
      </w:pPr>
      <w:r>
        <w:rPr>
          <w:rFonts w:hint="eastAsia" w:ascii="宋体" w:hAnsi="宋体" w:eastAsia="宋体" w:cs="宋体"/>
          <w:b/>
          <w:caps/>
          <w:color w:val="000000"/>
          <w:spacing w:val="163"/>
          <w:kern w:val="0"/>
          <w:sz w:val="30"/>
          <w:szCs w:val="30"/>
          <w:fitText w:val="2810" w:id="649101295"/>
        </w:rPr>
        <w:t>联系电话</w:t>
      </w:r>
      <w:r>
        <w:rPr>
          <w:rFonts w:hint="eastAsia" w:ascii="宋体" w:hAnsi="宋体" w:eastAsia="宋体" w:cs="宋体"/>
          <w:b/>
          <w:caps/>
          <w:color w:val="000000"/>
          <w:spacing w:val="3"/>
          <w:kern w:val="0"/>
          <w:sz w:val="30"/>
          <w:szCs w:val="30"/>
          <w:fitText w:val="2810" w:id="649101295"/>
        </w:rPr>
        <w:t>：</w:t>
      </w:r>
    </w:p>
    <w:p w14:paraId="2C080794">
      <w:pPr>
        <w:adjustRightInd w:val="0"/>
        <w:snapToGrid w:val="0"/>
        <w:spacing w:line="240" w:lineRule="auto"/>
        <w:jc w:val="center"/>
        <w:rPr>
          <w:rFonts w:hint="eastAsia" w:ascii="宋体" w:hAnsi="宋体" w:eastAsia="宋体" w:cs="宋体"/>
          <w:b/>
          <w:caps/>
          <w:color w:val="000000"/>
          <w:sz w:val="30"/>
          <w:szCs w:val="30"/>
        </w:rPr>
      </w:pPr>
    </w:p>
    <w:p w14:paraId="693BF9E6">
      <w:pPr>
        <w:spacing w:line="360" w:lineRule="exact"/>
        <w:ind w:firstLine="400"/>
        <w:jc w:val="left"/>
        <w:rPr>
          <w:rFonts w:hint="eastAsia" w:ascii="宋体" w:hAnsi="宋体" w:eastAsia="宋体" w:cs="宋体"/>
          <w:b/>
          <w:bCs/>
          <w:sz w:val="28"/>
          <w:szCs w:val="28"/>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 xml:space="preserve">年 </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月</w:t>
      </w:r>
      <w:r>
        <w:rPr>
          <w:rFonts w:hint="eastAsia" w:ascii="宋体" w:hAnsi="宋体" w:eastAsia="宋体" w:cs="宋体"/>
          <w:b/>
          <w:bCs/>
          <w:sz w:val="30"/>
          <w:szCs w:val="30"/>
          <w:u w:val="single"/>
          <w:lang w:val="en-US" w:eastAsia="zh-CN"/>
        </w:rPr>
        <w:t xml:space="preserve">    </w:t>
      </w:r>
      <w:r>
        <w:rPr>
          <w:rFonts w:hint="eastAsia" w:ascii="宋体" w:hAnsi="宋体" w:eastAsia="宋体" w:cs="宋体"/>
          <w:b/>
          <w:bCs/>
          <w:sz w:val="30"/>
          <w:szCs w:val="30"/>
          <w:lang w:val="en-US" w:eastAsia="zh-CN"/>
        </w:rPr>
        <w:t>日</w:t>
      </w:r>
    </w:p>
    <w:p w14:paraId="1473BE68">
      <w:pPr>
        <w:keepNext w:val="0"/>
        <w:keepLines w:val="0"/>
        <w:pageBreakBefore w:val="0"/>
        <w:widowControl w:val="0"/>
        <w:kinsoku/>
        <w:wordWrap/>
        <w:overflowPunct/>
        <w:topLinePunct w:val="0"/>
        <w:autoSpaceDE/>
        <w:autoSpaceDN/>
        <w:bidi w:val="0"/>
        <w:adjustRightInd/>
        <w:snapToGrid/>
        <w:spacing w:line="400" w:lineRule="atLeast"/>
        <w:ind w:firstLine="2811" w:firstLineChars="1000"/>
        <w:jc w:val="both"/>
        <w:textAlignment w:val="auto"/>
        <w:rPr>
          <w:rFonts w:hint="eastAsia" w:ascii="宋体" w:hAnsi="宋体" w:eastAsia="宋体" w:cs="宋体"/>
          <w:b/>
          <w:bCs/>
          <w:sz w:val="28"/>
          <w:szCs w:val="28"/>
        </w:rPr>
      </w:pPr>
    </w:p>
    <w:p w14:paraId="08D0D9D8">
      <w:pPr>
        <w:keepNext w:val="0"/>
        <w:keepLines w:val="0"/>
        <w:pageBreakBefore w:val="0"/>
        <w:widowControl w:val="0"/>
        <w:kinsoku/>
        <w:wordWrap/>
        <w:overflowPunct/>
        <w:topLinePunct w:val="0"/>
        <w:autoSpaceDE/>
        <w:autoSpaceDN/>
        <w:bidi w:val="0"/>
        <w:adjustRightInd/>
        <w:snapToGrid/>
        <w:spacing w:line="400" w:lineRule="atLeast"/>
        <w:ind w:firstLine="2811" w:firstLineChars="1000"/>
        <w:jc w:val="both"/>
        <w:textAlignment w:val="auto"/>
        <w:rPr>
          <w:rFonts w:hint="eastAsia" w:ascii="宋体" w:hAnsi="宋体" w:eastAsia="宋体" w:cs="宋体"/>
          <w:b/>
          <w:bCs/>
          <w:sz w:val="28"/>
          <w:szCs w:val="28"/>
        </w:rPr>
      </w:pPr>
    </w:p>
    <w:p w14:paraId="3BE1E2D8">
      <w:pPr>
        <w:keepNext w:val="0"/>
        <w:keepLines w:val="0"/>
        <w:pageBreakBefore w:val="0"/>
        <w:widowControl w:val="0"/>
        <w:kinsoku/>
        <w:wordWrap/>
        <w:overflowPunct/>
        <w:topLinePunct w:val="0"/>
        <w:autoSpaceDE/>
        <w:autoSpaceDN/>
        <w:bidi w:val="0"/>
        <w:adjustRightInd/>
        <w:snapToGrid/>
        <w:spacing w:line="400" w:lineRule="atLeast"/>
        <w:ind w:firstLine="2811" w:firstLineChars="1000"/>
        <w:jc w:val="both"/>
        <w:textAlignment w:val="auto"/>
        <w:rPr>
          <w:rFonts w:hint="eastAsia" w:ascii="宋体" w:hAnsi="宋体" w:eastAsia="宋体" w:cs="宋体"/>
          <w:b/>
          <w:bCs/>
          <w:sz w:val="28"/>
          <w:szCs w:val="28"/>
        </w:rPr>
      </w:pPr>
    </w:p>
    <w:p w14:paraId="24B07AF9">
      <w:pPr>
        <w:keepNext w:val="0"/>
        <w:keepLines w:val="0"/>
        <w:pageBreakBefore w:val="0"/>
        <w:widowControl w:val="0"/>
        <w:kinsoku/>
        <w:wordWrap/>
        <w:overflowPunct/>
        <w:topLinePunct w:val="0"/>
        <w:autoSpaceDE/>
        <w:autoSpaceDN/>
        <w:bidi w:val="0"/>
        <w:adjustRightInd/>
        <w:snapToGrid/>
        <w:spacing w:line="400" w:lineRule="atLeast"/>
        <w:ind w:firstLine="2811" w:firstLineChars="1000"/>
        <w:jc w:val="both"/>
        <w:textAlignment w:val="auto"/>
        <w:rPr>
          <w:rFonts w:hint="eastAsia" w:ascii="宋体" w:hAnsi="宋体" w:eastAsia="宋体" w:cs="宋体"/>
          <w:b/>
          <w:bCs/>
          <w:sz w:val="28"/>
          <w:szCs w:val="28"/>
        </w:rPr>
      </w:pPr>
    </w:p>
    <w:p w14:paraId="5FA58156">
      <w:pPr>
        <w:keepNext w:val="0"/>
        <w:keepLines w:val="0"/>
        <w:pageBreakBefore w:val="0"/>
        <w:widowControl w:val="0"/>
        <w:kinsoku/>
        <w:wordWrap/>
        <w:overflowPunct/>
        <w:topLinePunct w:val="0"/>
        <w:autoSpaceDE/>
        <w:autoSpaceDN/>
        <w:bidi w:val="0"/>
        <w:adjustRightInd/>
        <w:snapToGrid/>
        <w:spacing w:line="400" w:lineRule="atLeast"/>
        <w:ind w:firstLine="2811" w:firstLineChars="1000"/>
        <w:jc w:val="both"/>
        <w:textAlignment w:val="auto"/>
        <w:rPr>
          <w:rFonts w:hint="eastAsia" w:ascii="宋体" w:hAnsi="宋体" w:eastAsia="宋体" w:cs="宋体"/>
          <w:b/>
          <w:bCs/>
          <w:sz w:val="28"/>
          <w:szCs w:val="28"/>
        </w:rPr>
      </w:pPr>
    </w:p>
    <w:p w14:paraId="6E768F6D">
      <w:pPr>
        <w:keepNext w:val="0"/>
        <w:keepLines w:val="0"/>
        <w:pageBreakBefore w:val="0"/>
        <w:widowControl w:val="0"/>
        <w:kinsoku/>
        <w:wordWrap/>
        <w:overflowPunct/>
        <w:topLinePunct w:val="0"/>
        <w:autoSpaceDE/>
        <w:autoSpaceDN/>
        <w:bidi w:val="0"/>
        <w:adjustRightInd/>
        <w:snapToGrid/>
        <w:spacing w:line="400" w:lineRule="atLeast"/>
        <w:ind w:firstLine="2811" w:firstLineChars="10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第一部分 资格证明文件</w:t>
      </w:r>
    </w:p>
    <w:p w14:paraId="1853440C">
      <w:pPr>
        <w:keepNext w:val="0"/>
        <w:keepLines w:val="0"/>
        <w:pageBreakBefore w:val="0"/>
        <w:widowControl w:val="0"/>
        <w:kinsoku/>
        <w:wordWrap/>
        <w:overflowPunct/>
        <w:topLinePunct w:val="0"/>
        <w:autoSpaceDE/>
        <w:autoSpaceDN/>
        <w:bidi w:val="0"/>
        <w:adjustRightInd/>
        <w:snapToGrid/>
        <w:spacing w:line="400" w:lineRule="atLeast"/>
        <w:ind w:firstLine="1687" w:firstLineChars="600"/>
        <w:jc w:val="both"/>
        <w:textAlignment w:val="auto"/>
        <w:rPr>
          <w:rFonts w:hint="eastAsia" w:ascii="宋体" w:hAnsi="宋体" w:eastAsia="宋体" w:cs="宋体"/>
          <w:b/>
          <w:bCs/>
          <w:sz w:val="28"/>
          <w:szCs w:val="28"/>
        </w:rPr>
      </w:pPr>
    </w:p>
    <w:p w14:paraId="52D2093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1、具有有效的三证合一营业执照副本；</w:t>
      </w:r>
    </w:p>
    <w:p w14:paraId="58DF52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2、法定代表人投标须提供法定代表人资格证明书，委托代理人投标须提供法定代表人授权委托书；</w:t>
      </w:r>
    </w:p>
    <w:p w14:paraId="144B83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3、投标企业须提供投标人（被授权在职人员）近 6个月内任意 1 个月有效的社保证明；</w:t>
      </w:r>
    </w:p>
    <w:p w14:paraId="1E360F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4、投标保证金缴纳凭证或投标担保函；</w:t>
      </w:r>
    </w:p>
    <w:p w14:paraId="2105D0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参加政府采购活动前三年内，在经营活动中没有重大违法记录（自行承诺）；未被“信用中国”（www.creditchina.gov.cn）、中国政府采购网（www.ccgp.gov.cn）列入失信被执行人、税收违法黑名单、政府采购严重违法失信行为记录名单；</w:t>
      </w:r>
    </w:p>
    <w:p w14:paraId="2AB02BA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投标人须具备：①城市及道路照明工程专业承包壹级资质或市政公用工程施工总承包贰级资质及以上资质和有效的《安全生产许可证》；②照明工程设计专项甲级或工程设计综合设计甲级。项目负责人须具备：机电工程专业贰级注册建造师执业资，并持有项目负责人安全生产考核合格证（B 类）；</w:t>
      </w:r>
    </w:p>
    <w:p w14:paraId="5C335A13">
      <w:pPr>
        <w:pStyle w:val="8"/>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7、提供近半年内任意一个月财务报表或上年度财务审计报告（财务报表应至少包括资产负债表、利润表、现金流量表或财务状况变动表， 当月新成立公司不需提供）；</w:t>
      </w:r>
    </w:p>
    <w:p w14:paraId="78660D57">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8、中小企业声明函；</w:t>
      </w:r>
    </w:p>
    <w:p w14:paraId="3C69F2DB">
      <w:pPr>
        <w:keepNext w:val="0"/>
        <w:keepLines w:val="0"/>
        <w:widowControl/>
        <w:suppressLineNumbers w:val="0"/>
        <w:spacing w:line="36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9、投标人关联单位的说明；</w:t>
      </w:r>
    </w:p>
    <w:p w14:paraId="21A1F3A5">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10、投标人须知资料表要求的其他资格证明文件。</w:t>
      </w:r>
    </w:p>
    <w:p w14:paraId="2F9DFF02">
      <w:pPr>
        <w:pStyle w:val="8"/>
        <w:spacing w:before="75" w:line="227" w:lineRule="auto"/>
        <w:outlineLvl w:val="1"/>
        <w:rPr>
          <w:rFonts w:hint="eastAsia" w:ascii="宋体" w:hAnsi="宋体" w:eastAsia="宋体" w:cs="宋体"/>
          <w:b/>
          <w:bCs/>
          <w:spacing w:val="10"/>
          <w:sz w:val="24"/>
          <w:szCs w:val="24"/>
        </w:rPr>
      </w:pPr>
      <w:r>
        <w:rPr>
          <w:rFonts w:hint="eastAsia" w:ascii="宋体" w:hAnsi="宋体" w:eastAsia="宋体" w:cs="宋体"/>
          <w:b/>
          <w:bCs/>
          <w:spacing w:val="10"/>
          <w:sz w:val="24"/>
          <w:szCs w:val="24"/>
          <w:lang w:val="en-US" w:eastAsia="zh-CN"/>
        </w:rPr>
        <w:t>11、</w:t>
      </w:r>
      <w:r>
        <w:rPr>
          <w:rFonts w:hint="eastAsia" w:ascii="宋体" w:hAnsi="宋体" w:eastAsia="宋体" w:cs="宋体"/>
          <w:b/>
          <w:bCs/>
          <w:spacing w:val="10"/>
          <w:sz w:val="24"/>
          <w:szCs w:val="24"/>
        </w:rPr>
        <w:t>投标人认为有必要提供的其他证明材料（格式自拟）</w:t>
      </w:r>
    </w:p>
    <w:p w14:paraId="05ADCFA1">
      <w:pPr>
        <w:pStyle w:val="8"/>
        <w:spacing w:before="75" w:line="227" w:lineRule="auto"/>
        <w:outlineLvl w:val="1"/>
        <w:rPr>
          <w:rFonts w:hint="eastAsia" w:ascii="宋体" w:hAnsi="宋体" w:eastAsia="宋体" w:cs="宋体"/>
          <w:b/>
          <w:bCs/>
          <w:spacing w:val="10"/>
          <w:sz w:val="24"/>
          <w:szCs w:val="24"/>
        </w:rPr>
      </w:pPr>
    </w:p>
    <w:p w14:paraId="23F5CFA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8"/>
          <w:szCs w:val="28"/>
          <w:lang w:val="en-US" w:eastAsia="zh-CN"/>
        </w:rPr>
      </w:pPr>
      <w:r>
        <w:rPr>
          <w:rFonts w:hint="eastAsia" w:ascii="宋体" w:hAnsi="宋体" w:eastAsia="宋体" w:cs="宋体"/>
          <w:b/>
          <w:bCs/>
          <w:spacing w:val="9"/>
          <w:sz w:val="21"/>
          <w:szCs w:val="21"/>
          <w:u w:val="single" w:color="auto"/>
        </w:rPr>
        <w:t>注：招标文件没有提供格式的，</w:t>
      </w:r>
      <w:r>
        <w:rPr>
          <w:rFonts w:hint="eastAsia" w:ascii="宋体" w:hAnsi="宋体" w:eastAsia="宋体" w:cs="宋体"/>
          <w:b/>
          <w:bCs/>
          <w:spacing w:val="9"/>
          <w:sz w:val="21"/>
          <w:szCs w:val="21"/>
          <w:u w:val="single" w:color="auto"/>
          <w:lang w:val="en-US" w:eastAsia="zh-CN"/>
        </w:rPr>
        <w:t>格式自拟</w:t>
      </w:r>
      <w:r>
        <w:rPr>
          <w:rFonts w:hint="eastAsia" w:ascii="宋体" w:hAnsi="宋体" w:eastAsia="宋体" w:cs="宋体"/>
          <w:b/>
          <w:bCs/>
          <w:spacing w:val="9"/>
          <w:sz w:val="21"/>
          <w:szCs w:val="21"/>
          <w:u w:val="single" w:color="auto"/>
        </w:rPr>
        <w:t xml:space="preserve"> </w:t>
      </w:r>
      <w:r>
        <w:rPr>
          <w:rFonts w:hint="eastAsia" w:ascii="宋体" w:hAnsi="宋体" w:eastAsia="宋体" w:cs="宋体"/>
          <w:b/>
          <w:bCs/>
          <w:spacing w:val="9"/>
          <w:sz w:val="21"/>
          <w:szCs w:val="21"/>
          <w:u w:val="single" w:color="auto"/>
          <w:lang w:eastAsia="zh-CN"/>
        </w:rPr>
        <w:t>，</w:t>
      </w:r>
      <w:r>
        <w:rPr>
          <w:rFonts w:hint="eastAsia" w:ascii="宋体" w:hAnsi="宋体" w:eastAsia="宋体" w:cs="宋体"/>
          <w:b/>
          <w:bCs/>
          <w:spacing w:val="9"/>
          <w:sz w:val="21"/>
          <w:szCs w:val="21"/>
          <w:u w:val="single" w:color="auto"/>
        </w:rPr>
        <w:t>以上材料须逐页加盖单位公章。</w:t>
      </w:r>
    </w:p>
    <w:p w14:paraId="0FB56688">
      <w:pPr>
        <w:pStyle w:val="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B20C5B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D543A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4DAC513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C180F2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46986B8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0C58D1EE">
      <w:pPr>
        <w:pStyle w:val="8"/>
        <w:rPr>
          <w:rFonts w:hint="eastAsia" w:ascii="宋体" w:hAnsi="宋体" w:eastAsia="宋体" w:cs="宋体"/>
          <w:sz w:val="24"/>
          <w:szCs w:val="24"/>
          <w:lang w:val="en-US" w:eastAsia="zh-CN"/>
        </w:rPr>
      </w:pPr>
    </w:p>
    <w:p w14:paraId="2C07A3EE">
      <w:pPr>
        <w:pStyle w:val="8"/>
        <w:rPr>
          <w:rFonts w:hint="eastAsia" w:ascii="宋体" w:hAnsi="宋体" w:eastAsia="宋体" w:cs="宋体"/>
          <w:sz w:val="24"/>
          <w:szCs w:val="24"/>
          <w:lang w:val="en-US" w:eastAsia="zh-CN"/>
        </w:rPr>
      </w:pPr>
    </w:p>
    <w:p w14:paraId="7D55B854">
      <w:pPr>
        <w:pStyle w:val="8"/>
        <w:tabs>
          <w:tab w:val="left" w:pos="1803"/>
        </w:tabs>
        <w:spacing w:before="75" w:line="227" w:lineRule="auto"/>
        <w:outlineLvl w:val="1"/>
        <w:rPr>
          <w:rFonts w:hint="eastAsia" w:ascii="宋体" w:hAnsi="宋体" w:eastAsia="宋体" w:cs="宋体"/>
          <w:b/>
          <w:bCs/>
          <w:spacing w:val="9"/>
          <w:sz w:val="23"/>
          <w:szCs w:val="23"/>
          <w:lang w:eastAsia="zh-CN"/>
        </w:rPr>
      </w:pPr>
    </w:p>
    <w:p w14:paraId="4558D827">
      <w:pPr>
        <w:pStyle w:val="8"/>
        <w:tabs>
          <w:tab w:val="left" w:pos="1803"/>
        </w:tabs>
        <w:spacing w:before="75" w:line="227" w:lineRule="auto"/>
        <w:ind w:left="2120"/>
        <w:outlineLvl w:val="1"/>
        <w:rPr>
          <w:rFonts w:hint="eastAsia" w:ascii="宋体" w:hAnsi="宋体" w:eastAsia="宋体" w:cs="宋体"/>
          <w:b/>
          <w:bCs/>
          <w:spacing w:val="9"/>
          <w:sz w:val="24"/>
          <w:szCs w:val="24"/>
          <w:lang w:eastAsia="zh-CN"/>
        </w:rPr>
      </w:pPr>
    </w:p>
    <w:p w14:paraId="59F73370">
      <w:pPr>
        <w:pStyle w:val="8"/>
        <w:tabs>
          <w:tab w:val="left" w:pos="1803"/>
        </w:tabs>
        <w:spacing w:before="75" w:line="227" w:lineRule="auto"/>
        <w:ind w:left="2120"/>
        <w:outlineLvl w:val="1"/>
        <w:rPr>
          <w:rFonts w:hint="eastAsia" w:ascii="宋体" w:hAnsi="宋体" w:eastAsia="宋体" w:cs="宋体"/>
          <w:sz w:val="24"/>
          <w:szCs w:val="24"/>
        </w:rPr>
      </w:pPr>
      <w:r>
        <w:rPr>
          <w:rFonts w:hint="eastAsia" w:ascii="宋体" w:hAnsi="宋体" w:eastAsia="宋体" w:cs="宋体"/>
          <w:b/>
          <w:bCs/>
          <w:spacing w:val="9"/>
          <w:sz w:val="24"/>
          <w:szCs w:val="24"/>
          <w:lang w:eastAsia="zh-CN"/>
        </w:rPr>
        <w:tab/>
      </w:r>
      <w:r>
        <w:rPr>
          <w:rFonts w:hint="eastAsia" w:ascii="宋体" w:hAnsi="宋体" w:eastAsia="宋体" w:cs="宋体"/>
          <w:b/>
          <w:bCs/>
          <w:spacing w:val="9"/>
          <w:sz w:val="24"/>
          <w:szCs w:val="24"/>
        </w:rPr>
        <w:t>1、</w:t>
      </w:r>
      <w:r>
        <w:rPr>
          <w:rFonts w:hint="eastAsia" w:ascii="宋体" w:hAnsi="宋体" w:eastAsia="宋体" w:cs="宋体"/>
          <w:spacing w:val="9"/>
          <w:sz w:val="24"/>
          <w:szCs w:val="24"/>
        </w:rPr>
        <w:t xml:space="preserve"> </w:t>
      </w:r>
      <w:r>
        <w:rPr>
          <w:rFonts w:hint="eastAsia" w:ascii="宋体" w:hAnsi="宋体" w:eastAsia="宋体" w:cs="宋体"/>
          <w:b/>
          <w:bCs/>
          <w:spacing w:val="9"/>
          <w:sz w:val="24"/>
          <w:szCs w:val="24"/>
        </w:rPr>
        <w:t>具有合格有效的三证合一营业执照</w:t>
      </w:r>
    </w:p>
    <w:p w14:paraId="5B489F1E">
      <w:pPr>
        <w:spacing w:line="290" w:lineRule="auto"/>
        <w:rPr>
          <w:rFonts w:hint="eastAsia" w:ascii="宋体" w:hAnsi="宋体" w:eastAsia="宋体" w:cs="宋体"/>
          <w:sz w:val="24"/>
          <w:szCs w:val="24"/>
        </w:rPr>
      </w:pPr>
    </w:p>
    <w:p w14:paraId="2B24B0AB">
      <w:pPr>
        <w:spacing w:line="290" w:lineRule="auto"/>
        <w:rPr>
          <w:rFonts w:hint="eastAsia" w:ascii="宋体" w:hAnsi="宋体" w:eastAsia="宋体" w:cs="宋体"/>
          <w:sz w:val="24"/>
          <w:szCs w:val="24"/>
        </w:rPr>
      </w:pPr>
    </w:p>
    <w:p w14:paraId="0469BE4D">
      <w:pPr>
        <w:spacing w:line="290" w:lineRule="auto"/>
        <w:rPr>
          <w:rFonts w:hint="eastAsia" w:ascii="宋体" w:hAnsi="宋体" w:eastAsia="宋体" w:cs="宋体"/>
          <w:sz w:val="24"/>
          <w:szCs w:val="24"/>
        </w:rPr>
      </w:pPr>
    </w:p>
    <w:p w14:paraId="5F9BDC10">
      <w:pPr>
        <w:pStyle w:val="8"/>
        <w:spacing w:before="65" w:line="227" w:lineRule="auto"/>
        <w:ind w:left="570"/>
        <w:rPr>
          <w:rFonts w:hint="eastAsia" w:ascii="宋体" w:hAnsi="宋体" w:eastAsia="宋体" w:cs="宋体"/>
          <w:sz w:val="24"/>
          <w:szCs w:val="24"/>
        </w:rPr>
        <w:sectPr>
          <w:footerReference r:id="rId11" w:type="default"/>
          <w:pgSz w:w="11900" w:h="16838"/>
          <w:pgMar w:top="1372" w:right="1332" w:bottom="1429" w:left="1332" w:header="1361" w:footer="1134" w:gutter="0"/>
          <w:pgNumType w:fmt="decimal"/>
          <w:cols w:space="0" w:num="1"/>
          <w:rtlGutter w:val="0"/>
          <w:docGrid w:linePitch="0" w:charSpace="0"/>
        </w:sectPr>
      </w:pPr>
      <w:r>
        <w:rPr>
          <w:rFonts w:hint="eastAsia" w:ascii="宋体" w:hAnsi="宋体" w:eastAsia="宋体" w:cs="宋体"/>
          <w:spacing w:val="11"/>
          <w:sz w:val="24"/>
          <w:szCs w:val="24"/>
        </w:rPr>
        <w:t>说明：1.提供有效的营业执照等证明文件。</w:t>
      </w:r>
    </w:p>
    <w:p w14:paraId="556693A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2-1、法定代表人资格证明书</w:t>
      </w:r>
    </w:p>
    <w:p w14:paraId="5009ADC8">
      <w:pPr>
        <w:spacing w:line="360" w:lineRule="auto"/>
        <w:jc w:val="left"/>
        <w:rPr>
          <w:rFonts w:hint="eastAsia" w:ascii="宋体" w:hAnsi="宋体" w:eastAsia="宋体" w:cs="宋体"/>
          <w:sz w:val="24"/>
          <w:szCs w:val="24"/>
        </w:rPr>
      </w:pPr>
    </w:p>
    <w:p w14:paraId="4189A203">
      <w:pPr>
        <w:pStyle w:val="8"/>
        <w:spacing w:before="65" w:line="228" w:lineRule="auto"/>
        <w:ind w:left="20"/>
        <w:jc w:val="left"/>
        <w:rPr>
          <w:rFonts w:hint="eastAsia" w:ascii="宋体" w:hAnsi="宋体" w:eastAsia="宋体" w:cs="宋体"/>
          <w:sz w:val="21"/>
          <w:szCs w:val="21"/>
        </w:rPr>
      </w:pPr>
      <w:r>
        <w:rPr>
          <w:rFonts w:hint="eastAsia" w:ascii="宋体" w:hAnsi="宋体" w:eastAsia="宋体" w:cs="宋体"/>
          <w:sz w:val="21"/>
          <w:szCs w:val="21"/>
        </w:rPr>
        <w:t>致：</w:t>
      </w:r>
    </w:p>
    <w:p w14:paraId="54E06CC1">
      <w:pPr>
        <w:spacing w:line="254" w:lineRule="auto"/>
        <w:jc w:val="left"/>
        <w:rPr>
          <w:rFonts w:hint="eastAsia" w:ascii="宋体" w:hAnsi="宋体" w:eastAsia="宋体" w:cs="宋体"/>
          <w:sz w:val="21"/>
          <w:szCs w:val="21"/>
        </w:rPr>
      </w:pPr>
    </w:p>
    <w:p w14:paraId="39E166A0">
      <w:pPr>
        <w:spacing w:line="255" w:lineRule="auto"/>
        <w:jc w:val="left"/>
        <w:rPr>
          <w:rFonts w:hint="eastAsia" w:ascii="宋体" w:hAnsi="宋体" w:eastAsia="宋体" w:cs="宋体"/>
          <w:sz w:val="21"/>
          <w:szCs w:val="21"/>
        </w:rPr>
      </w:pPr>
    </w:p>
    <w:p w14:paraId="20F0530D">
      <w:pPr>
        <w:pStyle w:val="8"/>
        <w:tabs>
          <w:tab w:val="left" w:pos="1610"/>
        </w:tabs>
        <w:spacing w:before="65" w:line="228" w:lineRule="auto"/>
        <w:ind w:left="542"/>
        <w:jc w:val="left"/>
        <w:rPr>
          <w:rFonts w:hint="eastAsia" w:ascii="宋体" w:hAnsi="宋体" w:eastAsia="宋体" w:cs="宋体"/>
          <w:sz w:val="21"/>
          <w:szCs w:val="21"/>
        </w:rPr>
      </w:pPr>
      <w:r>
        <w:rPr>
          <w:rFonts w:hint="eastAsia" w:ascii="宋体" w:hAnsi="宋体" w:eastAsia="宋体" w:cs="宋体"/>
          <w:spacing w:val="10"/>
          <w:sz w:val="21"/>
          <w:szCs w:val="21"/>
        </w:rPr>
        <w:t>同志，现任我单位</w:t>
      </w:r>
      <w:r>
        <w:rPr>
          <w:rFonts w:hint="eastAsia" w:ascii="宋体" w:hAnsi="宋体" w:eastAsia="宋体" w:cs="宋体"/>
          <w:spacing w:val="-98"/>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10"/>
          <w:sz w:val="21"/>
          <w:szCs w:val="21"/>
        </w:rPr>
        <w:t>职务，为法定代表人，特此证明。</w:t>
      </w:r>
    </w:p>
    <w:p w14:paraId="63C75C50">
      <w:pPr>
        <w:pStyle w:val="8"/>
        <w:spacing w:before="252" w:line="227" w:lineRule="auto"/>
        <w:ind w:left="234"/>
        <w:jc w:val="left"/>
        <w:rPr>
          <w:rFonts w:hint="eastAsia" w:ascii="宋体" w:hAnsi="宋体" w:eastAsia="宋体" w:cs="宋体"/>
          <w:sz w:val="21"/>
          <w:szCs w:val="21"/>
        </w:rPr>
      </w:pPr>
      <w:r>
        <w:rPr>
          <w:rFonts w:hint="eastAsia" w:ascii="宋体" w:hAnsi="宋体" w:eastAsia="宋体" w:cs="宋体"/>
          <w:spacing w:val="10"/>
          <w:sz w:val="21"/>
          <w:szCs w:val="21"/>
        </w:rPr>
        <w:t>签发日期：</w:t>
      </w:r>
      <w:r>
        <w:rPr>
          <w:rFonts w:hint="eastAsia" w:ascii="宋体" w:hAnsi="宋体" w:eastAsia="宋体" w:cs="宋体"/>
          <w:spacing w:val="2"/>
          <w:sz w:val="21"/>
          <w:szCs w:val="21"/>
        </w:rPr>
        <w:t xml:space="preserve">                   </w:t>
      </w:r>
      <w:r>
        <w:rPr>
          <w:rFonts w:hint="eastAsia" w:ascii="宋体" w:hAnsi="宋体" w:eastAsia="宋体" w:cs="宋体"/>
          <w:spacing w:val="10"/>
          <w:sz w:val="21"/>
          <w:szCs w:val="21"/>
        </w:rPr>
        <w:t>单位</w:t>
      </w:r>
      <w:r>
        <w:rPr>
          <w:rFonts w:hint="eastAsia" w:ascii="宋体" w:hAnsi="宋体" w:eastAsia="宋体" w:cs="宋体"/>
          <w:spacing w:val="-11"/>
          <w:sz w:val="21"/>
          <w:szCs w:val="21"/>
        </w:rPr>
        <w:t>：</w:t>
      </w:r>
      <w:r>
        <w:rPr>
          <w:rFonts w:hint="eastAsia" w:ascii="宋体" w:hAnsi="宋体" w:eastAsia="宋体" w:cs="宋体"/>
          <w:spacing w:val="38"/>
          <w:sz w:val="21"/>
          <w:szCs w:val="21"/>
        </w:rPr>
        <w:t xml:space="preserve"> </w:t>
      </w:r>
      <w:r>
        <w:rPr>
          <w:rFonts w:hint="eastAsia" w:ascii="宋体" w:hAnsi="宋体" w:eastAsia="宋体" w:cs="宋体"/>
          <w:spacing w:val="-11"/>
          <w:sz w:val="21"/>
          <w:szCs w:val="21"/>
        </w:rPr>
        <w:t>（</w:t>
      </w:r>
      <w:r>
        <w:rPr>
          <w:rFonts w:hint="eastAsia" w:ascii="宋体" w:hAnsi="宋体" w:eastAsia="宋体" w:cs="宋体"/>
          <w:spacing w:val="10"/>
          <w:sz w:val="21"/>
          <w:szCs w:val="21"/>
        </w:rPr>
        <w:t>盖章）</w:t>
      </w:r>
    </w:p>
    <w:p w14:paraId="1B07837A">
      <w:pPr>
        <w:pStyle w:val="8"/>
        <w:spacing w:before="253" w:line="227" w:lineRule="auto"/>
        <w:ind w:left="250"/>
        <w:jc w:val="left"/>
        <w:rPr>
          <w:rFonts w:hint="eastAsia" w:ascii="宋体" w:hAnsi="宋体" w:eastAsia="宋体" w:cs="宋体"/>
          <w:sz w:val="21"/>
          <w:szCs w:val="21"/>
        </w:rPr>
      </w:pPr>
      <w:r>
        <w:rPr>
          <w:rFonts w:hint="eastAsia" w:ascii="宋体" w:hAnsi="宋体" w:eastAsia="宋体" w:cs="宋体"/>
          <w:spacing w:val="7"/>
          <w:sz w:val="21"/>
          <w:szCs w:val="21"/>
        </w:rPr>
        <w:t>附：代表人性别：</w:t>
      </w:r>
      <w:r>
        <w:rPr>
          <w:rFonts w:hint="eastAsia" w:ascii="宋体" w:hAnsi="宋体" w:eastAsia="宋体" w:cs="宋体"/>
          <w:sz w:val="21"/>
          <w:szCs w:val="21"/>
        </w:rPr>
        <w:t xml:space="preserve">             </w:t>
      </w:r>
      <w:r>
        <w:rPr>
          <w:rFonts w:hint="eastAsia" w:ascii="宋体" w:hAnsi="宋体" w:eastAsia="宋体" w:cs="宋体"/>
          <w:spacing w:val="7"/>
          <w:sz w:val="21"/>
          <w:szCs w:val="21"/>
        </w:rPr>
        <w:t>年龄：</w:t>
      </w:r>
      <w:r>
        <w:rPr>
          <w:rFonts w:hint="eastAsia" w:ascii="宋体" w:hAnsi="宋体" w:eastAsia="宋体" w:cs="宋体"/>
          <w:sz w:val="21"/>
          <w:szCs w:val="21"/>
        </w:rPr>
        <w:t xml:space="preserve">            </w:t>
      </w:r>
      <w:r>
        <w:rPr>
          <w:rFonts w:hint="eastAsia" w:ascii="宋体" w:hAnsi="宋体" w:eastAsia="宋体" w:cs="宋体"/>
          <w:spacing w:val="7"/>
          <w:sz w:val="21"/>
          <w:szCs w:val="21"/>
        </w:rPr>
        <w:t>身份证号码：</w:t>
      </w:r>
    </w:p>
    <w:p w14:paraId="557B1BAC">
      <w:pPr>
        <w:pStyle w:val="8"/>
        <w:spacing w:before="255" w:line="230" w:lineRule="auto"/>
        <w:ind w:left="235"/>
        <w:jc w:val="left"/>
        <w:rPr>
          <w:rFonts w:hint="eastAsia" w:ascii="宋体" w:hAnsi="宋体" w:eastAsia="宋体" w:cs="宋体"/>
          <w:sz w:val="21"/>
          <w:szCs w:val="21"/>
        </w:rPr>
      </w:pPr>
      <w:r>
        <w:rPr>
          <w:rFonts w:hint="eastAsia" w:ascii="宋体" w:hAnsi="宋体" w:eastAsia="宋体" w:cs="宋体"/>
          <w:spacing w:val="7"/>
          <w:sz w:val="21"/>
          <w:szCs w:val="21"/>
        </w:rPr>
        <w:t>联系电话：</w:t>
      </w:r>
    </w:p>
    <w:p w14:paraId="1107B3DF">
      <w:pPr>
        <w:pStyle w:val="8"/>
        <w:spacing w:before="250" w:line="228" w:lineRule="auto"/>
        <w:ind w:left="240"/>
        <w:jc w:val="left"/>
        <w:rPr>
          <w:rFonts w:hint="eastAsia" w:ascii="宋体" w:hAnsi="宋体" w:eastAsia="宋体" w:cs="宋体"/>
          <w:sz w:val="21"/>
          <w:szCs w:val="21"/>
        </w:rPr>
      </w:pPr>
      <w:r>
        <w:rPr>
          <w:rFonts w:hint="eastAsia" w:ascii="宋体" w:hAnsi="宋体" w:eastAsia="宋体" w:cs="宋体"/>
          <w:spacing w:val="8"/>
          <w:sz w:val="21"/>
          <w:szCs w:val="21"/>
        </w:rPr>
        <w:t>营业执照号码：</w:t>
      </w:r>
      <w:r>
        <w:rPr>
          <w:rFonts w:hint="eastAsia" w:ascii="宋体" w:hAnsi="宋体" w:eastAsia="宋体" w:cs="宋体"/>
          <w:spacing w:val="1"/>
          <w:sz w:val="21"/>
          <w:szCs w:val="21"/>
        </w:rPr>
        <w:t xml:space="preserve">               </w:t>
      </w:r>
      <w:r>
        <w:rPr>
          <w:rFonts w:hint="eastAsia" w:ascii="宋体" w:hAnsi="宋体" w:eastAsia="宋体" w:cs="宋体"/>
          <w:spacing w:val="8"/>
          <w:sz w:val="21"/>
          <w:szCs w:val="21"/>
        </w:rPr>
        <w:t>经济性质：</w:t>
      </w:r>
    </w:p>
    <w:p w14:paraId="5E9163BD">
      <w:pPr>
        <w:pStyle w:val="8"/>
        <w:spacing w:before="252" w:line="228" w:lineRule="auto"/>
        <w:ind w:left="23"/>
        <w:jc w:val="left"/>
        <w:rPr>
          <w:rFonts w:hint="eastAsia" w:ascii="宋体" w:hAnsi="宋体" w:eastAsia="宋体" w:cs="宋体"/>
          <w:sz w:val="21"/>
          <w:szCs w:val="21"/>
        </w:rPr>
      </w:pPr>
      <w:r>
        <w:rPr>
          <w:rFonts w:hint="eastAsia" w:ascii="宋体" w:hAnsi="宋体" w:eastAsia="宋体" w:cs="宋体"/>
          <w:spacing w:val="3"/>
          <w:sz w:val="21"/>
          <w:szCs w:val="21"/>
        </w:rPr>
        <w:t>说明：</w:t>
      </w:r>
    </w:p>
    <w:p w14:paraId="3B2FCB2B">
      <w:pPr>
        <w:pStyle w:val="8"/>
        <w:spacing w:before="255" w:line="227" w:lineRule="auto"/>
        <w:ind w:left="249"/>
        <w:jc w:val="left"/>
        <w:rPr>
          <w:rFonts w:hint="eastAsia" w:ascii="宋体" w:hAnsi="宋体" w:eastAsia="宋体" w:cs="宋体"/>
          <w:sz w:val="21"/>
          <w:szCs w:val="21"/>
        </w:rPr>
      </w:pPr>
      <w:r>
        <w:rPr>
          <w:rFonts w:hint="eastAsia" w:ascii="宋体" w:hAnsi="宋体" w:eastAsia="宋体" w:cs="宋体"/>
          <w:spacing w:val="12"/>
          <w:sz w:val="21"/>
          <w:szCs w:val="21"/>
        </w:rPr>
        <w:t>1、法定代表人为企业事业单位、国家机关、</w:t>
      </w:r>
      <w:r>
        <w:rPr>
          <w:rFonts w:hint="eastAsia" w:ascii="宋体" w:hAnsi="宋体" w:eastAsia="宋体" w:cs="宋体"/>
          <w:spacing w:val="11"/>
          <w:sz w:val="21"/>
          <w:szCs w:val="21"/>
        </w:rPr>
        <w:t>社会团体的主要行政负责人。</w:t>
      </w:r>
    </w:p>
    <w:p w14:paraId="4BDB55CB">
      <w:pPr>
        <w:pStyle w:val="8"/>
        <w:spacing w:before="253" w:line="228" w:lineRule="auto"/>
        <w:ind w:left="234"/>
        <w:jc w:val="left"/>
        <w:rPr>
          <w:rFonts w:hint="eastAsia" w:ascii="宋体" w:hAnsi="宋体" w:eastAsia="宋体" w:cs="宋体"/>
          <w:sz w:val="21"/>
          <w:szCs w:val="21"/>
        </w:rPr>
      </w:pPr>
      <w:r>
        <w:rPr>
          <w:rFonts w:hint="eastAsia" w:ascii="宋体" w:hAnsi="宋体" w:eastAsia="宋体" w:cs="宋体"/>
          <w:spacing w:val="11"/>
          <w:sz w:val="21"/>
          <w:szCs w:val="21"/>
        </w:rPr>
        <w:t>2、内容必须填写真实、清楚、涂改无效，不得转让。</w:t>
      </w:r>
    </w:p>
    <w:p w14:paraId="77EFCA41">
      <w:pPr>
        <w:pStyle w:val="8"/>
        <w:spacing w:before="252" w:line="227" w:lineRule="auto"/>
        <w:ind w:left="238"/>
        <w:jc w:val="left"/>
        <w:rPr>
          <w:rFonts w:hint="eastAsia" w:ascii="宋体" w:hAnsi="宋体" w:eastAsia="宋体" w:cs="宋体"/>
          <w:sz w:val="21"/>
          <w:szCs w:val="21"/>
        </w:rPr>
      </w:pPr>
      <w:r>
        <w:rPr>
          <w:rFonts w:hint="eastAsia" w:ascii="宋体" w:hAnsi="宋体" w:eastAsia="宋体" w:cs="宋体"/>
          <w:spacing w:val="11"/>
          <w:sz w:val="21"/>
          <w:szCs w:val="21"/>
        </w:rPr>
        <w:t>3、将此证明书原件提交采购代理机构作为投标文件附件。</w:t>
      </w:r>
    </w:p>
    <w:p w14:paraId="4AE4019B">
      <w:pPr>
        <w:pStyle w:val="8"/>
        <w:spacing w:before="256" w:line="227" w:lineRule="auto"/>
        <w:ind w:left="268"/>
        <w:jc w:val="left"/>
        <w:rPr>
          <w:rFonts w:hint="eastAsia" w:ascii="宋体" w:hAnsi="宋体" w:eastAsia="宋体" w:cs="宋体"/>
          <w:sz w:val="21"/>
          <w:szCs w:val="21"/>
        </w:rPr>
      </w:pPr>
      <w:r>
        <w:rPr>
          <w:rFonts w:hint="eastAsia" w:ascii="宋体" w:hAnsi="宋体" w:eastAsia="宋体" w:cs="宋体"/>
          <w:spacing w:val="9"/>
          <w:sz w:val="21"/>
          <w:szCs w:val="21"/>
        </w:rPr>
        <w:t>(为避免废标，请投标人务必提供本附件)</w:t>
      </w:r>
    </w:p>
    <w:p w14:paraId="12B132BA">
      <w:pPr>
        <w:widowControl w:val="0"/>
        <w:numPr>
          <w:ilvl w:val="0"/>
          <w:numId w:val="0"/>
        </w:numPr>
        <w:kinsoku w:val="0"/>
        <w:overflowPunct w:val="0"/>
        <w:spacing w:after="120"/>
        <w:ind w:leftChars="0" w:right="0" w:rightChars="0"/>
        <w:jc w:val="both"/>
        <w:rPr>
          <w:rFonts w:hint="eastAsia" w:ascii="宋体" w:hAnsi="宋体" w:eastAsia="宋体" w:cs="宋体"/>
          <w:color w:val="000000"/>
          <w:kern w:val="2"/>
          <w:sz w:val="20"/>
          <w:szCs w:val="20"/>
          <w:lang w:val="en-US" w:eastAsia="zh-CN" w:bidi="ar-SA"/>
        </w:rPr>
      </w:pPr>
    </w:p>
    <w:p w14:paraId="155F05D1">
      <w:pPr>
        <w:spacing w:line="500" w:lineRule="exact"/>
        <w:rPr>
          <w:rFonts w:hint="eastAsia" w:ascii="宋体" w:hAnsi="宋体" w:eastAsia="宋体" w:cs="宋体"/>
          <w:color w:val="auto"/>
          <w:sz w:val="24"/>
          <w:szCs w:val="24"/>
          <w:highlight w:val="none"/>
        </w:rPr>
      </w:pPr>
    </w:p>
    <w:p w14:paraId="3BCCEAE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0CB33CC">
                            <w:pPr>
                              <w:jc w:val="center"/>
                              <w:rPr>
                                <w:rFonts w:hint="eastAsia" w:ascii="Times New Roman" w:hAnsi="宋体" w:eastAsia="宋体" w:cs="Times New Roman"/>
                                <w:szCs w:val="21"/>
                              </w:rPr>
                            </w:pPr>
                          </w:p>
                          <w:p w14:paraId="59599BA9">
                            <w:pPr>
                              <w:jc w:val="center"/>
                              <w:rPr>
                                <w:rFonts w:hint="eastAsia" w:ascii="Times New Roman" w:hAnsi="宋体" w:eastAsia="宋体" w:cs="Times New Roman"/>
                                <w:szCs w:val="21"/>
                              </w:rPr>
                            </w:pPr>
                          </w:p>
                          <w:p w14:paraId="1D244D91">
                            <w:pPr>
                              <w:jc w:val="center"/>
                              <w:rPr>
                                <w:rFonts w:hint="eastAsia" w:ascii="Times New Roman" w:hAnsi="宋体" w:eastAsia="宋体" w:cs="Times New Roman"/>
                                <w:szCs w:val="21"/>
                              </w:rPr>
                            </w:pPr>
                          </w:p>
                          <w:p w14:paraId="1D790ABC">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DB1PsgKAIAAFAEAAAOAAAAAAAAAAEAIAAAACUBAABkcnMvZTJvRG9jLnhtbFBLBQYAAAAA&#10;BgAGAFkBAAC/BQAAAAA=&#10;">
                <v:fill on="t" focussize="0,0"/>
                <v:stroke color="#000000" joinstyle="miter"/>
                <v:imagedata o:title=""/>
                <o:lock v:ext="edit" aspectratio="f"/>
                <v:textbox>
                  <w:txbxContent>
                    <w:p w14:paraId="20CB33CC">
                      <w:pPr>
                        <w:jc w:val="center"/>
                        <w:rPr>
                          <w:rFonts w:hint="eastAsia" w:ascii="Times New Roman" w:hAnsi="宋体" w:eastAsia="宋体" w:cs="Times New Roman"/>
                          <w:szCs w:val="21"/>
                        </w:rPr>
                      </w:pPr>
                    </w:p>
                    <w:p w14:paraId="59599BA9">
                      <w:pPr>
                        <w:jc w:val="center"/>
                        <w:rPr>
                          <w:rFonts w:hint="eastAsia" w:ascii="Times New Roman" w:hAnsi="宋体" w:eastAsia="宋体" w:cs="Times New Roman"/>
                          <w:szCs w:val="21"/>
                        </w:rPr>
                      </w:pPr>
                    </w:p>
                    <w:p w14:paraId="1D244D91">
                      <w:pPr>
                        <w:jc w:val="center"/>
                        <w:rPr>
                          <w:rFonts w:hint="eastAsia" w:ascii="Times New Roman" w:hAnsi="宋体" w:eastAsia="宋体" w:cs="Times New Roman"/>
                          <w:szCs w:val="21"/>
                        </w:rPr>
                      </w:pPr>
                    </w:p>
                    <w:p w14:paraId="1D790ABC">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CC91E21">
                            <w:pPr>
                              <w:jc w:val="center"/>
                              <w:rPr>
                                <w:rFonts w:hint="eastAsia" w:ascii="Times New Roman" w:hAnsi="宋体" w:eastAsia="宋体" w:cs="Times New Roman"/>
                                <w:szCs w:val="21"/>
                              </w:rPr>
                            </w:pPr>
                          </w:p>
                          <w:p w14:paraId="24136193">
                            <w:pPr>
                              <w:jc w:val="center"/>
                              <w:rPr>
                                <w:rFonts w:hint="eastAsia" w:ascii="Times New Roman" w:hAnsi="宋体" w:eastAsia="宋体" w:cs="Times New Roman"/>
                                <w:szCs w:val="21"/>
                              </w:rPr>
                            </w:pPr>
                          </w:p>
                          <w:p w14:paraId="6B57AC1A">
                            <w:pPr>
                              <w:jc w:val="center"/>
                              <w:rPr>
                                <w:rFonts w:hint="eastAsia" w:ascii="Times New Roman" w:hAnsi="宋体" w:eastAsia="宋体" w:cs="Times New Roman"/>
                                <w:szCs w:val="21"/>
                              </w:rPr>
                            </w:pPr>
                          </w:p>
                          <w:p w14:paraId="2528497D">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028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14:paraId="3CC91E21">
                      <w:pPr>
                        <w:jc w:val="center"/>
                        <w:rPr>
                          <w:rFonts w:hint="eastAsia" w:ascii="Times New Roman" w:hAnsi="宋体" w:eastAsia="宋体" w:cs="Times New Roman"/>
                          <w:szCs w:val="21"/>
                        </w:rPr>
                      </w:pPr>
                    </w:p>
                    <w:p w14:paraId="24136193">
                      <w:pPr>
                        <w:jc w:val="center"/>
                        <w:rPr>
                          <w:rFonts w:hint="eastAsia" w:ascii="Times New Roman" w:hAnsi="宋体" w:eastAsia="宋体" w:cs="Times New Roman"/>
                          <w:szCs w:val="21"/>
                        </w:rPr>
                      </w:pPr>
                    </w:p>
                    <w:p w14:paraId="6B57AC1A">
                      <w:pPr>
                        <w:jc w:val="center"/>
                        <w:rPr>
                          <w:rFonts w:hint="eastAsia" w:ascii="Times New Roman" w:hAnsi="宋体" w:eastAsia="宋体" w:cs="Times New Roman"/>
                          <w:szCs w:val="21"/>
                        </w:rPr>
                      </w:pPr>
                    </w:p>
                    <w:p w14:paraId="2528497D">
                      <w:pPr>
                        <w:jc w:val="center"/>
                        <w:rPr>
                          <w:rFonts w:hint="eastAsia" w:ascii="Times New Roman" w:hAnsi="Times New Roman" w:eastAsia="宋体" w:cs="Times New Roman"/>
                          <w:szCs w:val="21"/>
                          <w:lang w:eastAsia="zh-CN"/>
                        </w:rPr>
                      </w:pPr>
                      <w:r>
                        <w:rPr>
                          <w:rFonts w:hint="eastAsia" w:ascii="Times New Roman" w:hAnsi="宋体" w:eastAsia="宋体" w:cs="Times New Roman"/>
                          <w:szCs w:val="21"/>
                        </w:rPr>
                        <w:t>法定代表人身份证复印件</w:t>
                      </w:r>
                      <w:r>
                        <w:rPr>
                          <w:rFonts w:hint="eastAsia" w:ascii="Times New Roman" w:hAnsi="宋体" w:eastAsia="宋体" w:cs="Times New Roman"/>
                          <w:szCs w:val="21"/>
                          <w:lang w:eastAsia="zh-CN"/>
                        </w:rPr>
                        <w:t>反面</w:t>
                      </w:r>
                    </w:p>
                  </w:txbxContent>
                </v:textbox>
              </v:shape>
            </w:pict>
          </mc:Fallback>
        </mc:AlternateContent>
      </w:r>
    </w:p>
    <w:p w14:paraId="7B62320C">
      <w:pPr>
        <w:spacing w:line="500" w:lineRule="exact"/>
        <w:rPr>
          <w:rFonts w:hint="eastAsia" w:ascii="宋体" w:hAnsi="宋体" w:eastAsia="宋体" w:cs="宋体"/>
          <w:color w:val="auto"/>
          <w:sz w:val="24"/>
          <w:szCs w:val="24"/>
          <w:highlight w:val="none"/>
        </w:rPr>
      </w:pPr>
    </w:p>
    <w:p w14:paraId="669AD17E">
      <w:pPr>
        <w:spacing w:line="500" w:lineRule="exact"/>
        <w:rPr>
          <w:rFonts w:hint="eastAsia" w:ascii="宋体" w:hAnsi="宋体" w:eastAsia="宋体" w:cs="宋体"/>
          <w:color w:val="auto"/>
          <w:sz w:val="24"/>
          <w:szCs w:val="24"/>
          <w:highlight w:val="none"/>
        </w:rPr>
      </w:pPr>
    </w:p>
    <w:p w14:paraId="2BE32397">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2C3CAA84">
      <w:pPr>
        <w:spacing w:line="500" w:lineRule="exact"/>
        <w:jc w:val="center"/>
        <w:rPr>
          <w:rFonts w:hint="eastAsia" w:ascii="宋体" w:hAnsi="宋体" w:eastAsia="宋体" w:cs="宋体"/>
          <w:color w:val="auto"/>
          <w:sz w:val="24"/>
          <w:szCs w:val="24"/>
          <w:highlight w:val="none"/>
        </w:rPr>
      </w:pPr>
    </w:p>
    <w:p w14:paraId="08ECD026">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14:paraId="12AFC852">
      <w:pPr>
        <w:pStyle w:val="9"/>
        <w:shd w:val="clear" w:color="auto" w:fill="auto"/>
        <w:tabs>
          <w:tab w:val="left" w:pos="5580"/>
        </w:tabs>
        <w:spacing w:line="24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hAnsi="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6A99DD70">
      <w:pPr>
        <w:pStyle w:val="10"/>
        <w:rPr>
          <w:rFonts w:hint="eastAsia" w:ascii="宋体" w:hAnsi="宋体" w:eastAsia="宋体" w:cs="宋体"/>
          <w:color w:val="auto"/>
          <w:sz w:val="24"/>
          <w:highlight w:val="none"/>
          <w:u w:val="none" w:color="auto"/>
          <w:lang w:val="en-US" w:eastAsia="zh-CN"/>
        </w:rPr>
      </w:pPr>
    </w:p>
    <w:p w14:paraId="3E0FE356">
      <w:pPr>
        <w:pStyle w:val="10"/>
        <w:ind w:left="0" w:leftChars="0" w:firstLine="480" w:firstLineChars="200"/>
        <w:rPr>
          <w:rFonts w:hint="eastAsia" w:ascii="宋体" w:hAnsi="宋体" w:eastAsia="宋体" w:cs="宋体"/>
          <w:u w:val="single" w:color="auto"/>
          <w:lang w:val="en-US" w:eastAsia="zh-CN"/>
        </w:rPr>
      </w:pPr>
      <w:r>
        <w:rPr>
          <w:rFonts w:hint="eastAsia" w:ascii="宋体" w:hAnsi="宋体" w:eastAsia="宋体" w:cs="宋体"/>
          <w:color w:val="auto"/>
          <w:sz w:val="24"/>
          <w:highlight w:val="none"/>
          <w:u w:val="none" w:color="auto"/>
          <w:lang w:val="en-US" w:eastAsia="zh-CN"/>
        </w:rPr>
        <w:t>法定代表人（签字或盖章）</w:t>
      </w:r>
      <w:r>
        <w:rPr>
          <w:rFonts w:hint="eastAsia" w:ascii="宋体" w:hAnsi="宋体" w:cs="宋体"/>
          <w:color w:val="auto"/>
          <w:sz w:val="24"/>
          <w:highlight w:val="none"/>
          <w:u w:val="none" w:color="auto"/>
          <w:lang w:val="en-US" w:eastAsia="zh-CN"/>
        </w:rPr>
        <w:t>：</w:t>
      </w:r>
      <w:r>
        <w:rPr>
          <w:rFonts w:hint="eastAsia" w:ascii="宋体" w:hAnsi="宋体" w:eastAsia="宋体" w:cs="宋体"/>
          <w:u w:val="single" w:color="auto"/>
          <w:lang w:val="en-US" w:eastAsia="zh-CN"/>
        </w:rPr>
        <w:t xml:space="preserve">                      </w:t>
      </w:r>
    </w:p>
    <w:p w14:paraId="7BE46269">
      <w:pPr>
        <w:rPr>
          <w:rFonts w:hint="eastAsia" w:ascii="宋体" w:hAnsi="宋体" w:eastAsia="宋体" w:cs="宋体"/>
          <w:u w:val="single" w:color="auto"/>
          <w:lang w:val="en-US" w:eastAsia="zh-CN"/>
        </w:rPr>
      </w:pPr>
    </w:p>
    <w:p w14:paraId="6EDA90B9">
      <w:pPr>
        <w:shd w:val="clear" w:color="auto" w:fill="auto"/>
        <w:spacing w:line="360" w:lineRule="auto"/>
        <w:ind w:firstLine="3600" w:firstLineChars="15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r>
        <w:rPr>
          <w:rFonts w:hint="eastAsia" w:ascii="宋体" w:hAnsi="宋体" w:eastAsia="宋体" w:cs="宋体"/>
          <w:color w:val="auto"/>
          <w:kern w:val="2"/>
          <w:sz w:val="24"/>
          <w:szCs w:val="20"/>
          <w:highlight w:val="none"/>
          <w:u w:val="none" w:color="000000"/>
          <w:lang w:val="en-US" w:eastAsia="zh-CN" w:bidi="ar-SA"/>
        </w:rPr>
        <w:t xml:space="preserve"> </w:t>
      </w:r>
    </w:p>
    <w:p w14:paraId="3B2F40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62245A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sz w:val="24"/>
          <w:szCs w:val="24"/>
          <w:lang w:val="en-US" w:eastAsia="zh-CN"/>
        </w:rPr>
      </w:pPr>
    </w:p>
    <w:p w14:paraId="5AA2BC3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2-2、法定代表人授权委托书</w:t>
      </w:r>
    </w:p>
    <w:p w14:paraId="5AE6C192">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p>
    <w:p w14:paraId="16A35248">
      <w:pPr>
        <w:widowControl w:val="0"/>
        <w:shd w:val="clear" w:color="auto" w:fill="auto"/>
        <w:tabs>
          <w:tab w:val="left" w:pos="5580"/>
        </w:tabs>
        <w:spacing w:line="360" w:lineRule="auto"/>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本授权书声明：注册于</w:t>
      </w:r>
      <w:r>
        <w:rPr>
          <w:rFonts w:hint="eastAsia" w:ascii="宋体" w:hAnsi="宋体" w:eastAsia="宋体" w:cs="宋体"/>
          <w:color w:val="auto"/>
          <w:kern w:val="2"/>
          <w:sz w:val="24"/>
          <w:szCs w:val="20"/>
          <w:highlight w:val="none"/>
          <w:u w:val="single" w:color="000000"/>
          <w:lang w:val="en-US" w:eastAsia="zh-CN" w:bidi="ar-SA"/>
        </w:rPr>
        <w:t>（</w:t>
      </w:r>
      <w:r>
        <w:rPr>
          <w:rFonts w:hint="eastAsia" w:ascii="宋体" w:hAnsi="宋体" w:eastAsia="宋体" w:cs="宋体"/>
          <w:i w:val="0"/>
          <w:iCs w:val="0"/>
          <w:color w:val="auto"/>
          <w:kern w:val="2"/>
          <w:sz w:val="24"/>
          <w:szCs w:val="20"/>
          <w:highlight w:val="none"/>
          <w:u w:val="single" w:color="000000"/>
          <w:lang w:val="en-US" w:eastAsia="zh-CN" w:bidi="ar-SA"/>
        </w:rPr>
        <w:t>国家或地区的名称）</w:t>
      </w:r>
      <w:r>
        <w:rPr>
          <w:rFonts w:hint="eastAsia" w:ascii="宋体" w:hAnsi="宋体" w:eastAsia="宋体" w:cs="宋体"/>
          <w:i w:val="0"/>
          <w:iCs w:val="0"/>
          <w:color w:val="auto"/>
          <w:kern w:val="2"/>
          <w:sz w:val="24"/>
          <w:szCs w:val="20"/>
          <w:highlight w:val="none"/>
          <w:u w:val="none" w:color="000000"/>
          <w:lang w:val="en-US" w:eastAsia="zh-CN" w:bidi="ar-SA"/>
        </w:rPr>
        <w:t>的（</w:t>
      </w:r>
      <w:r>
        <w:rPr>
          <w:rFonts w:hint="eastAsia" w:ascii="宋体" w:hAnsi="宋体" w:eastAsia="宋体" w:cs="宋体"/>
          <w:i w:val="0"/>
          <w:iCs w:val="0"/>
          <w:color w:val="auto"/>
          <w:kern w:val="2"/>
          <w:sz w:val="24"/>
          <w:szCs w:val="20"/>
          <w:highlight w:val="none"/>
          <w:u w:val="single" w:color="000000"/>
          <w:lang w:val="en-US" w:eastAsia="zh-CN" w:bidi="ar-SA"/>
        </w:rPr>
        <w:t>投标人</w:t>
      </w:r>
      <w:r>
        <w:rPr>
          <w:rFonts w:hint="eastAsia" w:ascii="宋体" w:hAnsi="宋体" w:eastAsia="宋体" w:cs="宋体"/>
          <w:i w:val="0"/>
          <w:iCs w:val="0"/>
          <w:color w:val="auto"/>
          <w:kern w:val="2"/>
          <w:sz w:val="24"/>
          <w:szCs w:val="20"/>
          <w:highlight w:val="none"/>
          <w:u w:val="none" w:color="000000"/>
          <w:lang w:val="en-US" w:eastAsia="zh-CN" w:bidi="ar-SA"/>
        </w:rPr>
        <w:t>）的在下面签字的（</w:t>
      </w:r>
      <w:r>
        <w:rPr>
          <w:rFonts w:hint="eastAsia" w:ascii="宋体" w:hAnsi="宋体" w:eastAsia="宋体" w:cs="宋体"/>
          <w:i w:val="0"/>
          <w:iCs w:val="0"/>
          <w:color w:val="auto"/>
          <w:kern w:val="2"/>
          <w:sz w:val="24"/>
          <w:szCs w:val="20"/>
          <w:highlight w:val="none"/>
          <w:u w:val="single" w:color="000000"/>
          <w:lang w:val="en-US" w:eastAsia="zh-CN" w:bidi="ar-SA"/>
        </w:rPr>
        <w:t>法人代表姓名、职务</w:t>
      </w:r>
      <w:r>
        <w:rPr>
          <w:rFonts w:hint="eastAsia" w:ascii="宋体" w:hAnsi="宋体" w:eastAsia="宋体" w:cs="宋体"/>
          <w:i w:val="0"/>
          <w:iCs w:val="0"/>
          <w:color w:val="auto"/>
          <w:kern w:val="2"/>
          <w:sz w:val="24"/>
          <w:szCs w:val="20"/>
          <w:highlight w:val="none"/>
          <w:u w:val="none" w:color="000000"/>
          <w:lang w:val="en-US" w:eastAsia="zh-CN" w:bidi="ar-SA"/>
        </w:rPr>
        <w:t>）代表我单位授权（</w:t>
      </w:r>
      <w:r>
        <w:rPr>
          <w:rFonts w:hint="eastAsia" w:ascii="宋体" w:hAnsi="宋体" w:eastAsia="宋体" w:cs="宋体"/>
          <w:i w:val="0"/>
          <w:iCs w:val="0"/>
          <w:color w:val="auto"/>
          <w:kern w:val="2"/>
          <w:sz w:val="24"/>
          <w:szCs w:val="20"/>
          <w:highlight w:val="none"/>
          <w:u w:val="single" w:color="000000"/>
          <w:lang w:val="en-US" w:eastAsia="zh-CN" w:bidi="ar-SA"/>
        </w:rPr>
        <w:t>单位名称</w:t>
      </w:r>
      <w:r>
        <w:rPr>
          <w:rFonts w:hint="eastAsia" w:ascii="宋体" w:hAnsi="宋体" w:eastAsia="宋体" w:cs="宋体"/>
          <w:i w:val="0"/>
          <w:iCs w:val="0"/>
          <w:color w:val="auto"/>
          <w:kern w:val="2"/>
          <w:sz w:val="24"/>
          <w:szCs w:val="20"/>
          <w:highlight w:val="none"/>
          <w:u w:val="none" w:color="000000"/>
          <w:lang w:val="en-US" w:eastAsia="zh-CN" w:bidi="ar-SA"/>
        </w:rPr>
        <w:t>）的在下面签字的（</w:t>
      </w:r>
      <w:r>
        <w:rPr>
          <w:rFonts w:hint="eastAsia" w:ascii="宋体" w:hAnsi="宋体" w:eastAsia="宋体" w:cs="宋体"/>
          <w:i w:val="0"/>
          <w:iCs w:val="0"/>
          <w:color w:val="auto"/>
          <w:kern w:val="2"/>
          <w:sz w:val="24"/>
          <w:szCs w:val="20"/>
          <w:highlight w:val="none"/>
          <w:u w:val="single" w:color="000000"/>
          <w:lang w:val="en-US" w:eastAsia="zh-CN" w:bidi="ar-SA"/>
        </w:rPr>
        <w:t>被授权人的姓名、职务、联系方式</w:t>
      </w:r>
      <w:r>
        <w:rPr>
          <w:rFonts w:hint="eastAsia" w:ascii="宋体" w:hAnsi="宋体" w:eastAsia="宋体" w:cs="宋体"/>
          <w:color w:val="auto"/>
          <w:kern w:val="2"/>
          <w:sz w:val="24"/>
          <w:szCs w:val="20"/>
          <w:highlight w:val="none"/>
          <w:u w:val="none" w:color="000000"/>
          <w:lang w:val="en-US" w:eastAsia="zh-CN" w:bidi="ar-SA"/>
        </w:rPr>
        <w:t>）为我单位的合法代理人，就（</w:t>
      </w:r>
      <w:r>
        <w:rPr>
          <w:rFonts w:hint="eastAsia" w:ascii="宋体" w:hAnsi="宋体" w:eastAsia="宋体" w:cs="宋体"/>
          <w:i w:val="0"/>
          <w:iCs/>
          <w:color w:val="auto"/>
          <w:kern w:val="2"/>
          <w:sz w:val="24"/>
          <w:szCs w:val="20"/>
          <w:highlight w:val="none"/>
          <w:u w:val="single" w:color="000000"/>
          <w:lang w:val="en-US" w:eastAsia="zh-CN" w:bidi="ar-SA"/>
        </w:rPr>
        <w:t>项目名称</w:t>
      </w:r>
      <w:r>
        <w:rPr>
          <w:rFonts w:hint="eastAsia" w:ascii="宋体" w:hAnsi="宋体" w:eastAsia="宋体" w:cs="宋体"/>
          <w:color w:val="auto"/>
          <w:kern w:val="2"/>
          <w:sz w:val="24"/>
          <w:szCs w:val="20"/>
          <w:highlight w:val="none"/>
          <w:u w:val="none" w:color="000000"/>
          <w:lang w:val="en-US" w:eastAsia="zh-CN" w:bidi="ar-SA"/>
        </w:rPr>
        <w:t>）投标，以我单位名义处理一切与之有关的事务。</w:t>
      </w:r>
      <w:r>
        <w:rPr>
          <w:rFonts w:hint="eastAsia" w:ascii="宋体" w:hAnsi="宋体" w:eastAsia="宋体" w:cs="宋体"/>
          <w:color w:val="auto"/>
          <w:kern w:val="2"/>
          <w:sz w:val="24"/>
          <w:szCs w:val="20"/>
          <w:highlight w:val="none"/>
          <w:u w:val="none" w:color="000000"/>
          <w:lang w:val="en-US" w:eastAsia="zh-CN" w:bidi="ar-SA"/>
        </w:rPr>
        <w:cr/>
      </w:r>
      <w:r>
        <w:rPr>
          <w:rFonts w:hint="eastAsia" w:ascii="宋体" w:hAnsi="宋体" w:eastAsia="宋体" w:cs="宋体"/>
          <w:color w:val="auto"/>
          <w:kern w:val="2"/>
          <w:sz w:val="24"/>
          <w:szCs w:val="20"/>
          <w:highlight w:val="none"/>
          <w:u w:val="none" w:color="000000"/>
          <w:lang w:val="en-US" w:eastAsia="zh-CN" w:bidi="ar-SA"/>
        </w:rPr>
        <w:t>　　本授权书于</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年</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月</w:t>
      </w:r>
      <w:r>
        <w:rPr>
          <w:rFonts w:hint="eastAsia" w:ascii="宋体" w:hAnsi="宋体" w:eastAsia="宋体" w:cs="宋体"/>
          <w:color w:val="auto"/>
          <w:kern w:val="2"/>
          <w:sz w:val="24"/>
          <w:szCs w:val="20"/>
          <w:highlight w:val="none"/>
          <w:u w:val="single" w:color="000000"/>
          <w:lang w:val="en-US" w:eastAsia="zh-CN" w:bidi="ar-SA"/>
        </w:rPr>
        <w:t xml:space="preserve">     </w:t>
      </w:r>
      <w:r>
        <w:rPr>
          <w:rFonts w:hint="eastAsia" w:ascii="宋体" w:hAnsi="宋体" w:eastAsia="宋体" w:cs="宋体"/>
          <w:color w:val="auto"/>
          <w:kern w:val="2"/>
          <w:sz w:val="24"/>
          <w:szCs w:val="20"/>
          <w:highlight w:val="none"/>
          <w:u w:val="none" w:color="000000"/>
          <w:lang w:val="en-US" w:eastAsia="zh-CN" w:bidi="ar-SA"/>
        </w:rPr>
        <w:t>日签字生效,特此声明。</w:t>
      </w:r>
      <w:r>
        <w:rPr>
          <w:rFonts w:hint="eastAsia" w:ascii="宋体" w:hAnsi="宋体" w:eastAsia="宋体" w:cs="宋体"/>
          <w:color w:val="auto"/>
          <w:kern w:val="2"/>
          <w:sz w:val="24"/>
          <w:szCs w:val="20"/>
          <w:highlight w:val="none"/>
          <w:u w:val="none" w:color="000000"/>
          <w:lang w:val="en-US" w:eastAsia="zh-CN" w:bidi="ar-SA"/>
        </w:rPr>
        <w:cr/>
      </w:r>
    </w:p>
    <w:p w14:paraId="3D7ECC7F">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110490</wp:posOffset>
                </wp:positionV>
                <wp:extent cx="2478405" cy="1191895"/>
                <wp:effectExtent l="7620" t="7620" r="9525" b="19685"/>
                <wp:wrapNone/>
                <wp:docPr id="4" name="圆角矩形 4"/>
                <wp:cNvGraphicFramePr/>
                <a:graphic xmlns:a="http://schemas.openxmlformats.org/drawingml/2006/main">
                  <a:graphicData uri="http://schemas.microsoft.com/office/word/2010/wordprocessingShape">
                    <wps:wsp>
                      <wps:cNvSpPr/>
                      <wps:spPr>
                        <a:xfrm>
                          <a:off x="0" y="0"/>
                          <a:ext cx="2478405" cy="119189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F4ADD1F">
                            <w:pPr>
                              <w:rPr>
                                <w:rFonts w:hint="eastAsia" w:ascii="Times New Roman" w:hAnsi="宋体" w:eastAsia="宋体" w:cs="Times New Roman"/>
                              </w:rPr>
                            </w:pPr>
                          </w:p>
                          <w:p w14:paraId="1CE1909A">
                            <w:pPr>
                              <w:rPr>
                                <w:rFonts w:hint="eastAsia" w:ascii="Times New Roman" w:hAnsi="宋体" w:eastAsia="宋体" w:cs="Times New Roman"/>
                              </w:rPr>
                            </w:pPr>
                          </w:p>
                          <w:p w14:paraId="3C082D09">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569A4B95">
                            <w:pPr>
                              <w:rPr>
                                <w:rFonts w:hint="eastAsia" w:ascii="Times New Roman" w:hAnsi="宋体" w:eastAsia="宋体" w:cs="Times New Roman"/>
                              </w:rPr>
                            </w:pPr>
                          </w:p>
                          <w:p w14:paraId="62B27E7F">
                            <w:pPr>
                              <w:rPr>
                                <w:rFonts w:ascii="Times New Roman" w:hAnsi="Times New Roman" w:eastAsia="宋体" w:cs="Times New Roman"/>
                              </w:rPr>
                            </w:pPr>
                          </w:p>
                        </w:txbxContent>
                      </wps:txbx>
                      <wps:bodyPr upright="1"/>
                    </wps:wsp>
                  </a:graphicData>
                </a:graphic>
              </wp:anchor>
            </w:drawing>
          </mc:Choice>
          <mc:Fallback>
            <w:pict>
              <v:roundrect id="_x0000_s1026" o:spid="_x0000_s1026" o:spt="2" style="position:absolute;left:0pt;margin-left:239.3pt;margin-top:8.7pt;height:93.85pt;width:195.15pt;z-index:251662336;mso-width-relative:page;mso-height-relative:page;" fillcolor="#FFFFFF" filled="t" stroked="t" coordsize="21600,21600" arcsize="0.166666666666667" o:gfxdata="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Fyx7LbAAAACgEAAA8AAAAAAAAAAQAgAAAAIgAAAGRycy9kb3ducmV2LnhtbFBL&#10;AQIUABQAAAAIAIdO4kA80kkXLAIAAGYEAAAOAAAAAAAAAAEAIAAAACoBAABkcnMvZTJvRG9jLnht&#10;bFBLBQYAAAAABgAGAFkBAADIBQAAAAA=&#10;">
                <v:fill on="t" focussize="0,0"/>
                <v:stroke weight="1.25pt" color="#808080" joinstyle="round"/>
                <v:imagedata o:title=""/>
                <o:lock v:ext="edit" aspectratio="f"/>
                <v:textbox>
                  <w:txbxContent>
                    <w:p w14:paraId="3F4ADD1F">
                      <w:pPr>
                        <w:rPr>
                          <w:rFonts w:hint="eastAsia" w:ascii="Times New Roman" w:hAnsi="宋体" w:eastAsia="宋体" w:cs="Times New Roman"/>
                        </w:rPr>
                      </w:pPr>
                    </w:p>
                    <w:p w14:paraId="1CE1909A">
                      <w:pPr>
                        <w:rPr>
                          <w:rFonts w:hint="eastAsia" w:ascii="Times New Roman" w:hAnsi="宋体" w:eastAsia="宋体" w:cs="Times New Roman"/>
                        </w:rPr>
                      </w:pPr>
                    </w:p>
                    <w:p w14:paraId="3C082D09">
                      <w:pPr>
                        <w:jc w:val="center"/>
                        <w:rPr>
                          <w:rFonts w:ascii="Times New Roman" w:hAnsi="Times New Roman" w:eastAsia="宋体" w:cs="Times New Roman"/>
                        </w:rPr>
                      </w:pPr>
                      <w:r>
                        <w:rPr>
                          <w:rFonts w:hint="eastAsia" w:ascii="Times New Roman" w:hAnsi="宋体" w:eastAsia="宋体" w:cs="Times New Roman"/>
                        </w:rPr>
                        <w:t>法人身份证复印件反面</w:t>
                      </w:r>
                    </w:p>
                    <w:p w14:paraId="569A4B95">
                      <w:pPr>
                        <w:rPr>
                          <w:rFonts w:hint="eastAsia" w:ascii="Times New Roman" w:hAnsi="宋体" w:eastAsia="宋体" w:cs="Times New Roman"/>
                        </w:rPr>
                      </w:pPr>
                    </w:p>
                    <w:p w14:paraId="62B27E7F">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kern w:val="2"/>
          <w:sz w:val="24"/>
          <w:szCs w:val="20"/>
          <w:highlight w:val="none"/>
          <w:u w:val="none" w:color="000000"/>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9E32B39">
                            <w:pPr>
                              <w:jc w:val="center"/>
                              <w:rPr>
                                <w:rFonts w:hint="eastAsia" w:ascii="Times New Roman" w:hAnsi="宋体" w:eastAsia="宋体" w:cs="Times New Roman"/>
                              </w:rPr>
                            </w:pPr>
                          </w:p>
                          <w:p w14:paraId="6F35C27C">
                            <w:pPr>
                              <w:jc w:val="center"/>
                              <w:rPr>
                                <w:rFonts w:hint="eastAsia" w:ascii="Times New Roman" w:hAnsi="宋体" w:eastAsia="宋体" w:cs="Times New Roman"/>
                              </w:rPr>
                            </w:pPr>
                          </w:p>
                          <w:p w14:paraId="3413AD68">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530BB32F">
                            <w:pPr>
                              <w:jc w:val="center"/>
                              <w:rPr>
                                <w:rFonts w:hint="eastAsia" w:ascii="Times New Roman" w:hAnsi="宋体" w:eastAsia="宋体" w:cs="Times New Roman"/>
                              </w:rPr>
                            </w:pPr>
                          </w:p>
                          <w:p w14:paraId="1DDFB099">
                            <w:pPr>
                              <w:jc w:val="center"/>
                              <w:rPr>
                                <w:rFonts w:ascii="Times New Roman" w:hAnsi="Times New Roman" w:eastAsia="宋体" w:cs="Times New Roman"/>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1312;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79E32B39">
                      <w:pPr>
                        <w:jc w:val="center"/>
                        <w:rPr>
                          <w:rFonts w:hint="eastAsia" w:ascii="Times New Roman" w:hAnsi="宋体" w:eastAsia="宋体" w:cs="Times New Roman"/>
                        </w:rPr>
                      </w:pPr>
                    </w:p>
                    <w:p w14:paraId="6F35C27C">
                      <w:pPr>
                        <w:jc w:val="center"/>
                        <w:rPr>
                          <w:rFonts w:hint="eastAsia" w:ascii="Times New Roman" w:hAnsi="宋体" w:eastAsia="宋体" w:cs="Times New Roman"/>
                        </w:rPr>
                      </w:pPr>
                    </w:p>
                    <w:p w14:paraId="3413AD68">
                      <w:pPr>
                        <w:jc w:val="center"/>
                        <w:rPr>
                          <w:rFonts w:ascii="Times New Roman" w:hAnsi="Times New Roman" w:eastAsia="宋体" w:cs="Times New Roman"/>
                        </w:rPr>
                      </w:pPr>
                      <w:r>
                        <w:rPr>
                          <w:rFonts w:hint="eastAsia" w:ascii="Times New Roman" w:hAnsi="宋体" w:eastAsia="宋体" w:cs="Times New Roman"/>
                        </w:rPr>
                        <w:t>法人身份证复印件正面</w:t>
                      </w:r>
                    </w:p>
                    <w:p w14:paraId="530BB32F">
                      <w:pPr>
                        <w:jc w:val="center"/>
                        <w:rPr>
                          <w:rFonts w:hint="eastAsia" w:ascii="Times New Roman" w:hAnsi="宋体" w:eastAsia="宋体" w:cs="Times New Roman"/>
                        </w:rPr>
                      </w:pPr>
                    </w:p>
                    <w:p w14:paraId="1DDFB099">
                      <w:pPr>
                        <w:jc w:val="center"/>
                        <w:rPr>
                          <w:rFonts w:ascii="Times New Roman" w:hAnsi="Times New Roman" w:eastAsia="宋体" w:cs="Times New Roman"/>
                        </w:rPr>
                      </w:pPr>
                    </w:p>
                  </w:txbxContent>
                </v:textbox>
              </v:shape>
            </w:pict>
          </mc:Fallback>
        </mc:AlternateContent>
      </w:r>
    </w:p>
    <w:p w14:paraId="1E896907">
      <w:pPr>
        <w:shd w:val="clear" w:color="auto" w:fill="auto"/>
        <w:spacing w:line="360" w:lineRule="auto"/>
        <w:ind w:firstLine="240" w:firstLineChars="100"/>
        <w:rPr>
          <w:rFonts w:hint="eastAsia" w:ascii="宋体" w:hAnsi="宋体" w:eastAsia="宋体" w:cs="宋体"/>
          <w:color w:val="auto"/>
          <w:sz w:val="24"/>
          <w:highlight w:val="none"/>
        </w:rPr>
      </w:pPr>
    </w:p>
    <w:p w14:paraId="79FA7884">
      <w:pPr>
        <w:shd w:val="clear" w:color="auto" w:fill="auto"/>
        <w:spacing w:line="360" w:lineRule="auto"/>
        <w:ind w:firstLine="240" w:firstLineChars="100"/>
        <w:rPr>
          <w:rFonts w:hint="eastAsia" w:ascii="宋体" w:hAnsi="宋体" w:eastAsia="宋体" w:cs="宋体"/>
          <w:color w:val="auto"/>
          <w:sz w:val="24"/>
          <w:highlight w:val="none"/>
        </w:rPr>
      </w:pPr>
    </w:p>
    <w:p w14:paraId="19B5750F">
      <w:pPr>
        <w:shd w:val="clear" w:color="auto" w:fill="auto"/>
        <w:spacing w:line="360" w:lineRule="auto"/>
        <w:ind w:firstLine="240" w:firstLineChars="100"/>
        <w:rPr>
          <w:rFonts w:hint="eastAsia" w:ascii="宋体" w:hAnsi="宋体" w:eastAsia="宋体" w:cs="宋体"/>
          <w:color w:val="auto"/>
          <w:sz w:val="24"/>
          <w:highlight w:val="none"/>
        </w:rPr>
      </w:pPr>
    </w:p>
    <w:p w14:paraId="392E3BDD">
      <w:pPr>
        <w:shd w:val="clear" w:color="auto" w:fill="auto"/>
        <w:spacing w:line="360" w:lineRule="auto"/>
        <w:ind w:firstLine="240" w:firstLineChars="100"/>
        <w:rPr>
          <w:rFonts w:hint="eastAsia" w:ascii="宋体" w:hAnsi="宋体" w:eastAsia="宋体" w:cs="宋体"/>
          <w:color w:val="auto"/>
          <w:sz w:val="24"/>
          <w:highlight w:val="none"/>
        </w:rPr>
      </w:pPr>
    </w:p>
    <w:p w14:paraId="0AB6A5C7">
      <w:pPr>
        <w:shd w:val="clear" w:color="auto" w:fill="auto"/>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53975</wp:posOffset>
                </wp:positionV>
                <wp:extent cx="2535555" cy="112458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12458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18E9C81">
                            <w:pPr>
                              <w:jc w:val="center"/>
                              <w:rPr>
                                <w:rFonts w:hint="eastAsia" w:ascii="Times New Roman" w:hAnsi="宋体" w:eastAsia="宋体" w:cs="Times New Roman"/>
                              </w:rPr>
                            </w:pPr>
                            <w:r>
                              <w:rPr>
                                <w:rFonts w:hint="eastAsia" w:ascii="Times New Roman" w:hAnsi="宋体" w:eastAsia="宋体" w:cs="Times New Roman"/>
                              </w:rPr>
                              <w:t xml:space="preserve">  </w:t>
                            </w:r>
                          </w:p>
                          <w:p w14:paraId="66183171">
                            <w:pPr>
                              <w:jc w:val="both"/>
                              <w:rPr>
                                <w:rFonts w:hint="eastAsia" w:ascii="Times New Roman" w:hAnsi="宋体" w:eastAsia="宋体" w:cs="Times New Roman"/>
                              </w:rPr>
                            </w:pPr>
                          </w:p>
                          <w:p w14:paraId="3F884CBB">
                            <w:pPr>
                              <w:ind w:firstLine="420" w:firstLineChars="200"/>
                              <w:rPr>
                                <w:rFonts w:ascii="Times New Roman" w:hAnsi="Times New Roman" w:eastAsia="宋体" w:cs="Times New Roman"/>
                              </w:rPr>
                            </w:pPr>
                            <w:r>
                              <w:rPr>
                                <w:rFonts w:hint="eastAsia" w:ascii="Times New Roman" w:hAnsi="宋体" w:eastAsia="宋体" w:cs="Times New Roman"/>
                              </w:rPr>
                              <w:t>授权委托人身份证复印件反面</w:t>
                            </w:r>
                          </w:p>
                          <w:p w14:paraId="3891F980">
                            <w:pPr>
                              <w:rPr>
                                <w:rFonts w:ascii="Times New Roman" w:hAnsi="Times New Roman" w:eastAsia="宋体" w:cs="Times New Roman"/>
                              </w:rPr>
                            </w:pPr>
                          </w:p>
                        </w:txbxContent>
                      </wps:txbx>
                      <wps:bodyPr upright="1"/>
                    </wps:wsp>
                  </a:graphicData>
                </a:graphic>
              </wp:anchor>
            </w:drawing>
          </mc:Choice>
          <mc:Fallback>
            <w:pict>
              <v:roundrect id="_x0000_s1026" o:spid="_x0000_s1026" o:spt="2" style="position:absolute;left:0pt;margin-left:237.65pt;margin-top:4.25pt;height:88.55pt;width:199.65pt;z-index:251664384;mso-width-relative:page;mso-height-relative:page;" fillcolor="#FFFFFF" filled="t" stroked="t" coordsize="21600,21600" arcsize="0.166666666666667" o:gfxdata="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VDTWzaAAAACQEAAA8AAAAAAAAAAQAgAAAAIgAAAGRycy9kb3ducmV2LnhtbFBLAQIU&#10;ABQAAAAIAIdO4kBnzBU1KgIAAGYEAAAOAAAAAAAAAAEAIAAAACkBAABkcnMvZTJvRG9jLnhtbFBL&#10;BQYAAAAABgAGAFkBAADFBQAAAAA=&#10;">
                <v:fill on="t" focussize="0,0"/>
                <v:stroke weight="1.25pt" color="#808080" joinstyle="round"/>
                <v:imagedata o:title=""/>
                <o:lock v:ext="edit" aspectratio="f"/>
                <v:textbox>
                  <w:txbxContent>
                    <w:p w14:paraId="518E9C81">
                      <w:pPr>
                        <w:jc w:val="center"/>
                        <w:rPr>
                          <w:rFonts w:hint="eastAsia" w:ascii="Times New Roman" w:hAnsi="宋体" w:eastAsia="宋体" w:cs="Times New Roman"/>
                        </w:rPr>
                      </w:pPr>
                      <w:r>
                        <w:rPr>
                          <w:rFonts w:hint="eastAsia" w:ascii="Times New Roman" w:hAnsi="宋体" w:eastAsia="宋体" w:cs="Times New Roman"/>
                        </w:rPr>
                        <w:t xml:space="preserve">  </w:t>
                      </w:r>
                    </w:p>
                    <w:p w14:paraId="66183171">
                      <w:pPr>
                        <w:jc w:val="both"/>
                        <w:rPr>
                          <w:rFonts w:hint="eastAsia" w:ascii="Times New Roman" w:hAnsi="宋体" w:eastAsia="宋体" w:cs="Times New Roman"/>
                        </w:rPr>
                      </w:pPr>
                    </w:p>
                    <w:p w14:paraId="3F884CBB">
                      <w:pPr>
                        <w:ind w:firstLine="420" w:firstLineChars="200"/>
                        <w:rPr>
                          <w:rFonts w:ascii="Times New Roman" w:hAnsi="Times New Roman" w:eastAsia="宋体" w:cs="Times New Roman"/>
                        </w:rPr>
                      </w:pPr>
                      <w:r>
                        <w:rPr>
                          <w:rFonts w:hint="eastAsia" w:ascii="Times New Roman" w:hAnsi="宋体" w:eastAsia="宋体" w:cs="Times New Roman"/>
                        </w:rPr>
                        <w:t>授权委托人身份证复印件反面</w:t>
                      </w:r>
                    </w:p>
                    <w:p w14:paraId="3891F980">
                      <w:pPr>
                        <w:rPr>
                          <w:rFonts w:ascii="Times New Roman" w:hAnsi="Times New Roman" w:eastAsia="宋体" w:cs="Times New Roman"/>
                        </w:rPr>
                      </w:pPr>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186815"/>
                <wp:effectExtent l="7620" t="7620" r="8890" b="24765"/>
                <wp:wrapNone/>
                <wp:docPr id="3" name="圆角矩形 3"/>
                <wp:cNvGraphicFramePr/>
                <a:graphic xmlns:a="http://schemas.openxmlformats.org/drawingml/2006/main">
                  <a:graphicData uri="http://schemas.microsoft.com/office/word/2010/wordprocessingShape">
                    <wps:wsp>
                      <wps:cNvSpPr/>
                      <wps:spPr>
                        <a:xfrm>
                          <a:off x="0" y="0"/>
                          <a:ext cx="2555240" cy="11868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D80EC7D">
                            <w:pPr>
                              <w:jc w:val="center"/>
                              <w:rPr>
                                <w:rFonts w:hint="eastAsia" w:ascii="Times New Roman" w:hAnsi="宋体" w:eastAsia="宋体" w:cs="Times New Roman"/>
                              </w:rPr>
                            </w:pPr>
                          </w:p>
                          <w:p w14:paraId="022D0AAC">
                            <w:pPr>
                              <w:jc w:val="both"/>
                              <w:rPr>
                                <w:rFonts w:hint="eastAsia" w:ascii="Times New Roman" w:hAnsi="宋体" w:eastAsia="宋体" w:cs="Times New Roman"/>
                              </w:rPr>
                            </w:pPr>
                          </w:p>
                          <w:p w14:paraId="54E43CB8">
                            <w:pPr>
                              <w:jc w:val="center"/>
                              <w:rPr>
                                <w:rFonts w:ascii="Times New Roman" w:hAnsi="Times New Roman" w:eastAsia="宋体" w:cs="Times New Roman"/>
                              </w:rPr>
                            </w:pPr>
                            <w:r>
                              <w:rPr>
                                <w:rFonts w:hint="eastAsia" w:ascii="Times New Roman" w:hAnsi="宋体" w:eastAsia="宋体" w:cs="Times New Roman"/>
                              </w:rPr>
                              <w:t>授权委托人身份证复印件正面</w:t>
                            </w:r>
                          </w:p>
                          <w:p w14:paraId="7DDD3E17">
                            <w:pPr>
                              <w:rPr>
                                <w:rFonts w:ascii="Times New Roman" w:hAnsi="Times New Roman" w:eastAsia="宋体" w:cs="Times New Roman"/>
                              </w:rPr>
                            </w:pPr>
                          </w:p>
                        </w:txbxContent>
                      </wps:txbx>
                      <wps:bodyPr upright="1"/>
                    </wps:wsp>
                  </a:graphicData>
                </a:graphic>
              </wp:anchor>
            </w:drawing>
          </mc:Choice>
          <mc:Fallback>
            <w:pict>
              <v:roundrect id="_x0000_s1026" o:spid="_x0000_s1026" o:spt="2" style="position:absolute;left:0pt;margin-left:-0.85pt;margin-top:2.35pt;height:93.45pt;width:201.2pt;z-index:251663360;mso-width-relative:page;mso-height-relative:page;" fillcolor="#FFFFFF" filled="t" stroked="t" coordsize="21600,21600" arcsize="0.166666666666667" o:gfxdata="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lHGSc2QAAAAgBAAAPAAAAAAAAAAEAIAAAACIAAABkcnMvZG93bnJldi54bWxQSwEC&#10;FAAUAAAACACHTuJAdz0zDiwCAABmBAAADgAAAAAAAAABACAAAAAoAQAAZHJzL2Uyb0RvYy54bWxQ&#10;SwUGAAAAAAYABgBZAQAAxgUAAAAA&#10;">
                <v:fill on="t" focussize="0,0"/>
                <v:stroke weight="1.25pt" color="#808080" joinstyle="round"/>
                <v:imagedata o:title=""/>
                <o:lock v:ext="edit" aspectratio="f"/>
                <v:textbox>
                  <w:txbxContent>
                    <w:p w14:paraId="0D80EC7D">
                      <w:pPr>
                        <w:jc w:val="center"/>
                        <w:rPr>
                          <w:rFonts w:hint="eastAsia" w:ascii="Times New Roman" w:hAnsi="宋体" w:eastAsia="宋体" w:cs="Times New Roman"/>
                        </w:rPr>
                      </w:pPr>
                    </w:p>
                    <w:p w14:paraId="022D0AAC">
                      <w:pPr>
                        <w:jc w:val="both"/>
                        <w:rPr>
                          <w:rFonts w:hint="eastAsia" w:ascii="Times New Roman" w:hAnsi="宋体" w:eastAsia="宋体" w:cs="Times New Roman"/>
                        </w:rPr>
                      </w:pPr>
                    </w:p>
                    <w:p w14:paraId="54E43CB8">
                      <w:pPr>
                        <w:jc w:val="center"/>
                        <w:rPr>
                          <w:rFonts w:ascii="Times New Roman" w:hAnsi="Times New Roman" w:eastAsia="宋体" w:cs="Times New Roman"/>
                        </w:rPr>
                      </w:pPr>
                      <w:r>
                        <w:rPr>
                          <w:rFonts w:hint="eastAsia" w:ascii="Times New Roman" w:hAnsi="宋体" w:eastAsia="宋体" w:cs="Times New Roman"/>
                        </w:rPr>
                        <w:t>授权委托人身份证复印件正面</w:t>
                      </w:r>
                    </w:p>
                    <w:p w14:paraId="7DDD3E17">
                      <w:pPr>
                        <w:rPr>
                          <w:rFonts w:ascii="Times New Roman" w:hAnsi="Times New Roman" w:eastAsia="宋体" w:cs="Times New Roman"/>
                        </w:rPr>
                      </w:pPr>
                    </w:p>
                  </w:txbxContent>
                </v:textbox>
              </v:roundrect>
            </w:pict>
          </mc:Fallback>
        </mc:AlternateContent>
      </w:r>
    </w:p>
    <w:p w14:paraId="2AA4D508">
      <w:pPr>
        <w:shd w:val="clear" w:color="auto" w:fill="auto"/>
        <w:spacing w:line="360" w:lineRule="auto"/>
        <w:ind w:firstLine="240" w:firstLineChars="100"/>
        <w:rPr>
          <w:rFonts w:hint="eastAsia" w:ascii="宋体" w:hAnsi="宋体" w:eastAsia="宋体" w:cs="宋体"/>
          <w:color w:val="auto"/>
          <w:sz w:val="24"/>
          <w:highlight w:val="none"/>
        </w:rPr>
      </w:pPr>
    </w:p>
    <w:p w14:paraId="13039F55">
      <w:pPr>
        <w:shd w:val="clear" w:color="auto" w:fill="auto"/>
        <w:spacing w:line="360" w:lineRule="auto"/>
        <w:ind w:firstLine="240" w:firstLineChars="100"/>
        <w:rPr>
          <w:rFonts w:hint="eastAsia" w:ascii="宋体" w:hAnsi="宋体" w:eastAsia="宋体" w:cs="宋体"/>
          <w:color w:val="auto"/>
          <w:sz w:val="24"/>
          <w:highlight w:val="none"/>
        </w:rPr>
      </w:pPr>
    </w:p>
    <w:p w14:paraId="3C1F8020">
      <w:pPr>
        <w:shd w:val="clear" w:color="auto" w:fill="auto"/>
        <w:spacing w:line="360" w:lineRule="auto"/>
        <w:ind w:firstLine="240" w:firstLineChars="100"/>
        <w:rPr>
          <w:rFonts w:hint="eastAsia" w:ascii="宋体" w:hAnsi="宋体" w:eastAsia="宋体" w:cs="宋体"/>
          <w:color w:val="auto"/>
          <w:sz w:val="24"/>
          <w:highlight w:val="none"/>
        </w:rPr>
      </w:pPr>
    </w:p>
    <w:p w14:paraId="0C2E4098">
      <w:pPr>
        <w:shd w:val="clear" w:color="auto" w:fill="auto"/>
        <w:spacing w:line="360" w:lineRule="auto"/>
        <w:ind w:firstLine="240" w:firstLineChars="100"/>
        <w:rPr>
          <w:rFonts w:hint="eastAsia" w:ascii="宋体" w:hAnsi="宋体" w:eastAsia="宋体" w:cs="宋体"/>
          <w:color w:val="auto"/>
          <w:sz w:val="24"/>
          <w:highlight w:val="none"/>
        </w:rPr>
      </w:pPr>
    </w:p>
    <w:p w14:paraId="4DE1D9CE">
      <w:pPr>
        <w:widowControl w:val="0"/>
        <w:shd w:val="clear" w:color="auto" w:fill="auto"/>
        <w:tabs>
          <w:tab w:val="left" w:pos="5580"/>
        </w:tabs>
        <w:spacing w:line="240" w:lineRule="atLeast"/>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79539349">
      <w:pPr>
        <w:widowControl w:val="0"/>
        <w:shd w:val="clear" w:color="auto" w:fill="auto"/>
        <w:tabs>
          <w:tab w:val="left" w:pos="5580"/>
        </w:tabs>
        <w:spacing w:line="480" w:lineRule="auto"/>
        <w:ind w:left="-540" w:leftChars="-257" w:firstLine="900" w:firstLineChars="375"/>
        <w:jc w:val="both"/>
        <w:rPr>
          <w:rFonts w:hint="eastAsia" w:ascii="宋体" w:hAnsi="宋体" w:eastAsia="宋体" w:cs="宋体"/>
          <w:color w:val="auto"/>
          <w:kern w:val="2"/>
          <w:sz w:val="24"/>
          <w:szCs w:val="20"/>
          <w:highlight w:val="none"/>
          <w:u w:val="none" w:color="000000"/>
          <w:lang w:val="en-US" w:eastAsia="zh-CN" w:bidi="ar-SA"/>
        </w:rPr>
      </w:pPr>
    </w:p>
    <w:p w14:paraId="0A54C44E">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投标人（盖单位章）：</w:t>
      </w:r>
      <w:r>
        <w:rPr>
          <w:rFonts w:hint="eastAsia" w:ascii="宋体" w:hAnsi="宋体" w:eastAsia="宋体" w:cs="宋体"/>
          <w:color w:val="auto"/>
          <w:kern w:val="2"/>
          <w:sz w:val="24"/>
          <w:szCs w:val="20"/>
          <w:highlight w:val="none"/>
          <w:u w:val="single" w:color="000000"/>
          <w:lang w:val="en-US" w:eastAsia="zh-CN" w:bidi="ar-SA"/>
        </w:rPr>
        <w:t xml:space="preserve">                           </w:t>
      </w:r>
    </w:p>
    <w:p w14:paraId="740CD4C4">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法定代表人（签字或签章）：</w:t>
      </w:r>
      <w:r>
        <w:rPr>
          <w:rFonts w:hint="eastAsia" w:ascii="宋体" w:hAnsi="宋体" w:eastAsia="宋体" w:cs="宋体"/>
          <w:color w:val="auto"/>
          <w:kern w:val="2"/>
          <w:sz w:val="24"/>
          <w:szCs w:val="20"/>
          <w:highlight w:val="none"/>
          <w:u w:val="single" w:color="000000"/>
          <w:lang w:val="en-US" w:eastAsia="zh-CN" w:bidi="ar-SA"/>
        </w:rPr>
        <w:t xml:space="preserve">                     </w:t>
      </w:r>
    </w:p>
    <w:p w14:paraId="76647059">
      <w:pPr>
        <w:widowControl w:val="0"/>
        <w:shd w:val="clear" w:color="auto" w:fill="auto"/>
        <w:tabs>
          <w:tab w:val="left" w:pos="5580"/>
        </w:tabs>
        <w:spacing w:line="480" w:lineRule="auto"/>
        <w:ind w:firstLine="480" w:firstLineChars="200"/>
        <w:jc w:val="both"/>
        <w:rPr>
          <w:rFonts w:hint="eastAsia" w:ascii="宋体" w:hAnsi="宋体" w:eastAsia="宋体" w:cs="宋体"/>
          <w:color w:val="auto"/>
          <w:kern w:val="2"/>
          <w:sz w:val="24"/>
          <w:szCs w:val="20"/>
          <w:highlight w:val="none"/>
          <w:u w:val="singl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委托代理人（</w:t>
      </w:r>
      <w:r>
        <w:rPr>
          <w:rFonts w:hint="eastAsia" w:ascii="宋体" w:hAnsi="宋体" w:eastAsia="宋体" w:cs="宋体"/>
          <w:color w:val="auto"/>
          <w:sz w:val="24"/>
          <w:highlight w:val="none"/>
          <w:u w:val="none" w:color="auto"/>
          <w:lang w:val="en-US" w:eastAsia="zh-CN"/>
        </w:rPr>
        <w:t>签字或盖章</w:t>
      </w:r>
      <w:r>
        <w:rPr>
          <w:rFonts w:hint="eastAsia" w:ascii="宋体" w:hAnsi="宋体" w:eastAsia="宋体" w:cs="宋体"/>
          <w:color w:val="auto"/>
          <w:kern w:val="2"/>
          <w:sz w:val="24"/>
          <w:szCs w:val="20"/>
          <w:highlight w:val="none"/>
          <w:u w:val="none" w:color="000000"/>
          <w:lang w:val="en-US" w:eastAsia="zh-CN" w:bidi="ar-SA"/>
        </w:rPr>
        <w:t>）：</w:t>
      </w:r>
      <w:r>
        <w:rPr>
          <w:rFonts w:hint="eastAsia" w:ascii="宋体" w:hAnsi="宋体" w:eastAsia="宋体" w:cs="宋体"/>
          <w:color w:val="auto"/>
          <w:kern w:val="2"/>
          <w:sz w:val="24"/>
          <w:szCs w:val="20"/>
          <w:highlight w:val="none"/>
          <w:u w:val="single" w:color="000000"/>
          <w:lang w:val="en-US" w:eastAsia="zh-CN" w:bidi="ar-SA"/>
        </w:rPr>
        <w:t xml:space="preserve">                                   </w:t>
      </w:r>
    </w:p>
    <w:p w14:paraId="1ABB99B8">
      <w:pPr>
        <w:shd w:val="clear" w:color="auto" w:fill="auto"/>
        <w:spacing w:line="480" w:lineRule="auto"/>
        <w:ind w:firstLine="4560" w:firstLineChars="19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177A128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533CDD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3008A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B750C7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3C4373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sz w:val="24"/>
          <w:szCs w:val="24"/>
          <w:lang w:val="en-US" w:eastAsia="zh-CN"/>
        </w:rPr>
      </w:pPr>
    </w:p>
    <w:p w14:paraId="36CA5C2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3、投标企业须提供投标人（被授权本单位在职人员）近6 个月内任意一个月有效的社保证明；</w:t>
      </w:r>
    </w:p>
    <w:p w14:paraId="5827F95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lang w:val="en-US" w:eastAsia="zh-CN"/>
        </w:rPr>
      </w:pPr>
    </w:p>
    <w:p w14:paraId="5E9B23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5AAFD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022DD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8C1CF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06463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0F8552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0A6E605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034F6A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782D4C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006A856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4AE0460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27D88C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6AC88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DFF818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FDE5E3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5D63A4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1B0BA0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153343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4A3A49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4F5DF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0208CD6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19CB47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17A4A1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F74511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A086EE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011D587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B49950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542EE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3926F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17CCE6B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4、投标保证金缴纳依据（汇款凭证）或投标保函</w:t>
      </w:r>
    </w:p>
    <w:p w14:paraId="1C276249">
      <w:pPr>
        <w:pStyle w:val="8"/>
        <w:spacing w:before="65" w:line="439" w:lineRule="auto"/>
        <w:ind w:left="19" w:right="3" w:firstLine="430"/>
        <w:jc w:val="both"/>
        <w:rPr>
          <w:rFonts w:hint="eastAsia" w:ascii="宋体" w:hAnsi="宋体" w:eastAsia="宋体" w:cs="宋体"/>
          <w:b/>
          <w:bCs/>
          <w:sz w:val="21"/>
          <w:szCs w:val="21"/>
          <w:lang w:val="en-US" w:eastAsia="zh-CN"/>
        </w:rPr>
      </w:pPr>
    </w:p>
    <w:p w14:paraId="2771938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sz w:val="24"/>
          <w:szCs w:val="24"/>
          <w:lang w:val="en-US" w:eastAsia="zh-CN"/>
        </w:rPr>
      </w:pPr>
    </w:p>
    <w:tbl>
      <w:tblPr>
        <w:tblStyle w:val="15"/>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01D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66C154AD">
            <w:pPr>
              <w:shd w:val="clear" w:color="auto" w:fill="auto"/>
              <w:rPr>
                <w:rFonts w:hint="eastAsia" w:ascii="宋体" w:hAnsi="宋体" w:eastAsia="宋体" w:cs="宋体"/>
                <w:b/>
                <w:bCs/>
                <w:color w:val="auto"/>
                <w:sz w:val="30"/>
                <w:szCs w:val="30"/>
                <w:highlight w:val="none"/>
              </w:rPr>
            </w:pPr>
          </w:p>
          <w:p w14:paraId="24ED6181">
            <w:pPr>
              <w:shd w:val="clear" w:color="auto" w:fill="auto"/>
              <w:jc w:val="both"/>
              <w:rPr>
                <w:rFonts w:hint="eastAsia" w:ascii="宋体" w:hAnsi="宋体" w:eastAsia="宋体" w:cs="宋体"/>
                <w:b/>
                <w:bCs/>
                <w:color w:val="auto"/>
                <w:sz w:val="30"/>
                <w:szCs w:val="30"/>
                <w:highlight w:val="none"/>
              </w:rPr>
            </w:pPr>
          </w:p>
          <w:p w14:paraId="43E29EA4">
            <w:pPr>
              <w:shd w:val="clear" w:color="auto" w:fill="auto"/>
              <w:jc w:val="center"/>
              <w:rPr>
                <w:rFonts w:hint="eastAsia" w:ascii="宋体" w:hAnsi="宋体" w:eastAsia="宋体" w:cs="宋体"/>
                <w:b/>
                <w:bCs/>
                <w:color w:val="auto"/>
                <w:sz w:val="30"/>
                <w:szCs w:val="30"/>
                <w:highlight w:val="none"/>
              </w:rPr>
            </w:pPr>
          </w:p>
          <w:p w14:paraId="3072C4F6">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sz w:val="24"/>
                <w:szCs w:val="24"/>
                <w:lang w:val="en-US" w:eastAsia="zh-CN"/>
              </w:rPr>
              <w:t>投标保证金缴纳依据（汇款凭证）</w:t>
            </w:r>
          </w:p>
        </w:tc>
      </w:tr>
    </w:tbl>
    <w:p w14:paraId="11D526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FB8CA49">
      <w:pPr>
        <w:bidi w:val="0"/>
        <w:rPr>
          <w:rFonts w:hint="eastAsia" w:ascii="宋体" w:hAnsi="宋体" w:eastAsia="宋体" w:cs="宋体"/>
          <w:kern w:val="2"/>
          <w:sz w:val="21"/>
          <w:szCs w:val="24"/>
          <w:lang w:val="en-US" w:eastAsia="zh-CN" w:bidi="ar-SA"/>
        </w:rPr>
      </w:pPr>
    </w:p>
    <w:p w14:paraId="4D1A9C4C">
      <w:pPr>
        <w:bidi w:val="0"/>
        <w:rPr>
          <w:rFonts w:hint="eastAsia" w:ascii="宋体" w:hAnsi="宋体" w:eastAsia="宋体" w:cs="宋体"/>
          <w:lang w:val="en-US" w:eastAsia="zh-CN"/>
        </w:rPr>
      </w:pPr>
    </w:p>
    <w:p w14:paraId="1F081F47">
      <w:pPr>
        <w:bidi w:val="0"/>
        <w:rPr>
          <w:rFonts w:hint="eastAsia" w:ascii="宋体" w:hAnsi="宋体" w:eastAsia="宋体" w:cs="宋体"/>
          <w:lang w:val="en-US" w:eastAsia="zh-CN"/>
        </w:rPr>
      </w:pPr>
    </w:p>
    <w:p w14:paraId="3DC13F18">
      <w:pPr>
        <w:bidi w:val="0"/>
        <w:rPr>
          <w:rFonts w:hint="eastAsia" w:ascii="宋体" w:hAnsi="宋体" w:eastAsia="宋体" w:cs="宋体"/>
          <w:lang w:val="en-US" w:eastAsia="zh-CN"/>
        </w:rPr>
      </w:pPr>
    </w:p>
    <w:p w14:paraId="2441C90D">
      <w:pPr>
        <w:bidi w:val="0"/>
        <w:rPr>
          <w:rFonts w:hint="eastAsia" w:ascii="宋体" w:hAnsi="宋体" w:eastAsia="宋体" w:cs="宋体"/>
          <w:lang w:val="en-US" w:eastAsia="zh-CN"/>
        </w:rPr>
      </w:pPr>
    </w:p>
    <w:p w14:paraId="13CF0D7C">
      <w:pPr>
        <w:bidi w:val="0"/>
        <w:rPr>
          <w:rFonts w:hint="eastAsia" w:ascii="宋体" w:hAnsi="宋体" w:eastAsia="宋体" w:cs="宋体"/>
          <w:lang w:val="en-US" w:eastAsia="zh-CN"/>
        </w:rPr>
      </w:pPr>
    </w:p>
    <w:p w14:paraId="5B863FB3">
      <w:pPr>
        <w:bidi w:val="0"/>
        <w:rPr>
          <w:rFonts w:hint="eastAsia" w:ascii="宋体" w:hAnsi="宋体" w:eastAsia="宋体" w:cs="宋体"/>
          <w:lang w:val="en-US" w:eastAsia="zh-CN"/>
        </w:rPr>
      </w:pPr>
    </w:p>
    <w:p w14:paraId="6F9F4138">
      <w:pPr>
        <w:bidi w:val="0"/>
        <w:rPr>
          <w:rFonts w:hint="eastAsia" w:ascii="宋体" w:hAnsi="宋体" w:eastAsia="宋体" w:cs="宋体"/>
          <w:lang w:val="en-US" w:eastAsia="zh-CN"/>
        </w:rPr>
      </w:pPr>
    </w:p>
    <w:p w14:paraId="094B3DEE">
      <w:pPr>
        <w:bidi w:val="0"/>
        <w:rPr>
          <w:rFonts w:hint="eastAsia" w:ascii="宋体" w:hAnsi="宋体" w:eastAsia="宋体" w:cs="宋体"/>
          <w:lang w:val="en-US" w:eastAsia="zh-CN"/>
        </w:rPr>
      </w:pPr>
    </w:p>
    <w:p w14:paraId="283E959B">
      <w:pPr>
        <w:bidi w:val="0"/>
        <w:rPr>
          <w:rFonts w:hint="eastAsia" w:ascii="宋体" w:hAnsi="宋体" w:eastAsia="宋体" w:cs="宋体"/>
          <w:lang w:val="en-US" w:eastAsia="zh-CN"/>
        </w:rPr>
      </w:pPr>
    </w:p>
    <w:p w14:paraId="21FCCEB1">
      <w:pPr>
        <w:bidi w:val="0"/>
        <w:rPr>
          <w:rFonts w:hint="eastAsia" w:ascii="宋体" w:hAnsi="宋体" w:eastAsia="宋体" w:cs="宋体"/>
          <w:lang w:val="en-US" w:eastAsia="zh-CN"/>
        </w:rPr>
      </w:pPr>
    </w:p>
    <w:p w14:paraId="16A56654">
      <w:pPr>
        <w:bidi w:val="0"/>
        <w:rPr>
          <w:rFonts w:hint="eastAsia" w:ascii="宋体" w:hAnsi="宋体" w:eastAsia="宋体" w:cs="宋体"/>
          <w:lang w:val="en-US" w:eastAsia="zh-CN"/>
        </w:rPr>
      </w:pPr>
    </w:p>
    <w:p w14:paraId="7DF06F04">
      <w:pPr>
        <w:bidi w:val="0"/>
        <w:rPr>
          <w:rFonts w:hint="eastAsia" w:ascii="宋体" w:hAnsi="宋体" w:eastAsia="宋体" w:cs="宋体"/>
          <w:lang w:val="en-US" w:eastAsia="zh-CN"/>
        </w:rPr>
      </w:pPr>
    </w:p>
    <w:p w14:paraId="7F1FED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4F9CD92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7D0760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4C2401B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F9C044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557A49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6F75E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25206E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468B28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1E12572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FB7631A">
      <w:pPr>
        <w:keepNext w:val="0"/>
        <w:keepLines w:val="0"/>
        <w:widowControl/>
        <w:suppressLineNumbers w:val="0"/>
        <w:ind w:firstLine="241" w:firstLineChars="100"/>
        <w:jc w:val="left"/>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5、参加政府采购活动前三年内，在经营活动中没有重大违法记录（自行承诺）；未被“信用中国”（www.creditchina.gov.cn）、中国政府采购网（www.ccgp.gov.cn）列入失信被执行人、税收违法黑名单、政府采购严重违法失信行为记录名单</w:t>
      </w:r>
    </w:p>
    <w:p w14:paraId="7FB04DB0">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13F37294">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506B81AE">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55D64583">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564A3D66">
      <w:pPr>
        <w:keepNext w:val="0"/>
        <w:keepLines w:val="0"/>
        <w:pageBreakBefore w:val="0"/>
        <w:widowControl w:val="0"/>
        <w:tabs>
          <w:tab w:val="left" w:pos="1721"/>
        </w:tabs>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ab/>
      </w:r>
    </w:p>
    <w:p w14:paraId="6C0B198F">
      <w:pPr>
        <w:keepNext w:val="0"/>
        <w:keepLines w:val="0"/>
        <w:pageBreakBefore w:val="0"/>
        <w:widowControl w:val="0"/>
        <w:tabs>
          <w:tab w:val="left" w:pos="1721"/>
        </w:tabs>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p>
    <w:p w14:paraId="5A2CAEC0">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5C8A8093">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462AC0F6">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sz w:val="24"/>
          <w:szCs w:val="24"/>
          <w:lang w:val="en-US" w:eastAsia="zh-CN"/>
        </w:rPr>
      </w:pPr>
    </w:p>
    <w:p w14:paraId="15F65D1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投标人须具备：①城市及道路照明工程专业承包壹级资质或市政公用工程施工总承包贰级资质及以上资质和有效的《安全生产许可证》；②照明工程设计专项甲级或工程设计综合设计甲级；③项目负责人须具备：机电工程专业贰级注册建造师执业资，并持有项目负责人安全生产考核合格证（B 类）</w:t>
      </w:r>
    </w:p>
    <w:p w14:paraId="0E6A5646">
      <w:pPr>
        <w:pStyle w:val="8"/>
        <w:rPr>
          <w:rFonts w:hint="eastAsia" w:ascii="宋体" w:hAnsi="宋体" w:eastAsia="宋体" w:cs="宋体"/>
          <w:b/>
          <w:bCs/>
          <w:sz w:val="24"/>
          <w:szCs w:val="24"/>
          <w:lang w:val="en-US" w:eastAsia="zh-CN"/>
        </w:rPr>
      </w:pPr>
    </w:p>
    <w:p w14:paraId="32327E70">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703DD030">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198669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7、提供近半年内任意一个月财务报表或上年度财务审计报告（财务报表应至少包括资产负债表、利润表、现金流量表或财务状况变动表， 当月新成立公司不需提供）</w:t>
      </w:r>
    </w:p>
    <w:p w14:paraId="140697F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p>
    <w:p w14:paraId="0FAFA6C9">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25A66F96">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5A8FC63D">
      <w:pPr>
        <w:keepNext w:val="0"/>
        <w:keepLines w:val="0"/>
        <w:pageBreakBefore w:val="0"/>
        <w:widowControl w:val="0"/>
        <w:kinsoku/>
        <w:wordWrap/>
        <w:overflowPunct/>
        <w:topLinePunct w:val="0"/>
        <w:autoSpaceDE/>
        <w:autoSpaceDN/>
        <w:bidi w:val="0"/>
        <w:adjustRightInd/>
        <w:snapToGrid/>
        <w:spacing w:line="400" w:lineRule="atLeast"/>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77E644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23BA967C">
      <w:pPr>
        <w:pStyle w:val="8"/>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3B1D050B">
      <w:pPr>
        <w:pStyle w:val="8"/>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30F39879">
      <w:pPr>
        <w:pStyle w:val="8"/>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39334073">
      <w:pPr>
        <w:pStyle w:val="8"/>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02192F1D">
      <w:pPr>
        <w:pStyle w:val="8"/>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405A3A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43018C12">
      <w:pPr>
        <w:pStyle w:val="8"/>
        <w:keepNext w:val="0"/>
        <w:keepLines w:val="0"/>
        <w:pageBreakBefore w:val="0"/>
        <w:widowControl w:val="0"/>
        <w:kinsoku/>
        <w:wordWrap/>
        <w:overflowPunct/>
        <w:topLinePunct w:val="0"/>
        <w:autoSpaceDE/>
        <w:autoSpaceDN/>
        <w:bidi w:val="0"/>
        <w:adjustRightInd/>
        <w:snapToGrid/>
        <w:spacing w:line="360" w:lineRule="auto"/>
        <w:ind w:firstLine="281" w:firstLineChars="100"/>
        <w:jc w:val="center"/>
        <w:textAlignment w:val="auto"/>
        <w:rPr>
          <w:rFonts w:hint="eastAsia" w:ascii="宋体" w:hAnsi="宋体" w:eastAsia="宋体" w:cs="宋体"/>
          <w:b/>
          <w:bCs/>
          <w:spacing w:val="8"/>
          <w:sz w:val="24"/>
          <w:szCs w:val="24"/>
          <w:highlight w:val="yellow"/>
        </w:rPr>
      </w:pPr>
      <w:r>
        <w:rPr>
          <w:rFonts w:hint="eastAsia" w:ascii="宋体" w:hAnsi="宋体" w:eastAsia="宋体" w:cs="宋体"/>
          <w:b/>
          <w:bCs/>
          <w:sz w:val="28"/>
          <w:szCs w:val="28"/>
          <w:highlight w:val="none"/>
          <w:lang w:val="en-US" w:eastAsia="zh-CN"/>
        </w:rPr>
        <w:t>8、</w:t>
      </w:r>
      <w:r>
        <w:rPr>
          <w:rFonts w:hint="eastAsia" w:ascii="宋体" w:hAnsi="宋体" w:eastAsia="宋体" w:cs="宋体"/>
          <w:b/>
          <w:bCs/>
          <w:spacing w:val="8"/>
          <w:sz w:val="24"/>
          <w:szCs w:val="24"/>
          <w:highlight w:val="none"/>
        </w:rPr>
        <w:t>中小企业声明函(</w:t>
      </w:r>
      <w:r>
        <w:rPr>
          <w:rFonts w:hint="eastAsia" w:ascii="宋体" w:hAnsi="宋体" w:eastAsia="宋体" w:cs="宋体"/>
          <w:b/>
          <w:bCs/>
          <w:spacing w:val="8"/>
          <w:sz w:val="24"/>
          <w:szCs w:val="24"/>
          <w:highlight w:val="none"/>
          <w:lang w:val="en-US" w:eastAsia="zh-CN"/>
        </w:rPr>
        <w:t>工程、服务</w:t>
      </w:r>
      <w:r>
        <w:rPr>
          <w:rFonts w:hint="eastAsia" w:ascii="宋体" w:hAnsi="宋体" w:eastAsia="宋体" w:cs="宋体"/>
          <w:b/>
          <w:bCs/>
          <w:spacing w:val="8"/>
          <w:sz w:val="24"/>
          <w:szCs w:val="24"/>
          <w:highlight w:val="none"/>
        </w:rPr>
        <w:t>)</w:t>
      </w:r>
    </w:p>
    <w:p w14:paraId="7A8C4E88">
      <w:pPr>
        <w:pStyle w:val="8"/>
        <w:spacing w:before="65" w:line="344" w:lineRule="auto"/>
        <w:ind w:left="21" w:firstLine="419"/>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本公司郑重声明，根据《政府采购促进中小企业发展管理办法》（财库﹝ 2020 )46 号） 的规定，本公司参加</w:t>
      </w:r>
      <w:r>
        <w:rPr>
          <w:rFonts w:hint="eastAsia" w:ascii="宋体" w:hAnsi="宋体" w:eastAsia="宋体" w:cs="宋体"/>
          <w:kern w:val="2"/>
          <w:sz w:val="24"/>
          <w:szCs w:val="24"/>
          <w:u w:val="single"/>
          <w:lang w:val="en-US" w:eastAsia="zh-CN" w:bidi="ar-SA"/>
        </w:rPr>
        <w:t xml:space="preserve">（单位名称） </w:t>
      </w:r>
      <w:r>
        <w:rPr>
          <w:rFonts w:hint="eastAsia" w:ascii="宋体" w:hAnsi="宋体" w:eastAsia="宋体" w:cs="宋体"/>
          <w:kern w:val="2"/>
          <w:sz w:val="24"/>
          <w:szCs w:val="24"/>
          <w:lang w:val="en-US" w:eastAsia="zh-CN" w:bidi="ar-SA"/>
        </w:rPr>
        <w:t>的</w:t>
      </w:r>
      <w:r>
        <w:rPr>
          <w:rFonts w:hint="eastAsia" w:ascii="宋体" w:hAnsi="宋体" w:eastAsia="宋体" w:cs="宋体"/>
          <w:kern w:val="2"/>
          <w:sz w:val="24"/>
          <w:szCs w:val="24"/>
          <w:u w:val="single"/>
          <w:lang w:val="en-US" w:eastAsia="zh-CN" w:bidi="ar-SA"/>
        </w:rPr>
        <w:t>（项目名称）</w:t>
      </w:r>
      <w:r>
        <w:rPr>
          <w:rFonts w:hint="eastAsia" w:ascii="宋体" w:hAnsi="宋体" w:eastAsia="宋体" w:cs="宋体"/>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 的具体情况如下：</w:t>
      </w:r>
    </w:p>
    <w:p w14:paraId="410CD8A3">
      <w:pPr>
        <w:pStyle w:val="8"/>
        <w:spacing w:before="65" w:line="309" w:lineRule="auto"/>
        <w:ind w:left="19" w:right="87" w:firstLine="43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 </w:t>
      </w:r>
      <w:r>
        <w:rPr>
          <w:rFonts w:hint="eastAsia" w:ascii="宋体" w:hAnsi="宋体" w:eastAsia="宋体" w:cs="宋体"/>
          <w:kern w:val="2"/>
          <w:sz w:val="24"/>
          <w:szCs w:val="24"/>
          <w:u w:val="single"/>
          <w:lang w:val="en-US" w:eastAsia="zh-CN" w:bidi="ar-SA"/>
        </w:rPr>
        <w:t xml:space="preserve">（标的名称） </w:t>
      </w:r>
      <w:r>
        <w:rPr>
          <w:rFonts w:hint="eastAsia" w:ascii="宋体" w:hAnsi="宋体" w:eastAsia="宋体" w:cs="宋体"/>
          <w:kern w:val="2"/>
          <w:sz w:val="24"/>
          <w:szCs w:val="24"/>
          <w:lang w:val="en-US" w:eastAsia="zh-CN" w:bidi="ar-SA"/>
        </w:rPr>
        <w:t>，属于</w:t>
      </w:r>
      <w:r>
        <w:rPr>
          <w:rFonts w:hint="eastAsia" w:ascii="宋体" w:hAnsi="宋体" w:eastAsia="宋体" w:cs="宋体"/>
          <w:kern w:val="2"/>
          <w:sz w:val="24"/>
          <w:szCs w:val="24"/>
          <w:u w:val="single"/>
          <w:lang w:val="en-US" w:eastAsia="zh-CN" w:bidi="ar-SA"/>
        </w:rPr>
        <w:t>（ 采购文件中明确的所属行业 ）</w:t>
      </w:r>
      <w:r>
        <w:rPr>
          <w:rFonts w:hint="eastAsia" w:ascii="宋体" w:hAnsi="宋体" w:eastAsia="宋体" w:cs="宋体"/>
          <w:kern w:val="2"/>
          <w:sz w:val="24"/>
          <w:szCs w:val="24"/>
          <w:lang w:val="en-US" w:eastAsia="zh-CN" w:bidi="ar-SA"/>
        </w:rPr>
        <w:t xml:space="preserve"> 行业；承建（承接）企业为</w:t>
      </w:r>
      <w:r>
        <w:rPr>
          <w:rFonts w:hint="eastAsia" w:ascii="宋体" w:hAnsi="宋体" w:eastAsia="宋体" w:cs="宋体"/>
          <w:kern w:val="2"/>
          <w:sz w:val="24"/>
          <w:szCs w:val="24"/>
          <w:u w:val="single"/>
          <w:lang w:val="en-US" w:eastAsia="zh-CN" w:bidi="ar-SA"/>
        </w:rPr>
        <w:t>（企业名称）</w:t>
      </w:r>
      <w:r>
        <w:rPr>
          <w:rFonts w:hint="eastAsia" w:ascii="宋体" w:hAnsi="宋体" w:eastAsia="宋体" w:cs="宋体"/>
          <w:kern w:val="2"/>
          <w:sz w:val="24"/>
          <w:szCs w:val="24"/>
          <w:lang w:val="en-US" w:eastAsia="zh-CN" w:bidi="ar-SA"/>
        </w:rPr>
        <w:t xml:space="preserve"> ，从业人员</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万元，属于</w:t>
      </w:r>
      <w:r>
        <w:rPr>
          <w:rFonts w:hint="eastAsia" w:ascii="宋体" w:hAnsi="宋体" w:eastAsia="宋体" w:cs="宋体"/>
          <w:kern w:val="2"/>
          <w:sz w:val="24"/>
          <w:szCs w:val="24"/>
          <w:u w:val="single"/>
          <w:lang w:val="en-US" w:eastAsia="zh-CN" w:bidi="ar-SA"/>
        </w:rPr>
        <w:t>（中型企业、 小型企业、微型企业）</w:t>
      </w:r>
      <w:r>
        <w:rPr>
          <w:rFonts w:hint="eastAsia" w:ascii="宋体" w:hAnsi="宋体" w:eastAsia="宋体" w:cs="宋体"/>
          <w:kern w:val="2"/>
          <w:sz w:val="24"/>
          <w:szCs w:val="24"/>
          <w:lang w:val="en-US" w:eastAsia="zh-CN" w:bidi="ar-SA"/>
        </w:rPr>
        <w:t>；</w:t>
      </w:r>
    </w:p>
    <w:p w14:paraId="4DEA084F">
      <w:pPr>
        <w:pStyle w:val="8"/>
        <w:spacing w:before="65" w:line="341" w:lineRule="auto"/>
        <w:ind w:left="23" w:right="32" w:firstLine="419"/>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  </w:t>
      </w:r>
      <w:r>
        <w:rPr>
          <w:rFonts w:hint="eastAsia" w:ascii="宋体" w:hAnsi="宋体" w:eastAsia="宋体" w:cs="宋体"/>
          <w:kern w:val="2"/>
          <w:sz w:val="24"/>
          <w:szCs w:val="24"/>
          <w:u w:val="single"/>
          <w:lang w:val="en-US" w:eastAsia="zh-CN" w:bidi="ar-SA"/>
        </w:rPr>
        <w:t>（标的名称）</w:t>
      </w:r>
      <w:r>
        <w:rPr>
          <w:rFonts w:hint="eastAsia" w:ascii="宋体" w:hAnsi="宋体" w:eastAsia="宋体" w:cs="宋体"/>
          <w:kern w:val="2"/>
          <w:sz w:val="24"/>
          <w:szCs w:val="24"/>
          <w:lang w:val="en-US" w:eastAsia="zh-CN" w:bidi="ar-SA"/>
        </w:rPr>
        <w:t xml:space="preserve"> ，属于</w:t>
      </w:r>
      <w:r>
        <w:rPr>
          <w:rFonts w:hint="eastAsia" w:ascii="宋体" w:hAnsi="宋体" w:eastAsia="宋体" w:cs="宋体"/>
          <w:kern w:val="2"/>
          <w:sz w:val="24"/>
          <w:szCs w:val="24"/>
          <w:u w:val="single"/>
          <w:lang w:val="en-US" w:eastAsia="zh-CN" w:bidi="ar-SA"/>
        </w:rPr>
        <w:t xml:space="preserve">（ 采购文件中明确的所属行业 ） </w:t>
      </w:r>
      <w:r>
        <w:rPr>
          <w:rFonts w:hint="eastAsia" w:ascii="宋体" w:hAnsi="宋体" w:eastAsia="宋体" w:cs="宋体"/>
          <w:kern w:val="2"/>
          <w:sz w:val="24"/>
          <w:szCs w:val="24"/>
          <w:lang w:val="en-US" w:eastAsia="zh-CN" w:bidi="ar-SA"/>
        </w:rPr>
        <w:t>行业；承建（承接）企业为</w:t>
      </w:r>
      <w:r>
        <w:rPr>
          <w:rFonts w:hint="eastAsia" w:ascii="宋体" w:hAnsi="宋体" w:eastAsia="宋体" w:cs="宋体"/>
          <w:kern w:val="2"/>
          <w:sz w:val="24"/>
          <w:szCs w:val="24"/>
          <w:u w:val="single"/>
          <w:lang w:val="en-US" w:eastAsia="zh-CN" w:bidi="ar-SA"/>
        </w:rPr>
        <w:t xml:space="preserve">（企业名称） </w:t>
      </w:r>
      <w:r>
        <w:rPr>
          <w:rFonts w:hint="eastAsia" w:ascii="宋体" w:hAnsi="宋体" w:eastAsia="宋体" w:cs="宋体"/>
          <w:kern w:val="2"/>
          <w:sz w:val="24"/>
          <w:szCs w:val="24"/>
          <w:lang w:val="en-US" w:eastAsia="zh-CN" w:bidi="ar-SA"/>
        </w:rPr>
        <w:t>，从业人员</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人，营业收入为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万元，资产总额为</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万元，属于</w:t>
      </w:r>
      <w:r>
        <w:rPr>
          <w:rFonts w:hint="eastAsia" w:ascii="宋体" w:hAnsi="宋体" w:eastAsia="宋体" w:cs="宋体"/>
          <w:kern w:val="2"/>
          <w:sz w:val="24"/>
          <w:szCs w:val="24"/>
          <w:u w:val="single"/>
          <w:lang w:val="en-US" w:eastAsia="zh-CN" w:bidi="ar-SA"/>
        </w:rPr>
        <w:t>（中型企业、 小型企业、微型企业）</w:t>
      </w:r>
      <w:r>
        <w:rPr>
          <w:rFonts w:hint="eastAsia" w:ascii="宋体" w:hAnsi="宋体" w:eastAsia="宋体" w:cs="宋体"/>
          <w:kern w:val="2"/>
          <w:sz w:val="24"/>
          <w:szCs w:val="24"/>
          <w:lang w:val="en-US" w:eastAsia="zh-CN" w:bidi="ar-SA"/>
        </w:rPr>
        <w:t>；</w:t>
      </w:r>
    </w:p>
    <w:p w14:paraId="4F283F8E">
      <w:pPr>
        <w:spacing w:before="111" w:line="151" w:lineRule="exact"/>
        <w:ind w:left="452"/>
        <w:rPr>
          <w:rFonts w:hint="eastAsia" w:ascii="宋体" w:hAnsi="宋体" w:eastAsia="宋体" w:cs="宋体"/>
          <w:spacing w:val="-2"/>
          <w:position w:val="3"/>
          <w:sz w:val="21"/>
          <w:szCs w:val="21"/>
        </w:rPr>
      </w:pPr>
      <w:r>
        <w:rPr>
          <w:rFonts w:hint="eastAsia" w:ascii="宋体" w:hAnsi="宋体" w:eastAsia="宋体" w:cs="宋体"/>
          <w:spacing w:val="-2"/>
          <w:position w:val="3"/>
          <w:sz w:val="21"/>
          <w:szCs w:val="21"/>
        </w:rPr>
        <w:t>……</w:t>
      </w:r>
    </w:p>
    <w:p w14:paraId="203298CC">
      <w:pPr>
        <w:spacing w:before="111" w:line="151" w:lineRule="exact"/>
        <w:ind w:left="452"/>
        <w:rPr>
          <w:rFonts w:hint="eastAsia" w:ascii="宋体" w:hAnsi="宋体" w:eastAsia="宋体" w:cs="宋体"/>
          <w:spacing w:val="-2"/>
          <w:position w:val="3"/>
          <w:sz w:val="21"/>
          <w:szCs w:val="21"/>
        </w:rPr>
      </w:pPr>
    </w:p>
    <w:p w14:paraId="146DDE1E">
      <w:pPr>
        <w:pStyle w:val="8"/>
        <w:spacing w:before="65" w:line="335" w:lineRule="auto"/>
        <w:ind w:left="23" w:right="91" w:firstLine="44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以上企业，不属于大企业的分支机构，不存在控股股东为大企业的情形，也不存在与 大企业的负责人为同一人的情形。</w:t>
      </w:r>
    </w:p>
    <w:p w14:paraId="2F34A1F0">
      <w:pPr>
        <w:spacing w:line="256" w:lineRule="auto"/>
        <w:ind w:firstLine="480" w:firstLineChars="200"/>
        <w:rPr>
          <w:rFonts w:ascii="宋体" w:hAnsi="宋体" w:eastAsia="宋体" w:cs="宋体"/>
          <w:sz w:val="24"/>
          <w:szCs w:val="24"/>
        </w:rPr>
      </w:pPr>
      <w:r>
        <w:rPr>
          <w:rFonts w:ascii="宋体" w:hAnsi="宋体" w:eastAsia="宋体" w:cs="宋体"/>
          <w:sz w:val="24"/>
          <w:szCs w:val="24"/>
        </w:rPr>
        <w:t>本投标人已知悉《政府采购促进中小企业发展管理办法》（财库〔2020〕46号）、《中小企业划型标准规定》（工信部联企〔2011〕300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50239A67">
      <w:pPr>
        <w:pStyle w:val="8"/>
        <w:keepNext w:val="0"/>
        <w:keepLines w:val="0"/>
        <w:pageBreakBefore w:val="0"/>
        <w:widowControl w:val="0"/>
        <w:kinsoku/>
        <w:wordWrap/>
        <w:overflowPunct/>
        <w:topLinePunct w:val="0"/>
        <w:autoSpaceDE/>
        <w:autoSpaceDN/>
        <w:bidi w:val="0"/>
        <w:adjustRightInd/>
        <w:snapToGrid/>
        <w:spacing w:after="0" w:line="360" w:lineRule="auto"/>
        <w:ind w:left="0" w:right="0" w:firstLine="0"/>
        <w:textAlignment w:val="auto"/>
        <w:rPr>
          <w:rFonts w:hint="eastAsia" w:ascii="宋体" w:hAnsi="宋体" w:eastAsia="宋体" w:cs="宋体"/>
          <w:spacing w:val="10"/>
          <w:sz w:val="21"/>
          <w:szCs w:val="21"/>
        </w:rPr>
      </w:pPr>
    </w:p>
    <w:p w14:paraId="382B9A8F">
      <w:pPr>
        <w:pStyle w:val="8"/>
        <w:keepNext w:val="0"/>
        <w:keepLines w:val="0"/>
        <w:pageBreakBefore w:val="0"/>
        <w:widowControl w:val="0"/>
        <w:kinsoku/>
        <w:wordWrap/>
        <w:overflowPunct/>
        <w:topLinePunct w:val="0"/>
        <w:autoSpaceDE/>
        <w:autoSpaceDN/>
        <w:bidi w:val="0"/>
        <w:adjustRightInd/>
        <w:snapToGrid/>
        <w:spacing w:after="0" w:line="360" w:lineRule="auto"/>
        <w:ind w:left="0" w:right="0" w:firstLine="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企业名称（盖章）：</w:t>
      </w:r>
    </w:p>
    <w:p w14:paraId="56236F08">
      <w:pPr>
        <w:pStyle w:val="8"/>
        <w:spacing w:before="33" w:line="228" w:lineRule="auto"/>
        <w:rPr>
          <w:rFonts w:hint="eastAsia" w:ascii="宋体" w:hAnsi="宋体" w:eastAsia="宋体" w:cs="宋体"/>
          <w:spacing w:val="-13"/>
          <w:sz w:val="21"/>
          <w:szCs w:val="21"/>
        </w:rPr>
      </w:pPr>
    </w:p>
    <w:p w14:paraId="459F8A1D">
      <w:pPr>
        <w:pStyle w:val="8"/>
        <w:spacing w:before="33" w:line="228" w:lineRule="auto"/>
        <w:rPr>
          <w:rFonts w:hint="eastAsia" w:ascii="宋体" w:hAnsi="宋体" w:eastAsia="宋体" w:cs="宋体"/>
          <w:sz w:val="21"/>
          <w:szCs w:val="21"/>
        </w:rPr>
      </w:pPr>
      <w:r>
        <w:rPr>
          <w:rFonts w:hint="eastAsia" w:ascii="宋体" w:hAnsi="宋体" w:eastAsia="宋体" w:cs="宋体"/>
          <w:spacing w:val="-13"/>
          <w:sz w:val="21"/>
          <w:szCs w:val="21"/>
        </w:rPr>
        <w:t>日</w:t>
      </w:r>
      <w:r>
        <w:rPr>
          <w:rFonts w:hint="eastAsia" w:ascii="宋体" w:hAnsi="宋体" w:eastAsia="宋体" w:cs="宋体"/>
          <w:spacing w:val="22"/>
          <w:sz w:val="21"/>
          <w:szCs w:val="21"/>
        </w:rPr>
        <w:t xml:space="preserve"> </w:t>
      </w:r>
      <w:r>
        <w:rPr>
          <w:rFonts w:hint="eastAsia" w:ascii="宋体" w:hAnsi="宋体" w:eastAsia="宋体" w:cs="宋体"/>
          <w:spacing w:val="-13"/>
          <w:sz w:val="21"/>
          <w:szCs w:val="21"/>
        </w:rPr>
        <w:t>期：</w:t>
      </w:r>
    </w:p>
    <w:p w14:paraId="2AF8F2D3">
      <w:pPr>
        <w:spacing w:line="255" w:lineRule="auto"/>
        <w:rPr>
          <w:rFonts w:hint="eastAsia" w:ascii="宋体" w:hAnsi="宋体" w:eastAsia="宋体" w:cs="宋体"/>
          <w:sz w:val="21"/>
          <w:szCs w:val="21"/>
        </w:rPr>
      </w:pPr>
    </w:p>
    <w:p w14:paraId="580F2AD0">
      <w:pPr>
        <w:spacing w:line="256" w:lineRule="auto"/>
        <w:rPr>
          <w:rFonts w:hint="eastAsia" w:ascii="宋体" w:hAnsi="宋体" w:eastAsia="宋体" w:cs="宋体"/>
          <w:sz w:val="24"/>
          <w:szCs w:val="24"/>
        </w:rPr>
      </w:pPr>
      <w:r>
        <w:rPr>
          <w:rFonts w:ascii="宋体" w:hAnsi="宋体" w:eastAsia="宋体" w:cs="宋体"/>
          <w:sz w:val="24"/>
          <w:szCs w:val="24"/>
        </w:rPr>
        <w:t>说明：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4206CA0D">
      <w:pPr>
        <w:pStyle w:val="8"/>
        <w:spacing w:before="75" w:line="227" w:lineRule="auto"/>
        <w:ind w:left="2040"/>
        <w:outlineLvl w:val="1"/>
        <w:rPr>
          <w:rFonts w:hint="eastAsia" w:ascii="宋体" w:hAnsi="宋体" w:eastAsia="宋体" w:cs="宋体"/>
          <w:sz w:val="24"/>
          <w:szCs w:val="24"/>
        </w:rPr>
      </w:pPr>
      <w:r>
        <w:rPr>
          <w:rFonts w:hint="eastAsia" w:ascii="宋体" w:hAnsi="宋体" w:eastAsia="宋体" w:cs="宋体"/>
          <w:b/>
          <w:bCs/>
          <w:spacing w:val="10"/>
          <w:sz w:val="24"/>
          <w:szCs w:val="24"/>
        </w:rPr>
        <w:t>残疾人福利性单位声明函（没有不提供）</w:t>
      </w:r>
    </w:p>
    <w:p w14:paraId="1FE1F9AF">
      <w:pPr>
        <w:spacing w:line="357" w:lineRule="auto"/>
        <w:rPr>
          <w:rFonts w:hint="eastAsia" w:ascii="宋体" w:hAnsi="宋体" w:eastAsia="宋体" w:cs="宋体"/>
          <w:sz w:val="21"/>
        </w:rPr>
      </w:pPr>
    </w:p>
    <w:p w14:paraId="6797DB67">
      <w:pPr>
        <w:spacing w:line="358" w:lineRule="auto"/>
        <w:rPr>
          <w:rFonts w:hint="eastAsia" w:ascii="宋体" w:hAnsi="宋体" w:eastAsia="宋体" w:cs="宋体"/>
          <w:sz w:val="21"/>
        </w:rPr>
      </w:pPr>
    </w:p>
    <w:p w14:paraId="68C69ECB">
      <w:pPr>
        <w:pStyle w:val="8"/>
        <w:spacing w:before="65" w:line="343" w:lineRule="auto"/>
        <w:ind w:left="19" w:right="10" w:firstLine="421"/>
        <w:jc w:val="both"/>
        <w:rPr>
          <w:rFonts w:hint="eastAsia" w:ascii="宋体" w:hAnsi="宋体" w:eastAsia="宋体" w:cs="宋体"/>
          <w:sz w:val="21"/>
          <w:szCs w:val="21"/>
        </w:rPr>
      </w:pPr>
      <w:r>
        <w:rPr>
          <w:rFonts w:hint="eastAsia" w:ascii="宋体" w:hAnsi="宋体" w:eastAsia="宋体" w:cs="宋体"/>
          <w:spacing w:val="11"/>
          <w:sz w:val="21"/>
          <w:szCs w:val="21"/>
        </w:rPr>
        <w:t>本单位郑重声明，根据《财政部</w:t>
      </w:r>
      <w:r>
        <w:rPr>
          <w:rFonts w:hint="eastAsia" w:ascii="宋体" w:hAnsi="宋体" w:eastAsia="宋体" w:cs="宋体"/>
          <w:spacing w:val="38"/>
          <w:sz w:val="21"/>
          <w:szCs w:val="21"/>
        </w:rPr>
        <w:t xml:space="preserve"> </w:t>
      </w:r>
      <w:r>
        <w:rPr>
          <w:rFonts w:hint="eastAsia" w:ascii="宋体" w:hAnsi="宋体" w:eastAsia="宋体" w:cs="宋体"/>
          <w:spacing w:val="11"/>
          <w:sz w:val="21"/>
          <w:szCs w:val="21"/>
        </w:rPr>
        <w:t>民政部</w:t>
      </w:r>
      <w:r>
        <w:rPr>
          <w:rFonts w:hint="eastAsia" w:ascii="宋体" w:hAnsi="宋体" w:eastAsia="宋体" w:cs="宋体"/>
          <w:spacing w:val="38"/>
          <w:sz w:val="21"/>
          <w:szCs w:val="21"/>
        </w:rPr>
        <w:t xml:space="preserve"> </w:t>
      </w:r>
      <w:r>
        <w:rPr>
          <w:rFonts w:hint="eastAsia" w:ascii="宋体" w:hAnsi="宋体" w:eastAsia="宋体" w:cs="宋体"/>
          <w:spacing w:val="11"/>
          <w:sz w:val="21"/>
          <w:szCs w:val="21"/>
        </w:rPr>
        <w:t>中国残疾人联合会关于促进残疾人就</w:t>
      </w:r>
      <w:r>
        <w:rPr>
          <w:rFonts w:hint="eastAsia" w:ascii="宋体" w:hAnsi="宋体" w:eastAsia="宋体" w:cs="宋体"/>
          <w:spacing w:val="10"/>
          <w:sz w:val="21"/>
          <w:szCs w:val="21"/>
        </w:rPr>
        <w:t>业政府</w:t>
      </w:r>
      <w:r>
        <w:rPr>
          <w:rFonts w:hint="eastAsia" w:ascii="宋体" w:hAnsi="宋体" w:eastAsia="宋体" w:cs="宋体"/>
          <w:sz w:val="21"/>
          <w:szCs w:val="21"/>
        </w:rPr>
        <w:t xml:space="preserve"> </w:t>
      </w:r>
      <w:r>
        <w:rPr>
          <w:rFonts w:hint="eastAsia" w:ascii="宋体" w:hAnsi="宋体" w:eastAsia="宋体" w:cs="宋体"/>
          <w:spacing w:val="10"/>
          <w:sz w:val="21"/>
          <w:szCs w:val="21"/>
        </w:rPr>
        <w:t>采购政策的通知》（财库〔2017〕141</w:t>
      </w:r>
      <w:r>
        <w:rPr>
          <w:rFonts w:hint="eastAsia" w:ascii="宋体" w:hAnsi="宋体" w:eastAsia="宋体" w:cs="宋体"/>
          <w:spacing w:val="-18"/>
          <w:sz w:val="21"/>
          <w:szCs w:val="21"/>
        </w:rPr>
        <w:t xml:space="preserve"> </w:t>
      </w:r>
      <w:r>
        <w:rPr>
          <w:rFonts w:hint="eastAsia" w:ascii="宋体" w:hAnsi="宋体" w:eastAsia="宋体" w:cs="宋体"/>
          <w:spacing w:val="10"/>
          <w:sz w:val="21"/>
          <w:szCs w:val="21"/>
        </w:rPr>
        <w:t>号）</w:t>
      </w:r>
      <w:r>
        <w:rPr>
          <w:rFonts w:hint="eastAsia" w:ascii="宋体" w:hAnsi="宋体" w:eastAsia="宋体" w:cs="宋体"/>
          <w:spacing w:val="-57"/>
          <w:sz w:val="21"/>
          <w:szCs w:val="21"/>
        </w:rPr>
        <w:t xml:space="preserve"> </w:t>
      </w:r>
      <w:r>
        <w:rPr>
          <w:rFonts w:hint="eastAsia" w:ascii="宋体" w:hAnsi="宋体" w:eastAsia="宋体" w:cs="宋体"/>
          <w:spacing w:val="10"/>
          <w:sz w:val="21"/>
          <w:szCs w:val="21"/>
        </w:rPr>
        <w:t>的规定，本单位为符合条件的残疾人福利性单</w:t>
      </w:r>
      <w:r>
        <w:rPr>
          <w:rFonts w:hint="eastAsia" w:ascii="宋体" w:hAnsi="宋体" w:eastAsia="宋体" w:cs="宋体"/>
          <w:sz w:val="21"/>
          <w:szCs w:val="21"/>
        </w:rPr>
        <w:t xml:space="preserve"> </w:t>
      </w:r>
      <w:r>
        <w:rPr>
          <w:rFonts w:hint="eastAsia" w:ascii="宋体" w:hAnsi="宋体" w:eastAsia="宋体" w:cs="宋体"/>
          <w:spacing w:val="12"/>
          <w:sz w:val="21"/>
          <w:szCs w:val="21"/>
        </w:rPr>
        <w:t>位，且本单位参加</w:t>
      </w:r>
      <w:r>
        <w:rPr>
          <w:rFonts w:hint="eastAsia" w:ascii="宋体" w:hAnsi="宋体" w:eastAsia="宋体" w:cs="宋体"/>
          <w:spacing w:val="-98"/>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88"/>
          <w:sz w:val="21"/>
          <w:szCs w:val="21"/>
        </w:rPr>
        <w:t xml:space="preserve"> </w:t>
      </w:r>
      <w:r>
        <w:rPr>
          <w:rFonts w:hint="eastAsia" w:ascii="宋体" w:hAnsi="宋体" w:eastAsia="宋体" w:cs="宋体"/>
          <w:spacing w:val="12"/>
          <w:sz w:val="21"/>
          <w:szCs w:val="21"/>
        </w:rPr>
        <w:t>单位的</w:t>
      </w:r>
      <w:r>
        <w:rPr>
          <w:rFonts w:hint="eastAsia" w:ascii="宋体" w:hAnsi="宋体" w:eastAsia="宋体" w:cs="宋体"/>
          <w:spacing w:val="-95"/>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12"/>
          <w:sz w:val="21"/>
          <w:szCs w:val="21"/>
        </w:rPr>
        <w:t>项目采购活动提供本单位制造的货物，或者</w:t>
      </w:r>
      <w:r>
        <w:rPr>
          <w:rFonts w:hint="eastAsia" w:ascii="宋体" w:hAnsi="宋体" w:eastAsia="宋体" w:cs="宋体"/>
          <w:spacing w:val="11"/>
          <w:sz w:val="21"/>
          <w:szCs w:val="21"/>
        </w:rPr>
        <w:t>提供其</w:t>
      </w:r>
      <w:r>
        <w:rPr>
          <w:rFonts w:hint="eastAsia" w:ascii="宋体" w:hAnsi="宋体" w:eastAsia="宋体" w:cs="宋体"/>
          <w:sz w:val="21"/>
          <w:szCs w:val="21"/>
        </w:rPr>
        <w:t xml:space="preserve"> </w:t>
      </w:r>
      <w:r>
        <w:rPr>
          <w:rFonts w:hint="eastAsia" w:ascii="宋体" w:hAnsi="宋体" w:eastAsia="宋体" w:cs="宋体"/>
          <w:spacing w:val="12"/>
          <w:sz w:val="21"/>
          <w:szCs w:val="21"/>
        </w:rPr>
        <w:t>他残疾人福利性单位制造的货物（不包括使用非残疾人福利性单位注册商标的货物）。</w:t>
      </w:r>
    </w:p>
    <w:p w14:paraId="32D4A3AC">
      <w:pPr>
        <w:spacing w:line="245" w:lineRule="auto"/>
        <w:rPr>
          <w:rFonts w:hint="eastAsia" w:ascii="宋体" w:hAnsi="宋体" w:eastAsia="宋体" w:cs="宋体"/>
          <w:sz w:val="21"/>
          <w:szCs w:val="21"/>
        </w:rPr>
      </w:pPr>
    </w:p>
    <w:p w14:paraId="7887A8B6">
      <w:pPr>
        <w:pStyle w:val="8"/>
        <w:spacing w:before="65" w:line="227" w:lineRule="auto"/>
        <w:ind w:left="441"/>
        <w:rPr>
          <w:rFonts w:hint="eastAsia" w:ascii="宋体" w:hAnsi="宋体" w:eastAsia="宋体" w:cs="宋体"/>
          <w:sz w:val="21"/>
          <w:szCs w:val="21"/>
        </w:rPr>
      </w:pPr>
      <w:r>
        <w:rPr>
          <w:rFonts w:hint="eastAsia" w:ascii="宋体" w:hAnsi="宋体" w:eastAsia="宋体" w:cs="宋体"/>
          <w:spacing w:val="12"/>
          <w:sz w:val="21"/>
          <w:szCs w:val="21"/>
        </w:rPr>
        <w:t>本单位对上述声明的真实性负责。如有虚假，将依法承担相应责任。</w:t>
      </w:r>
    </w:p>
    <w:p w14:paraId="76AC101A">
      <w:pPr>
        <w:spacing w:line="346" w:lineRule="auto"/>
        <w:rPr>
          <w:rFonts w:hint="eastAsia" w:ascii="宋体" w:hAnsi="宋体" w:eastAsia="宋体" w:cs="宋体"/>
          <w:sz w:val="21"/>
          <w:szCs w:val="21"/>
        </w:rPr>
      </w:pPr>
    </w:p>
    <w:p w14:paraId="1E6CADC4">
      <w:pPr>
        <w:pStyle w:val="8"/>
        <w:spacing w:before="65" w:line="227" w:lineRule="auto"/>
        <w:ind w:left="1292"/>
        <w:rPr>
          <w:rFonts w:hint="eastAsia" w:ascii="宋体" w:hAnsi="宋体" w:eastAsia="宋体" w:cs="宋体"/>
          <w:sz w:val="21"/>
          <w:szCs w:val="21"/>
        </w:rPr>
      </w:pPr>
      <w:r>
        <w:rPr>
          <w:rFonts w:hint="eastAsia" w:ascii="宋体" w:hAnsi="宋体" w:eastAsia="宋体" w:cs="宋体"/>
          <w:spacing w:val="12"/>
          <w:sz w:val="21"/>
          <w:szCs w:val="21"/>
        </w:rPr>
        <w:t>残疾人福利性单位名称（盖单位章</w:t>
      </w:r>
      <w:r>
        <w:rPr>
          <w:rFonts w:hint="eastAsia" w:ascii="宋体" w:hAnsi="宋体" w:eastAsia="宋体" w:cs="宋体"/>
          <w:spacing w:val="-6"/>
          <w:sz w:val="21"/>
          <w:szCs w:val="21"/>
        </w:rPr>
        <w:t>）</w:t>
      </w:r>
      <w:r>
        <w:rPr>
          <w:rFonts w:hint="eastAsia" w:ascii="宋体" w:hAnsi="宋体" w:eastAsia="宋体" w:cs="宋体"/>
          <w:spacing w:val="-56"/>
          <w:sz w:val="21"/>
          <w:szCs w:val="21"/>
        </w:rPr>
        <w:t xml:space="preserve"> </w:t>
      </w:r>
      <w:r>
        <w:rPr>
          <w:rFonts w:hint="eastAsia" w:ascii="宋体" w:hAnsi="宋体" w:eastAsia="宋体" w:cs="宋体"/>
          <w:spacing w:val="-6"/>
          <w:sz w:val="21"/>
          <w:szCs w:val="21"/>
        </w:rPr>
        <w:t>：</w:t>
      </w:r>
      <w:r>
        <w:rPr>
          <w:rFonts w:hint="eastAsia" w:ascii="宋体" w:hAnsi="宋体" w:eastAsia="宋体" w:cs="宋体"/>
          <w:sz w:val="21"/>
          <w:szCs w:val="21"/>
          <w:u w:val="single" w:color="auto"/>
        </w:rPr>
        <w:t xml:space="preserve">               </w:t>
      </w:r>
    </w:p>
    <w:p w14:paraId="01B2C49B">
      <w:pPr>
        <w:spacing w:line="347" w:lineRule="auto"/>
        <w:rPr>
          <w:rFonts w:hint="eastAsia" w:ascii="宋体" w:hAnsi="宋体" w:eastAsia="宋体" w:cs="宋体"/>
          <w:sz w:val="21"/>
          <w:szCs w:val="21"/>
        </w:rPr>
      </w:pPr>
    </w:p>
    <w:p w14:paraId="25271B07">
      <w:pPr>
        <w:pStyle w:val="8"/>
        <w:spacing w:before="65" w:line="228" w:lineRule="auto"/>
        <w:ind w:left="1434"/>
        <w:rPr>
          <w:rFonts w:hint="eastAsia" w:ascii="宋体" w:hAnsi="宋体" w:eastAsia="宋体" w:cs="宋体"/>
          <w:sz w:val="20"/>
          <w:szCs w:val="20"/>
        </w:rPr>
      </w:pPr>
      <w:r>
        <w:rPr>
          <w:rFonts w:hint="eastAsia" w:ascii="宋体" w:hAnsi="宋体" w:eastAsia="宋体" w:cs="宋体"/>
          <w:spacing w:val="-7"/>
          <w:sz w:val="21"/>
          <w:szCs w:val="21"/>
        </w:rPr>
        <w:t>日</w:t>
      </w:r>
      <w:r>
        <w:rPr>
          <w:rFonts w:hint="eastAsia" w:ascii="宋体" w:hAnsi="宋体" w:eastAsia="宋体" w:cs="宋体"/>
          <w:spacing w:val="14"/>
          <w:sz w:val="21"/>
          <w:szCs w:val="21"/>
        </w:rPr>
        <w:t xml:space="preserve">  </w:t>
      </w:r>
      <w:r>
        <w:rPr>
          <w:rFonts w:hint="eastAsia" w:ascii="宋体" w:hAnsi="宋体" w:eastAsia="宋体" w:cs="宋体"/>
          <w:spacing w:val="-7"/>
          <w:sz w:val="21"/>
          <w:szCs w:val="21"/>
        </w:rPr>
        <w:t>期：</w:t>
      </w:r>
      <w:r>
        <w:rPr>
          <w:rFonts w:hint="eastAsia" w:ascii="宋体" w:hAnsi="宋体" w:eastAsia="宋体" w:cs="宋体"/>
          <w:sz w:val="21"/>
          <w:szCs w:val="21"/>
          <w:u w:val="single" w:color="auto"/>
        </w:rPr>
        <w:t xml:space="preserve">                      </w:t>
      </w:r>
      <w:r>
        <w:rPr>
          <w:rFonts w:hint="eastAsia" w:ascii="宋体" w:hAnsi="宋体" w:eastAsia="宋体" w:cs="宋体"/>
          <w:sz w:val="20"/>
          <w:szCs w:val="20"/>
          <w:u w:val="single" w:color="auto"/>
        </w:rPr>
        <w:t xml:space="preserve">                              </w:t>
      </w:r>
    </w:p>
    <w:p w14:paraId="7E2D232E">
      <w:pPr>
        <w:spacing w:line="228" w:lineRule="auto"/>
        <w:rPr>
          <w:rFonts w:hint="eastAsia" w:ascii="宋体" w:hAnsi="宋体" w:eastAsia="宋体" w:cs="宋体"/>
          <w:sz w:val="20"/>
          <w:szCs w:val="20"/>
        </w:rPr>
        <w:sectPr>
          <w:headerReference r:id="rId12" w:type="default"/>
          <w:footerReference r:id="rId13" w:type="default"/>
          <w:pgSz w:w="11900" w:h="16838"/>
          <w:pgMar w:top="1436" w:right="1784" w:bottom="1849" w:left="1784" w:header="1134" w:footer="1611" w:gutter="0"/>
          <w:pgNumType w:fmt="decimal"/>
          <w:cols w:space="720" w:num="1"/>
        </w:sectPr>
      </w:pPr>
    </w:p>
    <w:p w14:paraId="6F536910">
      <w:pPr>
        <w:pStyle w:val="8"/>
        <w:keepNext w:val="0"/>
        <w:keepLines w:val="0"/>
        <w:pageBreakBefore w:val="0"/>
        <w:widowControl w:val="0"/>
        <w:kinsoku/>
        <w:wordWrap/>
        <w:overflowPunct/>
        <w:topLinePunct w:val="0"/>
        <w:autoSpaceDE/>
        <w:autoSpaceDN/>
        <w:bidi w:val="0"/>
        <w:adjustRightInd/>
        <w:snapToGrid/>
        <w:spacing w:line="360" w:lineRule="auto"/>
        <w:ind w:firstLine="247" w:firstLineChars="100"/>
        <w:jc w:val="left"/>
        <w:textAlignment w:val="auto"/>
        <w:rPr>
          <w:rFonts w:hint="eastAsia" w:ascii="宋体" w:hAnsi="宋体" w:eastAsia="宋体" w:cs="宋体"/>
          <w:b/>
          <w:bCs/>
          <w:spacing w:val="8"/>
          <w:sz w:val="23"/>
          <w:szCs w:val="23"/>
          <w:lang w:val="en-US" w:eastAsia="zh-CN"/>
        </w:rPr>
      </w:pPr>
    </w:p>
    <w:p w14:paraId="34C94AC1">
      <w:pPr>
        <w:keepNext w:val="0"/>
        <w:keepLines w:val="0"/>
        <w:widowControl/>
        <w:suppressLineNumbers w:val="0"/>
        <w:ind w:firstLine="241" w:firstLineChars="1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9、投标人关联单位的说明（格式自拟）</w:t>
      </w:r>
    </w:p>
    <w:p w14:paraId="665470B3">
      <w:pPr>
        <w:pStyle w:val="8"/>
        <w:spacing w:before="72" w:line="219" w:lineRule="auto"/>
        <w:ind w:left="470"/>
        <w:rPr>
          <w:rFonts w:hint="eastAsia" w:ascii="宋体" w:hAnsi="宋体" w:eastAsia="宋体" w:cs="宋体"/>
          <w:sz w:val="22"/>
          <w:szCs w:val="22"/>
        </w:rPr>
      </w:pPr>
      <w:r>
        <w:rPr>
          <w:rFonts w:hint="eastAsia" w:ascii="宋体" w:hAnsi="宋体" w:eastAsia="宋体" w:cs="宋体"/>
          <w:spacing w:val="2"/>
          <w:sz w:val="22"/>
          <w:szCs w:val="22"/>
        </w:rPr>
        <w:t>说明：投标人应当如实披露与本单位存在下列关联关系的单位名称：</w:t>
      </w:r>
    </w:p>
    <w:p w14:paraId="69D52C70">
      <w:pPr>
        <w:pStyle w:val="8"/>
        <w:spacing w:before="98" w:line="220" w:lineRule="auto"/>
        <w:ind w:left="474"/>
        <w:rPr>
          <w:rFonts w:hint="eastAsia" w:ascii="宋体" w:hAnsi="宋体" w:eastAsia="宋体" w:cs="宋体"/>
          <w:sz w:val="22"/>
          <w:szCs w:val="22"/>
        </w:rPr>
      </w:pPr>
      <w:r>
        <w:rPr>
          <w:rFonts w:hint="eastAsia" w:ascii="宋体" w:hAnsi="宋体" w:eastAsia="宋体" w:cs="宋体"/>
          <w:spacing w:val="2"/>
          <w:sz w:val="22"/>
          <w:szCs w:val="22"/>
        </w:rPr>
        <w:t>（1）与投标人单位负责人为同一人的其他单位；</w:t>
      </w:r>
    </w:p>
    <w:p w14:paraId="07674BA8">
      <w:pPr>
        <w:keepNext w:val="0"/>
        <w:keepLines w:val="0"/>
        <w:widowControl/>
        <w:suppressLineNumbers w:val="0"/>
        <w:ind w:firstLine="448"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spacing w:val="2"/>
          <w:sz w:val="22"/>
          <w:szCs w:val="22"/>
        </w:rPr>
        <w:t>（2）与投标人存在直接控股、管理关系的其他单位</w:t>
      </w:r>
    </w:p>
    <w:p w14:paraId="07B15B31">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0ADA0629">
      <w:pPr>
        <w:keepNext w:val="0"/>
        <w:keepLines w:val="0"/>
        <w:widowControl/>
        <w:suppressLineNumbers w:val="0"/>
        <w:ind w:firstLine="241" w:firstLineChars="100"/>
        <w:jc w:val="left"/>
        <w:rPr>
          <w:rFonts w:hint="eastAsia" w:ascii="宋体" w:hAnsi="宋体" w:eastAsia="宋体" w:cs="宋体"/>
          <w:b/>
          <w:bCs/>
          <w:kern w:val="2"/>
          <w:sz w:val="24"/>
          <w:szCs w:val="24"/>
          <w:lang w:val="en-US" w:eastAsia="zh-CN" w:bidi="ar-SA"/>
        </w:rPr>
      </w:pPr>
    </w:p>
    <w:p w14:paraId="0517F0FB">
      <w:pPr>
        <w:pStyle w:val="8"/>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651FDADC">
      <w:pPr>
        <w:pStyle w:val="8"/>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3746E673">
      <w:pPr>
        <w:pStyle w:val="8"/>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E54C5E" w:themeColor="accent6"/>
          <w:sz w:val="24"/>
          <w:szCs w:val="24"/>
          <w:lang w:val="en-US" w:eastAsia="zh-CN"/>
          <w14:textFill>
            <w14:solidFill>
              <w14:schemeClr w14:val="accent6"/>
            </w14:solidFill>
          </w14:textFill>
        </w:rPr>
      </w:pPr>
    </w:p>
    <w:p w14:paraId="1382CDB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p>
    <w:p w14:paraId="255EFC0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10、投标人须知资料表要求的其他资格证明文件</w:t>
      </w:r>
    </w:p>
    <w:p w14:paraId="57B055A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p>
    <w:p w14:paraId="67C2684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p>
    <w:p w14:paraId="2206C06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p>
    <w:p w14:paraId="5ED1319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p>
    <w:p w14:paraId="00AECFD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p>
    <w:p w14:paraId="2D30460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pacing w:val="10"/>
          <w:sz w:val="24"/>
          <w:szCs w:val="24"/>
          <w:lang w:val="en-US" w:eastAsia="zh-CN"/>
        </w:rPr>
        <w:t>11、</w:t>
      </w:r>
      <w:r>
        <w:rPr>
          <w:rFonts w:hint="eastAsia" w:ascii="宋体" w:hAnsi="宋体" w:eastAsia="宋体" w:cs="宋体"/>
          <w:b/>
          <w:bCs/>
          <w:spacing w:val="10"/>
          <w:sz w:val="24"/>
          <w:szCs w:val="24"/>
        </w:rPr>
        <w:t>投标人认为有必要提供的其他证明材料（格式自拟）</w:t>
      </w:r>
    </w:p>
    <w:p w14:paraId="69BDF0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bCs/>
          <w:sz w:val="24"/>
          <w:szCs w:val="24"/>
          <w:lang w:val="en-US" w:eastAsia="zh-CN"/>
        </w:rPr>
      </w:pPr>
    </w:p>
    <w:p w14:paraId="49DB38C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209D45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0E6FA5A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72B88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BA47EE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98CF0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B12D0E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896AD1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E08D45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547DA5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sectPr>
          <w:footerReference r:id="rId14" w:type="default"/>
          <w:pgSz w:w="11906" w:h="16838"/>
          <w:pgMar w:top="1417" w:right="1247" w:bottom="1417" w:left="1247" w:header="1134" w:footer="992" w:gutter="0"/>
          <w:pgNumType w:fmt="decimal"/>
          <w:cols w:space="0" w:num="1"/>
          <w:rtlGutter w:val="0"/>
          <w:docGrid w:type="lines" w:linePitch="312" w:charSpace="0"/>
        </w:sectPr>
      </w:pPr>
    </w:p>
    <w:p w14:paraId="5DCBDFB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第二部分 商务及技术文件</w:t>
      </w:r>
    </w:p>
    <w:p w14:paraId="04D85A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14:paraId="7401EB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2、开标一览表</w:t>
      </w:r>
    </w:p>
    <w:p w14:paraId="3CC37FD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3、技术规格偏离表</w:t>
      </w:r>
    </w:p>
    <w:p w14:paraId="2595EE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4、商务条款偏离表</w:t>
      </w:r>
    </w:p>
    <w:p w14:paraId="7B5450F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5、投标人基本情况表</w:t>
      </w:r>
    </w:p>
    <w:p w14:paraId="1269998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6、评分标准和细则中技术部分证明材料（格式自拟）</w:t>
      </w:r>
    </w:p>
    <w:p w14:paraId="6CC43AD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7、评分标准和细则中商务部分证明材料（格式自拟）</w:t>
      </w:r>
    </w:p>
    <w:p w14:paraId="093628E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8、投标人认为有必要提供的其他证明材料（格式自拟）</w:t>
      </w:r>
    </w:p>
    <w:p w14:paraId="70B8150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8"/>
          <w:szCs w:val="28"/>
          <w:lang w:val="en-US" w:eastAsia="zh-CN"/>
        </w:rPr>
      </w:pPr>
      <w:r>
        <w:rPr>
          <w:rFonts w:hint="eastAsia" w:ascii="宋体" w:hAnsi="宋体" w:eastAsia="宋体" w:cs="宋体"/>
          <w:b/>
          <w:bCs/>
          <w:spacing w:val="9"/>
          <w:sz w:val="21"/>
          <w:szCs w:val="21"/>
          <w:u w:val="single" w:color="auto"/>
        </w:rPr>
        <w:t>注：招标文件没有提供格式的，</w:t>
      </w:r>
      <w:r>
        <w:rPr>
          <w:rFonts w:hint="eastAsia" w:ascii="宋体" w:hAnsi="宋体" w:eastAsia="宋体" w:cs="宋体"/>
          <w:b/>
          <w:bCs/>
          <w:spacing w:val="9"/>
          <w:sz w:val="21"/>
          <w:szCs w:val="21"/>
          <w:u w:val="single" w:color="auto"/>
          <w:lang w:val="en-US" w:eastAsia="zh-CN"/>
        </w:rPr>
        <w:t>格式自拟</w:t>
      </w:r>
      <w:r>
        <w:rPr>
          <w:rFonts w:hint="eastAsia" w:ascii="宋体" w:hAnsi="宋体" w:eastAsia="宋体" w:cs="宋体"/>
          <w:b/>
          <w:bCs/>
          <w:spacing w:val="9"/>
          <w:sz w:val="21"/>
          <w:szCs w:val="21"/>
          <w:u w:val="single" w:color="auto"/>
        </w:rPr>
        <w:t xml:space="preserve"> </w:t>
      </w:r>
      <w:r>
        <w:rPr>
          <w:rFonts w:hint="eastAsia" w:ascii="宋体" w:hAnsi="宋体" w:eastAsia="宋体" w:cs="宋体"/>
          <w:b/>
          <w:bCs/>
          <w:spacing w:val="9"/>
          <w:sz w:val="21"/>
          <w:szCs w:val="21"/>
          <w:u w:val="single" w:color="auto"/>
          <w:lang w:eastAsia="zh-CN"/>
        </w:rPr>
        <w:t>，</w:t>
      </w:r>
      <w:r>
        <w:rPr>
          <w:rFonts w:hint="eastAsia" w:ascii="宋体" w:hAnsi="宋体" w:eastAsia="宋体" w:cs="宋体"/>
          <w:b/>
          <w:bCs/>
          <w:spacing w:val="9"/>
          <w:sz w:val="21"/>
          <w:szCs w:val="21"/>
          <w:u w:val="single" w:color="auto"/>
        </w:rPr>
        <w:t>以上材料须逐页加盖单位公章。</w:t>
      </w:r>
    </w:p>
    <w:p w14:paraId="1964150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7DB0CA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4BEB3AF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9424D5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149C20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16E3FB9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0F633D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5A0531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84331F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AE1D4C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4FF37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29907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59BDBC1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C9D31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D4A330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AEC24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47D95F7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B1094B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D6F63F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F27016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7CE9DE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003F227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EC0559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38EAD6C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sz w:val="28"/>
          <w:szCs w:val="28"/>
          <w:lang w:val="en-US" w:eastAsia="zh-CN"/>
        </w:rPr>
        <w:t>1、投标函</w:t>
      </w:r>
    </w:p>
    <w:p w14:paraId="41AA0E92">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u w:val="single"/>
        </w:rPr>
        <w:t xml:space="preserve">                     </w:t>
      </w:r>
    </w:p>
    <w:p w14:paraId="37C95E95">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为响应你方组织的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项目的招标项目编号为：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，我方愿参与投标。</w:t>
      </w:r>
    </w:p>
    <w:p w14:paraId="2EBE4AF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我方确认收到贵方提供的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none"/>
          <w:lang w:val="en-US" w:eastAsia="zh-CN"/>
        </w:rPr>
        <w:t>招标</w:t>
      </w:r>
      <w:r>
        <w:rPr>
          <w:rFonts w:hint="eastAsia" w:ascii="宋体" w:hAnsi="宋体" w:eastAsia="宋体" w:cs="宋体"/>
          <w:color w:val="auto"/>
          <w:kern w:val="0"/>
          <w:sz w:val="24"/>
          <w:szCs w:val="24"/>
          <w:u w:val="none"/>
          <w:lang w:eastAsia="zh-CN"/>
        </w:rPr>
        <w:t>文件</w:t>
      </w:r>
      <w:r>
        <w:rPr>
          <w:rFonts w:hint="eastAsia" w:ascii="宋体" w:hAnsi="宋体" w:eastAsia="宋体" w:cs="宋体"/>
          <w:color w:val="auto"/>
          <w:kern w:val="0"/>
          <w:sz w:val="24"/>
          <w:szCs w:val="24"/>
        </w:rPr>
        <w:t>的全部内容。</w:t>
      </w:r>
    </w:p>
    <w:p w14:paraId="6745B71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我方在参与投标前已详细研究了</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的所有内容，包括澄清、修改文件（如果有）和所有已提供的参考资料以及有关附件，我方完全明白并认为此</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没有倾向性，也不存在排斥潜在报价投标人的内容，我方同意</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的相关条款，放弃对</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提出误解和质疑的一切权力。</w:t>
      </w:r>
    </w:p>
    <w:p w14:paraId="5FA0D4E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(投标人名称)      </w:t>
      </w:r>
      <w:r>
        <w:rPr>
          <w:rFonts w:hint="eastAsia" w:ascii="宋体" w:hAnsi="宋体" w:eastAsia="宋体" w:cs="宋体"/>
          <w:color w:val="auto"/>
          <w:kern w:val="0"/>
          <w:sz w:val="24"/>
          <w:szCs w:val="24"/>
        </w:rPr>
        <w:t>作为投标人正式授权</w:t>
      </w:r>
      <w:r>
        <w:rPr>
          <w:rFonts w:hint="eastAsia" w:ascii="宋体" w:hAnsi="宋体" w:eastAsia="宋体" w:cs="宋体"/>
          <w:color w:val="auto"/>
          <w:kern w:val="0"/>
          <w:sz w:val="24"/>
          <w:szCs w:val="24"/>
          <w:u w:val="single"/>
        </w:rPr>
        <w:t xml:space="preserve">  (授权代表全名, 职务)  </w:t>
      </w:r>
      <w:r>
        <w:rPr>
          <w:rFonts w:hint="eastAsia" w:ascii="宋体" w:hAnsi="宋体" w:eastAsia="宋体" w:cs="宋体"/>
          <w:color w:val="auto"/>
          <w:kern w:val="0"/>
          <w:sz w:val="24"/>
          <w:szCs w:val="24"/>
        </w:rPr>
        <w:t>代表我方全权处理有关本报价的一切事宜。</w:t>
      </w:r>
    </w:p>
    <w:p w14:paraId="7EC01D75">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我方已完全明白</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的所有条款要求，并申明如下：</w:t>
      </w:r>
    </w:p>
    <w:p w14:paraId="1A8694BB">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（一）按</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提供的全部货物与相关服务的投标总价详见《</w:t>
      </w:r>
      <w:r>
        <w:rPr>
          <w:rFonts w:hint="eastAsia" w:ascii="宋体" w:hAnsi="宋体" w:eastAsia="宋体" w:cs="宋体"/>
          <w:color w:val="auto"/>
          <w:kern w:val="0"/>
          <w:sz w:val="24"/>
          <w:szCs w:val="24"/>
          <w:lang w:val="en-US" w:eastAsia="zh-CN"/>
        </w:rPr>
        <w:t>开标</w:t>
      </w:r>
      <w:r>
        <w:rPr>
          <w:rFonts w:hint="eastAsia" w:ascii="宋体" w:hAnsi="宋体" w:eastAsia="宋体" w:cs="宋体"/>
          <w:color w:val="auto"/>
          <w:kern w:val="0"/>
          <w:sz w:val="24"/>
          <w:szCs w:val="24"/>
        </w:rPr>
        <w:t>一览表》。</w:t>
      </w:r>
    </w:p>
    <w:p w14:paraId="5CE122CC">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（二）本</w:t>
      </w:r>
      <w:r>
        <w:rPr>
          <w:rFonts w:hint="eastAsia" w:ascii="宋体" w:hAnsi="宋体" w:eastAsia="宋体" w:cs="宋体"/>
          <w:color w:val="auto"/>
          <w:kern w:val="0"/>
          <w:sz w:val="24"/>
          <w:szCs w:val="24"/>
          <w:lang w:eastAsia="zh-CN"/>
        </w:rPr>
        <w:t>响应文件</w:t>
      </w:r>
      <w:r>
        <w:rPr>
          <w:rFonts w:hint="eastAsia" w:ascii="宋体" w:hAnsi="宋体" w:eastAsia="宋体" w:cs="宋体"/>
          <w:color w:val="auto"/>
          <w:kern w:val="0"/>
          <w:sz w:val="24"/>
          <w:szCs w:val="24"/>
        </w:rPr>
        <w:t>的有效期为投标截止时间起</w:t>
      </w:r>
      <w:r>
        <w:rPr>
          <w:rFonts w:hint="eastAsia" w:ascii="宋体" w:hAnsi="宋体" w:eastAsia="宋体" w:cs="宋体"/>
          <w:color w:val="auto"/>
          <w:kern w:val="0"/>
          <w:sz w:val="24"/>
          <w:szCs w:val="24"/>
          <w:u w:val="single"/>
          <w:lang w:val="en-US" w:eastAsia="zh-CN"/>
        </w:rPr>
        <w:t>60</w:t>
      </w:r>
      <w:r>
        <w:rPr>
          <w:rFonts w:hint="eastAsia" w:ascii="宋体" w:hAnsi="宋体" w:eastAsia="宋体" w:cs="宋体"/>
          <w:color w:val="auto"/>
          <w:kern w:val="0"/>
          <w:sz w:val="24"/>
          <w:szCs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DF0C983">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（三）我方同意按照贵方可能提出的要求而提供与投标有关的任何其它数据、信息或资料。</w:t>
      </w:r>
    </w:p>
    <w:p w14:paraId="0A98513F">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rPr>
        <w:t>）我方理解贵方不一定接受最低投标价或任何贵方可能收到的投标。</w:t>
      </w:r>
    </w:p>
    <w:p w14:paraId="7A8F1A52">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五</w:t>
      </w:r>
      <w:r>
        <w:rPr>
          <w:rFonts w:hint="eastAsia" w:ascii="宋体" w:hAnsi="宋体" w:eastAsia="宋体" w:cs="宋体"/>
          <w:color w:val="auto"/>
          <w:kern w:val="0"/>
          <w:sz w:val="24"/>
          <w:szCs w:val="24"/>
        </w:rPr>
        <w:t>）我方如果中标，将保证履行</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及其澄清、修改文件（如果有）中的全部责任和义务，按质、按量、按期完成《</w:t>
      </w:r>
      <w:r>
        <w:rPr>
          <w:rFonts w:hint="eastAsia" w:ascii="宋体" w:hAnsi="宋体" w:eastAsia="宋体" w:cs="宋体"/>
          <w:color w:val="auto"/>
          <w:kern w:val="0"/>
          <w:sz w:val="24"/>
          <w:szCs w:val="24"/>
          <w:lang w:eastAsia="zh-CN"/>
        </w:rPr>
        <w:t>招标文件</w:t>
      </w:r>
      <w:r>
        <w:rPr>
          <w:rFonts w:hint="eastAsia" w:ascii="宋体" w:hAnsi="宋体" w:eastAsia="宋体" w:cs="宋体"/>
          <w:color w:val="auto"/>
          <w:kern w:val="0"/>
          <w:sz w:val="24"/>
          <w:szCs w:val="24"/>
        </w:rPr>
        <w:t>》及《合同书》中的全部任务。</w:t>
      </w:r>
    </w:p>
    <w:p w14:paraId="4CCCCA33">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六</w:t>
      </w:r>
      <w:r>
        <w:rPr>
          <w:rFonts w:hint="eastAsia" w:ascii="宋体" w:hAnsi="宋体" w:eastAsia="宋体" w:cs="宋体"/>
          <w:color w:val="auto"/>
          <w:kern w:val="0"/>
          <w:sz w:val="24"/>
          <w:szCs w:val="24"/>
        </w:rPr>
        <w:t>）我方作为在法律、财务和运作上独立于采购人、招标代理机构的投标人，在此保证所提交的所有文件和全部说明是真实的和正确的。</w:t>
      </w:r>
    </w:p>
    <w:p w14:paraId="333B5852">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七</w:t>
      </w:r>
      <w:r>
        <w:rPr>
          <w:rFonts w:hint="eastAsia" w:ascii="宋体" w:hAnsi="宋体" w:eastAsia="宋体" w:cs="宋体"/>
          <w:color w:val="auto"/>
          <w:kern w:val="0"/>
          <w:sz w:val="24"/>
          <w:szCs w:val="24"/>
        </w:rPr>
        <w:t>）我方投标报价已包含应向知识产权所有权人支付的所有相关税费，并保证采购人在中国使用我方提供的货物时，如有第三方提出侵犯其知识产权主张的，责任由我方承担。</w:t>
      </w:r>
    </w:p>
    <w:p w14:paraId="395DE18A">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八</w:t>
      </w:r>
      <w:r>
        <w:rPr>
          <w:rFonts w:hint="eastAsia" w:ascii="宋体" w:hAnsi="宋体" w:eastAsia="宋体" w:cs="宋体"/>
          <w:color w:val="auto"/>
          <w:kern w:val="0"/>
          <w:sz w:val="24"/>
          <w:szCs w:val="24"/>
        </w:rPr>
        <w:t>）我方与其他投标人不存在单位负责人为同一人或者存在直接控股、管理关系。</w:t>
      </w:r>
    </w:p>
    <w:p w14:paraId="39D84B2D">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九</w:t>
      </w:r>
      <w:r>
        <w:rPr>
          <w:rFonts w:hint="eastAsia" w:ascii="宋体" w:hAnsi="宋体" w:eastAsia="宋体" w:cs="宋体"/>
          <w:color w:val="auto"/>
          <w:kern w:val="0"/>
          <w:sz w:val="24"/>
          <w:szCs w:val="24"/>
        </w:rPr>
        <w:t>）我方承诺未为本项目提供整体设计、规范编制或者项目管理、监理、检测等服务。</w:t>
      </w:r>
    </w:p>
    <w:p w14:paraId="0D9E5398">
      <w:pPr>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（十）我方具备《政府采购法》第二十二条规定的条件，承诺如下：</w:t>
      </w:r>
    </w:p>
    <w:p w14:paraId="532096B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（1）我方已依法缴纳了各项税费及社会保险费用，如有需要，可随时向采购人提供近三个月内的相关缴费证明，以便核查。</w:t>
      </w:r>
    </w:p>
    <w:p w14:paraId="71852DA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（2）我方已依法建立健全的财务会计制度，如有需要，可随时向采购人提供相关的证明材料，以便核查。</w:t>
      </w:r>
    </w:p>
    <w:p w14:paraId="2C8FA968">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（3）我方参加本项目政府采购活动前3年内在经营活动中没有重大违法记录。</w:t>
      </w:r>
    </w:p>
    <w:p w14:paraId="648588EE">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（4）我方具备履行合同所必需的设备和专业技术能力。</w:t>
      </w:r>
    </w:p>
    <w:p w14:paraId="03F0BD04">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（5）我方符合法律、行政法规规定的其他条件。</w:t>
      </w:r>
    </w:p>
    <w:p w14:paraId="5749028B">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以上内容如有虚假或与事实不符的，评审委员会可将我方做无效投标处理，我方愿意承担相应的法律责任。</w:t>
      </w:r>
    </w:p>
    <w:p w14:paraId="3924A541">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w:t>
      </w:r>
      <w:r>
        <w:rPr>
          <w:rFonts w:hint="eastAsia" w:ascii="宋体" w:hAnsi="宋体" w:eastAsia="宋体" w:cs="宋体"/>
          <w:color w:val="auto"/>
          <w:kern w:val="0"/>
          <w:sz w:val="24"/>
          <w:szCs w:val="24"/>
          <w:lang w:eastAsia="zh-CN"/>
        </w:rPr>
        <w:t>一</w:t>
      </w:r>
      <w:r>
        <w:rPr>
          <w:rFonts w:hint="eastAsia" w:ascii="宋体" w:hAnsi="宋体" w:eastAsia="宋体" w:cs="宋体"/>
          <w:color w:val="auto"/>
          <w:kern w:val="0"/>
          <w:sz w:val="24"/>
          <w:szCs w:val="24"/>
        </w:rPr>
        <w:t>）我方对在本函及</w:t>
      </w:r>
      <w:r>
        <w:rPr>
          <w:rFonts w:hint="eastAsia" w:ascii="宋体" w:hAnsi="宋体" w:eastAsia="宋体" w:cs="宋体"/>
          <w:color w:val="auto"/>
          <w:kern w:val="0"/>
          <w:sz w:val="24"/>
          <w:szCs w:val="24"/>
          <w:lang w:eastAsia="zh-CN"/>
        </w:rPr>
        <w:t>响应文件</w:t>
      </w:r>
      <w:r>
        <w:rPr>
          <w:rFonts w:hint="eastAsia" w:ascii="宋体" w:hAnsi="宋体" w:eastAsia="宋体" w:cs="宋体"/>
          <w:color w:val="auto"/>
          <w:kern w:val="0"/>
          <w:sz w:val="24"/>
          <w:szCs w:val="24"/>
        </w:rPr>
        <w:t>中所作的所有承诺承担法律责任。</w:t>
      </w:r>
    </w:p>
    <w:p w14:paraId="510279C0">
      <w:pPr>
        <w:keepNext w:val="0"/>
        <w:keepLines w:val="0"/>
        <w:pageBreakBefore w:val="0"/>
        <w:widowControl w:val="0"/>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w:t>
      </w: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rPr>
        <w:t>）所有与本招标有关的函件请发往下列地址：</w:t>
      </w:r>
    </w:p>
    <w:p w14:paraId="76C59BBC">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    址：</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.邮政编码：</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767C1C1A">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716B80BD">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    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41C245A5">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代表姓名：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.职    务：</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72E60D06">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（公章） </w:t>
      </w:r>
    </w:p>
    <w:p w14:paraId="034F3788">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法定代表人或委托人：</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签字或盖章</w:t>
      </w:r>
      <w:r>
        <w:rPr>
          <w:rFonts w:hint="eastAsia" w:ascii="宋体" w:hAnsi="宋体" w:eastAsia="宋体" w:cs="宋体"/>
          <w:color w:val="auto"/>
          <w:kern w:val="0"/>
          <w:sz w:val="24"/>
          <w:szCs w:val="24"/>
        </w:rPr>
        <w:t xml:space="preserve">）  </w:t>
      </w:r>
    </w:p>
    <w:p w14:paraId="7F98C70C">
      <w:pPr>
        <w:keepNext w:val="0"/>
        <w:keepLines w:val="0"/>
        <w:pageBreakBefore w:val="0"/>
        <w:widowControl w:val="0"/>
        <w:wordWrap w:val="0"/>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09031EA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778C09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AF1E1E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4AB6B0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AA6E52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F7B91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0145A4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1B9A54F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C40DDC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26BC815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4D4B2D9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794393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lang w:val="en-US" w:eastAsia="zh-CN"/>
        </w:rPr>
      </w:pPr>
    </w:p>
    <w:p w14:paraId="61B89D1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2、开标一览表</w:t>
      </w:r>
    </w:p>
    <w:p w14:paraId="1FC82990">
      <w:pPr>
        <w:pStyle w:val="6"/>
        <w:shd w:val="clear" w:color="auto" w:fill="auto"/>
        <w:tabs>
          <w:tab w:val="left" w:pos="5580"/>
        </w:tabs>
        <w:spacing w:line="240" w:lineRule="atLeast"/>
        <w:ind w:left="0" w:leftChars="0" w:firstLine="0" w:firstLineChars="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40C3B5D8">
      <w:pPr>
        <w:shd w:val="clear" w:color="auto" w:fill="auto"/>
        <w:adjustRightInd w:val="0"/>
        <w:snapToGrid w:val="0"/>
        <w:spacing w:line="500" w:lineRule="exac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5F2A9D0C">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单位：元（人民币）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220"/>
        <w:gridCol w:w="6405"/>
      </w:tblGrid>
      <w:tr w14:paraId="22B6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841" w:type="dxa"/>
            <w:gridSpan w:val="2"/>
            <w:noWrap w:val="0"/>
            <w:vAlign w:val="center"/>
          </w:tcPr>
          <w:p w14:paraId="5776FAC0">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405" w:type="dxa"/>
            <w:noWrap w:val="0"/>
            <w:vAlign w:val="center"/>
          </w:tcPr>
          <w:p w14:paraId="716B389F">
            <w:pPr>
              <w:shd w:val="clear" w:color="auto" w:fill="auto"/>
              <w:jc w:val="center"/>
              <w:rPr>
                <w:rFonts w:hint="eastAsia" w:ascii="宋体" w:hAnsi="宋体" w:eastAsia="宋体" w:cs="宋体"/>
                <w:color w:val="auto"/>
                <w:sz w:val="24"/>
                <w:szCs w:val="24"/>
                <w:highlight w:val="none"/>
              </w:rPr>
            </w:pPr>
          </w:p>
        </w:tc>
      </w:tr>
      <w:tr w14:paraId="3176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841" w:type="dxa"/>
            <w:gridSpan w:val="2"/>
            <w:noWrap w:val="0"/>
            <w:vAlign w:val="center"/>
          </w:tcPr>
          <w:p w14:paraId="6AEF44C0">
            <w:pPr>
              <w:keepNext w:val="0"/>
              <w:keepLines w:val="0"/>
              <w:widowControl/>
              <w:suppressLineNumbers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路灯及设备改造周期</w:t>
            </w:r>
          </w:p>
        </w:tc>
        <w:tc>
          <w:tcPr>
            <w:tcW w:w="6405" w:type="dxa"/>
            <w:noWrap w:val="0"/>
            <w:vAlign w:val="center"/>
          </w:tcPr>
          <w:p w14:paraId="5B2BDCF9">
            <w:pPr>
              <w:keepNext w:val="0"/>
              <w:keepLines w:val="0"/>
              <w:widowControl/>
              <w:suppressLineNumbers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 xml:space="preserve">自合同签订后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个工作日到货安装完毕</w:t>
            </w:r>
          </w:p>
        </w:tc>
      </w:tr>
      <w:tr w14:paraId="7C1A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2841" w:type="dxa"/>
            <w:gridSpan w:val="2"/>
            <w:noWrap w:val="0"/>
            <w:vAlign w:val="center"/>
          </w:tcPr>
          <w:p w14:paraId="0D9DFC24">
            <w:pPr>
              <w:shd w:val="clear" w:color="auto" w:fill="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p>
        </w:tc>
        <w:tc>
          <w:tcPr>
            <w:tcW w:w="6405" w:type="dxa"/>
            <w:noWrap w:val="0"/>
            <w:vAlign w:val="center"/>
          </w:tcPr>
          <w:p w14:paraId="37193FC6">
            <w:pPr>
              <w:shd w:val="clear" w:color="auto" w:fill="auto"/>
              <w:jc w:val="center"/>
              <w:rPr>
                <w:rFonts w:hint="eastAsia" w:ascii="宋体" w:hAnsi="宋体" w:eastAsia="宋体" w:cs="宋体"/>
                <w:color w:val="auto"/>
                <w:sz w:val="24"/>
                <w:szCs w:val="24"/>
                <w:highlight w:val="none"/>
                <w:lang w:val="en-US" w:eastAsia="zh-CN"/>
              </w:rPr>
            </w:pPr>
          </w:p>
        </w:tc>
      </w:tr>
      <w:tr w14:paraId="49F6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841" w:type="dxa"/>
            <w:gridSpan w:val="2"/>
            <w:tcBorders>
              <w:top w:val="single" w:color="auto" w:sz="4" w:space="0"/>
            </w:tcBorders>
            <w:noWrap w:val="0"/>
            <w:vAlign w:val="center"/>
          </w:tcPr>
          <w:p w14:paraId="1DD482A8">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405" w:type="dxa"/>
            <w:noWrap w:val="0"/>
            <w:vAlign w:val="center"/>
          </w:tcPr>
          <w:p w14:paraId="6CE394F9">
            <w:pPr>
              <w:shd w:val="clear" w:color="auto" w:fill="auto"/>
              <w:jc w:val="center"/>
              <w:rPr>
                <w:rFonts w:hint="eastAsia" w:ascii="宋体" w:hAnsi="宋体" w:eastAsia="宋体" w:cs="宋体"/>
                <w:color w:val="auto"/>
                <w:sz w:val="24"/>
                <w:szCs w:val="24"/>
                <w:highlight w:val="none"/>
                <w:lang w:val="en-US" w:eastAsia="zh-CN"/>
              </w:rPr>
            </w:pPr>
          </w:p>
        </w:tc>
      </w:tr>
      <w:tr w14:paraId="09BB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21" w:type="dxa"/>
            <w:vMerge w:val="restart"/>
            <w:noWrap w:val="0"/>
            <w:vAlign w:val="center"/>
          </w:tcPr>
          <w:p w14:paraId="58E08DEB">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7A747192">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1220" w:type="dxa"/>
            <w:tcBorders>
              <w:top w:val="single" w:color="auto" w:sz="4" w:space="0"/>
              <w:bottom w:val="single" w:color="auto" w:sz="4" w:space="0"/>
            </w:tcBorders>
            <w:noWrap w:val="0"/>
            <w:vAlign w:val="center"/>
          </w:tcPr>
          <w:p w14:paraId="1D262C28">
            <w:pPr>
              <w:widowControl/>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6405" w:type="dxa"/>
            <w:noWrap w:val="0"/>
            <w:vAlign w:val="center"/>
          </w:tcPr>
          <w:p w14:paraId="1DB1BC5E">
            <w:pPr>
              <w:shd w:val="clear" w:color="auto" w:fill="auto"/>
              <w:jc w:val="center"/>
              <w:rPr>
                <w:rFonts w:hint="eastAsia" w:ascii="宋体" w:hAnsi="宋体" w:eastAsia="宋体" w:cs="宋体"/>
                <w:color w:val="auto"/>
                <w:sz w:val="24"/>
                <w:szCs w:val="24"/>
                <w:highlight w:val="none"/>
              </w:rPr>
            </w:pPr>
          </w:p>
        </w:tc>
      </w:tr>
      <w:tr w14:paraId="75E1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621" w:type="dxa"/>
            <w:vMerge w:val="continue"/>
            <w:noWrap w:val="0"/>
            <w:vAlign w:val="center"/>
          </w:tcPr>
          <w:p w14:paraId="25D08199">
            <w:pPr>
              <w:shd w:val="clear" w:color="auto" w:fill="auto"/>
              <w:jc w:val="center"/>
              <w:rPr>
                <w:rFonts w:hint="eastAsia" w:ascii="宋体" w:hAnsi="宋体" w:eastAsia="宋体" w:cs="宋体"/>
                <w:color w:val="auto"/>
                <w:sz w:val="24"/>
                <w:szCs w:val="24"/>
                <w:highlight w:val="none"/>
              </w:rPr>
            </w:pPr>
          </w:p>
        </w:tc>
        <w:tc>
          <w:tcPr>
            <w:tcW w:w="1220" w:type="dxa"/>
            <w:tcBorders>
              <w:top w:val="single" w:color="auto" w:sz="4" w:space="0"/>
              <w:bottom w:val="single" w:color="auto" w:sz="4" w:space="0"/>
            </w:tcBorders>
            <w:noWrap w:val="0"/>
            <w:vAlign w:val="center"/>
          </w:tcPr>
          <w:p w14:paraId="15899ACC">
            <w:pPr>
              <w:widowControl/>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tc>
        <w:tc>
          <w:tcPr>
            <w:tcW w:w="6405" w:type="dxa"/>
            <w:noWrap w:val="0"/>
            <w:vAlign w:val="center"/>
          </w:tcPr>
          <w:p w14:paraId="6C647028">
            <w:pPr>
              <w:shd w:val="clear" w:color="auto" w:fill="auto"/>
              <w:jc w:val="center"/>
              <w:rPr>
                <w:rFonts w:hint="eastAsia" w:ascii="宋体" w:hAnsi="宋体" w:eastAsia="宋体" w:cs="宋体"/>
                <w:color w:val="auto"/>
                <w:sz w:val="24"/>
                <w:szCs w:val="24"/>
                <w:highlight w:val="none"/>
              </w:rPr>
            </w:pPr>
          </w:p>
        </w:tc>
      </w:tr>
    </w:tbl>
    <w:p w14:paraId="7E198448">
      <w:pPr>
        <w:shd w:val="clear" w:color="auto" w:fill="auto"/>
        <w:spacing w:line="5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14:paraId="0EC5C021">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.开标时，大写金额与小写金额不一致的，以大写金额为准</w:t>
      </w:r>
    </w:p>
    <w:p w14:paraId="0E09EC51">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.投标总价为招标范围所列全部招标项目的报价总和，</w:t>
      </w:r>
    </w:p>
    <w:p w14:paraId="0AD73F65">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.投标报价不得填报选择性报价。</w:t>
      </w:r>
    </w:p>
    <w:p w14:paraId="00E3D72D">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（加盖公章）     </w:t>
      </w:r>
      <w:r>
        <w:rPr>
          <w:rFonts w:hint="eastAsia" w:ascii="宋体" w:hAnsi="宋体" w:eastAsia="宋体" w:cs="宋体"/>
          <w:color w:val="auto"/>
          <w:sz w:val="24"/>
          <w:szCs w:val="24"/>
          <w:highlight w:val="none"/>
        </w:rPr>
        <w:t xml:space="preserve">       </w:t>
      </w:r>
    </w:p>
    <w:p w14:paraId="27D9E2DF">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23C5504">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A63B75F">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4A7112E">
      <w:pPr>
        <w:shd w:val="clear" w:color="auto" w:fill="auto"/>
        <w:spacing w:line="500" w:lineRule="exact"/>
        <w:ind w:firstLine="480" w:firstLineChars="200"/>
        <w:rPr>
          <w:rFonts w:hint="eastAsia" w:ascii="宋体" w:hAnsi="宋体" w:eastAsia="宋体" w:cs="宋体"/>
          <w:color w:val="auto"/>
          <w:sz w:val="24"/>
          <w:szCs w:val="24"/>
          <w:highlight w:val="none"/>
        </w:rPr>
      </w:pPr>
    </w:p>
    <w:p w14:paraId="7D69F514">
      <w:pPr>
        <w:shd w:val="clear" w:color="auto" w:fill="auto"/>
        <w:spacing w:line="500" w:lineRule="exact"/>
        <w:ind w:firstLine="480" w:firstLineChars="200"/>
        <w:rPr>
          <w:rFonts w:hint="eastAsia" w:ascii="宋体" w:hAnsi="宋体" w:eastAsia="宋体" w:cs="宋体"/>
          <w:color w:val="auto"/>
          <w:sz w:val="24"/>
          <w:szCs w:val="24"/>
          <w:highlight w:val="none"/>
        </w:rPr>
      </w:pPr>
    </w:p>
    <w:p w14:paraId="7151B266">
      <w:pPr>
        <w:shd w:val="clear" w:color="auto" w:fill="auto"/>
        <w:spacing w:line="500" w:lineRule="exact"/>
        <w:ind w:firstLine="480" w:firstLineChars="200"/>
        <w:rPr>
          <w:rFonts w:hint="eastAsia" w:ascii="宋体" w:hAnsi="宋体" w:eastAsia="宋体" w:cs="宋体"/>
          <w:color w:val="auto"/>
          <w:sz w:val="24"/>
          <w:szCs w:val="24"/>
          <w:highlight w:val="none"/>
        </w:rPr>
      </w:pPr>
    </w:p>
    <w:p w14:paraId="5E043DBB">
      <w:pPr>
        <w:shd w:val="clear" w:color="auto" w:fill="auto"/>
        <w:spacing w:line="500" w:lineRule="exact"/>
        <w:ind w:firstLine="480" w:firstLineChars="200"/>
        <w:rPr>
          <w:rFonts w:hint="eastAsia" w:ascii="宋体" w:hAnsi="宋体" w:eastAsia="宋体" w:cs="宋体"/>
          <w:color w:val="auto"/>
          <w:sz w:val="24"/>
          <w:szCs w:val="24"/>
          <w:highlight w:val="none"/>
        </w:rPr>
      </w:pPr>
    </w:p>
    <w:p w14:paraId="0C204654">
      <w:pPr>
        <w:shd w:val="clear" w:color="auto" w:fill="auto"/>
        <w:spacing w:line="500" w:lineRule="exact"/>
        <w:ind w:firstLine="480" w:firstLineChars="200"/>
        <w:rPr>
          <w:rFonts w:hint="eastAsia" w:ascii="宋体" w:hAnsi="宋体" w:eastAsia="宋体" w:cs="宋体"/>
          <w:color w:val="auto"/>
          <w:sz w:val="24"/>
          <w:szCs w:val="24"/>
          <w:highlight w:val="none"/>
        </w:rPr>
      </w:pPr>
    </w:p>
    <w:p w14:paraId="420E1103">
      <w:pPr>
        <w:shd w:val="clear" w:color="auto" w:fill="auto"/>
        <w:spacing w:line="500" w:lineRule="exact"/>
        <w:ind w:firstLine="480" w:firstLineChars="200"/>
        <w:rPr>
          <w:rFonts w:hint="eastAsia" w:ascii="宋体" w:hAnsi="宋体" w:eastAsia="宋体" w:cs="宋体"/>
          <w:color w:val="auto"/>
          <w:sz w:val="24"/>
          <w:szCs w:val="24"/>
          <w:highlight w:val="none"/>
        </w:rPr>
      </w:pPr>
    </w:p>
    <w:p w14:paraId="09E67C23">
      <w:pPr>
        <w:shd w:val="clear" w:color="auto" w:fill="auto"/>
        <w:spacing w:line="500" w:lineRule="exact"/>
        <w:ind w:firstLine="480" w:firstLineChars="200"/>
        <w:rPr>
          <w:rFonts w:hint="eastAsia" w:ascii="宋体" w:hAnsi="宋体" w:eastAsia="宋体" w:cs="宋体"/>
          <w:color w:val="auto"/>
          <w:sz w:val="24"/>
          <w:szCs w:val="24"/>
          <w:highlight w:val="none"/>
        </w:rPr>
      </w:pPr>
    </w:p>
    <w:p w14:paraId="350F5DC9">
      <w:pPr>
        <w:shd w:val="clear" w:color="auto" w:fill="auto"/>
        <w:spacing w:line="500" w:lineRule="exact"/>
        <w:ind w:firstLine="480" w:firstLineChars="200"/>
        <w:rPr>
          <w:rFonts w:hint="eastAsia" w:ascii="宋体" w:hAnsi="宋体" w:eastAsia="宋体" w:cs="宋体"/>
          <w:color w:val="auto"/>
          <w:sz w:val="24"/>
          <w:szCs w:val="24"/>
          <w:highlight w:val="none"/>
        </w:rPr>
      </w:pPr>
    </w:p>
    <w:p w14:paraId="2F9C794B">
      <w:pPr>
        <w:shd w:val="clear" w:color="auto" w:fill="auto"/>
        <w:spacing w:line="500" w:lineRule="exact"/>
        <w:ind w:firstLine="480" w:firstLineChars="200"/>
        <w:rPr>
          <w:rFonts w:hint="eastAsia" w:ascii="宋体" w:hAnsi="宋体" w:eastAsia="宋体" w:cs="宋体"/>
          <w:color w:val="auto"/>
          <w:sz w:val="24"/>
          <w:szCs w:val="24"/>
          <w:highlight w:val="none"/>
        </w:rPr>
      </w:pPr>
    </w:p>
    <w:p w14:paraId="02BDB38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09D2E82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3、技术规格偏离表</w:t>
      </w:r>
    </w:p>
    <w:tbl>
      <w:tblPr>
        <w:tblStyle w:val="16"/>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688"/>
        <w:gridCol w:w="1740"/>
        <w:gridCol w:w="1470"/>
        <w:gridCol w:w="1755"/>
        <w:gridCol w:w="1005"/>
      </w:tblGrid>
      <w:tr w14:paraId="76FA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5DF1ACA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688" w:type="dxa"/>
          </w:tcPr>
          <w:p w14:paraId="235AD8F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标的物名称</w:t>
            </w:r>
          </w:p>
        </w:tc>
        <w:tc>
          <w:tcPr>
            <w:tcW w:w="1740" w:type="dxa"/>
          </w:tcPr>
          <w:p w14:paraId="34969D8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招标文件规格</w:t>
            </w:r>
          </w:p>
        </w:tc>
        <w:tc>
          <w:tcPr>
            <w:tcW w:w="1470" w:type="dxa"/>
          </w:tcPr>
          <w:p w14:paraId="4E16821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投标规格</w:t>
            </w:r>
          </w:p>
        </w:tc>
        <w:tc>
          <w:tcPr>
            <w:tcW w:w="1755" w:type="dxa"/>
          </w:tcPr>
          <w:p w14:paraId="0B17BE8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偏离</w:t>
            </w:r>
          </w:p>
        </w:tc>
        <w:tc>
          <w:tcPr>
            <w:tcW w:w="1005" w:type="dxa"/>
          </w:tcPr>
          <w:p w14:paraId="0F3F265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说明</w:t>
            </w:r>
          </w:p>
        </w:tc>
      </w:tr>
      <w:tr w14:paraId="580B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24D218B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688" w:type="dxa"/>
          </w:tcPr>
          <w:p w14:paraId="728EF55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740" w:type="dxa"/>
          </w:tcPr>
          <w:p w14:paraId="74D834C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470" w:type="dxa"/>
          </w:tcPr>
          <w:p w14:paraId="0FF7E3A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755" w:type="dxa"/>
          </w:tcPr>
          <w:p w14:paraId="158F0AD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如有正偏</w:t>
            </w:r>
          </w:p>
          <w:p w14:paraId="7E52BEB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离需提供</w:t>
            </w:r>
          </w:p>
          <w:p w14:paraId="6168C24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证明材料，</w:t>
            </w:r>
          </w:p>
          <w:p w14:paraId="787D873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证明材料</w:t>
            </w:r>
          </w:p>
          <w:p w14:paraId="31C7CA3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附后(并注</w:t>
            </w:r>
          </w:p>
          <w:p w14:paraId="233529F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明页码)</w:t>
            </w:r>
          </w:p>
        </w:tc>
        <w:tc>
          <w:tcPr>
            <w:tcW w:w="1005" w:type="dxa"/>
          </w:tcPr>
          <w:p w14:paraId="56FF9B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5874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1BA5617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688" w:type="dxa"/>
          </w:tcPr>
          <w:p w14:paraId="368E78A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740" w:type="dxa"/>
          </w:tcPr>
          <w:p w14:paraId="4353572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470" w:type="dxa"/>
          </w:tcPr>
          <w:p w14:paraId="2F1DFD9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755" w:type="dxa"/>
          </w:tcPr>
          <w:p w14:paraId="65E8EAA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005" w:type="dxa"/>
          </w:tcPr>
          <w:p w14:paraId="440F72C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7FE4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5FF066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688" w:type="dxa"/>
          </w:tcPr>
          <w:p w14:paraId="5EB7BA3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740" w:type="dxa"/>
          </w:tcPr>
          <w:p w14:paraId="1CA84DD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470" w:type="dxa"/>
          </w:tcPr>
          <w:p w14:paraId="581DD52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755" w:type="dxa"/>
          </w:tcPr>
          <w:p w14:paraId="142AA83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005" w:type="dxa"/>
          </w:tcPr>
          <w:p w14:paraId="698A36A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7DC7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tcPr>
          <w:p w14:paraId="76D5EB7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688" w:type="dxa"/>
          </w:tcPr>
          <w:p w14:paraId="4096348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740" w:type="dxa"/>
          </w:tcPr>
          <w:p w14:paraId="2A8682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470" w:type="dxa"/>
          </w:tcPr>
          <w:p w14:paraId="49B324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755" w:type="dxa"/>
          </w:tcPr>
          <w:p w14:paraId="3F7163D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005" w:type="dxa"/>
          </w:tcPr>
          <w:p w14:paraId="2829210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bl>
    <w:p w14:paraId="0F2D959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3AB2711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1562D1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投标人应根据其提供的服务，对照招标文件第四章“商务技术要求”中的要求，有差异的，则在此表中列明实际响应的内容提要并加以说明，以便查对。本表包括所有的技术响应及差异。无差异说明表示完全响应。</w:t>
      </w:r>
    </w:p>
    <w:p w14:paraId="3E3074F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4413A86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投标人（盖章）：</w:t>
      </w:r>
      <w:r>
        <w:rPr>
          <w:rFonts w:hint="eastAsia" w:ascii="宋体" w:hAnsi="宋体" w:eastAsia="宋体" w:cs="宋体"/>
          <w:b w:val="0"/>
          <w:bCs w:val="0"/>
          <w:sz w:val="24"/>
          <w:szCs w:val="24"/>
          <w:u w:val="single"/>
          <w:lang w:val="en-US" w:eastAsia="zh-CN"/>
        </w:rPr>
        <w:t xml:space="preserve">                               </w:t>
      </w:r>
    </w:p>
    <w:p w14:paraId="46FE1F7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1B3CAB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法定代表人或委托代理人（</w:t>
      </w:r>
      <w:r>
        <w:rPr>
          <w:rFonts w:hint="eastAsia" w:ascii="宋体" w:hAnsi="宋体" w:eastAsia="宋体" w:cs="宋体"/>
          <w:color w:val="auto"/>
          <w:sz w:val="24"/>
          <w:highlight w:val="none"/>
          <w:u w:val="none" w:color="auto"/>
          <w:lang w:val="en-US" w:eastAsia="zh-CN"/>
        </w:rPr>
        <w:t>签字或盖章</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p>
    <w:p w14:paraId="2D1B276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0A80326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日期：  年   月   日</w:t>
      </w:r>
    </w:p>
    <w:p w14:paraId="3964C1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2AD11BF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4E9CCDD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104D092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33B3CBC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1E53EE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0322FF7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58562A7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4782194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5A4C42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63AAABB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5BE05672">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4、商务条款偏离表</w:t>
      </w:r>
    </w:p>
    <w:tbl>
      <w:tblPr>
        <w:tblStyle w:val="16"/>
        <w:tblW w:w="0" w:type="auto"/>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3690"/>
        <w:gridCol w:w="2940"/>
        <w:gridCol w:w="1305"/>
      </w:tblGrid>
      <w:tr w14:paraId="3725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1FBF744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3690" w:type="dxa"/>
          </w:tcPr>
          <w:p w14:paraId="581601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招标文件商务条款</w:t>
            </w:r>
          </w:p>
        </w:tc>
        <w:tc>
          <w:tcPr>
            <w:tcW w:w="2940" w:type="dxa"/>
          </w:tcPr>
          <w:p w14:paraId="3C197B6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投标文件商务条款</w:t>
            </w:r>
          </w:p>
        </w:tc>
        <w:tc>
          <w:tcPr>
            <w:tcW w:w="1305" w:type="dxa"/>
          </w:tcPr>
          <w:p w14:paraId="6479CC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说明</w:t>
            </w:r>
          </w:p>
        </w:tc>
      </w:tr>
      <w:tr w14:paraId="0787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139CB15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3690" w:type="dxa"/>
          </w:tcPr>
          <w:p w14:paraId="5552F33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2940" w:type="dxa"/>
          </w:tcPr>
          <w:p w14:paraId="5CC9757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305" w:type="dxa"/>
          </w:tcPr>
          <w:p w14:paraId="40E228A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1415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04A1C49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3690" w:type="dxa"/>
          </w:tcPr>
          <w:p w14:paraId="6969E85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2940" w:type="dxa"/>
          </w:tcPr>
          <w:p w14:paraId="6AF7EC8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305" w:type="dxa"/>
          </w:tcPr>
          <w:p w14:paraId="2E36FC9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5DF0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01091AE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3690" w:type="dxa"/>
          </w:tcPr>
          <w:p w14:paraId="52A5FBA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2940" w:type="dxa"/>
          </w:tcPr>
          <w:p w14:paraId="6644E23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305" w:type="dxa"/>
          </w:tcPr>
          <w:p w14:paraId="2781A2A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6FC9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14E91D0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3690" w:type="dxa"/>
          </w:tcPr>
          <w:p w14:paraId="4140B0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2940" w:type="dxa"/>
          </w:tcPr>
          <w:p w14:paraId="46271DE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305" w:type="dxa"/>
          </w:tcPr>
          <w:p w14:paraId="100059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75B4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6A8297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3690" w:type="dxa"/>
          </w:tcPr>
          <w:p w14:paraId="50F0DDF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2940" w:type="dxa"/>
          </w:tcPr>
          <w:p w14:paraId="554A614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305" w:type="dxa"/>
          </w:tcPr>
          <w:p w14:paraId="5F416B2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3DA6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0D6C8C5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3690" w:type="dxa"/>
          </w:tcPr>
          <w:p w14:paraId="54A5126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2940" w:type="dxa"/>
          </w:tcPr>
          <w:p w14:paraId="35948EB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305" w:type="dxa"/>
          </w:tcPr>
          <w:p w14:paraId="55438B2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27C4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061A989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3690" w:type="dxa"/>
          </w:tcPr>
          <w:p w14:paraId="7753921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2940" w:type="dxa"/>
          </w:tcPr>
          <w:p w14:paraId="70AF924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305" w:type="dxa"/>
          </w:tcPr>
          <w:p w14:paraId="1662F22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2A46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4F7F53E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3690" w:type="dxa"/>
          </w:tcPr>
          <w:p w14:paraId="12BAE77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2940" w:type="dxa"/>
          </w:tcPr>
          <w:p w14:paraId="3444097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305" w:type="dxa"/>
          </w:tcPr>
          <w:p w14:paraId="46EA626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464F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411373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3690" w:type="dxa"/>
          </w:tcPr>
          <w:p w14:paraId="4343469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2940" w:type="dxa"/>
          </w:tcPr>
          <w:p w14:paraId="7F8FFF1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305" w:type="dxa"/>
          </w:tcPr>
          <w:p w14:paraId="45D4453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r w14:paraId="345F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14:paraId="654F7D92">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3690" w:type="dxa"/>
          </w:tcPr>
          <w:p w14:paraId="6F0709D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2940" w:type="dxa"/>
          </w:tcPr>
          <w:p w14:paraId="6C1E23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c>
          <w:tcPr>
            <w:tcW w:w="1305" w:type="dxa"/>
          </w:tcPr>
          <w:p w14:paraId="562B4DB9">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vertAlign w:val="baseline"/>
                <w:lang w:val="en-US" w:eastAsia="zh-CN"/>
              </w:rPr>
            </w:pPr>
          </w:p>
        </w:tc>
      </w:tr>
    </w:tbl>
    <w:p w14:paraId="57F6BA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34D40EC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注：请在“偏离说明”栏内扼要说明偏离情况，如无偏离则不需列明。</w:t>
      </w:r>
    </w:p>
    <w:p w14:paraId="5610A8E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73D16D8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4D90961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lang w:val="en-US" w:eastAsia="zh-CN"/>
        </w:rPr>
        <w:t>投标人（盖章）：</w:t>
      </w:r>
      <w:r>
        <w:rPr>
          <w:rFonts w:hint="eastAsia" w:ascii="宋体" w:hAnsi="宋体" w:eastAsia="宋体" w:cs="宋体"/>
          <w:b w:val="0"/>
          <w:bCs w:val="0"/>
          <w:sz w:val="24"/>
          <w:szCs w:val="24"/>
          <w:u w:val="single"/>
          <w:lang w:val="en-US" w:eastAsia="zh-CN"/>
        </w:rPr>
        <w:t xml:space="preserve">                                  </w:t>
      </w:r>
    </w:p>
    <w:p w14:paraId="3F11C5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3A40D860">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法定代表人或委托代理人（</w:t>
      </w:r>
      <w:r>
        <w:rPr>
          <w:rFonts w:hint="eastAsia" w:ascii="宋体" w:hAnsi="宋体" w:eastAsia="宋体" w:cs="宋体"/>
          <w:color w:val="auto"/>
          <w:sz w:val="24"/>
          <w:highlight w:val="none"/>
          <w:u w:val="none" w:color="auto"/>
          <w:lang w:val="en-US" w:eastAsia="zh-CN"/>
        </w:rPr>
        <w:t>签字或盖章</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  </w:t>
      </w:r>
    </w:p>
    <w:p w14:paraId="319CF3BE">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5FC75C6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日期：  年   月   日</w:t>
      </w:r>
    </w:p>
    <w:p w14:paraId="309E203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4F05D65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1ECAAC6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73EA3F2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5A7313F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1F75CC07">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352F54B4">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5684330C">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61919AF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2B9090D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214EA17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16B1AE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2F9F8C5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5、投标人基本情况表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548"/>
        <w:gridCol w:w="1548"/>
        <w:gridCol w:w="1548"/>
      </w:tblGrid>
      <w:tr w14:paraId="6732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548" w:type="dxa"/>
            <w:vAlign w:val="center"/>
          </w:tcPr>
          <w:p w14:paraId="767121D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单位名称</w:t>
            </w:r>
          </w:p>
        </w:tc>
        <w:tc>
          <w:tcPr>
            <w:tcW w:w="7740" w:type="dxa"/>
            <w:gridSpan w:val="5"/>
            <w:vAlign w:val="center"/>
          </w:tcPr>
          <w:p w14:paraId="10DD077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r w14:paraId="3D52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8" w:type="dxa"/>
            <w:vAlign w:val="center"/>
          </w:tcPr>
          <w:p w14:paraId="03D7CC5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单位地址</w:t>
            </w:r>
          </w:p>
        </w:tc>
        <w:tc>
          <w:tcPr>
            <w:tcW w:w="7740" w:type="dxa"/>
            <w:gridSpan w:val="5"/>
            <w:vAlign w:val="center"/>
          </w:tcPr>
          <w:p w14:paraId="4E64CE6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r w14:paraId="5F63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Align w:val="center"/>
          </w:tcPr>
          <w:p w14:paraId="5BFBCA2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主管部门</w:t>
            </w:r>
          </w:p>
        </w:tc>
        <w:tc>
          <w:tcPr>
            <w:tcW w:w="7740" w:type="dxa"/>
            <w:gridSpan w:val="5"/>
            <w:vAlign w:val="center"/>
          </w:tcPr>
          <w:p w14:paraId="1ECDDBC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r w14:paraId="3230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0AC6D07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成立时间</w:t>
            </w:r>
          </w:p>
        </w:tc>
        <w:tc>
          <w:tcPr>
            <w:tcW w:w="3096" w:type="dxa"/>
            <w:gridSpan w:val="2"/>
            <w:vAlign w:val="center"/>
          </w:tcPr>
          <w:p w14:paraId="69F952B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12DE104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注册资金（万元）</w:t>
            </w:r>
          </w:p>
        </w:tc>
        <w:tc>
          <w:tcPr>
            <w:tcW w:w="3096" w:type="dxa"/>
            <w:gridSpan w:val="2"/>
            <w:vAlign w:val="center"/>
          </w:tcPr>
          <w:p w14:paraId="1E872F9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r w14:paraId="0266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48" w:type="dxa"/>
            <w:vAlign w:val="center"/>
          </w:tcPr>
          <w:p w14:paraId="574860F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单位性质</w:t>
            </w:r>
          </w:p>
        </w:tc>
        <w:tc>
          <w:tcPr>
            <w:tcW w:w="7740" w:type="dxa"/>
            <w:gridSpan w:val="5"/>
            <w:vAlign w:val="center"/>
          </w:tcPr>
          <w:p w14:paraId="74669C8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r w14:paraId="71AD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14:paraId="0B20918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投标期间联系人</w:t>
            </w:r>
          </w:p>
        </w:tc>
        <w:tc>
          <w:tcPr>
            <w:tcW w:w="1548" w:type="dxa"/>
            <w:vAlign w:val="center"/>
          </w:tcPr>
          <w:p w14:paraId="204618E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2381310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手机联系方式</w:t>
            </w:r>
          </w:p>
        </w:tc>
        <w:tc>
          <w:tcPr>
            <w:tcW w:w="1548" w:type="dxa"/>
            <w:vAlign w:val="center"/>
          </w:tcPr>
          <w:p w14:paraId="2622B9E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6B5DD62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传真</w:t>
            </w:r>
          </w:p>
        </w:tc>
        <w:tc>
          <w:tcPr>
            <w:tcW w:w="1548" w:type="dxa"/>
            <w:vAlign w:val="center"/>
          </w:tcPr>
          <w:p w14:paraId="3ADD86D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r w14:paraId="05D2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vAlign w:val="center"/>
          </w:tcPr>
          <w:p w14:paraId="33247CF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职工概况</w:t>
            </w:r>
          </w:p>
        </w:tc>
        <w:tc>
          <w:tcPr>
            <w:tcW w:w="1548" w:type="dxa"/>
            <w:vAlign w:val="center"/>
          </w:tcPr>
          <w:p w14:paraId="7301C7F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职工总数</w:t>
            </w:r>
          </w:p>
        </w:tc>
        <w:tc>
          <w:tcPr>
            <w:tcW w:w="1548" w:type="dxa"/>
            <w:vAlign w:val="center"/>
          </w:tcPr>
          <w:p w14:paraId="062621C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7CEA396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其中：技术人员数</w:t>
            </w:r>
          </w:p>
        </w:tc>
        <w:tc>
          <w:tcPr>
            <w:tcW w:w="3096" w:type="dxa"/>
            <w:gridSpan w:val="2"/>
            <w:vAlign w:val="center"/>
          </w:tcPr>
          <w:p w14:paraId="6351B72E">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r w14:paraId="4C05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16ECE246">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7740" w:type="dxa"/>
            <w:gridSpan w:val="5"/>
            <w:vAlign w:val="center"/>
          </w:tcPr>
          <w:p w14:paraId="79D0D90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单位行政和技术负责人</w:t>
            </w:r>
          </w:p>
        </w:tc>
      </w:tr>
      <w:tr w14:paraId="0905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41D1753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38B6A927">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1548" w:type="dxa"/>
            <w:vAlign w:val="center"/>
          </w:tcPr>
          <w:p w14:paraId="531291F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职务/职称</w:t>
            </w:r>
          </w:p>
        </w:tc>
        <w:tc>
          <w:tcPr>
            <w:tcW w:w="1548" w:type="dxa"/>
            <w:vAlign w:val="center"/>
          </w:tcPr>
          <w:p w14:paraId="07BEFA9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年龄</w:t>
            </w:r>
          </w:p>
        </w:tc>
        <w:tc>
          <w:tcPr>
            <w:tcW w:w="3096" w:type="dxa"/>
            <w:gridSpan w:val="2"/>
            <w:vAlign w:val="center"/>
          </w:tcPr>
          <w:p w14:paraId="4AC8EC1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r>
      <w:tr w14:paraId="4DE6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60C5F9B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1285CB2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10E3C77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25F425C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3096" w:type="dxa"/>
            <w:gridSpan w:val="2"/>
            <w:vAlign w:val="center"/>
          </w:tcPr>
          <w:p w14:paraId="4D3C8B4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r w14:paraId="7A9A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270072F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4F5D0AC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30D6850F">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1C58FFE5">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3096" w:type="dxa"/>
            <w:gridSpan w:val="2"/>
            <w:vAlign w:val="center"/>
          </w:tcPr>
          <w:p w14:paraId="2DC1D3EC">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r w14:paraId="77A1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75110BD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43E71153">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6EE72AB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507F2911">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3096" w:type="dxa"/>
            <w:gridSpan w:val="2"/>
            <w:vAlign w:val="center"/>
          </w:tcPr>
          <w:p w14:paraId="42C912B0">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r w14:paraId="7275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14:paraId="39F3E88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43036CE8">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1247021B">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1548" w:type="dxa"/>
            <w:vAlign w:val="center"/>
          </w:tcPr>
          <w:p w14:paraId="41A84DA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c>
          <w:tcPr>
            <w:tcW w:w="3096" w:type="dxa"/>
            <w:gridSpan w:val="2"/>
            <w:vAlign w:val="center"/>
          </w:tcPr>
          <w:p w14:paraId="154B316A">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r w14:paraId="0B20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1548" w:type="dxa"/>
            <w:vAlign w:val="center"/>
          </w:tcPr>
          <w:p w14:paraId="063B04BD">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单位概况</w:t>
            </w:r>
          </w:p>
        </w:tc>
        <w:tc>
          <w:tcPr>
            <w:tcW w:w="7740" w:type="dxa"/>
            <w:gridSpan w:val="5"/>
            <w:vAlign w:val="center"/>
          </w:tcPr>
          <w:p w14:paraId="19355854">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val="0"/>
                <w:bCs w:val="0"/>
                <w:sz w:val="24"/>
                <w:szCs w:val="24"/>
                <w:vertAlign w:val="baseline"/>
                <w:lang w:val="en-US" w:eastAsia="zh-CN"/>
              </w:rPr>
            </w:pPr>
          </w:p>
        </w:tc>
      </w:tr>
    </w:tbl>
    <w:p w14:paraId="17E69155">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3F156EEF">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4BB8A80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099C4CE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6AD59683">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5E03875B">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4175989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52858246">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67C530E7">
      <w:pPr>
        <w:pStyle w:val="8"/>
        <w:spacing w:before="74" w:line="227" w:lineRule="auto"/>
        <w:outlineLvl w:val="1"/>
        <w:rPr>
          <w:rFonts w:hint="eastAsia" w:ascii="宋体" w:hAnsi="宋体" w:eastAsia="宋体" w:cs="宋体"/>
          <w:b/>
          <w:bCs/>
          <w:spacing w:val="10"/>
          <w:sz w:val="24"/>
          <w:szCs w:val="24"/>
        </w:rPr>
      </w:pPr>
    </w:p>
    <w:p w14:paraId="67024C99">
      <w:pPr>
        <w:pStyle w:val="8"/>
        <w:spacing w:before="74" w:line="227" w:lineRule="auto"/>
        <w:ind w:left="1314"/>
        <w:outlineLvl w:val="1"/>
        <w:rPr>
          <w:rFonts w:hint="eastAsia" w:ascii="宋体" w:hAnsi="宋体" w:eastAsia="宋体" w:cs="宋体"/>
          <w:sz w:val="24"/>
          <w:szCs w:val="24"/>
        </w:rPr>
      </w:pPr>
      <w:r>
        <w:rPr>
          <w:rFonts w:hint="eastAsia" w:ascii="宋体" w:hAnsi="宋体" w:eastAsia="宋体" w:cs="宋体"/>
          <w:b/>
          <w:bCs/>
          <w:spacing w:val="10"/>
          <w:sz w:val="24"/>
          <w:szCs w:val="24"/>
          <w:lang w:val="en-US" w:eastAsia="zh-CN"/>
        </w:rPr>
        <w:t>6</w:t>
      </w:r>
      <w:r>
        <w:rPr>
          <w:rFonts w:hint="eastAsia" w:ascii="宋体" w:hAnsi="宋体" w:eastAsia="宋体" w:cs="宋体"/>
          <w:b/>
          <w:bCs/>
          <w:spacing w:val="10"/>
          <w:sz w:val="24"/>
          <w:szCs w:val="24"/>
        </w:rPr>
        <w:t>、评分标准和细则中技术部分证明材料（格式自拟）</w:t>
      </w:r>
    </w:p>
    <w:p w14:paraId="7AA27635">
      <w:pPr>
        <w:spacing w:line="359" w:lineRule="auto"/>
        <w:rPr>
          <w:rFonts w:hint="eastAsia" w:ascii="宋体" w:hAnsi="宋体" w:eastAsia="宋体" w:cs="宋体"/>
          <w:sz w:val="24"/>
          <w:szCs w:val="24"/>
        </w:rPr>
      </w:pPr>
    </w:p>
    <w:p w14:paraId="429F162D">
      <w:pPr>
        <w:spacing w:line="359" w:lineRule="auto"/>
        <w:rPr>
          <w:rFonts w:hint="eastAsia" w:ascii="宋体" w:hAnsi="宋体" w:eastAsia="宋体" w:cs="宋体"/>
          <w:sz w:val="24"/>
          <w:szCs w:val="24"/>
        </w:rPr>
      </w:pPr>
    </w:p>
    <w:p w14:paraId="5DEE4E25">
      <w:pPr>
        <w:pStyle w:val="8"/>
        <w:spacing w:before="65" w:line="227" w:lineRule="auto"/>
        <w:ind w:left="570"/>
        <w:rPr>
          <w:rFonts w:hint="eastAsia" w:ascii="宋体" w:hAnsi="宋体" w:eastAsia="宋体" w:cs="宋体"/>
          <w:sz w:val="24"/>
          <w:szCs w:val="24"/>
        </w:rPr>
      </w:pPr>
      <w:r>
        <w:rPr>
          <w:rFonts w:hint="eastAsia" w:ascii="宋体" w:hAnsi="宋体" w:eastAsia="宋体" w:cs="宋体"/>
          <w:spacing w:val="12"/>
          <w:sz w:val="24"/>
          <w:szCs w:val="24"/>
        </w:rPr>
        <w:t>说明：1.应提供</w:t>
      </w:r>
      <w:r>
        <w:rPr>
          <w:rFonts w:hint="eastAsia" w:ascii="宋体" w:hAnsi="宋体" w:eastAsia="宋体" w:cs="宋体"/>
          <w:spacing w:val="12"/>
          <w:sz w:val="24"/>
          <w:szCs w:val="24"/>
          <w:u w:val="single" w:color="auto"/>
        </w:rPr>
        <w:t>评分标准和细则中技术部分</w:t>
      </w:r>
      <w:r>
        <w:rPr>
          <w:rFonts w:hint="eastAsia" w:ascii="宋体" w:hAnsi="宋体" w:eastAsia="宋体" w:cs="宋体"/>
          <w:spacing w:val="12"/>
          <w:sz w:val="24"/>
          <w:szCs w:val="24"/>
        </w:rPr>
        <w:t>要求</w:t>
      </w:r>
      <w:r>
        <w:rPr>
          <w:rFonts w:hint="eastAsia" w:ascii="宋体" w:hAnsi="宋体" w:eastAsia="宋体" w:cs="宋体"/>
          <w:spacing w:val="11"/>
          <w:sz w:val="24"/>
          <w:szCs w:val="24"/>
        </w:rPr>
        <w:t>的其他资格证明文件。</w:t>
      </w:r>
    </w:p>
    <w:p w14:paraId="7C3385CF">
      <w:pPr>
        <w:spacing w:line="247" w:lineRule="auto"/>
        <w:rPr>
          <w:rFonts w:hint="eastAsia" w:ascii="宋体" w:hAnsi="宋体" w:eastAsia="宋体" w:cs="宋体"/>
          <w:sz w:val="24"/>
          <w:szCs w:val="24"/>
        </w:rPr>
      </w:pPr>
    </w:p>
    <w:p w14:paraId="2A7EC067">
      <w:pPr>
        <w:spacing w:line="247" w:lineRule="auto"/>
        <w:rPr>
          <w:rFonts w:hint="eastAsia" w:ascii="宋体" w:hAnsi="宋体" w:eastAsia="宋体" w:cs="宋体"/>
          <w:sz w:val="24"/>
          <w:szCs w:val="24"/>
        </w:rPr>
      </w:pPr>
    </w:p>
    <w:p w14:paraId="440526F1">
      <w:pPr>
        <w:spacing w:line="248" w:lineRule="auto"/>
        <w:rPr>
          <w:rFonts w:hint="eastAsia" w:ascii="宋体" w:hAnsi="宋体" w:eastAsia="宋体" w:cs="宋体"/>
          <w:sz w:val="24"/>
          <w:szCs w:val="24"/>
        </w:rPr>
      </w:pPr>
    </w:p>
    <w:p w14:paraId="0D5DAEFB">
      <w:pPr>
        <w:spacing w:line="248" w:lineRule="auto"/>
        <w:rPr>
          <w:rFonts w:hint="eastAsia" w:ascii="宋体" w:hAnsi="宋体" w:eastAsia="宋体" w:cs="宋体"/>
          <w:sz w:val="24"/>
          <w:szCs w:val="24"/>
        </w:rPr>
      </w:pPr>
    </w:p>
    <w:p w14:paraId="7F3A0119">
      <w:pPr>
        <w:spacing w:line="248" w:lineRule="auto"/>
        <w:rPr>
          <w:rFonts w:hint="eastAsia" w:ascii="宋体" w:hAnsi="宋体" w:eastAsia="宋体" w:cs="宋体"/>
          <w:sz w:val="24"/>
          <w:szCs w:val="24"/>
        </w:rPr>
      </w:pPr>
    </w:p>
    <w:p w14:paraId="7A02E486">
      <w:pPr>
        <w:spacing w:line="248" w:lineRule="auto"/>
        <w:rPr>
          <w:rFonts w:hint="eastAsia" w:ascii="宋体" w:hAnsi="宋体" w:eastAsia="宋体" w:cs="宋体"/>
          <w:sz w:val="24"/>
          <w:szCs w:val="24"/>
        </w:rPr>
      </w:pPr>
    </w:p>
    <w:p w14:paraId="18D9544E">
      <w:pPr>
        <w:spacing w:line="248" w:lineRule="auto"/>
        <w:rPr>
          <w:rFonts w:hint="eastAsia" w:ascii="宋体" w:hAnsi="宋体" w:eastAsia="宋体" w:cs="宋体"/>
          <w:sz w:val="24"/>
          <w:szCs w:val="24"/>
        </w:rPr>
      </w:pPr>
    </w:p>
    <w:p w14:paraId="21F31AFE">
      <w:pPr>
        <w:spacing w:line="248" w:lineRule="auto"/>
        <w:rPr>
          <w:rFonts w:hint="eastAsia" w:ascii="宋体" w:hAnsi="宋体" w:eastAsia="宋体" w:cs="宋体"/>
          <w:sz w:val="24"/>
          <w:szCs w:val="24"/>
        </w:rPr>
      </w:pPr>
    </w:p>
    <w:p w14:paraId="1681B3F8">
      <w:pPr>
        <w:spacing w:line="248" w:lineRule="auto"/>
        <w:rPr>
          <w:rFonts w:hint="eastAsia" w:ascii="宋体" w:hAnsi="宋体" w:eastAsia="宋体" w:cs="宋体"/>
          <w:sz w:val="24"/>
          <w:szCs w:val="24"/>
        </w:rPr>
      </w:pPr>
    </w:p>
    <w:p w14:paraId="5113BF3A">
      <w:pPr>
        <w:pStyle w:val="8"/>
        <w:spacing w:before="75" w:line="227" w:lineRule="auto"/>
        <w:ind w:left="1309"/>
        <w:outlineLvl w:val="1"/>
        <w:rPr>
          <w:rFonts w:hint="eastAsia" w:ascii="宋体" w:hAnsi="宋体" w:eastAsia="宋体" w:cs="宋体"/>
          <w:sz w:val="24"/>
          <w:szCs w:val="24"/>
        </w:rPr>
      </w:pPr>
      <w:r>
        <w:rPr>
          <w:rFonts w:hint="eastAsia" w:ascii="宋体" w:hAnsi="宋体" w:eastAsia="宋体" w:cs="宋体"/>
          <w:b/>
          <w:bCs/>
          <w:spacing w:val="10"/>
          <w:sz w:val="24"/>
          <w:szCs w:val="24"/>
          <w:lang w:val="en-US" w:eastAsia="zh-CN"/>
        </w:rPr>
        <w:t>7</w:t>
      </w:r>
      <w:r>
        <w:rPr>
          <w:rFonts w:hint="eastAsia" w:ascii="宋体" w:hAnsi="宋体" w:eastAsia="宋体" w:cs="宋体"/>
          <w:b/>
          <w:bCs/>
          <w:spacing w:val="10"/>
          <w:sz w:val="24"/>
          <w:szCs w:val="24"/>
        </w:rPr>
        <w:t>、评分标准和细则中商务部分证明材料（格式自拟）</w:t>
      </w:r>
    </w:p>
    <w:p w14:paraId="2E1B1822">
      <w:pPr>
        <w:rPr>
          <w:rFonts w:hint="eastAsia" w:ascii="宋体" w:hAnsi="宋体" w:eastAsia="宋体" w:cs="宋体"/>
          <w:sz w:val="24"/>
          <w:szCs w:val="24"/>
        </w:rPr>
      </w:pPr>
    </w:p>
    <w:p w14:paraId="3FED8757">
      <w:pPr>
        <w:rPr>
          <w:rFonts w:hint="eastAsia" w:ascii="宋体" w:hAnsi="宋体" w:eastAsia="宋体" w:cs="宋体"/>
          <w:sz w:val="24"/>
          <w:szCs w:val="24"/>
        </w:rPr>
      </w:pPr>
    </w:p>
    <w:p w14:paraId="7BEEE28B">
      <w:pPr>
        <w:spacing w:line="241" w:lineRule="auto"/>
        <w:rPr>
          <w:rFonts w:hint="eastAsia" w:ascii="宋体" w:hAnsi="宋体" w:eastAsia="宋体" w:cs="宋体"/>
          <w:sz w:val="24"/>
          <w:szCs w:val="24"/>
        </w:rPr>
      </w:pPr>
    </w:p>
    <w:p w14:paraId="550D26B7">
      <w:pPr>
        <w:pStyle w:val="8"/>
        <w:spacing w:before="65" w:line="227" w:lineRule="auto"/>
        <w:ind w:left="570"/>
        <w:rPr>
          <w:rFonts w:hint="eastAsia" w:ascii="宋体" w:hAnsi="宋体" w:eastAsia="宋体" w:cs="宋体"/>
          <w:sz w:val="24"/>
          <w:szCs w:val="24"/>
        </w:rPr>
      </w:pPr>
      <w:r>
        <w:rPr>
          <w:rFonts w:hint="eastAsia" w:ascii="宋体" w:hAnsi="宋体" w:eastAsia="宋体" w:cs="宋体"/>
          <w:spacing w:val="11"/>
          <w:sz w:val="24"/>
          <w:szCs w:val="24"/>
        </w:rPr>
        <w:t>说明.1.应提供</w:t>
      </w:r>
      <w:r>
        <w:rPr>
          <w:rFonts w:hint="eastAsia" w:ascii="宋体" w:hAnsi="宋体" w:eastAsia="宋体" w:cs="宋体"/>
          <w:spacing w:val="11"/>
          <w:sz w:val="24"/>
          <w:szCs w:val="24"/>
          <w:u w:val="single"/>
        </w:rPr>
        <w:t>评分标准和细则中商务部分</w:t>
      </w:r>
      <w:r>
        <w:rPr>
          <w:rFonts w:hint="eastAsia" w:ascii="宋体" w:hAnsi="宋体" w:eastAsia="宋体" w:cs="宋体"/>
          <w:spacing w:val="11"/>
          <w:sz w:val="24"/>
          <w:szCs w:val="24"/>
        </w:rPr>
        <w:t>要求的其他资格证明文件。</w:t>
      </w:r>
    </w:p>
    <w:p w14:paraId="2B9402B0">
      <w:pPr>
        <w:spacing w:line="260" w:lineRule="auto"/>
        <w:rPr>
          <w:rFonts w:hint="eastAsia" w:ascii="宋体" w:hAnsi="宋体" w:eastAsia="宋体" w:cs="宋体"/>
          <w:sz w:val="24"/>
          <w:szCs w:val="24"/>
        </w:rPr>
      </w:pPr>
    </w:p>
    <w:p w14:paraId="4EA994E1">
      <w:pPr>
        <w:spacing w:line="260" w:lineRule="auto"/>
        <w:rPr>
          <w:rFonts w:hint="eastAsia" w:ascii="宋体" w:hAnsi="宋体" w:eastAsia="宋体" w:cs="宋体"/>
          <w:sz w:val="24"/>
          <w:szCs w:val="24"/>
        </w:rPr>
      </w:pPr>
    </w:p>
    <w:p w14:paraId="7F9BFFDE">
      <w:pPr>
        <w:spacing w:line="260" w:lineRule="auto"/>
        <w:rPr>
          <w:rFonts w:hint="eastAsia" w:ascii="宋体" w:hAnsi="宋体" w:eastAsia="宋体" w:cs="宋体"/>
          <w:sz w:val="24"/>
          <w:szCs w:val="24"/>
        </w:rPr>
      </w:pPr>
    </w:p>
    <w:p w14:paraId="089580B3">
      <w:pPr>
        <w:spacing w:line="260" w:lineRule="auto"/>
        <w:rPr>
          <w:rFonts w:hint="eastAsia" w:ascii="宋体" w:hAnsi="宋体" w:eastAsia="宋体" w:cs="宋体"/>
          <w:sz w:val="24"/>
          <w:szCs w:val="24"/>
        </w:rPr>
      </w:pPr>
    </w:p>
    <w:p w14:paraId="7AE7D5AF">
      <w:pPr>
        <w:spacing w:line="260" w:lineRule="auto"/>
        <w:rPr>
          <w:rFonts w:hint="eastAsia" w:ascii="宋体" w:hAnsi="宋体" w:eastAsia="宋体" w:cs="宋体"/>
          <w:sz w:val="24"/>
          <w:szCs w:val="24"/>
        </w:rPr>
      </w:pPr>
    </w:p>
    <w:p w14:paraId="6634F12C">
      <w:pPr>
        <w:spacing w:line="260" w:lineRule="auto"/>
        <w:rPr>
          <w:rFonts w:hint="eastAsia" w:ascii="宋体" w:hAnsi="宋体" w:eastAsia="宋体" w:cs="宋体"/>
          <w:sz w:val="24"/>
          <w:szCs w:val="24"/>
        </w:rPr>
      </w:pPr>
    </w:p>
    <w:p w14:paraId="2C04C46F">
      <w:pPr>
        <w:spacing w:line="261" w:lineRule="auto"/>
        <w:rPr>
          <w:rFonts w:hint="eastAsia" w:ascii="宋体" w:hAnsi="宋体" w:eastAsia="宋体" w:cs="宋体"/>
          <w:sz w:val="24"/>
          <w:szCs w:val="24"/>
        </w:rPr>
      </w:pPr>
    </w:p>
    <w:p w14:paraId="239A655E">
      <w:pPr>
        <w:spacing w:line="261" w:lineRule="auto"/>
        <w:rPr>
          <w:rFonts w:hint="eastAsia" w:ascii="宋体" w:hAnsi="宋体" w:eastAsia="宋体" w:cs="宋体"/>
          <w:sz w:val="24"/>
          <w:szCs w:val="24"/>
        </w:rPr>
      </w:pPr>
    </w:p>
    <w:p w14:paraId="6012E116">
      <w:pPr>
        <w:pStyle w:val="8"/>
        <w:spacing w:before="75" w:line="227" w:lineRule="auto"/>
        <w:ind w:left="1189"/>
        <w:outlineLvl w:val="1"/>
        <w:rPr>
          <w:rFonts w:hint="eastAsia" w:ascii="宋体" w:hAnsi="宋体" w:eastAsia="宋体" w:cs="宋体"/>
          <w:sz w:val="24"/>
          <w:szCs w:val="24"/>
        </w:rPr>
      </w:pPr>
      <w:r>
        <w:rPr>
          <w:rFonts w:hint="eastAsia" w:ascii="宋体" w:hAnsi="宋体" w:eastAsia="宋体" w:cs="宋体"/>
          <w:b/>
          <w:bCs/>
          <w:spacing w:val="10"/>
          <w:sz w:val="24"/>
          <w:szCs w:val="24"/>
          <w:lang w:val="en-US" w:eastAsia="zh-CN"/>
        </w:rPr>
        <w:t>8</w:t>
      </w:r>
      <w:r>
        <w:rPr>
          <w:rFonts w:hint="eastAsia" w:ascii="宋体" w:hAnsi="宋体" w:eastAsia="宋体" w:cs="宋体"/>
          <w:b/>
          <w:bCs/>
          <w:spacing w:val="10"/>
          <w:sz w:val="24"/>
          <w:szCs w:val="24"/>
        </w:rPr>
        <w:t>、投标人认为有必要提供的其他证明材料（格式自拟）</w:t>
      </w:r>
    </w:p>
    <w:p w14:paraId="33048561">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79FFA84D">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30CD4758">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p w14:paraId="57E0479A">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b w:val="0"/>
          <w:bCs w:val="0"/>
          <w:sz w:val="24"/>
          <w:szCs w:val="24"/>
          <w:lang w:val="en-US" w:eastAsia="zh-CN"/>
        </w:rPr>
      </w:pPr>
    </w:p>
    <w:sectPr>
      <w:footerReference r:id="rId15" w:type="default"/>
      <w:pgSz w:w="11906" w:h="16838"/>
      <w:pgMar w:top="1417" w:right="1247" w:bottom="1417" w:left="1247" w:header="1134"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FDE15">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E637">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1D436">
                          <w:pPr>
                            <w:pStyle w:val="11"/>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3B1D436">
                    <w:pPr>
                      <w:pStyle w:val="11"/>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678C">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4B2B0">
                          <w:pPr>
                            <w:pStyle w:val="11"/>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5E4B2B0">
                    <w:pPr>
                      <w:pStyle w:val="11"/>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7B36">
    <w:pPr>
      <w:widowControl/>
      <w:kinsoku w:val="0"/>
      <w:autoSpaceDE w:val="0"/>
      <w:autoSpaceDN w:val="0"/>
      <w:adjustRightInd w:val="0"/>
      <w:snapToGrid w:val="0"/>
      <w:spacing w:line="184" w:lineRule="auto"/>
      <w:ind w:left="4084"/>
      <w:jc w:val="left"/>
      <w:textAlignment w:val="baseline"/>
      <w:rPr>
        <w:rFonts w:ascii="Times New Roman" w:hAnsi="Times New Roman" w:eastAsia="Times New Roman" w:cs="Times New Roman"/>
        <w:snapToGrid w:val="0"/>
        <w:color w:val="000000"/>
        <w:kern w:val="0"/>
        <w:sz w:val="17"/>
        <w:szCs w:val="17"/>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27BF">
    <w:pPr>
      <w:pStyle w:val="8"/>
      <w:spacing w:line="231" w:lineRule="auto"/>
      <w:ind w:left="4543"/>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946F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9946F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740B">
    <w:pPr>
      <w:pStyle w:val="8"/>
      <w:spacing w:line="231" w:lineRule="auto"/>
      <w:ind w:firstLine="4860" w:firstLineChars="2700"/>
      <w:rPr>
        <w:rFonts w:hint="default" w:ascii="Microsoft JhengHei" w:hAnsi="Microsoft JhengHei" w:eastAsia="宋体" w:cs="Microsoft JhengHei"/>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A0F90">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CA0F90">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37D2D">
    <w:pPr>
      <w:pStyle w:val="8"/>
      <w:spacing w:line="231" w:lineRule="auto"/>
      <w:ind w:left="4543"/>
      <w:rPr>
        <w:rFonts w:ascii="Microsoft JhengHei" w:hAnsi="Microsoft JhengHei" w:eastAsia="Microsoft JhengHei" w:cs="Microsoft JhengHe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363A4">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96363A4">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5C43B">
    <w:pPr>
      <w:spacing w:line="170" w:lineRule="auto"/>
      <w:ind w:left="4515" w:firstLine="280"/>
      <w:rPr>
        <w:rFonts w:hint="eastAsia" w:ascii="宋体" w:hAnsi="宋体" w:eastAsia="宋体" w:cs="宋体"/>
        <w:sz w:val="14"/>
        <w:szCs w:val="14"/>
      </w:rPr>
    </w:pPr>
    <w:r>
      <w:rPr>
        <w:sz w:val="1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6B9A4">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7B6B9A4">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ACBF2">
    <w:pPr>
      <w:spacing w:line="168" w:lineRule="auto"/>
      <w:ind w:left="4500" w:firstLine="280"/>
      <w:rPr>
        <w:rFonts w:hint="eastAsia" w:ascii="宋体" w:hAnsi="宋体" w:eastAsia="宋体" w:cs="宋体"/>
        <w:sz w:val="14"/>
        <w:szCs w:val="14"/>
      </w:rPr>
    </w:pPr>
    <w:r>
      <w:rPr>
        <w:sz w:val="1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ADA16">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59ADA16">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BF8D">
    <w:pPr>
      <w:spacing w:line="184" w:lineRule="auto"/>
      <w:ind w:left="40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A2718">
                          <w:pPr>
                            <w:pStyle w:val="11"/>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8A2718">
                    <w:pPr>
                      <w:pStyle w:val="1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BA28C">
    <w:pPr>
      <w:spacing w:before="78" w:line="184" w:lineRule="auto"/>
      <w:ind w:left="40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55CE4">
                          <w:pPr>
                            <w:pStyle w:val="11"/>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0055CE4">
                    <w:pPr>
                      <w:pStyle w:val="11"/>
                    </w:pPr>
                    <w:r>
                      <w:fldChar w:fldCharType="begin"/>
                    </w:r>
                    <w:r>
                      <w:instrText xml:space="preserve"> PAGE  \* MERGEFORMAT </w:instrText>
                    </w:r>
                    <w:r>
                      <w:fldChar w:fldCharType="separate"/>
                    </w:r>
                    <w:r>
                      <w:t>96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64096">
    <w:pPr>
      <w:pStyle w:val="12"/>
      <w:pBdr>
        <w:bottom w:val="single" w:color="auto" w:sz="4" w:space="1"/>
      </w:pBdr>
      <w:jc w:val="right"/>
      <w:rPr>
        <w:sz w:val="21"/>
        <w:szCs w:val="32"/>
      </w:rPr>
    </w:pPr>
    <w:r>
      <w:rPr>
        <w:rFonts w:hint="eastAsia"/>
        <w:sz w:val="21"/>
        <w:szCs w:val="32"/>
      </w:rPr>
      <w:t>阿图什市“道路照明合同能源托管+智慧化运维服务”项目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CEA6">
    <w:pPr>
      <w:pStyle w:val="8"/>
      <w:spacing w:before="20" w:line="220" w:lineRule="auto"/>
      <w:ind w:left="22"/>
      <w:jc w:val="right"/>
    </w:pPr>
    <w:r>
      <w:rPr>
        <w:rFonts w:hint="eastAsia" w:ascii="Times New Roman" w:eastAsia="宋体"/>
        <w:sz w:val="21"/>
        <w:szCs w:val="32"/>
        <w:lang w:val="en-US" w:eastAsia="zh-CN"/>
      </w:rPr>
      <w:t>阿图什市“道路照明合同能源托管+智慧化运维服务”项目</w:t>
    </w:r>
    <w:r>
      <w:drawing>
        <wp:anchor distT="0" distB="0" distL="0" distR="0" simplePos="0" relativeHeight="251665408" behindDoc="0" locked="0" layoutInCell="0" allowOverlap="1">
          <wp:simplePos x="0" y="0"/>
          <wp:positionH relativeFrom="page">
            <wp:posOffset>1140460</wp:posOffset>
          </wp:positionH>
          <wp:positionV relativeFrom="page">
            <wp:posOffset>893445</wp:posOffset>
          </wp:positionV>
          <wp:extent cx="5277485" cy="63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277399" cy="6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99D03"/>
    <w:multiLevelType w:val="singleLevel"/>
    <w:tmpl w:val="C3D99D03"/>
    <w:lvl w:ilvl="0" w:tentative="0">
      <w:start w:val="1"/>
      <w:numFmt w:val="decimal"/>
      <w:suff w:val="nothing"/>
      <w:lvlText w:val="%1）"/>
      <w:lvlJc w:val="left"/>
    </w:lvl>
  </w:abstractNum>
  <w:abstractNum w:abstractNumId="1">
    <w:nsid w:val="0000000C"/>
    <w:multiLevelType w:val="multilevel"/>
    <w:tmpl w:val="0000000C"/>
    <w:lvl w:ilvl="0" w:tentative="0">
      <w:start w:val="2"/>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1F314600"/>
    <w:multiLevelType w:val="multilevel"/>
    <w:tmpl w:val="1F314600"/>
    <w:lvl w:ilvl="0" w:tentative="0">
      <w:start w:val="1"/>
      <w:numFmt w:val="decimal"/>
      <w:lvlText w:val="%1.1"/>
      <w:lvlJc w:val="left"/>
      <w:pPr>
        <w:ind w:left="872"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5CD4C99"/>
    <w:multiLevelType w:val="singleLevel"/>
    <w:tmpl w:val="55CD4C99"/>
    <w:lvl w:ilvl="0" w:tentative="0">
      <w:start w:val="1"/>
      <w:numFmt w:val="chineseCounting"/>
      <w:suff w:val="nothing"/>
      <w:lvlText w:val="%1、"/>
      <w:lvlJc w:val="left"/>
    </w:lvl>
  </w:abstractNum>
  <w:abstractNum w:abstractNumId="5">
    <w:nsid w:val="671604DC"/>
    <w:multiLevelType w:val="multilevel"/>
    <w:tmpl w:val="671604DC"/>
    <w:lvl w:ilvl="0" w:tentative="0">
      <w:start w:val="1"/>
      <w:numFmt w:val="decimal"/>
      <w:lvlText w:val="%1"/>
      <w:lvlJc w:val="left"/>
      <w:pPr>
        <w:ind w:left="360" w:hanging="360"/>
      </w:pPr>
      <w:rPr>
        <w:rFonts w:hint="default"/>
      </w:rPr>
    </w:lvl>
    <w:lvl w:ilvl="1" w:tentative="0">
      <w:start w:val="2"/>
      <w:numFmt w:val="decimal"/>
      <w:lvlText w:val="%1.%2"/>
      <w:lvlJc w:val="left"/>
      <w:pPr>
        <w:ind w:left="792" w:hanging="360"/>
      </w:pPr>
      <w:rPr>
        <w:rFonts w:hint="default"/>
      </w:rPr>
    </w:lvl>
    <w:lvl w:ilvl="2" w:tentative="0">
      <w:start w:val="1"/>
      <w:numFmt w:val="decimal"/>
      <w:lvlText w:val="%1.%2.%3"/>
      <w:lvlJc w:val="left"/>
      <w:pPr>
        <w:ind w:left="1584" w:hanging="720"/>
      </w:pPr>
      <w:rPr>
        <w:rFonts w:hint="default"/>
      </w:rPr>
    </w:lvl>
    <w:lvl w:ilvl="3" w:tentative="0">
      <w:start w:val="1"/>
      <w:numFmt w:val="decimal"/>
      <w:lvlText w:val="%1.%2.%3.%4"/>
      <w:lvlJc w:val="left"/>
      <w:pPr>
        <w:ind w:left="2376" w:hanging="1080"/>
      </w:pPr>
      <w:rPr>
        <w:rFonts w:hint="default"/>
      </w:rPr>
    </w:lvl>
    <w:lvl w:ilvl="4" w:tentative="0">
      <w:start w:val="1"/>
      <w:numFmt w:val="decimal"/>
      <w:lvlText w:val="%1.%2.%3.%4.%5"/>
      <w:lvlJc w:val="left"/>
      <w:pPr>
        <w:ind w:left="2808" w:hanging="1080"/>
      </w:pPr>
      <w:rPr>
        <w:rFonts w:hint="default"/>
      </w:rPr>
    </w:lvl>
    <w:lvl w:ilvl="5" w:tentative="0">
      <w:start w:val="1"/>
      <w:numFmt w:val="decimal"/>
      <w:lvlText w:val="%1.%2.%3.%4.%5.%6"/>
      <w:lvlJc w:val="left"/>
      <w:pPr>
        <w:ind w:left="3600" w:hanging="1440"/>
      </w:pPr>
      <w:rPr>
        <w:rFonts w:hint="default"/>
      </w:rPr>
    </w:lvl>
    <w:lvl w:ilvl="6" w:tentative="0">
      <w:start w:val="1"/>
      <w:numFmt w:val="decimal"/>
      <w:lvlText w:val="%1.%2.%3.%4.%5.%6.%7"/>
      <w:lvlJc w:val="left"/>
      <w:pPr>
        <w:ind w:left="4032" w:hanging="1440"/>
      </w:pPr>
      <w:rPr>
        <w:rFonts w:hint="default"/>
      </w:rPr>
    </w:lvl>
    <w:lvl w:ilvl="7" w:tentative="0">
      <w:start w:val="1"/>
      <w:numFmt w:val="decimal"/>
      <w:lvlText w:val="%1.%2.%3.%4.%5.%6.%7.%8"/>
      <w:lvlJc w:val="left"/>
      <w:pPr>
        <w:ind w:left="4824" w:hanging="1800"/>
      </w:pPr>
      <w:rPr>
        <w:rFonts w:hint="default"/>
      </w:rPr>
    </w:lvl>
    <w:lvl w:ilvl="8" w:tentative="0">
      <w:start w:val="1"/>
      <w:numFmt w:val="decimal"/>
      <w:lvlText w:val="%1.%2.%3.%4.%5.%6.%7.%8.%9"/>
      <w:lvlJc w:val="left"/>
      <w:pPr>
        <w:ind w:left="5256" w:hanging="1800"/>
      </w:pPr>
      <w:rPr>
        <w:rFonts w:hint="default"/>
      </w:rPr>
    </w:lvl>
  </w:abstractNum>
  <w:abstractNum w:abstractNumId="6">
    <w:nsid w:val="710685EF"/>
    <w:multiLevelType w:val="singleLevel"/>
    <w:tmpl w:val="710685EF"/>
    <w:lvl w:ilvl="0" w:tentative="0">
      <w:start w:val="1"/>
      <w:numFmt w:val="decimal"/>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2"/>
  </w:num>
  <w:num w:numId="3">
    <w:abstractNumId w:val="7"/>
  </w:num>
  <w:num w:numId="4">
    <w:abstractNumId w:val="0"/>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ZWMzYmVhOTE1NDRmZDc5Y2RmYmQ1NjEwMzBiNGYifQ=="/>
  </w:docVars>
  <w:rsids>
    <w:rsidRoot w:val="04BA7F78"/>
    <w:rsid w:val="007C0F2D"/>
    <w:rsid w:val="02926122"/>
    <w:rsid w:val="02E22533"/>
    <w:rsid w:val="035B7EE9"/>
    <w:rsid w:val="037D545F"/>
    <w:rsid w:val="039F2A36"/>
    <w:rsid w:val="03C25ACC"/>
    <w:rsid w:val="04BA7F78"/>
    <w:rsid w:val="06567547"/>
    <w:rsid w:val="06F67E79"/>
    <w:rsid w:val="079965E2"/>
    <w:rsid w:val="07FE2B6F"/>
    <w:rsid w:val="091444C1"/>
    <w:rsid w:val="096A420C"/>
    <w:rsid w:val="098E3681"/>
    <w:rsid w:val="0B5807E8"/>
    <w:rsid w:val="0BF020E6"/>
    <w:rsid w:val="0EC76A2E"/>
    <w:rsid w:val="11224FB6"/>
    <w:rsid w:val="113D64B6"/>
    <w:rsid w:val="11EB0689"/>
    <w:rsid w:val="13345697"/>
    <w:rsid w:val="13AC347F"/>
    <w:rsid w:val="14405B26"/>
    <w:rsid w:val="153951E6"/>
    <w:rsid w:val="15483BD6"/>
    <w:rsid w:val="161D1B5D"/>
    <w:rsid w:val="168441DE"/>
    <w:rsid w:val="171D714D"/>
    <w:rsid w:val="179E09CF"/>
    <w:rsid w:val="18922F4B"/>
    <w:rsid w:val="19734658"/>
    <w:rsid w:val="1D4C5F4E"/>
    <w:rsid w:val="1D8355A2"/>
    <w:rsid w:val="1E9E7C78"/>
    <w:rsid w:val="20531852"/>
    <w:rsid w:val="214C527C"/>
    <w:rsid w:val="21701F90"/>
    <w:rsid w:val="220F0EEC"/>
    <w:rsid w:val="22294E36"/>
    <w:rsid w:val="24346914"/>
    <w:rsid w:val="24F737AC"/>
    <w:rsid w:val="26EC20B9"/>
    <w:rsid w:val="29404258"/>
    <w:rsid w:val="2A1C2CB5"/>
    <w:rsid w:val="2A2142E2"/>
    <w:rsid w:val="2AD00373"/>
    <w:rsid w:val="2BF62FBD"/>
    <w:rsid w:val="2E834476"/>
    <w:rsid w:val="306A1F34"/>
    <w:rsid w:val="30E32B8F"/>
    <w:rsid w:val="313A6212"/>
    <w:rsid w:val="355F4A63"/>
    <w:rsid w:val="356613B9"/>
    <w:rsid w:val="365E4655"/>
    <w:rsid w:val="37BB7471"/>
    <w:rsid w:val="39884B54"/>
    <w:rsid w:val="39A62337"/>
    <w:rsid w:val="39F0445A"/>
    <w:rsid w:val="3C5067EE"/>
    <w:rsid w:val="3D7E4A37"/>
    <w:rsid w:val="3DF05E39"/>
    <w:rsid w:val="3E24017F"/>
    <w:rsid w:val="3E4D4160"/>
    <w:rsid w:val="3E817314"/>
    <w:rsid w:val="3EAD40D4"/>
    <w:rsid w:val="411F615E"/>
    <w:rsid w:val="414D1FAA"/>
    <w:rsid w:val="416F3381"/>
    <w:rsid w:val="428927FB"/>
    <w:rsid w:val="42A33B1C"/>
    <w:rsid w:val="453B1E98"/>
    <w:rsid w:val="45AF45B1"/>
    <w:rsid w:val="47F12263"/>
    <w:rsid w:val="48CC104C"/>
    <w:rsid w:val="499E6368"/>
    <w:rsid w:val="4AD77441"/>
    <w:rsid w:val="4B3A0355"/>
    <w:rsid w:val="4B892CE1"/>
    <w:rsid w:val="4C403272"/>
    <w:rsid w:val="4D17471D"/>
    <w:rsid w:val="4EBF32F6"/>
    <w:rsid w:val="52990A97"/>
    <w:rsid w:val="532C190B"/>
    <w:rsid w:val="53E0044B"/>
    <w:rsid w:val="55FE5622"/>
    <w:rsid w:val="56C77A19"/>
    <w:rsid w:val="56D273AC"/>
    <w:rsid w:val="57AD1103"/>
    <w:rsid w:val="57DB0C1D"/>
    <w:rsid w:val="583B2727"/>
    <w:rsid w:val="58AF69EA"/>
    <w:rsid w:val="58F90023"/>
    <w:rsid w:val="5940458F"/>
    <w:rsid w:val="599B6820"/>
    <w:rsid w:val="59ED5C18"/>
    <w:rsid w:val="5A5739E3"/>
    <w:rsid w:val="5A5C364D"/>
    <w:rsid w:val="5CC74CB7"/>
    <w:rsid w:val="5E900C88"/>
    <w:rsid w:val="5EBB138D"/>
    <w:rsid w:val="5F2A5266"/>
    <w:rsid w:val="60457B68"/>
    <w:rsid w:val="608C23F6"/>
    <w:rsid w:val="609A6E9D"/>
    <w:rsid w:val="62390CB6"/>
    <w:rsid w:val="63DF7CF8"/>
    <w:rsid w:val="65350E2A"/>
    <w:rsid w:val="657E5067"/>
    <w:rsid w:val="66560D21"/>
    <w:rsid w:val="66983372"/>
    <w:rsid w:val="67A76D07"/>
    <w:rsid w:val="68530A45"/>
    <w:rsid w:val="694B14ED"/>
    <w:rsid w:val="6A33602D"/>
    <w:rsid w:val="6ACF6B9E"/>
    <w:rsid w:val="6E8C1058"/>
    <w:rsid w:val="6EA46F3D"/>
    <w:rsid w:val="715A0252"/>
    <w:rsid w:val="72AC1ADE"/>
    <w:rsid w:val="72C73D43"/>
    <w:rsid w:val="73871CF9"/>
    <w:rsid w:val="73EC389E"/>
    <w:rsid w:val="745D5BD9"/>
    <w:rsid w:val="748C0004"/>
    <w:rsid w:val="75E101F7"/>
    <w:rsid w:val="76F450A2"/>
    <w:rsid w:val="77613082"/>
    <w:rsid w:val="776246D7"/>
    <w:rsid w:val="77D53DEA"/>
    <w:rsid w:val="780F0D30"/>
    <w:rsid w:val="7AB05621"/>
    <w:rsid w:val="7ABA58F0"/>
    <w:rsid w:val="7B0350A4"/>
    <w:rsid w:val="7B895A57"/>
    <w:rsid w:val="7BBD4F47"/>
    <w:rsid w:val="7C6F6C27"/>
    <w:rsid w:val="7DAD5B8D"/>
    <w:rsid w:val="7F437511"/>
    <w:rsid w:val="7F6A32EF"/>
    <w:rsid w:val="7F775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3">
    <w:name w:val="heading 2"/>
    <w:basedOn w:val="1"/>
    <w:next w:val="1"/>
    <w:unhideWhenUsed/>
    <w:qFormat/>
    <w:uiPriority w:val="0"/>
    <w:pPr>
      <w:keepNext/>
      <w:keepLines/>
      <w:autoSpaceDE/>
      <w:autoSpaceDN/>
      <w:spacing w:before="160" w:after="160"/>
      <w:ind w:firstLine="0" w:firstLineChars="0"/>
      <w:outlineLvl w:val="1"/>
    </w:pPr>
    <w:rPr>
      <w:b/>
    </w:rPr>
  </w:style>
  <w:style w:type="paragraph" w:styleId="4">
    <w:name w:val="heading 3"/>
    <w:basedOn w:val="1"/>
    <w:next w:val="1"/>
    <w:unhideWhenUsed/>
    <w:qFormat/>
    <w:uiPriority w:val="0"/>
    <w:pPr>
      <w:keepNext/>
      <w:keepLines/>
      <w:spacing w:before="100" w:after="100"/>
      <w:outlineLvl w:val="2"/>
    </w:pPr>
  </w:style>
  <w:style w:type="paragraph" w:styleId="5">
    <w:name w:val="heading 4"/>
    <w:basedOn w:val="1"/>
    <w:next w:val="1"/>
    <w:link w:val="24"/>
    <w:qFormat/>
    <w:uiPriority w:val="0"/>
    <w:pPr>
      <w:keepNext/>
      <w:keepLines/>
      <w:tabs>
        <w:tab w:val="left" w:pos="1680"/>
      </w:tabs>
      <w:spacing w:before="280" w:after="290" w:line="376" w:lineRule="atLeast"/>
      <w:outlineLvl w:val="3"/>
    </w:pPr>
    <w:rPr>
      <w:rFonts w:ascii="Arial" w:hAnsi="Arial" w:eastAsia="黑体"/>
      <w:b/>
      <w:bCs/>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next w:val="7"/>
    <w:qFormat/>
    <w:uiPriority w:val="0"/>
    <w:pPr>
      <w:widowControl w:val="0"/>
      <w:adjustRightInd w:val="0"/>
      <w:spacing w:line="360" w:lineRule="atLeast"/>
      <w:ind w:firstLine="482"/>
      <w:jc w:val="both"/>
      <w:textAlignment w:val="baseline"/>
    </w:pPr>
    <w:rPr>
      <w:rFonts w:ascii="Times New Roman" w:hAnsi="Times New Roman" w:eastAsia="宋体" w:cs="Times New Roman"/>
      <w:kern w:val="0"/>
      <w:sz w:val="24"/>
      <w:szCs w:val="20"/>
      <w:lang w:val="en-US" w:eastAsia="zh-CN" w:bidi="ar-SA"/>
    </w:rPr>
  </w:style>
  <w:style w:type="paragraph" w:styleId="7">
    <w:name w:val="toa heading"/>
    <w:next w:val="1"/>
    <w:qFormat/>
    <w:uiPriority w:val="0"/>
    <w:pPr>
      <w:widowControl w:val="0"/>
      <w:autoSpaceDE w:val="0"/>
      <w:autoSpaceDN w:val="0"/>
      <w:adjustRightInd w:val="0"/>
      <w:snapToGrid w:val="0"/>
      <w:spacing w:before="120" w:beforeLines="0" w:line="360" w:lineRule="auto"/>
      <w:jc w:val="both"/>
    </w:pPr>
    <w:rPr>
      <w:rFonts w:ascii="Arial" w:hAnsi="Arial" w:eastAsia="宋体" w:cs="Times New Roman"/>
      <w:snapToGrid w:val="0"/>
      <w:color w:val="000000"/>
      <w:kern w:val="0"/>
      <w:sz w:val="21"/>
      <w:szCs w:val="20"/>
      <w:lang w:val="en-US" w:eastAsia="zh-CN" w:bidi="ar-SA"/>
    </w:rPr>
  </w:style>
  <w:style w:type="paragraph" w:styleId="8">
    <w:name w:val="Body Text"/>
    <w:basedOn w:val="1"/>
    <w:qFormat/>
    <w:uiPriority w:val="0"/>
    <w:pPr>
      <w:spacing w:after="120"/>
    </w:pPr>
  </w:style>
  <w:style w:type="paragraph" w:styleId="9">
    <w:name w:val="Plain Text"/>
    <w:next w:val="10"/>
    <w:qFormat/>
    <w:uiPriority w:val="0"/>
    <w:pPr>
      <w:widowControl w:val="0"/>
      <w:jc w:val="both"/>
    </w:pPr>
    <w:rPr>
      <w:rFonts w:ascii="宋体" w:hAnsi="Times New Roman" w:eastAsia="宋体" w:cs="Times New Roman"/>
      <w:color w:val="000000"/>
      <w:kern w:val="2"/>
      <w:sz w:val="21"/>
      <w:szCs w:val="20"/>
      <w:u w:val="none" w:color="000000"/>
      <w:lang w:val="en-US" w:eastAsia="zh-CN" w:bidi="ar-SA"/>
    </w:rPr>
  </w:style>
  <w:style w:type="paragraph" w:styleId="10">
    <w:name w:val="index 7"/>
    <w:next w:val="1"/>
    <w:qFormat/>
    <w:uiPriority w:val="0"/>
    <w:pPr>
      <w:widowControl w:val="0"/>
      <w:autoSpaceDE/>
      <w:autoSpaceDN/>
      <w:adjustRightInd/>
      <w:ind w:left="1200" w:leftChars="1200"/>
      <w:jc w:val="both"/>
    </w:pPr>
    <w:rPr>
      <w:rFonts w:ascii="Times New Roman" w:hAnsi="Times New Roman" w:eastAsia="宋体" w:cs="Times New Roman"/>
      <w:color w:val="auto"/>
      <w:kern w:val="2"/>
      <w:sz w:val="21"/>
      <w:szCs w:val="24"/>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iPriority w:val="0"/>
  </w:style>
  <w:style w:type="paragraph" w:styleId="14">
    <w:name w:val="Normal (Web)"/>
    <w:next w:val="1"/>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No Spacing"/>
    <w:basedOn w:val="1"/>
    <w:qFormat/>
    <w:uiPriority w:val="0"/>
    <w:pPr>
      <w:widowControl w:val="0"/>
      <w:jc w:val="both"/>
    </w:pPr>
    <w:rPr>
      <w:rFonts w:ascii="Times New Roman" w:hAnsi="Times New Roman" w:eastAsia="Times New Roman" w:cs="Times New Roman"/>
      <w:kern w:val="2"/>
      <w:sz w:val="21"/>
      <w:lang w:val="en-US" w:eastAsia="zh-CN" w:bidi="ar-SA"/>
    </w:rPr>
  </w:style>
  <w:style w:type="paragraph" w:customStyle="1" w:styleId="19">
    <w:name w:val="_Style 2"/>
    <w:next w:val="1"/>
    <w:qFormat/>
    <w:uiPriority w:val="0"/>
    <w:pPr>
      <w:widowControl w:val="0"/>
      <w:ind w:firstLine="200" w:firstLineChars="200"/>
      <w:jc w:val="both"/>
    </w:pPr>
    <w:rPr>
      <w:rFonts w:ascii="Calibri" w:hAnsi="Calibri" w:eastAsia="宋体" w:cs="Times New Roman"/>
      <w:kern w:val="2"/>
      <w:sz w:val="28"/>
      <w:szCs w:val="22"/>
      <w:lang w:val="en-US" w:eastAsia="zh-CN" w:bidi="ar-SA"/>
    </w:rPr>
  </w:style>
  <w:style w:type="paragraph" w:customStyle="1" w:styleId="20">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paragraph" w:styleId="23">
    <w:name w:val="List Paragraph"/>
    <w:basedOn w:val="1"/>
    <w:qFormat/>
    <w:uiPriority w:val="99"/>
    <w:pPr>
      <w:ind w:firstLine="420"/>
    </w:pPr>
  </w:style>
  <w:style w:type="character" w:customStyle="1" w:styleId="24">
    <w:name w:val="标题 4 字符"/>
    <w:basedOn w:val="17"/>
    <w:link w:val="5"/>
    <w:qFormat/>
    <w:uiPriority w:val="0"/>
    <w:rPr>
      <w:rFonts w:ascii="Arial" w:hAnsi="Arial" w:eastAsia="黑体"/>
      <w:b/>
      <w:bCs/>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2586</Words>
  <Characters>2921</Characters>
  <Lines>0</Lines>
  <Paragraphs>0</Paragraphs>
  <TotalTime>94</TotalTime>
  <ScaleCrop>false</ScaleCrop>
  <LinksUpToDate>false</LinksUpToDate>
  <CharactersWithSpaces>3032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2024-08-16T04:01:00Z</dcterms:created>
  <dc:creator>舍得。</dc:creator>
  <cp:lastModifiedBy>舍得。</cp:lastModifiedBy>
  <cp:lastPrinted>2025-07-10T02:42:00Z</cp:lastPrinted>
  <dcterms:modified xsi:type="dcterms:W3CDTF">2025-07-10T11:12:12Z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9D6D23BE7F4742A09EB7F9EAD92247FD_13</vt:lpwstr>
  </property>
  <property fmtid="{D5CDD505-2E9C-101B-9397-08002B2CF9AE}" pid="4" name="KSOTemplateDocerSaveRecord">
    <vt:lpwstr>eyJoZGlkIjoiOWFkMjIyYTY1MWE4MjlmNTMxMmNjZWEyNGZkM2NkZjUiLCJ1c2VySWQiOiI4NzQ5MjQ4In0=</vt:lpwstr>
  </property>
</Properties>
</file>